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515FD" w14:textId="77777777" w:rsidR="004653D0" w:rsidRDefault="004653D0" w:rsidP="004653D0">
      <w:pPr>
        <w:pStyle w:val="MDPI12title"/>
      </w:pPr>
      <w:bookmarkStart w:id="0" w:name="_Hlk131886722"/>
      <w:r>
        <w:rPr>
          <w:lang w:val="en-GB"/>
        </w:rPr>
        <w:t xml:space="preserve">Testing the Effect of Relative Pollen Productivity on the </w:t>
      </w:r>
      <w:r>
        <w:rPr>
          <w:lang w:val="en-GB"/>
        </w:rPr>
        <w:br/>
        <w:t>REVEALS Model</w:t>
      </w:r>
      <w:bookmarkEnd w:id="0"/>
      <w:r>
        <w:rPr>
          <w:lang w:val="en-GB"/>
        </w:rPr>
        <w:t xml:space="preserve">: </w:t>
      </w:r>
      <w:r>
        <w:t xml:space="preserve">A Validated Reconstruction of </w:t>
      </w:r>
      <w:r>
        <w:br/>
        <w:t>Europe-Wide Holocene Vegetation</w:t>
      </w:r>
    </w:p>
    <w:p w14:paraId="066961C2" w14:textId="77777777" w:rsidR="004653D0" w:rsidRPr="004653D0" w:rsidRDefault="004653D0" w:rsidP="004653D0">
      <w:pPr>
        <w:pStyle w:val="MDPI13authornames"/>
        <w:rPr>
          <w:lang w:val="en-GB"/>
        </w:rPr>
      </w:pPr>
      <w:r>
        <w:rPr>
          <w:lang w:val="en-GB"/>
        </w:rPr>
        <w:t xml:space="preserve">M. A. Serge </w:t>
      </w:r>
      <w:r>
        <w:rPr>
          <w:vertAlign w:val="superscript"/>
          <w:lang w:val="en-GB"/>
        </w:rPr>
        <w:t>1,</w:t>
      </w:r>
      <w:r>
        <w:rPr>
          <w:lang w:val="en-GB"/>
        </w:rPr>
        <w:t xml:space="preserve">*, F. </w:t>
      </w:r>
      <w:proofErr w:type="spellStart"/>
      <w:r>
        <w:rPr>
          <w:lang w:val="en-GB"/>
        </w:rPr>
        <w:t>Mazier</w:t>
      </w:r>
      <w:proofErr w:type="spellEnd"/>
      <w:r>
        <w:rPr>
          <w:lang w:val="en-GB"/>
        </w:rPr>
        <w:t xml:space="preserve"> </w:t>
      </w:r>
      <w:r>
        <w:rPr>
          <w:vertAlign w:val="superscript"/>
          <w:lang w:val="en-GB"/>
        </w:rPr>
        <w:t>1</w:t>
      </w:r>
      <w:r>
        <w:rPr>
          <w:lang w:val="en-GB"/>
        </w:rPr>
        <w:t xml:space="preserve">, R. Fyfe </w:t>
      </w:r>
      <w:r>
        <w:rPr>
          <w:vertAlign w:val="superscript"/>
          <w:lang w:val="en-GB"/>
        </w:rPr>
        <w:t>2</w:t>
      </w:r>
      <w:r w:rsidRPr="004653D0">
        <w:rPr>
          <w:lang w:val="en-GB"/>
        </w:rPr>
        <w:t xml:space="preserve">, M.-J. Gaillard </w:t>
      </w:r>
      <w:r w:rsidRPr="004653D0">
        <w:rPr>
          <w:vertAlign w:val="superscript"/>
          <w:lang w:val="en-GB"/>
        </w:rPr>
        <w:t>3</w:t>
      </w:r>
      <w:r w:rsidRPr="004653D0">
        <w:rPr>
          <w:lang w:val="en-GB"/>
        </w:rPr>
        <w:t xml:space="preserve">, T. Klein </w:t>
      </w:r>
      <w:r w:rsidRPr="004653D0">
        <w:rPr>
          <w:vertAlign w:val="superscript"/>
          <w:lang w:val="en-GB"/>
        </w:rPr>
        <w:t>4,5</w:t>
      </w:r>
      <w:r w:rsidRPr="004653D0">
        <w:rPr>
          <w:lang w:val="en-GB"/>
        </w:rPr>
        <w:t xml:space="preserve">, A. </w:t>
      </w:r>
      <w:proofErr w:type="spellStart"/>
      <w:r w:rsidRPr="004653D0">
        <w:rPr>
          <w:lang w:val="en-GB"/>
        </w:rPr>
        <w:t>Lagnoux</w:t>
      </w:r>
      <w:proofErr w:type="spellEnd"/>
      <w:r w:rsidRPr="004653D0">
        <w:rPr>
          <w:lang w:val="en-GB"/>
        </w:rPr>
        <w:t xml:space="preserve"> </w:t>
      </w:r>
      <w:r w:rsidRPr="004653D0">
        <w:rPr>
          <w:vertAlign w:val="superscript"/>
          <w:lang w:val="en-GB"/>
        </w:rPr>
        <w:t>5</w:t>
      </w:r>
      <w:r w:rsidRPr="004653D0">
        <w:rPr>
          <w:lang w:val="en-GB"/>
        </w:rPr>
        <w:t>,</w:t>
      </w:r>
      <w:r w:rsidRPr="004653D0">
        <w:rPr>
          <w:rFonts w:asciiTheme="majorHAnsi" w:hAnsiTheme="majorHAnsi" w:cstheme="majorHAnsi"/>
          <w:lang w:val="en-GB"/>
        </w:rPr>
        <w:t xml:space="preserve"> </w:t>
      </w:r>
      <w:r w:rsidRPr="004653D0">
        <w:rPr>
          <w:lang w:val="en-GB"/>
        </w:rPr>
        <w:t xml:space="preserve">D. Galop </w:t>
      </w:r>
      <w:r w:rsidRPr="004653D0">
        <w:rPr>
          <w:vertAlign w:val="superscript"/>
          <w:lang w:val="en-GB"/>
        </w:rPr>
        <w:t>1</w:t>
      </w:r>
      <w:r w:rsidRPr="004653D0">
        <w:rPr>
          <w:lang w:val="en-GB"/>
        </w:rPr>
        <w:t xml:space="preserve">, E. </w:t>
      </w:r>
      <w:proofErr w:type="spellStart"/>
      <w:r w:rsidRPr="004653D0">
        <w:rPr>
          <w:lang w:val="en-GB"/>
        </w:rPr>
        <w:t>Githumbi</w:t>
      </w:r>
      <w:proofErr w:type="spellEnd"/>
      <w:r w:rsidRPr="004653D0">
        <w:rPr>
          <w:lang w:val="en-GB"/>
        </w:rPr>
        <w:t xml:space="preserve"> </w:t>
      </w:r>
      <w:r w:rsidRPr="004653D0">
        <w:rPr>
          <w:vertAlign w:val="superscript"/>
          <w:lang w:val="en-GB"/>
        </w:rPr>
        <w:t>3,6</w:t>
      </w:r>
      <w:r w:rsidRPr="004653D0">
        <w:rPr>
          <w:lang w:val="en-GB"/>
        </w:rPr>
        <w:t xml:space="preserve">, </w:t>
      </w:r>
      <w:r w:rsidRPr="004653D0">
        <w:rPr>
          <w:lang w:val="en-GB"/>
        </w:rPr>
        <w:br/>
        <w:t xml:space="preserve">M. </w:t>
      </w:r>
      <w:proofErr w:type="spellStart"/>
      <w:r w:rsidRPr="004653D0">
        <w:rPr>
          <w:lang w:val="en-GB"/>
        </w:rPr>
        <w:t>Mindrescu</w:t>
      </w:r>
      <w:proofErr w:type="spellEnd"/>
      <w:r w:rsidRPr="004653D0">
        <w:rPr>
          <w:lang w:val="en-GB"/>
        </w:rPr>
        <w:t xml:space="preserve"> </w:t>
      </w:r>
      <w:r w:rsidRPr="004653D0">
        <w:rPr>
          <w:vertAlign w:val="superscript"/>
          <w:lang w:val="en-GB"/>
        </w:rPr>
        <w:t>7</w:t>
      </w:r>
      <w:r w:rsidRPr="004653D0">
        <w:rPr>
          <w:lang w:val="en-GB"/>
        </w:rPr>
        <w:t xml:space="preserve">, A. B. Nielsen </w:t>
      </w:r>
      <w:r w:rsidRPr="004653D0">
        <w:rPr>
          <w:vertAlign w:val="superscript"/>
          <w:lang w:val="en-GB"/>
        </w:rPr>
        <w:t>8</w:t>
      </w:r>
      <w:r w:rsidRPr="004653D0">
        <w:rPr>
          <w:lang w:val="en-GB"/>
        </w:rPr>
        <w:t xml:space="preserve">, A.-K. </w:t>
      </w:r>
      <w:proofErr w:type="spellStart"/>
      <w:r w:rsidRPr="004653D0">
        <w:rPr>
          <w:lang w:val="en-GB"/>
        </w:rPr>
        <w:t>Trondman</w:t>
      </w:r>
      <w:proofErr w:type="spellEnd"/>
      <w:r w:rsidRPr="004653D0">
        <w:rPr>
          <w:lang w:val="en-GB"/>
        </w:rPr>
        <w:t xml:space="preserve"> </w:t>
      </w:r>
      <w:r w:rsidRPr="004653D0">
        <w:rPr>
          <w:vertAlign w:val="superscript"/>
          <w:lang w:val="en-GB"/>
        </w:rPr>
        <w:t>3,9</w:t>
      </w:r>
      <w:r w:rsidRPr="004653D0">
        <w:rPr>
          <w:lang w:val="en-GB"/>
        </w:rPr>
        <w:t xml:space="preserve">, A. </w:t>
      </w:r>
      <w:proofErr w:type="spellStart"/>
      <w:r w:rsidRPr="004653D0">
        <w:rPr>
          <w:lang w:val="en-GB"/>
        </w:rPr>
        <w:t>Poska</w:t>
      </w:r>
      <w:proofErr w:type="spellEnd"/>
      <w:r w:rsidRPr="004653D0">
        <w:rPr>
          <w:lang w:val="en-GB"/>
        </w:rPr>
        <w:t xml:space="preserve"> </w:t>
      </w:r>
      <w:r w:rsidRPr="004653D0">
        <w:rPr>
          <w:vertAlign w:val="superscript"/>
          <w:lang w:val="en-GB"/>
        </w:rPr>
        <w:t>6,10</w:t>
      </w:r>
      <w:r w:rsidRPr="004653D0">
        <w:rPr>
          <w:lang w:val="en-GB"/>
        </w:rPr>
        <w:t xml:space="preserve">, S. Sugita </w:t>
      </w:r>
      <w:r w:rsidRPr="004653D0">
        <w:rPr>
          <w:vertAlign w:val="superscript"/>
          <w:lang w:val="en-GB"/>
        </w:rPr>
        <w:t>11</w:t>
      </w:r>
      <w:r w:rsidRPr="004653D0">
        <w:rPr>
          <w:lang w:val="en-GB"/>
        </w:rPr>
        <w:t xml:space="preserve">, J. Woodbridge </w:t>
      </w:r>
      <w:r w:rsidRPr="004653D0">
        <w:rPr>
          <w:vertAlign w:val="superscript"/>
          <w:lang w:val="en-GB"/>
        </w:rPr>
        <w:t xml:space="preserve">2 </w:t>
      </w:r>
      <w:r w:rsidRPr="004653D0">
        <w:rPr>
          <w:lang w:val="en-GB"/>
        </w:rPr>
        <w:t xml:space="preserve">, D. Abel-Schaad </w:t>
      </w:r>
      <w:r w:rsidRPr="004653D0">
        <w:rPr>
          <w:vertAlign w:val="superscript"/>
          <w:lang w:val="en-GB"/>
        </w:rPr>
        <w:t>12</w:t>
      </w:r>
      <w:r w:rsidRPr="004653D0">
        <w:rPr>
          <w:lang w:val="en-GB"/>
        </w:rPr>
        <w:t xml:space="preserve">, C. </w:t>
      </w:r>
      <w:proofErr w:type="spellStart"/>
      <w:r w:rsidRPr="004653D0">
        <w:rPr>
          <w:lang w:val="en-GB"/>
        </w:rPr>
        <w:t>Åkesson</w:t>
      </w:r>
      <w:proofErr w:type="spellEnd"/>
      <w:r w:rsidRPr="004653D0">
        <w:rPr>
          <w:lang w:val="en-GB"/>
        </w:rPr>
        <w:t xml:space="preserve"> </w:t>
      </w:r>
      <w:r w:rsidRPr="004653D0">
        <w:rPr>
          <w:vertAlign w:val="superscript"/>
          <w:lang w:val="en-GB"/>
        </w:rPr>
        <w:t>8</w:t>
      </w:r>
      <w:r w:rsidRPr="004653D0">
        <w:rPr>
          <w:lang w:val="en-GB"/>
        </w:rPr>
        <w:t xml:space="preserve">, T. Alenius </w:t>
      </w:r>
      <w:r w:rsidRPr="004653D0">
        <w:rPr>
          <w:vertAlign w:val="superscript"/>
          <w:lang w:val="en-GB"/>
        </w:rPr>
        <w:t>13</w:t>
      </w:r>
      <w:r w:rsidRPr="004653D0">
        <w:rPr>
          <w:lang w:val="en-GB"/>
        </w:rPr>
        <w:t xml:space="preserve">, B. Ammann </w:t>
      </w:r>
      <w:r w:rsidRPr="004653D0">
        <w:rPr>
          <w:vertAlign w:val="superscript"/>
          <w:lang w:val="en-GB"/>
        </w:rPr>
        <w:t>14</w:t>
      </w:r>
      <w:r w:rsidRPr="004653D0">
        <w:rPr>
          <w:lang w:val="en-GB"/>
        </w:rPr>
        <w:t xml:space="preserve">, S.T. Andersen </w:t>
      </w:r>
      <w:r w:rsidRPr="004653D0">
        <w:rPr>
          <w:vertAlign w:val="superscript"/>
          <w:lang w:val="en-GB"/>
        </w:rPr>
        <w:t>†15</w:t>
      </w:r>
      <w:r w:rsidRPr="004653D0">
        <w:rPr>
          <w:lang w:val="en-GB"/>
        </w:rPr>
        <w:t xml:space="preserve">, R. Scott Anderson </w:t>
      </w:r>
      <w:r w:rsidRPr="004653D0">
        <w:rPr>
          <w:vertAlign w:val="superscript"/>
          <w:lang w:val="en-GB"/>
        </w:rPr>
        <w:t>16</w:t>
      </w:r>
      <w:r w:rsidRPr="004653D0">
        <w:rPr>
          <w:lang w:val="en-GB"/>
        </w:rPr>
        <w:t xml:space="preserve">, M. </w:t>
      </w:r>
      <w:proofErr w:type="spellStart"/>
      <w:r w:rsidRPr="004653D0">
        <w:rPr>
          <w:lang w:val="en-GB"/>
        </w:rPr>
        <w:t>Andrič</w:t>
      </w:r>
      <w:proofErr w:type="spellEnd"/>
      <w:r w:rsidRPr="004653D0">
        <w:rPr>
          <w:lang w:val="en-GB"/>
        </w:rPr>
        <w:t xml:space="preserve"> </w:t>
      </w:r>
      <w:r w:rsidRPr="004653D0">
        <w:rPr>
          <w:vertAlign w:val="superscript"/>
          <w:lang w:val="en-GB"/>
        </w:rPr>
        <w:t>17</w:t>
      </w:r>
      <w:r w:rsidRPr="004653D0">
        <w:rPr>
          <w:lang w:val="en-GB"/>
        </w:rPr>
        <w:t xml:space="preserve">, L. </w:t>
      </w:r>
      <w:proofErr w:type="spellStart"/>
      <w:r w:rsidRPr="004653D0">
        <w:rPr>
          <w:lang w:val="en-GB"/>
        </w:rPr>
        <w:t>Balakauskas</w:t>
      </w:r>
      <w:proofErr w:type="spellEnd"/>
      <w:r w:rsidRPr="004653D0">
        <w:rPr>
          <w:lang w:val="en-GB"/>
        </w:rPr>
        <w:t xml:space="preserve"> </w:t>
      </w:r>
      <w:r w:rsidRPr="004653D0">
        <w:rPr>
          <w:vertAlign w:val="superscript"/>
          <w:lang w:val="en-GB"/>
        </w:rPr>
        <w:t>18</w:t>
      </w:r>
      <w:r w:rsidRPr="004653D0">
        <w:rPr>
          <w:lang w:val="en-GB"/>
        </w:rPr>
        <w:t xml:space="preserve">, L. </w:t>
      </w:r>
      <w:proofErr w:type="spellStart"/>
      <w:r w:rsidRPr="004653D0">
        <w:rPr>
          <w:lang w:val="en-GB"/>
        </w:rPr>
        <w:t>Barnekow</w:t>
      </w:r>
      <w:proofErr w:type="spellEnd"/>
      <w:r w:rsidRPr="004653D0">
        <w:rPr>
          <w:lang w:val="en-GB"/>
        </w:rPr>
        <w:t xml:space="preserve"> </w:t>
      </w:r>
      <w:r w:rsidRPr="004653D0">
        <w:rPr>
          <w:vertAlign w:val="superscript"/>
          <w:lang w:val="en-GB"/>
        </w:rPr>
        <w:t>8</w:t>
      </w:r>
      <w:r w:rsidRPr="004653D0">
        <w:rPr>
          <w:lang w:val="en-GB"/>
        </w:rPr>
        <w:t xml:space="preserve">, V. </w:t>
      </w:r>
      <w:proofErr w:type="spellStart"/>
      <w:r w:rsidRPr="004653D0">
        <w:rPr>
          <w:lang w:val="en-GB"/>
        </w:rPr>
        <w:t>Batalova</w:t>
      </w:r>
      <w:proofErr w:type="spellEnd"/>
      <w:r w:rsidRPr="004653D0">
        <w:rPr>
          <w:lang w:val="en-GB"/>
        </w:rPr>
        <w:t xml:space="preserve"> </w:t>
      </w:r>
      <w:r w:rsidRPr="004653D0">
        <w:rPr>
          <w:vertAlign w:val="superscript"/>
          <w:lang w:val="en-GB"/>
        </w:rPr>
        <w:t>19</w:t>
      </w:r>
      <w:r w:rsidRPr="004653D0">
        <w:rPr>
          <w:lang w:val="en-GB"/>
        </w:rPr>
        <w:t xml:space="preserve">, J. Bergman </w:t>
      </w:r>
      <w:r w:rsidRPr="004653D0">
        <w:rPr>
          <w:vertAlign w:val="superscript"/>
          <w:lang w:val="en-GB"/>
        </w:rPr>
        <w:t>20</w:t>
      </w:r>
      <w:r w:rsidRPr="004653D0">
        <w:rPr>
          <w:lang w:val="en-GB"/>
        </w:rPr>
        <w:t xml:space="preserve">, H. John B. Birks </w:t>
      </w:r>
      <w:r w:rsidRPr="004653D0">
        <w:rPr>
          <w:vertAlign w:val="superscript"/>
          <w:lang w:val="en-GB"/>
        </w:rPr>
        <w:t>21</w:t>
      </w:r>
      <w:r w:rsidRPr="004653D0">
        <w:rPr>
          <w:lang w:val="en-GB"/>
        </w:rPr>
        <w:t xml:space="preserve">, L. </w:t>
      </w:r>
      <w:proofErr w:type="spellStart"/>
      <w:r w:rsidRPr="004653D0">
        <w:rPr>
          <w:lang w:val="en-GB"/>
        </w:rPr>
        <w:t>Björkman</w:t>
      </w:r>
      <w:proofErr w:type="spellEnd"/>
      <w:r w:rsidRPr="004653D0">
        <w:rPr>
          <w:lang w:val="en-GB"/>
        </w:rPr>
        <w:t xml:space="preserve"> </w:t>
      </w:r>
      <w:r w:rsidRPr="004653D0">
        <w:rPr>
          <w:vertAlign w:val="superscript"/>
          <w:lang w:val="en-GB"/>
        </w:rPr>
        <w:t>22</w:t>
      </w:r>
      <w:r w:rsidRPr="004653D0">
        <w:rPr>
          <w:lang w:val="en-GB"/>
        </w:rPr>
        <w:t xml:space="preserve">, A.E. </w:t>
      </w:r>
      <w:proofErr w:type="spellStart"/>
      <w:r w:rsidRPr="004653D0">
        <w:rPr>
          <w:lang w:val="en-GB"/>
        </w:rPr>
        <w:t>Bjune</w:t>
      </w:r>
      <w:proofErr w:type="spellEnd"/>
      <w:r w:rsidRPr="004653D0">
        <w:rPr>
          <w:lang w:val="en-GB"/>
        </w:rPr>
        <w:t xml:space="preserve"> </w:t>
      </w:r>
      <w:r w:rsidRPr="004653D0">
        <w:rPr>
          <w:vertAlign w:val="superscript"/>
          <w:lang w:val="en-GB"/>
        </w:rPr>
        <w:t>21</w:t>
      </w:r>
      <w:r w:rsidRPr="004653D0">
        <w:rPr>
          <w:lang w:val="en-GB"/>
        </w:rPr>
        <w:t xml:space="preserve">, O. Borisova </w:t>
      </w:r>
      <w:r w:rsidRPr="004653D0">
        <w:rPr>
          <w:vertAlign w:val="superscript"/>
          <w:lang w:val="en-GB"/>
        </w:rPr>
        <w:t>23</w:t>
      </w:r>
      <w:r w:rsidRPr="004653D0">
        <w:rPr>
          <w:lang w:val="en-GB"/>
        </w:rPr>
        <w:t xml:space="preserve">, N. </w:t>
      </w:r>
      <w:proofErr w:type="spellStart"/>
      <w:r w:rsidRPr="004653D0">
        <w:rPr>
          <w:lang w:val="en-GB"/>
        </w:rPr>
        <w:t>Broothaerts</w:t>
      </w:r>
      <w:proofErr w:type="spellEnd"/>
      <w:r w:rsidRPr="004653D0">
        <w:rPr>
          <w:lang w:val="en-GB"/>
        </w:rPr>
        <w:t xml:space="preserve"> </w:t>
      </w:r>
      <w:r w:rsidRPr="004653D0">
        <w:rPr>
          <w:vertAlign w:val="superscript"/>
          <w:lang w:val="en-GB"/>
        </w:rPr>
        <w:t>24</w:t>
      </w:r>
      <w:r w:rsidRPr="004653D0">
        <w:rPr>
          <w:lang w:val="en-GB"/>
        </w:rPr>
        <w:t xml:space="preserve">, J. Carrion </w:t>
      </w:r>
      <w:r w:rsidRPr="004653D0">
        <w:rPr>
          <w:vertAlign w:val="superscript"/>
          <w:lang w:val="en-GB"/>
        </w:rPr>
        <w:t>25</w:t>
      </w:r>
      <w:r w:rsidRPr="004653D0">
        <w:rPr>
          <w:lang w:val="en-GB"/>
        </w:rPr>
        <w:t xml:space="preserve">, C. </w:t>
      </w:r>
      <w:proofErr w:type="spellStart"/>
      <w:r w:rsidRPr="004653D0">
        <w:rPr>
          <w:lang w:val="en-GB"/>
        </w:rPr>
        <w:t>Caseldine</w:t>
      </w:r>
      <w:proofErr w:type="spellEnd"/>
      <w:r w:rsidRPr="004653D0">
        <w:rPr>
          <w:lang w:val="en-GB"/>
        </w:rPr>
        <w:t xml:space="preserve"> </w:t>
      </w:r>
      <w:r w:rsidRPr="004653D0">
        <w:rPr>
          <w:vertAlign w:val="superscript"/>
          <w:lang w:val="en-GB"/>
        </w:rPr>
        <w:t>26</w:t>
      </w:r>
      <w:r w:rsidRPr="004653D0">
        <w:rPr>
          <w:lang w:val="en-GB"/>
        </w:rPr>
        <w:t xml:space="preserve">, J. Christiansen </w:t>
      </w:r>
      <w:r w:rsidRPr="004653D0">
        <w:rPr>
          <w:vertAlign w:val="superscript"/>
          <w:lang w:val="en-GB"/>
        </w:rPr>
        <w:t>19</w:t>
      </w:r>
      <w:r w:rsidRPr="004653D0">
        <w:rPr>
          <w:lang w:val="en-GB"/>
        </w:rPr>
        <w:t xml:space="preserve">, Q. Cui </w:t>
      </w:r>
      <w:r w:rsidRPr="004653D0">
        <w:rPr>
          <w:vertAlign w:val="superscript"/>
          <w:lang w:val="en-GB"/>
        </w:rPr>
        <w:t>27</w:t>
      </w:r>
      <w:r w:rsidRPr="004653D0">
        <w:rPr>
          <w:lang w:val="en-GB"/>
        </w:rPr>
        <w:t xml:space="preserve">, A. </w:t>
      </w:r>
      <w:proofErr w:type="spellStart"/>
      <w:r w:rsidRPr="004653D0">
        <w:rPr>
          <w:lang w:val="en-GB"/>
        </w:rPr>
        <w:t>Currás</w:t>
      </w:r>
      <w:proofErr w:type="spellEnd"/>
      <w:r w:rsidRPr="004653D0">
        <w:rPr>
          <w:lang w:val="en-GB"/>
        </w:rPr>
        <w:t xml:space="preserve"> </w:t>
      </w:r>
      <w:r w:rsidRPr="004653D0">
        <w:rPr>
          <w:vertAlign w:val="superscript"/>
          <w:lang w:val="en-GB"/>
        </w:rPr>
        <w:t>28</w:t>
      </w:r>
      <w:r w:rsidRPr="004653D0">
        <w:rPr>
          <w:lang w:val="en-GB"/>
        </w:rPr>
        <w:t xml:space="preserve">, S. </w:t>
      </w:r>
      <w:proofErr w:type="spellStart"/>
      <w:r w:rsidRPr="004653D0">
        <w:rPr>
          <w:lang w:val="en-GB"/>
        </w:rPr>
        <w:t>Czerwiński</w:t>
      </w:r>
      <w:proofErr w:type="spellEnd"/>
      <w:r w:rsidRPr="004653D0">
        <w:rPr>
          <w:lang w:val="en-GB"/>
        </w:rPr>
        <w:t xml:space="preserve"> </w:t>
      </w:r>
      <w:r w:rsidRPr="004653D0">
        <w:rPr>
          <w:vertAlign w:val="superscript"/>
          <w:lang w:val="en-GB"/>
        </w:rPr>
        <w:t>29,30</w:t>
      </w:r>
      <w:r w:rsidRPr="004653D0">
        <w:rPr>
          <w:lang w:val="en-GB"/>
        </w:rPr>
        <w:t xml:space="preserve">, R. David </w:t>
      </w:r>
      <w:r w:rsidRPr="004653D0">
        <w:rPr>
          <w:vertAlign w:val="superscript"/>
          <w:lang w:val="en-GB"/>
        </w:rPr>
        <w:t>31</w:t>
      </w:r>
      <w:r w:rsidRPr="004653D0">
        <w:rPr>
          <w:lang w:val="en-GB"/>
        </w:rPr>
        <w:t xml:space="preserve">, A. Davies </w:t>
      </w:r>
      <w:r w:rsidRPr="004653D0">
        <w:rPr>
          <w:vertAlign w:val="superscript"/>
          <w:lang w:val="en-GB"/>
        </w:rPr>
        <w:t>32</w:t>
      </w:r>
      <w:r w:rsidRPr="004653D0">
        <w:rPr>
          <w:lang w:val="en-GB"/>
        </w:rPr>
        <w:t xml:space="preserve">, R. De Jong </w:t>
      </w:r>
      <w:r w:rsidRPr="004653D0">
        <w:rPr>
          <w:vertAlign w:val="superscript"/>
          <w:lang w:val="en-GB"/>
        </w:rPr>
        <w:t>33</w:t>
      </w:r>
      <w:r w:rsidRPr="004653D0">
        <w:rPr>
          <w:lang w:val="en-GB"/>
        </w:rPr>
        <w:t xml:space="preserve">, F. Di Rita </w:t>
      </w:r>
      <w:r w:rsidRPr="004653D0">
        <w:rPr>
          <w:vertAlign w:val="superscript"/>
          <w:lang w:val="en-GB"/>
        </w:rPr>
        <w:t>34</w:t>
      </w:r>
      <w:r w:rsidRPr="004653D0">
        <w:rPr>
          <w:lang w:val="en-GB"/>
        </w:rPr>
        <w:t xml:space="preserve">, B. </w:t>
      </w:r>
      <w:proofErr w:type="spellStart"/>
      <w:r w:rsidRPr="004653D0">
        <w:rPr>
          <w:lang w:val="en-GB"/>
        </w:rPr>
        <w:t>Dietre</w:t>
      </w:r>
      <w:proofErr w:type="spellEnd"/>
      <w:r w:rsidRPr="004653D0">
        <w:rPr>
          <w:lang w:val="en-GB"/>
        </w:rPr>
        <w:t xml:space="preserve"> </w:t>
      </w:r>
      <w:r w:rsidRPr="004653D0">
        <w:rPr>
          <w:vertAlign w:val="superscript"/>
          <w:lang w:val="en-GB"/>
        </w:rPr>
        <w:t>35</w:t>
      </w:r>
      <w:r w:rsidRPr="004653D0">
        <w:rPr>
          <w:lang w:val="en-GB"/>
        </w:rPr>
        <w:t xml:space="preserve">, W. </w:t>
      </w:r>
      <w:proofErr w:type="spellStart"/>
      <w:r w:rsidRPr="004653D0">
        <w:rPr>
          <w:lang w:val="en-GB"/>
        </w:rPr>
        <w:t>Dörfler</w:t>
      </w:r>
      <w:proofErr w:type="spellEnd"/>
      <w:r w:rsidRPr="004653D0">
        <w:rPr>
          <w:lang w:val="en-GB"/>
        </w:rPr>
        <w:t xml:space="preserve"> </w:t>
      </w:r>
      <w:r w:rsidRPr="004653D0">
        <w:rPr>
          <w:vertAlign w:val="superscript"/>
          <w:lang w:val="en-GB"/>
        </w:rPr>
        <w:t>36</w:t>
      </w:r>
      <w:r w:rsidRPr="004653D0">
        <w:rPr>
          <w:lang w:val="en-GB"/>
        </w:rPr>
        <w:t xml:space="preserve">, E. Doyen </w:t>
      </w:r>
      <w:r w:rsidRPr="004653D0">
        <w:rPr>
          <w:vertAlign w:val="superscript"/>
          <w:lang w:val="en-GB"/>
        </w:rPr>
        <w:t>37</w:t>
      </w:r>
      <w:r w:rsidRPr="004653D0">
        <w:rPr>
          <w:lang w:val="en-GB"/>
        </w:rPr>
        <w:t xml:space="preserve">, K. J. Edwards </w:t>
      </w:r>
      <w:r w:rsidRPr="004653D0">
        <w:rPr>
          <w:vertAlign w:val="superscript"/>
          <w:lang w:val="en-GB"/>
        </w:rPr>
        <w:t>38,39</w:t>
      </w:r>
      <w:r w:rsidRPr="004653D0">
        <w:rPr>
          <w:lang w:val="en-GB"/>
        </w:rPr>
        <w:t xml:space="preserve">, A. </w:t>
      </w:r>
      <w:proofErr w:type="spellStart"/>
      <w:r w:rsidRPr="004653D0">
        <w:rPr>
          <w:lang w:val="en-GB"/>
        </w:rPr>
        <w:t>Ejarque</w:t>
      </w:r>
      <w:proofErr w:type="spellEnd"/>
      <w:r w:rsidRPr="004653D0">
        <w:rPr>
          <w:lang w:val="en-GB"/>
        </w:rPr>
        <w:t xml:space="preserve"> </w:t>
      </w:r>
      <w:r w:rsidRPr="004653D0">
        <w:rPr>
          <w:vertAlign w:val="superscript"/>
          <w:lang w:val="en-GB"/>
        </w:rPr>
        <w:t>40</w:t>
      </w:r>
      <w:r w:rsidRPr="004653D0">
        <w:rPr>
          <w:lang w:val="en-GB"/>
        </w:rPr>
        <w:t xml:space="preserve">, E. </w:t>
      </w:r>
      <w:proofErr w:type="spellStart"/>
      <w:r w:rsidRPr="004653D0">
        <w:rPr>
          <w:lang w:val="en-GB"/>
        </w:rPr>
        <w:t>Endtmann</w:t>
      </w:r>
      <w:proofErr w:type="spellEnd"/>
      <w:r w:rsidRPr="004653D0">
        <w:rPr>
          <w:vertAlign w:val="superscript"/>
          <w:lang w:val="en-GB"/>
        </w:rPr>
        <w:t xml:space="preserve"> 41</w:t>
      </w:r>
      <w:r w:rsidRPr="004653D0">
        <w:rPr>
          <w:lang w:val="en-GB"/>
        </w:rPr>
        <w:t xml:space="preserve">, D. Etienne </w:t>
      </w:r>
      <w:r w:rsidRPr="004653D0">
        <w:rPr>
          <w:vertAlign w:val="superscript"/>
          <w:lang w:val="en-GB"/>
        </w:rPr>
        <w:t>42</w:t>
      </w:r>
      <w:r w:rsidRPr="004653D0">
        <w:rPr>
          <w:lang w:val="en-GB"/>
        </w:rPr>
        <w:t xml:space="preserve">, E. Faure </w:t>
      </w:r>
      <w:r w:rsidRPr="004653D0">
        <w:rPr>
          <w:vertAlign w:val="superscript"/>
          <w:lang w:val="en-GB"/>
        </w:rPr>
        <w:t>43</w:t>
      </w:r>
      <w:r w:rsidRPr="004653D0">
        <w:rPr>
          <w:lang w:val="en-GB"/>
        </w:rPr>
        <w:t xml:space="preserve">, I. </w:t>
      </w:r>
      <w:proofErr w:type="spellStart"/>
      <w:r w:rsidRPr="004653D0">
        <w:rPr>
          <w:lang w:val="en-GB"/>
        </w:rPr>
        <w:t>Feeser</w:t>
      </w:r>
      <w:proofErr w:type="spellEnd"/>
      <w:r w:rsidRPr="004653D0">
        <w:rPr>
          <w:lang w:val="en-GB"/>
        </w:rPr>
        <w:t xml:space="preserve"> </w:t>
      </w:r>
      <w:r w:rsidRPr="004653D0">
        <w:rPr>
          <w:vertAlign w:val="superscript"/>
          <w:lang w:val="en-GB"/>
        </w:rPr>
        <w:t>36</w:t>
      </w:r>
      <w:r w:rsidRPr="004653D0">
        <w:rPr>
          <w:lang w:val="en-GB"/>
        </w:rPr>
        <w:t xml:space="preserve">, A. </w:t>
      </w:r>
      <w:proofErr w:type="spellStart"/>
      <w:r w:rsidRPr="004653D0">
        <w:rPr>
          <w:lang w:val="en-GB"/>
        </w:rPr>
        <w:t>Feurdean</w:t>
      </w:r>
      <w:proofErr w:type="spellEnd"/>
      <w:r w:rsidRPr="004653D0">
        <w:rPr>
          <w:lang w:val="en-GB"/>
        </w:rPr>
        <w:t xml:space="preserve"> </w:t>
      </w:r>
      <w:r w:rsidRPr="004653D0">
        <w:rPr>
          <w:vertAlign w:val="superscript"/>
          <w:lang w:val="en-GB"/>
        </w:rPr>
        <w:t>44,45</w:t>
      </w:r>
      <w:r w:rsidRPr="004653D0">
        <w:rPr>
          <w:lang w:val="en-GB"/>
        </w:rPr>
        <w:t xml:space="preserve">, E. Fischer </w:t>
      </w:r>
      <w:r w:rsidRPr="004653D0">
        <w:rPr>
          <w:vertAlign w:val="superscript"/>
          <w:lang w:val="en-GB"/>
        </w:rPr>
        <w:t>46</w:t>
      </w:r>
      <w:r w:rsidRPr="004653D0">
        <w:rPr>
          <w:lang w:val="en-GB"/>
        </w:rPr>
        <w:t xml:space="preserve">, W. Fletcher </w:t>
      </w:r>
      <w:r w:rsidRPr="004653D0">
        <w:rPr>
          <w:vertAlign w:val="superscript"/>
          <w:lang w:val="en-GB"/>
        </w:rPr>
        <w:t>47</w:t>
      </w:r>
      <w:r w:rsidRPr="004653D0">
        <w:rPr>
          <w:lang w:val="en-GB"/>
        </w:rPr>
        <w:t>, F. Franco-</w:t>
      </w:r>
      <w:proofErr w:type="spellStart"/>
      <w:r w:rsidRPr="004653D0">
        <w:rPr>
          <w:lang w:val="en-GB"/>
        </w:rPr>
        <w:t>Múgica</w:t>
      </w:r>
      <w:proofErr w:type="spellEnd"/>
      <w:r w:rsidRPr="004653D0">
        <w:rPr>
          <w:lang w:val="en-GB"/>
        </w:rPr>
        <w:t xml:space="preserve"> </w:t>
      </w:r>
      <w:r w:rsidRPr="004653D0">
        <w:rPr>
          <w:vertAlign w:val="superscript"/>
          <w:lang w:val="en-GB"/>
        </w:rPr>
        <w:t>48</w:t>
      </w:r>
      <w:r w:rsidRPr="004653D0">
        <w:rPr>
          <w:lang w:val="en-GB"/>
        </w:rPr>
        <w:t xml:space="preserve">, E. D. </w:t>
      </w:r>
      <w:proofErr w:type="spellStart"/>
      <w:r w:rsidRPr="004653D0">
        <w:rPr>
          <w:lang w:val="en-GB"/>
        </w:rPr>
        <w:t>Fredh</w:t>
      </w:r>
      <w:proofErr w:type="spellEnd"/>
      <w:r w:rsidRPr="004653D0">
        <w:rPr>
          <w:lang w:val="en-GB"/>
        </w:rPr>
        <w:t xml:space="preserve"> </w:t>
      </w:r>
      <w:r w:rsidRPr="004653D0">
        <w:rPr>
          <w:vertAlign w:val="superscript"/>
          <w:lang w:val="en-GB"/>
        </w:rPr>
        <w:t>49</w:t>
      </w:r>
      <w:r w:rsidRPr="004653D0">
        <w:rPr>
          <w:lang w:val="en-GB"/>
        </w:rPr>
        <w:t xml:space="preserve">, C. </w:t>
      </w:r>
      <w:proofErr w:type="spellStart"/>
      <w:r w:rsidRPr="004653D0">
        <w:rPr>
          <w:lang w:val="en-GB"/>
        </w:rPr>
        <w:t>Froyd</w:t>
      </w:r>
      <w:proofErr w:type="spellEnd"/>
      <w:r w:rsidRPr="004653D0">
        <w:rPr>
          <w:lang w:val="en-GB"/>
        </w:rPr>
        <w:t xml:space="preserve"> </w:t>
      </w:r>
      <w:r w:rsidRPr="004653D0">
        <w:rPr>
          <w:vertAlign w:val="superscript"/>
          <w:lang w:val="en-GB"/>
        </w:rPr>
        <w:t>50</w:t>
      </w:r>
      <w:r w:rsidRPr="004653D0">
        <w:rPr>
          <w:lang w:val="en-GB"/>
        </w:rPr>
        <w:t xml:space="preserve">, S. </w:t>
      </w:r>
      <w:proofErr w:type="spellStart"/>
      <w:r w:rsidRPr="004653D0">
        <w:rPr>
          <w:lang w:val="en-GB"/>
        </w:rPr>
        <w:t>Garcés</w:t>
      </w:r>
      <w:proofErr w:type="spellEnd"/>
      <w:r w:rsidRPr="004653D0">
        <w:rPr>
          <w:lang w:val="en-GB"/>
        </w:rPr>
        <w:t xml:space="preserve">-Pastor </w:t>
      </w:r>
      <w:r w:rsidRPr="004653D0">
        <w:rPr>
          <w:vertAlign w:val="superscript"/>
          <w:lang w:val="en-GB"/>
        </w:rPr>
        <w:t>51</w:t>
      </w:r>
      <w:r w:rsidRPr="004653D0">
        <w:rPr>
          <w:lang w:val="en-GB"/>
        </w:rPr>
        <w:t>, I. García-</w:t>
      </w:r>
      <w:proofErr w:type="spellStart"/>
      <w:r w:rsidRPr="004653D0">
        <w:rPr>
          <w:lang w:val="en-GB"/>
        </w:rPr>
        <w:t>Moreiras</w:t>
      </w:r>
      <w:proofErr w:type="spellEnd"/>
      <w:r w:rsidRPr="004653D0">
        <w:rPr>
          <w:lang w:val="en-GB"/>
        </w:rPr>
        <w:t xml:space="preserve"> </w:t>
      </w:r>
      <w:r w:rsidRPr="004653D0">
        <w:rPr>
          <w:vertAlign w:val="superscript"/>
          <w:lang w:val="en-GB"/>
        </w:rPr>
        <w:t>52</w:t>
      </w:r>
      <w:r w:rsidRPr="004653D0">
        <w:rPr>
          <w:lang w:val="en-GB"/>
        </w:rPr>
        <w:t xml:space="preserve">, E. Gauthier </w:t>
      </w:r>
      <w:r w:rsidRPr="004653D0">
        <w:rPr>
          <w:vertAlign w:val="superscript"/>
          <w:lang w:val="en-GB"/>
        </w:rPr>
        <w:t>53</w:t>
      </w:r>
      <w:r w:rsidRPr="004653D0">
        <w:rPr>
          <w:lang w:val="en-GB"/>
        </w:rPr>
        <w:t>, G. Gil-</w:t>
      </w:r>
      <w:proofErr w:type="spellStart"/>
      <w:r w:rsidRPr="004653D0">
        <w:rPr>
          <w:lang w:val="en-GB"/>
        </w:rPr>
        <w:t>Romera</w:t>
      </w:r>
      <w:proofErr w:type="spellEnd"/>
      <w:r w:rsidRPr="004653D0">
        <w:rPr>
          <w:lang w:val="en-GB"/>
        </w:rPr>
        <w:t xml:space="preserve"> </w:t>
      </w:r>
      <w:r w:rsidRPr="004653D0">
        <w:rPr>
          <w:vertAlign w:val="superscript"/>
          <w:lang w:val="en-GB"/>
        </w:rPr>
        <w:t>54</w:t>
      </w:r>
      <w:r w:rsidRPr="004653D0">
        <w:rPr>
          <w:lang w:val="en-GB"/>
        </w:rPr>
        <w:t>, P. González-</w:t>
      </w:r>
      <w:proofErr w:type="spellStart"/>
      <w:r w:rsidRPr="004653D0">
        <w:rPr>
          <w:lang w:val="en-GB"/>
        </w:rPr>
        <w:t>Sampériz</w:t>
      </w:r>
      <w:proofErr w:type="spellEnd"/>
      <w:r w:rsidRPr="004653D0">
        <w:rPr>
          <w:lang w:val="en-GB"/>
        </w:rPr>
        <w:t xml:space="preserve"> </w:t>
      </w:r>
      <w:r w:rsidRPr="004653D0">
        <w:rPr>
          <w:vertAlign w:val="superscript"/>
          <w:lang w:val="en-GB"/>
        </w:rPr>
        <w:t>54</w:t>
      </w:r>
      <w:r w:rsidRPr="004653D0">
        <w:rPr>
          <w:lang w:val="en-GB"/>
        </w:rPr>
        <w:t xml:space="preserve">, M. J. Grant </w:t>
      </w:r>
      <w:r w:rsidRPr="004653D0">
        <w:rPr>
          <w:vertAlign w:val="superscript"/>
          <w:lang w:val="en-GB"/>
        </w:rPr>
        <w:t>55</w:t>
      </w:r>
      <w:r w:rsidRPr="004653D0">
        <w:rPr>
          <w:lang w:val="en-GB"/>
        </w:rPr>
        <w:t xml:space="preserve">, R. </w:t>
      </w:r>
      <w:proofErr w:type="spellStart"/>
      <w:r w:rsidRPr="004653D0">
        <w:rPr>
          <w:lang w:val="en-GB"/>
        </w:rPr>
        <w:t>Grindean</w:t>
      </w:r>
      <w:proofErr w:type="spellEnd"/>
      <w:r w:rsidRPr="004653D0">
        <w:rPr>
          <w:lang w:val="en-GB"/>
        </w:rPr>
        <w:t xml:space="preserve"> </w:t>
      </w:r>
      <w:r w:rsidRPr="004653D0">
        <w:rPr>
          <w:vertAlign w:val="superscript"/>
          <w:lang w:val="en-GB"/>
        </w:rPr>
        <w:t>56</w:t>
      </w:r>
      <w:r w:rsidRPr="004653D0">
        <w:rPr>
          <w:lang w:val="en-GB"/>
        </w:rPr>
        <w:t xml:space="preserve">, J. N. Haas </w:t>
      </w:r>
      <w:r w:rsidRPr="004653D0">
        <w:rPr>
          <w:vertAlign w:val="superscript"/>
          <w:lang w:val="en-GB"/>
        </w:rPr>
        <w:t>35</w:t>
      </w:r>
      <w:r w:rsidRPr="004653D0">
        <w:rPr>
          <w:lang w:val="en-GB"/>
        </w:rPr>
        <w:t xml:space="preserve">, G. Hannon </w:t>
      </w:r>
      <w:r w:rsidRPr="004653D0">
        <w:rPr>
          <w:vertAlign w:val="superscript"/>
          <w:lang w:val="en-GB"/>
        </w:rPr>
        <w:t>57</w:t>
      </w:r>
      <w:r w:rsidRPr="004653D0">
        <w:rPr>
          <w:lang w:val="en-GB"/>
        </w:rPr>
        <w:t xml:space="preserve">, A.-J. Heather </w:t>
      </w:r>
      <w:r w:rsidRPr="004653D0">
        <w:rPr>
          <w:vertAlign w:val="superscript"/>
          <w:lang w:val="en-GB"/>
        </w:rPr>
        <w:t>58</w:t>
      </w:r>
      <w:r w:rsidRPr="004653D0">
        <w:rPr>
          <w:lang w:val="en-GB"/>
        </w:rPr>
        <w:t xml:space="preserve">, M. Heikkila </w:t>
      </w:r>
      <w:r w:rsidRPr="004653D0">
        <w:rPr>
          <w:vertAlign w:val="superscript"/>
          <w:lang w:val="en-GB"/>
        </w:rPr>
        <w:t>59</w:t>
      </w:r>
      <w:r w:rsidRPr="004653D0">
        <w:rPr>
          <w:lang w:val="en-GB"/>
        </w:rPr>
        <w:t xml:space="preserve">, K. </w:t>
      </w:r>
      <w:proofErr w:type="spellStart"/>
      <w:r w:rsidRPr="004653D0">
        <w:rPr>
          <w:lang w:val="en-GB"/>
        </w:rPr>
        <w:t>Hjelle</w:t>
      </w:r>
      <w:proofErr w:type="spellEnd"/>
      <w:r w:rsidRPr="004653D0">
        <w:rPr>
          <w:lang w:val="en-GB"/>
        </w:rPr>
        <w:t xml:space="preserve"> </w:t>
      </w:r>
      <w:r w:rsidRPr="004653D0">
        <w:rPr>
          <w:vertAlign w:val="superscript"/>
          <w:lang w:val="en-GB"/>
        </w:rPr>
        <w:t>60</w:t>
      </w:r>
      <w:r w:rsidRPr="004653D0">
        <w:rPr>
          <w:lang w:val="en-GB"/>
        </w:rPr>
        <w:t xml:space="preserve">, S. Jahns </w:t>
      </w:r>
      <w:r w:rsidRPr="004653D0">
        <w:rPr>
          <w:vertAlign w:val="superscript"/>
          <w:lang w:val="en-GB"/>
        </w:rPr>
        <w:t>61</w:t>
      </w:r>
      <w:r w:rsidRPr="004653D0">
        <w:rPr>
          <w:lang w:val="en-GB"/>
        </w:rPr>
        <w:t xml:space="preserve">, N. </w:t>
      </w:r>
      <w:proofErr w:type="spellStart"/>
      <w:r w:rsidRPr="004653D0">
        <w:rPr>
          <w:lang w:val="en-GB"/>
        </w:rPr>
        <w:t>Jasiunas</w:t>
      </w:r>
      <w:proofErr w:type="spellEnd"/>
      <w:r w:rsidRPr="004653D0">
        <w:rPr>
          <w:lang w:val="en-GB"/>
        </w:rPr>
        <w:t xml:space="preserve"> </w:t>
      </w:r>
      <w:r w:rsidRPr="004653D0">
        <w:rPr>
          <w:vertAlign w:val="superscript"/>
          <w:lang w:val="en-GB"/>
        </w:rPr>
        <w:t>62</w:t>
      </w:r>
      <w:r w:rsidRPr="004653D0">
        <w:rPr>
          <w:lang w:val="en-GB"/>
        </w:rPr>
        <w:t xml:space="preserve">, G. Jiménez-Moreno </w:t>
      </w:r>
      <w:r w:rsidRPr="004653D0">
        <w:rPr>
          <w:vertAlign w:val="superscript"/>
          <w:lang w:val="en-GB"/>
        </w:rPr>
        <w:t>63</w:t>
      </w:r>
      <w:r w:rsidRPr="004653D0">
        <w:rPr>
          <w:lang w:val="en-GB"/>
        </w:rPr>
        <w:t xml:space="preserve">, I. </w:t>
      </w:r>
      <w:proofErr w:type="spellStart"/>
      <w:r w:rsidRPr="004653D0">
        <w:rPr>
          <w:lang w:val="en-GB"/>
        </w:rPr>
        <w:t>Jouffroy-Bapicot</w:t>
      </w:r>
      <w:proofErr w:type="spellEnd"/>
      <w:r w:rsidRPr="004653D0">
        <w:rPr>
          <w:lang w:val="en-GB"/>
        </w:rPr>
        <w:t xml:space="preserve"> </w:t>
      </w:r>
      <w:r w:rsidRPr="004653D0">
        <w:rPr>
          <w:vertAlign w:val="superscript"/>
          <w:lang w:val="en-GB"/>
        </w:rPr>
        <w:t>53</w:t>
      </w:r>
      <w:r w:rsidRPr="004653D0">
        <w:rPr>
          <w:lang w:val="en-GB"/>
        </w:rPr>
        <w:t xml:space="preserve">, M. </w:t>
      </w:r>
      <w:proofErr w:type="spellStart"/>
      <w:r w:rsidRPr="004653D0">
        <w:rPr>
          <w:lang w:val="en-GB"/>
        </w:rPr>
        <w:t>Kabailienė</w:t>
      </w:r>
      <w:proofErr w:type="spellEnd"/>
      <w:r w:rsidRPr="004653D0">
        <w:rPr>
          <w:lang w:val="en-GB"/>
        </w:rPr>
        <w:t xml:space="preserve"> </w:t>
      </w:r>
      <w:r w:rsidRPr="004653D0">
        <w:rPr>
          <w:vertAlign w:val="superscript"/>
          <w:lang w:val="en-GB"/>
        </w:rPr>
        <w:t>†64</w:t>
      </w:r>
      <w:r w:rsidRPr="004653D0">
        <w:rPr>
          <w:lang w:val="en-GB"/>
        </w:rPr>
        <w:t xml:space="preserve">, I. M. </w:t>
      </w:r>
      <w:proofErr w:type="spellStart"/>
      <w:r w:rsidRPr="004653D0">
        <w:rPr>
          <w:lang w:val="en-GB"/>
        </w:rPr>
        <w:t>Kamerling</w:t>
      </w:r>
      <w:proofErr w:type="spellEnd"/>
      <w:r w:rsidRPr="004653D0">
        <w:rPr>
          <w:lang w:val="en-GB"/>
        </w:rPr>
        <w:t xml:space="preserve"> </w:t>
      </w:r>
      <w:r w:rsidRPr="004653D0">
        <w:rPr>
          <w:vertAlign w:val="superscript"/>
          <w:lang w:val="en-GB"/>
        </w:rPr>
        <w:t>65</w:t>
      </w:r>
      <w:r w:rsidRPr="004653D0">
        <w:rPr>
          <w:lang w:val="en-GB"/>
        </w:rPr>
        <w:t xml:space="preserve">, M. </w:t>
      </w:r>
      <w:proofErr w:type="spellStart"/>
      <w:r w:rsidRPr="004653D0">
        <w:rPr>
          <w:lang w:val="en-GB"/>
        </w:rPr>
        <w:t>Kangur</w:t>
      </w:r>
      <w:proofErr w:type="spellEnd"/>
      <w:r w:rsidRPr="004653D0">
        <w:rPr>
          <w:lang w:val="en-GB"/>
        </w:rPr>
        <w:t xml:space="preserve"> </w:t>
      </w:r>
      <w:r w:rsidRPr="004653D0">
        <w:rPr>
          <w:vertAlign w:val="superscript"/>
          <w:lang w:val="en-GB"/>
        </w:rPr>
        <w:t>11</w:t>
      </w:r>
      <w:r w:rsidRPr="004653D0">
        <w:rPr>
          <w:lang w:val="en-GB"/>
        </w:rPr>
        <w:t xml:space="preserve">, M. </w:t>
      </w:r>
      <w:proofErr w:type="spellStart"/>
      <w:r w:rsidRPr="004653D0">
        <w:rPr>
          <w:lang w:val="en-GB"/>
        </w:rPr>
        <w:t>Karpińska-Kołaczek</w:t>
      </w:r>
      <w:proofErr w:type="spellEnd"/>
      <w:r w:rsidRPr="004653D0">
        <w:rPr>
          <w:lang w:val="en-GB"/>
        </w:rPr>
        <w:t xml:space="preserve"> </w:t>
      </w:r>
      <w:r w:rsidRPr="004653D0">
        <w:rPr>
          <w:vertAlign w:val="superscript"/>
          <w:lang w:val="en-GB"/>
        </w:rPr>
        <w:t>66</w:t>
      </w:r>
      <w:r w:rsidRPr="004653D0">
        <w:rPr>
          <w:lang w:val="en-GB"/>
        </w:rPr>
        <w:t xml:space="preserve">, A. </w:t>
      </w:r>
      <w:proofErr w:type="spellStart"/>
      <w:r w:rsidRPr="004653D0">
        <w:rPr>
          <w:lang w:val="en-GB"/>
        </w:rPr>
        <w:t>Kasianova</w:t>
      </w:r>
      <w:proofErr w:type="spellEnd"/>
      <w:r w:rsidRPr="004653D0">
        <w:rPr>
          <w:lang w:val="en-GB"/>
        </w:rPr>
        <w:t xml:space="preserve"> </w:t>
      </w:r>
      <w:r w:rsidRPr="004653D0">
        <w:rPr>
          <w:vertAlign w:val="superscript"/>
          <w:lang w:val="en-GB"/>
        </w:rPr>
        <w:t>19</w:t>
      </w:r>
      <w:r w:rsidRPr="004653D0">
        <w:rPr>
          <w:lang w:val="en-GB"/>
        </w:rPr>
        <w:t xml:space="preserve">, P. </w:t>
      </w:r>
      <w:proofErr w:type="spellStart"/>
      <w:r w:rsidRPr="004653D0">
        <w:rPr>
          <w:lang w:val="en-GB"/>
        </w:rPr>
        <w:t>Kołaczek</w:t>
      </w:r>
      <w:proofErr w:type="spellEnd"/>
      <w:r w:rsidRPr="004653D0">
        <w:rPr>
          <w:lang w:val="en-GB"/>
        </w:rPr>
        <w:t xml:space="preserve"> </w:t>
      </w:r>
      <w:r w:rsidRPr="004653D0">
        <w:rPr>
          <w:vertAlign w:val="superscript"/>
          <w:lang w:val="en-GB"/>
        </w:rPr>
        <w:t>29</w:t>
      </w:r>
      <w:r w:rsidRPr="004653D0">
        <w:rPr>
          <w:lang w:val="en-GB"/>
        </w:rPr>
        <w:t xml:space="preserve">, P. </w:t>
      </w:r>
      <w:proofErr w:type="spellStart"/>
      <w:r w:rsidRPr="004653D0">
        <w:rPr>
          <w:lang w:val="en-GB"/>
        </w:rPr>
        <w:t>Lagerås</w:t>
      </w:r>
      <w:proofErr w:type="spellEnd"/>
      <w:r w:rsidRPr="004653D0">
        <w:rPr>
          <w:lang w:val="en-GB"/>
        </w:rPr>
        <w:t xml:space="preserve"> </w:t>
      </w:r>
      <w:r w:rsidRPr="004653D0">
        <w:rPr>
          <w:vertAlign w:val="superscript"/>
          <w:lang w:val="en-GB"/>
        </w:rPr>
        <w:t>20</w:t>
      </w:r>
      <w:r w:rsidRPr="004653D0">
        <w:rPr>
          <w:lang w:val="en-GB"/>
        </w:rPr>
        <w:t xml:space="preserve">, M. </w:t>
      </w:r>
      <w:proofErr w:type="spellStart"/>
      <w:r w:rsidRPr="004653D0">
        <w:rPr>
          <w:lang w:val="en-GB"/>
        </w:rPr>
        <w:t>Latalowa</w:t>
      </w:r>
      <w:proofErr w:type="spellEnd"/>
      <w:r w:rsidRPr="004653D0">
        <w:rPr>
          <w:lang w:val="en-GB"/>
        </w:rPr>
        <w:t xml:space="preserve"> </w:t>
      </w:r>
      <w:r w:rsidRPr="004653D0">
        <w:rPr>
          <w:vertAlign w:val="superscript"/>
          <w:lang w:val="en-GB"/>
        </w:rPr>
        <w:t>66</w:t>
      </w:r>
      <w:r w:rsidRPr="004653D0">
        <w:rPr>
          <w:lang w:val="en-GB"/>
        </w:rPr>
        <w:t xml:space="preserve">, J. </w:t>
      </w:r>
      <w:proofErr w:type="spellStart"/>
      <w:r w:rsidRPr="004653D0">
        <w:rPr>
          <w:lang w:val="en-GB"/>
        </w:rPr>
        <w:t>Lechterbeck</w:t>
      </w:r>
      <w:proofErr w:type="spellEnd"/>
      <w:r w:rsidRPr="004653D0">
        <w:rPr>
          <w:lang w:val="en-GB"/>
        </w:rPr>
        <w:t xml:space="preserve"> </w:t>
      </w:r>
      <w:r w:rsidRPr="004653D0">
        <w:rPr>
          <w:vertAlign w:val="superscript"/>
          <w:lang w:val="en-GB"/>
        </w:rPr>
        <w:t>49</w:t>
      </w:r>
      <w:r w:rsidRPr="004653D0">
        <w:rPr>
          <w:lang w:val="en-GB"/>
        </w:rPr>
        <w:t xml:space="preserve">, C. </w:t>
      </w:r>
      <w:proofErr w:type="spellStart"/>
      <w:r w:rsidRPr="004653D0">
        <w:rPr>
          <w:lang w:val="en-GB"/>
        </w:rPr>
        <w:t>Leroyer</w:t>
      </w:r>
      <w:proofErr w:type="spellEnd"/>
      <w:r w:rsidRPr="004653D0">
        <w:rPr>
          <w:lang w:val="en-GB"/>
        </w:rPr>
        <w:t xml:space="preserve"> </w:t>
      </w:r>
      <w:r w:rsidRPr="004653D0">
        <w:rPr>
          <w:vertAlign w:val="superscript"/>
          <w:lang w:val="en-GB"/>
        </w:rPr>
        <w:t>31</w:t>
      </w:r>
      <w:r w:rsidRPr="004653D0">
        <w:rPr>
          <w:lang w:val="en-GB"/>
        </w:rPr>
        <w:t xml:space="preserve">, M. Leydet </w:t>
      </w:r>
      <w:r w:rsidRPr="004653D0">
        <w:rPr>
          <w:vertAlign w:val="superscript"/>
          <w:lang w:val="en-GB"/>
        </w:rPr>
        <w:t>67</w:t>
      </w:r>
      <w:r w:rsidRPr="004653D0">
        <w:rPr>
          <w:lang w:val="en-GB"/>
        </w:rPr>
        <w:t xml:space="preserve">, M. </w:t>
      </w:r>
      <w:proofErr w:type="spellStart"/>
      <w:r w:rsidRPr="004653D0">
        <w:rPr>
          <w:lang w:val="en-GB"/>
        </w:rPr>
        <w:t>Lindbladh</w:t>
      </w:r>
      <w:proofErr w:type="spellEnd"/>
      <w:r w:rsidRPr="004653D0">
        <w:rPr>
          <w:lang w:val="en-GB"/>
        </w:rPr>
        <w:t xml:space="preserve"> </w:t>
      </w:r>
      <w:r w:rsidRPr="004653D0">
        <w:rPr>
          <w:vertAlign w:val="superscript"/>
          <w:lang w:val="en-GB"/>
        </w:rPr>
        <w:t>68</w:t>
      </w:r>
      <w:r w:rsidRPr="004653D0">
        <w:rPr>
          <w:lang w:val="en-GB"/>
        </w:rPr>
        <w:t xml:space="preserve">, O. </w:t>
      </w:r>
      <w:proofErr w:type="spellStart"/>
      <w:r w:rsidRPr="004653D0">
        <w:rPr>
          <w:lang w:val="en-GB"/>
        </w:rPr>
        <w:t>Lisitsyna</w:t>
      </w:r>
      <w:proofErr w:type="spellEnd"/>
      <w:r w:rsidRPr="004653D0">
        <w:rPr>
          <w:lang w:val="en-GB"/>
        </w:rPr>
        <w:t xml:space="preserve"> </w:t>
      </w:r>
      <w:r w:rsidRPr="004653D0">
        <w:rPr>
          <w:vertAlign w:val="superscript"/>
          <w:lang w:val="en-GB"/>
        </w:rPr>
        <w:t>10</w:t>
      </w:r>
      <w:r w:rsidRPr="004653D0">
        <w:rPr>
          <w:lang w:val="en-GB"/>
        </w:rPr>
        <w:t>, J.-A. López-</w:t>
      </w:r>
      <w:proofErr w:type="spellStart"/>
      <w:r w:rsidRPr="004653D0">
        <w:rPr>
          <w:lang w:val="en-GB"/>
        </w:rPr>
        <w:t>Sáez</w:t>
      </w:r>
      <w:proofErr w:type="spellEnd"/>
      <w:r w:rsidRPr="004653D0">
        <w:rPr>
          <w:lang w:val="en-GB"/>
        </w:rPr>
        <w:t xml:space="preserve"> </w:t>
      </w:r>
      <w:r w:rsidRPr="004653D0">
        <w:rPr>
          <w:vertAlign w:val="superscript"/>
          <w:lang w:val="en-GB"/>
        </w:rPr>
        <w:t>69</w:t>
      </w:r>
      <w:r w:rsidRPr="004653D0">
        <w:rPr>
          <w:lang w:val="en-GB"/>
        </w:rPr>
        <w:t xml:space="preserve">, John Lowe </w:t>
      </w:r>
      <w:r w:rsidRPr="004653D0">
        <w:rPr>
          <w:vertAlign w:val="superscript"/>
          <w:lang w:val="en-GB"/>
        </w:rPr>
        <w:t>70</w:t>
      </w:r>
      <w:r w:rsidRPr="004653D0">
        <w:rPr>
          <w:lang w:val="en-GB"/>
        </w:rPr>
        <w:t xml:space="preserve">, R. </w:t>
      </w:r>
      <w:proofErr w:type="spellStart"/>
      <w:r w:rsidRPr="004653D0">
        <w:rPr>
          <w:lang w:val="en-GB"/>
        </w:rPr>
        <w:t>Luelmo-Lautenschlaeger</w:t>
      </w:r>
      <w:proofErr w:type="spellEnd"/>
      <w:r w:rsidRPr="004653D0">
        <w:rPr>
          <w:lang w:val="en-GB"/>
        </w:rPr>
        <w:t xml:space="preserve"> </w:t>
      </w:r>
      <w:r w:rsidRPr="004653D0">
        <w:rPr>
          <w:vertAlign w:val="superscript"/>
          <w:lang w:val="en-GB"/>
        </w:rPr>
        <w:t>40</w:t>
      </w:r>
      <w:r w:rsidRPr="004653D0">
        <w:rPr>
          <w:lang w:val="en-GB"/>
        </w:rPr>
        <w:t xml:space="preserve">, E. </w:t>
      </w:r>
      <w:proofErr w:type="spellStart"/>
      <w:r w:rsidRPr="004653D0">
        <w:rPr>
          <w:lang w:val="en-GB"/>
        </w:rPr>
        <w:t>Lukanina</w:t>
      </w:r>
      <w:proofErr w:type="spellEnd"/>
      <w:r w:rsidRPr="004653D0">
        <w:rPr>
          <w:lang w:val="en-GB"/>
        </w:rPr>
        <w:t xml:space="preserve"> </w:t>
      </w:r>
      <w:r w:rsidRPr="004653D0">
        <w:rPr>
          <w:vertAlign w:val="superscript"/>
          <w:lang w:val="en-GB"/>
        </w:rPr>
        <w:t>19</w:t>
      </w:r>
      <w:r w:rsidRPr="004653D0">
        <w:rPr>
          <w:lang w:val="en-GB"/>
        </w:rPr>
        <w:t xml:space="preserve">, L. </w:t>
      </w:r>
      <w:proofErr w:type="spellStart"/>
      <w:r w:rsidRPr="004653D0">
        <w:rPr>
          <w:lang w:val="en-GB"/>
        </w:rPr>
        <w:t>Macijauskaitė</w:t>
      </w:r>
      <w:proofErr w:type="spellEnd"/>
      <w:r w:rsidRPr="004653D0">
        <w:rPr>
          <w:lang w:val="en-GB"/>
        </w:rPr>
        <w:t xml:space="preserve"> </w:t>
      </w:r>
      <w:r w:rsidRPr="004653D0">
        <w:rPr>
          <w:vertAlign w:val="superscript"/>
          <w:lang w:val="en-GB"/>
        </w:rPr>
        <w:t>64</w:t>
      </w:r>
      <w:r w:rsidRPr="004653D0">
        <w:rPr>
          <w:lang w:val="en-GB"/>
        </w:rPr>
        <w:t xml:space="preserve">, D. </w:t>
      </w:r>
      <w:proofErr w:type="spellStart"/>
      <w:r w:rsidRPr="004653D0">
        <w:rPr>
          <w:lang w:val="en-GB"/>
        </w:rPr>
        <w:t>Magri</w:t>
      </w:r>
      <w:proofErr w:type="spellEnd"/>
      <w:r w:rsidRPr="004653D0">
        <w:rPr>
          <w:lang w:val="en-GB"/>
        </w:rPr>
        <w:t xml:space="preserve"> </w:t>
      </w:r>
      <w:r w:rsidRPr="004653D0">
        <w:rPr>
          <w:vertAlign w:val="superscript"/>
          <w:lang w:val="en-GB"/>
        </w:rPr>
        <w:t>34</w:t>
      </w:r>
      <w:r w:rsidRPr="004653D0">
        <w:rPr>
          <w:lang w:val="en-GB"/>
        </w:rPr>
        <w:t xml:space="preserve">, D. </w:t>
      </w:r>
      <w:proofErr w:type="spellStart"/>
      <w:r w:rsidRPr="004653D0">
        <w:rPr>
          <w:lang w:val="en-GB"/>
        </w:rPr>
        <w:t>Marguerie</w:t>
      </w:r>
      <w:proofErr w:type="spellEnd"/>
      <w:r w:rsidRPr="004653D0">
        <w:rPr>
          <w:lang w:val="en-GB"/>
        </w:rPr>
        <w:t xml:space="preserve"> </w:t>
      </w:r>
      <w:r w:rsidRPr="004653D0">
        <w:rPr>
          <w:vertAlign w:val="superscript"/>
          <w:lang w:val="en-GB"/>
        </w:rPr>
        <w:t>71</w:t>
      </w:r>
      <w:r w:rsidRPr="004653D0">
        <w:rPr>
          <w:lang w:val="en-GB"/>
        </w:rPr>
        <w:t xml:space="preserve">, L. </w:t>
      </w:r>
      <w:proofErr w:type="spellStart"/>
      <w:r w:rsidRPr="004653D0">
        <w:rPr>
          <w:lang w:val="en-GB"/>
        </w:rPr>
        <w:t>Marquer</w:t>
      </w:r>
      <w:proofErr w:type="spellEnd"/>
      <w:r w:rsidRPr="004653D0">
        <w:rPr>
          <w:lang w:val="en-GB"/>
        </w:rPr>
        <w:t xml:space="preserve"> </w:t>
      </w:r>
      <w:r w:rsidRPr="004653D0">
        <w:rPr>
          <w:vertAlign w:val="superscript"/>
          <w:lang w:val="en-GB"/>
        </w:rPr>
        <w:t>35,72</w:t>
      </w:r>
      <w:r w:rsidRPr="004653D0">
        <w:rPr>
          <w:lang w:val="en-GB"/>
        </w:rPr>
        <w:t>, A. Martinez-</w:t>
      </w:r>
      <w:proofErr w:type="spellStart"/>
      <w:r w:rsidRPr="004653D0">
        <w:rPr>
          <w:lang w:val="en-GB"/>
        </w:rPr>
        <w:t>Cortizas</w:t>
      </w:r>
      <w:proofErr w:type="spellEnd"/>
      <w:r w:rsidRPr="004653D0">
        <w:rPr>
          <w:lang w:val="en-GB"/>
        </w:rPr>
        <w:t xml:space="preserve"> </w:t>
      </w:r>
      <w:r w:rsidRPr="004653D0">
        <w:rPr>
          <w:vertAlign w:val="superscript"/>
          <w:lang w:val="en-GB"/>
        </w:rPr>
        <w:t>73</w:t>
      </w:r>
      <w:r w:rsidRPr="004653D0">
        <w:rPr>
          <w:lang w:val="en-GB"/>
        </w:rPr>
        <w:t xml:space="preserve">, I. </w:t>
      </w:r>
      <w:proofErr w:type="spellStart"/>
      <w:r w:rsidRPr="004653D0">
        <w:rPr>
          <w:lang w:val="en-GB"/>
        </w:rPr>
        <w:t>Mehl</w:t>
      </w:r>
      <w:proofErr w:type="spellEnd"/>
      <w:r w:rsidRPr="004653D0">
        <w:rPr>
          <w:lang w:val="en-GB"/>
        </w:rPr>
        <w:t xml:space="preserve"> </w:t>
      </w:r>
      <w:r w:rsidRPr="004653D0">
        <w:rPr>
          <w:vertAlign w:val="superscript"/>
          <w:lang w:val="en-GB"/>
        </w:rPr>
        <w:t>60</w:t>
      </w:r>
      <w:r w:rsidRPr="004653D0">
        <w:rPr>
          <w:lang w:val="en-GB"/>
        </w:rPr>
        <w:t xml:space="preserve">, J. M. Mesa-Fernández </w:t>
      </w:r>
      <w:r w:rsidRPr="004653D0">
        <w:rPr>
          <w:vertAlign w:val="superscript"/>
          <w:lang w:val="en-GB"/>
        </w:rPr>
        <w:t>63</w:t>
      </w:r>
      <w:r w:rsidRPr="004653D0">
        <w:rPr>
          <w:lang w:val="en-GB"/>
        </w:rPr>
        <w:t xml:space="preserve">, T. </w:t>
      </w:r>
      <w:proofErr w:type="spellStart"/>
      <w:r w:rsidRPr="004653D0">
        <w:rPr>
          <w:lang w:val="en-GB"/>
        </w:rPr>
        <w:t>Mighall</w:t>
      </w:r>
      <w:proofErr w:type="spellEnd"/>
      <w:r w:rsidRPr="004653D0">
        <w:rPr>
          <w:lang w:val="en-GB"/>
        </w:rPr>
        <w:t xml:space="preserve"> </w:t>
      </w:r>
      <w:r w:rsidRPr="004653D0">
        <w:rPr>
          <w:vertAlign w:val="superscript"/>
          <w:lang w:val="en-GB"/>
        </w:rPr>
        <w:t>38</w:t>
      </w:r>
      <w:r w:rsidRPr="004653D0">
        <w:rPr>
          <w:lang w:val="en-GB"/>
        </w:rPr>
        <w:t xml:space="preserve">, A. </w:t>
      </w:r>
      <w:proofErr w:type="spellStart"/>
      <w:r w:rsidRPr="004653D0">
        <w:rPr>
          <w:lang w:val="en-GB"/>
        </w:rPr>
        <w:t>Miola</w:t>
      </w:r>
      <w:proofErr w:type="spellEnd"/>
      <w:r w:rsidRPr="004653D0">
        <w:rPr>
          <w:lang w:val="en-GB"/>
        </w:rPr>
        <w:t xml:space="preserve"> </w:t>
      </w:r>
      <w:r w:rsidRPr="004653D0">
        <w:rPr>
          <w:vertAlign w:val="superscript"/>
          <w:lang w:val="en-GB"/>
        </w:rPr>
        <w:t>74</w:t>
      </w:r>
      <w:r w:rsidRPr="004653D0">
        <w:rPr>
          <w:lang w:val="en-GB"/>
        </w:rPr>
        <w:t xml:space="preserve">, Y. </w:t>
      </w:r>
      <w:proofErr w:type="spellStart"/>
      <w:r w:rsidRPr="004653D0">
        <w:rPr>
          <w:lang w:val="en-GB"/>
        </w:rPr>
        <w:t>Miras</w:t>
      </w:r>
      <w:proofErr w:type="spellEnd"/>
      <w:r w:rsidRPr="004653D0">
        <w:rPr>
          <w:lang w:val="en-GB"/>
        </w:rPr>
        <w:t xml:space="preserve"> </w:t>
      </w:r>
      <w:r w:rsidRPr="004653D0">
        <w:rPr>
          <w:vertAlign w:val="superscript"/>
          <w:lang w:val="en-GB"/>
        </w:rPr>
        <w:t>75</w:t>
      </w:r>
      <w:r w:rsidRPr="004653D0">
        <w:rPr>
          <w:lang w:val="en-GB"/>
        </w:rPr>
        <w:t xml:space="preserve">, C. Morales </w:t>
      </w:r>
      <w:r w:rsidRPr="004653D0">
        <w:rPr>
          <w:vertAlign w:val="superscript"/>
          <w:lang w:val="en-GB"/>
        </w:rPr>
        <w:t>14</w:t>
      </w:r>
      <w:r w:rsidRPr="004653D0">
        <w:rPr>
          <w:lang w:val="en-GB"/>
        </w:rPr>
        <w:t xml:space="preserve">, A. </w:t>
      </w:r>
      <w:proofErr w:type="spellStart"/>
      <w:r w:rsidRPr="004653D0">
        <w:rPr>
          <w:lang w:val="en-GB"/>
        </w:rPr>
        <w:t>Mrotzek</w:t>
      </w:r>
      <w:proofErr w:type="spellEnd"/>
      <w:r w:rsidRPr="004653D0">
        <w:rPr>
          <w:lang w:val="en-GB"/>
        </w:rPr>
        <w:t xml:space="preserve"> </w:t>
      </w:r>
      <w:r w:rsidRPr="004653D0">
        <w:rPr>
          <w:vertAlign w:val="superscript"/>
          <w:lang w:val="en-GB"/>
        </w:rPr>
        <w:t>76</w:t>
      </w:r>
      <w:r w:rsidRPr="004653D0">
        <w:rPr>
          <w:lang w:val="en-GB"/>
        </w:rPr>
        <w:t xml:space="preserve">, C. Muñoz </w:t>
      </w:r>
      <w:proofErr w:type="spellStart"/>
      <w:r w:rsidRPr="004653D0">
        <w:rPr>
          <w:lang w:val="en-GB"/>
        </w:rPr>
        <w:t>Sobrino</w:t>
      </w:r>
      <w:proofErr w:type="spellEnd"/>
      <w:r w:rsidRPr="004653D0">
        <w:rPr>
          <w:lang w:val="en-GB"/>
        </w:rPr>
        <w:t xml:space="preserve"> </w:t>
      </w:r>
      <w:r w:rsidRPr="004653D0">
        <w:rPr>
          <w:vertAlign w:val="superscript"/>
          <w:lang w:val="en-GB"/>
        </w:rPr>
        <w:t>52</w:t>
      </w:r>
      <w:r w:rsidRPr="004653D0">
        <w:rPr>
          <w:lang w:val="en-GB"/>
        </w:rPr>
        <w:t xml:space="preserve">, B. </w:t>
      </w:r>
      <w:proofErr w:type="spellStart"/>
      <w:r w:rsidRPr="004653D0">
        <w:rPr>
          <w:lang w:val="en-GB"/>
        </w:rPr>
        <w:t>Odgaard</w:t>
      </w:r>
      <w:proofErr w:type="spellEnd"/>
      <w:r w:rsidRPr="004653D0">
        <w:rPr>
          <w:lang w:val="en-GB"/>
        </w:rPr>
        <w:t xml:space="preserve"> </w:t>
      </w:r>
      <w:r w:rsidRPr="004653D0">
        <w:rPr>
          <w:vertAlign w:val="superscript"/>
          <w:lang w:val="en-GB"/>
        </w:rPr>
        <w:t>77</w:t>
      </w:r>
      <w:r w:rsidRPr="004653D0">
        <w:rPr>
          <w:lang w:val="en-GB"/>
        </w:rPr>
        <w:t xml:space="preserve">, I. </w:t>
      </w:r>
      <w:proofErr w:type="spellStart"/>
      <w:r w:rsidRPr="004653D0">
        <w:rPr>
          <w:lang w:val="en-GB"/>
        </w:rPr>
        <w:t>Ozola</w:t>
      </w:r>
      <w:proofErr w:type="spellEnd"/>
      <w:r w:rsidRPr="004653D0">
        <w:rPr>
          <w:lang w:val="en-GB"/>
        </w:rPr>
        <w:t xml:space="preserve"> </w:t>
      </w:r>
      <w:r w:rsidRPr="004653D0">
        <w:rPr>
          <w:vertAlign w:val="superscript"/>
          <w:lang w:val="en-GB"/>
        </w:rPr>
        <w:t>62</w:t>
      </w:r>
      <w:r w:rsidRPr="004653D0">
        <w:rPr>
          <w:lang w:val="en-GB"/>
        </w:rPr>
        <w:t xml:space="preserve">, S. Pérez-Díaz </w:t>
      </w:r>
      <w:r w:rsidRPr="004653D0">
        <w:rPr>
          <w:vertAlign w:val="superscript"/>
          <w:lang w:val="en-GB"/>
        </w:rPr>
        <w:t>78</w:t>
      </w:r>
      <w:r w:rsidRPr="004653D0">
        <w:rPr>
          <w:lang w:val="en-GB"/>
        </w:rPr>
        <w:t>, R. P. Pérez-</w:t>
      </w:r>
      <w:proofErr w:type="spellStart"/>
      <w:r w:rsidRPr="004653D0">
        <w:rPr>
          <w:lang w:val="en-GB"/>
        </w:rPr>
        <w:t>Obiol</w:t>
      </w:r>
      <w:proofErr w:type="spellEnd"/>
      <w:r w:rsidRPr="004653D0">
        <w:rPr>
          <w:lang w:val="en-GB"/>
        </w:rPr>
        <w:t xml:space="preserve"> </w:t>
      </w:r>
      <w:r w:rsidRPr="004653D0">
        <w:rPr>
          <w:vertAlign w:val="superscript"/>
          <w:lang w:val="en-GB"/>
        </w:rPr>
        <w:t>79</w:t>
      </w:r>
      <w:r w:rsidRPr="004653D0">
        <w:rPr>
          <w:lang w:val="en-GB"/>
        </w:rPr>
        <w:t xml:space="preserve">, C. Poggi </w:t>
      </w:r>
      <w:r w:rsidRPr="004653D0">
        <w:rPr>
          <w:vertAlign w:val="superscript"/>
          <w:lang w:val="en-GB"/>
        </w:rPr>
        <w:t>74</w:t>
      </w:r>
      <w:r w:rsidRPr="004653D0">
        <w:rPr>
          <w:lang w:val="en-GB"/>
        </w:rPr>
        <w:t xml:space="preserve">, P. </w:t>
      </w:r>
      <w:proofErr w:type="spellStart"/>
      <w:r w:rsidRPr="004653D0">
        <w:rPr>
          <w:lang w:val="en-GB"/>
        </w:rPr>
        <w:t>Ramil</w:t>
      </w:r>
      <w:proofErr w:type="spellEnd"/>
      <w:r w:rsidRPr="004653D0">
        <w:rPr>
          <w:lang w:val="en-GB"/>
        </w:rPr>
        <w:t xml:space="preserve"> Rego </w:t>
      </w:r>
      <w:r w:rsidRPr="004653D0">
        <w:rPr>
          <w:vertAlign w:val="superscript"/>
          <w:lang w:val="en-GB"/>
        </w:rPr>
        <w:t>80</w:t>
      </w:r>
      <w:r w:rsidRPr="004653D0">
        <w:rPr>
          <w:lang w:val="en-GB"/>
        </w:rPr>
        <w:t xml:space="preserve">, M. J. Ramos-Román </w:t>
      </w:r>
      <w:r w:rsidRPr="004653D0">
        <w:rPr>
          <w:vertAlign w:val="superscript"/>
          <w:lang w:val="en-GB"/>
        </w:rPr>
        <w:t>81</w:t>
      </w:r>
      <w:r w:rsidRPr="004653D0">
        <w:rPr>
          <w:lang w:val="en-GB"/>
        </w:rPr>
        <w:t xml:space="preserve">, P. Rasmussen </w:t>
      </w:r>
      <w:r w:rsidRPr="004653D0">
        <w:rPr>
          <w:vertAlign w:val="superscript"/>
          <w:lang w:val="en-GB"/>
        </w:rPr>
        <w:t>82</w:t>
      </w:r>
      <w:r w:rsidRPr="004653D0">
        <w:rPr>
          <w:lang w:val="en-GB"/>
        </w:rPr>
        <w:t xml:space="preserve">, M. </w:t>
      </w:r>
      <w:proofErr w:type="spellStart"/>
      <w:r w:rsidRPr="004653D0">
        <w:rPr>
          <w:lang w:val="en-GB"/>
        </w:rPr>
        <w:t>Reille</w:t>
      </w:r>
      <w:proofErr w:type="spellEnd"/>
      <w:r w:rsidRPr="004653D0">
        <w:rPr>
          <w:lang w:val="en-GB"/>
        </w:rPr>
        <w:t xml:space="preserve"> </w:t>
      </w:r>
      <w:r w:rsidRPr="004653D0">
        <w:rPr>
          <w:vertAlign w:val="superscript"/>
          <w:lang w:val="en-GB"/>
        </w:rPr>
        <w:t>83</w:t>
      </w:r>
      <w:r w:rsidRPr="004653D0">
        <w:rPr>
          <w:lang w:val="en-GB"/>
        </w:rPr>
        <w:t xml:space="preserve">, M. </w:t>
      </w:r>
      <w:proofErr w:type="spellStart"/>
      <w:r w:rsidRPr="004653D0">
        <w:rPr>
          <w:lang w:val="en-GB"/>
        </w:rPr>
        <w:t>Rösch</w:t>
      </w:r>
      <w:proofErr w:type="spellEnd"/>
      <w:r w:rsidRPr="004653D0">
        <w:rPr>
          <w:lang w:val="en-GB"/>
        </w:rPr>
        <w:t xml:space="preserve"> </w:t>
      </w:r>
      <w:r w:rsidRPr="004653D0">
        <w:rPr>
          <w:vertAlign w:val="superscript"/>
          <w:lang w:val="en-GB"/>
        </w:rPr>
        <w:t>84</w:t>
      </w:r>
      <w:r w:rsidRPr="004653D0">
        <w:rPr>
          <w:lang w:val="en-GB"/>
        </w:rPr>
        <w:t xml:space="preserve">, P. </w:t>
      </w:r>
      <w:proofErr w:type="spellStart"/>
      <w:r w:rsidRPr="004653D0">
        <w:rPr>
          <w:lang w:val="en-GB"/>
        </w:rPr>
        <w:t>Ruffaldi</w:t>
      </w:r>
      <w:proofErr w:type="spellEnd"/>
      <w:r w:rsidRPr="004653D0">
        <w:rPr>
          <w:lang w:val="en-GB"/>
        </w:rPr>
        <w:t xml:space="preserve"> </w:t>
      </w:r>
      <w:r w:rsidRPr="004653D0">
        <w:rPr>
          <w:vertAlign w:val="superscript"/>
          <w:lang w:val="en-GB"/>
        </w:rPr>
        <w:t>53</w:t>
      </w:r>
      <w:r w:rsidRPr="004653D0">
        <w:rPr>
          <w:lang w:val="en-GB"/>
        </w:rPr>
        <w:t xml:space="preserve">, M. Sanchez </w:t>
      </w:r>
      <w:proofErr w:type="spellStart"/>
      <w:r w:rsidRPr="004653D0">
        <w:rPr>
          <w:lang w:val="en-GB"/>
        </w:rPr>
        <w:t>Goni</w:t>
      </w:r>
      <w:proofErr w:type="spellEnd"/>
      <w:r w:rsidRPr="004653D0">
        <w:rPr>
          <w:lang w:val="en-GB"/>
        </w:rPr>
        <w:t xml:space="preserve"> </w:t>
      </w:r>
      <w:r w:rsidRPr="004653D0">
        <w:rPr>
          <w:vertAlign w:val="superscript"/>
          <w:lang w:val="en-GB"/>
        </w:rPr>
        <w:t>85</w:t>
      </w:r>
      <w:r w:rsidRPr="004653D0">
        <w:rPr>
          <w:lang w:val="en-GB"/>
        </w:rPr>
        <w:t xml:space="preserve">, N. </w:t>
      </w:r>
      <w:proofErr w:type="spellStart"/>
      <w:r w:rsidRPr="004653D0">
        <w:rPr>
          <w:lang w:val="en-GB"/>
        </w:rPr>
        <w:t>Savukynienė</w:t>
      </w:r>
      <w:proofErr w:type="spellEnd"/>
      <w:r w:rsidRPr="004653D0">
        <w:rPr>
          <w:lang w:val="en-GB"/>
        </w:rPr>
        <w:t xml:space="preserve"> </w:t>
      </w:r>
      <w:r w:rsidRPr="004653D0">
        <w:rPr>
          <w:vertAlign w:val="superscript"/>
          <w:lang w:val="en-GB"/>
        </w:rPr>
        <w:t>86</w:t>
      </w:r>
      <w:r w:rsidRPr="004653D0">
        <w:rPr>
          <w:lang w:val="en-GB"/>
        </w:rPr>
        <w:t xml:space="preserve">, T. </w:t>
      </w:r>
      <w:proofErr w:type="spellStart"/>
      <w:r w:rsidRPr="004653D0">
        <w:rPr>
          <w:lang w:val="en-GB"/>
        </w:rPr>
        <w:t>Schröder</w:t>
      </w:r>
      <w:proofErr w:type="spellEnd"/>
      <w:r w:rsidRPr="004653D0">
        <w:rPr>
          <w:lang w:val="en-GB"/>
        </w:rPr>
        <w:t xml:space="preserve"> </w:t>
      </w:r>
      <w:r w:rsidRPr="004653D0">
        <w:rPr>
          <w:vertAlign w:val="superscript"/>
          <w:lang w:val="en-GB"/>
        </w:rPr>
        <w:t>87</w:t>
      </w:r>
      <w:r w:rsidRPr="004653D0">
        <w:rPr>
          <w:lang w:val="en-GB"/>
        </w:rPr>
        <w:t xml:space="preserve">, M. </w:t>
      </w:r>
      <w:proofErr w:type="spellStart"/>
      <w:r w:rsidRPr="004653D0">
        <w:rPr>
          <w:lang w:val="en-GB"/>
        </w:rPr>
        <w:t>Schult</w:t>
      </w:r>
      <w:proofErr w:type="spellEnd"/>
      <w:r w:rsidRPr="004653D0">
        <w:rPr>
          <w:lang w:val="en-GB"/>
        </w:rPr>
        <w:t xml:space="preserve"> </w:t>
      </w:r>
      <w:r w:rsidRPr="004653D0">
        <w:rPr>
          <w:vertAlign w:val="superscript"/>
          <w:lang w:val="en-GB"/>
        </w:rPr>
        <w:t>76</w:t>
      </w:r>
      <w:r w:rsidRPr="004653D0">
        <w:rPr>
          <w:lang w:val="en-GB"/>
        </w:rPr>
        <w:t xml:space="preserve">, U. </w:t>
      </w:r>
      <w:proofErr w:type="spellStart"/>
      <w:r w:rsidRPr="004653D0">
        <w:rPr>
          <w:lang w:val="en-GB"/>
        </w:rPr>
        <w:t>Segerström</w:t>
      </w:r>
      <w:proofErr w:type="spellEnd"/>
      <w:r w:rsidRPr="004653D0">
        <w:rPr>
          <w:lang w:val="en-GB"/>
        </w:rPr>
        <w:t xml:space="preserve"> </w:t>
      </w:r>
      <w:r w:rsidRPr="004653D0">
        <w:rPr>
          <w:vertAlign w:val="superscript"/>
          <w:lang w:val="en-GB"/>
        </w:rPr>
        <w:t>88</w:t>
      </w:r>
      <w:r w:rsidRPr="004653D0">
        <w:rPr>
          <w:lang w:val="en-GB"/>
        </w:rPr>
        <w:t xml:space="preserve">, H. </w:t>
      </w:r>
      <w:proofErr w:type="spellStart"/>
      <w:r w:rsidRPr="004653D0">
        <w:rPr>
          <w:lang w:val="en-GB"/>
        </w:rPr>
        <w:t>Seppä</w:t>
      </w:r>
      <w:proofErr w:type="spellEnd"/>
      <w:r w:rsidRPr="004653D0">
        <w:rPr>
          <w:lang w:val="en-GB"/>
        </w:rPr>
        <w:t xml:space="preserve"> </w:t>
      </w:r>
      <w:r w:rsidRPr="004653D0">
        <w:rPr>
          <w:vertAlign w:val="superscript"/>
          <w:lang w:val="en-GB"/>
        </w:rPr>
        <w:t>81</w:t>
      </w:r>
      <w:r w:rsidRPr="004653D0">
        <w:rPr>
          <w:lang w:val="en-GB"/>
        </w:rPr>
        <w:t xml:space="preserve">, G. </w:t>
      </w:r>
      <w:proofErr w:type="spellStart"/>
      <w:r w:rsidRPr="004653D0">
        <w:rPr>
          <w:lang w:val="en-GB"/>
        </w:rPr>
        <w:t>Servera</w:t>
      </w:r>
      <w:proofErr w:type="spellEnd"/>
      <w:r w:rsidRPr="004653D0">
        <w:rPr>
          <w:lang w:val="en-GB"/>
        </w:rPr>
        <w:t xml:space="preserve"> Vives </w:t>
      </w:r>
      <w:r w:rsidRPr="004653D0">
        <w:rPr>
          <w:vertAlign w:val="superscript"/>
          <w:lang w:val="en-GB"/>
        </w:rPr>
        <w:t>89</w:t>
      </w:r>
      <w:r w:rsidRPr="004653D0">
        <w:rPr>
          <w:lang w:val="en-GB"/>
        </w:rPr>
        <w:t xml:space="preserve">, L. </w:t>
      </w:r>
      <w:proofErr w:type="spellStart"/>
      <w:r w:rsidRPr="004653D0">
        <w:rPr>
          <w:lang w:val="en-GB"/>
        </w:rPr>
        <w:t>Shumilovskikh</w:t>
      </w:r>
      <w:proofErr w:type="spellEnd"/>
      <w:r w:rsidRPr="004653D0">
        <w:rPr>
          <w:lang w:val="en-GB"/>
        </w:rPr>
        <w:t xml:space="preserve"> </w:t>
      </w:r>
      <w:r w:rsidRPr="004653D0">
        <w:rPr>
          <w:vertAlign w:val="superscript"/>
          <w:lang w:val="en-GB"/>
        </w:rPr>
        <w:t>19</w:t>
      </w:r>
      <w:r w:rsidRPr="004653D0">
        <w:rPr>
          <w:lang w:val="en-GB"/>
        </w:rPr>
        <w:t xml:space="preserve">, H. W. </w:t>
      </w:r>
      <w:proofErr w:type="spellStart"/>
      <w:r w:rsidRPr="004653D0">
        <w:rPr>
          <w:lang w:val="en-GB"/>
        </w:rPr>
        <w:t>Smettan</w:t>
      </w:r>
      <w:proofErr w:type="spellEnd"/>
      <w:r w:rsidRPr="004653D0">
        <w:rPr>
          <w:lang w:val="en-GB"/>
        </w:rPr>
        <w:t xml:space="preserve"> </w:t>
      </w:r>
      <w:r w:rsidRPr="004653D0">
        <w:rPr>
          <w:vertAlign w:val="superscript"/>
          <w:lang w:val="en-GB"/>
        </w:rPr>
        <w:t>90</w:t>
      </w:r>
      <w:r w:rsidRPr="004653D0">
        <w:rPr>
          <w:lang w:val="en-GB"/>
        </w:rPr>
        <w:t xml:space="preserve">, M. </w:t>
      </w:r>
      <w:proofErr w:type="spellStart"/>
      <w:r w:rsidRPr="004653D0">
        <w:rPr>
          <w:lang w:val="en-GB"/>
        </w:rPr>
        <w:t>Stancikaite</w:t>
      </w:r>
      <w:proofErr w:type="spellEnd"/>
      <w:r w:rsidRPr="004653D0">
        <w:rPr>
          <w:lang w:val="en-GB"/>
        </w:rPr>
        <w:t xml:space="preserve"> </w:t>
      </w:r>
      <w:r w:rsidRPr="004653D0">
        <w:rPr>
          <w:vertAlign w:val="superscript"/>
          <w:lang w:val="en-GB"/>
        </w:rPr>
        <w:t>86</w:t>
      </w:r>
      <w:r w:rsidRPr="004653D0">
        <w:rPr>
          <w:lang w:val="en-GB"/>
        </w:rPr>
        <w:t xml:space="preserve">, A. C. Stevenson </w:t>
      </w:r>
      <w:r w:rsidRPr="004653D0">
        <w:rPr>
          <w:vertAlign w:val="superscript"/>
          <w:lang w:val="en-GB"/>
        </w:rPr>
        <w:t>91</w:t>
      </w:r>
      <w:r w:rsidRPr="004653D0">
        <w:rPr>
          <w:lang w:val="en-GB"/>
        </w:rPr>
        <w:t xml:space="preserve">, N. Stivrins </w:t>
      </w:r>
      <w:r w:rsidRPr="004653D0">
        <w:rPr>
          <w:vertAlign w:val="superscript"/>
          <w:lang w:val="en-GB"/>
        </w:rPr>
        <w:t>62</w:t>
      </w:r>
      <w:r w:rsidRPr="004653D0">
        <w:rPr>
          <w:lang w:val="en-GB"/>
        </w:rPr>
        <w:t xml:space="preserve">, I. </w:t>
      </w:r>
      <w:proofErr w:type="spellStart"/>
      <w:r w:rsidRPr="004653D0">
        <w:rPr>
          <w:lang w:val="en-GB"/>
        </w:rPr>
        <w:t>Tantau</w:t>
      </w:r>
      <w:proofErr w:type="spellEnd"/>
      <w:r w:rsidRPr="004653D0">
        <w:rPr>
          <w:lang w:val="en-GB"/>
        </w:rPr>
        <w:t xml:space="preserve"> </w:t>
      </w:r>
      <w:r w:rsidRPr="004653D0">
        <w:rPr>
          <w:vertAlign w:val="superscript"/>
          <w:lang w:val="en-GB"/>
        </w:rPr>
        <w:t>56</w:t>
      </w:r>
      <w:r w:rsidRPr="004653D0">
        <w:rPr>
          <w:lang w:val="en-GB"/>
        </w:rPr>
        <w:t xml:space="preserve">, M. Theuerkauf </w:t>
      </w:r>
      <w:r w:rsidRPr="004653D0">
        <w:rPr>
          <w:vertAlign w:val="superscript"/>
          <w:lang w:val="en-GB"/>
        </w:rPr>
        <w:t>76</w:t>
      </w:r>
      <w:r w:rsidRPr="004653D0">
        <w:rPr>
          <w:lang w:val="en-GB"/>
        </w:rPr>
        <w:t xml:space="preserve">, S. </w:t>
      </w:r>
      <w:proofErr w:type="spellStart"/>
      <w:r w:rsidRPr="004653D0">
        <w:rPr>
          <w:lang w:val="en-GB"/>
        </w:rPr>
        <w:t>Tonkov</w:t>
      </w:r>
      <w:proofErr w:type="spellEnd"/>
      <w:r w:rsidRPr="004653D0">
        <w:rPr>
          <w:lang w:val="en-GB"/>
        </w:rPr>
        <w:t xml:space="preserve"> </w:t>
      </w:r>
      <w:r w:rsidRPr="004653D0">
        <w:rPr>
          <w:vertAlign w:val="superscript"/>
          <w:lang w:val="en-GB"/>
        </w:rPr>
        <w:t>92</w:t>
      </w:r>
      <w:r w:rsidRPr="004653D0">
        <w:rPr>
          <w:lang w:val="en-GB"/>
        </w:rPr>
        <w:t xml:space="preserve">, W. O. van der </w:t>
      </w:r>
      <w:proofErr w:type="spellStart"/>
      <w:r w:rsidRPr="004653D0">
        <w:rPr>
          <w:lang w:val="en-GB"/>
        </w:rPr>
        <w:t>Knaap</w:t>
      </w:r>
      <w:proofErr w:type="spellEnd"/>
      <w:r w:rsidRPr="004653D0">
        <w:rPr>
          <w:lang w:val="en-GB"/>
        </w:rPr>
        <w:t xml:space="preserve"> </w:t>
      </w:r>
      <w:r w:rsidRPr="004653D0">
        <w:rPr>
          <w:vertAlign w:val="superscript"/>
          <w:lang w:val="en-GB"/>
        </w:rPr>
        <w:t>14</w:t>
      </w:r>
      <w:r w:rsidRPr="004653D0">
        <w:rPr>
          <w:lang w:val="en-GB"/>
        </w:rPr>
        <w:t xml:space="preserve">, J. F. N. van Leeuwen </w:t>
      </w:r>
      <w:r w:rsidRPr="004653D0">
        <w:rPr>
          <w:vertAlign w:val="superscript"/>
          <w:lang w:val="en-GB"/>
        </w:rPr>
        <w:t>14</w:t>
      </w:r>
      <w:r w:rsidRPr="004653D0">
        <w:rPr>
          <w:lang w:val="en-GB"/>
        </w:rPr>
        <w:t xml:space="preserve">, E. </w:t>
      </w:r>
      <w:proofErr w:type="spellStart"/>
      <w:r w:rsidRPr="004653D0">
        <w:rPr>
          <w:lang w:val="en-GB"/>
        </w:rPr>
        <w:t>Vecmane</w:t>
      </w:r>
      <w:proofErr w:type="spellEnd"/>
      <w:r w:rsidRPr="004653D0">
        <w:rPr>
          <w:lang w:val="en-GB"/>
        </w:rPr>
        <w:t xml:space="preserve"> </w:t>
      </w:r>
      <w:r w:rsidRPr="004653D0">
        <w:rPr>
          <w:vertAlign w:val="superscript"/>
          <w:lang w:val="en-GB"/>
        </w:rPr>
        <w:t>93</w:t>
      </w:r>
      <w:r w:rsidRPr="004653D0">
        <w:rPr>
          <w:lang w:val="en-GB"/>
        </w:rPr>
        <w:t xml:space="preserve">, G. </w:t>
      </w:r>
      <w:proofErr w:type="spellStart"/>
      <w:r w:rsidRPr="004653D0">
        <w:rPr>
          <w:lang w:val="en-GB"/>
        </w:rPr>
        <w:t>Verstraeten</w:t>
      </w:r>
      <w:proofErr w:type="spellEnd"/>
      <w:r w:rsidRPr="004653D0">
        <w:rPr>
          <w:lang w:val="en-GB"/>
        </w:rPr>
        <w:t xml:space="preserve"> </w:t>
      </w:r>
      <w:r w:rsidRPr="004653D0">
        <w:rPr>
          <w:vertAlign w:val="superscript"/>
          <w:lang w:val="en-GB"/>
        </w:rPr>
        <w:t>24</w:t>
      </w:r>
      <w:r w:rsidRPr="004653D0">
        <w:rPr>
          <w:lang w:val="en-GB"/>
        </w:rPr>
        <w:t xml:space="preserve">, S. </w:t>
      </w:r>
      <w:proofErr w:type="spellStart"/>
      <w:r w:rsidRPr="004653D0">
        <w:rPr>
          <w:lang w:val="en-GB"/>
        </w:rPr>
        <w:t>Veski</w:t>
      </w:r>
      <w:proofErr w:type="spellEnd"/>
      <w:r w:rsidRPr="004653D0">
        <w:rPr>
          <w:lang w:val="en-GB"/>
        </w:rPr>
        <w:t xml:space="preserve"> </w:t>
      </w:r>
      <w:r w:rsidRPr="004653D0">
        <w:rPr>
          <w:vertAlign w:val="superscript"/>
          <w:lang w:val="en-GB"/>
        </w:rPr>
        <w:t>94</w:t>
      </w:r>
      <w:r w:rsidRPr="004653D0">
        <w:rPr>
          <w:lang w:val="en-GB"/>
        </w:rPr>
        <w:t xml:space="preserve">, R. Voigt </w:t>
      </w:r>
      <w:r w:rsidRPr="004653D0">
        <w:rPr>
          <w:vertAlign w:val="superscript"/>
          <w:lang w:val="en-GB"/>
        </w:rPr>
        <w:t>19</w:t>
      </w:r>
      <w:r w:rsidRPr="004653D0">
        <w:rPr>
          <w:lang w:val="en-GB"/>
        </w:rPr>
        <w:t xml:space="preserve">, H. Von </w:t>
      </w:r>
      <w:proofErr w:type="spellStart"/>
      <w:r w:rsidRPr="004653D0">
        <w:rPr>
          <w:lang w:val="en-GB"/>
        </w:rPr>
        <w:t>Stedingk</w:t>
      </w:r>
      <w:proofErr w:type="spellEnd"/>
      <w:r w:rsidRPr="004653D0">
        <w:rPr>
          <w:lang w:val="en-GB"/>
        </w:rPr>
        <w:t xml:space="preserve"> </w:t>
      </w:r>
      <w:r w:rsidRPr="004653D0">
        <w:rPr>
          <w:vertAlign w:val="superscript"/>
          <w:lang w:val="en-GB"/>
        </w:rPr>
        <w:t>88</w:t>
      </w:r>
      <w:r w:rsidRPr="004653D0">
        <w:rPr>
          <w:lang w:val="en-GB"/>
        </w:rPr>
        <w:t xml:space="preserve">, M. P. Waller </w:t>
      </w:r>
      <w:r w:rsidRPr="004653D0">
        <w:rPr>
          <w:vertAlign w:val="superscript"/>
          <w:lang w:val="en-GB"/>
        </w:rPr>
        <w:t>95</w:t>
      </w:r>
      <w:r w:rsidRPr="004653D0">
        <w:rPr>
          <w:lang w:val="en-GB"/>
        </w:rPr>
        <w:t xml:space="preserve">, J. </w:t>
      </w:r>
      <w:proofErr w:type="spellStart"/>
      <w:r w:rsidRPr="004653D0">
        <w:rPr>
          <w:lang w:val="en-GB"/>
        </w:rPr>
        <w:t>Wiethold</w:t>
      </w:r>
      <w:proofErr w:type="spellEnd"/>
      <w:r w:rsidRPr="004653D0">
        <w:rPr>
          <w:lang w:val="en-GB"/>
        </w:rPr>
        <w:t xml:space="preserve"> </w:t>
      </w:r>
      <w:r w:rsidRPr="004653D0">
        <w:rPr>
          <w:vertAlign w:val="superscript"/>
          <w:lang w:val="en-GB"/>
        </w:rPr>
        <w:t>96</w:t>
      </w:r>
      <w:r w:rsidRPr="004653D0">
        <w:rPr>
          <w:lang w:val="en-GB"/>
        </w:rPr>
        <w:t xml:space="preserve">, K. J. Willis </w:t>
      </w:r>
      <w:r w:rsidRPr="004653D0">
        <w:rPr>
          <w:vertAlign w:val="superscript"/>
          <w:lang w:val="en-GB"/>
        </w:rPr>
        <w:t>97</w:t>
      </w:r>
      <w:r w:rsidRPr="004653D0">
        <w:rPr>
          <w:lang w:val="en-GB"/>
        </w:rPr>
        <w:t xml:space="preserve">, S. Wolters </w:t>
      </w:r>
      <w:r w:rsidRPr="004653D0">
        <w:rPr>
          <w:vertAlign w:val="superscript"/>
          <w:lang w:val="en-GB"/>
        </w:rPr>
        <w:t>98</w:t>
      </w:r>
      <w:r w:rsidRPr="004653D0">
        <w:rPr>
          <w:lang w:val="en-GB"/>
        </w:rPr>
        <w:t>, V. P. Zernitskaya</w:t>
      </w:r>
      <w:r w:rsidRPr="004653D0">
        <w:rPr>
          <w:vertAlign w:val="superscript"/>
          <w:lang w:val="en-GB"/>
        </w:rPr>
        <w:t>99</w:t>
      </w:r>
    </w:p>
    <w:p w14:paraId="13D7F099" w14:textId="77777777" w:rsidR="004653D0" w:rsidRPr="004653D0" w:rsidRDefault="004653D0" w:rsidP="004653D0">
      <w:pPr>
        <w:pStyle w:val="MDPI16affiliation"/>
        <w:rPr>
          <w:lang w:val="fr-FR"/>
        </w:rPr>
      </w:pPr>
      <w:r w:rsidRPr="004653D0">
        <w:rPr>
          <w:vertAlign w:val="superscript"/>
          <w:lang w:val="fr-FR"/>
        </w:rPr>
        <w:t>1</w:t>
      </w:r>
      <w:r w:rsidRPr="004653D0">
        <w:rPr>
          <w:lang w:val="fr-FR"/>
        </w:rPr>
        <w:tab/>
        <w:t xml:space="preserve">Laboratoire Géographie de l’Environnement, UMR 5602, CNRS, Université de Toulouse-Jean Jaurès, </w:t>
      </w:r>
      <w:r w:rsidRPr="004653D0">
        <w:rPr>
          <w:lang w:val="fr-FR"/>
        </w:rPr>
        <w:br/>
        <w:t xml:space="preserve">31058 Toulouse, </w:t>
      </w:r>
      <w:proofErr w:type="gramStart"/>
      <w:r w:rsidRPr="004653D0">
        <w:rPr>
          <w:lang w:val="fr-FR"/>
        </w:rPr>
        <w:t>France;</w:t>
      </w:r>
      <w:proofErr w:type="gramEnd"/>
      <w:r w:rsidRPr="004653D0">
        <w:rPr>
          <w:lang w:val="fr-FR"/>
        </w:rPr>
        <w:t xml:space="preserve"> maria-antonia.serge@univ-tlse2.fr</w:t>
      </w:r>
      <w:r w:rsidRPr="004653D0">
        <w:rPr>
          <w:rStyle w:val="gcsdbrwbgqc"/>
          <w:rFonts w:eastAsiaTheme="majorEastAsia"/>
          <w:color w:val="auto"/>
        </w:rPr>
        <w:t xml:space="preserve"> </w:t>
      </w:r>
      <w:proofErr w:type="spellStart"/>
      <w:r w:rsidRPr="004653D0">
        <w:rPr>
          <w:rStyle w:val="gcsdbrwbgqc"/>
          <w:rFonts w:eastAsiaTheme="majorEastAsia"/>
          <w:color w:val="auto"/>
        </w:rPr>
        <w:t>or</w:t>
      </w:r>
      <w:proofErr w:type="spellEnd"/>
      <w:r w:rsidRPr="004653D0">
        <w:rPr>
          <w:rStyle w:val="gcsdbrwbgqc"/>
          <w:rFonts w:eastAsiaTheme="majorEastAsia"/>
          <w:color w:val="auto"/>
        </w:rPr>
        <w:t xml:space="preserve"> </w:t>
      </w:r>
      <w:hyperlink r:id="rId5" w:history="1">
        <w:r w:rsidRPr="004653D0">
          <w:rPr>
            <w:rStyle w:val="Hyperlink"/>
            <w:lang w:val="fr-FR"/>
          </w:rPr>
          <w:t>mariaantonia.serge@gmail.com</w:t>
        </w:r>
      </w:hyperlink>
      <w:r w:rsidRPr="004653D0">
        <w:rPr>
          <w:lang w:val="fr-FR"/>
        </w:rPr>
        <w:t xml:space="preserve"> (M.A.S.); florence.mazier@univ-tlse2.fr (F.M.); didier.galop@univ-tlse2.fr (D.G.)</w:t>
      </w:r>
    </w:p>
    <w:p w14:paraId="5E35DBFF" w14:textId="77777777" w:rsidR="004653D0" w:rsidRPr="004653D0" w:rsidRDefault="004653D0" w:rsidP="004653D0">
      <w:pPr>
        <w:pStyle w:val="MDPI16affiliation"/>
        <w:rPr>
          <w:b/>
          <w:bCs/>
          <w:lang w:val="en-GB"/>
        </w:rPr>
      </w:pPr>
      <w:r w:rsidRPr="004653D0">
        <w:rPr>
          <w:vertAlign w:val="superscript"/>
          <w:lang w:val="en-GB"/>
        </w:rPr>
        <w:t>2</w:t>
      </w:r>
      <w:r w:rsidRPr="004653D0">
        <w:rPr>
          <w:lang w:val="en-GB"/>
        </w:rPr>
        <w:tab/>
        <w:t xml:space="preserve">School of Geography, Earth and Environmental Sciences, University of Plymouth, Plymouth PL4 8AA, UK; </w:t>
      </w:r>
      <w:r w:rsidRPr="004653D0">
        <w:t>ralph.fyfe@plymouth.ac.uk (R.F.); jessie.woodbridge@plymouth.ac.uk (J.W.)</w:t>
      </w:r>
    </w:p>
    <w:p w14:paraId="5345AB3D" w14:textId="77777777" w:rsidR="004653D0" w:rsidRPr="004653D0" w:rsidRDefault="004653D0" w:rsidP="004653D0">
      <w:pPr>
        <w:pStyle w:val="MDPI16affiliation"/>
        <w:rPr>
          <w:lang w:val="en-GB"/>
        </w:rPr>
      </w:pPr>
      <w:r w:rsidRPr="004653D0">
        <w:rPr>
          <w:vertAlign w:val="superscript"/>
          <w:lang w:val="en-GB"/>
        </w:rPr>
        <w:t>3</w:t>
      </w:r>
      <w:r w:rsidRPr="004653D0">
        <w:rPr>
          <w:lang w:val="en-GB"/>
        </w:rPr>
        <w:tab/>
        <w:t xml:space="preserve">Department of Biology and Environmental Science, Linnaeus University, 39182 Kalmar, Sweden; </w:t>
      </w:r>
      <w:r w:rsidRPr="004653D0">
        <w:rPr>
          <w:lang w:val="en-GB"/>
        </w:rPr>
        <w:br/>
      </w:r>
      <w:r w:rsidRPr="004653D0">
        <w:t xml:space="preserve">marie-jose.gaillard-lemdahl@lnu.se (M.-J.G.); esthergithumbi@gmail.com (E.G. (Esther </w:t>
      </w:r>
      <w:proofErr w:type="spellStart"/>
      <w:r w:rsidRPr="004653D0">
        <w:t>Githumbi</w:t>
      </w:r>
      <w:proofErr w:type="spellEnd"/>
      <w:r w:rsidRPr="004653D0">
        <w:t>));</w:t>
      </w:r>
      <w:r w:rsidRPr="004653D0">
        <w:br/>
        <w:t>anna.kari.trondman@slu.se (A.-K.T.)</w:t>
      </w:r>
    </w:p>
    <w:p w14:paraId="32C728B0" w14:textId="77777777" w:rsidR="004653D0" w:rsidRPr="004653D0" w:rsidRDefault="004653D0" w:rsidP="004653D0">
      <w:pPr>
        <w:pStyle w:val="MDPI16affiliation"/>
        <w:rPr>
          <w:lang w:val="fr-FR"/>
        </w:rPr>
      </w:pPr>
      <w:r w:rsidRPr="004653D0">
        <w:rPr>
          <w:vertAlign w:val="superscript"/>
          <w:lang w:val="fr-FR"/>
        </w:rPr>
        <w:t>4</w:t>
      </w:r>
      <w:r w:rsidRPr="004653D0">
        <w:rPr>
          <w:lang w:val="fr-FR"/>
        </w:rPr>
        <w:tab/>
        <w:t xml:space="preserve">ENAC—Ecole Nationale de L’Aviation Civile, Université de Toulouse, 31055 Toulouse, </w:t>
      </w:r>
      <w:proofErr w:type="gramStart"/>
      <w:r w:rsidRPr="004653D0">
        <w:rPr>
          <w:lang w:val="fr-FR"/>
        </w:rPr>
        <w:t>France;</w:t>
      </w:r>
      <w:proofErr w:type="gramEnd"/>
      <w:r w:rsidRPr="004653D0">
        <w:rPr>
          <w:lang w:val="fr-FR"/>
        </w:rPr>
        <w:t xml:space="preserve"> </w:t>
      </w:r>
      <w:hyperlink r:id="rId6" w:history="1">
        <w:r w:rsidRPr="004653D0">
          <w:rPr>
            <w:rStyle w:val="Hyperlink"/>
            <w:lang w:val="fr-FR"/>
          </w:rPr>
          <w:t>thierry01.klein@enac.fr</w:t>
        </w:r>
      </w:hyperlink>
      <w:r w:rsidRPr="004653D0">
        <w:rPr>
          <w:lang w:val="fr-FR"/>
        </w:rPr>
        <w:t xml:space="preserve"> (T.K.)</w:t>
      </w:r>
    </w:p>
    <w:p w14:paraId="1D70C680" w14:textId="77777777" w:rsidR="004653D0" w:rsidRPr="004653D0" w:rsidRDefault="004653D0" w:rsidP="004653D0">
      <w:pPr>
        <w:pStyle w:val="MDPI16affiliation"/>
        <w:rPr>
          <w:lang w:val="fr-FR"/>
        </w:rPr>
      </w:pPr>
      <w:r w:rsidRPr="004653D0">
        <w:rPr>
          <w:vertAlign w:val="superscript"/>
          <w:lang w:val="fr-FR"/>
        </w:rPr>
        <w:t>5</w:t>
      </w:r>
      <w:r w:rsidRPr="004653D0">
        <w:rPr>
          <w:lang w:val="fr-FR"/>
        </w:rPr>
        <w:tab/>
        <w:t xml:space="preserve">Institut de Mathématiques de Toulouse, UMR5219, Université de Toulouse, CNRS, UT2J, </w:t>
      </w:r>
      <w:r w:rsidRPr="004653D0">
        <w:rPr>
          <w:lang w:val="fr-FR"/>
        </w:rPr>
        <w:br/>
        <w:t xml:space="preserve">31058 Toulouse, </w:t>
      </w:r>
      <w:proofErr w:type="gramStart"/>
      <w:r w:rsidRPr="004653D0">
        <w:rPr>
          <w:lang w:val="fr-FR"/>
        </w:rPr>
        <w:t>France;</w:t>
      </w:r>
      <w:proofErr w:type="gramEnd"/>
      <w:r w:rsidRPr="004653D0">
        <w:rPr>
          <w:lang w:val="fr-FR"/>
        </w:rPr>
        <w:t xml:space="preserve"> </w:t>
      </w:r>
      <w:hyperlink r:id="rId7" w:history="1">
        <w:r w:rsidRPr="004653D0">
          <w:rPr>
            <w:rStyle w:val="Hyperlink"/>
            <w:lang w:val="fr-FR"/>
          </w:rPr>
          <w:t>thierry01.klein@enac.fr</w:t>
        </w:r>
      </w:hyperlink>
      <w:r w:rsidRPr="004653D0">
        <w:rPr>
          <w:lang w:val="fr-FR"/>
        </w:rPr>
        <w:t xml:space="preserve"> (T.K.) ; </w:t>
      </w:r>
      <w:hyperlink r:id="rId8" w:history="1">
        <w:r w:rsidRPr="004653D0">
          <w:rPr>
            <w:rStyle w:val="Hyperlink"/>
            <w:lang w:val="fr-FR"/>
          </w:rPr>
          <w:t>agnes.lagnoux@univ-tlse2.fr</w:t>
        </w:r>
      </w:hyperlink>
      <w:r w:rsidRPr="004653D0">
        <w:rPr>
          <w:lang w:val="fr-FR"/>
        </w:rPr>
        <w:t xml:space="preserve"> (A.L.)</w:t>
      </w:r>
    </w:p>
    <w:p w14:paraId="0A7BD8D2" w14:textId="77777777" w:rsidR="004653D0" w:rsidRPr="004653D0" w:rsidRDefault="004653D0" w:rsidP="004653D0">
      <w:pPr>
        <w:pStyle w:val="MDPI16affiliation"/>
        <w:rPr>
          <w:lang w:val="en-GB"/>
        </w:rPr>
      </w:pPr>
      <w:r w:rsidRPr="004653D0">
        <w:rPr>
          <w:vertAlign w:val="superscript"/>
          <w:lang w:val="en-GB"/>
        </w:rPr>
        <w:t>6</w:t>
      </w:r>
      <w:r w:rsidRPr="004653D0">
        <w:rPr>
          <w:lang w:val="en-GB"/>
        </w:rPr>
        <w:tab/>
        <w:t>Department of Physical Geography and Ecosystem Science, University of Lund, 22362 Lund, Sweden</w:t>
      </w:r>
      <w:r w:rsidRPr="004653D0">
        <w:t xml:space="preserve">; esthergithumbi@gmail.com (E.G. (Esther </w:t>
      </w:r>
      <w:proofErr w:type="spellStart"/>
      <w:r w:rsidRPr="004653D0">
        <w:t>Githumbi</w:t>
      </w:r>
      <w:proofErr w:type="spellEnd"/>
      <w:r w:rsidRPr="004653D0">
        <w:t xml:space="preserve">)); </w:t>
      </w:r>
      <w:hyperlink r:id="rId9" w:history="1">
        <w:r w:rsidRPr="004653D0">
          <w:rPr>
            <w:rStyle w:val="Hyperlink"/>
          </w:rPr>
          <w:t>anneli.poska@ttu.ee</w:t>
        </w:r>
      </w:hyperlink>
      <w:r w:rsidRPr="004653D0">
        <w:t xml:space="preserve"> (A.P.)</w:t>
      </w:r>
    </w:p>
    <w:p w14:paraId="466D6D7F" w14:textId="77777777" w:rsidR="004653D0" w:rsidRPr="004653D0" w:rsidRDefault="004653D0" w:rsidP="004653D0">
      <w:pPr>
        <w:pStyle w:val="MDPI16affiliation"/>
        <w:rPr>
          <w:lang w:val="en-GB"/>
        </w:rPr>
      </w:pPr>
      <w:r w:rsidRPr="004653D0">
        <w:rPr>
          <w:lang w:val="en-GB"/>
        </w:rPr>
        <w:t xml:space="preserve">Department of Geography, University of Suceava, 13 </w:t>
      </w:r>
      <w:proofErr w:type="spellStart"/>
      <w:r w:rsidRPr="004653D0">
        <w:rPr>
          <w:lang w:val="en-GB"/>
        </w:rPr>
        <w:t>Universităţii</w:t>
      </w:r>
      <w:proofErr w:type="spellEnd"/>
      <w:r w:rsidRPr="004653D0">
        <w:rPr>
          <w:lang w:val="en-GB"/>
        </w:rPr>
        <w:t xml:space="preserve"> </w:t>
      </w:r>
      <w:proofErr w:type="spellStart"/>
      <w:r w:rsidRPr="004653D0">
        <w:rPr>
          <w:lang w:val="en-GB"/>
        </w:rPr>
        <w:t>Sreet</w:t>
      </w:r>
      <w:proofErr w:type="spellEnd"/>
      <w:r w:rsidRPr="004653D0">
        <w:rPr>
          <w:lang w:val="en-GB"/>
        </w:rPr>
        <w:t xml:space="preserve">, </w:t>
      </w:r>
      <w:r w:rsidRPr="004653D0">
        <w:t>720229</w:t>
      </w:r>
      <w:r w:rsidRPr="004653D0">
        <w:rPr>
          <w:lang w:val="en-GB"/>
        </w:rPr>
        <w:t xml:space="preserve"> Suceava, Romania</w:t>
      </w:r>
      <w:r w:rsidRPr="004653D0">
        <w:t xml:space="preserve">; </w:t>
      </w:r>
      <w:r w:rsidRPr="004653D0">
        <w:br/>
      </w:r>
      <w:hyperlink r:id="rId10" w:history="1">
        <w:r w:rsidRPr="004653D0">
          <w:rPr>
            <w:rStyle w:val="Hyperlink"/>
          </w:rPr>
          <w:t>mindrescu@atlas.usv.ro</w:t>
        </w:r>
      </w:hyperlink>
      <w:r w:rsidRPr="004653D0">
        <w:t xml:space="preserve"> (M.M.)</w:t>
      </w:r>
    </w:p>
    <w:p w14:paraId="6F0E7833" w14:textId="77777777" w:rsidR="004653D0" w:rsidRPr="004653D0" w:rsidRDefault="004653D0" w:rsidP="004653D0">
      <w:pPr>
        <w:pStyle w:val="MDPI16affiliation"/>
        <w:rPr>
          <w:lang w:val="en-GB"/>
        </w:rPr>
      </w:pPr>
      <w:r w:rsidRPr="004653D0">
        <w:rPr>
          <w:vertAlign w:val="superscript"/>
          <w:lang w:val="en-GB"/>
        </w:rPr>
        <w:t>8</w:t>
      </w:r>
      <w:r w:rsidRPr="004653D0">
        <w:rPr>
          <w:lang w:val="en-GB"/>
        </w:rPr>
        <w:tab/>
        <w:t>Department of Geology, Lund University, 22100 Lund, Sweden</w:t>
      </w:r>
      <w:r w:rsidRPr="004653D0">
        <w:t xml:space="preserve">; </w:t>
      </w:r>
      <w:hyperlink r:id="rId11" w:history="1">
        <w:r w:rsidRPr="004653D0">
          <w:rPr>
            <w:rStyle w:val="Hyperlink"/>
          </w:rPr>
          <w:t>anne_birgitte.nielsen@geol.lu.se</w:t>
        </w:r>
      </w:hyperlink>
      <w:r w:rsidRPr="004653D0">
        <w:t xml:space="preserve"> (A.B.N.); </w:t>
      </w:r>
      <w:hyperlink r:id="rId12" w:history="1">
        <w:r w:rsidRPr="004653D0">
          <w:rPr>
            <w:rStyle w:val="Hyperlink"/>
          </w:rPr>
          <w:t>cma20@st-andrews.ac.uk</w:t>
        </w:r>
      </w:hyperlink>
      <w:r w:rsidRPr="004653D0">
        <w:t xml:space="preserve"> (C.Å.); </w:t>
      </w:r>
      <w:hyperlink r:id="rId13" w:history="1">
        <w:r w:rsidRPr="004653D0">
          <w:rPr>
            <w:rStyle w:val="Hyperlink"/>
          </w:rPr>
          <w:t>lena.barnekow@geol.lu.se</w:t>
        </w:r>
      </w:hyperlink>
      <w:r w:rsidRPr="004653D0">
        <w:t xml:space="preserve"> (L.B. (Lena </w:t>
      </w:r>
      <w:proofErr w:type="spellStart"/>
      <w:r w:rsidRPr="004653D0">
        <w:t>Barnekow</w:t>
      </w:r>
      <w:proofErr w:type="spellEnd"/>
      <w:r w:rsidRPr="004653D0">
        <w:t>))</w:t>
      </w:r>
    </w:p>
    <w:p w14:paraId="19263F48" w14:textId="77777777" w:rsidR="004653D0" w:rsidRPr="004653D0" w:rsidRDefault="004653D0" w:rsidP="004653D0">
      <w:pPr>
        <w:pStyle w:val="MDPI16affiliation"/>
        <w:rPr>
          <w:lang w:val="en-GB"/>
        </w:rPr>
      </w:pPr>
      <w:r w:rsidRPr="004653D0">
        <w:rPr>
          <w:vertAlign w:val="superscript"/>
          <w:lang w:val="en-GB"/>
        </w:rPr>
        <w:t>9</w:t>
      </w:r>
      <w:r w:rsidRPr="004653D0">
        <w:rPr>
          <w:lang w:val="en-GB"/>
        </w:rPr>
        <w:tab/>
        <w:t xml:space="preserve">Division of Education Affairs, Swedish University of Agricultural Science (SLU), 23456 </w:t>
      </w:r>
      <w:proofErr w:type="spellStart"/>
      <w:r w:rsidRPr="004653D0">
        <w:rPr>
          <w:lang w:val="en-GB"/>
        </w:rPr>
        <w:t>Alnarp</w:t>
      </w:r>
      <w:proofErr w:type="spellEnd"/>
      <w:r w:rsidRPr="004653D0">
        <w:rPr>
          <w:lang w:val="en-GB"/>
        </w:rPr>
        <w:t>, Sweden; anna.kari.trondman@slu.se (A.-K.T.)</w:t>
      </w:r>
    </w:p>
    <w:p w14:paraId="6B565F48" w14:textId="77777777" w:rsidR="004653D0" w:rsidRPr="004653D0" w:rsidRDefault="004653D0" w:rsidP="004653D0">
      <w:pPr>
        <w:pStyle w:val="MDPI16affiliation"/>
        <w:rPr>
          <w:lang w:val="en-GB"/>
        </w:rPr>
      </w:pPr>
      <w:r w:rsidRPr="004653D0">
        <w:rPr>
          <w:vertAlign w:val="superscript"/>
          <w:lang w:val="en-GB"/>
        </w:rPr>
        <w:t>10</w:t>
      </w:r>
      <w:r w:rsidRPr="004653D0">
        <w:rPr>
          <w:lang w:val="en-GB"/>
        </w:rPr>
        <w:tab/>
        <w:t xml:space="preserve">Department of Geology, Tallinn University of Technology, 19086 Tallinn, Estonia; </w:t>
      </w:r>
      <w:hyperlink r:id="rId14" w:history="1">
        <w:r w:rsidRPr="004653D0">
          <w:rPr>
            <w:rStyle w:val="Hyperlink"/>
            <w:lang w:val="en-GB"/>
          </w:rPr>
          <w:t>anneli.poska@ttu.ee</w:t>
        </w:r>
      </w:hyperlink>
      <w:r w:rsidRPr="004653D0">
        <w:rPr>
          <w:lang w:val="en-GB"/>
        </w:rPr>
        <w:t xml:space="preserve"> (A.P.); </w:t>
      </w:r>
      <w:hyperlink r:id="rId15" w:history="1">
        <w:r w:rsidRPr="004653D0">
          <w:rPr>
            <w:rStyle w:val="Hyperlink"/>
            <w:lang w:val="en-GB"/>
          </w:rPr>
          <w:t>olga.lisitsyn@gmail.com</w:t>
        </w:r>
      </w:hyperlink>
      <w:r w:rsidRPr="004653D0">
        <w:rPr>
          <w:lang w:val="en-GB"/>
        </w:rPr>
        <w:t xml:space="preserve"> (O.L.)</w:t>
      </w:r>
    </w:p>
    <w:p w14:paraId="6B923AD9" w14:textId="77777777" w:rsidR="004653D0" w:rsidRPr="004653D0" w:rsidRDefault="004653D0" w:rsidP="004653D0">
      <w:pPr>
        <w:pStyle w:val="MDPI16affiliation"/>
        <w:rPr>
          <w:rStyle w:val="Hyperlink"/>
        </w:rPr>
      </w:pPr>
      <w:r w:rsidRPr="004653D0">
        <w:rPr>
          <w:vertAlign w:val="superscript"/>
          <w:lang w:val="en-GB"/>
        </w:rPr>
        <w:t>11</w:t>
      </w:r>
      <w:r w:rsidRPr="004653D0">
        <w:rPr>
          <w:lang w:val="en-GB"/>
        </w:rPr>
        <w:tab/>
        <w:t>Institute of Ecology, Tallinn University, 10120 Tallinn, Estonia</w:t>
      </w:r>
      <w:r w:rsidRPr="004653D0">
        <w:t xml:space="preserve">; </w:t>
      </w:r>
      <w:hyperlink r:id="rId16" w:history="1">
        <w:r w:rsidRPr="004653D0">
          <w:rPr>
            <w:rStyle w:val="Hyperlink"/>
          </w:rPr>
          <w:t>sugita@tlu.ee</w:t>
        </w:r>
      </w:hyperlink>
      <w:r w:rsidRPr="004653D0">
        <w:rPr>
          <w:rStyle w:val="Hyperlink"/>
        </w:rPr>
        <w:t xml:space="preserve"> (S.S.); mihkel.kangur@tlu.ee (M.K. (</w:t>
      </w:r>
      <w:proofErr w:type="spellStart"/>
      <w:r w:rsidRPr="004653D0">
        <w:rPr>
          <w:rStyle w:val="Hyperlink"/>
        </w:rPr>
        <w:t>Mihkel</w:t>
      </w:r>
      <w:proofErr w:type="spellEnd"/>
      <w:r w:rsidRPr="004653D0">
        <w:rPr>
          <w:rStyle w:val="Hyperlink"/>
        </w:rPr>
        <w:t xml:space="preserve"> </w:t>
      </w:r>
      <w:proofErr w:type="spellStart"/>
      <w:r w:rsidRPr="004653D0">
        <w:rPr>
          <w:rStyle w:val="Hyperlink"/>
        </w:rPr>
        <w:t>Kangur</w:t>
      </w:r>
      <w:proofErr w:type="spellEnd"/>
      <w:r w:rsidRPr="004653D0">
        <w:rPr>
          <w:rStyle w:val="Hyperlink"/>
        </w:rPr>
        <w:t>))</w:t>
      </w:r>
    </w:p>
    <w:p w14:paraId="63E89409" w14:textId="77777777" w:rsidR="004653D0" w:rsidRPr="004653D0" w:rsidRDefault="004653D0" w:rsidP="004653D0">
      <w:pPr>
        <w:pStyle w:val="MDPI16affiliation"/>
      </w:pPr>
      <w:r w:rsidRPr="004653D0">
        <w:rPr>
          <w:vertAlign w:val="superscript"/>
        </w:rPr>
        <w:t>12</w:t>
      </w:r>
      <w:r w:rsidRPr="004653D0">
        <w:t xml:space="preserve"> Department of Botany, University of Granada, Granada, Spain; dabels@ugr.es (D.A.-S.)</w:t>
      </w:r>
    </w:p>
    <w:p w14:paraId="6C840B30" w14:textId="77777777" w:rsidR="004653D0" w:rsidRPr="004653D0" w:rsidRDefault="004653D0" w:rsidP="004653D0">
      <w:pPr>
        <w:pStyle w:val="MDPI16affiliation"/>
      </w:pPr>
      <w:r w:rsidRPr="004653D0">
        <w:rPr>
          <w:vertAlign w:val="superscript"/>
        </w:rPr>
        <w:t>13</w:t>
      </w:r>
      <w:r w:rsidRPr="004653D0">
        <w:t xml:space="preserve"> Department of Cultures, Archaeology, University of Helsinki, Helsinki, Finland; teija.alenius@utu.fi (T.A.)</w:t>
      </w:r>
    </w:p>
    <w:p w14:paraId="20AE1C30" w14:textId="77777777" w:rsidR="004653D0" w:rsidRPr="004653D0" w:rsidRDefault="004653D0" w:rsidP="004653D0">
      <w:pPr>
        <w:pStyle w:val="MDPI16affiliation"/>
      </w:pPr>
      <w:r w:rsidRPr="004653D0">
        <w:rPr>
          <w:vertAlign w:val="superscript"/>
        </w:rPr>
        <w:t>14</w:t>
      </w:r>
      <w:r w:rsidRPr="004653D0">
        <w:t xml:space="preserve"> Institute of Plant Sciences, University of Bern, </w:t>
      </w:r>
      <w:proofErr w:type="spellStart"/>
      <w:r w:rsidRPr="004653D0">
        <w:t>Altenbergrain</w:t>
      </w:r>
      <w:proofErr w:type="spellEnd"/>
      <w:r w:rsidRPr="004653D0">
        <w:t xml:space="preserve"> 21, 3013, Bern, Switzerland; Brigitta.Ammann@ips.unibe.ch (B.A.); cesar.morales@ips.unibe.ch (C.M.); pim.vanderknaap@ips.unibe.ch (W.O.V.D.K.); knaap.leeuwen@gmail.com (J.F.N.V.L.)</w:t>
      </w:r>
    </w:p>
    <w:p w14:paraId="527C18B4" w14:textId="77777777" w:rsidR="004653D0" w:rsidRPr="004653D0" w:rsidRDefault="004653D0" w:rsidP="004653D0">
      <w:pPr>
        <w:pStyle w:val="MDPI16affiliation"/>
      </w:pPr>
      <w:r w:rsidRPr="004653D0">
        <w:rPr>
          <w:vertAlign w:val="superscript"/>
        </w:rPr>
        <w:t>15</w:t>
      </w:r>
      <w:r w:rsidRPr="004653D0">
        <w:t xml:space="preserve"> Ministry of the Environment, Geological Survey of Denmark, Copenhagen NV, Denmark; (S.T.A†)</w:t>
      </w:r>
    </w:p>
    <w:p w14:paraId="7DCCA53A" w14:textId="77777777" w:rsidR="004653D0" w:rsidRPr="004653D0" w:rsidRDefault="004653D0" w:rsidP="004653D0">
      <w:pPr>
        <w:pStyle w:val="MDPI16affiliation"/>
      </w:pPr>
      <w:r w:rsidRPr="004653D0">
        <w:rPr>
          <w:vertAlign w:val="superscript"/>
        </w:rPr>
        <w:lastRenderedPageBreak/>
        <w:t>16</w:t>
      </w:r>
      <w:r w:rsidRPr="004653D0">
        <w:t xml:space="preserve"> School of Earth &amp; Sustainability, Northern Arizona University, Flagstaff, AZ, USA; Scott.Anderson@nau.edu (R.S.A.)</w:t>
      </w:r>
    </w:p>
    <w:p w14:paraId="2EEB9B3B" w14:textId="77777777" w:rsidR="004653D0" w:rsidRPr="004653D0" w:rsidRDefault="004653D0" w:rsidP="004653D0">
      <w:pPr>
        <w:pStyle w:val="MDPI16affiliation"/>
      </w:pPr>
      <w:r w:rsidRPr="004653D0">
        <w:rPr>
          <w:vertAlign w:val="superscript"/>
        </w:rPr>
        <w:t>17</w:t>
      </w:r>
      <w:r w:rsidRPr="004653D0">
        <w:t xml:space="preserve"> Research Centre of the Slovenian Academy of Sciences and Arts, Institute of Archaeology, Ljubljana, Slovenia; maja.andric@zrc-sazu.si (M.A.)</w:t>
      </w:r>
    </w:p>
    <w:p w14:paraId="1FAEF556" w14:textId="77777777" w:rsidR="004653D0" w:rsidRPr="004653D0" w:rsidRDefault="004653D0" w:rsidP="004653D0">
      <w:pPr>
        <w:pStyle w:val="MDPI16affiliation"/>
      </w:pPr>
      <w:r w:rsidRPr="004653D0">
        <w:rPr>
          <w:vertAlign w:val="superscript"/>
        </w:rPr>
        <w:t>18</w:t>
      </w:r>
      <w:r w:rsidRPr="004653D0">
        <w:t xml:space="preserve"> Institute of Geosciences, Vilnius University, Vilnius, Lithuania; </w:t>
      </w:r>
      <w:proofErr w:type="spellStart"/>
      <w:r w:rsidRPr="004653D0">
        <w:t>lauras.balakauskas@gf.vu.lt</w:t>
      </w:r>
      <w:proofErr w:type="spellEnd"/>
      <w:r w:rsidRPr="004653D0">
        <w:t xml:space="preserve"> (L.B. (</w:t>
      </w:r>
      <w:proofErr w:type="spellStart"/>
      <w:r w:rsidRPr="004653D0">
        <w:t>Lauras</w:t>
      </w:r>
      <w:proofErr w:type="spellEnd"/>
      <w:r w:rsidRPr="004653D0">
        <w:t xml:space="preserve"> </w:t>
      </w:r>
      <w:proofErr w:type="spellStart"/>
      <w:r w:rsidRPr="004653D0">
        <w:t>Balakauskas</w:t>
      </w:r>
      <w:proofErr w:type="spellEnd"/>
      <w:r w:rsidRPr="004653D0">
        <w:t>))</w:t>
      </w:r>
    </w:p>
    <w:p w14:paraId="1606A1FC" w14:textId="77777777" w:rsidR="004653D0" w:rsidRPr="004653D0" w:rsidRDefault="004653D0" w:rsidP="004653D0">
      <w:pPr>
        <w:pStyle w:val="MDPI16affiliation"/>
      </w:pPr>
      <w:r w:rsidRPr="004653D0">
        <w:rPr>
          <w:vertAlign w:val="superscript"/>
        </w:rPr>
        <w:t>19</w:t>
      </w:r>
      <w:r w:rsidRPr="004653D0">
        <w:t xml:space="preserve"> Department of Palynology and Climate Dynamics, Georg August University, </w:t>
      </w:r>
      <w:proofErr w:type="spellStart"/>
      <w:r w:rsidRPr="004653D0">
        <w:t>Untere</w:t>
      </w:r>
      <w:proofErr w:type="spellEnd"/>
      <w:r w:rsidRPr="004653D0">
        <w:t xml:space="preserve"> </w:t>
      </w:r>
      <w:proofErr w:type="spellStart"/>
      <w:r w:rsidRPr="004653D0">
        <w:t>Karspüle</w:t>
      </w:r>
      <w:proofErr w:type="spellEnd"/>
      <w:r w:rsidRPr="004653D0">
        <w:t xml:space="preserve"> 2, 37073 Göttingen, Germany; vlada1996batalova@mail.ru (V.B.); j.christiansen@bio.uni-goettingen.de (J.C. (</w:t>
      </w:r>
      <w:proofErr w:type="spellStart"/>
      <w:r w:rsidRPr="004653D0">
        <w:t>Jörg</w:t>
      </w:r>
      <w:proofErr w:type="spellEnd"/>
      <w:r w:rsidRPr="004653D0">
        <w:t xml:space="preserve"> Christiansen)); alisakasianova@gmail.com (A.K.); eloukanina@mail.ru (E.L.); shumilovskikh@gmail.com (L.S.); voigt.buss@snafu.de (R.V.)</w:t>
      </w:r>
    </w:p>
    <w:p w14:paraId="17810DCD" w14:textId="77777777" w:rsidR="004653D0" w:rsidRPr="004653D0" w:rsidRDefault="004653D0" w:rsidP="004653D0">
      <w:pPr>
        <w:pStyle w:val="MDPI16affiliation"/>
      </w:pPr>
      <w:r w:rsidRPr="004653D0">
        <w:rPr>
          <w:vertAlign w:val="superscript"/>
        </w:rPr>
        <w:t>20</w:t>
      </w:r>
      <w:r w:rsidRPr="004653D0">
        <w:t xml:space="preserve"> The Archaeologists, National Historical Museums, Stockholm, Sweden; jonas.bergman@arkeologerna.com (J.B.); per.lageras@arkeologerna.com (P.L.)</w:t>
      </w:r>
    </w:p>
    <w:p w14:paraId="4CFB2F5D" w14:textId="77777777" w:rsidR="004653D0" w:rsidRPr="004653D0" w:rsidRDefault="004653D0" w:rsidP="004653D0">
      <w:pPr>
        <w:pStyle w:val="MDPI16affiliation"/>
      </w:pPr>
      <w:r w:rsidRPr="004653D0">
        <w:rPr>
          <w:vertAlign w:val="superscript"/>
        </w:rPr>
        <w:t>21</w:t>
      </w:r>
      <w:r w:rsidRPr="004653D0">
        <w:t xml:space="preserve"> Department of Biological Sciences, </w:t>
      </w:r>
      <w:proofErr w:type="spellStart"/>
      <w:r w:rsidRPr="004653D0">
        <w:t>Bjerknes</w:t>
      </w:r>
      <w:proofErr w:type="spellEnd"/>
      <w:r w:rsidRPr="004653D0">
        <w:t xml:space="preserve"> Centre for Climate Research, University of Bergen, Bergen, Norway; John.Birks@uib.no (H.J.B.B.); Anne.Bjune@uib.no (A.E.B.)</w:t>
      </w:r>
    </w:p>
    <w:p w14:paraId="5B54DDF9" w14:textId="77777777" w:rsidR="004653D0" w:rsidRPr="004653D0" w:rsidRDefault="004653D0" w:rsidP="004653D0">
      <w:pPr>
        <w:pStyle w:val="MDPI16affiliation"/>
      </w:pPr>
      <w:r w:rsidRPr="004653D0">
        <w:rPr>
          <w:vertAlign w:val="superscript"/>
        </w:rPr>
        <w:t>22</w:t>
      </w:r>
      <w:r w:rsidRPr="004653D0">
        <w:t xml:space="preserve"> Department of Quaternary Geology, Lund University, </w:t>
      </w:r>
      <w:proofErr w:type="spellStart"/>
      <w:r w:rsidRPr="004653D0">
        <w:t>Tornav</w:t>
      </w:r>
      <w:r w:rsidRPr="004653D0">
        <w:rPr>
          <w:rFonts w:ascii="Times New Roman" w:hAnsi="Times New Roman"/>
        </w:rPr>
        <w:t>̈</w:t>
      </w:r>
      <w:r w:rsidRPr="004653D0">
        <w:t>agen</w:t>
      </w:r>
      <w:proofErr w:type="spellEnd"/>
      <w:r w:rsidRPr="004653D0">
        <w:t xml:space="preserve"> 13, S-223-63 Lund, Sweden; leif.bjorkman@viscum.se (L.B. (Leif </w:t>
      </w:r>
      <w:proofErr w:type="spellStart"/>
      <w:r w:rsidRPr="004653D0">
        <w:t>Bj</w:t>
      </w:r>
      <w:r w:rsidRPr="004653D0">
        <w:rPr>
          <w:rFonts w:cs="Palatino Linotype"/>
        </w:rPr>
        <w:t>ö</w:t>
      </w:r>
      <w:r w:rsidRPr="004653D0">
        <w:t>rkman</w:t>
      </w:r>
      <w:proofErr w:type="spellEnd"/>
      <w:r w:rsidRPr="004653D0">
        <w:t>))</w:t>
      </w:r>
    </w:p>
    <w:p w14:paraId="61D47578" w14:textId="77777777" w:rsidR="004653D0" w:rsidRPr="004653D0" w:rsidRDefault="004653D0" w:rsidP="004653D0">
      <w:pPr>
        <w:pStyle w:val="MDPI16affiliation"/>
      </w:pPr>
      <w:r w:rsidRPr="004653D0">
        <w:rPr>
          <w:vertAlign w:val="superscript"/>
        </w:rPr>
        <w:t>23</w:t>
      </w:r>
      <w:r w:rsidRPr="004653D0">
        <w:t xml:space="preserve"> Institute of Geography Russian Academy of Sciences, Moscow, Russia; olgakborisova@gmail.com (O.B.)</w:t>
      </w:r>
    </w:p>
    <w:p w14:paraId="2EAB5888" w14:textId="77777777" w:rsidR="004653D0" w:rsidRPr="004653D0" w:rsidRDefault="004653D0" w:rsidP="004653D0">
      <w:pPr>
        <w:pStyle w:val="MDPI16affiliation"/>
      </w:pPr>
      <w:r w:rsidRPr="004653D0">
        <w:rPr>
          <w:vertAlign w:val="superscript"/>
        </w:rPr>
        <w:t xml:space="preserve">24 </w:t>
      </w:r>
      <w:r w:rsidRPr="004653D0">
        <w:t xml:space="preserve">Division of Geography and Tourism, Department of Earth and Environmental Sciences, KU Leuven, </w:t>
      </w:r>
      <w:proofErr w:type="spellStart"/>
      <w:r w:rsidRPr="004653D0">
        <w:t>Celestijnenlaan</w:t>
      </w:r>
      <w:proofErr w:type="spellEnd"/>
      <w:r w:rsidRPr="004653D0">
        <w:t xml:space="preserve"> 200E, B-3001, </w:t>
      </w:r>
      <w:proofErr w:type="spellStart"/>
      <w:r w:rsidRPr="004653D0">
        <w:t>Heverlee</w:t>
      </w:r>
      <w:proofErr w:type="spellEnd"/>
      <w:r w:rsidRPr="004653D0">
        <w:t>, Belgium; nils.broothaerts@kuleuven.be (N.B.); gert.verstraeten@kuleuven.be (G.V.)</w:t>
      </w:r>
    </w:p>
    <w:p w14:paraId="7E702E5F" w14:textId="77777777" w:rsidR="004653D0" w:rsidRPr="004653D0" w:rsidRDefault="004653D0" w:rsidP="004653D0">
      <w:pPr>
        <w:pStyle w:val="MDPI16affiliation"/>
      </w:pPr>
      <w:r w:rsidRPr="004653D0">
        <w:rPr>
          <w:vertAlign w:val="superscript"/>
        </w:rPr>
        <w:t xml:space="preserve">25 </w:t>
      </w:r>
      <w:proofErr w:type="spellStart"/>
      <w:r w:rsidRPr="004653D0">
        <w:t>Departamento</w:t>
      </w:r>
      <w:proofErr w:type="spellEnd"/>
      <w:r w:rsidRPr="004653D0">
        <w:t xml:space="preserve"> de </w:t>
      </w:r>
      <w:proofErr w:type="spellStart"/>
      <w:r w:rsidRPr="004653D0">
        <w:t>Biología</w:t>
      </w:r>
      <w:proofErr w:type="spellEnd"/>
      <w:r w:rsidRPr="004653D0">
        <w:t xml:space="preserve"> Vegetal, </w:t>
      </w:r>
      <w:proofErr w:type="spellStart"/>
      <w:r w:rsidRPr="004653D0">
        <w:t>Facultad</w:t>
      </w:r>
      <w:proofErr w:type="spellEnd"/>
      <w:r w:rsidRPr="004653D0">
        <w:t xml:space="preserve"> de </w:t>
      </w:r>
      <w:proofErr w:type="spellStart"/>
      <w:r w:rsidRPr="004653D0">
        <w:t>Biología</w:t>
      </w:r>
      <w:proofErr w:type="spellEnd"/>
      <w:r w:rsidRPr="004653D0">
        <w:t>, Universidad de Murcia, 30100 Murcia, Spain; carrion@um.es (J.C. (José Carrion))</w:t>
      </w:r>
    </w:p>
    <w:p w14:paraId="30AFF1F7" w14:textId="77777777" w:rsidR="004653D0" w:rsidRPr="004653D0" w:rsidRDefault="004653D0" w:rsidP="004653D0">
      <w:pPr>
        <w:pStyle w:val="MDPI16affiliation"/>
      </w:pPr>
      <w:r w:rsidRPr="004653D0">
        <w:rPr>
          <w:vertAlign w:val="superscript"/>
        </w:rPr>
        <w:t>26</w:t>
      </w:r>
      <w:r w:rsidRPr="004653D0">
        <w:t xml:space="preserve"> College of Life and Environmental Sciences, University of </w:t>
      </w:r>
      <w:proofErr w:type="spellStart"/>
      <w:proofErr w:type="gramStart"/>
      <w:r w:rsidRPr="004653D0">
        <w:t>Exeter,Treliever</w:t>
      </w:r>
      <w:proofErr w:type="spellEnd"/>
      <w:proofErr w:type="gramEnd"/>
      <w:r w:rsidRPr="004653D0">
        <w:t xml:space="preserve"> Road, Penryn, TR10 9FE, UK; C.J.Caseldine@exeter.ac.uk (C.C.)</w:t>
      </w:r>
    </w:p>
    <w:p w14:paraId="68E26985" w14:textId="77777777" w:rsidR="004653D0" w:rsidRPr="004653D0" w:rsidRDefault="004653D0" w:rsidP="004653D0">
      <w:pPr>
        <w:pStyle w:val="MDPI16affiliation"/>
      </w:pPr>
      <w:r w:rsidRPr="004653D0">
        <w:rPr>
          <w:vertAlign w:val="superscript"/>
        </w:rPr>
        <w:t>27</w:t>
      </w:r>
      <w:r w:rsidRPr="004653D0">
        <w:t xml:space="preserve"> Key Laboratory of Land Surface Pattern and Simulation, Institute of Geographic Sciences and Natural Resources Research, Chinese Academy of Sciences, Beijing, 100101, China; qiaoyu.cui@igsnrr.ac.cn (Q.C.)</w:t>
      </w:r>
    </w:p>
    <w:p w14:paraId="50F6F685" w14:textId="77777777" w:rsidR="004653D0" w:rsidRPr="004653D0" w:rsidRDefault="004653D0" w:rsidP="004653D0">
      <w:pPr>
        <w:pStyle w:val="MDPI16affiliation"/>
        <w:rPr>
          <w:lang w:val="fr-FR"/>
        </w:rPr>
      </w:pPr>
      <w:r w:rsidRPr="004653D0">
        <w:rPr>
          <w:vertAlign w:val="superscript"/>
        </w:rPr>
        <w:t>28</w:t>
      </w:r>
      <w:r w:rsidRPr="004653D0">
        <w:t xml:space="preserve"> Institute of Heritage Sciences, National Spanish Research Council (INCIPIT-CSIC). </w:t>
      </w:r>
      <w:proofErr w:type="spellStart"/>
      <w:r w:rsidRPr="004653D0">
        <w:rPr>
          <w:lang w:val="fr-FR"/>
        </w:rPr>
        <w:t>Edificio</w:t>
      </w:r>
      <w:proofErr w:type="spellEnd"/>
      <w:r w:rsidRPr="004653D0">
        <w:rPr>
          <w:lang w:val="fr-FR"/>
        </w:rPr>
        <w:t xml:space="preserve"> </w:t>
      </w:r>
      <w:proofErr w:type="spellStart"/>
      <w:r w:rsidRPr="004653D0">
        <w:rPr>
          <w:lang w:val="fr-FR"/>
        </w:rPr>
        <w:t>Fontán</w:t>
      </w:r>
      <w:proofErr w:type="spellEnd"/>
      <w:r w:rsidRPr="004653D0">
        <w:rPr>
          <w:lang w:val="fr-FR"/>
        </w:rPr>
        <w:t xml:space="preserve"> Bloque 4, Monte </w:t>
      </w:r>
      <w:proofErr w:type="spellStart"/>
      <w:r w:rsidRPr="004653D0">
        <w:rPr>
          <w:lang w:val="fr-FR"/>
        </w:rPr>
        <w:t>Gaiás</w:t>
      </w:r>
      <w:proofErr w:type="spellEnd"/>
      <w:r w:rsidRPr="004653D0">
        <w:rPr>
          <w:lang w:val="fr-FR"/>
        </w:rPr>
        <w:t xml:space="preserve">, 15707 Santiago de </w:t>
      </w:r>
      <w:proofErr w:type="spellStart"/>
      <w:r w:rsidRPr="004653D0">
        <w:rPr>
          <w:lang w:val="fr-FR"/>
        </w:rPr>
        <w:t>Compostela</w:t>
      </w:r>
      <w:proofErr w:type="spellEnd"/>
      <w:r w:rsidRPr="004653D0">
        <w:rPr>
          <w:lang w:val="fr-FR"/>
        </w:rPr>
        <w:t xml:space="preserve">, </w:t>
      </w:r>
      <w:proofErr w:type="gramStart"/>
      <w:r w:rsidRPr="004653D0">
        <w:rPr>
          <w:lang w:val="fr-FR"/>
        </w:rPr>
        <w:t>Spain;</w:t>
      </w:r>
      <w:proofErr w:type="gramEnd"/>
      <w:r w:rsidRPr="004653D0">
        <w:rPr>
          <w:lang w:val="fr-FR"/>
        </w:rPr>
        <w:t xml:space="preserve"> andrescurras@gmail.com (A.C.)</w:t>
      </w:r>
    </w:p>
    <w:p w14:paraId="2D5C390A" w14:textId="77777777" w:rsidR="004653D0" w:rsidRPr="004653D0" w:rsidRDefault="004653D0" w:rsidP="004653D0">
      <w:pPr>
        <w:pStyle w:val="MDPI16affiliation"/>
      </w:pPr>
      <w:r w:rsidRPr="004653D0">
        <w:rPr>
          <w:vertAlign w:val="superscript"/>
        </w:rPr>
        <w:t>29</w:t>
      </w:r>
      <w:r w:rsidRPr="004653D0">
        <w:t xml:space="preserve"> Climate Change Ecology Research Unit, Adam Mickiewicz University, </w:t>
      </w:r>
      <w:proofErr w:type="spellStart"/>
      <w:r w:rsidRPr="004653D0">
        <w:t>Poznań</w:t>
      </w:r>
      <w:proofErr w:type="spellEnd"/>
      <w:r w:rsidRPr="004653D0">
        <w:t xml:space="preserve">, </w:t>
      </w:r>
      <w:proofErr w:type="spellStart"/>
      <w:r w:rsidRPr="004653D0">
        <w:t>Bogumiła</w:t>
      </w:r>
      <w:proofErr w:type="spellEnd"/>
      <w:r w:rsidRPr="004653D0">
        <w:t xml:space="preserve"> </w:t>
      </w:r>
      <w:proofErr w:type="spellStart"/>
      <w:r w:rsidRPr="004653D0">
        <w:t>Krygowskiego</w:t>
      </w:r>
      <w:proofErr w:type="spellEnd"/>
      <w:r w:rsidRPr="004653D0">
        <w:t xml:space="preserve"> 10, 61-680 </w:t>
      </w:r>
      <w:proofErr w:type="spellStart"/>
      <w:r w:rsidRPr="004653D0">
        <w:t>Poznań</w:t>
      </w:r>
      <w:proofErr w:type="spellEnd"/>
      <w:r w:rsidRPr="004653D0">
        <w:t>, Poland; sambor.czerwinski@amu.edu.pl (S.C.); monika_kk@interia.eu (M.K.-K.); pkolacz@amu.edu.pl (P.K.)</w:t>
      </w:r>
    </w:p>
    <w:p w14:paraId="4604FD9D" w14:textId="77777777" w:rsidR="004653D0" w:rsidRPr="004653D0" w:rsidRDefault="004653D0" w:rsidP="004653D0">
      <w:pPr>
        <w:pStyle w:val="MDPI16affiliation"/>
        <w:rPr>
          <w:lang w:val="fr-FR"/>
        </w:rPr>
      </w:pPr>
      <w:r w:rsidRPr="004653D0">
        <w:rPr>
          <w:vertAlign w:val="superscript"/>
        </w:rPr>
        <w:t>30</w:t>
      </w:r>
      <w:r w:rsidRPr="004653D0">
        <w:t xml:space="preserve"> Department of Physical Geography, Institute of Geography and Geology, University of Greifswald, Friedrich-Ludwig-Jahn-Str. </w:t>
      </w:r>
      <w:r w:rsidRPr="004653D0">
        <w:rPr>
          <w:lang w:val="fr-FR"/>
        </w:rPr>
        <w:t>16, 17489 Greifswald, Germany; sambor.czerwinski@amu.edu.pl (S.C.)</w:t>
      </w:r>
    </w:p>
    <w:p w14:paraId="488246BA" w14:textId="77777777" w:rsidR="004653D0" w:rsidRPr="004653D0" w:rsidRDefault="004653D0" w:rsidP="004653D0">
      <w:pPr>
        <w:pStyle w:val="MDPI16affiliation"/>
        <w:rPr>
          <w:lang w:val="fr-FR"/>
        </w:rPr>
      </w:pPr>
      <w:r w:rsidRPr="004653D0">
        <w:rPr>
          <w:vertAlign w:val="superscript"/>
          <w:lang w:val="fr-FR"/>
        </w:rPr>
        <w:t>31</w:t>
      </w:r>
      <w:r w:rsidRPr="004653D0">
        <w:rPr>
          <w:lang w:val="fr-FR"/>
        </w:rPr>
        <w:t xml:space="preserve"> </w:t>
      </w:r>
      <w:proofErr w:type="spellStart"/>
      <w:r w:rsidRPr="004653D0">
        <w:rPr>
          <w:lang w:val="fr-FR"/>
        </w:rPr>
        <w:t>Archeosciences</w:t>
      </w:r>
      <w:proofErr w:type="spellEnd"/>
      <w:r w:rsidRPr="004653D0">
        <w:rPr>
          <w:lang w:val="fr-FR"/>
        </w:rPr>
        <w:t xml:space="preserve"> Laboratory, UMR 6566 </w:t>
      </w:r>
      <w:proofErr w:type="spellStart"/>
      <w:r w:rsidRPr="004653D0">
        <w:rPr>
          <w:lang w:val="fr-FR"/>
        </w:rPr>
        <w:t>CReAAH</w:t>
      </w:r>
      <w:proofErr w:type="spellEnd"/>
      <w:r w:rsidRPr="004653D0">
        <w:rPr>
          <w:lang w:val="fr-FR"/>
        </w:rPr>
        <w:t xml:space="preserve">, CNRS, Université de Rennes 1, Rennes, </w:t>
      </w:r>
      <w:proofErr w:type="gramStart"/>
      <w:r w:rsidRPr="004653D0">
        <w:rPr>
          <w:lang w:val="fr-FR"/>
        </w:rPr>
        <w:t>France;</w:t>
      </w:r>
      <w:proofErr w:type="gramEnd"/>
      <w:r w:rsidRPr="004653D0">
        <w:rPr>
          <w:lang w:val="fr-FR"/>
        </w:rPr>
        <w:t xml:space="preserve"> r.david@cbnsa.fr (R.D.) ; chantal.leroyer@univ-rennes1.fr (C.L.)</w:t>
      </w:r>
    </w:p>
    <w:p w14:paraId="48E02D7A" w14:textId="77777777" w:rsidR="004653D0" w:rsidRPr="004653D0" w:rsidRDefault="004653D0" w:rsidP="004653D0">
      <w:pPr>
        <w:pStyle w:val="MDPI16affiliation"/>
      </w:pPr>
      <w:r w:rsidRPr="004653D0">
        <w:rPr>
          <w:vertAlign w:val="superscript"/>
        </w:rPr>
        <w:t>32</w:t>
      </w:r>
      <w:r w:rsidRPr="004653D0">
        <w:t xml:space="preserve"> School of Geography and Sustainable Development, University of St Andrews, Irvine Building, North Street, St Andrews, Fife KY16 9AL, UK; ald7@st-andrews.ac.uk (A.D.)</w:t>
      </w:r>
    </w:p>
    <w:p w14:paraId="5B3D8E57" w14:textId="77777777" w:rsidR="004653D0" w:rsidRPr="004653D0" w:rsidRDefault="004653D0" w:rsidP="004653D0">
      <w:pPr>
        <w:pStyle w:val="MDPI16affiliation"/>
      </w:pPr>
      <w:r w:rsidRPr="004653D0">
        <w:rPr>
          <w:vertAlign w:val="superscript"/>
        </w:rPr>
        <w:t>33</w:t>
      </w:r>
      <w:r w:rsidRPr="004653D0">
        <w:t xml:space="preserve"> Department of Earth and Ecosystem Sciences, Lund University, 22362 Lund, Sweden; rixt.de.jong@noord-holland.nl (R.D.J.)</w:t>
      </w:r>
    </w:p>
    <w:p w14:paraId="638A8475" w14:textId="77777777" w:rsidR="004653D0" w:rsidRPr="004653D0" w:rsidRDefault="004653D0" w:rsidP="004653D0">
      <w:pPr>
        <w:pStyle w:val="MDPI16affiliation"/>
      </w:pPr>
      <w:r w:rsidRPr="004653D0">
        <w:rPr>
          <w:vertAlign w:val="superscript"/>
        </w:rPr>
        <w:t>34</w:t>
      </w:r>
      <w:r w:rsidRPr="004653D0">
        <w:t xml:space="preserve"> </w:t>
      </w:r>
      <w:proofErr w:type="spellStart"/>
      <w:r w:rsidRPr="004653D0">
        <w:t>Dipartimento</w:t>
      </w:r>
      <w:proofErr w:type="spellEnd"/>
      <w:r w:rsidRPr="004653D0">
        <w:t xml:space="preserve"> di </w:t>
      </w:r>
      <w:proofErr w:type="spellStart"/>
      <w:r w:rsidRPr="004653D0">
        <w:t>Biologia</w:t>
      </w:r>
      <w:proofErr w:type="spellEnd"/>
      <w:r w:rsidRPr="004653D0">
        <w:t xml:space="preserve"> </w:t>
      </w:r>
      <w:proofErr w:type="spellStart"/>
      <w:r w:rsidRPr="004653D0">
        <w:t>Vegetale</w:t>
      </w:r>
      <w:proofErr w:type="spellEnd"/>
      <w:r w:rsidRPr="004653D0">
        <w:t xml:space="preserve">, Sapienza </w:t>
      </w:r>
      <w:proofErr w:type="spellStart"/>
      <w:r w:rsidRPr="004653D0">
        <w:t>Università</w:t>
      </w:r>
      <w:proofErr w:type="spellEnd"/>
      <w:r w:rsidRPr="004653D0">
        <w:t xml:space="preserve"> di Roma, </w:t>
      </w:r>
      <w:proofErr w:type="spellStart"/>
      <w:proofErr w:type="gramStart"/>
      <w:r w:rsidRPr="004653D0">
        <w:t>P.le</w:t>
      </w:r>
      <w:proofErr w:type="spellEnd"/>
      <w:proofErr w:type="gramEnd"/>
      <w:r w:rsidRPr="004653D0">
        <w:t xml:space="preserve"> Aldo Moro 5, 00185 Roma, Italy; federico.dirita@uniroma1.it (F.D.R.); donatella.magri@uniroma1.it (D.M. (Donatella </w:t>
      </w:r>
      <w:proofErr w:type="spellStart"/>
      <w:r w:rsidRPr="004653D0">
        <w:t>Magri</w:t>
      </w:r>
      <w:proofErr w:type="spellEnd"/>
      <w:r w:rsidRPr="004653D0">
        <w:t>))</w:t>
      </w:r>
    </w:p>
    <w:p w14:paraId="54086913" w14:textId="77777777" w:rsidR="004653D0" w:rsidRPr="004653D0" w:rsidRDefault="004653D0" w:rsidP="004653D0">
      <w:pPr>
        <w:pStyle w:val="MDPI16affiliation"/>
      </w:pPr>
      <w:r w:rsidRPr="004653D0">
        <w:rPr>
          <w:vertAlign w:val="superscript"/>
        </w:rPr>
        <w:t>35</w:t>
      </w:r>
      <w:r w:rsidRPr="004653D0">
        <w:t xml:space="preserve"> </w:t>
      </w:r>
      <w:proofErr w:type="spellStart"/>
      <w:r w:rsidRPr="004653D0">
        <w:t>Institut</w:t>
      </w:r>
      <w:proofErr w:type="spellEnd"/>
      <w:r w:rsidRPr="004653D0">
        <w:t xml:space="preserve"> für </w:t>
      </w:r>
      <w:proofErr w:type="spellStart"/>
      <w:r w:rsidRPr="004653D0">
        <w:t>Botanik</w:t>
      </w:r>
      <w:proofErr w:type="spellEnd"/>
      <w:r w:rsidRPr="004653D0">
        <w:t xml:space="preserve">, Universität Innsbruck, </w:t>
      </w:r>
      <w:proofErr w:type="spellStart"/>
      <w:r w:rsidRPr="004653D0">
        <w:t>Sternwartstraße</w:t>
      </w:r>
      <w:proofErr w:type="spellEnd"/>
      <w:r w:rsidRPr="004653D0">
        <w:t xml:space="preserve"> 15, 6020 Innsbruck, Austria; benjamin.dietre@outlook.com (B.D.); jean-nicolas.haas@uibk.ac.at (J.N.H.); Laurent.Marquer@uibk.ac.at (L.M. (Laurent </w:t>
      </w:r>
      <w:proofErr w:type="spellStart"/>
      <w:r w:rsidRPr="004653D0">
        <w:t>Marquer</w:t>
      </w:r>
      <w:proofErr w:type="spellEnd"/>
      <w:r w:rsidRPr="004653D0">
        <w:t>))</w:t>
      </w:r>
    </w:p>
    <w:p w14:paraId="61B3DF4F" w14:textId="77777777" w:rsidR="004653D0" w:rsidRPr="004653D0" w:rsidRDefault="004653D0" w:rsidP="004653D0">
      <w:pPr>
        <w:pStyle w:val="MDPI16affiliation"/>
      </w:pPr>
      <w:r w:rsidRPr="004653D0">
        <w:rPr>
          <w:vertAlign w:val="superscript"/>
        </w:rPr>
        <w:t>36</w:t>
      </w:r>
      <w:r w:rsidRPr="004653D0">
        <w:t xml:space="preserve"> </w:t>
      </w:r>
      <w:proofErr w:type="spellStart"/>
      <w:r w:rsidRPr="004653D0">
        <w:t>Institut</w:t>
      </w:r>
      <w:proofErr w:type="spellEnd"/>
      <w:r w:rsidRPr="004653D0">
        <w:t xml:space="preserve"> für Ur- und </w:t>
      </w:r>
      <w:proofErr w:type="spellStart"/>
      <w:r w:rsidRPr="004653D0">
        <w:t>Frühgeschichte</w:t>
      </w:r>
      <w:proofErr w:type="spellEnd"/>
      <w:r w:rsidRPr="004653D0">
        <w:t>, Christian-</w:t>
      </w:r>
      <w:proofErr w:type="spellStart"/>
      <w:r w:rsidRPr="004653D0">
        <w:t>Albrechts</w:t>
      </w:r>
      <w:proofErr w:type="spellEnd"/>
      <w:r w:rsidRPr="004653D0">
        <w:t xml:space="preserve"> University, Kiel, Germany; wdoerfler@ufg.uni-kiel.de (W.D.); ifeeser@ufg.uni-kiel.de (I.F.)</w:t>
      </w:r>
    </w:p>
    <w:p w14:paraId="4C8AB8A2" w14:textId="77777777" w:rsidR="004653D0" w:rsidRPr="004653D0" w:rsidRDefault="004653D0" w:rsidP="004653D0">
      <w:pPr>
        <w:pStyle w:val="MDPI16affiliation"/>
        <w:rPr>
          <w:lang w:val="fr-FR"/>
        </w:rPr>
      </w:pPr>
      <w:r w:rsidRPr="004653D0">
        <w:rPr>
          <w:vertAlign w:val="superscript"/>
          <w:lang w:val="fr-FR"/>
        </w:rPr>
        <w:t>37</w:t>
      </w:r>
      <w:r w:rsidRPr="004653D0">
        <w:rPr>
          <w:lang w:val="fr-FR"/>
        </w:rPr>
        <w:t xml:space="preserve"> </w:t>
      </w:r>
      <w:proofErr w:type="spellStart"/>
      <w:r w:rsidRPr="004653D0">
        <w:rPr>
          <w:lang w:val="fr-FR"/>
        </w:rPr>
        <w:t>Paleobotalab</w:t>
      </w:r>
      <w:proofErr w:type="spellEnd"/>
      <w:r w:rsidRPr="004653D0">
        <w:rPr>
          <w:lang w:val="fr-FR"/>
        </w:rPr>
        <w:t xml:space="preserve">, Bureau d’étude spécialisé en reconstitution des paléoenvironnements à partir de vestiges botaniques, 01300 Nattages, </w:t>
      </w:r>
      <w:proofErr w:type="gramStart"/>
      <w:r w:rsidRPr="004653D0">
        <w:rPr>
          <w:lang w:val="fr-FR"/>
        </w:rPr>
        <w:t>France;</w:t>
      </w:r>
      <w:proofErr w:type="gramEnd"/>
      <w:r w:rsidRPr="004653D0">
        <w:rPr>
          <w:lang w:val="fr-FR"/>
        </w:rPr>
        <w:t xml:space="preserve"> paleobotalab@gmail.com (E.D.)</w:t>
      </w:r>
    </w:p>
    <w:p w14:paraId="00D9FE04" w14:textId="77777777" w:rsidR="004653D0" w:rsidRPr="004653D0" w:rsidRDefault="004653D0" w:rsidP="004653D0">
      <w:pPr>
        <w:pStyle w:val="MDPI16affiliation"/>
      </w:pPr>
      <w:r w:rsidRPr="004653D0">
        <w:rPr>
          <w:vertAlign w:val="superscript"/>
        </w:rPr>
        <w:t>38</w:t>
      </w:r>
      <w:r w:rsidRPr="004653D0">
        <w:t xml:space="preserve"> Departments of Geography &amp; Environment and Archaeology, School of Geosciences, University of Aberdeen, St Mary's, Elphinstone Road, Aberdeen AB24 3UF, UK; kevin.edwards@abdn.ac.uk (K.J.E.); t.mighall@abdn.ac.uk (T.M.)</w:t>
      </w:r>
    </w:p>
    <w:p w14:paraId="45F286CA" w14:textId="77777777" w:rsidR="004653D0" w:rsidRPr="004653D0" w:rsidRDefault="004653D0" w:rsidP="004653D0">
      <w:pPr>
        <w:pStyle w:val="MDPI16affiliation"/>
      </w:pPr>
      <w:r w:rsidRPr="004653D0">
        <w:rPr>
          <w:vertAlign w:val="superscript"/>
        </w:rPr>
        <w:t>39</w:t>
      </w:r>
      <w:r w:rsidRPr="004653D0">
        <w:t xml:space="preserve"> McDonald Institute for Archaeological Research and Scott Polar Research Institute, University of Cambridge, Cambridge, UK; kevin.edwards@abdn.ac.uk (K.J.E.)</w:t>
      </w:r>
    </w:p>
    <w:p w14:paraId="0429DB17" w14:textId="77777777" w:rsidR="004653D0" w:rsidRPr="004653D0" w:rsidRDefault="004653D0" w:rsidP="004653D0">
      <w:pPr>
        <w:pStyle w:val="MDPI16affiliation"/>
      </w:pPr>
      <w:r w:rsidRPr="004653D0">
        <w:rPr>
          <w:vertAlign w:val="superscript"/>
        </w:rPr>
        <w:t>40</w:t>
      </w:r>
      <w:r w:rsidRPr="004653D0">
        <w:t xml:space="preserve"> ISEM, Univ Montpellier, CNRS, IRD, France; ana.ejarque@umontpellier.fr (A.E.); reyes.luelmo@gmail.com (R.L.-L.)</w:t>
      </w:r>
    </w:p>
    <w:p w14:paraId="54C6A8EB" w14:textId="77777777" w:rsidR="004653D0" w:rsidRPr="004653D0" w:rsidRDefault="004653D0" w:rsidP="004653D0">
      <w:pPr>
        <w:pStyle w:val="MDPI16affiliation"/>
      </w:pPr>
      <w:r w:rsidRPr="004653D0">
        <w:rPr>
          <w:vertAlign w:val="superscript"/>
        </w:rPr>
        <w:t>41</w:t>
      </w:r>
      <w:r w:rsidRPr="004653D0">
        <w:t xml:space="preserve"> </w:t>
      </w:r>
      <w:proofErr w:type="spellStart"/>
      <w:r w:rsidRPr="004653D0">
        <w:t>Landesamt</w:t>
      </w:r>
      <w:proofErr w:type="spellEnd"/>
      <w:r w:rsidRPr="004653D0">
        <w:t xml:space="preserve"> für </w:t>
      </w:r>
      <w:proofErr w:type="spellStart"/>
      <w:r w:rsidRPr="004653D0">
        <w:t>Geologie</w:t>
      </w:r>
      <w:proofErr w:type="spellEnd"/>
      <w:r w:rsidRPr="004653D0">
        <w:t xml:space="preserve"> und </w:t>
      </w:r>
      <w:proofErr w:type="spellStart"/>
      <w:r w:rsidRPr="004653D0">
        <w:t>Bergwesen</w:t>
      </w:r>
      <w:proofErr w:type="spellEnd"/>
      <w:r w:rsidRPr="004653D0">
        <w:t xml:space="preserve">, Ander </w:t>
      </w:r>
      <w:proofErr w:type="spellStart"/>
      <w:r w:rsidRPr="004653D0">
        <w:t>Fliederwegkaserne</w:t>
      </w:r>
      <w:proofErr w:type="spellEnd"/>
      <w:r w:rsidRPr="004653D0">
        <w:t xml:space="preserve"> 13, 06130 Halle/S., Germany; Elisabeth-Barbara.Endtmann@sachsen-anhalt.de (E.E.)</w:t>
      </w:r>
    </w:p>
    <w:p w14:paraId="644B159D" w14:textId="77777777" w:rsidR="004653D0" w:rsidRPr="004653D0" w:rsidRDefault="004653D0" w:rsidP="004653D0">
      <w:pPr>
        <w:pStyle w:val="MDPI16affiliation"/>
      </w:pPr>
      <w:r w:rsidRPr="004653D0">
        <w:rPr>
          <w:vertAlign w:val="superscript"/>
        </w:rPr>
        <w:t>42</w:t>
      </w:r>
      <w:r w:rsidRPr="004653D0">
        <w:t xml:space="preserve"> French National Institute for Agriculture, Food, and Environment (INRAE), </w:t>
      </w:r>
      <w:proofErr w:type="spellStart"/>
      <w:r w:rsidRPr="004653D0">
        <w:t>Savoie</w:t>
      </w:r>
      <w:proofErr w:type="spellEnd"/>
      <w:r w:rsidRPr="004653D0">
        <w:t xml:space="preserve"> Mont Blanc University, </w:t>
      </w:r>
      <w:proofErr w:type="spellStart"/>
      <w:r w:rsidRPr="004653D0">
        <w:t>Chambéry</w:t>
      </w:r>
      <w:proofErr w:type="spellEnd"/>
      <w:r w:rsidRPr="004653D0">
        <w:t>, France; david.etienne@univ-smb.fr (D.E.)</w:t>
      </w:r>
    </w:p>
    <w:p w14:paraId="2F89047F" w14:textId="77777777" w:rsidR="004653D0" w:rsidRPr="004653D0" w:rsidRDefault="004653D0" w:rsidP="004653D0">
      <w:pPr>
        <w:pStyle w:val="MDPI16affiliation"/>
      </w:pPr>
      <w:r w:rsidRPr="004653D0">
        <w:rPr>
          <w:vertAlign w:val="superscript"/>
        </w:rPr>
        <w:t>43</w:t>
      </w:r>
      <w:r w:rsidRPr="004653D0">
        <w:t xml:space="preserve"> University Paris-</w:t>
      </w:r>
      <w:proofErr w:type="spellStart"/>
      <w:r w:rsidRPr="004653D0">
        <w:t>Saclay</w:t>
      </w:r>
      <w:proofErr w:type="spellEnd"/>
      <w:r w:rsidRPr="004653D0">
        <w:t xml:space="preserve">, UVSQ, </w:t>
      </w:r>
      <w:proofErr w:type="spellStart"/>
      <w:r w:rsidRPr="004653D0">
        <w:t>Inserm</w:t>
      </w:r>
      <w:proofErr w:type="spellEnd"/>
      <w:r w:rsidRPr="004653D0">
        <w:t xml:space="preserve">, Gustave </w:t>
      </w:r>
      <w:proofErr w:type="spellStart"/>
      <w:r w:rsidRPr="004653D0">
        <w:t>Roussy</w:t>
      </w:r>
      <w:proofErr w:type="spellEnd"/>
      <w:r w:rsidRPr="004653D0">
        <w:t>, “Exposome and Heredity” Team, CESP UMR1018, 94805 Villejuif, France; elo_faure@yahoo.fr (E.F. (Elodie Faure))</w:t>
      </w:r>
    </w:p>
    <w:p w14:paraId="367E5B85" w14:textId="77777777" w:rsidR="004653D0" w:rsidRPr="004653D0" w:rsidRDefault="004653D0" w:rsidP="004653D0">
      <w:pPr>
        <w:pStyle w:val="MDPI16affiliation"/>
      </w:pPr>
      <w:r w:rsidRPr="004653D0">
        <w:rPr>
          <w:vertAlign w:val="superscript"/>
        </w:rPr>
        <w:t>44</w:t>
      </w:r>
      <w:r w:rsidRPr="004653D0">
        <w:t xml:space="preserve"> Department of Physical Geography, Goethe University, Frankfurt am Main, </w:t>
      </w:r>
      <w:proofErr w:type="gramStart"/>
      <w:r w:rsidRPr="004653D0">
        <w:t>Germany;</w:t>
      </w:r>
      <w:proofErr w:type="gramEnd"/>
      <w:r w:rsidRPr="004653D0">
        <w:t xml:space="preserve"> feurdean@em.uni-frankfurt.de (A.F.)</w:t>
      </w:r>
    </w:p>
    <w:p w14:paraId="2889DFEC" w14:textId="77777777" w:rsidR="004653D0" w:rsidRPr="004653D0" w:rsidRDefault="004653D0" w:rsidP="004653D0">
      <w:pPr>
        <w:pStyle w:val="MDPI16affiliation"/>
      </w:pPr>
      <w:r w:rsidRPr="004653D0">
        <w:rPr>
          <w:vertAlign w:val="superscript"/>
        </w:rPr>
        <w:t>45</w:t>
      </w:r>
      <w:r w:rsidRPr="004653D0">
        <w:t xml:space="preserve"> STAR-UBB Institute, </w:t>
      </w:r>
      <w:proofErr w:type="spellStart"/>
      <w:r w:rsidRPr="004653D0">
        <w:t>Babeş-Bolyai</w:t>
      </w:r>
      <w:proofErr w:type="spellEnd"/>
      <w:r w:rsidRPr="004653D0">
        <w:t xml:space="preserve"> University, </w:t>
      </w:r>
      <w:proofErr w:type="spellStart"/>
      <w:r w:rsidRPr="004653D0">
        <w:t>Kogălniceanu</w:t>
      </w:r>
      <w:proofErr w:type="spellEnd"/>
      <w:r w:rsidRPr="004653D0">
        <w:t xml:space="preserve"> 1, 400084, Cluj-Napoca, Romania; feurdean@em.uni-frankfurt.de (A.F.)</w:t>
      </w:r>
    </w:p>
    <w:p w14:paraId="4C603C12" w14:textId="77777777" w:rsidR="004653D0" w:rsidRPr="004653D0" w:rsidRDefault="004653D0" w:rsidP="004653D0">
      <w:pPr>
        <w:pStyle w:val="MDPI16affiliation"/>
      </w:pPr>
      <w:r w:rsidRPr="004653D0">
        <w:rPr>
          <w:vertAlign w:val="superscript"/>
        </w:rPr>
        <w:lastRenderedPageBreak/>
        <w:t>46</w:t>
      </w:r>
      <w:r w:rsidRPr="004653D0">
        <w:t xml:space="preserve"> </w:t>
      </w:r>
      <w:proofErr w:type="spellStart"/>
      <w:r w:rsidRPr="004653D0">
        <w:t>Landesamt</w:t>
      </w:r>
      <w:proofErr w:type="spellEnd"/>
      <w:r w:rsidRPr="004653D0">
        <w:t xml:space="preserve"> für </w:t>
      </w:r>
      <w:proofErr w:type="spellStart"/>
      <w:r w:rsidRPr="004653D0">
        <w:t>Denkmalpflege</w:t>
      </w:r>
      <w:proofErr w:type="spellEnd"/>
      <w:r w:rsidRPr="004653D0">
        <w:t xml:space="preserve"> </w:t>
      </w:r>
      <w:proofErr w:type="spellStart"/>
      <w:r w:rsidRPr="004653D0">
        <w:t>im</w:t>
      </w:r>
      <w:proofErr w:type="spellEnd"/>
      <w:r w:rsidRPr="004653D0">
        <w:t xml:space="preserve"> </w:t>
      </w:r>
      <w:proofErr w:type="spellStart"/>
      <w:r w:rsidRPr="004653D0">
        <w:t>Regierungspräsidium</w:t>
      </w:r>
      <w:proofErr w:type="spellEnd"/>
      <w:r w:rsidRPr="004653D0">
        <w:t xml:space="preserve"> Stuttgart, Germany; elske.fischer@t-online.de (E.F. (</w:t>
      </w:r>
      <w:proofErr w:type="spellStart"/>
      <w:r w:rsidRPr="004653D0">
        <w:t>Elske</w:t>
      </w:r>
      <w:proofErr w:type="spellEnd"/>
      <w:r w:rsidRPr="004653D0">
        <w:t xml:space="preserve"> Fischer))</w:t>
      </w:r>
    </w:p>
    <w:p w14:paraId="22ED687D" w14:textId="77777777" w:rsidR="004653D0" w:rsidRPr="004653D0" w:rsidRDefault="004653D0" w:rsidP="004653D0">
      <w:pPr>
        <w:pStyle w:val="MDPI16affiliation"/>
      </w:pPr>
      <w:r w:rsidRPr="004653D0">
        <w:rPr>
          <w:vertAlign w:val="superscript"/>
        </w:rPr>
        <w:t>47</w:t>
      </w:r>
      <w:r w:rsidRPr="004653D0">
        <w:t xml:space="preserve"> Department of Geography, School of Environment, Education and Development, The University of Manchester, Manchester, UK; will.fletcher@manchester.ac.uk (W.F.)</w:t>
      </w:r>
    </w:p>
    <w:p w14:paraId="08CE571C" w14:textId="77777777" w:rsidR="004653D0" w:rsidRPr="004653D0" w:rsidRDefault="004653D0" w:rsidP="004653D0">
      <w:pPr>
        <w:pStyle w:val="MDPI16affiliation"/>
      </w:pPr>
      <w:r w:rsidRPr="004653D0">
        <w:rPr>
          <w:vertAlign w:val="superscript"/>
        </w:rPr>
        <w:t>48</w:t>
      </w:r>
      <w:r w:rsidRPr="004653D0">
        <w:t xml:space="preserve"> </w:t>
      </w:r>
      <w:proofErr w:type="spellStart"/>
      <w:r w:rsidRPr="004653D0">
        <w:t>Departamento</w:t>
      </w:r>
      <w:proofErr w:type="spellEnd"/>
      <w:r w:rsidRPr="004653D0">
        <w:t xml:space="preserve"> de </w:t>
      </w:r>
      <w:proofErr w:type="spellStart"/>
      <w:r w:rsidRPr="004653D0">
        <w:t>Ecología</w:t>
      </w:r>
      <w:proofErr w:type="spellEnd"/>
      <w:r w:rsidRPr="004653D0">
        <w:t xml:space="preserve">, </w:t>
      </w:r>
      <w:proofErr w:type="spellStart"/>
      <w:r w:rsidRPr="004653D0">
        <w:t>Facultad</w:t>
      </w:r>
      <w:proofErr w:type="spellEnd"/>
      <w:r w:rsidRPr="004653D0">
        <w:t xml:space="preserve"> de </w:t>
      </w:r>
      <w:proofErr w:type="spellStart"/>
      <w:r w:rsidRPr="004653D0">
        <w:t>Ciencias</w:t>
      </w:r>
      <w:proofErr w:type="spellEnd"/>
      <w:r w:rsidRPr="004653D0">
        <w:t xml:space="preserve">, Universidad </w:t>
      </w:r>
      <w:proofErr w:type="spellStart"/>
      <w:r w:rsidRPr="004653D0">
        <w:t>Autónoma</w:t>
      </w:r>
      <w:proofErr w:type="spellEnd"/>
      <w:r w:rsidRPr="004653D0">
        <w:t xml:space="preserve"> de Madrid, Madrid, Spain; fatima.franco@uam.es (F.F.-M.)</w:t>
      </w:r>
    </w:p>
    <w:p w14:paraId="6EF07C86" w14:textId="77777777" w:rsidR="004653D0" w:rsidRPr="004653D0" w:rsidRDefault="004653D0" w:rsidP="004653D0">
      <w:pPr>
        <w:pStyle w:val="MDPI16affiliation"/>
      </w:pPr>
      <w:r w:rsidRPr="004653D0">
        <w:rPr>
          <w:vertAlign w:val="superscript"/>
        </w:rPr>
        <w:t>49</w:t>
      </w:r>
      <w:r w:rsidRPr="004653D0">
        <w:t xml:space="preserve"> Museum of Archaeology, University of Stavanger, Stavanger, Norway; daniel.fredh@uis.no (E.D.F.); jutta.lechterbeck@uis.no (J.L. (Jutta </w:t>
      </w:r>
      <w:proofErr w:type="spellStart"/>
      <w:r w:rsidRPr="004653D0">
        <w:t>Lechterbeck</w:t>
      </w:r>
      <w:proofErr w:type="spellEnd"/>
      <w:r w:rsidRPr="004653D0">
        <w:t>))</w:t>
      </w:r>
    </w:p>
    <w:p w14:paraId="1AE61918" w14:textId="77777777" w:rsidR="004653D0" w:rsidRPr="004653D0" w:rsidRDefault="004653D0" w:rsidP="004653D0">
      <w:pPr>
        <w:pStyle w:val="MDPI16affiliation"/>
      </w:pPr>
      <w:r w:rsidRPr="004653D0">
        <w:rPr>
          <w:vertAlign w:val="superscript"/>
        </w:rPr>
        <w:t>50</w:t>
      </w:r>
      <w:r w:rsidRPr="004653D0">
        <w:t xml:space="preserve"> Department of Biosciences, Swansea University, Singleton Park, Swansea, SA2 8PP, U.K; c.froyd@swansea.ac.uk (C.F.)</w:t>
      </w:r>
    </w:p>
    <w:p w14:paraId="085D5D4D" w14:textId="77777777" w:rsidR="004653D0" w:rsidRPr="004653D0" w:rsidRDefault="004653D0" w:rsidP="004653D0">
      <w:pPr>
        <w:pStyle w:val="MDPI16affiliation"/>
      </w:pPr>
      <w:r w:rsidRPr="004653D0">
        <w:rPr>
          <w:vertAlign w:val="superscript"/>
        </w:rPr>
        <w:t>51</w:t>
      </w:r>
      <w:r w:rsidRPr="004653D0">
        <w:t xml:space="preserve"> </w:t>
      </w:r>
      <w:proofErr w:type="spellStart"/>
      <w:r w:rsidRPr="004653D0">
        <w:t>Departament</w:t>
      </w:r>
      <w:proofErr w:type="spellEnd"/>
      <w:r w:rsidRPr="004653D0">
        <w:t xml:space="preserve"> de </w:t>
      </w:r>
      <w:proofErr w:type="spellStart"/>
      <w:r w:rsidRPr="004653D0">
        <w:t>Biologia</w:t>
      </w:r>
      <w:proofErr w:type="spellEnd"/>
      <w:r w:rsidRPr="004653D0">
        <w:t xml:space="preserve"> </w:t>
      </w:r>
      <w:proofErr w:type="spellStart"/>
      <w:r w:rsidRPr="004653D0">
        <w:t>Evolutiva</w:t>
      </w:r>
      <w:proofErr w:type="spellEnd"/>
      <w:r w:rsidRPr="004653D0">
        <w:t xml:space="preserve">, </w:t>
      </w:r>
      <w:proofErr w:type="spellStart"/>
      <w:r w:rsidRPr="004653D0">
        <w:t>Ecologia</w:t>
      </w:r>
      <w:proofErr w:type="spellEnd"/>
      <w:r w:rsidRPr="004653D0">
        <w:t xml:space="preserve"> </w:t>
      </w:r>
      <w:proofErr w:type="spellStart"/>
      <w:r w:rsidRPr="004653D0">
        <w:t>i</w:t>
      </w:r>
      <w:proofErr w:type="spellEnd"/>
      <w:r w:rsidRPr="004653D0">
        <w:t xml:space="preserve"> </w:t>
      </w:r>
      <w:proofErr w:type="spellStart"/>
      <w:r w:rsidRPr="004653D0">
        <w:t>Ciències</w:t>
      </w:r>
      <w:proofErr w:type="spellEnd"/>
      <w:r w:rsidRPr="004653D0">
        <w:t xml:space="preserve"> </w:t>
      </w:r>
      <w:proofErr w:type="spellStart"/>
      <w:r w:rsidRPr="004653D0">
        <w:t>Ambientals</w:t>
      </w:r>
      <w:proofErr w:type="spellEnd"/>
      <w:r w:rsidRPr="004653D0">
        <w:t xml:space="preserve">, </w:t>
      </w:r>
      <w:proofErr w:type="spellStart"/>
      <w:r w:rsidRPr="004653D0">
        <w:t>Facultat</w:t>
      </w:r>
      <w:proofErr w:type="spellEnd"/>
      <w:r w:rsidRPr="004653D0">
        <w:t xml:space="preserve"> de </w:t>
      </w:r>
      <w:proofErr w:type="spellStart"/>
      <w:r w:rsidRPr="004653D0">
        <w:t>Biologia</w:t>
      </w:r>
      <w:proofErr w:type="spellEnd"/>
      <w:r w:rsidRPr="004653D0">
        <w:t xml:space="preserve">, </w:t>
      </w:r>
      <w:proofErr w:type="spellStart"/>
      <w:r w:rsidRPr="004653D0">
        <w:t>Universitat</w:t>
      </w:r>
      <w:proofErr w:type="spellEnd"/>
      <w:r w:rsidRPr="004653D0">
        <w:t xml:space="preserve"> de Barcelona (UB), Barcelona, Spain; sandra.garces-pastor@uit.no (S.G.-P.)</w:t>
      </w:r>
    </w:p>
    <w:p w14:paraId="00D11391" w14:textId="77777777" w:rsidR="004653D0" w:rsidRPr="004653D0" w:rsidRDefault="004653D0" w:rsidP="004653D0">
      <w:pPr>
        <w:pStyle w:val="MDPI16affiliation"/>
      </w:pPr>
      <w:r w:rsidRPr="004653D0">
        <w:rPr>
          <w:vertAlign w:val="superscript"/>
        </w:rPr>
        <w:t>52</w:t>
      </w:r>
      <w:r w:rsidRPr="004653D0">
        <w:t xml:space="preserve"> Centro de </w:t>
      </w:r>
      <w:proofErr w:type="spellStart"/>
      <w:r w:rsidRPr="004653D0">
        <w:t>Investigación</w:t>
      </w:r>
      <w:proofErr w:type="spellEnd"/>
      <w:r w:rsidRPr="004653D0">
        <w:t xml:space="preserve"> </w:t>
      </w:r>
      <w:proofErr w:type="spellStart"/>
      <w:r w:rsidRPr="004653D0">
        <w:t>Mariña</w:t>
      </w:r>
      <w:proofErr w:type="spellEnd"/>
      <w:r w:rsidRPr="004653D0">
        <w:t xml:space="preserve">, University of Vigo, Campus </w:t>
      </w:r>
      <w:proofErr w:type="gramStart"/>
      <w:r w:rsidRPr="004653D0">
        <w:t>As</w:t>
      </w:r>
      <w:proofErr w:type="gramEnd"/>
      <w:r w:rsidRPr="004653D0">
        <w:t xml:space="preserve"> </w:t>
      </w:r>
      <w:proofErr w:type="spellStart"/>
      <w:r w:rsidRPr="004653D0">
        <w:t>Lagoas-Marcosende</w:t>
      </w:r>
      <w:proofErr w:type="spellEnd"/>
      <w:r w:rsidRPr="004653D0">
        <w:t xml:space="preserve"> s/n, E-36310 Vigo, Spain; iriagamo@uvigo.es (I.G.-M.); bvcastor@uvigo.es (C.M.S.)</w:t>
      </w:r>
    </w:p>
    <w:p w14:paraId="6FE844D1" w14:textId="77777777" w:rsidR="004653D0" w:rsidRPr="004653D0" w:rsidRDefault="004653D0" w:rsidP="004653D0">
      <w:pPr>
        <w:pStyle w:val="MDPI16affiliation"/>
        <w:rPr>
          <w:lang w:val="fr-FR"/>
        </w:rPr>
      </w:pPr>
      <w:r w:rsidRPr="004653D0">
        <w:rPr>
          <w:vertAlign w:val="superscript"/>
          <w:lang w:val="fr-FR"/>
        </w:rPr>
        <w:t>53</w:t>
      </w:r>
      <w:r w:rsidRPr="004653D0">
        <w:rPr>
          <w:lang w:val="fr-FR"/>
        </w:rPr>
        <w:t xml:space="preserve"> Chrono-environnement, UMR 6249 CNRS, </w:t>
      </w:r>
      <w:proofErr w:type="spellStart"/>
      <w:r w:rsidRPr="004653D0">
        <w:rPr>
          <w:lang w:val="fr-FR"/>
        </w:rPr>
        <w:t>University</w:t>
      </w:r>
      <w:proofErr w:type="spellEnd"/>
      <w:r w:rsidRPr="004653D0">
        <w:rPr>
          <w:lang w:val="fr-FR"/>
        </w:rPr>
        <w:t xml:space="preserve"> Bourgogne Franche-Comté, Besançon, </w:t>
      </w:r>
      <w:proofErr w:type="gramStart"/>
      <w:r w:rsidRPr="004653D0">
        <w:rPr>
          <w:lang w:val="fr-FR"/>
        </w:rPr>
        <w:t>France;</w:t>
      </w:r>
      <w:proofErr w:type="gramEnd"/>
      <w:r w:rsidRPr="004653D0">
        <w:rPr>
          <w:lang w:val="fr-FR"/>
        </w:rPr>
        <w:t xml:space="preserve"> Emilie.Gauthier@univ-fcomte.fr (E.G. (Emilie Gauthier)); isabelle.jouffroy@univ-fcomte.fr (I.J.-B.) ; pascale.ruffaldi@univ-fcomte.fr  (P.R. (Pascale </w:t>
      </w:r>
      <w:proofErr w:type="spellStart"/>
      <w:r w:rsidRPr="004653D0">
        <w:rPr>
          <w:lang w:val="fr-FR"/>
        </w:rPr>
        <w:t>Ruffaldi</w:t>
      </w:r>
      <w:proofErr w:type="spellEnd"/>
      <w:r w:rsidRPr="004653D0">
        <w:rPr>
          <w:lang w:val="fr-FR"/>
        </w:rPr>
        <w:t>))</w:t>
      </w:r>
    </w:p>
    <w:p w14:paraId="3CA4E709" w14:textId="77777777" w:rsidR="004653D0" w:rsidRPr="004653D0" w:rsidRDefault="004653D0" w:rsidP="004653D0">
      <w:pPr>
        <w:pStyle w:val="MDPI16affiliation"/>
      </w:pPr>
      <w:r w:rsidRPr="004653D0">
        <w:rPr>
          <w:vertAlign w:val="superscript"/>
        </w:rPr>
        <w:t>54</w:t>
      </w:r>
      <w:r w:rsidRPr="004653D0">
        <w:t xml:space="preserve"> Department of Geo-Environmental Processes and Global Change, Pyrenean Institute of Ecology, CSIC, Zaragoza, Spain; gmg@aber.ac.uk (G.G.-R.); pgonzal@ipe.csic.es (P.G.-S.)</w:t>
      </w:r>
    </w:p>
    <w:p w14:paraId="1D4012DF" w14:textId="77777777" w:rsidR="004653D0" w:rsidRPr="004653D0" w:rsidRDefault="004653D0" w:rsidP="004653D0">
      <w:pPr>
        <w:pStyle w:val="MDPI16affiliation"/>
      </w:pPr>
      <w:r w:rsidRPr="004653D0">
        <w:rPr>
          <w:vertAlign w:val="superscript"/>
        </w:rPr>
        <w:t>55</w:t>
      </w:r>
      <w:r w:rsidRPr="004653D0">
        <w:t xml:space="preserve"> Coastal and Offshore Archaeological Research Services (COARS), Ocean and Earth Science, National Oceanography Centre Southampton, University of Southampton, European Way, Southampton SO14 3ZH, UK; m.j.grant@soton.ac.uk (M.J.G.,)</w:t>
      </w:r>
    </w:p>
    <w:p w14:paraId="3E20BD3E" w14:textId="77777777" w:rsidR="004653D0" w:rsidRPr="004653D0" w:rsidRDefault="004653D0" w:rsidP="004653D0">
      <w:pPr>
        <w:pStyle w:val="MDPI16affiliation"/>
      </w:pPr>
      <w:r w:rsidRPr="004653D0">
        <w:rPr>
          <w:vertAlign w:val="superscript"/>
        </w:rPr>
        <w:t>56</w:t>
      </w:r>
      <w:r w:rsidRPr="004653D0">
        <w:t xml:space="preserve"> Department of Geology, Faculty of Biology and Geology, </w:t>
      </w:r>
      <w:proofErr w:type="spellStart"/>
      <w:r w:rsidRPr="004653D0">
        <w:t>Babeş-Bolyai</w:t>
      </w:r>
      <w:proofErr w:type="spellEnd"/>
      <w:r w:rsidRPr="004653D0">
        <w:t xml:space="preserve"> University, </w:t>
      </w:r>
      <w:proofErr w:type="spellStart"/>
      <w:r w:rsidRPr="004653D0">
        <w:t>Kogălniceanu</w:t>
      </w:r>
      <w:proofErr w:type="spellEnd"/>
      <w:r w:rsidRPr="004653D0">
        <w:t xml:space="preserve"> 1, 400084 Cluj-Napoca, Romania; roxana.grindean@yahoo.com (R.G.); ioan.tantau@ubbcluj.ro (I.T.)</w:t>
      </w:r>
    </w:p>
    <w:p w14:paraId="0908D143" w14:textId="77777777" w:rsidR="004653D0" w:rsidRPr="004653D0" w:rsidRDefault="004653D0" w:rsidP="004653D0">
      <w:pPr>
        <w:pStyle w:val="MDPI16affiliation"/>
      </w:pPr>
      <w:r w:rsidRPr="004653D0">
        <w:rPr>
          <w:vertAlign w:val="superscript"/>
        </w:rPr>
        <w:t>57</w:t>
      </w:r>
      <w:r w:rsidRPr="004653D0">
        <w:t xml:space="preserve"> University of Liverpool | </w:t>
      </w:r>
      <w:proofErr w:type="spellStart"/>
      <w:r w:rsidRPr="004653D0">
        <w:t>UoL</w:t>
      </w:r>
      <w:proofErr w:type="spellEnd"/>
      <w:r w:rsidRPr="004653D0">
        <w:t xml:space="preserve"> • Department of Geography and Planning, UK; Gina.Hannon@liverpool.ac.uk (G.H.)</w:t>
      </w:r>
    </w:p>
    <w:p w14:paraId="3250B3BC" w14:textId="77777777" w:rsidR="004653D0" w:rsidRPr="004653D0" w:rsidRDefault="004653D0" w:rsidP="004653D0">
      <w:pPr>
        <w:pStyle w:val="MDPI16affiliation"/>
      </w:pPr>
      <w:r w:rsidRPr="004653D0">
        <w:rPr>
          <w:vertAlign w:val="superscript"/>
        </w:rPr>
        <w:t>58</w:t>
      </w:r>
      <w:r w:rsidRPr="004653D0">
        <w:t xml:space="preserve"> Institute for Quaternary and Climate Studies, University of Maine, Orono, ME 04469, USA; almquist@maine.edu (A.-J.H)</w:t>
      </w:r>
    </w:p>
    <w:p w14:paraId="5D0BF635" w14:textId="77777777" w:rsidR="004653D0" w:rsidRPr="004653D0" w:rsidRDefault="004653D0" w:rsidP="004653D0">
      <w:pPr>
        <w:pStyle w:val="MDPI16affiliation"/>
      </w:pPr>
      <w:r w:rsidRPr="004653D0">
        <w:rPr>
          <w:vertAlign w:val="superscript"/>
        </w:rPr>
        <w:t>59</w:t>
      </w:r>
      <w:r w:rsidRPr="004653D0">
        <w:t xml:space="preserve"> Ecosystems and Environment Research </w:t>
      </w:r>
      <w:proofErr w:type="spellStart"/>
      <w:r w:rsidRPr="004653D0">
        <w:t>Programme</w:t>
      </w:r>
      <w:proofErr w:type="spellEnd"/>
      <w:r w:rsidRPr="004653D0">
        <w:t>, Faculty of Biological and Environmental Sciences, and Helsinki Institute of Sustainability Science (HELSUS), University of Helsinki, Helsinki, Finland; maija.heikkila@helsinki.fi (M.H.)</w:t>
      </w:r>
    </w:p>
    <w:p w14:paraId="2EF130F6" w14:textId="77777777" w:rsidR="004653D0" w:rsidRPr="004653D0" w:rsidRDefault="004653D0" w:rsidP="004653D0">
      <w:pPr>
        <w:pStyle w:val="MDPI16affiliation"/>
      </w:pPr>
      <w:r w:rsidRPr="004653D0">
        <w:rPr>
          <w:vertAlign w:val="superscript"/>
        </w:rPr>
        <w:t>60</w:t>
      </w:r>
      <w:r w:rsidRPr="004653D0">
        <w:t xml:space="preserve"> Department of Natural History, University Museum of Bergen, University of Bergen, </w:t>
      </w:r>
      <w:proofErr w:type="spellStart"/>
      <w:r w:rsidRPr="004653D0">
        <w:t>P.</w:t>
      </w:r>
      <w:proofErr w:type="gramStart"/>
      <w:r w:rsidRPr="004653D0">
        <w:t>O.Box</w:t>
      </w:r>
      <w:proofErr w:type="spellEnd"/>
      <w:proofErr w:type="gramEnd"/>
      <w:r w:rsidRPr="004653D0">
        <w:t xml:space="preserve"> 7800, N-5020, Bergen, Norway; kari.hjelle@uib.no (K.H.); Ingvild.Mehl@uib.no (I.M.)</w:t>
      </w:r>
    </w:p>
    <w:p w14:paraId="75F021CF" w14:textId="77777777" w:rsidR="004653D0" w:rsidRPr="004653D0" w:rsidRDefault="004653D0" w:rsidP="004653D0">
      <w:pPr>
        <w:pStyle w:val="MDPI16affiliation"/>
      </w:pPr>
      <w:r w:rsidRPr="004653D0">
        <w:rPr>
          <w:vertAlign w:val="superscript"/>
        </w:rPr>
        <w:t>61</w:t>
      </w:r>
      <w:r w:rsidRPr="004653D0">
        <w:t xml:space="preserve"> Heritage Management and Archaeological Museum of the State of Brandenburg, </w:t>
      </w:r>
      <w:proofErr w:type="spellStart"/>
      <w:r w:rsidRPr="004653D0">
        <w:t>Wünsdorfer</w:t>
      </w:r>
      <w:proofErr w:type="spellEnd"/>
      <w:r w:rsidRPr="004653D0">
        <w:t xml:space="preserve"> Platz 4–5, 15806 </w:t>
      </w:r>
      <w:proofErr w:type="spellStart"/>
      <w:r w:rsidRPr="004653D0">
        <w:t>Zossen</w:t>
      </w:r>
      <w:proofErr w:type="spellEnd"/>
      <w:r w:rsidRPr="004653D0">
        <w:t>, Germany; susanne.jahns@bldam-brandenburg.de (S.J.)</w:t>
      </w:r>
    </w:p>
    <w:p w14:paraId="184DF73D" w14:textId="77777777" w:rsidR="004653D0" w:rsidRPr="004653D0" w:rsidRDefault="004653D0" w:rsidP="004653D0">
      <w:pPr>
        <w:pStyle w:val="MDPI16affiliation"/>
      </w:pPr>
      <w:r w:rsidRPr="004653D0">
        <w:rPr>
          <w:vertAlign w:val="superscript"/>
        </w:rPr>
        <w:t>62</w:t>
      </w:r>
      <w:r w:rsidRPr="004653D0">
        <w:t xml:space="preserve"> Faculty of Geography and Earth Sciences, University of Latvia, Raina Blvd 19, Riga, LV-1586, Latvia; nauris28340017@inbox.lv (N.J.); ilze07@gmail.com (I.O.); normunds.stivrins@lu.lv (N.S. (</w:t>
      </w:r>
      <w:proofErr w:type="spellStart"/>
      <w:r w:rsidRPr="004653D0">
        <w:t>Normunds</w:t>
      </w:r>
      <w:proofErr w:type="spellEnd"/>
      <w:r w:rsidRPr="004653D0">
        <w:t xml:space="preserve"> Stivrins))</w:t>
      </w:r>
    </w:p>
    <w:p w14:paraId="0212AE83" w14:textId="77777777" w:rsidR="004653D0" w:rsidRPr="004653D0" w:rsidRDefault="004653D0" w:rsidP="004653D0">
      <w:pPr>
        <w:pStyle w:val="MDPI16affiliation"/>
      </w:pPr>
      <w:r w:rsidRPr="004653D0">
        <w:rPr>
          <w:vertAlign w:val="superscript"/>
          <w:lang w:val="fr-FR"/>
        </w:rPr>
        <w:t>63</w:t>
      </w:r>
      <w:r w:rsidRPr="004653D0">
        <w:rPr>
          <w:lang w:val="fr-FR"/>
        </w:rPr>
        <w:t xml:space="preserve"> </w:t>
      </w:r>
      <w:proofErr w:type="spellStart"/>
      <w:r w:rsidRPr="004653D0">
        <w:rPr>
          <w:lang w:val="fr-FR"/>
        </w:rPr>
        <w:t>Departamento</w:t>
      </w:r>
      <w:proofErr w:type="spellEnd"/>
      <w:r w:rsidRPr="004653D0">
        <w:rPr>
          <w:lang w:val="fr-FR"/>
        </w:rPr>
        <w:t xml:space="preserve"> de </w:t>
      </w:r>
      <w:proofErr w:type="spellStart"/>
      <w:r w:rsidRPr="004653D0">
        <w:rPr>
          <w:lang w:val="fr-FR"/>
        </w:rPr>
        <w:t>Estratigrafía</w:t>
      </w:r>
      <w:proofErr w:type="spellEnd"/>
      <w:r w:rsidRPr="004653D0">
        <w:rPr>
          <w:lang w:val="fr-FR"/>
        </w:rPr>
        <w:t xml:space="preserve"> y </w:t>
      </w:r>
      <w:proofErr w:type="spellStart"/>
      <w:r w:rsidRPr="004653D0">
        <w:rPr>
          <w:lang w:val="fr-FR"/>
        </w:rPr>
        <w:t>Paleontología</w:t>
      </w:r>
      <w:proofErr w:type="spellEnd"/>
      <w:r w:rsidRPr="004653D0">
        <w:rPr>
          <w:lang w:val="fr-FR"/>
        </w:rPr>
        <w:t xml:space="preserve">, </w:t>
      </w:r>
      <w:proofErr w:type="spellStart"/>
      <w:r w:rsidRPr="004653D0">
        <w:rPr>
          <w:lang w:val="fr-FR"/>
        </w:rPr>
        <w:t>Universidad</w:t>
      </w:r>
      <w:proofErr w:type="spellEnd"/>
      <w:r w:rsidRPr="004653D0">
        <w:rPr>
          <w:lang w:val="fr-FR"/>
        </w:rPr>
        <w:t xml:space="preserve"> de Granada, Avda. </w:t>
      </w:r>
      <w:proofErr w:type="spellStart"/>
      <w:r w:rsidRPr="004653D0">
        <w:t>Fuentenueva</w:t>
      </w:r>
      <w:proofErr w:type="spellEnd"/>
      <w:r w:rsidRPr="004653D0">
        <w:t xml:space="preserve"> S/N, 18002 Granada, Spain; gonzaloj@ugr.es (G.J.-M.); (J.M.M.-F.)</w:t>
      </w:r>
    </w:p>
    <w:p w14:paraId="21BD98C8" w14:textId="77777777" w:rsidR="004653D0" w:rsidRPr="004653D0" w:rsidRDefault="004653D0" w:rsidP="004653D0">
      <w:pPr>
        <w:pStyle w:val="MDPI16affiliation"/>
      </w:pPr>
      <w:r w:rsidRPr="004653D0">
        <w:rPr>
          <w:vertAlign w:val="superscript"/>
        </w:rPr>
        <w:t>64</w:t>
      </w:r>
      <w:r w:rsidRPr="004653D0">
        <w:t xml:space="preserve"> Faculty of Natural Sciences, Vilnius University, </w:t>
      </w:r>
      <w:proofErr w:type="spellStart"/>
      <w:r w:rsidRPr="004653D0">
        <w:t>M.</w:t>
      </w:r>
      <w:proofErr w:type="gramStart"/>
      <w:r w:rsidRPr="004653D0">
        <w:t>K.Čiurlionio</w:t>
      </w:r>
      <w:proofErr w:type="spellEnd"/>
      <w:proofErr w:type="gramEnd"/>
      <w:r w:rsidRPr="004653D0">
        <w:t xml:space="preserve"> Str. 21/27, 03101 Vilnius, Lithuania; (M.K. (</w:t>
      </w:r>
      <w:proofErr w:type="spellStart"/>
      <w:r w:rsidRPr="004653D0">
        <w:t>Meilutė</w:t>
      </w:r>
      <w:proofErr w:type="spellEnd"/>
      <w:r w:rsidRPr="004653D0">
        <w:t xml:space="preserve"> </w:t>
      </w:r>
      <w:proofErr w:type="spellStart"/>
      <w:r w:rsidRPr="004653D0">
        <w:t>Kabailienė</w:t>
      </w:r>
      <w:proofErr w:type="spellEnd"/>
      <w:r w:rsidRPr="004653D0">
        <w:t xml:space="preserve"> †)); lina.macijauskaite@gmail.com (L.M. (Lina </w:t>
      </w:r>
      <w:proofErr w:type="spellStart"/>
      <w:r w:rsidRPr="004653D0">
        <w:t>Macijauskaitė</w:t>
      </w:r>
      <w:proofErr w:type="spellEnd"/>
      <w:r w:rsidRPr="004653D0">
        <w:t>))</w:t>
      </w:r>
    </w:p>
    <w:p w14:paraId="019AE530" w14:textId="77777777" w:rsidR="004653D0" w:rsidRPr="004653D0" w:rsidRDefault="004653D0" w:rsidP="004653D0">
      <w:pPr>
        <w:pStyle w:val="MDPI16affiliation"/>
      </w:pPr>
      <w:r w:rsidRPr="004653D0">
        <w:rPr>
          <w:vertAlign w:val="superscript"/>
        </w:rPr>
        <w:t>65</w:t>
      </w:r>
      <w:r w:rsidRPr="004653D0">
        <w:t xml:space="preserve"> Faculty of Archaeology, Leiden University, The Netherlands, i.m.kamerling@arch.leidenuniv.nl (I.M.K.)</w:t>
      </w:r>
    </w:p>
    <w:p w14:paraId="2E571338" w14:textId="77777777" w:rsidR="004653D0" w:rsidRPr="004653D0" w:rsidRDefault="004653D0" w:rsidP="004653D0">
      <w:pPr>
        <w:pStyle w:val="MDPI16affiliation"/>
      </w:pPr>
      <w:r w:rsidRPr="004653D0">
        <w:rPr>
          <w:vertAlign w:val="superscript"/>
        </w:rPr>
        <w:t>66</w:t>
      </w:r>
      <w:r w:rsidRPr="004653D0">
        <w:t xml:space="preserve"> Department of Plant Ecology, Faculty of Biology, University of </w:t>
      </w:r>
      <w:proofErr w:type="spellStart"/>
      <w:r w:rsidRPr="004653D0">
        <w:t>Gdańsk</w:t>
      </w:r>
      <w:proofErr w:type="spellEnd"/>
      <w:r w:rsidRPr="004653D0">
        <w:t xml:space="preserve">, </w:t>
      </w:r>
      <w:proofErr w:type="spellStart"/>
      <w:r w:rsidRPr="004653D0">
        <w:t>ul</w:t>
      </w:r>
      <w:proofErr w:type="spellEnd"/>
      <w:r w:rsidRPr="004653D0">
        <w:t xml:space="preserve">. </w:t>
      </w:r>
      <w:proofErr w:type="spellStart"/>
      <w:r w:rsidRPr="004653D0">
        <w:t>Wita</w:t>
      </w:r>
      <w:proofErr w:type="spellEnd"/>
      <w:r w:rsidRPr="004653D0">
        <w:t xml:space="preserve"> </w:t>
      </w:r>
      <w:proofErr w:type="spellStart"/>
      <w:r w:rsidRPr="004653D0">
        <w:t>Stwosza</w:t>
      </w:r>
      <w:proofErr w:type="spellEnd"/>
      <w:r w:rsidRPr="004653D0">
        <w:t xml:space="preserve"> 59, 80-308, </w:t>
      </w:r>
      <w:proofErr w:type="spellStart"/>
      <w:r w:rsidRPr="004653D0">
        <w:t>Gdańsk</w:t>
      </w:r>
      <w:proofErr w:type="spellEnd"/>
      <w:r w:rsidRPr="004653D0">
        <w:t xml:space="preserve">, Poland; m.latalowa@ug.edu.pl (M.L. (Malgorzata </w:t>
      </w:r>
      <w:proofErr w:type="spellStart"/>
      <w:r w:rsidRPr="004653D0">
        <w:t>Latalowa</w:t>
      </w:r>
      <w:proofErr w:type="spellEnd"/>
      <w:r w:rsidRPr="004653D0">
        <w:t>))</w:t>
      </w:r>
    </w:p>
    <w:p w14:paraId="5D890856" w14:textId="77777777" w:rsidR="004653D0" w:rsidRPr="004653D0" w:rsidRDefault="004653D0" w:rsidP="004653D0">
      <w:pPr>
        <w:pStyle w:val="MDPI16affiliation"/>
        <w:rPr>
          <w:lang w:val="fr-FR"/>
        </w:rPr>
      </w:pPr>
      <w:r w:rsidRPr="004653D0">
        <w:rPr>
          <w:vertAlign w:val="superscript"/>
          <w:lang w:val="fr-FR"/>
        </w:rPr>
        <w:t>67</w:t>
      </w:r>
      <w:r w:rsidRPr="004653D0">
        <w:rPr>
          <w:lang w:val="fr-FR"/>
        </w:rPr>
        <w:t xml:space="preserve"> IMBE, Aix Marseille Univ, Avignon Univ, CNRS, IRD, Aix-en-Provence, </w:t>
      </w:r>
      <w:proofErr w:type="gramStart"/>
      <w:r w:rsidRPr="004653D0">
        <w:rPr>
          <w:lang w:val="fr-FR"/>
        </w:rPr>
        <w:t>France;</w:t>
      </w:r>
      <w:proofErr w:type="gramEnd"/>
      <w:r w:rsidRPr="004653D0">
        <w:rPr>
          <w:lang w:val="fr-FR"/>
        </w:rPr>
        <w:t xml:space="preserve"> michelle.leydet@univ-amu.fr (M.L. (Michelle Leydet))</w:t>
      </w:r>
    </w:p>
    <w:p w14:paraId="6D11AB09" w14:textId="77777777" w:rsidR="004653D0" w:rsidRPr="004653D0" w:rsidRDefault="004653D0" w:rsidP="004653D0">
      <w:pPr>
        <w:pStyle w:val="MDPI16affiliation"/>
      </w:pPr>
      <w:r w:rsidRPr="004653D0">
        <w:rPr>
          <w:vertAlign w:val="superscript"/>
        </w:rPr>
        <w:t>68</w:t>
      </w:r>
      <w:r w:rsidRPr="004653D0">
        <w:t xml:space="preserve"> Swedish University of Agricultural Sciences | SLU • Centre of Southern Swedish Forest Research, Sweden; matts.lindbladh@slu.se (M.L. (Matts </w:t>
      </w:r>
      <w:proofErr w:type="spellStart"/>
      <w:r w:rsidRPr="004653D0">
        <w:t>Lindbladh</w:t>
      </w:r>
      <w:proofErr w:type="spellEnd"/>
      <w:r w:rsidRPr="004653D0">
        <w:t>))</w:t>
      </w:r>
    </w:p>
    <w:p w14:paraId="59DB6E0E" w14:textId="77777777" w:rsidR="004653D0" w:rsidRPr="004653D0" w:rsidRDefault="004653D0" w:rsidP="004653D0">
      <w:pPr>
        <w:pStyle w:val="MDPI16affiliation"/>
      </w:pPr>
      <w:r w:rsidRPr="004653D0">
        <w:rPr>
          <w:vertAlign w:val="superscript"/>
        </w:rPr>
        <w:t>69</w:t>
      </w:r>
      <w:r w:rsidRPr="004653D0">
        <w:t xml:space="preserve"> RG Environmental Archaeology, Institute of History, Spanish Council for Scientific Research, Madrid, Spain; joseantonio.lopez@cchs.csic.es (J.-A.L.-S.)</w:t>
      </w:r>
    </w:p>
    <w:p w14:paraId="5219FD9B" w14:textId="77777777" w:rsidR="004653D0" w:rsidRPr="004653D0" w:rsidRDefault="004653D0" w:rsidP="004653D0">
      <w:pPr>
        <w:pStyle w:val="MDPI16affiliation"/>
      </w:pPr>
      <w:r w:rsidRPr="004653D0">
        <w:rPr>
          <w:vertAlign w:val="superscript"/>
        </w:rPr>
        <w:t>70</w:t>
      </w:r>
      <w:r w:rsidRPr="004653D0">
        <w:t xml:space="preserve"> Centre for Quaternary Research, Department of Geography, Royal Holloway, University of London, </w:t>
      </w:r>
      <w:proofErr w:type="spellStart"/>
      <w:r w:rsidRPr="004653D0">
        <w:t>Egham</w:t>
      </w:r>
      <w:proofErr w:type="spellEnd"/>
      <w:r w:rsidRPr="004653D0">
        <w:t>, UK; J.Lowe@rhul.ac.uk (J.L. (John Lowe))</w:t>
      </w:r>
    </w:p>
    <w:p w14:paraId="4A22FA13" w14:textId="77777777" w:rsidR="004653D0" w:rsidRPr="004653D0" w:rsidRDefault="004653D0" w:rsidP="004653D0">
      <w:pPr>
        <w:pStyle w:val="MDPI16affiliation"/>
        <w:rPr>
          <w:lang w:val="fr-FR"/>
        </w:rPr>
      </w:pPr>
      <w:r w:rsidRPr="004653D0">
        <w:rPr>
          <w:vertAlign w:val="superscript"/>
          <w:lang w:val="fr-FR"/>
        </w:rPr>
        <w:t>71</w:t>
      </w:r>
      <w:r w:rsidRPr="004653D0">
        <w:rPr>
          <w:lang w:val="fr-FR"/>
        </w:rPr>
        <w:t xml:space="preserve"> UMR 6553 ECOBIO/Thème </w:t>
      </w:r>
      <w:proofErr w:type="spellStart"/>
      <w:r w:rsidRPr="004653D0">
        <w:rPr>
          <w:lang w:val="fr-FR"/>
        </w:rPr>
        <w:t>PaysaBio</w:t>
      </w:r>
      <w:proofErr w:type="spellEnd"/>
      <w:r w:rsidRPr="004653D0">
        <w:rPr>
          <w:lang w:val="fr-FR"/>
        </w:rPr>
        <w:t xml:space="preserve">, Université de Rennes, 35042 Rennes Cedex, </w:t>
      </w:r>
      <w:proofErr w:type="gramStart"/>
      <w:r w:rsidRPr="004653D0">
        <w:rPr>
          <w:lang w:val="fr-FR"/>
        </w:rPr>
        <w:t>France;</w:t>
      </w:r>
      <w:proofErr w:type="gramEnd"/>
      <w:r w:rsidRPr="004653D0">
        <w:rPr>
          <w:lang w:val="fr-FR"/>
        </w:rPr>
        <w:t xml:space="preserve"> dominique.marguerie@univ-rennes1.fr (D.M. (Dominique </w:t>
      </w:r>
      <w:proofErr w:type="spellStart"/>
      <w:r w:rsidRPr="004653D0">
        <w:rPr>
          <w:lang w:val="fr-FR"/>
        </w:rPr>
        <w:t>Marguerie</w:t>
      </w:r>
      <w:proofErr w:type="spellEnd"/>
      <w:r w:rsidRPr="004653D0">
        <w:rPr>
          <w:lang w:val="fr-FR"/>
        </w:rPr>
        <w:t>))</w:t>
      </w:r>
    </w:p>
    <w:p w14:paraId="3AE091C8" w14:textId="77777777" w:rsidR="004653D0" w:rsidRPr="004653D0" w:rsidRDefault="004653D0" w:rsidP="004653D0">
      <w:pPr>
        <w:pStyle w:val="MDPI16affiliation"/>
      </w:pPr>
      <w:r w:rsidRPr="004653D0">
        <w:rPr>
          <w:vertAlign w:val="superscript"/>
        </w:rPr>
        <w:t>72</w:t>
      </w:r>
      <w:r w:rsidRPr="004653D0">
        <w:t xml:space="preserve"> Research Group for Terrestrial </w:t>
      </w:r>
      <w:proofErr w:type="spellStart"/>
      <w:r w:rsidRPr="004653D0">
        <w:t>Palaeoclimates</w:t>
      </w:r>
      <w:proofErr w:type="spellEnd"/>
      <w:r w:rsidRPr="004653D0">
        <w:t xml:space="preserve">, Max Planck Institute for Chemistry, Mainz, Germany; Laurent.Marquer@uibk.ac.at (L.M. (Laurent </w:t>
      </w:r>
      <w:proofErr w:type="spellStart"/>
      <w:r w:rsidRPr="004653D0">
        <w:t>Marquer</w:t>
      </w:r>
      <w:proofErr w:type="spellEnd"/>
      <w:r w:rsidRPr="004653D0">
        <w:t>))</w:t>
      </w:r>
    </w:p>
    <w:p w14:paraId="54456831" w14:textId="77777777" w:rsidR="004653D0" w:rsidRPr="004653D0" w:rsidRDefault="004653D0" w:rsidP="004653D0">
      <w:pPr>
        <w:pStyle w:val="MDPI16affiliation"/>
      </w:pPr>
      <w:r w:rsidRPr="004653D0">
        <w:rPr>
          <w:vertAlign w:val="superscript"/>
        </w:rPr>
        <w:t>73</w:t>
      </w:r>
      <w:r w:rsidRPr="004653D0">
        <w:t xml:space="preserve"> CRETUS, </w:t>
      </w:r>
      <w:proofErr w:type="spellStart"/>
      <w:r w:rsidRPr="004653D0">
        <w:t>EcoPast</w:t>
      </w:r>
      <w:proofErr w:type="spellEnd"/>
      <w:r w:rsidRPr="004653D0">
        <w:t xml:space="preserve"> (GI-1553), </w:t>
      </w:r>
      <w:proofErr w:type="spellStart"/>
      <w:r w:rsidRPr="004653D0">
        <w:t>Facultade</w:t>
      </w:r>
      <w:proofErr w:type="spellEnd"/>
      <w:r w:rsidRPr="004653D0">
        <w:t xml:space="preserve"> de </w:t>
      </w:r>
      <w:proofErr w:type="spellStart"/>
      <w:r w:rsidRPr="004653D0">
        <w:t>Bioloxía</w:t>
      </w:r>
      <w:proofErr w:type="spellEnd"/>
      <w:r w:rsidRPr="004653D0">
        <w:t xml:space="preserve">, </w:t>
      </w:r>
      <w:proofErr w:type="spellStart"/>
      <w:r w:rsidRPr="004653D0">
        <w:t>Universidade</w:t>
      </w:r>
      <w:proofErr w:type="spellEnd"/>
      <w:r w:rsidRPr="004653D0">
        <w:t xml:space="preserve"> de Santiago de Compostela, 15782, Spain; antonio.martinez.cortizas@usc.es (A.M.-C.)</w:t>
      </w:r>
    </w:p>
    <w:p w14:paraId="05BB0508" w14:textId="77777777" w:rsidR="004653D0" w:rsidRPr="004653D0" w:rsidRDefault="004653D0" w:rsidP="004653D0">
      <w:pPr>
        <w:pStyle w:val="MDPI16affiliation"/>
      </w:pPr>
      <w:r w:rsidRPr="004653D0">
        <w:rPr>
          <w:vertAlign w:val="superscript"/>
        </w:rPr>
        <w:t>74</w:t>
      </w:r>
      <w:r w:rsidRPr="004653D0">
        <w:t xml:space="preserve"> </w:t>
      </w:r>
      <w:proofErr w:type="spellStart"/>
      <w:r w:rsidRPr="004653D0">
        <w:t>Dipartimento</w:t>
      </w:r>
      <w:proofErr w:type="spellEnd"/>
      <w:r w:rsidRPr="004653D0">
        <w:t xml:space="preserve"> di </w:t>
      </w:r>
      <w:proofErr w:type="spellStart"/>
      <w:r w:rsidRPr="004653D0">
        <w:t>Biologia</w:t>
      </w:r>
      <w:proofErr w:type="spellEnd"/>
      <w:r w:rsidRPr="004653D0">
        <w:t xml:space="preserve">, </w:t>
      </w:r>
      <w:proofErr w:type="spellStart"/>
      <w:r w:rsidRPr="004653D0">
        <w:t>Università</w:t>
      </w:r>
      <w:proofErr w:type="spellEnd"/>
      <w:r w:rsidRPr="004653D0">
        <w:t xml:space="preserve"> di Padova, Via Ugo </w:t>
      </w:r>
      <w:proofErr w:type="spellStart"/>
      <w:r w:rsidRPr="004653D0">
        <w:t>Bassi</w:t>
      </w:r>
      <w:proofErr w:type="spellEnd"/>
      <w:r w:rsidRPr="004653D0">
        <w:t xml:space="preserve"> 58/B, 35121 Padova, Italy; antonella.miola@unipd.it (A.M.); claudia.poggi@unipd.it (C.P.)</w:t>
      </w:r>
    </w:p>
    <w:p w14:paraId="72BCC697" w14:textId="77777777" w:rsidR="004653D0" w:rsidRPr="004653D0" w:rsidRDefault="004653D0" w:rsidP="004653D0">
      <w:pPr>
        <w:pStyle w:val="MDPI16affiliation"/>
        <w:rPr>
          <w:lang w:val="fr-FR"/>
        </w:rPr>
      </w:pPr>
      <w:r w:rsidRPr="004653D0">
        <w:rPr>
          <w:vertAlign w:val="superscript"/>
          <w:lang w:val="fr-FR"/>
        </w:rPr>
        <w:t>75</w:t>
      </w:r>
      <w:r w:rsidRPr="004653D0">
        <w:rPr>
          <w:lang w:val="fr-FR"/>
        </w:rPr>
        <w:t xml:space="preserve"> CNRS HNHP UMR 7194, Museum National d'Histoire Naturelle, Paris, </w:t>
      </w:r>
      <w:proofErr w:type="gramStart"/>
      <w:r w:rsidRPr="004653D0">
        <w:rPr>
          <w:lang w:val="fr-FR"/>
        </w:rPr>
        <w:t>France;</w:t>
      </w:r>
      <w:proofErr w:type="gramEnd"/>
      <w:r w:rsidRPr="004653D0">
        <w:rPr>
          <w:lang w:val="fr-FR"/>
        </w:rPr>
        <w:t xml:space="preserve"> yannick.miras@mnhn.fr (Y.M.)</w:t>
      </w:r>
    </w:p>
    <w:p w14:paraId="4F1B8205" w14:textId="77777777" w:rsidR="004653D0" w:rsidRPr="004653D0" w:rsidRDefault="004653D0" w:rsidP="004653D0">
      <w:pPr>
        <w:pStyle w:val="MDPI16affiliation"/>
      </w:pPr>
      <w:r w:rsidRPr="004653D0">
        <w:rPr>
          <w:vertAlign w:val="superscript"/>
        </w:rPr>
        <w:t>76</w:t>
      </w:r>
      <w:r w:rsidRPr="004653D0">
        <w:t xml:space="preserve"> Institute of Botany and Landscape Ecology, EMAU Greifswald, 1748 Greifswald, Germany; almut.mrotzek@uni-greifswald.de (A.M.); manu_schult@web.de (M.S. (Manuela </w:t>
      </w:r>
      <w:proofErr w:type="spellStart"/>
      <w:r w:rsidRPr="004653D0">
        <w:t>Schult</w:t>
      </w:r>
      <w:proofErr w:type="spellEnd"/>
      <w:r w:rsidRPr="004653D0">
        <w:t>)); martin.theuerkauf@greifswaldmoor.de (M.T.)</w:t>
      </w:r>
    </w:p>
    <w:p w14:paraId="6D57DAB2" w14:textId="77777777" w:rsidR="004653D0" w:rsidRPr="004653D0" w:rsidRDefault="004653D0" w:rsidP="004653D0">
      <w:pPr>
        <w:pStyle w:val="MDPI16affiliation"/>
      </w:pPr>
      <w:r w:rsidRPr="004653D0">
        <w:rPr>
          <w:vertAlign w:val="superscript"/>
        </w:rPr>
        <w:lastRenderedPageBreak/>
        <w:t>77</w:t>
      </w:r>
      <w:r w:rsidRPr="004653D0">
        <w:t xml:space="preserve"> Department of Geoscience, Aarhus University, Aarhus, Denmark; bvo@geo.au.dk (B.O.)</w:t>
      </w:r>
    </w:p>
    <w:p w14:paraId="5E6DD98C" w14:textId="77777777" w:rsidR="004653D0" w:rsidRPr="004653D0" w:rsidRDefault="004653D0" w:rsidP="004653D0">
      <w:pPr>
        <w:pStyle w:val="MDPI16affiliation"/>
      </w:pPr>
      <w:r w:rsidRPr="004653D0">
        <w:rPr>
          <w:vertAlign w:val="superscript"/>
        </w:rPr>
        <w:t>78</w:t>
      </w:r>
      <w:r w:rsidRPr="004653D0">
        <w:t xml:space="preserve"> Department of Geography, Urban and Regional Planning, University of Cantabria, Santander, Spain; sebastian.perezdiaz@unican.es (S.P.-D.)</w:t>
      </w:r>
    </w:p>
    <w:p w14:paraId="373FA581" w14:textId="77777777" w:rsidR="004653D0" w:rsidRPr="004653D0" w:rsidRDefault="004653D0" w:rsidP="004653D0">
      <w:pPr>
        <w:pStyle w:val="MDPI16affiliation"/>
        <w:rPr>
          <w:lang w:val="fr-FR"/>
        </w:rPr>
      </w:pPr>
      <w:r w:rsidRPr="004653D0">
        <w:rPr>
          <w:vertAlign w:val="superscript"/>
          <w:lang w:val="fr-FR"/>
        </w:rPr>
        <w:t>79</w:t>
      </w:r>
      <w:r w:rsidRPr="004653D0">
        <w:rPr>
          <w:lang w:val="fr-FR"/>
        </w:rPr>
        <w:t xml:space="preserve"> </w:t>
      </w:r>
      <w:proofErr w:type="spellStart"/>
      <w:r w:rsidRPr="004653D0">
        <w:rPr>
          <w:lang w:val="fr-FR"/>
        </w:rPr>
        <w:t>Universitat</w:t>
      </w:r>
      <w:proofErr w:type="spellEnd"/>
      <w:r w:rsidRPr="004653D0">
        <w:rPr>
          <w:lang w:val="fr-FR"/>
        </w:rPr>
        <w:t xml:space="preserve"> </w:t>
      </w:r>
      <w:proofErr w:type="spellStart"/>
      <w:r w:rsidRPr="004653D0">
        <w:rPr>
          <w:lang w:val="fr-FR"/>
        </w:rPr>
        <w:t>Autònoma</w:t>
      </w:r>
      <w:proofErr w:type="spellEnd"/>
      <w:r w:rsidRPr="004653D0">
        <w:rPr>
          <w:lang w:val="fr-FR"/>
        </w:rPr>
        <w:t xml:space="preserve"> de Barcelona, </w:t>
      </w:r>
      <w:proofErr w:type="gramStart"/>
      <w:r w:rsidRPr="004653D0">
        <w:rPr>
          <w:lang w:val="fr-FR"/>
        </w:rPr>
        <w:t>Spain;</w:t>
      </w:r>
      <w:proofErr w:type="gramEnd"/>
      <w:r w:rsidRPr="004653D0">
        <w:rPr>
          <w:lang w:val="fr-FR"/>
        </w:rPr>
        <w:t xml:space="preserve"> ramon.perez@uab.cat (R.P.P.-O.)</w:t>
      </w:r>
    </w:p>
    <w:p w14:paraId="1FBD10F2" w14:textId="77777777" w:rsidR="004653D0" w:rsidRPr="004653D0" w:rsidRDefault="004653D0" w:rsidP="004653D0">
      <w:pPr>
        <w:pStyle w:val="MDPI16affiliation"/>
        <w:rPr>
          <w:lang w:val="fr-FR"/>
        </w:rPr>
      </w:pPr>
      <w:r w:rsidRPr="004653D0">
        <w:rPr>
          <w:vertAlign w:val="superscript"/>
          <w:lang w:val="fr-FR"/>
        </w:rPr>
        <w:t>80</w:t>
      </w:r>
      <w:r w:rsidRPr="004653D0">
        <w:rPr>
          <w:lang w:val="fr-FR"/>
        </w:rPr>
        <w:t xml:space="preserve"> </w:t>
      </w:r>
      <w:proofErr w:type="spellStart"/>
      <w:r w:rsidRPr="004653D0">
        <w:rPr>
          <w:lang w:val="fr-FR"/>
        </w:rPr>
        <w:t>Laboratorio</w:t>
      </w:r>
      <w:proofErr w:type="spellEnd"/>
      <w:r w:rsidRPr="004653D0">
        <w:rPr>
          <w:lang w:val="fr-FR"/>
        </w:rPr>
        <w:t xml:space="preserve"> de </w:t>
      </w:r>
      <w:proofErr w:type="spellStart"/>
      <w:r w:rsidRPr="004653D0">
        <w:rPr>
          <w:lang w:val="fr-FR"/>
        </w:rPr>
        <w:t>Botánica</w:t>
      </w:r>
      <w:proofErr w:type="spellEnd"/>
      <w:r w:rsidRPr="004653D0">
        <w:rPr>
          <w:lang w:val="fr-FR"/>
        </w:rPr>
        <w:t xml:space="preserve"> and </w:t>
      </w:r>
      <w:proofErr w:type="spellStart"/>
      <w:r w:rsidRPr="004653D0">
        <w:rPr>
          <w:lang w:val="fr-FR"/>
        </w:rPr>
        <w:t>Biogeografía</w:t>
      </w:r>
      <w:proofErr w:type="spellEnd"/>
      <w:r w:rsidRPr="004653D0">
        <w:rPr>
          <w:lang w:val="fr-FR"/>
        </w:rPr>
        <w:t xml:space="preserve">, </w:t>
      </w:r>
      <w:proofErr w:type="spellStart"/>
      <w:r w:rsidRPr="004653D0">
        <w:rPr>
          <w:lang w:val="fr-FR"/>
        </w:rPr>
        <w:t>Departamento</w:t>
      </w:r>
      <w:proofErr w:type="spellEnd"/>
      <w:r w:rsidRPr="004653D0">
        <w:rPr>
          <w:lang w:val="fr-FR"/>
        </w:rPr>
        <w:t xml:space="preserve"> de </w:t>
      </w:r>
      <w:proofErr w:type="spellStart"/>
      <w:r w:rsidRPr="004653D0">
        <w:rPr>
          <w:lang w:val="fr-FR"/>
        </w:rPr>
        <w:t>Botánica</w:t>
      </w:r>
      <w:proofErr w:type="spellEnd"/>
      <w:r w:rsidRPr="004653D0">
        <w:rPr>
          <w:lang w:val="fr-FR"/>
        </w:rPr>
        <w:t xml:space="preserve">, Escola Politécnica Superior, </w:t>
      </w:r>
      <w:proofErr w:type="spellStart"/>
      <w:r w:rsidRPr="004653D0">
        <w:rPr>
          <w:lang w:val="fr-FR"/>
        </w:rPr>
        <w:t>Universidade</w:t>
      </w:r>
      <w:proofErr w:type="spellEnd"/>
      <w:r w:rsidRPr="004653D0">
        <w:rPr>
          <w:lang w:val="fr-FR"/>
        </w:rPr>
        <w:t xml:space="preserve"> de Santiago de </w:t>
      </w:r>
      <w:proofErr w:type="spellStart"/>
      <w:r w:rsidRPr="004653D0">
        <w:rPr>
          <w:lang w:val="fr-FR"/>
        </w:rPr>
        <w:t>Compostela</w:t>
      </w:r>
      <w:proofErr w:type="spellEnd"/>
      <w:r w:rsidRPr="004653D0">
        <w:rPr>
          <w:lang w:val="fr-FR"/>
        </w:rPr>
        <w:t xml:space="preserve">, Campus </w:t>
      </w:r>
      <w:proofErr w:type="spellStart"/>
      <w:r w:rsidRPr="004653D0">
        <w:rPr>
          <w:lang w:val="fr-FR"/>
        </w:rPr>
        <w:t>Universitario</w:t>
      </w:r>
      <w:proofErr w:type="spellEnd"/>
      <w:r w:rsidRPr="004653D0">
        <w:rPr>
          <w:lang w:val="fr-FR"/>
        </w:rPr>
        <w:t xml:space="preserve"> s/n., 27002, Lugo, </w:t>
      </w:r>
      <w:proofErr w:type="gramStart"/>
      <w:r w:rsidRPr="004653D0">
        <w:rPr>
          <w:lang w:val="fr-FR"/>
        </w:rPr>
        <w:t>Spain;</w:t>
      </w:r>
      <w:proofErr w:type="gramEnd"/>
      <w:r w:rsidRPr="004653D0">
        <w:rPr>
          <w:lang w:val="fr-FR"/>
        </w:rPr>
        <w:t xml:space="preserve"> ramil.rego@usc.es (P.R.R.)</w:t>
      </w:r>
    </w:p>
    <w:p w14:paraId="333FC78A" w14:textId="77777777" w:rsidR="004653D0" w:rsidRPr="004653D0" w:rsidRDefault="004653D0" w:rsidP="004653D0">
      <w:pPr>
        <w:pStyle w:val="MDPI16affiliation"/>
      </w:pPr>
      <w:r w:rsidRPr="004653D0">
        <w:rPr>
          <w:vertAlign w:val="superscript"/>
        </w:rPr>
        <w:t>81</w:t>
      </w:r>
      <w:r w:rsidRPr="004653D0">
        <w:t xml:space="preserve"> Department of </w:t>
      </w:r>
      <w:proofErr w:type="spellStart"/>
      <w:r w:rsidRPr="004653D0">
        <w:t>Geosciencies</w:t>
      </w:r>
      <w:proofErr w:type="spellEnd"/>
      <w:r w:rsidRPr="004653D0">
        <w:t xml:space="preserve"> and Geography, Faculty of Science, University of Helsinki, Helsinki, Finland; mjrr@ugr.es (M.J.R.-R.); heikki.seppa@helsinki.fi (H.S.)</w:t>
      </w:r>
    </w:p>
    <w:p w14:paraId="30D6D8BE" w14:textId="77777777" w:rsidR="004653D0" w:rsidRPr="004653D0" w:rsidRDefault="004653D0" w:rsidP="004653D0">
      <w:pPr>
        <w:pStyle w:val="MDPI16affiliation"/>
      </w:pPr>
      <w:r w:rsidRPr="004653D0">
        <w:rPr>
          <w:vertAlign w:val="superscript"/>
        </w:rPr>
        <w:t>82</w:t>
      </w:r>
      <w:r w:rsidRPr="004653D0">
        <w:t xml:space="preserve"> Geological Survey of Denmark and Greenland (GEUS), Department of Quaternary Geology, 0ster </w:t>
      </w:r>
      <w:proofErr w:type="spellStart"/>
      <w:r w:rsidRPr="004653D0">
        <w:t>Voldgade</w:t>
      </w:r>
      <w:proofErr w:type="spellEnd"/>
      <w:r w:rsidRPr="004653D0">
        <w:t xml:space="preserve"> 10, DK-1350 Copenhagen K, Denmark; peter.rasmussen@natmus.dk (P.R. (Peter Rasmussen))</w:t>
      </w:r>
    </w:p>
    <w:p w14:paraId="3D45C22C" w14:textId="77777777" w:rsidR="004653D0" w:rsidRPr="004653D0" w:rsidRDefault="004653D0" w:rsidP="004653D0">
      <w:pPr>
        <w:pStyle w:val="MDPI16affiliation"/>
        <w:rPr>
          <w:lang w:val="fr-FR"/>
        </w:rPr>
      </w:pPr>
      <w:r w:rsidRPr="004653D0">
        <w:rPr>
          <w:vertAlign w:val="superscript"/>
          <w:lang w:val="fr-FR"/>
        </w:rPr>
        <w:t>83</w:t>
      </w:r>
      <w:r w:rsidRPr="004653D0">
        <w:rPr>
          <w:lang w:val="fr-FR"/>
        </w:rPr>
        <w:t xml:space="preserve"> Lab. de Botanique Historique et Palynologie, </w:t>
      </w:r>
      <w:proofErr w:type="spellStart"/>
      <w:r w:rsidRPr="004653D0">
        <w:rPr>
          <w:lang w:val="fr-FR"/>
        </w:rPr>
        <w:t>Inst</w:t>
      </w:r>
      <w:proofErr w:type="spellEnd"/>
      <w:r w:rsidRPr="004653D0">
        <w:rPr>
          <w:lang w:val="fr-FR"/>
        </w:rPr>
        <w:t xml:space="preserve">. Méditerranéen d’Ecologie et de Paléoécologie, Faculté des Sciences de Saint Jérôme, UMR CNRS 6116, Case 451, 13397 Marseille cedex 20, </w:t>
      </w:r>
      <w:proofErr w:type="gramStart"/>
      <w:r w:rsidRPr="004653D0">
        <w:rPr>
          <w:lang w:val="fr-FR"/>
        </w:rPr>
        <w:t>France;</w:t>
      </w:r>
      <w:proofErr w:type="gramEnd"/>
      <w:r w:rsidRPr="004653D0">
        <w:rPr>
          <w:lang w:val="fr-FR"/>
        </w:rPr>
        <w:t xml:space="preserve"> auric@club-internet.fr (M.R. (Maurice Reille))</w:t>
      </w:r>
    </w:p>
    <w:p w14:paraId="3836E0F6" w14:textId="77777777" w:rsidR="004653D0" w:rsidRPr="004653D0" w:rsidRDefault="004653D0" w:rsidP="004653D0">
      <w:pPr>
        <w:pStyle w:val="MDPI16affiliation"/>
      </w:pPr>
      <w:r w:rsidRPr="004653D0">
        <w:rPr>
          <w:vertAlign w:val="superscript"/>
        </w:rPr>
        <w:t>84</w:t>
      </w:r>
      <w:r w:rsidRPr="004653D0">
        <w:t xml:space="preserve"> LDA Baden-Württemberg, </w:t>
      </w:r>
      <w:proofErr w:type="spellStart"/>
      <w:r w:rsidRPr="004653D0">
        <w:t>Archäobotanik</w:t>
      </w:r>
      <w:proofErr w:type="spellEnd"/>
      <w:r w:rsidRPr="004653D0">
        <w:t xml:space="preserve">, </w:t>
      </w:r>
      <w:proofErr w:type="spellStart"/>
      <w:r w:rsidRPr="004653D0">
        <w:t>Fischersteig</w:t>
      </w:r>
      <w:proofErr w:type="spellEnd"/>
      <w:r w:rsidRPr="004653D0">
        <w:t xml:space="preserve"> 9, 78343 </w:t>
      </w:r>
      <w:proofErr w:type="spellStart"/>
      <w:r w:rsidRPr="004653D0">
        <w:t>Gaienhofen-Hemmenhofen</w:t>
      </w:r>
      <w:proofErr w:type="spellEnd"/>
      <w:r w:rsidRPr="004653D0">
        <w:t xml:space="preserve">, Germany; Manfred.Roesch@rps.bwl.de (M.R. (Manfred </w:t>
      </w:r>
      <w:proofErr w:type="spellStart"/>
      <w:r w:rsidRPr="004653D0">
        <w:t>Rösch</w:t>
      </w:r>
      <w:proofErr w:type="spellEnd"/>
      <w:r w:rsidRPr="004653D0">
        <w:t>))</w:t>
      </w:r>
    </w:p>
    <w:p w14:paraId="2C610214" w14:textId="77777777" w:rsidR="004653D0" w:rsidRPr="004653D0" w:rsidRDefault="004653D0" w:rsidP="004653D0">
      <w:pPr>
        <w:pStyle w:val="MDPI16affiliation"/>
        <w:rPr>
          <w:lang w:val="fr-FR"/>
        </w:rPr>
      </w:pPr>
      <w:r w:rsidRPr="004653D0">
        <w:rPr>
          <w:vertAlign w:val="superscript"/>
          <w:lang w:val="fr-FR"/>
        </w:rPr>
        <w:t>85</w:t>
      </w:r>
      <w:r w:rsidRPr="004653D0">
        <w:rPr>
          <w:lang w:val="fr-FR"/>
        </w:rPr>
        <w:t xml:space="preserve"> Ecole Pratique des Hautes Etudes (EPHE, PSL), Paris and Environnements, Paléoenvironnements Océaniques et Continentaux (UMR EPOC), </w:t>
      </w:r>
      <w:proofErr w:type="spellStart"/>
      <w:r w:rsidRPr="004653D0">
        <w:rPr>
          <w:lang w:val="fr-FR"/>
        </w:rPr>
        <w:t>University</w:t>
      </w:r>
      <w:proofErr w:type="spellEnd"/>
      <w:r w:rsidRPr="004653D0">
        <w:rPr>
          <w:lang w:val="fr-FR"/>
        </w:rPr>
        <w:t xml:space="preserve"> of Bordeaux, Pessac, </w:t>
      </w:r>
      <w:proofErr w:type="gramStart"/>
      <w:r w:rsidRPr="004653D0">
        <w:rPr>
          <w:lang w:val="fr-FR"/>
        </w:rPr>
        <w:t>France;</w:t>
      </w:r>
      <w:proofErr w:type="gramEnd"/>
      <w:r w:rsidRPr="004653D0">
        <w:rPr>
          <w:lang w:val="fr-FR"/>
        </w:rPr>
        <w:t xml:space="preserve"> maria.sanchez-goni@u-bordeaux.fr (M.S.G.)</w:t>
      </w:r>
    </w:p>
    <w:p w14:paraId="20998266" w14:textId="77777777" w:rsidR="004653D0" w:rsidRPr="004653D0" w:rsidRDefault="004653D0" w:rsidP="004653D0">
      <w:pPr>
        <w:pStyle w:val="MDPI16affiliation"/>
      </w:pPr>
      <w:r w:rsidRPr="004653D0">
        <w:rPr>
          <w:vertAlign w:val="superscript"/>
        </w:rPr>
        <w:t>86</w:t>
      </w:r>
      <w:r w:rsidRPr="004653D0">
        <w:t xml:space="preserve"> Institute of Geology and Geography, Nature Research Centre, </w:t>
      </w:r>
      <w:proofErr w:type="spellStart"/>
      <w:r w:rsidRPr="004653D0">
        <w:t>Akademijos</w:t>
      </w:r>
      <w:proofErr w:type="spellEnd"/>
      <w:r w:rsidRPr="004653D0">
        <w:t xml:space="preserve"> Str. 2, Vilnius 08412, Lithuania; N.S. (N.S. (</w:t>
      </w:r>
      <w:proofErr w:type="spellStart"/>
      <w:r w:rsidRPr="004653D0">
        <w:t>Nijolė</w:t>
      </w:r>
      <w:proofErr w:type="spellEnd"/>
      <w:r w:rsidRPr="004653D0">
        <w:t xml:space="preserve"> </w:t>
      </w:r>
      <w:proofErr w:type="spellStart"/>
      <w:r w:rsidRPr="004653D0">
        <w:t>Savukynienė</w:t>
      </w:r>
      <w:proofErr w:type="spellEnd"/>
      <w:r w:rsidRPr="004653D0">
        <w:t xml:space="preserve">)); </w:t>
      </w:r>
      <w:proofErr w:type="spellStart"/>
      <w:r w:rsidRPr="004653D0">
        <w:t>migle.stancikaite@gamtc.lt</w:t>
      </w:r>
      <w:proofErr w:type="spellEnd"/>
      <w:r w:rsidRPr="004653D0">
        <w:t xml:space="preserve"> (M.S. (</w:t>
      </w:r>
      <w:proofErr w:type="spellStart"/>
      <w:r w:rsidRPr="004653D0">
        <w:t>Migle</w:t>
      </w:r>
      <w:proofErr w:type="spellEnd"/>
      <w:r w:rsidRPr="004653D0">
        <w:t xml:space="preserve"> </w:t>
      </w:r>
      <w:proofErr w:type="spellStart"/>
      <w:r w:rsidRPr="004653D0">
        <w:t>Stancikaite</w:t>
      </w:r>
      <w:proofErr w:type="spellEnd"/>
      <w:r w:rsidRPr="004653D0">
        <w:t>))</w:t>
      </w:r>
    </w:p>
    <w:p w14:paraId="3C2C4152" w14:textId="77777777" w:rsidR="004653D0" w:rsidRPr="004653D0" w:rsidRDefault="004653D0" w:rsidP="004653D0">
      <w:pPr>
        <w:pStyle w:val="MDPI16affiliation"/>
      </w:pPr>
      <w:r w:rsidRPr="004653D0">
        <w:rPr>
          <w:vertAlign w:val="superscript"/>
        </w:rPr>
        <w:t>87</w:t>
      </w:r>
      <w:r w:rsidRPr="004653D0">
        <w:t xml:space="preserve"> Institute of Neotectonics and Natural Hazards, RWTH Aachen University, Germany; t.schroeder@nug.rwth-aachen.de (T.S.)</w:t>
      </w:r>
    </w:p>
    <w:p w14:paraId="08D2BE75" w14:textId="77777777" w:rsidR="004653D0" w:rsidRPr="004653D0" w:rsidRDefault="004653D0" w:rsidP="004653D0">
      <w:pPr>
        <w:pStyle w:val="MDPI16affiliation"/>
      </w:pPr>
      <w:r w:rsidRPr="004653D0">
        <w:rPr>
          <w:vertAlign w:val="superscript"/>
        </w:rPr>
        <w:t>88</w:t>
      </w:r>
      <w:r w:rsidRPr="004653D0">
        <w:t xml:space="preserve"> Department of Forest Ecology and Management, Swedish University of Agricultural Sciences (SLU), 901 83 </w:t>
      </w:r>
      <w:proofErr w:type="spellStart"/>
      <w:r w:rsidRPr="004653D0">
        <w:t>Umeå</w:t>
      </w:r>
      <w:proofErr w:type="spellEnd"/>
      <w:r w:rsidRPr="004653D0">
        <w:t>, Sweden; Ulf.Segerstrom@svek.slu.se (U.S.); Henrik.von.Stedingk@svek.slu.se (H.V.S.)</w:t>
      </w:r>
    </w:p>
    <w:p w14:paraId="17E155EA" w14:textId="77777777" w:rsidR="004653D0" w:rsidRPr="004653D0" w:rsidRDefault="004653D0" w:rsidP="004653D0">
      <w:pPr>
        <w:pStyle w:val="MDPI16affiliation"/>
      </w:pPr>
      <w:r w:rsidRPr="004653D0">
        <w:rPr>
          <w:vertAlign w:val="superscript"/>
        </w:rPr>
        <w:t>89</w:t>
      </w:r>
      <w:r w:rsidRPr="004653D0">
        <w:t xml:space="preserve"> </w:t>
      </w:r>
      <w:proofErr w:type="spellStart"/>
      <w:r w:rsidRPr="004653D0">
        <w:t>ArqueoUIB</w:t>
      </w:r>
      <w:proofErr w:type="spellEnd"/>
      <w:r w:rsidRPr="004653D0">
        <w:t xml:space="preserve">, Department of Historical Sciences and Theory of Art. University of the Balearic Islands, Carretera de </w:t>
      </w:r>
      <w:proofErr w:type="spellStart"/>
      <w:r w:rsidRPr="004653D0">
        <w:t>Valldemossa</w:t>
      </w:r>
      <w:proofErr w:type="spellEnd"/>
      <w:r w:rsidRPr="004653D0">
        <w:t xml:space="preserve"> Km 7,5, CP07122 Palma, Mallorca, Spain; serveravives@gmail.com (G.S.V.)</w:t>
      </w:r>
    </w:p>
    <w:p w14:paraId="3AA9A975" w14:textId="77777777" w:rsidR="004653D0" w:rsidRPr="004653D0" w:rsidRDefault="004653D0" w:rsidP="004653D0">
      <w:pPr>
        <w:pStyle w:val="MDPI16affiliation"/>
      </w:pPr>
      <w:r w:rsidRPr="004653D0">
        <w:rPr>
          <w:vertAlign w:val="superscript"/>
        </w:rPr>
        <w:t>90</w:t>
      </w:r>
      <w:r w:rsidRPr="004653D0">
        <w:t xml:space="preserve"> </w:t>
      </w:r>
      <w:proofErr w:type="spellStart"/>
      <w:r w:rsidRPr="004653D0">
        <w:t>Materialhefte</w:t>
      </w:r>
      <w:proofErr w:type="spellEnd"/>
      <w:r w:rsidRPr="004653D0">
        <w:t xml:space="preserve"> </w:t>
      </w:r>
      <w:proofErr w:type="spellStart"/>
      <w:r w:rsidRPr="004653D0">
        <w:t>zur</w:t>
      </w:r>
      <w:proofErr w:type="spellEnd"/>
      <w:r w:rsidRPr="004653D0">
        <w:t xml:space="preserve"> </w:t>
      </w:r>
      <w:proofErr w:type="spellStart"/>
      <w:r w:rsidRPr="004653D0">
        <w:t>Arhäologie</w:t>
      </w:r>
      <w:proofErr w:type="spellEnd"/>
      <w:r w:rsidRPr="004653D0">
        <w:t xml:space="preserve"> in Baden-Württemberg, Heft 49. Konrad </w:t>
      </w:r>
      <w:proofErr w:type="spellStart"/>
      <w:r w:rsidRPr="004653D0">
        <w:t>Theiss</w:t>
      </w:r>
      <w:proofErr w:type="spellEnd"/>
      <w:r w:rsidRPr="004653D0">
        <w:t xml:space="preserve"> Verlag, Stuttgart 2000, Germany; H.Smettan@uni-hohenheim.de (H.W.S.)</w:t>
      </w:r>
    </w:p>
    <w:p w14:paraId="19D6B0DE" w14:textId="77777777" w:rsidR="004653D0" w:rsidRPr="004653D0" w:rsidRDefault="004653D0" w:rsidP="004653D0">
      <w:pPr>
        <w:pStyle w:val="MDPI16affiliation"/>
      </w:pPr>
      <w:r w:rsidRPr="004653D0">
        <w:rPr>
          <w:vertAlign w:val="superscript"/>
        </w:rPr>
        <w:t>91</w:t>
      </w:r>
      <w:r w:rsidRPr="004653D0">
        <w:t xml:space="preserve"> School of Geography, Politics and Sociology, Newcastle University, Newcastle upon Tyne NE1 7RU, UK; tony.stevenson@ncl.ac.uk (A.C.S.)</w:t>
      </w:r>
    </w:p>
    <w:p w14:paraId="5C4BF370" w14:textId="77777777" w:rsidR="004653D0" w:rsidRPr="004653D0" w:rsidRDefault="004653D0" w:rsidP="004653D0">
      <w:pPr>
        <w:pStyle w:val="MDPI16affiliation"/>
      </w:pPr>
      <w:r w:rsidRPr="004653D0">
        <w:rPr>
          <w:vertAlign w:val="superscript"/>
        </w:rPr>
        <w:t>92</w:t>
      </w:r>
      <w:r w:rsidRPr="004653D0">
        <w:t xml:space="preserve"> Laboratory of Palynology, Department of Botany, Faculty of Biology, Sofia University 't </w:t>
      </w:r>
      <w:proofErr w:type="spellStart"/>
      <w:r w:rsidRPr="004653D0">
        <w:t>Kliment</w:t>
      </w:r>
      <w:proofErr w:type="spellEnd"/>
      <w:r w:rsidRPr="004653D0">
        <w:t xml:space="preserve"> </w:t>
      </w:r>
      <w:proofErr w:type="spellStart"/>
      <w:r w:rsidRPr="004653D0">
        <w:t>Ohridski</w:t>
      </w:r>
      <w:proofErr w:type="spellEnd"/>
      <w:r w:rsidRPr="004653D0">
        <w:t xml:space="preserve">', 15 Tsar </w:t>
      </w:r>
      <w:proofErr w:type="spellStart"/>
      <w:r w:rsidRPr="004653D0">
        <w:t>Osvoboditel</w:t>
      </w:r>
      <w:proofErr w:type="spellEnd"/>
      <w:r w:rsidRPr="004653D0">
        <w:t xml:space="preserve"> bd., Sofia, Bulgaria; stonkov@abv.bg (S.T.)</w:t>
      </w:r>
    </w:p>
    <w:p w14:paraId="68C6F1C4" w14:textId="77777777" w:rsidR="004653D0" w:rsidRPr="004653D0" w:rsidRDefault="004653D0" w:rsidP="004653D0">
      <w:pPr>
        <w:pStyle w:val="MDPI16affiliation"/>
      </w:pPr>
      <w:r w:rsidRPr="004653D0">
        <w:rPr>
          <w:vertAlign w:val="superscript"/>
        </w:rPr>
        <w:t>93</w:t>
      </w:r>
      <w:r w:rsidRPr="004653D0">
        <w:t xml:space="preserve"> Latvian </w:t>
      </w:r>
      <w:proofErr w:type="spellStart"/>
      <w:r w:rsidRPr="004653D0">
        <w:t>Acedemy</w:t>
      </w:r>
      <w:proofErr w:type="spellEnd"/>
      <w:r w:rsidRPr="004653D0">
        <w:t xml:space="preserve"> of Sports Education, </w:t>
      </w:r>
      <w:proofErr w:type="spellStart"/>
      <w:r w:rsidRPr="004653D0">
        <w:t>Brīvības</w:t>
      </w:r>
      <w:proofErr w:type="spellEnd"/>
      <w:r w:rsidRPr="004653D0">
        <w:t xml:space="preserve"> </w:t>
      </w:r>
      <w:proofErr w:type="spellStart"/>
      <w:r w:rsidRPr="004653D0">
        <w:t>iela</w:t>
      </w:r>
      <w:proofErr w:type="spellEnd"/>
      <w:r w:rsidRPr="004653D0">
        <w:t xml:space="preserve"> 333, </w:t>
      </w:r>
      <w:proofErr w:type="spellStart"/>
      <w:r w:rsidRPr="004653D0">
        <w:t>Vidzemes</w:t>
      </w:r>
      <w:proofErr w:type="spellEnd"/>
      <w:r w:rsidRPr="004653D0">
        <w:t xml:space="preserve"> </w:t>
      </w:r>
      <w:proofErr w:type="spellStart"/>
      <w:r w:rsidRPr="004653D0">
        <w:t>priekšpilsēta</w:t>
      </w:r>
      <w:proofErr w:type="spellEnd"/>
      <w:r w:rsidRPr="004653D0">
        <w:t xml:space="preserve">, </w:t>
      </w:r>
      <w:proofErr w:type="spellStart"/>
      <w:r w:rsidRPr="004653D0">
        <w:t>Rīga</w:t>
      </w:r>
      <w:proofErr w:type="spellEnd"/>
      <w:r w:rsidRPr="004653D0">
        <w:t>, LV-1006, Latvia; (E.V.)</w:t>
      </w:r>
    </w:p>
    <w:p w14:paraId="3335E37D" w14:textId="77777777" w:rsidR="004653D0" w:rsidRPr="004653D0" w:rsidRDefault="004653D0" w:rsidP="004653D0">
      <w:pPr>
        <w:pStyle w:val="MDPI16affiliation"/>
      </w:pPr>
      <w:r w:rsidRPr="004653D0">
        <w:rPr>
          <w:vertAlign w:val="superscript"/>
        </w:rPr>
        <w:t>94</w:t>
      </w:r>
      <w:r w:rsidRPr="004653D0">
        <w:t xml:space="preserve"> Department of Postglacial Geology, Tallinn University of Technology, Tallinn, Estonia; siim.veski@ttu.ee (S.V.)</w:t>
      </w:r>
    </w:p>
    <w:p w14:paraId="356512D8" w14:textId="77777777" w:rsidR="004653D0" w:rsidRPr="004653D0" w:rsidRDefault="004653D0" w:rsidP="004653D0">
      <w:pPr>
        <w:pStyle w:val="MDPI16affiliation"/>
      </w:pPr>
      <w:r w:rsidRPr="004653D0">
        <w:rPr>
          <w:vertAlign w:val="superscript"/>
        </w:rPr>
        <w:t>95</w:t>
      </w:r>
      <w:r w:rsidRPr="004653D0">
        <w:t xml:space="preserve"> Centre for Earth and Environmental Science Research, School of Geography, Geology and the Environment, Kingston University, Penrhyn Road, Kingston upon Thames, Surrey KT1 2EE, UK; m.waller@kingston.ac.uk (M.P.W.)</w:t>
      </w:r>
    </w:p>
    <w:p w14:paraId="0190B98C" w14:textId="77777777" w:rsidR="004653D0" w:rsidRPr="004653D0" w:rsidRDefault="004653D0" w:rsidP="004653D0">
      <w:pPr>
        <w:pStyle w:val="MDPI16affiliation"/>
        <w:rPr>
          <w:lang w:val="fr-FR"/>
        </w:rPr>
      </w:pPr>
      <w:r w:rsidRPr="004653D0">
        <w:rPr>
          <w:vertAlign w:val="superscript"/>
          <w:lang w:val="fr-FR"/>
        </w:rPr>
        <w:t>96</w:t>
      </w:r>
      <w:r w:rsidRPr="004653D0">
        <w:rPr>
          <w:lang w:val="fr-FR"/>
        </w:rPr>
        <w:t xml:space="preserve"> Institut national de recherches archéologiques préventives, Laboratoire </w:t>
      </w:r>
      <w:proofErr w:type="spellStart"/>
      <w:r w:rsidRPr="004653D0">
        <w:rPr>
          <w:lang w:val="fr-FR"/>
        </w:rPr>
        <w:t>archéobotanique</w:t>
      </w:r>
      <w:proofErr w:type="spellEnd"/>
      <w:r w:rsidRPr="004653D0">
        <w:rPr>
          <w:lang w:val="fr-FR"/>
        </w:rPr>
        <w:t xml:space="preserve">, Metz, 12, Rue de </w:t>
      </w:r>
      <w:proofErr w:type="spellStart"/>
      <w:r w:rsidRPr="004653D0">
        <w:rPr>
          <w:lang w:val="fr-FR"/>
        </w:rPr>
        <w:t>Méric</w:t>
      </w:r>
      <w:proofErr w:type="spellEnd"/>
      <w:r w:rsidRPr="004653D0">
        <w:rPr>
          <w:lang w:val="fr-FR"/>
        </w:rPr>
        <w:t xml:space="preserve">, F-57063 Metz cedex 2, </w:t>
      </w:r>
      <w:proofErr w:type="gramStart"/>
      <w:r w:rsidRPr="004653D0">
        <w:rPr>
          <w:lang w:val="fr-FR"/>
        </w:rPr>
        <w:t>France;</w:t>
      </w:r>
      <w:proofErr w:type="gramEnd"/>
      <w:r w:rsidRPr="004653D0">
        <w:rPr>
          <w:lang w:val="fr-FR"/>
        </w:rPr>
        <w:t xml:space="preserve"> julian.wiethold@inrap.fr (J.W.)</w:t>
      </w:r>
    </w:p>
    <w:p w14:paraId="282AD181" w14:textId="77777777" w:rsidR="004653D0" w:rsidRPr="004653D0" w:rsidRDefault="004653D0" w:rsidP="004653D0">
      <w:pPr>
        <w:pStyle w:val="MDPI16affiliation"/>
      </w:pPr>
      <w:r w:rsidRPr="004653D0">
        <w:rPr>
          <w:vertAlign w:val="superscript"/>
        </w:rPr>
        <w:t>97</w:t>
      </w:r>
      <w:r w:rsidRPr="004653D0">
        <w:t xml:space="preserve"> Department of Zoology, University of Oxford, Oxford OX1 3SZ, United Kingdom; kathy.willis@zoo.ox.ac.uk (K.J.W.)</w:t>
      </w:r>
    </w:p>
    <w:p w14:paraId="0DB40AB3" w14:textId="77777777" w:rsidR="004653D0" w:rsidRPr="004653D0" w:rsidRDefault="004653D0" w:rsidP="004653D0">
      <w:pPr>
        <w:pStyle w:val="MDPI16affiliation"/>
      </w:pPr>
      <w:r w:rsidRPr="004653D0">
        <w:rPr>
          <w:vertAlign w:val="superscript"/>
        </w:rPr>
        <w:t>98</w:t>
      </w:r>
      <w:r w:rsidRPr="004653D0">
        <w:t xml:space="preserve"> Lower Saxony Institute for Historical Coastal Research, Wilhelmshaven, Germany; wolters@nihk.de (S.W.)</w:t>
      </w:r>
    </w:p>
    <w:p w14:paraId="4F0B22EC" w14:textId="77777777" w:rsidR="004653D0" w:rsidRDefault="004653D0" w:rsidP="004653D0">
      <w:pPr>
        <w:pStyle w:val="MDPI16affiliation"/>
      </w:pPr>
      <w:r w:rsidRPr="004653D0">
        <w:rPr>
          <w:vertAlign w:val="superscript"/>
        </w:rPr>
        <w:t>99</w:t>
      </w:r>
      <w:r w:rsidRPr="004653D0">
        <w:t xml:space="preserve"> Institute of Nature Management, National Academy of Sciences of Belarus, F. </w:t>
      </w:r>
      <w:proofErr w:type="spellStart"/>
      <w:r w:rsidRPr="004653D0">
        <w:t>Skorynu</w:t>
      </w:r>
      <w:proofErr w:type="spellEnd"/>
      <w:r w:rsidRPr="004653D0">
        <w:t xml:space="preserve"> Str. 10, 220114 Minsk, Belarus; valzern@gmail.com (V.P.Z.)</w:t>
      </w:r>
    </w:p>
    <w:p w14:paraId="7947882B" w14:textId="77777777" w:rsidR="004653D0" w:rsidRDefault="004653D0" w:rsidP="004653D0">
      <w:pPr>
        <w:pStyle w:val="MDPI16affiliation"/>
      </w:pPr>
      <w:r>
        <w:tab/>
      </w:r>
    </w:p>
    <w:p w14:paraId="51A6073A" w14:textId="77777777" w:rsidR="004653D0" w:rsidRDefault="004653D0" w:rsidP="004653D0">
      <w:pPr>
        <w:pStyle w:val="MDPI16affiliation"/>
        <w:rPr>
          <w:lang w:val="en-GB"/>
        </w:rPr>
      </w:pPr>
    </w:p>
    <w:p w14:paraId="697024D1" w14:textId="77777777" w:rsidR="004653D0" w:rsidRDefault="004653D0" w:rsidP="004653D0">
      <w:pPr>
        <w:pStyle w:val="MDPI16affiliation"/>
      </w:pPr>
      <w:r>
        <w:rPr>
          <w:b/>
        </w:rPr>
        <w:t>*</w:t>
      </w:r>
      <w:r>
        <w:tab/>
        <w:t>Correspondence: maria-antonia.serge@univ-tlse2.fr</w:t>
      </w:r>
      <w:r>
        <w:rPr>
          <w:rStyle w:val="gcsdbrwbgqc"/>
          <w:color w:val="auto"/>
        </w:rPr>
        <w:t xml:space="preserve"> or </w:t>
      </w:r>
      <w:r>
        <w:t>mariaantonia.serge@gmail.com</w:t>
      </w:r>
    </w:p>
    <w:p w14:paraId="0E416395" w14:textId="77777777" w:rsidR="004653D0" w:rsidRDefault="004653D0" w:rsidP="004653D0">
      <w:pPr>
        <w:pStyle w:val="MDPI16affiliation"/>
        <w:rPr>
          <w:lang w:val="en-GB"/>
        </w:rPr>
      </w:pPr>
    </w:p>
    <w:p w14:paraId="7D96160E" w14:textId="77777777" w:rsidR="004653D0" w:rsidRDefault="004653D0" w:rsidP="004653D0">
      <w:pPr>
        <w:pStyle w:val="MDPI17abstract"/>
        <w:rPr>
          <w:lang w:val="en-GB"/>
        </w:rPr>
      </w:pPr>
      <w:r>
        <w:rPr>
          <w:b/>
          <w:lang w:val="en-GB"/>
        </w:rPr>
        <w:t xml:space="preserve">Abstract: </w:t>
      </w:r>
      <w:r>
        <w:t xml:space="preserve">Reliable quantitative vegetation reconstructions for Europe during the Holocene are crucial to improving our understanding of landscape dynamics, making it possible to assess the past effects of environmental variables and land-use change on ecosystems and biodiversity, and mitigating their effects in the future. </w:t>
      </w:r>
      <w:r>
        <w:rPr>
          <w:lang w:val="en-GB"/>
        </w:rPr>
        <w:t xml:space="preserve">We present here the most spatially extensive and temporally continuous pollen-based reconstructions of plant cover in Europe (at a spatial resolution of 1° × 1°) over the Holocene (last 11.7 ka BP) using the ‘Regional Estimates of </w:t>
      </w:r>
      <w:proofErr w:type="spellStart"/>
      <w:r>
        <w:rPr>
          <w:lang w:val="en-GB"/>
        </w:rPr>
        <w:t>VEgetation</w:t>
      </w:r>
      <w:proofErr w:type="spellEnd"/>
      <w:r>
        <w:rPr>
          <w:lang w:val="en-GB"/>
        </w:rPr>
        <w:t xml:space="preserve"> Abundance from Large Sites’ (REVEALS) model. This study has three main aims. First, to present the most accurate and reliable generation of REVEALS reconstructions across Europe so far. This has been achieved by including a larger number of pollen records compared to former analyses, </w:t>
      </w:r>
      <w:proofErr w:type="gramStart"/>
      <w:r>
        <w:rPr>
          <w:lang w:val="en-GB"/>
        </w:rPr>
        <w:t>in particular from</w:t>
      </w:r>
      <w:proofErr w:type="gramEnd"/>
      <w:r>
        <w:rPr>
          <w:lang w:val="en-GB"/>
        </w:rPr>
        <w:t xml:space="preserve"> the Mediterranean area. Second, to discuss methodological issues in the quantification of past land cover by using alternative datasets of relative pollen productivities (RPPs), one of the key input </w:t>
      </w:r>
      <w:r>
        <w:rPr>
          <w:lang w:val="en-GB"/>
        </w:rPr>
        <w:lastRenderedPageBreak/>
        <w:t xml:space="preserve">parameters of REVEALS, to test model sensitivity. Finally, to validate our reconstructions with the global forest change dataset. The results suggest that the RPPs.st1 (31 taxa) dataset is best suited to producing regional vegetation cover estimates for Europe. These reconstructions offer a long-term perspective </w:t>
      </w:r>
      <w:r>
        <w:t xml:space="preserve">providing unique possibilities to explore spatial-temporal changes in past land cover and biodiversity. </w:t>
      </w:r>
    </w:p>
    <w:p w14:paraId="01D90981" w14:textId="77777777" w:rsidR="004653D0" w:rsidRDefault="004653D0" w:rsidP="004653D0">
      <w:pPr>
        <w:pStyle w:val="MDPI17abstract"/>
        <w:rPr>
          <w:lang w:val="en-GB"/>
        </w:rPr>
      </w:pPr>
      <w:r>
        <w:rPr>
          <w:b/>
          <w:lang w:val="en-GB"/>
        </w:rPr>
        <w:t xml:space="preserve">Keywords: </w:t>
      </w:r>
      <w:r>
        <w:rPr>
          <w:lang w:val="en-GB"/>
        </w:rPr>
        <w:t>Europe; quantitative past land cover; Holocene; pollen data; REVEALS model; relative pollen productivity; validation</w:t>
      </w:r>
    </w:p>
    <w:p w14:paraId="1F163BF8" w14:textId="77777777" w:rsidR="004653D0" w:rsidRDefault="004653D0" w:rsidP="004653D0">
      <w:pPr>
        <w:pStyle w:val="MDPI21heading1"/>
        <w:rPr>
          <w:lang w:val="en-GB"/>
        </w:rPr>
      </w:pPr>
      <w:r>
        <w:rPr>
          <w:lang w:val="en-GB"/>
        </w:rPr>
        <w:t>1. Introduction</w:t>
      </w:r>
    </w:p>
    <w:p w14:paraId="33075BB5" w14:textId="77777777" w:rsidR="004653D0" w:rsidRDefault="004653D0" w:rsidP="004653D0">
      <w:pPr>
        <w:pStyle w:val="MDPI31text"/>
        <w:rPr>
          <w:color w:val="auto"/>
        </w:rPr>
      </w:pPr>
      <w:r>
        <w:rPr>
          <w:color w:val="auto"/>
        </w:rPr>
        <w:t xml:space="preserve">The IPBES 2019 global report ranked changes in land use and land cover as the greatest drivers of declines in nature and biodiversity [1]. Anthropogenic biodiversity decline and anthropogenic climate change have largely been driven by the direct exploitation of nature through deforestation and conversion for agriculture and livestock production (IPBES, </w:t>
      </w:r>
      <w:r>
        <w:rPr>
          <w:rStyle w:val="Hyperlink"/>
          <w:color w:val="auto"/>
        </w:rPr>
        <w:t>[1</w:t>
      </w:r>
      <w:r>
        <w:rPr>
          <w:color w:val="auto"/>
        </w:rPr>
        <w:t xml:space="preserve">,2]). Loss of biodiversity and the transformation of nature by humans are often considered to be recent impacts on the environment, stretching over recent decades and centuries, and reflected in instrumental records and detailed ecological surveys. However, the reshaping of terrestrial nature began in the Paleolithic and Mesolithic ages, with practices including hunting, fishing, and gathering having the potential to modify existing ecosystem systems at localized scales through, for example, selective gathering or depleting of local resources </w:t>
      </w:r>
      <w:r>
        <w:rPr>
          <w:rStyle w:val="FootnoteReference"/>
          <w:color w:val="auto"/>
        </w:rPr>
        <w:fldChar w:fldCharType="begin" w:fldLock="1"/>
      </w:r>
      <w:r>
        <w:rPr>
          <w:color w:val="auto"/>
        </w:rPr>
        <w:instrText>ADDIN CSL_CITATION {"citationItems":[{"id":"ITEM-1","itemData":{"DOI":"10.1016/j.quascirev.2017.07.001","ISSN":"02773791","abstract":"Early agriculture can be detected in palaeovegetation records, but quantification of the relative importance of climate and land use in influencing regional vegetation composition since the onset of agriculture is a topic that is rarely addressed. We present a novel approach that combines pollen-based REVEALS estimates of plant cover with climate, anthropogenic land-cover and dynamic vegetation modelling results. This is used to quantify the relative impacts of land use and climate on Holocene vegetation at a sub-continental scale, i.e. northern and western Europe north of the Alps. We use redundancy analysis and variation partitioning to quantify the percentage of variation in vegetation composition explained by the climate and land-use variables, and Monte Carlo permutation tests to assess the statistical significance of each variable. We further use a similarity index to combine pollen-based REVEALS estimates with climate-driven dynamic vegetation modelling results. The overall results indicate that climate is the major driver of vegetation when the Holocene is considered as a whole and at the sub-continental scale, although land use is important regionally. Four critical phases of land-use effects on vegetation are identified. The first phase (from 7000 to 6500 BP) corresponds to the early impacts on vegetation of farming and Neolithic forest clearance and to the dominance of climate as a driver of vegetation change. During the second phase (from 4500 to 4000 BP), land use becomes a major control of vegetation. Climate is still the principal driver, although its influence decreases gradually. The third phase (from 2000 to 1500 BP) is characterised by the continued role of climate on vegetation as a consequence of late-Holocene climate shifts and specific climate events that influence vegetation as well as land use. The last phase (from 500 to 350 BP) shows an acceleration of vegetation changes, in particular during the last century, caused by new farming practices and forestry in response to population growth and industrialization. This is a unique signature of anthropogenic impact within the Holocene but European vegetation remains climatically sensitive and thus may continue to respond to ongoing climate change.","author":[{"dropping-particle":"","family":"Marquer","given":"Laurent","non-dropping-particle":"","parse-names":false,"suffix":""},{"dropping-particle":"","family":"Gaillard","given":"Marie José","non-dropping-particle":"","parse-names":false,"suffix":""},{"dropping-particle":"","family":"Sugita","given":"Shinya","non-dropping-particle":"","parse-names":false,"suffix":""},{"dropping-particle":"","family":"Poska","given":"Anneli","non-dropping-particle":"","parse-names":false,"suffix":""},{"dropping-particle":"","family":"Trondman","given":"Anna Kari","non-dropping-particle":"","parse-names":false,"suffix":""},{"dropping-particle":"","family":"Mazier","given":"Florence","non-dropping-particle":"","parse-names":false,"suffix":""},{"dropping-particle":"","family":"Nielsen","given":"Anne Birgitte","non-dropping-particle":"","parse-names":false,"suffix":""},{"dropping-particle":"","family":"Fyfe","given":"Ralph M.","non-dropping-particle":"","parse-names":false,"suffix":""},{"dropping-particle":"","family":"Jönsson","given":"Anna Maria","non-dropping-particle":"","parse-names":false,"suffix":""},{"dropping-particle":"","family":"Smith","given":"Benjamin","non-dropping-particle":"","parse-names":false,"suffix":""},{"dropping-particle":"","family":"Kaplan","given":"Jed O.","non-dropping-particle":"","parse-names":false,"suffix":""},{"dropping-particle":"","family":"Alenius","given":"Teija","non-dropping-particle":"","parse-names":false,"suffix":""},{"dropping-particle":"","family":"Birks","given":"H. John B.","non-dropping-particle":"","parse-names":false,"suffix":""},{"dropping-particle":"","family":"Bjune","given":"Anne E.","non-dropping-particle":"","parse-names":false,"suffix":""},{"dropping-particle":"","family":"Christiansen","given":"Jörg","non-dropping-particle":"","parse-names":false,"suffix":""},{"dropping-particle":"","family":"Dodson","given":"John","non-dropping-particle":"","parse-names":false,"suffix":""},{"dropping-particle":"","family":"Edwards","given":"Kevin J.","non-dropping-particle":"","parse-names":false,"suffix":""},{"dropping-particle":"","family":"Giesecke","given":"Thomas","non-dropping-particle":"","parse-names":false,"suffix":""},{"dropping-particle":"","family":"Herzschuh","given":"Ulrike","non-dropping-particle":"","parse-names":false,"suffix":""},{"dropping-particle":"","family":"Kangur","given":"Mihkel","non-dropping-particle":"","parse-names":false,"suffix":""},{"dropping-particle":"","family":"Koff","given":"Tiiu","non-dropping-particle":"","parse-names":false,"suffix":""},{"dropping-particle":"","family":"Latałowa","given":"Małgorzata","non-dropping-particle":"","parse-names":false,"suffix":""},{"dropping-particle":"","family":"Lechterbeck","given":"Jutta","non-dropping-particle":"","parse-names":false,"suffix":""},{"dropping-particle":"","family":"Olofsson","given":"Jörgen","non-dropping-particle":"","parse-names":false,"suffix":""},{"dropping-particle":"","family":"Seppä","given":"Heikki","non-dropping-particle":"","parse-names":false,"suffix":""}],"container-title":"Quaternary Science Reviews","id":"ITEM-1","issued":{"date-parts":[["2017"]]},"page":"20-37","title":"Quantifying the effects of land use and climate on Holocene vegetation in Europe","type":"article-journal","volume":"171"},"uris":["http://www.mendeley.com/documents/?uuid=7e549335-d7d9-4222-b55e-8ab71177ba7b"]},{"id":"ITEM-2","itemData":{"DOI":"10.1016/j.quascirev.2021.107351","ISSN":"02773791","abstract":"Current land use and climate change pose a threat to the continued provision of ecosystem services expected from terrestrial land cover. Studies on past land-cover responses to such changes provide valuable information for future decisions. The hemiboreal zone, situated between temperate and boreal biomes, is a natural sensitivity hotspot for land cover change: it contains a continuous distribution limit of several temperate (Quercus robur, Tilia cordata, Fraxinus excelsior, Ulmus glabra, etc.) and some boreal (e.g. Picea abies) tree species. High resolution pollen data from three lakes in South Estonia, a hemiboreal zone in Northern Europe, was used to reconstruct the climate-driven dynamics of vegetation composition, anthropogenic deforestation, species-specific responses to climate cycles, and plant related environmental variables during the Holocene at a local and regional scale. The Landscape Reconstruction Algorithm (LRA) was used to reconstruct the vegetation composition, the Ellenberg Indicator Values for environmental reconstructions, and the Wavelet analysis for detecting cyclic patterns. The major land cover and environmental changes are in good accordance with the climate-based formal tripartite subdivision of the Holocene: a quick succession of tundra, boreal, and nemoral biomes during the Early Holocene, a dominance of temperate, broad-leaved forests during the Middle Holocene, and an expansion of mixed boreal forests and anthropogenic deforestation during the Late Holocene. Several episodes of compositional turnover ranging from a century (e.g., the transition from wet to dry tundra) to several millennia (e.g., the replacement of the temperate deciduous forests with boreal mixed forests) were identified. Our results show that local community changes have a shorter duration than the regional ones. The introduction of slash-and-burn agriculture caused abrupt forest composition changes at a local scale, promoting early successional tree species, even prior to the establishment of a permanently open cultural landscape. The only late successional tree species favoured by slash-and-burn cultivation was Picea abies. However, the application of more permanent cultivation strategies reduced its representation considerably. The determined cyclic changes in the proportions of tree taxa show, that most late successional trees exhibit high frequency (ca 200–400 year) cyclicity, probably reflecting the stand scale regeneration processes. The observed 1…","author":[{"dropping-particle":"","family":"Poska","given":"Anneli","non-dropping-particle":"","parse-names":false,"suffix":""},{"dropping-particle":"","family":"Väli","given":"Vivika","non-dropping-particle":"","parse-names":false,"suffix":""},{"dropping-particle":"","family":"Vassiljev","given":"Jüri","non-dropping-particle":"","parse-names":false,"suffix":""},{"dropping-particle":"","family":"Alliksaar","given":"Tiiu","non-dropping-particle":"","parse-names":false,"suffix":""},{"dropping-particle":"","family":"Saarse","given":"Leili","non-dropping-particle":"","parse-names":false,"suffix":""}],"container-title":"Quaternary Science Reviews","id":"ITEM-2","issued":{"date-parts":[["2022"]]},"title":"Timing and drivers of local to regional scale land-cover changes in the hemiboreal forest zone during the Holocene: A pollen-based study from South Estonia","type":"article-journal","volume":"277"},"uris":["http://www.mendeley.com/documents/?uuid=69860581-5f99-4f07-968d-65845f10f223"]},{"id":"ITEM-3","itemData":{"abstract":"A HOLOCENE RESEARCH REPORT Abstract: The correct interpretation of charcoal records in a palaeoecological context requires the understanding of the sources and transport of charcoal particles. Conventionally, it is assumed that macroscopic charcoal particles are not transported far from fires (c. 200m). Therefore macroscopic charcoal records are used to reconstruct local fire frequencies. However, the general scarcity of empirical and experimental evidence impedes a thorough check of this assumption. In this study we present the first unambiguous evidence of kilometre-scaled macroscopic charcoal transport in Europe. During the hot summer of 2003 an intensive crown fire occurred in Leuk, central Swiss Alps. It affected 300 ha of forest as well as 10 ha of pasture and fallow land. Litter traps and nets had been located approximately 5 km west and east of the burned area. The downwind site in the east (Jeizinen) recorded a strong charcoal fallout at 5.3 km from the fire edge. The observed charcoal influx of fragments with a size up to 1.3 cm reached average values of 0.144 and 0.098 mm2/Cm2 per fire (or yr) in five traps and two nets, respectively. These values are comparable with charcoal accumulations measured at only c. 50 m from large fires, suggesting that macroscopic charcoal transport does not decay rapidly to zero with increasing distance from the fire. We suggest a long-distance dispersal model for transport of macroscopic charcoal during large fire events. Reconstructions of local fire regimes may be affected by long-distance transport of macroscopic charcoal, although this problem is mitigated by the tendency of most macroscopic charcoal particles to be deposited within very short distances (&lt; 50 m) from the fire edge.","author":[{"dropping-particle":"","family":"Tinner","given":"Willy","non-dropping-particle":"","parse-names":false,"suffix":""},{"dropping-particle":"","family":"Hofstetter","given":"Simone","non-dropping-particle":"","parse-names":false,"suffix":""},{"dropping-particle":"","family":"Zeu","given":"Fabienne","non-dropping-particle":"","parse-names":false,"suffix":""},{"dropping-particle":"","family":"Conedera","given":"Marco","non-dropping-particle":"","parse-names":false,"suffix":""},{"dropping-particle":"","family":"Wohlgemuth","given":"Thomas","non-dropping-particle":"","parse-names":false,"suffix":""},{"dropping-particle":"","family":"Zimmermann'","given":"Lukas","non-dropping-particle":"","parse-names":false,"suffix":""},{"dropping-particle":"","family":"Zweifell","given":"Roman","non-dropping-particle":"","parse-names":false,"suffix":""}],"container-title":"The Holocene","id":"ITEM-3","issue":"2","issued":{"date-parts":[["2006"]]},"number-of-pages":"287-292","title":"Long-distance transport of macroscopic charcoal by an intensive crown fire in the Swiss Alps-implications for fire history reconstruction","type":"report","volume":"16"},"uris":["http://www.mendeley.com/documents/?uuid=7cb81942-4a64-3545-85d3-f012587aeac9"]},{"id":"ITEM-4","itemData":{"DOI":"10.1016/S0277-3791(02)00181-6","ISSN":"0277-3791","abstract":"The priority programme \"Changes of the Geo-Biosphere\" aimed to reconstruct the environmental history of central Europe with emphasis on the time interval from 9000 to 5500 cal BP (time-slice II), coinciding with the Holocene climatic optimum. During this period, the onset of human activities such as settlement, agriculture and animal husbandry caused environmental changes. Studies of different landscape units in Germany were carried out to identify these anthropogenically induced changes and to distinguish them from natural effects on the environmental system. The investigated archives included laminated lake sediments, fluvial sediments, colluvia and soils, speleothems, peat and coastal sediments. The different archives were examined using refined research methods including a variety of sedimentary and geochemical analyses, together with pollen analysis and dating methods for the establishment of a reliable chronology. The results of the various research groups are summarised and critically discussed. Based on these results, the climatic optimum can be subdivided into three periods: (1) the Early Atlantic from 9000 to 7500 cal BP with negligible human impact and stable environmental conditions; (2) the Late Atlantic during Early and Middle Neolithic from 7500 to 6300 cal BP with pollen evidence for vegetation changes but only negligible changes detectable in other proxy records; and (3) the Late Atlantic during the Younger Neolithic (Jungneolithikum), after 6300 cal BP, with human impact observed in many archives and proxy records especially in the pollen record but also in lacustrine and fluvial sediments. During the whole climatic optimum natural causes, such as minor shifts of temperature, did not induce substantial environmental changes, though some changes, such as temporary droughts, may have facilitated and amplified the observed human impact. © 2002 Elsevier Science Ltd. All rights reserved.","author":[{"dropping-particle":"","family":"Kalis","given":"Arie J.","non-dropping-particle":"","parse-names":false,"suffix":""},{"dropping-particle":"","family":"Merkt","given":"Josef","non-dropping-particle":"","parse-names":false,"suffix":""},{"dropping-particle":"","family":"Wunderlich","given":"Jürgen","non-dropping-particle":"","parse-names":false,"suffix":""}],"container-title":"Quaternary Science Reviews","id":"ITEM-4","issue":"1","issued":{"date-parts":[["2003","1","1"]]},"page":"33-79","publisher":"Pergamon","title":"Environmental changes during the Holocene climatic optimum in central Europe - human impact and natural causes","type":"article-journal","volume":"22"},"uris":["http://www.mendeley.com/documents/?uuid=5075a6bd-987f-3a38-8a8c-1c009445ddad"]}],"mendeley":{"formattedCitation":"&lt;sup&gt;[1–4]&lt;/sup&gt;","manualFormatting":"[3–6]","plainTextFormattedCitation":"[1–4]","previouslyFormattedCitation":"(Kalis et al., 2003; Marquer et al., 2017; Poska et al., 2022; Tinner et al., 2006)"},"properties":{"noteIndex":0},"schema":"https://github.com/citation-style-language/schema/raw/master/csl-citation.json"}</w:instrText>
      </w:r>
      <w:r>
        <w:rPr>
          <w:rStyle w:val="FootnoteReference"/>
          <w:color w:val="auto"/>
        </w:rPr>
        <w:fldChar w:fldCharType="separate"/>
      </w:r>
      <w:r>
        <w:rPr>
          <w:bCs/>
          <w:noProof/>
          <w:color w:val="auto"/>
        </w:rPr>
        <w:t>[3–6]</w:t>
      </w:r>
      <w:r>
        <w:rPr>
          <w:rStyle w:val="FootnoteReference"/>
          <w:color w:val="auto"/>
        </w:rPr>
        <w:fldChar w:fldCharType="end"/>
      </w:r>
      <w:r>
        <w:rPr>
          <w:color w:val="auto"/>
        </w:rPr>
        <w:t xml:space="preserve">. </w:t>
      </w:r>
      <w:r>
        <w:rPr>
          <w:rFonts w:cstheme="minorHAnsi"/>
          <w:color w:val="auto"/>
          <w:lang w:val="en-GB"/>
        </w:rPr>
        <w:t xml:space="preserve">Forest clearance for agriculture started at least 6000 years ago in western Europe and probably earlier in the regions in which agriculture developed </w:t>
      </w:r>
      <w:r>
        <w:rPr>
          <w:rStyle w:val="FootnoteReference"/>
          <w:rFonts w:cstheme="minorHAnsi"/>
          <w:color w:val="auto"/>
          <w:lang w:val="en-GB"/>
        </w:rPr>
        <w:fldChar w:fldCharType="begin" w:fldLock="1"/>
      </w:r>
      <w:r>
        <w:rPr>
          <w:rFonts w:cstheme="minorHAnsi"/>
          <w:color w:val="auto"/>
          <w:lang w:val="en-GB"/>
        </w:rPr>
        <w:instrText>ADDIN CSL_CITATION {"citationItems":[{"id":"ITEM-1","itemData":{"DOI":"10.1038/s41598-017-18646-7","abstract":"8000 years ago, prior to Neolithic agriculture, Europe was mostly a wooded continent. Since then, its forest cover has been progressively fragmented, so that today it covers less than half of Europe's land area, in many cases having been cleared to make way for fields and pasture-land. Establishing the origin of Europe's current, more open land-cover mosaic requires a long-term perspective, for which pollen analysis offers a key tool. In this study we utilise and compare three numerical approaches to transforming pollen data into past forest cover, drawing on &gt;1000 14 C-dated site records. All reconstructions highlight the different histories of the mixed temperate and the northern boreal forests, with the former declining progressively since ~6000 years ago, linked to forest clearance for agriculture in later prehistory (especially in northwest Europe) and early historic times (e.g. in north central Europe). In contrast, extensive human impact on the needle-leaf forests of northern Europe only becomes detectable in the last two millennia and has left a larger area of forest in place. Forest loss has been a dominant feature of Europe's landscape ecology in the second half of the current interglacial, with consequences for carbon cycling, ecosystem functioning and biodiversity. Along with an intrinsic interest in Europe's natural and cultural heritage, there is a need by climatologists, archaeologists , geomorphologists, conservation ecologists and others for the reconstruction of long-term, large-scale changes in forest cover, especially those associated with human activities 1. For example, pollen-based reconstructions potentially provide a critical empirical test of the hypothesis that human land-cover change already started to alter greenhouse gas emissions significantly, and thereby global climate, thousands of years ago 2. Although many previous studies have investigated how pollen can be used to infer past forest cover, most have been site-or region-specific 3-5. Spatially-extensive (e.g. Europe-wide) syntheses have focused instead on what pollen can tell us about changes in vegetation species composition, biome distribution or climate 6,7 , rather than explicitly incorporating human-induced changes in forest cover. Recently, a number of different numerical approaches have been developed to reconstruct large-scale past land cover from pollen data. They include the REVEALS model 8 linked to the LandClim project 9-11 , the Pseudobiomization Method (…","author":[{"dropping-particle":"","family":"Roberts","given":"N","non-dropping-particle":"","parse-names":false,"suffix":""},{"dropping-particle":"","family":"Fyfe","given":"R M","non-dropping-particle":"","parse-names":false,"suffix":""},{"dropping-particle":"","family":"Woodbridge","given":"J","non-dropping-particle":"","parse-names":false,"suffix":""},{"dropping-particle":"","family":"Gaillard","given":"M.-J","non-dropping-particle":"","parse-names":false,"suffix":""},{"dropping-particle":"","family":"Davis","given":"B A S","non-dropping-particle":"","parse-names":false,"suffix":""},{"dropping-particle":"","family":"Kaplan","given":"J O","non-dropping-particle":"","parse-names":false,"suffix":""},{"dropping-particle":"","family":"Marquer","given":"L","non-dropping-particle":"","parse-names":false,"suffix":""},{"dropping-particle":"","family":"Mazier","given":"F","non-dropping-particle":"","parse-names":false,"suffix":""},{"dropping-particle":"","family":"Nielsen","given":"A B","non-dropping-particle":"","parse-names":false,"suffix":""},{"dropping-particle":"","family":"Sugita","given":"S","non-dropping-particle":"","parse-names":false,"suffix":""},{"dropping-particle":"","family":"Trondman","given":"A.-K","non-dropping-particle":"","parse-names":false,"suffix":""},{"dropping-particle":"","family":"Leydet","given":"&amp; M","non-dropping-particle":"","parse-names":false,"suffix":""}],"id":"ITEM-1","issued":{"date-parts":[["2018"]]},"title":"Europe's lost forests: a pollen-based synthesis for the last 11,000 years OPEN","type":"article-journal"},"uris":["http://www.mendeley.com/documents/?uuid=64725f50-8a97-3398-967e-babb44be77ab"]}],"mendeley":{"formattedCitation":"&lt;sup&gt;[5]&lt;/sup&gt;","plainTextFormattedCitation":"[5]","previouslyFormattedCitation":"(Roberts et al., 2018)"},"properties":{"noteIndex":0},"schema":"https://github.com/citation-style-language/schema/raw/master/csl-citation.json"}</w:instrText>
      </w:r>
      <w:r>
        <w:rPr>
          <w:rStyle w:val="FootnoteReference"/>
          <w:rFonts w:cstheme="minorHAnsi"/>
          <w:color w:val="auto"/>
          <w:lang w:val="en-GB"/>
        </w:rPr>
        <w:fldChar w:fldCharType="separate"/>
      </w:r>
      <w:r>
        <w:rPr>
          <w:rFonts w:cstheme="minorHAnsi"/>
          <w:bCs/>
          <w:noProof/>
          <w:color w:val="auto"/>
        </w:rPr>
        <w:t>[7]</w:t>
      </w:r>
      <w:r>
        <w:rPr>
          <w:rStyle w:val="FootnoteReference"/>
          <w:rFonts w:cstheme="minorHAnsi"/>
          <w:color w:val="auto"/>
          <w:lang w:val="en-GB"/>
        </w:rPr>
        <w:fldChar w:fldCharType="end"/>
      </w:r>
      <w:r>
        <w:rPr>
          <w:rFonts w:cstheme="minorHAnsi"/>
          <w:color w:val="auto"/>
          <w:lang w:val="en-GB"/>
        </w:rPr>
        <w:t xml:space="preserve">. </w:t>
      </w:r>
      <w:r>
        <w:rPr>
          <w:color w:val="auto"/>
        </w:rPr>
        <w:t xml:space="preserve">Sustainable practices over time took the form of appropriation, colonization, and </w:t>
      </w:r>
      <w:r>
        <w:rPr>
          <w:color w:val="auto"/>
          <w:lang w:val="de-AT"/>
        </w:rPr>
        <w:t>land-use</w:t>
      </w:r>
      <w:r>
        <w:rPr>
          <w:color w:val="auto"/>
        </w:rPr>
        <w:t xml:space="preserve"> intensification, which led to ecosystem transformations </w:t>
      </w:r>
      <w:r>
        <w:rPr>
          <w:rStyle w:val="FootnoteReference"/>
          <w:color w:val="auto"/>
        </w:rPr>
        <w:fldChar w:fldCharType="begin" w:fldLock="1"/>
      </w:r>
      <w:r>
        <w:rPr>
          <w:color w:val="auto"/>
        </w:rPr>
        <w:instrText>ADDIN CSL_CITATION {"citationItems":[{"id":"ITEM-1","itemData":{"DOI":"10.1073/pnas.2023483118","ISSN":"10916490","PMID":"33875599","abstract":"Archaeological and paleoecological evidence shows that by 10,000 BCE, all human societies employed varying degrees of ecologically transformative land use practices, including burning, hunting, species propagation, domestication, cultivation, and others that have left long-term legacies across the terrestrial biosphere. Yet, a lingering paradigm among natural scientists, conservationists, and policymakers is that human transformation of terrestrial nature is mostly recent and inherently destructive. Here, we use the most up-to-date, spatially explicit global reconstruction of historical human populations and land use to show that this paradigm is likely wrong. Even 12,000 y ago, nearly three quarters of Earth’s land was inhabited and therefore shaped by human societies, including more than 95% of temperate and 90% of tropical woodlands. Lands now characterized as “natural,” “intact,” and “wild” generally exhibit long histories of use, as do protected areas and Indigenous lands, and current global patterns of vertebrate species richness and key biodiversity areas are more strongly associated with past patterns of land use than with present ones in regional landscapes now characterized as natural. The current biodiversity crisis can seldom be explained by the loss of uninhabited wildlands, resulting instead from the appropriation, colonization, and intensifying use of the biodiverse cultural landscapes long shaped and sustained by prior societies. Recognizing this deep cultural connection with biodiversity will therefore be essential to resolve the crisis.","author":[{"dropping-particle":"","family":"Ellis","given":"Erle C.","non-dropping-particle":"","parse-names":false,"suffix":""},{"dropping-particle":"","family":"Gauthier","given":"Nicolas","non-dropping-particle":"","parse-names":false,"suffix":""},{"dropping-particle":"","family":"Goldewijk","given":"Kees Klein","non-dropping-particle":"","parse-names":false,"suffix":""},{"dropping-particle":"","family":"Bird","given":"Rebecca Bliege","non-dropping-particle":"","parse-names":false,"suffix":""},{"dropping-particle":"","family":"Boivin","given":"Nicole","non-dropping-particle":"","parse-names":false,"suffix":""},{"dropping-particle":"","family":"Díaz","given":"Sandra","non-dropping-particle":"","parse-names":false,"suffix":""},{"dropping-particle":"","family":"Fuller","given":"Dorian Q.","non-dropping-particle":"","parse-names":false,"suffix":""},{"dropping-particle":"","family":"Gill","given":"Jacquelyn L.","non-dropping-particle":"","parse-names":false,"suffix":""},{"dropping-particle":"","family":"Kaplan","given":"Jed O.","non-dropping-particle":"","parse-names":false,"suffix":""},{"dropping-particle":"","family":"Kingston","given":"Naomi","non-dropping-particle":"","parse-names":false,"suffix":""},{"dropping-particle":"","family":"Locke","given":"Harvey","non-dropping-particle":"","parse-names":false,"suffix":""},{"dropping-particle":"","family":"McMichael","given":"Crystal N.H.","non-dropping-particle":"","parse-names":false,"suffix":""},{"dropping-particle":"","family":"Ranco","given":"Darren","non-dropping-particle":"","parse-names":false,"suffix":""},{"dropping-particle":"","family":"Rick","given":"Torben C.","non-dropping-particle":"","parse-names":false,"suffix":""},{"dropping-particle":"","family":"Rebecca Shaw","given":"M.","non-dropping-particle":"","parse-names":false,"suffix":""},{"dropping-particle":"","family":"Stephens","given":"Lucas","non-dropping-particle":"","parse-names":false,"suffix":""},{"dropping-particle":"","family":"Svenning","given":"Jens Christian","non-dropping-particle":"","parse-names":false,"suffix":""},{"dropping-particle":"","family":"Watson","given":"James E.M.","non-dropping-particle":"","parse-names":false,"suffix":""}],"container-title":"Proceedings of the National Academy of Sciences of the United States of America","id":"ITEM-1","issue":"17","issued":{"date-parts":[["2021"]]},"page":"1-8","title":"People have shaped most of terrestrial nature for at least 12,000 years","type":"article-journal","volume":"118"},"uris":["http://www.mendeley.com/documents/?uuid=cbb12bc6-0d4e-4339-892c-72654f9ab421"]}],"mendeley":{"formattedCitation":"&lt;sup&gt;[6]&lt;/sup&gt;","plainTextFormattedCitation":"[6]","previouslyFormattedCitation":"(Ellis et al., 2021)"},"properties":{"noteIndex":0},"schema":"https://github.com/citation-style-language/schema/raw/master/csl-citation.json"}</w:instrText>
      </w:r>
      <w:r>
        <w:rPr>
          <w:rStyle w:val="FootnoteReference"/>
          <w:color w:val="auto"/>
        </w:rPr>
        <w:fldChar w:fldCharType="separate"/>
      </w:r>
      <w:r>
        <w:rPr>
          <w:bCs/>
          <w:noProof/>
          <w:color w:val="auto"/>
        </w:rPr>
        <w:t>[8]</w:t>
      </w:r>
      <w:r>
        <w:rPr>
          <w:rStyle w:val="FootnoteReference"/>
          <w:color w:val="auto"/>
        </w:rPr>
        <w:fldChar w:fldCharType="end"/>
      </w:r>
      <w:r>
        <w:rPr>
          <w:color w:val="auto"/>
        </w:rPr>
        <w:t xml:space="preserve">. The intensification of human activities and the loss of sustainable practices make </w:t>
      </w:r>
      <w:r>
        <w:rPr>
          <w:rFonts w:cstheme="minorHAnsi"/>
          <w:color w:val="auto"/>
          <w:lang w:val="en-GB"/>
        </w:rPr>
        <w:t xml:space="preserve">Europe one of the regions of the world where human-induced effects on vegetation are most notable </w:t>
      </w:r>
      <w:r>
        <w:rPr>
          <w:rStyle w:val="FootnoteReference"/>
          <w:rFonts w:cstheme="minorHAnsi"/>
          <w:color w:val="auto"/>
          <w:lang w:val="en-GB"/>
        </w:rPr>
        <w:fldChar w:fldCharType="begin" w:fldLock="1"/>
      </w:r>
      <w:r>
        <w:rPr>
          <w:rFonts w:cstheme="minorHAnsi"/>
          <w:color w:val="auto"/>
          <w:lang w:val="en-GB"/>
        </w:rPr>
        <w:instrText>ADDIN CSL_CITATION {"citationItems":[{"id":"ITEM-1","itemData":{"DOI":"10.1038/s41598-017-18646-7","abstract":"8000 years ago, prior to Neolithic agriculture, Europe was mostly a wooded continent. Since then, its forest cover has been progressively fragmented, so that today it covers less than half of Europe's land area, in many cases having been cleared to make way for fields and pasture-land. Establishing the origin of Europe's current, more open land-cover mosaic requires a long-term perspective, for which pollen analysis offers a key tool. In this study we utilise and compare three numerical approaches to transforming pollen data into past forest cover, drawing on &gt;1000 14 C-dated site records. All reconstructions highlight the different histories of the mixed temperate and the northern boreal forests, with the former declining progressively since ~6000 years ago, linked to forest clearance for agriculture in later prehistory (especially in northwest Europe) and early historic times (e.g. in north central Europe). In contrast, extensive human impact on the needle-leaf forests of northern Europe only becomes detectable in the last two millennia and has left a larger area of forest in place. Forest loss has been a dominant feature of Europe's landscape ecology in the second half of the current interglacial, with consequences for carbon cycling, ecosystem functioning and biodiversity. Along with an intrinsic interest in Europe's natural and cultural heritage, there is a need by climatologists, archaeologists , geomorphologists, conservation ecologists and others for the reconstruction of long-term, large-scale changes in forest cover, especially those associated with human activities 1. For example, pollen-based reconstructions potentially provide a critical empirical test of the hypothesis that human land-cover change already started to alter greenhouse gas emissions significantly, and thereby global climate, thousands of years ago 2. Although many previous studies have investigated how pollen can be used to infer past forest cover, most have been site-or region-specific 3-5. Spatially-extensive (e.g. Europe-wide) syntheses have focused instead on what pollen can tell us about changes in vegetation species composition, biome distribution or climate 6,7 , rather than explicitly incorporating human-induced changes in forest cover. Recently, a number of different numerical approaches have been developed to reconstruct large-scale past land cover from pollen data. They include the REVEALS model 8 linked to the LandClim project 9-11 , the Pseudobiomization Method (…","author":[{"dropping-particle":"","family":"Roberts","given":"N","non-dropping-particle":"","parse-names":false,"suffix":""},{"dropping-particle":"","family":"Fyfe","given":"R M","non-dropping-particle":"","parse-names":false,"suffix":""},{"dropping-particle":"","family":"Woodbridge","given":"J","non-dropping-particle":"","parse-names":false,"suffix":""},{"dropping-particle":"","family":"Gaillard","given":"M.-J","non-dropping-particle":"","parse-names":false,"suffix":""},{"dropping-particle":"","family":"Davis","given":"B A S","non-dropping-particle":"","parse-names":false,"suffix":""},{"dropping-particle":"","family":"Kaplan","given":"J O","non-dropping-particle":"","parse-names":false,"suffix":""},{"dropping-particle":"","family":"Marquer","given":"L","non-dropping-particle":"","parse-names":false,"suffix":""},{"dropping-particle":"","family":"Mazier","given":"F","non-dropping-particle":"","parse-names":false,"suffix":""},{"dropping-particle":"","family":"Nielsen","given":"A B","non-dropping-particle":"","parse-names":false,"suffix":""},{"dropping-particle":"","family":"Sugita","given":"S","non-dropping-particle":"","parse-names":false,"suffix":""},{"dropping-particle":"","family":"Trondman","given":"A.-K","non-dropping-particle":"","parse-names":false,"suffix":""},{"dropping-particle":"","family":"Leydet","given":"&amp; M","non-dropping-particle":"","parse-names":false,"suffix":""}],"id":"ITEM-1","issued":{"date-parts":[["2018"]]},"title":"Europe's lost forests: a pollen-based synthesis for the last 11,000 years OPEN","type":"article-journal"},"uris":["http://www.mendeley.com/documents/?uuid=64725f50-8a97-3398-967e-babb44be77ab"]}],"mendeley":{"formattedCitation":"&lt;sup&gt;[5]&lt;/sup&gt;","plainTextFormattedCitation":"[5]","previouslyFormattedCitation":"(Roberts et al., 2018)"},"properties":{"noteIndex":0},"schema":"https://github.com/citation-style-language/schema/raw/master/csl-citation.json"}</w:instrText>
      </w:r>
      <w:r>
        <w:rPr>
          <w:rStyle w:val="FootnoteReference"/>
          <w:rFonts w:cstheme="minorHAnsi"/>
          <w:color w:val="auto"/>
          <w:lang w:val="en-GB"/>
        </w:rPr>
        <w:fldChar w:fldCharType="separate"/>
      </w:r>
      <w:r>
        <w:rPr>
          <w:rFonts w:cstheme="minorHAnsi"/>
          <w:noProof/>
          <w:color w:val="auto"/>
          <w:lang w:val="en-GB"/>
        </w:rPr>
        <w:t>[7]</w:t>
      </w:r>
      <w:r>
        <w:rPr>
          <w:rStyle w:val="FootnoteReference"/>
          <w:rFonts w:cstheme="minorHAnsi"/>
          <w:color w:val="auto"/>
          <w:lang w:val="en-GB"/>
        </w:rPr>
        <w:fldChar w:fldCharType="end"/>
      </w:r>
      <w:r>
        <w:rPr>
          <w:rFonts w:cstheme="minorHAnsi"/>
          <w:color w:val="auto"/>
          <w:lang w:val="en-GB"/>
        </w:rPr>
        <w:t xml:space="preserve">. </w:t>
      </w:r>
      <w:r>
        <w:rPr>
          <w:color w:val="auto"/>
        </w:rPr>
        <w:t xml:space="preserve">The increments of species extinction, soil erosion, altered biogeochemical processes, fire frequency, and hydrology left long-term legacies across the biosphere and shaped most of terrestrial nature for at least 12,000 years </w:t>
      </w:r>
      <w:r>
        <w:rPr>
          <w:rStyle w:val="FootnoteReference"/>
          <w:color w:val="auto"/>
        </w:rPr>
        <w:fldChar w:fldCharType="begin" w:fldLock="1"/>
      </w:r>
      <w:r>
        <w:rPr>
          <w:color w:val="auto"/>
        </w:rPr>
        <w:instrText>ADDIN CSL_CITATION {"citationItems":[{"id":"ITEM-1","itemData":{"DOI":"10.1073/pnas.2023483118","ISSN":"10916490","PMID":"33875599","abstract":"Archaeological and paleoecological evidence shows that by 10,000 BCE, all human societies employed varying degrees of ecologically transformative land use practices, including burning, hunting, species propagation, domestication, cultivation, and others that have left long-term legacies across the terrestrial biosphere. Yet, a lingering paradigm among natural scientists, conservationists, and policymakers is that human transformation of terrestrial nature is mostly recent and inherently destructive. Here, we use the most up-to-date, spatially explicit global reconstruction of historical human populations and land use to show that this paradigm is likely wrong. Even 12,000 y ago, nearly three quarters of Earth’s land was inhabited and therefore shaped by human societies, including more than 95% of temperate and 90% of tropical woodlands. Lands now characterized as “natural,” “intact,” and “wild” generally exhibit long histories of use, as do protected areas and Indigenous lands, and current global patterns of vertebrate species richness and key biodiversity areas are more strongly associated with past patterns of land use than with present ones in regional landscapes now characterized as natural. The current biodiversity crisis can seldom be explained by the loss of uninhabited wildlands, resulting instead from the appropriation, colonization, and intensifying use of the biodiverse cultural landscapes long shaped and sustained by prior societies. Recognizing this deep cultural connection with biodiversity will therefore be essential to resolve the crisis.","author":[{"dropping-particle":"","family":"Ellis","given":"Erle C.","non-dropping-particle":"","parse-names":false,"suffix":""},{"dropping-particle":"","family":"Gauthier","given":"Nicolas","non-dropping-particle":"","parse-names":false,"suffix":""},{"dropping-particle":"","family":"Goldewijk","given":"Kees Klein","non-dropping-particle":"","parse-names":false,"suffix":""},{"dropping-particle":"","family":"Bird","given":"Rebecca Bliege","non-dropping-particle":"","parse-names":false,"suffix":""},{"dropping-particle":"","family":"Boivin","given":"Nicole","non-dropping-particle":"","parse-names":false,"suffix":""},{"dropping-particle":"","family":"Díaz","given":"Sandra","non-dropping-particle":"","parse-names":false,"suffix":""},{"dropping-particle":"","family":"Fuller","given":"Dorian Q.","non-dropping-particle":"","parse-names":false,"suffix":""},{"dropping-particle":"","family":"Gill","given":"Jacquelyn L.","non-dropping-particle":"","parse-names":false,"suffix":""},{"dropping-particle":"","family":"Kaplan","given":"Jed O.","non-dropping-particle":"","parse-names":false,"suffix":""},{"dropping-particle":"","family":"Kingston","given":"Naomi","non-dropping-particle":"","parse-names":false,"suffix":""},{"dropping-particle":"","family":"Locke","given":"Harvey","non-dropping-particle":"","parse-names":false,"suffix":""},{"dropping-particle":"","family":"McMichael","given":"Crystal N.H.","non-dropping-particle":"","parse-names":false,"suffix":""},{"dropping-particle":"","family":"Ranco","given":"Darren","non-dropping-particle":"","parse-names":false,"suffix":""},{"dropping-particle":"","family":"Rick","given":"Torben C.","non-dropping-particle":"","parse-names":false,"suffix":""},{"dropping-particle":"","family":"Rebecca Shaw","given":"M.","non-dropping-particle":"","parse-names":false,"suffix":""},{"dropping-particle":"","family":"Stephens","given":"Lucas","non-dropping-particle":"","parse-names":false,"suffix":""},{"dropping-particle":"","family":"Svenning","given":"Jens Christian","non-dropping-particle":"","parse-names":false,"suffix":""},{"dropping-particle":"","family":"Watson","given":"James E.M.","non-dropping-particle":"","parse-names":false,"suffix":""}],"container-title":"Proceedings of the National Academy of Sciences of the United States of America","id":"ITEM-1","issue":"17","issued":{"date-parts":[["2021"]]},"page":"1-8","title":"People have shaped most of terrestrial nature for at least 12,000 years","type":"article-journal","volume":"118"},"uris":["http://www.mendeley.com/documents/?uuid=cbb12bc6-0d4e-4339-892c-72654f9ab421"]}],"mendeley":{"formattedCitation":"&lt;sup&gt;[6]&lt;/sup&gt;","plainTextFormattedCitation":"[6]","previouslyFormattedCitation":"(Ellis et al., 2021)"},"properties":{"noteIndex":0},"schema":"https://github.com/citation-style-language/schema/raw/master/csl-citation.json"}</w:instrText>
      </w:r>
      <w:r>
        <w:rPr>
          <w:rStyle w:val="FootnoteReference"/>
          <w:color w:val="auto"/>
        </w:rPr>
        <w:fldChar w:fldCharType="separate"/>
      </w:r>
      <w:r>
        <w:rPr>
          <w:noProof/>
          <w:color w:val="auto"/>
        </w:rPr>
        <w:t>[8]</w:t>
      </w:r>
      <w:r>
        <w:rPr>
          <w:rStyle w:val="FootnoteReference"/>
          <w:color w:val="auto"/>
        </w:rPr>
        <w:fldChar w:fldCharType="end"/>
      </w:r>
      <w:r>
        <w:rPr>
          <w:color w:val="auto"/>
        </w:rPr>
        <w:t xml:space="preserve">. A worldwide acceleration in the rates of vegetation compositional change starting between 4600 and 2900 years ago was demonstrated using a global set of over 1000 fossil pollen records and a new method to estimate the “rate of change” [9]. This human-induced acceleration was shown to exceed the climate-driven transformations of the last deglaciation. This study </w:t>
      </w:r>
      <w:r>
        <w:rPr>
          <w:color w:val="auto"/>
          <w:lang w:val="en-GB"/>
        </w:rPr>
        <w:t xml:space="preserve">highlights past land use and environmental forcings legacies </w:t>
      </w:r>
      <w:r>
        <w:rPr>
          <w:color w:val="auto"/>
        </w:rPr>
        <w:t>in relation to the strong anthropogenic imprint of the past decades</w:t>
      </w:r>
      <w:r>
        <w:rPr>
          <w:color w:val="auto"/>
          <w:lang w:val="en-GB"/>
        </w:rPr>
        <w:t xml:space="preserve"> on contemporary communities and biodiversity trends</w:t>
      </w:r>
      <w:r>
        <w:rPr>
          <w:color w:val="auto"/>
        </w:rPr>
        <w:t xml:space="preserve">. Times of </w:t>
      </w:r>
      <w:r>
        <w:rPr>
          <w:color w:val="auto"/>
          <w:lang w:val="en-GB"/>
        </w:rPr>
        <w:t xml:space="preserve">technological development (e.g., the introduction of metals, innovations in plough shape, new cropping systems) transformed ecological structures and dynamics, including vegetation (impacting species richness, evenness, and biomass), which led to progressive replacement of semi-natural or natural ecosystems by human-modified ones </w:t>
      </w:r>
      <w:r>
        <w:rPr>
          <w:color w:val="auto"/>
          <w:lang w:val="en-GB"/>
        </w:rPr>
        <w:fldChar w:fldCharType="begin" w:fldLock="1"/>
      </w:r>
      <w:r>
        <w:rPr>
          <w:color w:val="auto"/>
          <w:lang w:val="en-GB"/>
        </w:rPr>
        <w:instrText>ADDIN CSL_CITATION {"citationItems":[{"id":"ITEM-1","itemData":{"DOI":"10.1016/j.ppees.2014.10.002","ISSN":"16180437","abstract":"Given the increasing prevalence of cities, a better mechanistic and functional understanding of plant responses to urbanisation will assist biodiversity conservation and the provision of ecosystem services. Plant functional traits offer an opportunity to do this. To explore the relationship between plant traits and the urban environment, we synthesised the results of 29 studies that specifically examined plant traits or niche indicators (e.g. Ellenberg numbers) of urban floras. Niche indicators for nutrients, temperature and alkalinity were found to consistently increase across many studies. Some plant traits (e.g. woodiness, seed mass and height) tended to increase in response to urbanisation, while other traits have mixed responses and many other traits are understudied. We propose that variability in the observed responses is linked to the consistency and strength of urban stressors acting on those traits, and the importance of local factors. Our synthesis highlights the complexity of urban plant-environment interactions with many traits influenced by multiple abiotic, biotic and disturbance effects of urbanisation. Multiple stressors make it difficult to detect trends in urban plant trait signatures unless one urban stressor drives a particularly strong response or multiple stressors act on the response in the same direction. While our review has developed a better understanding of how urbanisation may assemble urban floras, further advances can be gained through studies that focus on specific urbanisation processes, measurable morphological traits and data curation and analyses that facilitate meta-analysis.","author":[{"dropping-particle":"","family":"Williams","given":"Nicholas S.G.","non-dropping-particle":"","parse-names":false,"suffix":""},{"dropping-particle":"","family":"Hahs","given":"Amy K.","non-dropping-particle":"","parse-names":false,"suffix":""},{"dropping-particle":"","family":"Vesk","given":"Peter A.","non-dropping-particle":"","parse-names":false,"suffix":""}],"container-title":"Perspectives in Plant Ecology, Evolution and Systematics","id":"ITEM-1","issue":"1","issued":{"date-parts":[["2015"]]},"page":"78-86","publisher":"Elsevier GmbH.","title":"Urbanisation, plant traits and the composition of urban floras","type":"article-journal","volume":"17"},"uris":["http://www.mendeley.com/documents/?uuid=2e73d703-7f38-4bf1-a28d-5fdc0aff2882"]},{"id":"ITEM-2","itemData":{"DOI":"10.1016/j.quascirev.2017.07.001","ISSN":"02773791","abstract":"Early agriculture can be detected in palaeovegetation records, but quantification of the relative importance of climate and land use in influencing regional vegetation composition since the onset of agriculture is a topic that is rarely addressed. We present a novel approach that combines pollen-based REVEALS estimates of plant cover with climate, anthropogenic land-cover and dynamic vegetation modelling results. This is used to quantify the relative impacts of land use and climate on Holocene vegetation at a sub-continental scale, i.e. northern and western Europe north of the Alps. We use redundancy analysis and variation partitioning to quantify the percentage of variation in vegetation composition explained by the climate and land-use variables, and Monte Carlo permutation tests to assess the statistical significance of each variable. We further use a similarity index to combine pollen-based REVEALS estimates with climate-driven dynamic vegetation modelling results. The overall results indicate that climate is the major driver of vegetation when the Holocene is considered as a whole and at the sub-continental scale, although land use is important regionally. Four critical phases of land-use effects on vegetation are identified. The first phase (from 7000 to 6500 BP) corresponds to the early impacts on vegetation of farming and Neolithic forest clearance and to the dominance of climate as a driver of vegetation change. During the second phase (from 4500 to 4000 BP), land use becomes a major control of vegetation. Climate is still the principal driver, although its influence decreases gradually. The third phase (from 2000 to 1500 BP) is characterised by the continued role of climate on vegetation as a consequence of late-Holocene climate shifts and specific climate events that influence vegetation as well as land use. The last phase (from 500 to 350 BP) shows an acceleration of vegetation changes, in particular during the last century, caused by new farming practices and forestry in response to population growth and industrialization. This is a unique signature of anthropogenic impact within the Holocene but European vegetation remains climatically sensitive and thus may continue to respond to ongoing climate change.","author":[{"dropping-particle":"","family":"Marquer","given":"Laurent","non-dropping-particle":"","parse-names":false,"suffix":""},{"dropping-particle":"","family":"Gaillard","given":"Marie José","non-dropping-particle":"","parse-names":false,"suffix":""},{"dropping-particle":"","family":"Sugita","given":"Shinya","non-dropping-particle":"","parse-names":false,"suffix":""},{"dropping-particle":"","family":"Poska","given":"Anneli","non-dropping-particle":"","parse-names":false,"suffix":""},{"dropping-particle":"","family":"Trondman","given":"Anna Kari","non-dropping-particle":"","parse-names":false,"suffix":""},{"dropping-particle":"","family":"Mazier","given":"Florence","non-dropping-particle":"","parse-names":false,"suffix":""},{"dropping-particle":"","family":"Nielsen","given":"Anne Birgitte","non-dropping-particle":"","parse-names":false,"suffix":""},{"dropping-particle":"","family":"Fyfe","given":"Ralph M.","non-dropping-particle":"","parse-names":false,"suffix":""},{"dropping-particle":"","family":"Jönsson","given":"Anna Maria","non-dropping-particle":"","parse-names":false,"suffix":""},{"dropping-particle":"","family":"Smith","given":"Benjamin","non-dropping-particle":"","parse-names":false,"suffix":""},{"dropping-particle":"","family":"Kaplan","given":"Jed O.","non-dropping-particle":"","parse-names":false,"suffix":""},{"dropping-particle":"","family":"Alenius","given":"Teija","non-dropping-particle":"","parse-names":false,"suffix":""},{"dropping-particle":"","family":"Birks","given":"H. John B.","non-dropping-particle":"","parse-names":false,"suffix":""},{"dropping-particle":"","family":"Bjune","given":"Anne E.","non-dropping-particle":"","parse-names":false,"suffix":""},{"dropping-particle":"","family":"Christiansen","given":"Jörg","non-dropping-particle":"","parse-names":false,"suffix":""},{"dropping-particle":"","family":"Dodson","given":"John","non-dropping-particle":"","parse-names":false,"suffix":""},{"dropping-particle":"","family":"Edwards","given":"Kevin J.","non-dropping-particle":"","parse-names":false,"suffix":""},{"dropping-particle":"","family":"Giesecke","given":"Thomas","non-dropping-particle":"","parse-names":false,"suffix":""},{"dropping-particle":"","family":"Herzschuh","given":"Ulrike","non-dropping-particle":"","parse-names":false,"suffix":""},{"dropping-particle":"","family":"Kangur","given":"Mihkel","non-dropping-particle":"","parse-names":false,"suffix":""},{"dropping-particle":"","family":"Koff","given":"Tiiu","non-dropping-particle":"","parse-names":false,"suffix":""},{"dropping-particle":"","family":"Latałowa","given":"Małgorzata","non-dropping-particle":"","parse-names":false,"suffix":""},{"dropping-particle":"","family":"Lechterbeck","given":"Jutta","non-dropping-particle":"","parse-names":false,"suffix":""},{"dropping-particle":"","family":"Olofsson","given":"Jörgen","non-dropping-particle":"","parse-names":false,"suffix":""},{"dropping-particle":"","family":"Seppä","given":"Heikki","non-dropping-particle":"","parse-names":false,"suffix":""}],"container-title":"Quaternary Science Reviews","id":"ITEM-2","issued":{"date-parts":[["2017"]]},"page":"20-37","title":"Quantifying the effects of land use and climate on Holocene vegetation in Europe","type":"article-journal","volume":"171"},"uris":["http://www.mendeley.com/documents/?uuid=7e549335-d7d9-4222-b55e-8ab71177ba7b"]},{"id":"ITEM-3","itemData":{"DOI":"10.1007/s00334-017-0657-4","ISSN":"09396314","abstract":"Quantification of vegetation cover from pollen analysis has been a goal of palynologists since the advent of the method in 1916 by the great Lennart von Post. Pollen-based research projects are becoming increasingly ambitious in scale, and the emergence of spatially extensive open-access datasets, advanced methods and computer power has facilitated sub-continental analysis of Holocene pollen data. This paper presents results of one such study, focussing on the Mediterranean basin. Pollen data from 105 fossil sequences have been extracted from the European Pollen database, harmonised by both taxonomy and chronologies, and subjected to a hierarchical agglomerative clustering method to synthesise the dataset into 16 main groupings. A particular focus of analysis was to describe the common transitions from one group to another to understand pathways of Holocene vegetation change in the Mediterranean. Two pollen-based indices of human impact (OJC: Oleaceae, Juglans, Castanea; API: anthropogenic pollen indicators) have been used to infer the degree of human modification of vegetation within each pollen grouping. Pollen-inferred cluster groups that are interpreted as representing more natural vegetation states show a restricted number of pathways of change. A set of cluster groups were identified that closely resemble anthropogenically-disturbed vegetation, and might be considered anthromes (anthopogenic biomes). These clusters show a very wide set of potential pathways, implying that all potential vegetation communities identified through this analysis have been altered in response to land exploitation and transformation by human societies in combination with other factors, such as climatic change. Future work to explain these ecosystem pathways will require developing complementary datasets from the social sciences and humanities (archaeology and historical sources), along with synthesis of the climatic records from the region.","author":[{"dropping-particle":"","family":"Fyfe","given":"Ralph M.","non-dropping-particle":"","parse-names":false,"suffix":""},{"dropping-particle":"","family":"Woodbridge","given":"Jessie","non-dropping-particle":"","parse-names":false,"suffix":""},{"dropping-particle":"","family":"Roberts","given":"C. Neil","non-dropping-particle":"","parse-names":false,"suffix":""}],"container-title":"Vegetation History and Archaeobotany","id":"ITEM-3","issue":"2","issued":{"date-parts":[["2018"]]},"page":"351-364","publisher":"Springer Berlin Heidelberg","title":"Trajectories of change in Mediterranean Holocene vegetation through classification of pollen data","type":"article-journal","volume":"27"},"uris":["http://www.mendeley.com/documents/?uuid=6207ef5d-8035-456b-8e91-53b8c047c2fd"]},{"id":"ITEM-4","itemData":{"DOI":"10.1111/j.1466-8238.2010.00540.x","ISSN":"1466822X","abstract":"Aim: To map and characterize anthropogenic transformation of the terrestrial biosphere before and during the Industrial Revolution, from 1700 to 2000. Location: Global. Methods: Anthropogenic biomes (anthromes) were mapped for 1700, 1800, 1900 and 2000 using a rule-based anthrome classification model applied to gridded global data for human population density and land use. Anthropogenic transformation of terrestrial biomes was then characterized by map comparisons at century intervals. Results: In 1700, nearly half of the terrestrial biosphere was wild, without human settlements or substantial land use. Most of the remainder was in a seminatural state (45%) having only minor use for agriculture and settlements. By 2000, the opposite was true, with the majority of the biosphere in agricultural and settled anthromes, less than 20% seminatural and only a quarter left wild. Anthropogenic transformation of the biosphere during the Industrial Revolution resulted about equally from land-use expansion into wildlands and intensification of land use within seminatural anthromes. Transformation pathways differed strongly between biomes and regions,with some remaining mostly wild but with the majority almost completely transformed into rangelands, croplands and villages. In the process of transforming almost 39% of earth's total ice-free surface into agricultural land and settlements, an additional 37% of global land without such use has become embedded within agricultural and settled anthromes. Main conclusions: Between 1700 and 2000, the terrestrial biosphere made the critical transition frommostly wild to mostly anthropogenic, passing the 50% mark early in the 20th century. At present, and ever more in the future, the form and process of terrestrial ecosystems in most biomes will be predominantly anthropogenic, the product of land use and other direct human interactions with ecosystems. Ecological research and conservation efforts in all but a few biomes would benefit from a primary focus on the novel remnant, recovering and managed ecosystems embedded within used lands. © 2010 Blackwell Publishing Ltd.","author":[{"dropping-particle":"","family":"Ellis","given":"Erle C.","non-dropping-particle":"","parse-names":false,"suffix":""},{"dropping-particle":"","family":"Goldewijk","given":"Kees Klein","non-dropping-particle":"","parse-names":false,"suffix":""},{"dropping-particle":"","family":"Siebert","given":"Stefan","non-dropping-particle":"","parse-names":false,"suffix":""},{"dropping-particle":"","family":"Lightman","given":"Deborah","non-dropping-particle":"","parse-names":false,"suffix":""},{"dropping-particle":"","family":"Ramankutty","given":"Navin","non-dropping-particle":"","parse-names":false,"suffix":""}],"container-title":"Global Ecology and Biogeography","id":"ITEM-4","issue":"5","issued":{"date-parts":[["2010"]]},"page":"589-606","title":"Anthropogenic transformation of the biomes, 1700 to 2000","type":"article-journal","volume":"19"},"uris":["http://www.mendeley.com/documents/?uuid=df9ef514-3e8a-4e4f-810c-25eb660becbf"]}],"mendeley":{"formattedCitation":"&lt;sup&gt;[1, 7–9]&lt;/sup&gt;","manualFormatting":"[3, 9–11]","plainTextFormattedCitation":"[1, 7–9]","previouslyFormattedCitation":"(Ellis et al., 2010; Fyfe, Woodbridge, et al., 2018; Marquer et al., 2017; Williams et al., 2015)"},"properties":{"noteIndex":0},"schema":"https://github.com/citation-style-language/schema/raw/master/csl-citation.json"}</w:instrText>
      </w:r>
      <w:r>
        <w:rPr>
          <w:color w:val="auto"/>
          <w:lang w:val="en-GB"/>
        </w:rPr>
        <w:fldChar w:fldCharType="separate"/>
      </w:r>
      <w:r>
        <w:rPr>
          <w:bCs/>
          <w:noProof/>
          <w:color w:val="auto"/>
        </w:rPr>
        <w:t>[3,9–11]</w:t>
      </w:r>
      <w:r>
        <w:rPr>
          <w:color w:val="auto"/>
        </w:rPr>
        <w:fldChar w:fldCharType="end"/>
      </w:r>
      <w:r>
        <w:rPr>
          <w:color w:val="auto"/>
        </w:rPr>
        <w:t xml:space="preserve">. </w:t>
      </w:r>
      <w:bookmarkStart w:id="1" w:name="_Hlk131857514"/>
      <w:r>
        <w:rPr>
          <w:color w:val="auto"/>
        </w:rPr>
        <w:t xml:space="preserve">In order to fully understand past and contemporary ecological processes, rates of biodiversity changes, and ecological thresholds at continental scales and globally, it is essential to have an overview of long-term land-cover dynamics </w:t>
      </w:r>
      <w:r>
        <w:fldChar w:fldCharType="begin" w:fldLock="1"/>
      </w:r>
      <w:r>
        <w:rPr>
          <w:color w:val="auto"/>
        </w:rPr>
        <w:instrText>ADDIN CSL_CITATION {"citationItems":[{"id":"ITEM-1","itemData":{"DOI":"10.1016/j.quascirev.2008.06.006","ISSN":"02773791","abstract":"The study of Quaternary environmental change is directly applicable to on-going issues of global conservation. Palaeoecological research techniques provide the tools to address some of the key questions presently being asked by conservation ecologists and land management organizations. But is this type of analysis currently being utilized to its full potential? Are the results of palaeoenvironmental analyses routinely applied to practical issues of natural resource management, and if not what can be done to expand the application of this research within the conservation community? This paper reviews recent developments in the application of the analysis of late Quaternary environmental change to key environmental issues of biodiversity and conservation management and examines areas which could be strengthened in the future including: (i) determination of baselines and natural ecosystem variability; (ii) understanding ecological thresholds and resilience; (iii) climate change conservation strategies; (iv) biological invasions; and (v) conservation and culture. © 2008 Elsevier Ltd. All rights reserved.","author":[{"dropping-particle":"","family":"Froyd","given":"C. A.","non-dropping-particle":"","parse-names":false,"suffix":""},{"dropping-particle":"","family":"Willis","given":"K. J.","non-dropping-particle":"","parse-names":false,"suffix":""}],"container-title":"Quaternary Science Reviews","id":"ITEM-1","issue":"17-18","issued":{"date-parts":[["2008"]]},"page":"1723-1732","title":"Emerging issues in biodiversity &amp; conservation management: The need for a palaeoecological perspective","type":"article-journal","volume":"27"},"uris":["http://www.mendeley.com/documents/?uuid=d4505d4a-5145-4165-af70-0f53dfb0ecfe"]},{"id":"ITEM-2","itemData":{"DOI":"10.1016/j.tree.2010.07.006","ISSN":"01695347","PMID":"20800315","abstract":"Fossil records are replete with examples of long-term biotic responses to past climate change. One particularly useful set of records are those preserved in lake and marine sediments, recording both climate changes and corresponding biotic responses. Recently there has been increasing focus on the need for conservation of ecological and evolutionary processes in the face of climate change. We review key areas where palaeoecological archives contribute to this conservation goal, namely: (i) determination of rates and nature of biodiversity response to climate change; (ii) climate processes responsible for ecological thresholds; (iii) identification of ecological resilience to climate change; and (iv) management of novel ecosystems. We stress the importance of long-term palaeoecological data in fully understanding contemporary and future biotic responses. © 2010 Elsevier Ltd.","author":[{"dropping-particle":"","family":"Willis","given":"K. J.","non-dropping-particle":"","parse-names":false,"suffix":""},{"dropping-particle":"","family":"Bailey","given":"R. M.","non-dropping-particle":"","parse-names":false,"suffix":""},{"dropping-particle":"","family":"Bhagwat","given":"S. A.","non-dropping-particle":"","parse-names":false,"suffix":""},{"dropping-particle":"","family":"Birks","given":"H. J.B.","non-dropping-particle":"","parse-names":false,"suffix":""}],"container-title":"Trends in Ecology and Evolution","id":"ITEM-2","issue":"10","issued":{"date-parts":[["2010"]]},"page":"583-591","title":"Biodiversity baselines, thresholds and resilience: Testing predictions and assumptions using palaeoecological data","type":"article-journal","volume":"25"},"uris":["http://www.mendeley.com/documents/?uuid=69a27e85-3eba-4202-b8ea-2906fa75af46"]},{"id":"ITEM-3","itemData":{"DOI":"10.5194/bg-10-3159-2013","ISSN":"17264170","abstract":"This study explores the relationship between landuse and floristic diversity between 600BC and AD2008 in the uplands of southern Sweden. We use fossil pollen assemblages and the Regional Estimates of Vegetation Abundance from Large Sites (REVEALS) model to quantitatively reconstruct land cover at a regional scale. Floristic richness and evenness are estimated using palynological richness and REVEALS-based evenness, respectively. We focus on the period AD350 to 750 to investigate the impact of an inferred, short-lived (&lt;200 yr) period of land-use expansion and subsequent land abandonment on vegetation composition and floristic diversity. The observed vegetation response is compared to that recorded during the transition from traditional to modern land-use management at the end of the 19th century. Our results suggest that agricultural land use was most widespread between AD350 and 1850, which correlates broadly with high values of palynological richness. REVEALS-based evenness was highest between AD500 and 1600 which indicates a more equal cover among taxa during this time interval. Palynological richness increased during the inferred land-use expansion after AD350 and decreased during the subsequent regression AD550-750, while REVEALS-based evenness increased throughout this period. The values of palynological richness during the last few decades are within the range observed during the last 1650 yr. However, REVEALS-based evenness shows much lower values during the last century compared to the previous ca. 2600 yr, which indicates that the composition of presentday vegetation is unusual in a millennial perspective. Our results show that regional scale changes in land use have had clear impacts on floristic diversity in southern Sweden, with a vegetation response time of less than 20 to 50 yr. We show the importance of traditional land use to attain high biodiversity and suggest that ecosystem management should include a regional landscape perspective. © Author(s) 2013.","author":[{"dropping-particle":"","family":"Fredh","given":"D.","non-dropping-particle":"","parse-names":false,"suffix":""},{"dropping-particle":"","family":"Broström","given":"A.","non-dropping-particle":"","parse-names":false,"suffix":""},{"dropping-particle":"","family":"Rundgren","given":"M.","non-dropping-particle":"","parse-names":false,"suffix":""},{"dropping-particle":"","family":"Lagerås","given":"P.","non-dropping-particle":"","parse-names":false,"suffix":""},{"dropping-particle":"","family":"Mazier","given":"F.","non-dropping-particle":"","parse-names":false,"suffix":""},{"dropping-particle":"","family":"Zillén","given":"L.","non-dropping-particle":"","parse-names":false,"suffix":""}],"container-title":"Biogeosciences","id":"ITEM-3","issue":"5","issued":{"date-parts":[["2013"]]},"page":"3159-3173","title":"The impact of land-use change on floristic diversity at regional scale in southern Sweden 600 BC-AD 2008","type":"article-journal","volume":"10"},"uris":["http://www.mendeley.com/documents/?uuid=701aed8c-63c1-43c7-9243-004a776cc61b"]},{"id":"ITEM-4","itemData":{"DOI":"10.1016/j.tree.2008.07.014","ISSN":"01695347","PMID":"18952317","abstract":"There is an apparent gap between the prominence of present theoretical frameworks involving ecological thresholds and regime shifts, and the paucity of efforts to conduct simple tests and quantitative inferences on the actual appearance of such phenomena in ecological data. A wide range of statistical methods and analytical techniques are now available that render these questions tractable, some of them even dating back half a century. Yet, their application has been sparse and confined within a narrow subset of cases of ecological regime shifts. Our objective is to raise awareness on the range of techniques available, and to their principles and limitations, to promote a more operational approach to the identification of ecological thresholds and regime shifts. © 2008 Elsevier Ltd. All rights reserved.","author":[{"dropping-particle":"","family":"Andersen","given":"Tom","non-dropping-particle":"","parse-names":false,"suffix":""},{"dropping-particle":"","family":"Carstensen","given":"Jacob","non-dropping-particle":"","parse-names":false,"suffix":""},{"dropping-particle":"","family":"Hernández-García","given":"Emilio","non-dropping-particle":"","parse-names":false,"suffix":""},{"dropping-particle":"","family":"Duarte","given":"Carlos M.","non-dropping-particle":"","parse-names":false,"suffix":""}],"container-title":"Trends in Ecology and Evolution","id":"ITEM-4","issue":"1","issued":{"date-parts":[["2009"]]},"page":"49-57","title":"Ecological thresholds and regime shifts: approaches to identification","type":"article-journal","volume":"24"},"uris":["http://www.mendeley.com/documents/?uuid=fb3ffef1-be6d-4dd3-8b36-5b1a351ba3ae"]},{"id":"ITEM-5","itemData":{"DOI":"10.1177/0959683615622568","ISBN":"0959683615622","ISSN":"14770911","abstract":"There is a rapidly emerging interest in detecting and understanding biodiversity trends during the ‘Anthropocene’ in response to human stressors and climate change. Surprisingly few studies have, however, considered trends in biodiversity during the preceding Holocene. Here, we present general trends in terrestrial alpha- and beta-diversity and biomass for the four main ecological phases (protocratic, mesocratic, Homo sapiens, oligocratic) of the Holocene in north-west Europe based on palynological data at the meta-community scale. Alpha- and beta-diversity decreased in the protocratic, showed little change in the mesocratic, decreased in the oligocratic, and increased markedly in the Homo sapiens phase. Biomass was maximal in the mesocratic. Biodiversity changes in the last 200 years (‘Anthropocene’), as detected from palynological data, are small compared with the changes over the Holocene. There are minor decreases in α-diversity, spatial β-diversity and biomass and a slight increase in temporal β-diversity at sites on fertile soils. This analysis is designed to encourage ecologists and biogeographers interested in the ‘Anthropocene’ to extend the time-scale of their analyses and to consider whether ‘Anthropocene’ biodiversity trends are a simple continuation of trends in the late Holocene or whether recent ‘Anthropocene’ trends deviate from the long-term Holocene trends. Hopefully, it will also stimulate palaeoecologists to consider Holocene biodiversity trends in different geographical areas and different organism groups and ecological systems.","author":[{"dropping-particle":"","family":"Birks","given":"H. J.B.","non-dropping-particle":"","parse-names":false,"suffix":""},{"dropping-particle":"","family":"Felde","given":"Vivian A.","non-dropping-particle":"","parse-names":false,"suffix":""},{"dropping-particle":"","family":"Seddon","given":"Alistair W.R.","non-dropping-particle":"","parse-names":false,"suffix":""}],"container-title":"Holocene","id":"ITEM-5","issue":"6","issued":{"date-parts":[["2016"]]},"page":"994-1001","title":"Biodiversity trends within the Holocene","type":"article-journal","volume":"26"},"uris":["http://www.mendeley.com/documents/?uuid=0b81e25d-3bcf-4324-84de-dcb8b43b42b7"]},{"id":"ITEM-6","itemData":{"DOI":"10.1111/1365-2745.13565","ISSN":"13652745","abstract":"Biodiversity plays an important role in ecosystem functioning, habitat recovery following disturbance and resilience to global environmental change. Long-term ecological records can be used to explore biodiversity patterns and trends over centennial to multi-millennial time-scales across broad regions. Fossil pollen grains preserved in sediment over millennia reflect palynological richness and diversity, which relates to changes in landscape diversity. Other long-term environmental data, such as fossil insects, palaeoclimate and archaeologically inferred palaeodemographic (population) data, hold potential to address questions about the drivers and consequences of diversity change when combined with fossil pollen records. This study tests a model of Holocene palynological diversity change through a synthesis of pollen and insect records from across the British Isles along with palaeodemographic trends and palaeoclimate records. We demonstrate relationships between human population change, insect faunal group turnover, palynological diversity and climate trends through the Holocene. Notable increases in population at the start of the British Neolithic (~6,000 calendar years before present [bp]) and Bronze Age (~4,200 bp) coincided with the loss of forests, increased agricultural activity and changes in insect faunal groups to species associated with human land use. Pollen diversity and evenness increased, most notably since the Bronze Age, as landscapes became more open and heterogeneous. However, regionally distinctive patterns are also evident within the context of these broad-scale trends. Palynological diversity is correlated with population while diversity and population are correlated with some climate datasets during certain time periods (e.g. Greenland temperature in the mid-late Holocene). Synthesis. This study has demonstrated that early human societies contributed to shaping palynological diversity patterns over millennia within the context of broader climatic influences upon vegetation. The connections between population and palynological diversity become increasingly significant in the later Holocene, implying intensifying impacts of human activity, which may override climatic effects. Patterns of palynological diversity trends are regionally variable and do not always follow expected trajectories. To fully understand the long-term drivers of biodiversity change on regionally relevant ecological and management scales, future research needs to…","author":[{"dropping-particle":"","family":"Woodbridge","given":"Jessie","non-dropping-particle":"","parse-names":false,"suffix":""},{"dropping-particle":"","family":"Fyfe","given":"Ralph","non-dropping-particle":"","parse-names":false,"suffix":""},{"dropping-particle":"","family":"Smith","given":"David","non-dropping-particle":"","parse-names":false,"suffix":""},{"dropping-particle":"","family":"Pelling","given":"Ruth","non-dropping-particle":"","parse-names":false,"suffix":""},{"dropping-particle":"","family":"Vareilles","given":"Anne","non-dropping-particle":"de","parse-names":false,"suffix":""},{"dropping-particle":"","family":"Batchelor","given":"Robert","non-dropping-particle":"","parse-names":false,"suffix":""},{"dropping-particle":"","family":"Bevan","given":"Andrew","non-dropping-particle":"","parse-names":false,"suffix":""},{"dropping-particle":"","family":"Davies","given":"Althea L.","non-dropping-particle":"","parse-names":false,"suffix":""}],"container-title":"Journal of Ecology","id":"ITEM-6","issue":"3","issued":{"date-parts":[["2021"]]},"page":"1396-1410","title":"What drives biodiversity patterns? Using long-term multidisciplinary data to discern centennial-scale change","type":"article-journal","volume":"109"},"uris":["http://www.mendeley.com/documents/?uuid=2bd92df3-e3b0-4457-b4c4-71f5b3b5af15"]}],"mendeley":{"formattedCitation":"&lt;sup&gt;[10–15]&lt;/sup&gt;","manualFormatting":"[10–16]","plainTextFormattedCitation":"[10–15]","previouslyFormattedCitation":"(Andersen et al., 2009; Birks et al., 2016; Fredh et al., 2013; Froyd &amp; Willis, 2008; Willis et al., 2010; Woodbridge et al., 2021)"},"properties":{"noteIndex":0},"schema":"https://github.com/citation-style-language/schema/raw/master/csl-citation.json"}</w:instrText>
      </w:r>
      <w:r>
        <w:fldChar w:fldCharType="separate"/>
      </w:r>
      <w:r>
        <w:rPr>
          <w:bCs/>
          <w:noProof/>
          <w:color w:val="auto"/>
        </w:rPr>
        <w:t>[12–18]</w:t>
      </w:r>
      <w:r>
        <w:fldChar w:fldCharType="end"/>
      </w:r>
      <w:r>
        <w:rPr>
          <w:color w:val="auto"/>
        </w:rPr>
        <w:t>.</w:t>
      </w:r>
      <w:bookmarkEnd w:id="1"/>
    </w:p>
    <w:p w14:paraId="3C55F496" w14:textId="77777777" w:rsidR="004653D0" w:rsidRDefault="004653D0" w:rsidP="004653D0">
      <w:pPr>
        <w:pStyle w:val="MDPI31text"/>
        <w:rPr>
          <w:color w:val="auto"/>
          <w:lang w:val="en-GB"/>
        </w:rPr>
      </w:pPr>
      <w:r>
        <w:rPr>
          <w:color w:val="auto"/>
        </w:rPr>
        <w:t xml:space="preserve">Attempts to reconstruct past land cover have been made to model </w:t>
      </w:r>
      <w:r>
        <w:rPr>
          <w:color w:val="auto"/>
          <w:lang w:val="en-GB"/>
        </w:rPr>
        <w:t xml:space="preserve">land-use and land-cover change (LULCC) over Holocene time scales (e.g., HYDE 3.2 </w:t>
      </w:r>
      <w:r>
        <w:rPr>
          <w:rStyle w:val="FootnoteReference"/>
          <w:color w:val="auto"/>
          <w:lang w:val="en-GB"/>
        </w:rPr>
        <w:fldChar w:fldCharType="begin" w:fldLock="1"/>
      </w:r>
      <w:r>
        <w:rPr>
          <w:color w:val="auto"/>
          <w:lang w:val="en-GB"/>
        </w:rPr>
        <w:instrText>ADDIN CSL_CITATION {"citationItems":[{"id":"ITEM-1","itemData":{"DOI":"10.5194/essd-9-927-2017","ISSN":"1866-3516","abstract":"&lt;p&gt;Abstract. This paper presents an update and extension of HYDE, the History Database of the Global Environment (HYDE version 3.2). HYDE is an internally consistent combination of historical population estimates and allocation algorithms with time-dependent weighting maps for land use. Categories include cropland, with new distinctions for irrigated and rain-fed crops (other than rice) and irrigated and rain-fed rice. Grazing lands are also provided, divided into more intensively used pasture and less intensively used rangeland, and further specified with respect to conversion of natural vegetation to facilitate global change modellers. Population is represented by maps of total, urban, rural population, population density and built-up area. The period covered is 10</w:instrText>
      </w:r>
      <w:r>
        <w:rPr>
          <w:rFonts w:ascii="Times New Roman" w:hAnsi="Times New Roman"/>
          <w:color w:val="auto"/>
          <w:lang w:val="en-GB"/>
        </w:rPr>
        <w:instrText> </w:instrText>
      </w:r>
      <w:r>
        <w:rPr>
          <w:color w:val="auto"/>
          <w:lang w:val="en-GB"/>
        </w:rPr>
        <w:instrText>000 before Common Era (BCE) to 2015 Common Era (CE). All data can be downloaded from https://doi.org/10.17026/dans-25g-gez3. We estimate that global population increased from 4.4</w:instrText>
      </w:r>
      <w:r>
        <w:rPr>
          <w:rFonts w:cs="Palatino Linotype"/>
          <w:color w:val="auto"/>
          <w:lang w:val="en-GB"/>
        </w:rPr>
        <w:instrText> </w:instrText>
      </w:r>
      <w:r>
        <w:rPr>
          <w:color w:val="auto"/>
          <w:lang w:val="en-GB"/>
        </w:rPr>
        <w:instrText>million people (we also estimate a lower range  &lt; </w:instrText>
      </w:r>
      <w:r>
        <w:rPr>
          <w:rFonts w:ascii="Times New Roman" w:hAnsi="Times New Roman"/>
          <w:color w:val="auto"/>
          <w:lang w:val="en-GB"/>
        </w:rPr>
        <w:instrText> </w:instrText>
      </w:r>
      <w:r>
        <w:rPr>
          <w:color w:val="auto"/>
          <w:lang w:val="en-GB"/>
        </w:rPr>
        <w:instrText>0.01 and an upper range of 8.9 million) in 10</w:instrText>
      </w:r>
      <w:r>
        <w:rPr>
          <w:rFonts w:ascii="Times New Roman" w:hAnsi="Times New Roman"/>
          <w:color w:val="auto"/>
          <w:lang w:val="en-GB"/>
        </w:rPr>
        <w:instrText> </w:instrText>
      </w:r>
      <w:r>
        <w:rPr>
          <w:color w:val="auto"/>
          <w:lang w:val="en-GB"/>
        </w:rPr>
        <w:instrText>000</w:instrText>
      </w:r>
      <w:r>
        <w:rPr>
          <w:rFonts w:ascii="Times New Roman" w:hAnsi="Times New Roman"/>
          <w:color w:val="auto"/>
          <w:lang w:val="en-GB"/>
        </w:rPr>
        <w:instrText> </w:instrText>
      </w:r>
      <w:r>
        <w:rPr>
          <w:color w:val="auto"/>
          <w:lang w:val="en-GB"/>
        </w:rPr>
        <w:instrText>BCE to 7.257 billion in 2015</w:instrText>
      </w:r>
      <w:r>
        <w:rPr>
          <w:rFonts w:ascii="Times New Roman" w:hAnsi="Times New Roman"/>
          <w:color w:val="auto"/>
          <w:lang w:val="en-GB"/>
        </w:rPr>
        <w:instrText> </w:instrText>
      </w:r>
      <w:r>
        <w:rPr>
          <w:color w:val="auto"/>
          <w:lang w:val="en-GB"/>
        </w:rPr>
        <w:instrText>CE, resulting in a global population density increase from 0.03 persons (or capita, in short cap)</w:instrText>
      </w:r>
      <w:r>
        <w:rPr>
          <w:rFonts w:ascii="Times New Roman" w:hAnsi="Times New Roman"/>
          <w:color w:val="auto"/>
          <w:lang w:val="en-GB"/>
        </w:rPr>
        <w:instrText> </w:instrText>
      </w:r>
      <w:r>
        <w:rPr>
          <w:color w:val="auto"/>
          <w:lang w:val="en-GB"/>
        </w:rPr>
        <w:instrText>km</w:instrText>
      </w:r>
      <w:r>
        <w:rPr>
          <w:rFonts w:cs="Palatino Linotype"/>
          <w:color w:val="auto"/>
          <w:lang w:val="en-GB"/>
        </w:rPr>
        <w:instrText>−</w:instrText>
      </w:r>
      <w:r>
        <w:rPr>
          <w:color w:val="auto"/>
          <w:lang w:val="en-GB"/>
        </w:rPr>
        <w:instrText>2 (range 0</w:instrText>
      </w:r>
      <w:r>
        <w:rPr>
          <w:rFonts w:cs="Palatino Linotype"/>
          <w:color w:val="auto"/>
          <w:lang w:val="en-GB"/>
        </w:rPr>
        <w:instrText>–</w:instrText>
      </w:r>
      <w:r>
        <w:rPr>
          <w:color w:val="auto"/>
          <w:lang w:val="en-GB"/>
        </w:rPr>
        <w:instrText>0.07) to almost 56</w:instrText>
      </w:r>
      <w:r>
        <w:rPr>
          <w:rFonts w:ascii="Times New Roman" w:hAnsi="Times New Roman"/>
          <w:color w:val="auto"/>
          <w:lang w:val="en-GB"/>
        </w:rPr>
        <w:instrText> </w:instrText>
      </w:r>
      <w:r>
        <w:rPr>
          <w:color w:val="auto"/>
          <w:lang w:val="en-GB"/>
        </w:rPr>
        <w:instrText>cap</w:instrText>
      </w:r>
      <w:r>
        <w:rPr>
          <w:rFonts w:ascii="Times New Roman" w:hAnsi="Times New Roman"/>
          <w:color w:val="auto"/>
          <w:lang w:val="en-GB"/>
        </w:rPr>
        <w:instrText> </w:instrText>
      </w:r>
      <w:r>
        <w:rPr>
          <w:color w:val="auto"/>
          <w:lang w:val="en-GB"/>
        </w:rPr>
        <w:instrText>km</w:instrText>
      </w:r>
      <w:r>
        <w:rPr>
          <w:rFonts w:cs="Palatino Linotype"/>
          <w:color w:val="auto"/>
          <w:lang w:val="en-GB"/>
        </w:rPr>
        <w:instrText>−</w:instrText>
      </w:r>
      <w:r>
        <w:rPr>
          <w:color w:val="auto"/>
          <w:lang w:val="en-GB"/>
        </w:rPr>
        <w:instrText>2 respectively. The urban built-up area evolved from almost zero to roughly 58</w:instrText>
      </w:r>
      <w:r>
        <w:rPr>
          <w:rFonts w:ascii="Times New Roman" w:hAnsi="Times New Roman"/>
          <w:color w:val="auto"/>
          <w:lang w:val="en-GB"/>
        </w:rPr>
        <w:instrText> </w:instrText>
      </w:r>
      <w:r>
        <w:rPr>
          <w:color w:val="auto"/>
          <w:lang w:val="en-GB"/>
        </w:rPr>
        <w:instrText>Mha in 2015</w:instrText>
      </w:r>
      <w:r>
        <w:rPr>
          <w:rFonts w:ascii="Times New Roman" w:hAnsi="Times New Roman"/>
          <w:color w:val="auto"/>
          <w:lang w:val="en-GB"/>
        </w:rPr>
        <w:instrText> </w:instrText>
      </w:r>
      <w:r>
        <w:rPr>
          <w:color w:val="auto"/>
          <w:lang w:val="en-GB"/>
        </w:rPr>
        <w:instrText>CE, still only less than 0.5</w:instrText>
      </w:r>
      <w:r>
        <w:rPr>
          <w:rFonts w:ascii="Times New Roman" w:hAnsi="Times New Roman"/>
          <w:color w:val="auto"/>
          <w:lang w:val="en-GB"/>
        </w:rPr>
        <w:instrText> </w:instrText>
      </w:r>
      <w:r>
        <w:rPr>
          <w:color w:val="auto"/>
          <w:lang w:val="en-GB"/>
        </w:rPr>
        <w:instrText>% of the total land surface of the globe. Cropland occupied approximately less than 1</w:instrText>
      </w:r>
      <w:r>
        <w:rPr>
          <w:rFonts w:ascii="Times New Roman" w:hAnsi="Times New Roman"/>
          <w:color w:val="auto"/>
          <w:lang w:val="en-GB"/>
        </w:rPr>
        <w:instrText> </w:instrText>
      </w:r>
      <w:r>
        <w:rPr>
          <w:color w:val="auto"/>
          <w:lang w:val="en-GB"/>
        </w:rPr>
        <w:instrText>% of the global land area (13</w:instrText>
      </w:r>
      <w:r>
        <w:rPr>
          <w:rFonts w:ascii="Times New Roman" w:hAnsi="Times New Roman"/>
          <w:color w:val="auto"/>
          <w:lang w:val="en-GB"/>
        </w:rPr>
        <w:instrText> </w:instrText>
      </w:r>
      <w:r>
        <w:rPr>
          <w:color w:val="auto"/>
          <w:lang w:val="en-GB"/>
        </w:rPr>
        <w:instrText>037</w:instrText>
      </w:r>
      <w:r>
        <w:rPr>
          <w:rFonts w:ascii="Times New Roman" w:hAnsi="Times New Roman"/>
          <w:color w:val="auto"/>
          <w:lang w:val="en-GB"/>
        </w:rPr>
        <w:instrText> </w:instrText>
      </w:r>
      <w:r>
        <w:rPr>
          <w:color w:val="auto"/>
          <w:lang w:val="en-GB"/>
        </w:rPr>
        <w:instrText>Mha, excluding Antarctica) for a long time period until 1</w:instrText>
      </w:r>
      <w:r>
        <w:rPr>
          <w:rFonts w:ascii="Times New Roman" w:hAnsi="Times New Roman"/>
          <w:color w:val="auto"/>
          <w:lang w:val="en-GB"/>
        </w:rPr>
        <w:instrText> </w:instrText>
      </w:r>
      <w:r>
        <w:rPr>
          <w:color w:val="auto"/>
          <w:lang w:val="en-GB"/>
        </w:rPr>
        <w:instrText>CE, quite similar to the grazing land area. In the following centuries the share of global cropland slowly grew to 2.2</w:instrText>
      </w:r>
      <w:r>
        <w:rPr>
          <w:rFonts w:ascii="Times New Roman" w:hAnsi="Times New Roman"/>
          <w:color w:val="auto"/>
          <w:lang w:val="en-GB"/>
        </w:rPr>
        <w:instrText> </w:instrText>
      </w:r>
      <w:r>
        <w:rPr>
          <w:color w:val="auto"/>
          <w:lang w:val="en-GB"/>
        </w:rPr>
        <w:instrText>% in 1700</w:instrText>
      </w:r>
      <w:r>
        <w:rPr>
          <w:rFonts w:ascii="Times New Roman" w:hAnsi="Times New Roman"/>
          <w:color w:val="auto"/>
          <w:lang w:val="en-GB"/>
        </w:rPr>
        <w:instrText> </w:instrText>
      </w:r>
      <w:r>
        <w:rPr>
          <w:color w:val="auto"/>
          <w:lang w:val="en-GB"/>
        </w:rPr>
        <w:instrText>CE (ca. 293</w:instrText>
      </w:r>
      <w:r>
        <w:rPr>
          <w:rFonts w:ascii="Times New Roman" w:hAnsi="Times New Roman"/>
          <w:color w:val="auto"/>
          <w:lang w:val="en-GB"/>
        </w:rPr>
        <w:instrText> </w:instrText>
      </w:r>
      <w:r>
        <w:rPr>
          <w:color w:val="auto"/>
          <w:lang w:val="en-GB"/>
        </w:rPr>
        <w:instrText>Mha, uncertainty range 220</w:instrText>
      </w:r>
      <w:r>
        <w:rPr>
          <w:rFonts w:cs="Palatino Linotype"/>
          <w:color w:val="auto"/>
          <w:lang w:val="en-GB"/>
        </w:rPr>
        <w:instrText>–</w:instrText>
      </w:r>
      <w:r>
        <w:rPr>
          <w:color w:val="auto"/>
          <w:lang w:val="en-GB"/>
        </w:rPr>
        <w:instrText>367</w:instrText>
      </w:r>
      <w:r>
        <w:rPr>
          <w:rFonts w:ascii="Times New Roman" w:hAnsi="Times New Roman"/>
          <w:color w:val="auto"/>
          <w:lang w:val="en-GB"/>
        </w:rPr>
        <w:instrText> </w:instrText>
      </w:r>
      <w:r>
        <w:rPr>
          <w:color w:val="auto"/>
          <w:lang w:val="en-GB"/>
        </w:rPr>
        <w:instrText>Mha), 4.4</w:instrText>
      </w:r>
      <w:r>
        <w:rPr>
          <w:rFonts w:ascii="Times New Roman" w:hAnsi="Times New Roman"/>
          <w:color w:val="auto"/>
          <w:lang w:val="en-GB"/>
        </w:rPr>
        <w:instrText> </w:instrText>
      </w:r>
      <w:r>
        <w:rPr>
          <w:color w:val="auto"/>
          <w:lang w:val="en-GB"/>
        </w:rPr>
        <w:instrText>% in 1850</w:instrText>
      </w:r>
      <w:r>
        <w:rPr>
          <w:rFonts w:ascii="Times New Roman" w:hAnsi="Times New Roman"/>
          <w:color w:val="auto"/>
          <w:lang w:val="en-GB"/>
        </w:rPr>
        <w:instrText> </w:instrText>
      </w:r>
      <w:r>
        <w:rPr>
          <w:color w:val="auto"/>
          <w:lang w:val="en-GB"/>
        </w:rPr>
        <w:instrText>CE (578</w:instrText>
      </w:r>
      <w:r>
        <w:rPr>
          <w:rFonts w:ascii="Times New Roman" w:hAnsi="Times New Roman"/>
          <w:color w:val="auto"/>
          <w:lang w:val="en-GB"/>
        </w:rPr>
        <w:instrText> </w:instrText>
      </w:r>
      <w:r>
        <w:rPr>
          <w:color w:val="auto"/>
          <w:lang w:val="en-GB"/>
        </w:rPr>
        <w:instrText>Mha, range 522</w:instrText>
      </w:r>
      <w:r>
        <w:rPr>
          <w:rFonts w:cs="Palatino Linotype"/>
          <w:color w:val="auto"/>
          <w:lang w:val="en-GB"/>
        </w:rPr>
        <w:instrText>–</w:instrText>
      </w:r>
      <w:r>
        <w:rPr>
          <w:color w:val="auto"/>
          <w:lang w:val="en-GB"/>
        </w:rPr>
        <w:instrText>637</w:instrText>
      </w:r>
      <w:r>
        <w:rPr>
          <w:rFonts w:ascii="Times New Roman" w:hAnsi="Times New Roman"/>
          <w:color w:val="auto"/>
          <w:lang w:val="en-GB"/>
        </w:rPr>
        <w:instrText> </w:instrText>
      </w:r>
      <w:r>
        <w:rPr>
          <w:color w:val="auto"/>
          <w:lang w:val="en-GB"/>
        </w:rPr>
        <w:instrText>Mha) and 12.2</w:instrText>
      </w:r>
      <w:r>
        <w:rPr>
          <w:rFonts w:ascii="Times New Roman" w:hAnsi="Times New Roman"/>
          <w:color w:val="auto"/>
          <w:lang w:val="en-GB"/>
        </w:rPr>
        <w:instrText> </w:instrText>
      </w:r>
      <w:r>
        <w:rPr>
          <w:color w:val="auto"/>
          <w:lang w:val="en-GB"/>
        </w:rPr>
        <w:instrText>% in 2015</w:instrText>
      </w:r>
      <w:r>
        <w:rPr>
          <w:rFonts w:ascii="Times New Roman" w:hAnsi="Times New Roman"/>
          <w:color w:val="auto"/>
          <w:lang w:val="en-GB"/>
        </w:rPr>
        <w:instrText> </w:instrText>
      </w:r>
      <w:r>
        <w:rPr>
          <w:color w:val="auto"/>
          <w:lang w:val="en-GB"/>
        </w:rPr>
        <w:instrText>CE (ca. 1591</w:instrText>
      </w:r>
      <w:r>
        <w:rPr>
          <w:rFonts w:ascii="Times New Roman" w:hAnsi="Times New Roman"/>
          <w:color w:val="auto"/>
          <w:lang w:val="en-GB"/>
        </w:rPr>
        <w:instrText> </w:instrText>
      </w:r>
      <w:r>
        <w:rPr>
          <w:color w:val="auto"/>
          <w:lang w:val="en-GB"/>
        </w:rPr>
        <w:instrText>Mha, range 1572</w:instrText>
      </w:r>
      <w:r>
        <w:rPr>
          <w:rFonts w:cs="Palatino Linotype"/>
          <w:color w:val="auto"/>
          <w:lang w:val="en-GB"/>
        </w:rPr>
        <w:instrText>–</w:instrText>
      </w:r>
      <w:r>
        <w:rPr>
          <w:color w:val="auto"/>
          <w:lang w:val="en-GB"/>
        </w:rPr>
        <w:instrText>1604</w:instrText>
      </w:r>
      <w:r>
        <w:rPr>
          <w:rFonts w:ascii="Times New Roman" w:hAnsi="Times New Roman"/>
          <w:color w:val="auto"/>
          <w:lang w:val="en-GB"/>
        </w:rPr>
        <w:instrText> </w:instrText>
      </w:r>
      <w:r>
        <w:rPr>
          <w:color w:val="auto"/>
          <w:lang w:val="en-GB"/>
        </w:rPr>
        <w:instrText>Mha). Cropland can be further divided into rain-fed and irrigated land, and these categories can be further separated into rice and non-rice. Rain-fed croplands were much more common, with 2.2</w:instrText>
      </w:r>
      <w:r>
        <w:rPr>
          <w:rFonts w:ascii="Times New Roman" w:hAnsi="Times New Roman"/>
          <w:color w:val="auto"/>
          <w:lang w:val="en-GB"/>
        </w:rPr>
        <w:instrText> </w:instrText>
      </w:r>
      <w:r>
        <w:rPr>
          <w:color w:val="auto"/>
          <w:lang w:val="en-GB"/>
        </w:rPr>
        <w:instrText>% in 1700</w:instrText>
      </w:r>
      <w:r>
        <w:rPr>
          <w:rFonts w:ascii="Times New Roman" w:hAnsi="Times New Roman"/>
          <w:color w:val="auto"/>
          <w:lang w:val="en-GB"/>
        </w:rPr>
        <w:instrText> </w:instrText>
      </w:r>
      <w:r>
        <w:rPr>
          <w:color w:val="auto"/>
          <w:lang w:val="en-GB"/>
        </w:rPr>
        <w:instrText>CE (289</w:instrText>
      </w:r>
      <w:r>
        <w:rPr>
          <w:rFonts w:ascii="Times New Roman" w:hAnsi="Times New Roman"/>
          <w:color w:val="auto"/>
          <w:lang w:val="en-GB"/>
        </w:rPr>
        <w:instrText> </w:instrText>
      </w:r>
      <w:r>
        <w:rPr>
          <w:color w:val="auto"/>
          <w:lang w:val="en-GB"/>
        </w:rPr>
        <w:instrText>Mha, range 217–361</w:instrText>
      </w:r>
      <w:r>
        <w:rPr>
          <w:rFonts w:ascii="Times New Roman" w:hAnsi="Times New Roman"/>
          <w:color w:val="auto"/>
          <w:lang w:val="en-GB"/>
        </w:rPr>
        <w:instrText> </w:instrText>
      </w:r>
      <w:r>
        <w:rPr>
          <w:color w:val="auto"/>
          <w:lang w:val="en-GB"/>
        </w:rPr>
        <w:instrText>Mha), 4.2</w:instrText>
      </w:r>
      <w:r>
        <w:rPr>
          <w:rFonts w:ascii="Times New Roman" w:hAnsi="Times New Roman"/>
          <w:color w:val="auto"/>
          <w:lang w:val="en-GB"/>
        </w:rPr>
        <w:instrText> </w:instrText>
      </w:r>
      <w:r>
        <w:rPr>
          <w:color w:val="auto"/>
          <w:lang w:val="en-GB"/>
        </w:rPr>
        <w:instrText>% (549</w:instrText>
      </w:r>
      <w:r>
        <w:rPr>
          <w:rFonts w:ascii="Times New Roman" w:hAnsi="Times New Roman"/>
          <w:color w:val="auto"/>
          <w:lang w:val="en-GB"/>
        </w:rPr>
        <w:instrText> </w:instrText>
      </w:r>
      <w:r>
        <w:rPr>
          <w:color w:val="auto"/>
          <w:lang w:val="en-GB"/>
        </w:rPr>
        <w:instrText>Mha, range 496</w:instrText>
      </w:r>
      <w:r>
        <w:rPr>
          <w:rFonts w:cs="Palatino Linotype"/>
          <w:color w:val="auto"/>
          <w:lang w:val="en-GB"/>
        </w:rPr>
        <w:instrText>–</w:instrText>
      </w:r>
      <w:r>
        <w:rPr>
          <w:color w:val="auto"/>
          <w:lang w:val="en-GB"/>
        </w:rPr>
        <w:instrText>606</w:instrText>
      </w:r>
      <w:r>
        <w:rPr>
          <w:rFonts w:ascii="Times New Roman" w:hAnsi="Times New Roman"/>
          <w:color w:val="auto"/>
          <w:lang w:val="en-GB"/>
        </w:rPr>
        <w:instrText> </w:instrText>
      </w:r>
      <w:r>
        <w:rPr>
          <w:color w:val="auto"/>
          <w:lang w:val="en-GB"/>
        </w:rPr>
        <w:instrText>Mha) in 1850</w:instrText>
      </w:r>
      <w:r>
        <w:rPr>
          <w:rFonts w:ascii="Times New Roman" w:hAnsi="Times New Roman"/>
          <w:color w:val="auto"/>
          <w:lang w:val="en-GB"/>
        </w:rPr>
        <w:instrText> </w:instrText>
      </w:r>
      <w:r>
        <w:rPr>
          <w:color w:val="auto"/>
          <w:lang w:val="en-GB"/>
        </w:rPr>
        <w:instrText>CE and 10.1</w:instrText>
      </w:r>
      <w:r>
        <w:rPr>
          <w:rFonts w:ascii="Times New Roman" w:hAnsi="Times New Roman"/>
          <w:color w:val="auto"/>
          <w:lang w:val="en-GB"/>
        </w:rPr>
        <w:instrText> </w:instrText>
      </w:r>
      <w:r>
        <w:rPr>
          <w:color w:val="auto"/>
          <w:lang w:val="en-GB"/>
        </w:rPr>
        <w:instrText>% (1316</w:instrText>
      </w:r>
      <w:r>
        <w:rPr>
          <w:rFonts w:ascii="Times New Roman" w:hAnsi="Times New Roman"/>
          <w:color w:val="auto"/>
          <w:lang w:val="en-GB"/>
        </w:rPr>
        <w:instrText> </w:instrText>
      </w:r>
      <w:r>
        <w:rPr>
          <w:color w:val="auto"/>
          <w:lang w:val="en-GB"/>
        </w:rPr>
        <w:instrText>Mha, range 1298</w:instrText>
      </w:r>
      <w:r>
        <w:rPr>
          <w:rFonts w:cs="Palatino Linotype"/>
          <w:color w:val="auto"/>
          <w:lang w:val="en-GB"/>
        </w:rPr>
        <w:instrText>–</w:instrText>
      </w:r>
      <w:r>
        <w:rPr>
          <w:color w:val="auto"/>
          <w:lang w:val="en-GB"/>
        </w:rPr>
        <w:instrText>1325</w:instrText>
      </w:r>
      <w:r>
        <w:rPr>
          <w:rFonts w:ascii="Times New Roman" w:hAnsi="Times New Roman"/>
          <w:color w:val="auto"/>
          <w:lang w:val="en-GB"/>
        </w:rPr>
        <w:instrText> </w:instrText>
      </w:r>
      <w:r>
        <w:rPr>
          <w:color w:val="auto"/>
          <w:lang w:val="en-GB"/>
        </w:rPr>
        <w:instrText>Mha) in 2015</w:instrText>
      </w:r>
      <w:r>
        <w:rPr>
          <w:rFonts w:ascii="Times New Roman" w:hAnsi="Times New Roman"/>
          <w:color w:val="auto"/>
          <w:lang w:val="en-GB"/>
        </w:rPr>
        <w:instrText> </w:instrText>
      </w:r>
      <w:r>
        <w:rPr>
          <w:color w:val="auto"/>
          <w:lang w:val="en-GB"/>
        </w:rPr>
        <w:instrText>CE, while irrigated croplands used less than 0.05</w:instrText>
      </w:r>
      <w:r>
        <w:rPr>
          <w:rFonts w:ascii="Times New Roman" w:hAnsi="Times New Roman"/>
          <w:color w:val="auto"/>
          <w:lang w:val="en-GB"/>
        </w:rPr>
        <w:instrText> </w:instrText>
      </w:r>
      <w:r>
        <w:rPr>
          <w:color w:val="auto"/>
          <w:lang w:val="en-GB"/>
        </w:rPr>
        <w:instrText>% (4.3</w:instrText>
      </w:r>
      <w:r>
        <w:rPr>
          <w:rFonts w:ascii="Times New Roman" w:hAnsi="Times New Roman"/>
          <w:color w:val="auto"/>
          <w:lang w:val="en-GB"/>
        </w:rPr>
        <w:instrText> </w:instrText>
      </w:r>
      <w:r>
        <w:rPr>
          <w:color w:val="auto"/>
          <w:lang w:val="en-GB"/>
        </w:rPr>
        <w:instrText>Mha, range 3.1</w:instrText>
      </w:r>
      <w:r>
        <w:rPr>
          <w:rFonts w:cs="Palatino Linotype"/>
          <w:color w:val="auto"/>
          <w:lang w:val="en-GB"/>
        </w:rPr>
        <w:instrText>–</w:instrText>
      </w:r>
      <w:r>
        <w:rPr>
          <w:color w:val="auto"/>
          <w:lang w:val="en-GB"/>
        </w:rPr>
        <w:instrText>5.5</w:instrText>
      </w:r>
      <w:r>
        <w:rPr>
          <w:rFonts w:ascii="Times New Roman" w:hAnsi="Times New Roman"/>
          <w:color w:val="auto"/>
          <w:lang w:val="en-GB"/>
        </w:rPr>
        <w:instrText> </w:instrText>
      </w:r>
      <w:r>
        <w:rPr>
          <w:color w:val="auto"/>
          <w:lang w:val="en-GB"/>
        </w:rPr>
        <w:instrText>Mha), 0.2</w:instrText>
      </w:r>
      <w:r>
        <w:rPr>
          <w:rFonts w:ascii="Times New Roman" w:hAnsi="Times New Roman"/>
          <w:color w:val="auto"/>
          <w:lang w:val="en-GB"/>
        </w:rPr>
        <w:instrText> </w:instrText>
      </w:r>
      <w:r>
        <w:rPr>
          <w:color w:val="auto"/>
          <w:lang w:val="en-GB"/>
        </w:rPr>
        <w:instrText>% (28</w:instrText>
      </w:r>
      <w:r>
        <w:rPr>
          <w:rFonts w:ascii="Times New Roman" w:hAnsi="Times New Roman"/>
          <w:color w:val="auto"/>
          <w:lang w:val="en-GB"/>
        </w:rPr>
        <w:instrText> </w:instrText>
      </w:r>
      <w:r>
        <w:rPr>
          <w:color w:val="auto"/>
          <w:lang w:val="en-GB"/>
        </w:rPr>
        <w:instrText>Mha, range 25</w:instrText>
      </w:r>
      <w:r>
        <w:rPr>
          <w:rFonts w:cs="Palatino Linotype"/>
          <w:color w:val="auto"/>
          <w:lang w:val="en-GB"/>
        </w:rPr>
        <w:instrText>–</w:instrText>
      </w:r>
      <w:r>
        <w:rPr>
          <w:color w:val="auto"/>
          <w:lang w:val="en-GB"/>
        </w:rPr>
        <w:instrText>31</w:instrText>
      </w:r>
      <w:r>
        <w:rPr>
          <w:rFonts w:ascii="Times New Roman" w:hAnsi="Times New Roman"/>
          <w:color w:val="auto"/>
          <w:lang w:val="en-GB"/>
        </w:rPr>
        <w:instrText> </w:instrText>
      </w:r>
      <w:r>
        <w:rPr>
          <w:color w:val="auto"/>
          <w:lang w:val="en-GB"/>
        </w:rPr>
        <w:instrText>Mha) and 2.1</w:instrText>
      </w:r>
      <w:r>
        <w:rPr>
          <w:rFonts w:ascii="Times New Roman" w:hAnsi="Times New Roman"/>
          <w:color w:val="auto"/>
          <w:lang w:val="en-GB"/>
        </w:rPr>
        <w:instrText> </w:instrText>
      </w:r>
      <w:r>
        <w:rPr>
          <w:color w:val="auto"/>
          <w:lang w:val="en-GB"/>
        </w:rPr>
        <w:instrText>% (277</w:instrText>
      </w:r>
      <w:r>
        <w:rPr>
          <w:rFonts w:ascii="Times New Roman" w:hAnsi="Times New Roman"/>
          <w:color w:val="auto"/>
          <w:lang w:val="en-GB"/>
        </w:rPr>
        <w:instrText> </w:instrText>
      </w:r>
      <w:r>
        <w:rPr>
          <w:color w:val="auto"/>
          <w:lang w:val="en-GB"/>
        </w:rPr>
        <w:instrText>Mha, range 273</w:instrText>
      </w:r>
      <w:r>
        <w:rPr>
          <w:rFonts w:cs="Palatino Linotype"/>
          <w:color w:val="auto"/>
          <w:lang w:val="en-GB"/>
        </w:rPr>
        <w:instrText>–</w:instrText>
      </w:r>
      <w:r>
        <w:rPr>
          <w:color w:val="auto"/>
          <w:lang w:val="en-GB"/>
        </w:rPr>
        <w:instrText>278</w:instrText>
      </w:r>
      <w:r>
        <w:rPr>
          <w:rFonts w:ascii="Times New Roman" w:hAnsi="Times New Roman"/>
          <w:color w:val="auto"/>
          <w:lang w:val="en-GB"/>
        </w:rPr>
        <w:instrText> </w:instrText>
      </w:r>
      <w:r>
        <w:rPr>
          <w:color w:val="auto"/>
          <w:lang w:val="en-GB"/>
        </w:rPr>
        <w:instrText>Mha) in 1700, 1850 and 2015</w:instrText>
      </w:r>
      <w:r>
        <w:rPr>
          <w:rFonts w:ascii="Times New Roman" w:hAnsi="Times New Roman"/>
          <w:color w:val="auto"/>
          <w:lang w:val="en-GB"/>
        </w:rPr>
        <w:instrText> </w:instrText>
      </w:r>
      <w:r>
        <w:rPr>
          <w:color w:val="auto"/>
          <w:lang w:val="en-GB"/>
        </w:rPr>
        <w:instrText>CE, respectively. We estimate the irrigated rice area (paddy) to be 0.1</w:instrText>
      </w:r>
      <w:r>
        <w:rPr>
          <w:rFonts w:ascii="Times New Roman" w:hAnsi="Times New Roman"/>
          <w:color w:val="auto"/>
          <w:lang w:val="en-GB"/>
        </w:rPr>
        <w:instrText> </w:instrText>
      </w:r>
      <w:r>
        <w:rPr>
          <w:color w:val="auto"/>
          <w:lang w:val="en-GB"/>
        </w:rPr>
        <w:instrText>% (13</w:instrText>
      </w:r>
      <w:r>
        <w:rPr>
          <w:rFonts w:ascii="Times New Roman" w:hAnsi="Times New Roman"/>
          <w:color w:val="auto"/>
          <w:lang w:val="en-GB"/>
        </w:rPr>
        <w:instrText> </w:instrText>
      </w:r>
      <w:r>
        <w:rPr>
          <w:color w:val="auto"/>
          <w:lang w:val="en-GB"/>
        </w:rPr>
        <w:instrText>Mha, range 9</w:instrText>
      </w:r>
      <w:r>
        <w:rPr>
          <w:rFonts w:cs="Palatino Linotype"/>
          <w:color w:val="auto"/>
          <w:lang w:val="en-GB"/>
        </w:rPr>
        <w:instrText>–</w:instrText>
      </w:r>
      <w:r>
        <w:rPr>
          <w:color w:val="auto"/>
          <w:lang w:val="en-GB"/>
        </w:rPr>
        <w:instrText>16</w:instrText>
      </w:r>
      <w:r>
        <w:rPr>
          <w:rFonts w:ascii="Times New Roman" w:hAnsi="Times New Roman"/>
          <w:color w:val="auto"/>
          <w:lang w:val="en-GB"/>
        </w:rPr>
        <w:instrText> </w:instrText>
      </w:r>
      <w:r>
        <w:rPr>
          <w:color w:val="auto"/>
          <w:lang w:val="en-GB"/>
        </w:rPr>
        <w:instrText>Mha) in 1700</w:instrText>
      </w:r>
      <w:r>
        <w:rPr>
          <w:rFonts w:ascii="Times New Roman" w:hAnsi="Times New Roman"/>
          <w:color w:val="auto"/>
          <w:lang w:val="en-GB"/>
        </w:rPr>
        <w:instrText> </w:instrText>
      </w:r>
      <w:r>
        <w:rPr>
          <w:color w:val="auto"/>
          <w:lang w:val="en-GB"/>
        </w:rPr>
        <w:instrText>CE, 0.2</w:instrText>
      </w:r>
      <w:r>
        <w:rPr>
          <w:rFonts w:ascii="Times New Roman" w:hAnsi="Times New Roman"/>
          <w:color w:val="auto"/>
          <w:lang w:val="en-GB"/>
        </w:rPr>
        <w:instrText> </w:instrText>
      </w:r>
      <w:r>
        <w:rPr>
          <w:color w:val="auto"/>
          <w:lang w:val="en-GB"/>
        </w:rPr>
        <w:instrText>% (28</w:instrText>
      </w:r>
      <w:r>
        <w:rPr>
          <w:rFonts w:ascii="Times New Roman" w:hAnsi="Times New Roman"/>
          <w:color w:val="auto"/>
          <w:lang w:val="en-GB"/>
        </w:rPr>
        <w:instrText> </w:instrText>
      </w:r>
      <w:r>
        <w:rPr>
          <w:color w:val="auto"/>
          <w:lang w:val="en-GB"/>
        </w:rPr>
        <w:instrText>Mha, range 26</w:instrText>
      </w:r>
      <w:r>
        <w:rPr>
          <w:rFonts w:cs="Palatino Linotype"/>
          <w:color w:val="auto"/>
          <w:lang w:val="en-GB"/>
        </w:rPr>
        <w:instrText>–</w:instrText>
      </w:r>
      <w:r>
        <w:rPr>
          <w:color w:val="auto"/>
          <w:lang w:val="en-GB"/>
        </w:rPr>
        <w:instrText>31</w:instrText>
      </w:r>
      <w:r>
        <w:rPr>
          <w:rFonts w:ascii="Times New Roman" w:hAnsi="Times New Roman"/>
          <w:color w:val="auto"/>
          <w:lang w:val="en-GB"/>
        </w:rPr>
        <w:instrText> </w:instrText>
      </w:r>
      <w:r>
        <w:rPr>
          <w:color w:val="auto"/>
          <w:lang w:val="en-GB"/>
        </w:rPr>
        <w:instrText>Mha) in 1850</w:instrText>
      </w:r>
      <w:r>
        <w:rPr>
          <w:rFonts w:ascii="Times New Roman" w:hAnsi="Times New Roman"/>
          <w:color w:val="auto"/>
          <w:lang w:val="en-GB"/>
        </w:rPr>
        <w:instrText> </w:instrText>
      </w:r>
      <w:r>
        <w:rPr>
          <w:color w:val="auto"/>
          <w:lang w:val="en-GB"/>
        </w:rPr>
        <w:instrText>CE and 0.9</w:instrText>
      </w:r>
      <w:r>
        <w:rPr>
          <w:rFonts w:ascii="Times New Roman" w:hAnsi="Times New Roman"/>
          <w:color w:val="auto"/>
          <w:lang w:val="en-GB"/>
        </w:rPr>
        <w:instrText> </w:instrText>
      </w:r>
      <w:r>
        <w:rPr>
          <w:color w:val="auto"/>
          <w:lang w:val="en-GB"/>
        </w:rPr>
        <w:instrText>% (118</w:instrText>
      </w:r>
      <w:r>
        <w:rPr>
          <w:rFonts w:ascii="Times New Roman" w:hAnsi="Times New Roman"/>
          <w:color w:val="auto"/>
          <w:lang w:val="en-GB"/>
        </w:rPr>
        <w:instrText> </w:instrText>
      </w:r>
      <w:r>
        <w:rPr>
          <w:color w:val="auto"/>
          <w:lang w:val="en-GB"/>
        </w:rPr>
        <w:instrText>Mha, range 117</w:instrText>
      </w:r>
      <w:r>
        <w:rPr>
          <w:rFonts w:cs="Palatino Linotype"/>
          <w:color w:val="auto"/>
          <w:lang w:val="en-GB"/>
        </w:rPr>
        <w:instrText>–</w:instrText>
      </w:r>
      <w:r>
        <w:rPr>
          <w:color w:val="auto"/>
          <w:lang w:val="en-GB"/>
        </w:rPr>
        <w:instrText>120</w:instrText>
      </w:r>
      <w:r>
        <w:rPr>
          <w:rFonts w:ascii="Times New Roman" w:hAnsi="Times New Roman"/>
          <w:color w:val="auto"/>
          <w:lang w:val="en-GB"/>
        </w:rPr>
        <w:instrText> </w:instrText>
      </w:r>
      <w:r>
        <w:rPr>
          <w:rFonts w:cs="Palatino Linotype"/>
          <w:color w:val="auto"/>
          <w:lang w:val="en-GB"/>
        </w:rPr>
        <w:instrText>…</w:instrText>
      </w:r>
      <w:r>
        <w:rPr>
          <w:color w:val="auto"/>
          <w:lang w:val="en-GB"/>
        </w:rPr>
        <w:instrText>","author":[{"dropping-particle":"","family":"Klein Goldewijk","given":"Kees","non-dropping-particle":"","parse-names":false,"suffix":""},{"dropping-particle":"","family":"Beusen","given":"Arthur","non-dropping-particle":"","parse-names":false,"suffix":""},{"dropping-particle":"","family":"Doelman","given":"Jonathan","non-dropping-particle":"","parse-names":false,"suffix":""},{"dropping-particle":"","family":"Stehfest","given":"Elke","non-dropping-particle":"","parse-names":false,"suffix":""}],"container-title":"Earth System Science Data","id":"ITEM-1","issue":"2","issued":{"date-parts":[["2017","12","1"]]},"page":"927-953","title":"Anthropogenic land use estimates for the Holocene – HYDE 3.2","type":"article-journal","volume":"9"},"uris":["http://www.mendeley.com/documents/?uuid=9e996cd3-24d1-3e70-b231-596130033579"]}],"mendeley":{"formattedCitation":"&lt;sup&gt;[16]&lt;/sup&gt;","manualFormatting":"[17]","plainTextFormattedCitation":"[16]","previouslyFormattedCitation":"(Klein Goldewijk et al., 2017)"},"properties":{"noteIndex":0},"schema":"https://github.com/citation-style-language/schema/raw/master/csl-citation.json"}</w:instrText>
      </w:r>
      <w:r>
        <w:rPr>
          <w:rStyle w:val="FootnoteReference"/>
          <w:color w:val="auto"/>
          <w:lang w:val="en-GB"/>
        </w:rPr>
        <w:fldChar w:fldCharType="separate"/>
      </w:r>
      <w:r>
        <w:rPr>
          <w:bCs/>
          <w:noProof/>
          <w:color w:val="auto"/>
        </w:rPr>
        <w:t>[19]</w:t>
      </w:r>
      <w:r>
        <w:rPr>
          <w:rStyle w:val="FootnoteReference"/>
          <w:color w:val="auto"/>
          <w:lang w:val="en-GB"/>
        </w:rPr>
        <w:fldChar w:fldCharType="end"/>
      </w:r>
      <w:r>
        <w:rPr>
          <w:color w:val="auto"/>
          <w:lang w:val="en-GB"/>
        </w:rPr>
        <w:t xml:space="preserve"> and KK10 </w:t>
      </w:r>
      <w:r>
        <w:rPr>
          <w:rStyle w:val="FootnoteReference"/>
          <w:color w:val="auto"/>
          <w:lang w:val="en-GB"/>
        </w:rPr>
        <w:fldChar w:fldCharType="begin" w:fldLock="1"/>
      </w:r>
      <w:r>
        <w:rPr>
          <w:color w:val="auto"/>
          <w:lang w:val="en-GB"/>
        </w:rPr>
        <w:instrText>ADDIN CSL_CITATION {"citationItems":[{"id":"ITEM-1","itemData":{"DOI":"10.1177/0959683610386983","ISSN":"09596836","abstract":"Humans have altered the Earth’s land surface since the Paleolithic mainly by clearing woody vegetation first to improve hunting and gathering opportunities, and later to provide agricultural cropla...","author":[{"dropping-particle":"","family":"Kaplan","given":"Jed O.","non-dropping-particle":"","parse-names":false,"suffix":""},{"dropping-particle":"","family":"Krumhardt","given":"Kristen M.","non-dropping-particle":"","parse-names":false,"suffix":""},{"dropping-particle":"","family":"Ellis","given":"Erle C.","non-dropping-particle":"","parse-names":false,"suffix":""},{"dropping-particle":"","family":"Ruddiman","given":"William F.","non-dropping-particle":"","parse-names":false,"suffix":""},{"dropping-particle":"","family":"Lemmen","given":"Carsten","non-dropping-particle":"","parse-names":false,"suffix":""},{"dropping-particle":"","family":"Goldewijk","given":"Kees Klein","non-dropping-particle":"","parse-names":false,"suffix":""}],"container-title":"https://doi.org/10.1177/0959683610386983","id":"ITEM-1","issue":"5","issued":{"date-parts":[["2010","12","30"]]},"page":"775-791","publisher":"SAGE PublicationsSage UK: London, England","title":"Holocene carbon emissions as a result of anthropogenic land cover change","type":"article-journal","volume":"21"},"uris":["http://www.mendeley.com/documents/?uuid=b553a6c4-dd85-3df4-8ccd-e7fb266af0fd"]}],"mendeley":{"formattedCitation":"&lt;sup&gt;[17]&lt;/sup&gt;","manualFormatting":"[18]","plainTextFormattedCitation":"[17]","previouslyFormattedCitation":"(Kaplan et al., 2010)"},"properties":{"noteIndex":0},"schema":"https://github.com/citation-style-language/schema/raw/master/csl-citation.json"}</w:instrText>
      </w:r>
      <w:r>
        <w:rPr>
          <w:rStyle w:val="FootnoteReference"/>
          <w:color w:val="auto"/>
          <w:lang w:val="en-GB"/>
        </w:rPr>
        <w:fldChar w:fldCharType="separate"/>
      </w:r>
      <w:r>
        <w:rPr>
          <w:bCs/>
          <w:noProof/>
          <w:color w:val="auto"/>
        </w:rPr>
        <w:t>[20]</w:t>
      </w:r>
      <w:r>
        <w:rPr>
          <w:rStyle w:val="FootnoteReference"/>
          <w:color w:val="auto"/>
          <w:lang w:val="en-GB"/>
        </w:rPr>
        <w:fldChar w:fldCharType="end"/>
      </w:r>
      <w:r>
        <w:rPr>
          <w:color w:val="auto"/>
          <w:lang w:val="en-GB"/>
        </w:rPr>
        <w:t xml:space="preserve">). Such LULCC scenarios have been used in combination with dynamic vegetation models to understand interactions between different components of the Earth system in the past (Earth system </w:t>
      </w:r>
      <w:proofErr w:type="spellStart"/>
      <w:r>
        <w:rPr>
          <w:color w:val="auto"/>
          <w:lang w:val="en-GB"/>
        </w:rPr>
        <w:t>modeling</w:t>
      </w:r>
      <w:proofErr w:type="spellEnd"/>
      <w:r>
        <w:rPr>
          <w:color w:val="auto"/>
          <w:lang w:val="en-GB"/>
        </w:rPr>
        <w:t xml:space="preserve"> (ESM), </w:t>
      </w:r>
      <w:r>
        <w:rPr>
          <w:rStyle w:val="FootnoteReference"/>
          <w:color w:val="auto"/>
          <w:lang w:val="en-GB"/>
        </w:rPr>
        <w:fldChar w:fldCharType="begin" w:fldLock="1"/>
      </w:r>
      <w:r>
        <w:rPr>
          <w:color w:val="auto"/>
          <w:lang w:val="en-GB"/>
        </w:rPr>
        <w:instrText>ADDIN CSL_CITATION {"citationItems":[{"id":"ITEM-1","itemData":{"DOI":"10.1002/joc.2150","ISSN":"08998418","author":[{"dropping-particle":"","family":"Hibbard","given":"Kathy","non-dropping-particle":"","parse-names":false,"suffix":""},{"dropping-particle":"","family":"Janetos","given":"Anthony","non-dropping-particle":"","parse-names":false,"suffix":""},{"dropping-particle":"","family":"Vuuren","given":"Detlef P.","non-dropping-particle":"van","parse-names":false,"suffix":""},{"dropping-particle":"","family":"Pongratz","given":"Julia","non-dropping-particle":"","parse-names":false,"suffix":""},{"dropping-particle":"","family":"Rose","given":"Steven K.","non-dropping-particle":"","parse-names":false,"suffix":""},{"dropping-particle":"","family":"Betts","given":"Richard","non-dropping-particle":"","parse-names":false,"suffix":""},{"dropping-particle":"","family":"Herold","given":"Martin","non-dropping-particle":"","parse-names":false,"suffix":""},{"dropping-particle":"","family":"Feddema","given":"Johannes J.","non-dropping-particle":"","parse-names":false,"suffix":""}],"container-title":"International Journal of Climatology","id":"ITEM-1","issue":"13","issued":{"date-parts":[["2010","11","15"]]},"page":"2118-2128","title":"Research priorities in land use and land-cover change for the Earth system and integrated assessment modelling","type":"article-journal","volume":"30"},"uris":["http://www.mendeley.com/documents/?uuid=0f8db5a9-6269-3ac9-bbd5-d2c941862d79"]}],"mendeley":{"formattedCitation":"&lt;sup&gt;[18]&lt;/sup&gt;","manualFormatting":"[19]","plainTextFormattedCitation":"[18]","previouslyFormattedCitation":"(Hibbard et al., 2010)"},"properties":{"noteIndex":0},"schema":"https://github.com/citation-style-language/schema/raw/master/csl-citation.json"}</w:instrText>
      </w:r>
      <w:r>
        <w:rPr>
          <w:rStyle w:val="FootnoteReference"/>
          <w:color w:val="auto"/>
          <w:lang w:val="en-GB"/>
        </w:rPr>
        <w:fldChar w:fldCharType="separate"/>
      </w:r>
      <w:r>
        <w:rPr>
          <w:noProof/>
          <w:color w:val="auto"/>
          <w:lang w:val="en-GB"/>
        </w:rPr>
        <w:t>[21]</w:t>
      </w:r>
      <w:r>
        <w:rPr>
          <w:rStyle w:val="FootnoteReference"/>
          <w:color w:val="auto"/>
          <w:lang w:val="en-GB"/>
        </w:rPr>
        <w:fldChar w:fldCharType="end"/>
      </w:r>
      <w:r>
        <w:rPr>
          <w:color w:val="auto"/>
          <w:lang w:val="en-GB"/>
        </w:rPr>
        <w:t xml:space="preserve">). However, there can be considerable disagreement between different LULCC scenarios, and this highlights the need to use independent and empirical datasets of land use and land cover </w:t>
      </w:r>
      <w:r>
        <w:rPr>
          <w:rStyle w:val="FootnoteReference"/>
          <w:color w:val="auto"/>
          <w:lang w:val="en-GB"/>
        </w:rPr>
        <w:fldChar w:fldCharType="begin" w:fldLock="1"/>
      </w:r>
      <w:r>
        <w:rPr>
          <w:color w:val="auto"/>
          <w:lang w:val="en-GB"/>
        </w:rPr>
        <w:instrText>ADDIN CSL_CITATION {"citationItems":[{"id":"ITEM-1","itemData":{"DOI":"10.5194/cp-6-483-2010","ISSN":"1814-9332","abstract":"&lt;p&gt;Abstract. The major objectives of this paper are: (1) to review the pros and cons of the scenarios of past anthropogenic land cover change (ALCC) developed during the last ten years, (2) to discuss issues related to pollen-based reconstruction of the past land-cover and introduce a new method, REVEALS (Regional Estimates of VEgetation Abundance from Large Sites), to infer long-term records of past land-cover from pollen data, (3) to present a new project (LANDCLIM: LAND cover – CLIMate interactions in NW Europe during the Holocene) currently underway, and show preliminary results of REVEALS reconstructions of the regional land-cover in the Czech Republic for five selected time windows of the Holocene, and (4) to discuss the implications and future directions in climate and vegetation/land-cover modeling, and in the assessment of the effects of human-induced changes in land-cover on the regional climate through altered feedbacks. The existing ALCC scenarios show large discrepancies between them, and few cover time periods older than AD 800. When these scenarios are used to assess the impact of human land-use on climate, contrasting results are obtained. It emphasizes the need for methods such as the REVEALS model-based land-cover reconstructions. They might help to fine-tune descriptions of past land-cover and lead to a better understanding of how long-term changes in ALCC might have influenced climate. The REVEALS model is demonstrated to provide better estimates of the regional vegetation/land-cover changes than the traditional use of pollen percentages. This will achieve a robust assessment of land cover at regional- to continental-spatial scale throughout the Holocene. We present maps of REVEALS estimates for the percentage cover of 10 plant functional types (PFTs) at 200 BP and 6000 BP, and of the two open-land PFTs \"grassland\" and \"agricultural land\" at five time-windows from 6000 BP to recent time. The LANDCLIM results are expected to provide crucial data to reassess ALCC estimates for a better understanding of the land suface-atmosphere interactions.&lt;/p&gt;","author":[{"dropping-particle":"","family":"Gaillard","given":"M.-J.","non-dropping-particle":"","parse-names":false,"suffix":""},{"dropping-particle":"","family":"Sugita","given":"S.","non-dropping-particle":"","parse-names":false,"suffix":""},{"dropping-particle":"","family":"Mazier","given":"F.","non-dropping-particle":"","parse-names":false,"suffix":""},{"dropping-particle":"","family":"Trondman","given":"A.-K.","non-dropping-particle":"","parse-names":false,"suffix":""},{"dropping-particle":"","family":"Broström","given":"A.","non-dropping-particle":"","parse-names":false,"suffix":""},{"dropping-particle":"","family":"Hickler","given":"T.","non-dropping-particle":"","parse-names":false,"suffix":""},{"dropping-particle":"","family":"Kaplan","given":"J. O.","non-dropping-particle":"","parse-names":false,"suffix":""},{"dropping-particle":"","family":"Kjellström","given":"E.","non-dropping-particle":"","parse-names":false,"suffix":""},{"dropping-particle":"","family":"Kokfelt","given":"U.","non-dropping-particle":"","parse-names":false,"suffix":""},{"dropping-particle":"","family":"Kuneš","given":"P.","non-dropping-particle":"","parse-names":false,"suffix":""},{"dropping-particle":"","family":"Lemmen","given":"C.","non-dropping-particle":"","parse-names":false,"suffix":""},{"dropping-particle":"","family":"Miller","given":"P.","non-dropping-particle":"","parse-names":false,"suffix":""},{"dropping-particle":"","family":"Olofsson","given":"J.","non-dropping-particle":"","parse-names":false,"suffix":""},{"dropping-particle":"","family":"Poska","given":"A.","non-dropping-particle":"","parse-names":false,"suffix":""},{"dropping-particle":"","family":"Rundgren","given":"M.","non-dropping-particle":"","parse-names":false,"suffix":""},{"dropping-particle":"","family":"Smith","given":"B.","non-dropping-particle":"","parse-names":false,"suffix":""},{"dropping-particle":"","family":"Strandberg","given":"G.","non-dropping-particle":"","parse-names":false,"suffix":""},{"dropping-particle":"","family":"Fyfe","given":"R.","non-dropping-particle":"","parse-names":false,"suffix":""},{"dropping-particle":"","family":"Nielsen","given":"A. B.","non-dropping-particle":"","parse-names":false,"suffix":""},{"dropping-particle":"","family":"Alenius","given":"T.","non-dropping-particle":"","parse-names":false,"suffix":""},{"dropping-particle":"","family":"Balakauskas","given":"L.","non-dropping-particle":"","parse-names":false,"suffix":""},{"dropping-particle":"","family":"Barnekow","given":"L.","non-dropping-particle":"","parse-names":false,"suffix":""},{"dropping-particle":"","family":"Birks","given":"H. J. B.","non-dropping-particle":"","parse-names":false,"suffix":""},{"dropping-particle":"","family":"Bjune","given":"A.","non-dropping-particle":"","parse-names":false,"suffix":""},{"dropping-particle":"","family":"Björkman","given":"L.","non-dropping-particle":"","parse-names":false,"suffix":""},{"dropping-particle":"","family":"Giesecke","given":"T.","non-dropping-particle":"","parse-names":false,"suffix":""},{"dropping-particle":"","family":"Hjelle","given":"K.","non-dropping-particle":"","parse-names":false,"suffix":""},{"dropping-particle":"","family":"Kalnina","given":"L.","non-dropping-particle":"","parse-names":false,"suffix":""},{"dropping-particle":"","family":"Kangur","given":"M.","non-dropping-particle":"","parse-names":false,"suffix":""},{"dropping-particle":"","family":"Knaap","given":"W. O.","non-dropping-particle":"van der","parse-names":false,"suffix":""},{"dropping-particle":"","family":"Koff","given":"T.","non-dropping-particle":"","parse-names":false,"suffix":""},{"dropping-particle":"","family":"Lagerås","given":"P.","non-dropping-particle":"","parse-names":false,"suffix":""},{"dropping-particle":"","family":"Latałowa","given":"M.","non-dropping-particle":"","parse-names":false,"suffix":""},{"dropping-particle":"","family":"Leydet","given":"M.","non-dropping-particle":"","parse-names":false,"suffix":""},{"dropping-particle":"","family":"Lechterbeck","given":"J.","non-dropping-particle":"","parse-names":false,"suffix":""},{"dropping-particle":"","family":"Lindbladh","given":"M.","non-dropping-particle":"","parse-names":false,"suffix":""},{"dropping-particle":"","family":"Odgaard","given":"B.","non-dropping-particle":"","parse-names":false,"suffix":""},{"dropping-particle":"","family":"Peglar","given":"S.","non-dropping-particle":"","parse-names":false,"suffix":""},{"dropping-particle":"","family":"Segerström","given":"U.","non-dropping-particle":"","parse-names":false,"suffix":""},{"dropping-particle":"","family":"Stedingk","given":"H.","non-dropping-particle":"von","parse-names":false,"suffix":""},{"dropping-particle":"","family":"Seppä","given":"H.","non-dropping-particle":"","parse-names":false,"suffix":""}],"container-title":"Climate of the Past","id":"ITEM-1","issue":"4","issued":{"date-parts":[["2010","7","26"]]},"page":"483-499","title":"Holocene land-cover reconstructions for studies on land cover-climate feedbacks","type":"article-journal","volume":"6"},"uris":["http://www.mendeley.com/documents/?uuid=0af617af-0d7d-3fd2-9d3a-be04905b2183"]}],"mendeley":{"formattedCitation":"&lt;sup&gt;[19]&lt;/sup&gt;","manualFormatting":"[20]","plainTextFormattedCitation":"[19]","previouslyFormattedCitation":"(Gaillard et al., 2010)"},"properties":{"noteIndex":0},"schema":"https://github.com/citation-style-language/schema/raw/master/csl-citation.json"}</w:instrText>
      </w:r>
      <w:r>
        <w:rPr>
          <w:rStyle w:val="FootnoteReference"/>
          <w:color w:val="auto"/>
          <w:lang w:val="en-GB"/>
        </w:rPr>
        <w:fldChar w:fldCharType="separate"/>
      </w:r>
      <w:r>
        <w:rPr>
          <w:bCs/>
          <w:noProof/>
          <w:color w:val="auto"/>
        </w:rPr>
        <w:t>[22]</w:t>
      </w:r>
      <w:r>
        <w:rPr>
          <w:rStyle w:val="FootnoteReference"/>
          <w:color w:val="auto"/>
          <w:lang w:val="en-GB"/>
        </w:rPr>
        <w:fldChar w:fldCharType="end"/>
      </w:r>
      <w:r>
        <w:rPr>
          <w:color w:val="auto"/>
          <w:lang w:val="en-GB"/>
        </w:rPr>
        <w:t xml:space="preserve">. Pollen archives remain the best empirical data to address differences between LULCC scenarios, as they provide a direct proxy for vegetation cover </w:t>
      </w:r>
      <w:r>
        <w:rPr>
          <w:rStyle w:val="FootnoteReference"/>
          <w:color w:val="auto"/>
          <w:lang w:val="en-GB"/>
        </w:rPr>
        <w:fldChar w:fldCharType="begin" w:fldLock="1"/>
      </w:r>
      <w:r>
        <w:rPr>
          <w:color w:val="auto"/>
          <w:lang w:val="en-GB"/>
        </w:rPr>
        <w:instrText>ADDIN CSL_CITATION {"citationItems":[{"id":"ITEM-1","itemData":{"DOI":"10.1126/science.1122667","ISSN":"00368075","PMID":"17124315","abstract":"Ecosystems change in response to factors such as climate variability, invasions, and wildfires. Most records used to assess such change are based on short-term ecological data or satellite imagery spanning only a few decades. In many instances it is impossible to disentangle natural variability from other, potentially significant trends in these records, partly because of their short time scale. We summarize recent studies that show how paleoecological records can be used to provide a longer temporal perspective to address specific conservation issues relating to biological invasions, wildfires, climate change, and determination of natural variability. The use of such records can reduce much of the uncertainty surrounding the question of what is \"natural\" and thereby start to provide important guidance for long-term management and conservation.","author":[{"dropping-particle":"","family":"Willis","given":"K. J.","non-dropping-particle":"","parse-names":false,"suffix":""},{"dropping-particle":"","family":"Birks","given":"H. J.B.","non-dropping-particle":"","parse-names":false,"suffix":""}],"container-title":"Science","id":"ITEM-1","issue":"5803","issued":{"date-parts":[["2006"]]},"page":"1261-1265","title":"What is natural? The need for a long-term perspective in biodiversity conservation","type":"article-journal","volume":"314"},"uris":["http://www.mendeley.com/documents/?uuid=af73d0df-1296-4ef6-9578-07ca268eee4a"]},{"id":"ITEM-2","itemData":{"DOI":"10.1080/17550870802349146","ISSN":"17551668","abstract":"Refugia were critically important for species survival in both glacial and interglacial stages of the Quaternary. The classical view of glacial stages is that alpine and arctic plants were widespread in the lowlands of central Europe and around the margins of the continental and alpine ice-sheets, whereas trees were restricted to localised refugial areas in southern Europe and the Mediterranean basin. New palaeobotanical evidence in Europe suggests, however, that this classical view is incomplete and that tree distributional ranges during the glacial stages were more extensive and included many local areas of small populations in central and eastern Europe growing in so-called ‘cryptic’ refugia. We argue that this concept of ‘cryptic’ refugia is also applicable to arctic and alpine plants during temperate interglacial stages where small localised populations grow in naturally open habitats that are not beyond or above the forest limit. Determination of the whereabouts of these cold - and warm-stage ‘cryptic’ refugia is very important in our understanding of the spatial patterns of present day genetic diversity and the possible rates of spread of trees in response to future climate change. © 2008 Botanical Society of Scotland and Taylor &amp; Francis.","author":[{"dropping-particle":"","family":"Birks","given":"H. John B.","non-dropping-particle":"","parse-names":false,"suffix":""},{"dropping-particle":"","family":"Willis","given":"Katherine J.","non-dropping-particle":"","parse-names":false,"suffix":""}],"container-title":"Plant Ecology and Diversity","id":"ITEM-2","issue":"2","issued":{"date-parts":[["2008"]]},"page":"147-160","title":"Alpines, trees, and refugia in Europe","type":"article-journal","volume":"1"},"uris":["http://www.mendeley.com/documents/?uuid=25a59615-1881-4a81-abb5-948ac8e459bf"]},{"id":"ITEM-3","itemData":{"DOI":"10.5194/cp-6-483-2010","ISSN":"1814-9332","abstract":"&lt;p&gt;Abstract. The major objectives of this paper are: (1) to review the pros and cons of the scenarios of past anthropogenic land cover change (ALCC) developed during the last ten years, (2) to discuss issues related to pollen-based reconstruction of the past land-cover and introduce a new method, REVEALS (Regional Estimates of VEgetation Abundance from Large Sites), to infer long-term records of past land-cover from pollen data, (3) to present a new project (LANDCLIM: LAND cover – CLIMate interactions in NW Europe during the Holocene) currently underway, and show preliminary results of REVEALS reconstructions of the regional land-cover in the Czech Republic for five selected time windows of the Holocene, and (4) to discuss the implications and future directions in climate and vegetation/land-cover modeling, and in the assessment of the effects of human-induced changes in land-cover on the regional climate through altered feedbacks. The existing ALCC scenarios show large discrepancies between them, and few cover time periods older than AD 800. When these scenarios are used to assess the impact of human land-use on climate, contrasting results are obtained. It emphasizes the need for methods such as the REVEALS model-based land-cover reconstructions. They might help to fine-tune descriptions of past land-cover and lead to a better understanding of how long-term changes in ALCC might have influenced climate. The REVEALS model is demonstrated to provide better estimates of the regional vegetation/land-cover changes than the traditional use of pollen percentages. This will achieve a robust assessment of land cover at regional- to continental-spatial scale throughout the Holocene. We present maps of REVEALS estimates for the percentage cover of 10 plant functional types (PFTs) at 200 BP and 6000 BP, and of the two open-land PFTs \"grassland\" and \"agricultural land\" at five time-windows from 6000 BP to recent time. The LANDCLIM results are expected to provide crucial data to reassess ALCC estimates for a better understanding of the land suface-atmosphere interactions.&lt;/p&gt;","author":[{"dropping-particle":"","family":"Gaillard","given":"M.-J.","non-dropping-particle":"","parse-names":false,"suffix":""},{"dropping-particle":"","family":"Sugita","given":"S.","non-dropping-particle":"","parse-names":false,"suffix":""},{"dropping-particle":"","family":"Mazier","given":"F.","non-dropping-particle":"","parse-names":false,"suffix":""},{"dropping-particle":"","family":"Trondman","given":"A.-K.","non-dropping-particle":"","parse-names":false,"suffix":""},{"dropping-particle":"","family":"Broström","given":"A.","non-dropping-particle":"","parse-names":false,"suffix":""},{"dropping-particle":"","family":"Hickler","given":"T.","non-dropping-particle":"","parse-names":false,"suffix":""},{"dropping-particle":"","family":"Kaplan","given":"J. O.","non-dropping-particle":"","parse-names":false,"suffix":""},{"dropping-particle":"","family":"Kjellström","given":"E.","non-dropping-particle":"","parse-names":false,"suffix":""},{"dropping-particle":"","family":"Kokfelt","given":"U.","non-dropping-particle":"","parse-names":false,"suffix":""},{"dropping-particle":"","family":"Kuneš","given":"P.","non-dropping-particle":"","parse-names":false,"suffix":""},{"dropping-particle":"","family":"Lemmen","given":"C.","non-dropping-particle":"","parse-names":false,"suffix":""},{"dropping-particle":"","family":"Miller","given":"P.","non-dropping-particle":"","parse-names":false,"suffix":""},{"dropping-particle":"","family":"Olofsson","given":"J.","non-dropping-particle":"","parse-names":false,"suffix":""},{"dropping-particle":"","family":"Poska","given":"A.","non-dropping-particle":"","parse-names":false,"suffix":""},{"dropping-particle":"","family":"Rundgren","given":"M.","non-dropping-particle":"","parse-names":false,"suffix":""},{"dropping-particle":"","family":"Smith","given":"B.","non-dropping-particle":"","parse-names":false,"suffix":""},{"dropping-particle":"","family":"Strandberg","given":"G.","non-dropping-particle":"","parse-names":false,"suffix":""},{"dropping-particle":"","family":"Fyfe","given":"R.","non-dropping-particle":"","parse-names":false,"suffix":""},{"dropping-particle":"","family":"Nielsen","given":"A. B.","non-dropping-particle":"","parse-names":false,"suffix":""},{"dropping-particle":"","family":"Alenius","given":"T.","non-dropping-particle":"","parse-names":false,"suffix":""},{"dropping-particle":"","family":"Balakauskas","given":"L.","non-dropping-particle":"","parse-names":false,"suffix":""},{"dropping-particle":"","family":"Barnekow","given":"L.","non-dropping-particle":"","parse-names":false,"suffix":""},{"dropping-particle":"","family":"Birks","given":"H. J. B.","non-dropping-particle":"","parse-names":false,"suffix":""},{"dropping-particle":"","family":"Bjune","given":"A.","non-dropping-particle":"","parse-names":false,"suffix":""},{"dropping-particle":"","family":"Björkman","given":"L.","non-dropping-particle":"","parse-names":false,"suffix":""},{"dropping-particle":"","family":"Giesecke","given":"T.","non-dropping-particle":"","parse-names":false,"suffix":""},{"dropping-particle":"","family":"Hjelle","given":"K.","non-dropping-particle":"","parse-names":false,"suffix":""},{"dropping-particle":"","family":"Kalnina","given":"L.","non-dropping-particle":"","parse-names":false,"suffix":""},{"dropping-particle":"","family":"Kangur","given":"M.","non-dropping-particle":"","parse-names":false,"suffix":""},{"dropping-particle":"","family":"Knaap","given":"W. O.","non-dropping-particle":"van der","parse-names":false,"suffix":""},{"dropping-particle":"","family":"Koff","given":"T.","non-dropping-particle":"","parse-names":false,"suffix":""},{"dropping-particle":"","family":"Lagerås","given":"P.","non-dropping-particle":"","parse-names":false,"suffix":""},{"dropping-particle":"","family":"Latałowa","given":"M.","non-dropping-particle":"","parse-names":false,"suffix":""},{"dropping-particle":"","family":"Leydet","given":"M.","non-dropping-particle":"","parse-names":false,"suffix":""},{"dropping-particle":"","family":"Lechterbeck","given":"J.","non-dropping-particle":"","parse-names":false,"suffix":""},{"dropping-particle":"","family":"Lindbladh","given":"M.","non-dropping-particle":"","parse-names":false,"suffix":""},{"dropping-particle":"","family":"Odgaard","given":"B.","non-dropping-particle":"","parse-names":false,"suffix":""},{"dropping-particle":"","family":"Peglar","given":"S.","non-dropping-particle":"","parse-names":false,"suffix":""},{"dropping-particle":"","family":"Segerström","given":"U.","non-dropping-particle":"","parse-names":false,"suffix":""},{"dropping-particle":"","family":"Stedingk","given":"H.","non-dropping-particle":"von","parse-names":false,"suffix":""},{"dropping-particle":"","family":"Seppä","given":"H.","non-dropping-particle":"","parse-names":false,"suffix":""}],"container-title":"Climate of the Past","id":"ITEM-3","issue":"4","issued":{"date-parts":[["2010","7","26"]]},"page":"483-499","title":"Holocene land-cover reconstructions for studies on land cover-climate feedbacks","type":"article-journal","volume":"6"},"uris":["http://www.mendeley.com/documents/?uuid=0af617af-0d7d-3fd2-9d3a-be04905b2183"]},{"id":"ITEM-4","itemData":{"DOI":"10.1007/s00334-017-0656-5","ISBN":"0123456789","author":[{"dropping-particle":"","family":"Gaillard","given":"Marie-José","non-dropping-particle":"","parse-names":false,"suffix":""},{"dropping-particle":"","family":"Björn","given":"·","non-dropping-particle":"","parse-names":false,"suffix":""},{"dropping-particle":"","family":"Berglund","given":"E","non-dropping-particle":"","parse-names":false,"suffix":""},{"dropping-particle":"","family":"John","given":"· H","non-dropping-particle":"","parse-names":false,"suffix":""},{"dropping-particle":"","family":"Birks","given":"B","non-dropping-particle":"","parse-names":false,"suffix":""},{"dropping-particle":"","family":"Edwards","given":"Kevin J","non-dropping-particle":"","parse-names":false,"suffix":""},{"dropping-particle":"","family":"Bittmann","given":"Felix","non-dropping-particle":"","parse-names":false,"suffix":""}],"container-title":"Vegetation History and Archaeobotany","id":"ITEM-4","issued":{"date-parts":[["2018"]]},"page":"267-269","title":"\"Think horizontally, act vertically\": the centenary (1916-2016) of pollen analysis and the legacy of Lennart von Post","type":"article-journal","volume":"27"},"uris":["http://www.mendeley.com/documents/?uuid=08ad23fe-2a1e-3f97-9f38-cc779293491f"]}],"mendeley":{"formattedCitation":"&lt;sup&gt;[19–22]&lt;/sup&gt;","manualFormatting":"[20–23]","plainTextFormattedCitation":"[19–22]","previouslyFormattedCitation":"(Birks &amp; Willis, 2008; Gaillard et al., 2010, 2018; Willis &amp; Birks, 2006)"},"properties":{"noteIndex":0},"schema":"https://github.com/citation-style-language/schema/raw/master/csl-citation.json"}</w:instrText>
      </w:r>
      <w:r>
        <w:rPr>
          <w:rStyle w:val="FootnoteReference"/>
          <w:color w:val="auto"/>
          <w:lang w:val="en-GB"/>
        </w:rPr>
        <w:fldChar w:fldCharType="separate"/>
      </w:r>
      <w:r>
        <w:rPr>
          <w:noProof/>
          <w:color w:val="auto"/>
          <w:lang w:val="en-GB"/>
        </w:rPr>
        <w:t>[22–25]</w:t>
      </w:r>
      <w:r>
        <w:rPr>
          <w:rStyle w:val="FootnoteReference"/>
          <w:color w:val="auto"/>
          <w:lang w:val="en-GB"/>
        </w:rPr>
        <w:fldChar w:fldCharType="end"/>
      </w:r>
      <w:r>
        <w:rPr>
          <w:color w:val="auto"/>
          <w:lang w:val="en-GB"/>
        </w:rPr>
        <w:t>.</w:t>
      </w:r>
    </w:p>
    <w:p w14:paraId="4895036C" w14:textId="77777777" w:rsidR="004653D0" w:rsidRDefault="004653D0" w:rsidP="004653D0">
      <w:pPr>
        <w:pStyle w:val="MDPI31text"/>
        <w:rPr>
          <w:color w:val="auto"/>
        </w:rPr>
      </w:pPr>
      <w:r>
        <w:rPr>
          <w:color w:val="auto"/>
          <w:lang w:val="en-GB"/>
        </w:rPr>
        <w:t xml:space="preserve">Efforts to improve our understanding of past vegetation using pollen have led to the development of models that correct the non-linear pollen–vegetation relationship and can compensate for plant taxon-specific differences in pollen production, dispersal, and </w:t>
      </w:r>
      <w:r>
        <w:rPr>
          <w:color w:val="auto"/>
          <w:lang w:val="en-GB"/>
        </w:rPr>
        <w:lastRenderedPageBreak/>
        <w:t xml:space="preserve">deposition </w:t>
      </w:r>
      <w:r>
        <w:rPr>
          <w:rStyle w:val="FootnoteReference"/>
          <w:color w:val="auto"/>
          <w:lang w:val="en-GB"/>
        </w:rPr>
        <w:fldChar w:fldCharType="begin" w:fldLock="1"/>
      </w:r>
      <w:r>
        <w:rPr>
          <w:color w:val="auto"/>
          <w:lang w:val="en-GB"/>
        </w:rPr>
        <w:instrText>ADDIN CSL_CITATION {"citationItems":[{"id":"ITEM-1","itemData":{"DOI":"10.1002/jqs.3390010105","ISSN":"0143-2826","abstract":"Pollen diagrams traditionally are read as if pollen percentages were linearly related to relative tree abundances, although the slopes and intercepts of these relationships are accepted to differ among taxa. Corresponding map patterns of modern pollen and tree percentages support this assumption of linearity, which also underlies the use of linear regression on percentage data for pollen-tree calibration. Fagerlind, however, showed that the theoretical relationship need not be linear and may be confounded by interdependencies among taxa. Regressions and scatter plots of modern pollen and tree percentages are here compared with results of extended R-value (ERV) models, which correct for the 'Fagerlind effect'. Three data sets from Wisconsin and Michigan, USA illustrate that regression coefficients provide a first approximation to their ERVequivalents, but scatter plots derived from the ERV analyses show reduced scatter about linearised relationships. JoumaldQuatemary Saence","author":[{"dropping-particle":"","family":"Prentice","given":"I C","non-dropping-particle":"","parse-names":false,"suffix":""}],"container-title":"lournalof Quaternary Science","id":"ITEM-1","issue":"1","issued":{"date-parts":[["1986"]]},"page":"35-43","title":"Prentice, I. and Webb, T. (1986) Pollen percentages, tree abundances and the Fagerlind effect","type":"article-journal","volume":"1"},"uris":["http://www.mendeley.com/documents/?uuid=df6000ee-293e-3e00-b5c7-7c389dffb9df"]},{"id":"ITEM-2","itemData":{"DOI":"10.1177/0959683607075837","ISBN":"0959683607","ISSN":"09596836","abstract":"Quantitative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Publications.","author":[{"dropping-particle":"","family":"Sugita","given":"Shinya","non-dropping-particle":"","parse-names":false,"suffix":""}],"container-title":"Holocene","id":"ITEM-2","issue":"2","issued":{"date-parts":[["2007"]]},"page":"229-241","title":"Theory of quantitative reconstruction of vegetation I: Pollen from large sites REVEALS regional vegetation composition","type":"article-journal","volume":"17"},"uris":["http://www.mendeley.com/documents/?uuid=8844359a-85f2-4f77-9886-de6fdfdf9daa"]}],"mendeley":{"formattedCitation":"&lt;sup&gt;[23, 24]&lt;/sup&gt;","manualFormatting":"[24,25]","plainTextFormattedCitation":"[23, 24]","previouslyFormattedCitation":"(I. C. Prentice, 1986; Sugita, 2007a)"},"properties":{"noteIndex":0},"schema":"https://github.com/citation-style-language/schema/raw/master/csl-citation.json"}</w:instrText>
      </w:r>
      <w:r>
        <w:rPr>
          <w:rStyle w:val="FootnoteReference"/>
          <w:color w:val="auto"/>
          <w:lang w:val="en-GB"/>
        </w:rPr>
        <w:fldChar w:fldCharType="separate"/>
      </w:r>
      <w:r>
        <w:rPr>
          <w:bCs/>
          <w:noProof/>
          <w:color w:val="auto"/>
        </w:rPr>
        <w:t>[26,27]</w:t>
      </w:r>
      <w:r>
        <w:rPr>
          <w:rStyle w:val="FootnoteReference"/>
          <w:color w:val="auto"/>
          <w:lang w:val="en-GB"/>
        </w:rPr>
        <w:fldChar w:fldCharType="end"/>
      </w:r>
      <w:r>
        <w:rPr>
          <w:color w:val="auto"/>
          <w:lang w:val="en-GB"/>
        </w:rPr>
        <w:t xml:space="preserve">. Currently, the ‘Regional Estimates of </w:t>
      </w:r>
      <w:proofErr w:type="spellStart"/>
      <w:r>
        <w:rPr>
          <w:color w:val="auto"/>
          <w:lang w:val="en-GB"/>
        </w:rPr>
        <w:t>VEgetation</w:t>
      </w:r>
      <w:proofErr w:type="spellEnd"/>
      <w:r>
        <w:rPr>
          <w:color w:val="auto"/>
          <w:lang w:val="en-GB"/>
        </w:rPr>
        <w:t xml:space="preserve"> Abundance from Large Sites’ (REVEALS) model is the most appropriate method to reconstruct plant cover at a regional spatial scale of ca. 100 km × 100 km </w:t>
      </w:r>
      <w:r>
        <w:rPr>
          <w:rStyle w:val="FootnoteReference"/>
          <w:color w:val="auto"/>
          <w:lang w:val="en-GB"/>
        </w:rPr>
        <w:fldChar w:fldCharType="begin" w:fldLock="1"/>
      </w:r>
      <w:r>
        <w:rPr>
          <w:color w:val="auto"/>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8844359a-85f2-4f77-9886-de6fdfdf9daa"]}],"mendeley":{"formattedCitation":"&lt;sup&gt;[24]&lt;/sup&gt;","plainTextFormattedCitation":"[24]","previouslyFormattedCitation":"(Sugita, 2007a)"},"properties":{"noteIndex":0},"schema":"https://github.com/citation-style-language/schema/raw/master/csl-citation.json"}</w:instrText>
      </w:r>
      <w:r>
        <w:rPr>
          <w:rStyle w:val="FootnoteReference"/>
          <w:color w:val="auto"/>
          <w:lang w:val="en-GB"/>
        </w:rPr>
        <w:fldChar w:fldCharType="separate"/>
      </w:r>
      <w:r>
        <w:rPr>
          <w:noProof/>
          <w:color w:val="auto"/>
          <w:lang w:val="en-GB"/>
        </w:rPr>
        <w:t>[27]</w:t>
      </w:r>
      <w:r>
        <w:rPr>
          <w:rStyle w:val="FootnoteReference"/>
          <w:color w:val="auto"/>
          <w:lang w:val="en-GB"/>
        </w:rPr>
        <w:fldChar w:fldCharType="end"/>
      </w:r>
      <w:r>
        <w:rPr>
          <w:color w:val="auto"/>
          <w:lang w:val="en-GB"/>
        </w:rPr>
        <w:t xml:space="preserve">. The REVEALS model was developed to transform pollen data from large lakes but can also produce regional vegetation cover estimates from multiple small-sized sites </w:t>
      </w:r>
      <w:r>
        <w:rPr>
          <w:rStyle w:val="FootnoteReference"/>
          <w:color w:val="auto"/>
          <w:lang w:val="en-GB"/>
        </w:rPr>
        <w:fldChar w:fldCharType="begin" w:fldLock="1"/>
      </w:r>
      <w:r>
        <w:rPr>
          <w:color w:val="auto"/>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composition","type":"article-journal","volume":"17"},"uris":["http://www.mendeley.com/documents/?uuid=8844359a-85f2-4f77-9886-de6fdfdf9daa"]},{"id":"ITEM-2","itemData":{"DOI":"10.1016/j.revpalbo.2012.07.017","ISSN":"00346667","abstract":"REVEALS-based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Palynology","id":"ITEM-2","issued":{"date-parts":[["2012"]]},"page":"38-49","title":"Testing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Database","type":"article-journal","volume":"187"},"uris":["http://www.mendeley.com/documents/?uuid=eb9dc5e8-934f-4d38-bbbb-4a9c9354df1e"]},{"id":"ITEM-3","itemData":{"DOI":"10.1016/J.QUASCIREV.2013.05.014","ISSN":"0277-3791","abstract":"The vegetation of Europe has undergone substantial changes during the course of the Holocene epoch, resulting from range expansion of plants following climate amelioration, competition between taxa and disturbance through anthropogenic activities. Much of the detail of this pattern is understood from decades of pollen analytical work across Europe, and this understanding has been used to address questions relating to vegetation-climate feedback, biogeography and human impact. Recent advances in modelling the relationship between pollen and vegetation now make it possible to transform pollen proportions into estimates of vegetation cover at both regional and local spatial scales, using the Landscape Reconstruction Algorithm (LRA), i.e. the REVEALS (Regional Estimates of VEgetation Abundance from Large Sites) and the LOVE (LOcal VEgetation) models. This paper presents the compilation and analysis of 73 pollen stratigraphies from the British Isles, to assess the application of the LRA and describe the pattern of landscape/woodland openness (i.e. the cover of low herb and bushy vegetation) through the Holocene. The results show that multiple small sites can be used as an effective replacement for a single large site for the reconstruction of regional vegetation cover. The REVEALS vegetation estimates imply that the British Isles had a greater degree of landscape/woodland openness at the regional scale than areas on the European mainland. There is considerable spatial bias in the British Isles dataset towards wetland areas and uplands, which may explain higher estimates of landscape openness compared with Europe. Where multiple estimates of regional vegetation are available from within the same region inter-regional differences are greater than intra-regional differences, supporting the use of the REVEALS model to the estimation of regional vegetation from pollen data. © 2013 Elsevier Ltd.","author":[{"dropping-particle":"","family":"Fyfe","given":"Ralph M.","non-dropping-particle":"","parse-names":false,"suffix":""},{"dropping-particle":"","family":"Twiddle","given":"Claire","non-dropping-particle":"","parse-names":false,"suffix":""},{"dropping-particle":"","family":"Sugita","given":"Shinya","non-dropping-particle":"","parse-names":false,"suffix":""},{"dropping-particle":"","family":"Gaillard","given":"Marie José","non-dropping-particle":"","parse-names":false,"suffix":""},{"dropping-particle":"","family":"Barratt","given":"Philip","non-dropping-particle":"","parse-names":false,"suffix":""},{"dropping-particle":"","family":"Caseldine","given":"Christopher J.","non-dropping-particle":"","parse-names":false,"suffix":""},{"dropping-particle":"","family":"Dodson","given":"John","non-dropping-particle":"","parse-names":false,"suffix":""},{"dropping-particle":"","family":"Edwards","given":"Kevin J.","non-dropping-particle":"","parse-names":false,"suffix":""},{"dropping-particle":"","family":"Farrell","given":"Michelle","non-dropping-particle":"","parse-names":false,"suffix":""},{"dropping-particle":"","family":"Froyd","given":"Cynthia","non-dropping-particle":"","parse-names":false,"suffix":""},{"dropping-particle":"","family":"Grant","given":"Michael J.","non-dropping-particle":"","parse-names":false,"suffix":""},{"dropping-particle":"","family":"Huckerby","given":"Elizabeth","non-dropping-particle":"","parse-names":false,"suffix":""},{"dropping-particle":"","family":"Innes","given":"James B.","non-dropping-particle":"","parse-names":false,"suffix":""},{"dropping-particle":"","family":"Shaw","given":"Helen","non-dropping-particle":"","parse-names":false,"suffix":""},{"dropping-particle":"","family":"Waller","given":"Martyn","non-dropping-particle":"","parse-names":false,"suffix":""}],"container-title":"Quaternary Science Reviews","id":"ITEM-3","issued":{"date-parts":[["2013","8","1"]]},"page":"132-148","publisher":"Pergamon","title":"The Holocene vegetation cover of Britain and Ireland: overcoming problems of scale and discerning patterns of openness","type":"article-journal","volume":"73"},"uris":["http://www.mendeley.com/documents/?uuid=a8f17ba9-b59a-352d-9663-5bc026ac5b4f"]},{"id":"ITEM-4","itemData":{"DOI":"10.1111/gcb.12737","ISSN":"13652486","PMID":"25204435","abstract":"We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Biology","id":"ITEM-4","issue":"2","issued":{"date-parts":[["2015"]]},"page":"676-697","title":"Pollen-based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mendeley":{"formattedCitation":"&lt;sup&gt;[24–27]&lt;/sup&gt;","manualFormatting":"[25–28]","plainTextFormattedCitation":"[24–27]","previouslyFormattedCitation":"(Fyfe et al., 2013b; Mazier et al., 2012; Sugita, 2007a; Trondman et al., 2015a)"},"properties":{"noteIndex":0},"schema":"https://github.com/citation-style-language/schema/raw/master/csl-citation.json"}</w:instrText>
      </w:r>
      <w:r>
        <w:rPr>
          <w:rStyle w:val="FootnoteReference"/>
          <w:color w:val="auto"/>
          <w:lang w:val="en-GB"/>
        </w:rPr>
        <w:fldChar w:fldCharType="separate"/>
      </w:r>
      <w:r>
        <w:rPr>
          <w:noProof/>
          <w:color w:val="auto"/>
        </w:rPr>
        <w:t>[27–30]</w:t>
      </w:r>
      <w:r>
        <w:rPr>
          <w:rStyle w:val="FootnoteReference"/>
          <w:color w:val="auto"/>
          <w:lang w:val="en-GB"/>
        </w:rPr>
        <w:fldChar w:fldCharType="end"/>
      </w:r>
      <w:r>
        <w:rPr>
          <w:color w:val="auto"/>
        </w:rPr>
        <w:t>.</w:t>
      </w:r>
    </w:p>
    <w:p w14:paraId="17B1136A" w14:textId="77777777" w:rsidR="004653D0" w:rsidRDefault="004653D0" w:rsidP="004653D0">
      <w:pPr>
        <w:pStyle w:val="MDPI31text"/>
        <w:rPr>
          <w:color w:val="auto"/>
          <w:lang w:val="en-GB"/>
        </w:rPr>
      </w:pPr>
      <w:r>
        <w:rPr>
          <w:color w:val="auto"/>
        </w:rPr>
        <w:t>The REVEALS model has previously been applied at region</w:t>
      </w:r>
      <w:r>
        <w:rPr>
          <w:color w:val="auto"/>
          <w:lang w:val="en-GB"/>
        </w:rPr>
        <w:t xml:space="preserve">al to continental scale. </w:t>
      </w:r>
      <w:proofErr w:type="spellStart"/>
      <w:r>
        <w:rPr>
          <w:color w:val="auto"/>
          <w:lang w:val="en-GB"/>
        </w:rPr>
        <w:t>Githumbi</w:t>
      </w:r>
      <w:proofErr w:type="spellEnd"/>
      <w:r>
        <w:rPr>
          <w:color w:val="auto"/>
          <w:lang w:val="en-GB"/>
        </w:rPr>
        <w:t xml:space="preserve"> et al. (2022) published the most detailed estimates of past plant cover across Europe and part of the eastern Mediterranean–Black Sea–Caspian corridor </w:t>
      </w:r>
      <w:r>
        <w:rPr>
          <w:color w:val="auto"/>
          <w:lang w:val="en-GB"/>
        </w:rPr>
        <w:fldChar w:fldCharType="begin" w:fldLock="1"/>
      </w:r>
      <w:r>
        <w:rPr>
          <w:color w:val="auto"/>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lang w:val="en-GB"/>
        </w:rPr>
        <w:instrText>∘</w:instrText>
      </w:r>
      <w:r>
        <w:rPr>
          <w:rFonts w:cs="Palatino Linotype"/>
          <w:color w:val="auto"/>
          <w:lang w:val="en-GB"/>
        </w:rPr>
        <w:instrText> × </w:instrText>
      </w:r>
      <w:r>
        <w:rPr>
          <w:color w:val="auto"/>
          <w:lang w:val="en-GB"/>
        </w:rPr>
        <w:instrText>1</w:instrText>
      </w:r>
      <w:r>
        <w:rPr>
          <w:rFonts w:ascii="Cambria Math" w:hAnsi="Cambria Math" w:cs="Cambria Math"/>
          <w:color w:val="auto"/>
          <w:lang w:val="en-GB"/>
        </w:rPr>
        <w:instrText>∘</w:instrText>
      </w:r>
      <w:r>
        <w:rPr>
          <w:color w:val="auto"/>
          <w:lang w:val="en-GB"/>
        </w:rPr>
        <w:instrText xml:space="preserve"> spatial scale using the </w:instrText>
      </w:r>
      <w:r>
        <w:rPr>
          <w:rFonts w:cs="Palatino Linotype"/>
          <w:color w:val="auto"/>
          <w:lang w:val="en-GB"/>
        </w:rPr>
        <w:instrText>“</w:instrText>
      </w:r>
      <w:r>
        <w:rPr>
          <w:color w:val="auto"/>
          <w:lang w:val="en-GB"/>
        </w:rPr>
        <w:instrText>Regional Estimates of VEgetation Abundance from Large Sites”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N, 25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W</w:instrText>
      </w:r>
      <w:r>
        <w:rPr>
          <w:rFonts w:cs="Palatino Linotype"/>
          <w:color w:val="auto"/>
          <w:lang w:val="en-GB"/>
        </w:rPr>
        <w:instrText>–</w:instrText>
      </w:r>
      <w:r>
        <w:rPr>
          <w:color w:val="auto"/>
          <w:lang w:val="en-GB"/>
        </w:rPr>
        <w:instrText>50</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manualFormatting":"[29]","plainTextFormattedCitation":"[28]","previouslyFormattedCitation":"(Githumbi et al., 2022)"},"properties":{"noteIndex":0},"schema":"https://github.com/citation-style-language/schema/raw/master/csl-citation.json"}</w:instrText>
      </w:r>
      <w:r>
        <w:rPr>
          <w:color w:val="auto"/>
          <w:lang w:val="en-GB"/>
        </w:rPr>
        <w:fldChar w:fldCharType="separate"/>
      </w:r>
      <w:r>
        <w:rPr>
          <w:noProof/>
          <w:color w:val="auto"/>
          <w:lang w:val="en-GB"/>
        </w:rPr>
        <w:t>[31]</w:t>
      </w:r>
      <w:r>
        <w:rPr>
          <w:color w:val="auto"/>
          <w:lang w:val="en-GB"/>
        </w:rPr>
        <w:fldChar w:fldCharType="end"/>
      </w:r>
      <w:r>
        <w:rPr>
          <w:color w:val="auto"/>
          <w:lang w:val="en-GB"/>
        </w:rPr>
        <w:t xml:space="preserve">. REVEALS reconstructions were performed at a spatial scale of 1° × 1° (grid cell of ca. 100 km × 100 km) and a temporal resolution of </w:t>
      </w:r>
      <w:r>
        <w:rPr>
          <w:color w:val="auto"/>
        </w:rPr>
        <w:t xml:space="preserve">500 years between 11.7 and 0.7 ka BP, and three shorter time windows (0.7−0.35 ka BP, 0.35−0.1 ka BP, and 0.1 ka BP−present) for use in climate modeling studies (e.g., </w:t>
      </w:r>
      <w:r>
        <w:rPr>
          <w:rStyle w:val="FootnoteReference"/>
          <w:color w:val="auto"/>
        </w:rPr>
        <w:fldChar w:fldCharType="begin" w:fldLock="1"/>
      </w:r>
      <w:r>
        <w:rPr>
          <w:color w:val="auto"/>
        </w:rPr>
        <w:instrText>ADDIN CSL_CITATION {"citationItems":[{"id":"ITEM-1","itemData":{"DOI":"10.1016/J.QUASCIREV.2022.107431","ISSN":"02773791","abstract":"Land-cover changes have a clear impact on local climates via biophysical effects. European land cover has been affected by human activities for at least 6000 years, but possibly longer. It is thus highly probable that humans altered climate before the industrial revolution (AD1750–1850). In this study, climate and vegetation 6000 years (6 ka) ago is investigated using one global climate model, two regional climate models, one dynamical vegetation model, pollen-based reconstruction of past vegetation cover using a model of the pollen-vegetation relationship and a statistical model for spatial interpolation of the reconstructed land cover. This approach enables us to study 6 ka climate with potential natural and reconstructed land cover, and to determine how differences in land cover impact upon simulated climate. The use of two regional climate models enables us to discuss the robustness of the results. This is the first experiment with two regional climate models of simulated palaeo-climate based on regional climate models. Different estimates of 6 ka vegetation are constructed: simulated potential vegetation and reconstructed vegetation. Potential vegetation is the natural climate-induced vegetation as simulated by a dynamical vegetation model driven by climate conditions from a climate model. Bayesian spatial model interpolated point estimates of pollen-based plant abundances combined with estimates of climate-induced potential un-vegetated land cover were used for reconstructed vegetation. The simulated potential vegetation is heavily dominated by forests: evergreen coniferous forests dominate in northern and eastern Europe, while deciduous broadleaved forests dominate central and western Europe. In contrast, the reconstructed vegetation cover has a large component of open land in most of Europe. The simulated 6 ka climate using reconstructed vegetation was 0–5 °C warmer than the pre-industrial (PI) climate, depending on season and region. The largest differences are seen in north-eastern Europe in winter with about 4–6 °C, and the smallest differences (close to zero) in southwestern Europe in winter. The simulated 6 ka climate had 10–20% more precipitation than PI climate in northern Europe and 10–20% less precipitation in southern Europe in summer. The results are in reasonable agreement with proxy-based climate reconstructions and previous similar climate modelling studies. As expected, the global model and regional models indicate relatively simi…","author":[{"dropping-particle":"","family":"Strandberg","given":"Gustav","non-dropping-particle":"","parse-names":false,"suffix":""},{"dropping-particle":"","family":"Lindström","given":"Johan","non-dropping-particle":"","parse-names":false,"suffix":""},{"dropping-particle":"","family":"Poska","given":"Anneli","non-dropping-particle":"","parse-names":false,"suffix":""},{"dropping-particle":"","family":"Zhang","given":"Qiong","non-dropping-particle":"","parse-names":false,"suffix":""},{"dropping-particle":"","family":"Fyfe","given":"Ralph","non-dropping-particle":"","parse-names":false,"suffix":""},{"dropping-particle":"","family":"Githumbi","given":"Esther","non-dropping-particle":"","parse-names":false,"suffix":""},{"dropping-particle":"","family":"Kjellström","given":"Erik","non-dropping-particle":"","parse-names":false,"suffix":""},{"dropping-particle":"","family":"Mazier","given":"Florenze","non-dropping-particle":"","parse-names":false,"suffix":""},{"dropping-particle":"","family":"Nielsen","given":"Anne Birgitte","non-dropping-particle":"","parse-names":false,"suffix":""},{"dropping-particle":"","family":"Sugita","given":"Shinya","non-dropping-particle":"","parse-names":false,"suffix":""},{"dropping-particle":"","family":"Trondman","given":"Anna Kari","non-dropping-particle":"","parse-names":false,"suffix":""},{"dropping-particle":"","family":"Woodbridge","given":"Jessie","non-dropping-particle":"","parse-names":false,"suffix":""},{"dropping-particle":"","family":"Gaillard","given":"Marie José","non-dropping-particle":"","parse-names":false,"suffix":""}],"container-title":"Quaternary Science Reviews","id":"ITEM-1","issued":{"date-parts":[["2022","4","1"]]},"publisher":"Elsevier Ltd","title":"Mid-Holocene European climate revisited: New high-resolution regional climate model simulations using pollen-based land-cover","type":"article-journal","volume":"281"},"uris":["http://www.mendeley.com/documents/?uuid=2b215100-da15-3445-bc3f-17560b10b235"]}],"mendeley":{"formattedCitation":"&lt;sup&gt;[29]&lt;/sup&gt;","manualFormatting":"[30]","plainTextFormattedCitation":"[29]","previouslyFormattedCitation":"(Strandberg et al., 2022)"},"properties":{"noteIndex":0},"schema":"https://github.com/citation-style-language/schema/raw/master/csl-citation.json"}</w:instrText>
      </w:r>
      <w:r>
        <w:rPr>
          <w:rStyle w:val="FootnoteReference"/>
          <w:color w:val="auto"/>
        </w:rPr>
        <w:fldChar w:fldCharType="separate"/>
      </w:r>
      <w:r>
        <w:rPr>
          <w:noProof/>
          <w:color w:val="auto"/>
        </w:rPr>
        <w:t>[32]</w:t>
      </w:r>
      <w:r>
        <w:rPr>
          <w:rStyle w:val="FootnoteReference"/>
          <w:color w:val="auto"/>
        </w:rPr>
        <w:fldChar w:fldCharType="end"/>
      </w:r>
      <w:r>
        <w:rPr>
          <w:color w:val="auto"/>
        </w:rPr>
        <w:t>)</w:t>
      </w:r>
      <w:r>
        <w:rPr>
          <w:color w:val="auto"/>
          <w:lang w:val="en-GB"/>
        </w:rPr>
        <w:t xml:space="preserve">. The accuracy and reliability of gridded REVEALS estimates have been discussed in several studies </w:t>
      </w:r>
      <w:r>
        <w:rPr>
          <w:rStyle w:val="FootnoteReference"/>
          <w:rFonts w:cstheme="minorHAnsi"/>
          <w:color w:val="auto"/>
          <w:lang w:val="en-GB"/>
        </w:rPr>
        <w:fldChar w:fldCharType="begin" w:fldLock="1"/>
      </w:r>
      <w:r>
        <w:rPr>
          <w:color w:val="auto"/>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Database","type":"article-journal","volume":"187"},"uris":["http://www.mendeley.com/documents/?uuid=eb9dc5e8-934f-4d38-bbbb-4a9c9354df1e"]},{"id":"ITEM-2","itemData":{"DOI":"10.1111/GCB.12737","ISSN":"13652486","PMID":"25204435","abstract":"We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Biology","id":"ITEM-2","issue":"2","issued":{"date-parts":[["2015","2","1"]]},"page":"676-697","title":"Pollen-based quantitative reconstructions of Holocene regional vegetation cover (plant-functional types and land-cover types) in Europe suitable for climate modelling","type":"article-journal","volume":"21"},"uris":["http://www.mendeley.com/documents/?uuid=347edc7d-9bf0-328f-9c0a-ed02e5edc91c"]},{"id":"ITEM-3","itemData":{"DOI":"10.5194/essd-14-1581-2022","ISSN":"1866-3516","abstract":"&lt;p&gt;&lt;![CDATA[Abstract.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lang w:val="en-GB"/>
        </w:rPr>
        <w:instrText>∘</w:instrText>
      </w:r>
      <w:r>
        <w:rPr>
          <w:rFonts w:cs="Palatino Linotype"/>
          <w:color w:val="auto"/>
          <w:lang w:val="en-GB"/>
        </w:rPr>
        <w:instrText> × </w:instrText>
      </w:r>
      <w:r>
        <w:rPr>
          <w:color w:val="auto"/>
          <w:lang w:val="en-GB"/>
        </w:rPr>
        <w:instrText>1</w:instrText>
      </w:r>
      <w:r>
        <w:rPr>
          <w:rFonts w:ascii="Cambria Math" w:hAnsi="Cambria Math" w:cs="Cambria Math"/>
          <w:color w:val="auto"/>
          <w:lang w:val="en-GB"/>
        </w:rPr>
        <w:instrText>∘</w:instrText>
      </w:r>
      <w:r>
        <w:rPr>
          <w:color w:val="auto"/>
          <w:lang w:val="en-GB"/>
        </w:rPr>
        <w:instrText xml:space="preserve"> spatial scale using the </w:instrText>
      </w:r>
      <w:r>
        <w:rPr>
          <w:rFonts w:cs="Palatino Linotype"/>
          <w:color w:val="auto"/>
          <w:lang w:val="en-GB"/>
        </w:rPr>
        <w:instrText>“</w:instrText>
      </w:r>
      <w:r>
        <w:rPr>
          <w:color w:val="auto"/>
          <w:lang w:val="en-GB"/>
        </w:rPr>
        <w:instrText>Regional Estimates of VEgetation Abundance from Large Sites</w:instrText>
      </w:r>
      <w:r>
        <w:rPr>
          <w:rFonts w:cs="Palatino Linotype"/>
          <w:color w:val="auto"/>
          <w:lang w:val="en-GB"/>
        </w:rPr>
        <w:instrText>”</w:instrText>
      </w:r>
      <w:r>
        <w:rPr>
          <w:color w:val="auto"/>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N, 25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W</w:instrText>
      </w:r>
      <w:r>
        <w:rPr>
          <w:rFonts w:cs="Palatino Linotype"/>
          <w:color w:val="auto"/>
          <w:lang w:val="en-GB"/>
        </w:rPr>
        <w:instrText>–</w:instrText>
      </w:r>
      <w:r>
        <w:rPr>
          <w:color w:val="auto"/>
          <w:lang w:val="en-GB"/>
        </w:rPr>
        <w:instrText>50</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Data","id":"ITEM-3","issue":"4","issued":{"date-parts":[["2022","4","8"]]},"page":"1581-1619","title":"European pollen-based REVEALS land-cover reconstructions for the Holocene: methodology, mapping and potentials","type":"article-journal","volume":"14"},"uris":["http://www.mendeley.com/documents/?uuid=a3aa2c66-dc24-3563-953d-fabb33741ce8"]},{"id":"ITEM-4","itemData":{"URL":"https://essd.copernicus.org/preprints/essd-2022-148/","accessed":{"date-parts":[["2022","12","1"]]},"container-title":"2022","id":"ITEM-4","issued":{"date-parts":[["0"]]},"title":"Li, F. (2022) Gridded pollen-based Holocene regional plant cover in temperate and northern subtropical China suitable for climate modeling","type":"webpage"},"uris":["http://www.mendeley.com/documents/?uuid=99e56756-aee0-3ee6-beb4-e03b789e9ea3"]}],"mendeley":{"formattedCitation":"&lt;sup&gt;[25, 28, 30, 31]&lt;/sup&gt;","manualFormatting":"[28,31,33,34]","plainTextFormattedCitation":"[25, 28, 30, 31]","previouslyFormattedCitation":"(Githumbi et al., 2022; &lt;i&gt;Li, F. (2022) Gridded Pollen-Based Holocene Regional Plant Cover in Temperate and Northern Subtropical China Suitable for Climate Modeling&lt;/i&gt;, n.d.; Mazier et al., 2012; Trondman et al., 2015b)"},"properties":{"noteIndex":0},"schema":"https://github.com/citation-style-language/schema/raw/master/csl-citation.json"}</w:instrText>
      </w:r>
      <w:r>
        <w:rPr>
          <w:rStyle w:val="FootnoteReference"/>
          <w:rFonts w:cstheme="minorHAnsi"/>
          <w:color w:val="auto"/>
          <w:lang w:val="en-GB"/>
        </w:rPr>
        <w:fldChar w:fldCharType="separate"/>
      </w:r>
      <w:r>
        <w:rPr>
          <w:noProof/>
          <w:color w:val="auto"/>
        </w:rPr>
        <w:t>[28,31,33,34]</w:t>
      </w:r>
      <w:r>
        <w:rPr>
          <w:rStyle w:val="FootnoteReference"/>
          <w:rFonts w:cstheme="minorHAnsi"/>
          <w:color w:val="auto"/>
          <w:lang w:val="en-GB"/>
        </w:rPr>
        <w:fldChar w:fldCharType="end"/>
      </w:r>
      <w:r>
        <w:rPr>
          <w:color w:val="auto"/>
        </w:rPr>
        <w:t xml:space="preserve">. Gridded </w:t>
      </w:r>
      <w:r>
        <w:rPr>
          <w:color w:val="auto"/>
          <w:lang w:val="en-GB"/>
        </w:rPr>
        <w:t>REVEALS estimates are influenced by the quality of individual records used (pollen count size, taxonomic resolution, and chronological uncertainty), basin size, and type of sites (lakes or bogs), the number of pollen records used in each grid cell, and the reliability of the relative pollen productivities (RPPs) used.</w:t>
      </w:r>
      <w:r>
        <w:rPr>
          <w:color w:val="auto"/>
        </w:rPr>
        <w:t xml:space="preserve"> Where gridded REVEALS estimates are based on low numbers of small sites, there is greater uncertainty in the reliability of the REVEALS estimates; if the RPPs for taxa that are considered important components of the regional vegetation are based on limited empirical studies, this can further impact the quality of the estimates. For instance, more work has been undertaken on RPPs of temperate and boreal taxa than those that characterize the Mediterranean region.</w:t>
      </w:r>
    </w:p>
    <w:p w14:paraId="7F42806D" w14:textId="77777777" w:rsidR="004653D0" w:rsidRDefault="004653D0" w:rsidP="004653D0">
      <w:pPr>
        <w:pStyle w:val="MDPI31text"/>
        <w:rPr>
          <w:color w:val="auto"/>
          <w:lang w:val="en-GB"/>
        </w:rPr>
      </w:pPr>
      <w:r>
        <w:rPr>
          <w:color w:val="auto"/>
          <w:lang w:val="en-GB"/>
        </w:rPr>
        <w:t xml:space="preserve">RPPs and their standard deviations exist for more than 131 Northern Hemisphere taxa, with the longest research effort in Europe, and several syntheses of RPPs have been published </w:t>
      </w:r>
      <w:r>
        <w:rPr>
          <w:rStyle w:val="FootnoteReference"/>
          <w:rFonts w:cstheme="minorHAnsi"/>
          <w:color w:val="auto"/>
          <w:lang w:val="en-GB"/>
        </w:rPr>
        <w:fldChar w:fldCharType="begin" w:fldLock="1"/>
      </w:r>
      <w:r>
        <w:rPr>
          <w:color w:val="auto"/>
          <w:lang w:val="en-GB"/>
        </w:rPr>
        <w:instrText>ADDIN CSL_CITATION {"citationItems":[{"id":"ITEM-1","itemData":{"DOI":"10.1007/s00334-008-0148-8","ISSN":"0939-6314","author":[{"dropping-particle":"","family":"Broström","given":"Anna","non-dropping-particle":"","parse-names":false,"suffix":""},{"dropping-particle":"","family":"Nielsen","given":"Anne Birgitte","non-dropping-particle":"","parse-names":false,"suffix":""},{"dropping-particle":"","family":"Gaillard","given":"Marie-José","non-dropping-particle":"","parse-names":false,"suffix":""},{"dropping-particle":"","family":"Hjelle","given":"Kari","non-dropping-particle":"","parse-names":false,"suffix":""},{"dropping-particle":"","family":"Mazier","given":"Florence","non-dropping-particle":"","parse-names":false,"suffix":""},{"dropping-particle":"","family":"Binney","given":"Heather","non-dropping-particle":"","parse-names":false,"suffix":""},{"dropping-particle":"","family":"Bunting","given":"Jane","non-dropping-particle":"","parse-names":false,"suffix":""},{"dropping-particle":"","family":"Fyfe","given":"Ralph","non-dropping-particle":"","parse-names":false,"suffix":""},{"dropping-particle":"","family":"Meltsov","given":"Viveca","non-dropping-particle":"","parse-names":false,"suffix":""},{"dropping-particle":"","family":"Poska","given":"Anneli","non-dropping-particle":"","parse-names":false,"suffix":""},{"dropping-particle":"","family":"Räsänen","given":"Satu","non-dropping-particle":"","parse-names":false,"suffix":""},{"dropping-particle":"","family":"Soepboer","given":"Welmoed","non-dropping-particle":"","parse-names":false,"suffix":""},{"dropping-particle":"","family":"Stedingk","given":"Henrik","non-dropping-particle":"von","parse-names":false,"suffix":""},{"dropping-particle":"","family":"Suutari","given":"Henna","non-dropping-particle":"","parse-names":false,"suffix":""},{"dropping-particle":"","family":"Sugita","given":"Shinya","non-dropping-particle":"","parse-names":false,"suffix":""}],"container-title":"Vegetation History and Archaeobotany","id":"ITEM-1","issue":"5","issued":{"date-parts":[["2008","9","8"]]},"page":"461-478","title":"Pollen productivity estimates of key European plant taxa for quantitative reconstruction of past vegetation: a review","type":"article-journal","volume":"17"},"uris":["http://www.mendeley.com/documents/?uuid=371935c1-c618-3c45-896f-eda8fa2ab867"]},{"id":"ITEM-2","itemData":{"DOI":"10.1016/j.revpalbo.2012.07.017","ISSN":"00346667","abstract":"REVEALS-based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Palynology","id":"ITEM-2","issued":{"date-parts":[["2012"]]},"page":"38-49","title":"Testing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Database","type":"article-journal","volume":"187"},"uris":["http://www.mendeley.com/documents/?uuid=eb9dc5e8-934f-4d38-bbbb-4a9c9354df1e"]},{"id":"ITEM-3","itemData":{"DOI":"10.5194/essd-12-3515-2020","ISSN":"18663516","abstract":"Relative pollen productivity (RPP) estimates are fractionate values, often in relation to Poaceae, that allow vegetation cover to be estimated from pollen counts with the help of models. RPP estimates are especially used in the scientific community in Europe and China, with a few studies in North America. Here we present a comprehensive compilation of available northern hemispheric RPP studies and their results arising from 51 publications with 60 sites and 131 taxa. This compilation allows scientists to identify data gaps in need of further RPP analyses but can also aid them in finding an RPP set for their study region. We also present a taxonomically harmonised, unified RPP dataset for the Northern Hemisphere and subsets for North America (including Greenland), Europe (including arctic Russia), and China, which we generated from the available studies. The unified dataset gives the mean RPP for 55 harmonised taxa as well as fall speeds, which are necessary to reconstruct vegetation cover from pollen counts and RPP values. Data are openly available at a hrefCombining double low line\"https://doi.org/10.1594/PANGAEA.922661\"https://doi.org/10.1594/PANGAEA.922661/a (Wieczorek and Herzschuh, 2020).","author":[{"dropping-particle":"","family":"Wieczorek","given":"Mareike","non-dropping-particle":"","parse-names":false,"suffix":""},{"dropping-particle":"","family":"Herzschuh","given":"Ulrike","non-dropping-particle":"","parse-names":false,"suffix":""}],"container-title":"Earth System Science Data","id":"ITEM-3","issue":"4","issued":{"date-parts":[["2020"]]},"page":"3515-3528","title":"Compilation of relative pollen productivity (RPP) estimates and taxonomically harmonised RPP datasets for single continents and Northern Hemisphere extratropics","type":"article-journal","volume":"12"},"uris":["http://www.mendeley.com/documents/?uuid=4e4a489d-0cec-4090-999b-8a58d2ccd794"]},{"id":"ITEM-4","itemData":{"DOI":"10.5194/essd-14-1581-2022","ISSN":"1866-3516","abstract":"&lt;p&gt;&lt;![CDATA[Abstract.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lang w:val="en-GB"/>
        </w:rPr>
        <w:instrText>∘</w:instrText>
      </w:r>
      <w:r>
        <w:rPr>
          <w:rFonts w:cs="Palatino Linotype"/>
          <w:color w:val="auto"/>
          <w:lang w:val="en-GB"/>
        </w:rPr>
        <w:instrText> × </w:instrText>
      </w:r>
      <w:r>
        <w:rPr>
          <w:color w:val="auto"/>
          <w:lang w:val="en-GB"/>
        </w:rPr>
        <w:instrText>1</w:instrText>
      </w:r>
      <w:r>
        <w:rPr>
          <w:rFonts w:ascii="Cambria Math" w:hAnsi="Cambria Math" w:cs="Cambria Math"/>
          <w:color w:val="auto"/>
          <w:lang w:val="en-GB"/>
        </w:rPr>
        <w:instrText>∘</w:instrText>
      </w:r>
      <w:r>
        <w:rPr>
          <w:color w:val="auto"/>
          <w:lang w:val="en-GB"/>
        </w:rPr>
        <w:instrText xml:space="preserve"> spatial scale using the </w:instrText>
      </w:r>
      <w:r>
        <w:rPr>
          <w:rFonts w:cs="Palatino Linotype"/>
          <w:color w:val="auto"/>
          <w:lang w:val="en-GB"/>
        </w:rPr>
        <w:instrText>“</w:instrText>
      </w:r>
      <w:r>
        <w:rPr>
          <w:color w:val="auto"/>
          <w:lang w:val="en-GB"/>
        </w:rPr>
        <w:instrText>Regional Estimates of VEgetation Abundance from Large Sites”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N, 25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W</w:instrText>
      </w:r>
      <w:r>
        <w:rPr>
          <w:rFonts w:cs="Palatino Linotype"/>
          <w:color w:val="auto"/>
          <w:lang w:val="en-GB"/>
        </w:rPr>
        <w:instrText>–</w:instrText>
      </w:r>
      <w:r>
        <w:rPr>
          <w:color w:val="auto"/>
          <w:lang w:val="en-GB"/>
        </w:rPr>
        <w:instrText>50</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Data","id":"ITEM-4","issue":"4","issued":{"date-parts":[["2022","4","8"]]},"page":"1581-1619","title":"European pollen-based REVEALS land-cover reconstructions for the Holocene: methodology, mapping and potentials","type":"article-journal","volume":"14"},"uris":["http://www.mendeley.com/documents/?uuid=a3aa2c66-dc24-3563-953d-fabb33741ce8"]}],"mendeley":{"formattedCitation":"&lt;sup&gt;[25, 28, 32, 33]&lt;/sup&gt;","manualFormatting":"[26,29,32,33]","plainTextFormattedCitation":"[25, 28, 32, 33]","previouslyFormattedCitation":"(Broström, Nielsen, Gaillard, Hjelle, Mazier, Binney, Bunting, Fyfe, Meltsov, Poska, Räsänen, Soepboer, von Stedingk, et al., 2008; Githumbi et al., 2022; Mazier et al., 2012; Wieczorek &amp; Herzschuh, 2020)"},"properties":{"noteIndex":0},"schema":"https://github.com/citation-style-language/schema/raw/master/csl-citation.json"}</w:instrText>
      </w:r>
      <w:r>
        <w:rPr>
          <w:rStyle w:val="FootnoteReference"/>
          <w:rFonts w:cstheme="minorHAnsi"/>
          <w:color w:val="auto"/>
          <w:lang w:val="en-GB"/>
        </w:rPr>
        <w:fldChar w:fldCharType="separate"/>
      </w:r>
      <w:r>
        <w:rPr>
          <w:bCs/>
          <w:noProof/>
          <w:color w:val="auto"/>
        </w:rPr>
        <w:t>[28,31,34–36]</w:t>
      </w:r>
      <w:r>
        <w:rPr>
          <w:rStyle w:val="FootnoteReference"/>
          <w:rFonts w:cstheme="minorHAnsi"/>
          <w:color w:val="auto"/>
          <w:lang w:val="en-GB"/>
        </w:rPr>
        <w:fldChar w:fldCharType="end"/>
      </w:r>
      <w:r>
        <w:rPr>
          <w:color w:val="auto"/>
          <w:lang w:val="en-GB"/>
        </w:rPr>
        <w:t xml:space="preserve">. As the REVEALS model assumes that RPP values are constant within the region of interest and through time </w:t>
      </w:r>
      <w:r>
        <w:rPr>
          <w:rStyle w:val="FootnoteReference"/>
          <w:rFonts w:cstheme="minorHAnsi"/>
          <w:color w:val="auto"/>
          <w:lang w:val="en-GB"/>
        </w:rPr>
        <w:fldChar w:fldCharType="begin" w:fldLock="1"/>
      </w:r>
      <w:r>
        <w:rPr>
          <w:color w:val="auto"/>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8844359a-85f2-4f77-9886-de6fdfdf9daa"]}],"mendeley":{"formattedCitation":"&lt;sup&gt;[24]&lt;/sup&gt;","manualFormatting":"[25]","plainTextFormattedCitation":"[24]","previouslyFormattedCitation":"(Sugita, 2007a)"},"properties":{"noteIndex":0},"schema":"https://github.com/citation-style-language/schema/raw/master/csl-citation.json"}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[27]</w:t>
      </w:r>
      <w:r>
        <w:rPr>
          <w:rStyle w:val="FootnoteReference"/>
          <w:rFonts w:cstheme="minorHAnsi"/>
          <w:color w:val="auto"/>
          <w:lang w:val="en-GB"/>
        </w:rPr>
        <w:fldChar w:fldCharType="end"/>
      </w:r>
      <w:r>
        <w:rPr>
          <w:rFonts w:cstheme="minorHAnsi"/>
          <w:color w:val="auto"/>
          <w:lang w:val="en-GB"/>
        </w:rPr>
        <w:t>,</w:t>
      </w:r>
      <w:r>
        <w:rPr>
          <w:color w:val="auto"/>
          <w:lang w:val="en-GB"/>
        </w:rPr>
        <w:t xml:space="preserve"> studies working at the sub-continental scale have calculated </w:t>
      </w:r>
      <w:r>
        <w:rPr>
          <w:color w:val="auto"/>
        </w:rPr>
        <w:t>mean RPPs considering all available RPP values. This can</w:t>
      </w:r>
      <w:r>
        <w:rPr>
          <w:color w:val="auto"/>
          <w:lang w:val="en-GB"/>
        </w:rPr>
        <w:t xml:space="preserve"> overcome the variability of RPP estimates within one taxon. </w:t>
      </w:r>
      <w:proofErr w:type="spellStart"/>
      <w:r>
        <w:rPr>
          <w:color w:val="auto"/>
          <w:lang w:val="en-GB"/>
        </w:rPr>
        <w:t>Mazier</w:t>
      </w:r>
      <w:proofErr w:type="spellEnd"/>
      <w:r>
        <w:rPr>
          <w:color w:val="auto"/>
          <w:lang w:val="en-GB"/>
        </w:rPr>
        <w:t xml:space="preserve"> et al. (2012) produced the first RPP-means dataset for Europe </w:t>
      </w:r>
      <w:r>
        <w:rPr>
          <w:rStyle w:val="FootnoteReference"/>
          <w:rFonts w:cstheme="minorHAnsi"/>
          <w:color w:val="auto"/>
          <w:lang w:val="en-GB"/>
        </w:rPr>
        <w:fldChar w:fldCharType="begin" w:fldLock="1"/>
      </w:r>
      <w:r>
        <w:rPr>
          <w:color w:val="auto"/>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mendeley":{"formattedCitation":"&lt;sup&gt;[25]&lt;/sup&gt;","manualFormatting":"[26]","plainTextFormattedCitation":"[25]","previouslyFormattedCitation":"(Mazier et al., 2012)"},"properties":{"noteIndex":0},"schema":"https://github.com/citation-style-language/schema/raw/master/csl-citation.json"}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[28]</w:t>
      </w:r>
      <w:r>
        <w:rPr>
          <w:rStyle w:val="FootnoteReference"/>
          <w:rFonts w:cstheme="minorHAnsi"/>
          <w:color w:val="auto"/>
          <w:lang w:val="en-GB"/>
        </w:rPr>
        <w:fldChar w:fldCharType="end"/>
      </w:r>
      <w:r>
        <w:rPr>
          <w:color w:val="auto"/>
          <w:lang w:val="en-GB"/>
        </w:rPr>
        <w:t xml:space="preserve">, comprising 25 pollen taxa that were used in the “first generation” of REVEALS reconstruction for Europe </w:t>
      </w:r>
      <w:r>
        <w:rPr>
          <w:rStyle w:val="FootnoteReference"/>
          <w:rFonts w:cstheme="minorHAnsi"/>
          <w:color w:val="auto"/>
          <w:lang w:val="en-GB"/>
        </w:rPr>
        <w:fldChar w:fldCharType="begin" w:fldLock="1"/>
      </w:r>
      <w:r>
        <w:rPr>
          <w:color w:val="auto"/>
          <w:lang w:val="en-GB"/>
        </w:rPr>
        <w:instrText>ADDIN CSL_CITATION {"citationItems":[{"id":"ITEM-1","itemData":{"DOI":"10.1111/GCB.12737","ISSN":"13652486","PMID":"25204435","abstract":"We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Biology","id":"ITEM-1","issue":"2","issued":{"date-parts":[["2015","2","1"]]},"page":"676-697","title":"Pollen-based quantitative reconstructions of Holocene regional vegetation cover (plant-functional types and land-cover types) in Europe suitable for climate modelling","type":"article-journal","volume":"21"},"uris":["http://www.mendeley.com/documents/?uuid=347edc7d-9bf0-328f-9c0a-ed02e5edc91c"]},{"id":"ITEM-2","itemData":{"DOI":"10.1007/S00334-012-0373-Z/FIGURES/7","ISSN":"09396314","abstract":"Pollen productivity estimates (PPEs) are indispensable prerequisites for quantitative vegetation reconstructions. Estimates from different European regions show a large variability and it is uncertain whether this reflects regional differences in climate and soil or is brought about by different assessments of vegetation abundance. Forests represent a particular problem as they consist of several layers of vegetation and many tree species only start producing pollen after they have attained ages of several decades. Here we used detailed forest inventory data from north-eastern Germany to investigate the effect of flowering age and understory trees on PPEs. Pollen counts were obtained from 49 small to medium sized lakes chosen to represent the different forest types in the region. Surface samples from lakes within a closed forest of Fagus yielded disproportionate amounts of Fagus pollen, increasing its PPE and the variability of all other estimates. These samples were removed from further analysis but indicate a high trunk-space component that is not considered in the Prentice-Sugita pollen dispersal and deposition model. Results of the restricted dataset show important differences in PPEs based on the consideration of flowering age and understory position. The effect is largest for slow growing and/or late flowering trees like Fagus and Carpinus while it is minimal for species that flower early in their development like Betula and Alnus. The large relevant source area of pollen (RSAP) of 7 km obtained in this study is consistent with the landscape structure of the region. © 2012 The Author(s).","author":[{"dropping-particle":"","family":"Matthias","given":"Isabelle","non-dropping-particle":"","parse-names":false,"suffix":""},{"dropping-particle":"","family":"Nielsen","given":"Anne Birgitte","non-dropping-particle":"","parse-names":false,"suffix":""},{"dropping-particle":"","family":"Giesecke","given":"Thomas","non-dropping-particle":"","parse-names":false,"suffix":""}],"container-title":"Vegetation History and Archaeobotany","id":"ITEM-2","issue":"6","issued":{"date-parts":[["2012","10","10"]]},"page":"471-484","publisher":"Springer","title":"Evaluating the effect of flowering age and forest structure on pollen productivity estimates","type":"article-journal","volume":"21"},"uris":["http://www.mendeley.com/documents/?uuid=fa9a51b1-0e2a-35bb-a05f-9d32f230ea00"]},{"id":"ITEM-3","itemData":{"DOI":"10.1016/j.quascirev.2013.05.014","ISSN":"02773791","author":[{"dropping-particle":"","family":"Fyfe","given":"Ralph M.","non-dropping-particle":"","parse-names":false,"suffix":""},{"dropping-particle":"","family":"Twiddle","given":"Claire","non-dropping-particle":"","parse-names":false,"suffix":""},{"dropping-particle":"","family":"Sugita","given":"Shinya","non-dropping-particle":"","parse-names":false,"suffix":""},{"dropping-particle":"","family":"Gaillard","given":"Marie-José","non-dropping-particle":"","parse-names":false,"suffix":""},{"dropping-particle":"","family":"Barratt","given":"Philip","non-dropping-particle":"","parse-names":false,"suffix":""},{"dropping-particle":"","family":"Caseldine","given":"Christopher J.","non-dropping-particle":"","parse-names":false,"suffix":""},{"dropping-particle":"","family":"Dodson","given":"John","non-dropping-particle":"","parse-names":false,"suffix":""},{"dropping-particle":"","family":"Edwards","given":"Kevin J.","non-dropping-particle":"","parse-names":false,"suffix":""},{"dropping-particle":"","family":"Farrell","given":"Michelle","non-dropping-particle":"","parse-names":false,"suffix":""},{"dropping-particle":"","family":"Froyd","given":"Cynthia","non-dropping-particle":"","parse-names":false,"suffix":""},{"dropping-particle":"","family":"Grant","given":"Michael J.","non-dropping-particle":"","parse-names":false,"suffix":""},{"dropping-particle":"","family":"Huckerby","given":"Elizabeth","non-dropping-particle":"","parse-names":false,"suffix":""},{"dropping-particle":"","family":"Innes","given":"James B.","non-dropping-particle":"","parse-names":false,"suffix":""},{"dropping-particle":"","family":"Shaw","given":"Helen","non-dropping-particle":"","parse-names":false,"suffix":""},{"dropping-particle":"","family":"Waller","given":"Martyn","non-dropping-particle":"","parse-names":false,"suffix":""}],"container-title":"Quaternary Science Reviews","id":"ITEM-3","issued":{"date-parts":[["2013","8"]]},"page":"132-148","title":"The Holocene vegetation cover of Britain and Ireland: overcoming problems of scale and discerning patterns of openness","type":"article-journal","volume":"73"},"uris":["http://www.mendeley.com/documents/?uuid=0aaad07e-9ff9-3bae-857e-aae93e519292"]}],"mendeley":{"formattedCitation":"&lt;sup&gt;[30, 34, 35]&lt;/sup&gt;","manualFormatting":"[33]","plainTextFormattedCitation":"[30, 34, 35]","previouslyFormattedCitation":"(Fyfe et al., 2013a; Matthias et al., 2012; Trondman et al., 2015b)"},"properties":{"noteIndex":0},"schema":"https://github.com/citation-style-language/schema/raw/master/csl-citation.json"}</w:instrText>
      </w:r>
      <w:r>
        <w:rPr>
          <w:rStyle w:val="FootnoteReference"/>
          <w:rFonts w:cstheme="minorHAnsi"/>
          <w:color w:val="auto"/>
          <w:lang w:val="en-GB"/>
        </w:rPr>
        <w:fldChar w:fldCharType="separate"/>
      </w:r>
      <w:r>
        <w:rPr>
          <w:noProof/>
          <w:color w:val="auto"/>
        </w:rPr>
        <w:t>[33]</w:t>
      </w:r>
      <w:r>
        <w:rPr>
          <w:rStyle w:val="FootnoteReference"/>
          <w:rFonts w:cstheme="minorHAnsi"/>
          <w:color w:val="auto"/>
          <w:lang w:val="en-GB"/>
        </w:rPr>
        <w:fldChar w:fldCharType="end"/>
      </w:r>
      <w:r>
        <w:rPr>
          <w:color w:val="auto"/>
        </w:rPr>
        <w:t xml:space="preserve">. </w:t>
      </w:r>
      <w:proofErr w:type="spellStart"/>
      <w:r>
        <w:rPr>
          <w:color w:val="auto"/>
        </w:rPr>
        <w:t>Githumbi</w:t>
      </w:r>
      <w:proofErr w:type="spellEnd"/>
      <w:r>
        <w:rPr>
          <w:color w:val="auto"/>
        </w:rPr>
        <w:t xml:space="preserve"> et al. (2022)</w:t>
      </w:r>
      <w:r>
        <w:rPr>
          <w:color w:val="auto"/>
          <w:lang w:val="en-GB"/>
        </w:rPr>
        <w:t xml:space="preserve"> published an updated RPP-mean dataset for 50 taxa from Europe </w:t>
      </w:r>
      <w:r>
        <w:rPr>
          <w:color w:val="auto"/>
        </w:rPr>
        <w:fldChar w:fldCharType="begin" w:fldLock="1"/>
      </w:r>
      <w:r>
        <w:rPr>
          <w:color w:val="auto"/>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lang w:val="en-GB"/>
        </w:rPr>
        <w:instrText>∘</w:instrText>
      </w:r>
      <w:r>
        <w:rPr>
          <w:rFonts w:cs="Palatino Linotype"/>
          <w:color w:val="auto"/>
          <w:lang w:val="en-GB"/>
        </w:rPr>
        <w:instrText> × </w:instrText>
      </w:r>
      <w:r>
        <w:rPr>
          <w:color w:val="auto"/>
          <w:lang w:val="en-GB"/>
        </w:rPr>
        <w:instrText>1</w:instrText>
      </w:r>
      <w:r>
        <w:rPr>
          <w:rFonts w:ascii="Cambria Math" w:hAnsi="Cambria Math" w:cs="Cambria Math"/>
          <w:color w:val="auto"/>
          <w:lang w:val="en-GB"/>
        </w:rPr>
        <w:instrText>∘</w:instrText>
      </w:r>
      <w:r>
        <w:rPr>
          <w:color w:val="auto"/>
          <w:lang w:val="en-GB"/>
        </w:rPr>
        <w:instrText xml:space="preserve"> spatial scale using the </w:instrText>
      </w:r>
      <w:r>
        <w:rPr>
          <w:rFonts w:cs="Palatino Linotype"/>
          <w:color w:val="auto"/>
          <w:lang w:val="en-GB"/>
        </w:rPr>
        <w:instrText>“</w:instrText>
      </w:r>
      <w:r>
        <w:rPr>
          <w:color w:val="auto"/>
          <w:lang w:val="en-GB"/>
        </w:rPr>
        <w:instrText>Regional Estimates of VEgetation Abundance from Large Sites</w:instrText>
      </w:r>
      <w:r>
        <w:rPr>
          <w:rFonts w:cs="Palatino Linotype"/>
          <w:color w:val="auto"/>
          <w:lang w:val="en-GB"/>
        </w:rPr>
        <w:instrText>”</w:instrText>
      </w:r>
      <w:r>
        <w:rPr>
          <w:color w:val="auto"/>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N, 25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W</w:instrText>
      </w:r>
      <w:r>
        <w:rPr>
          <w:rFonts w:cs="Palatino Linotype"/>
          <w:color w:val="auto"/>
          <w:lang w:val="en-GB"/>
        </w:rPr>
        <w:instrText>–</w:instrText>
      </w:r>
      <w:r>
        <w:rPr>
          <w:color w:val="auto"/>
          <w:lang w:val="en-GB"/>
        </w:rPr>
        <w:instrText>50</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plainTextFormattedCitation":"[28]","previouslyFormattedCitation":"(Githumbi et al., 2022)"},"properties":{"noteIndex":0},"schema":"https://github.com/citation-style-language/schema/raw/master/csl-citation.json"}</w:instrText>
      </w:r>
      <w:r>
        <w:rPr>
          <w:color w:val="auto"/>
        </w:rPr>
        <w:fldChar w:fldCharType="separate"/>
      </w:r>
      <w:r>
        <w:rPr>
          <w:noProof/>
          <w:color w:val="auto"/>
          <w:lang w:val="en-GB"/>
        </w:rPr>
        <w:t>[31]</w:t>
      </w:r>
      <w:r>
        <w:rPr>
          <w:color w:val="auto"/>
        </w:rPr>
        <w:fldChar w:fldCharType="end"/>
      </w:r>
      <w:r>
        <w:rPr>
          <w:color w:val="auto"/>
          <w:lang w:val="en-GB"/>
        </w:rPr>
        <w:t>. Thirty-nine of the taxa were from boreal and temperate Europe, and for the first time, 11 taxa characteristic of Mediterranean Europe were included.</w:t>
      </w:r>
    </w:p>
    <w:p w14:paraId="3545DB45" w14:textId="77777777" w:rsidR="004653D0" w:rsidRDefault="004653D0" w:rsidP="004653D0">
      <w:pPr>
        <w:pStyle w:val="MDPI31text"/>
        <w:rPr>
          <w:color w:val="auto"/>
          <w:lang w:val="en-GB"/>
        </w:rPr>
      </w:pPr>
      <w:r>
        <w:rPr>
          <w:color w:val="auto"/>
          <w:lang w:val="en-GB"/>
        </w:rPr>
        <w:t xml:space="preserve">The first RPP-mean dataset for Europe was used to evaluate the effect of entomophilous taxa on gridded REVEALS estimates for the Czech Republic </w:t>
      </w:r>
      <w:r>
        <w:rPr>
          <w:color w:val="auto"/>
        </w:rPr>
        <w:fldChar w:fldCharType="begin" w:fldLock="1"/>
      </w:r>
      <w:r>
        <w:rPr>
          <w:color w:val="auto"/>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mendeley":{"formattedCitation":"&lt;sup&gt;[25]&lt;/sup&gt;","manualFormatting":"[26]","plainTextFormattedCitation":"[25]","previouslyFormattedCitation":"(Mazier et al., 2012)"},"properties":{"noteIndex":0},"schema":"https://github.com/citation-style-language/schema/raw/master/csl-citation.json"}</w:instrText>
      </w:r>
      <w:r>
        <w:rPr>
          <w:color w:val="auto"/>
        </w:rPr>
        <w:fldChar w:fldCharType="separate"/>
      </w:r>
      <w:r>
        <w:rPr>
          <w:noProof/>
          <w:color w:val="auto"/>
          <w:lang w:val="en-GB"/>
        </w:rPr>
        <w:t>[28]</w:t>
      </w:r>
      <w:r>
        <w:rPr>
          <w:color w:val="auto"/>
          <w:lang w:val="en-GB"/>
        </w:rPr>
        <w:fldChar w:fldCharType="end"/>
      </w:r>
      <w:r>
        <w:rPr>
          <w:color w:val="auto"/>
          <w:lang w:val="en-GB"/>
        </w:rPr>
        <w:t xml:space="preserve">. The authors showed that entomophilous taxa tend to affect the REVEALS estimates because the REVEALS model assumes that all pollen is airborne </w:t>
      </w:r>
      <w:r>
        <w:rPr>
          <w:rStyle w:val="FootnoteReference"/>
          <w:rFonts w:cstheme="minorHAnsi"/>
          <w:color w:val="auto"/>
          <w:lang w:val="en-GB"/>
        </w:rPr>
        <w:fldChar w:fldCharType="begin" w:fldLock="1"/>
      </w:r>
      <w:r>
        <w:rPr>
          <w:color w:val="auto"/>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8844359a-85f2-4f77-9886-de6fdfdf9daa"]}],"mendeley":{"formattedCitation":"&lt;sup&gt;[24]&lt;/sup&gt;","plainTextFormattedCitation":"[24]","previouslyFormattedCitation":"(Sugita, 2007a)"},"properties":{"noteIndex":0},"schema":"https://github.com/citation-style-language/schema/raw/master/csl-citation.json"}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[27]</w:t>
      </w:r>
      <w:r>
        <w:rPr>
          <w:rStyle w:val="FootnoteReference"/>
          <w:rFonts w:cstheme="minorHAnsi"/>
          <w:color w:val="auto"/>
          <w:lang w:val="en-GB"/>
        </w:rPr>
        <w:fldChar w:fldCharType="end"/>
      </w:r>
      <w:r>
        <w:rPr>
          <w:color w:val="auto"/>
          <w:lang w:val="en-GB"/>
        </w:rPr>
        <w:t xml:space="preserve"> and justified excluding as many entomophilous taxa as possible from REVEALS reconstructions. </w:t>
      </w:r>
      <w:proofErr w:type="spellStart"/>
      <w:r>
        <w:rPr>
          <w:color w:val="auto"/>
          <w:lang w:val="en-GB"/>
        </w:rPr>
        <w:t>Githumbi</w:t>
      </w:r>
      <w:proofErr w:type="spellEnd"/>
      <w:r>
        <w:rPr>
          <w:color w:val="auto"/>
          <w:lang w:val="en-GB"/>
        </w:rPr>
        <w:t xml:space="preserve"> et al. (2022) included taxa with mixed wind and insect pollen transport such as </w:t>
      </w:r>
      <w:r>
        <w:rPr>
          <w:i/>
          <w:color w:val="auto"/>
          <w:lang w:val="en-GB"/>
        </w:rPr>
        <w:t>Artemisia</w:t>
      </w:r>
      <w:r>
        <w:rPr>
          <w:color w:val="auto"/>
          <w:lang w:val="en-GB"/>
        </w:rPr>
        <w:t xml:space="preserve">, </w:t>
      </w:r>
      <w:proofErr w:type="spellStart"/>
      <w:r>
        <w:rPr>
          <w:color w:val="auto"/>
          <w:lang w:val="en-GB"/>
        </w:rPr>
        <w:t>Amaranthaceae</w:t>
      </w:r>
      <w:proofErr w:type="spellEnd"/>
      <w:r>
        <w:rPr>
          <w:color w:val="auto"/>
          <w:lang w:val="en-GB"/>
        </w:rPr>
        <w:t>/Chenopodiaceae, Ericaceae (</w:t>
      </w:r>
      <w:proofErr w:type="spellStart"/>
      <w:r>
        <w:rPr>
          <w:i/>
          <w:color w:val="auto"/>
          <w:lang w:val="en-GB"/>
        </w:rPr>
        <w:t>Calluna</w:t>
      </w:r>
      <w:proofErr w:type="spellEnd"/>
      <w:r>
        <w:rPr>
          <w:color w:val="auto"/>
          <w:lang w:val="en-GB"/>
        </w:rPr>
        <w:t xml:space="preserve"> excluded), </w:t>
      </w:r>
      <w:proofErr w:type="spellStart"/>
      <w:r>
        <w:rPr>
          <w:color w:val="auto"/>
          <w:lang w:val="en-GB"/>
        </w:rPr>
        <w:t>Rubiaceae</w:t>
      </w:r>
      <w:proofErr w:type="spellEnd"/>
      <w:r>
        <w:rPr>
          <w:color w:val="auto"/>
          <w:lang w:val="en-GB"/>
        </w:rPr>
        <w:t xml:space="preserve">, and </w:t>
      </w:r>
      <w:r>
        <w:rPr>
          <w:i/>
          <w:color w:val="auto"/>
          <w:lang w:val="en-GB"/>
        </w:rPr>
        <w:t>Plantago</w:t>
      </w:r>
      <w:r>
        <w:rPr>
          <w:color w:val="auto"/>
          <w:lang w:val="en-GB"/>
        </w:rPr>
        <w:t xml:space="preserve"> </w:t>
      </w:r>
      <w:r>
        <w:rPr>
          <w:i/>
          <w:color w:val="auto"/>
          <w:lang w:val="en-GB"/>
        </w:rPr>
        <w:t xml:space="preserve">lanceolata </w:t>
      </w:r>
      <w:r>
        <w:rPr>
          <w:rStyle w:val="FootnoteReference"/>
          <w:rFonts w:cstheme="minorHAnsi"/>
          <w:color w:val="auto"/>
          <w:lang w:val="en-GB"/>
        </w:rPr>
        <w:fldChar w:fldCharType="begin" w:fldLock="1"/>
      </w:r>
      <w:r>
        <w:rPr>
          <w:color w:val="auto"/>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lang w:val="en-GB"/>
        </w:rPr>
        <w:instrText>∘</w:instrText>
      </w:r>
      <w:r>
        <w:rPr>
          <w:rFonts w:cs="Palatino Linotype"/>
          <w:color w:val="auto"/>
          <w:lang w:val="en-GB"/>
        </w:rPr>
        <w:instrText> × </w:instrText>
      </w:r>
      <w:r>
        <w:rPr>
          <w:color w:val="auto"/>
          <w:lang w:val="en-GB"/>
        </w:rPr>
        <w:instrText>1</w:instrText>
      </w:r>
      <w:r>
        <w:rPr>
          <w:rFonts w:ascii="Cambria Math" w:hAnsi="Cambria Math" w:cs="Cambria Math"/>
          <w:color w:val="auto"/>
          <w:lang w:val="en-GB"/>
        </w:rPr>
        <w:instrText>∘</w:instrText>
      </w:r>
      <w:r>
        <w:rPr>
          <w:color w:val="auto"/>
          <w:lang w:val="en-GB"/>
        </w:rPr>
        <w:instrText xml:space="preserve"> spatial scale using the </w:instrText>
      </w:r>
      <w:r>
        <w:rPr>
          <w:rFonts w:cs="Palatino Linotype"/>
          <w:color w:val="auto"/>
          <w:lang w:val="en-GB"/>
        </w:rPr>
        <w:instrText>“</w:instrText>
      </w:r>
      <w:r>
        <w:rPr>
          <w:color w:val="auto"/>
          <w:lang w:val="en-GB"/>
        </w:rPr>
        <w:instrText>Regional Estimates of VEgetation Abundance from Large Sites</w:instrText>
      </w:r>
      <w:r>
        <w:rPr>
          <w:rFonts w:cs="Palatino Linotype"/>
          <w:color w:val="auto"/>
          <w:lang w:val="en-GB"/>
        </w:rPr>
        <w:instrText>”</w:instrText>
      </w:r>
      <w:r>
        <w:rPr>
          <w:color w:val="auto"/>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N, 25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W</w:instrText>
      </w:r>
      <w:r>
        <w:rPr>
          <w:rFonts w:cs="Palatino Linotype"/>
          <w:color w:val="auto"/>
          <w:lang w:val="en-GB"/>
        </w:rPr>
        <w:instrText>–</w:instrText>
      </w:r>
      <w:r>
        <w:rPr>
          <w:color w:val="auto"/>
          <w:lang w:val="en-GB"/>
        </w:rPr>
        <w:instrText>50</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plainTextFormattedCitation":"[28]","previouslyFormattedCitation":"(Githumbi et al., 2022)"},"properties":{"noteIndex":0},"schema":"https://github.com/citation-style-language/schema/raw/master/csl-citation.json"}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[31]</w:t>
      </w:r>
      <w:r>
        <w:rPr>
          <w:rStyle w:val="FootnoteReference"/>
          <w:rFonts w:cstheme="minorHAnsi"/>
          <w:color w:val="auto"/>
          <w:lang w:val="en-GB"/>
        </w:rPr>
        <w:fldChar w:fldCharType="end"/>
      </w:r>
      <w:r>
        <w:rPr>
          <w:color w:val="auto"/>
          <w:lang w:val="en-GB"/>
        </w:rPr>
        <w:t>. The application of multiple sets of RPP values for different climatic regions in a single REVEALS reconstruction cannot be achieved without independent data on past climatic changes,</w:t>
      </w:r>
      <w:r>
        <w:rPr>
          <w:color w:val="auto"/>
        </w:rPr>
        <w:t xml:space="preserve"> which can </w:t>
      </w:r>
      <w:r>
        <w:rPr>
          <w:color w:val="auto"/>
          <w:lang w:val="en-GB"/>
        </w:rPr>
        <w:t xml:space="preserve">shift the boundaries between climate regimes over the Holocene </w:t>
      </w:r>
      <w:r>
        <w:rPr>
          <w:rStyle w:val="FootnoteReference"/>
          <w:rFonts w:cstheme="minorHAnsi"/>
          <w:color w:val="auto"/>
          <w:lang w:val="en-GB"/>
        </w:rPr>
        <w:fldChar w:fldCharType="begin" w:fldLock="1"/>
      </w:r>
      <w:r>
        <w:rPr>
          <w:color w:val="auto"/>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lang w:val="en-GB"/>
        </w:rPr>
        <w:instrText>∘</w:instrText>
      </w:r>
      <w:r>
        <w:rPr>
          <w:rFonts w:cs="Palatino Linotype"/>
          <w:color w:val="auto"/>
          <w:lang w:val="en-GB"/>
        </w:rPr>
        <w:instrText> × </w:instrText>
      </w:r>
      <w:r>
        <w:rPr>
          <w:color w:val="auto"/>
          <w:lang w:val="en-GB"/>
        </w:rPr>
        <w:instrText>1</w:instrText>
      </w:r>
      <w:r>
        <w:rPr>
          <w:rFonts w:ascii="Cambria Math" w:hAnsi="Cambria Math" w:cs="Cambria Math"/>
          <w:color w:val="auto"/>
          <w:lang w:val="en-GB"/>
        </w:rPr>
        <w:instrText>∘</w:instrText>
      </w:r>
      <w:r>
        <w:rPr>
          <w:color w:val="auto"/>
          <w:lang w:val="en-GB"/>
        </w:rPr>
        <w:instrText xml:space="preserve"> spatial scale using the </w:instrText>
      </w:r>
      <w:r>
        <w:rPr>
          <w:rFonts w:cs="Palatino Linotype"/>
          <w:color w:val="auto"/>
          <w:lang w:val="en-GB"/>
        </w:rPr>
        <w:instrText>“</w:instrText>
      </w:r>
      <w:r>
        <w:rPr>
          <w:color w:val="auto"/>
          <w:lang w:val="en-GB"/>
        </w:rPr>
        <w:instrText>Regional Estimates of VEgetation Abundance from Large Sites</w:instrText>
      </w:r>
      <w:r>
        <w:rPr>
          <w:rFonts w:cs="Palatino Linotype"/>
          <w:color w:val="auto"/>
          <w:lang w:val="en-GB"/>
        </w:rPr>
        <w:instrText>”</w:instrText>
      </w:r>
      <w:r>
        <w:rPr>
          <w:color w:val="auto"/>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N, 25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W</w:instrText>
      </w:r>
      <w:r>
        <w:rPr>
          <w:rFonts w:cs="Palatino Linotype"/>
          <w:color w:val="auto"/>
          <w:lang w:val="en-GB"/>
        </w:rPr>
        <w:instrText>–</w:instrText>
      </w:r>
      <w:r>
        <w:rPr>
          <w:color w:val="auto"/>
          <w:lang w:val="en-GB"/>
        </w:rPr>
        <w:instrText>50</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plainTextFormattedCitation":"[28]","previouslyFormattedCitation":"(Githumbi et al., 2022)"},"properties":{"noteIndex":0},"schema":"https://github.com/citation-style-language/schema/raw/master/csl-citation.json"}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[31]</w:t>
      </w:r>
      <w:r>
        <w:rPr>
          <w:rStyle w:val="FootnoteReference"/>
          <w:rFonts w:cstheme="minorHAnsi"/>
          <w:color w:val="auto"/>
          <w:lang w:val="en-GB"/>
        </w:rPr>
        <w:fldChar w:fldCharType="end"/>
      </w:r>
      <w:r>
        <w:rPr>
          <w:color w:val="auto"/>
          <w:lang w:val="en-GB"/>
        </w:rPr>
        <w:t xml:space="preserve">. Some taxa are more difficult to handle, such as the family Ericaceae, which contains a morphologically diverse range of taxa, including herbs, dwarf shrubs, shrubs, and trees </w:t>
      </w:r>
      <w:r>
        <w:rPr>
          <w:rStyle w:val="FootnoteReference"/>
          <w:color w:val="auto"/>
          <w:lang w:val="en-GB"/>
        </w:rPr>
        <w:fldChar w:fldCharType="begin" w:fldLock="1"/>
      </w:r>
      <w:r>
        <w:rPr>
          <w:color w:val="auto"/>
          <w:lang w:val="en-GB"/>
        </w:rPr>
        <w:instrText>ADDIN CSL_CITATION {"citationItems":[{"id":"ITEM-1","itemData":{"DOI":"10.14943/DOCTORAL.K8187","author":[{"dropping-particle":"","family":"Sarwar","given":"By","non-dropping-particle":"","parse-names":false,"suffix":""},{"dropping-particle":"","family":"Golam","given":"Akm","non-dropping-particle":"","parse-names":false,"suffix":""}],"id":"ITEM-1","issued":{"date-parts":[["2007","3","23"]]},"publisher":"Hokkaido University","title":"Pollen Morphology and Its Systematic Significance in the Ericaceae","type":"article-journal"},"uris":["http://www.mendeley.com/documents/?uuid=1339bc94-6f0c-37ef-b9b7-8d7561231601"]}],"mendeley":{"formattedCitation":"&lt;sup&gt;[36]&lt;/sup&gt;","manualFormatting":"[37]","plainTextFormattedCitation":"[36]","previouslyFormattedCitation":"(Sarwar &amp; Golam, 2007)"},"properties":{"noteIndex":0},"schema":"https://github.com/citation-style-language/schema/raw/master/csl-citation.json"}</w:instrText>
      </w:r>
      <w:r>
        <w:rPr>
          <w:rStyle w:val="FootnoteReference"/>
          <w:color w:val="auto"/>
          <w:lang w:val="en-GB"/>
        </w:rPr>
        <w:fldChar w:fldCharType="separate"/>
      </w:r>
      <w:r>
        <w:rPr>
          <w:noProof/>
          <w:color w:val="auto"/>
          <w:lang w:val="en-GB"/>
        </w:rPr>
        <w:t>[37]</w:t>
      </w:r>
      <w:r>
        <w:rPr>
          <w:rStyle w:val="FootnoteReference"/>
          <w:color w:val="auto"/>
          <w:lang w:val="en-GB"/>
        </w:rPr>
        <w:fldChar w:fldCharType="end"/>
      </w:r>
      <w:r>
        <w:rPr>
          <w:color w:val="auto"/>
          <w:lang w:val="en-GB"/>
        </w:rPr>
        <w:t>. Only two RPP values across Europe are available for Ericaceae [31]. The first is from the Mediterranean area, where Ericaceae species are mainly tree forms, produce abundant pollen, and therefore have a high RPP. The second is based on low-growth shrubs in northern Europe and has a lower RPP value than that from the Mediterranean.</w:t>
      </w:r>
    </w:p>
    <w:p w14:paraId="53F9C1B4" w14:textId="77777777" w:rsidR="004653D0" w:rsidRDefault="004653D0" w:rsidP="004653D0">
      <w:pPr>
        <w:pStyle w:val="MDPI31text"/>
        <w:rPr>
          <w:color w:val="auto"/>
        </w:rPr>
      </w:pPr>
      <w:r>
        <w:rPr>
          <w:color w:val="auto"/>
          <w:lang w:val="en-GB"/>
        </w:rPr>
        <w:t xml:space="preserve">In this paper, we use </w:t>
      </w:r>
      <w:r>
        <w:rPr>
          <w:color w:val="auto"/>
        </w:rPr>
        <w:t xml:space="preserve">an updated version of the REVEALS reconstruction from </w:t>
      </w:r>
      <w:r>
        <w:rPr>
          <w:color w:val="auto"/>
        </w:rPr>
        <w:fldChar w:fldCharType="begin" w:fldLock="1"/>
      </w:r>
      <w:r>
        <w:rPr>
          <w:color w:val="auto"/>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rPr>
        <w:instrText>∘</w:instrText>
      </w:r>
      <w:r>
        <w:rPr>
          <w:rFonts w:cs="Palatino Linotype"/>
          <w:color w:val="auto"/>
        </w:rPr>
        <w:instrText> × </w:instrText>
      </w:r>
      <w:r>
        <w:rPr>
          <w:color w:val="auto"/>
        </w:rPr>
        <w:instrText>1</w:instrText>
      </w:r>
      <w:r>
        <w:rPr>
          <w:rFonts w:ascii="Cambria Math" w:hAnsi="Cambria Math" w:cs="Cambria Math"/>
          <w:color w:val="auto"/>
        </w:rPr>
        <w:instrText>∘</w:instrText>
      </w:r>
      <w:r>
        <w:rPr>
          <w:color w:val="auto"/>
        </w:rPr>
        <w:instrText xml:space="preserve"> spatial scale using the </w:instrText>
      </w:r>
      <w:r>
        <w:rPr>
          <w:rFonts w:cs="Palatino Linotype"/>
          <w:color w:val="auto"/>
        </w:rPr>
        <w:instrText>“</w:instrText>
      </w:r>
      <w:r>
        <w:rPr>
          <w:color w:val="auto"/>
        </w:rPr>
        <w:instrText>Regional Estimates of VEgetation Abundance from Large Sites</w:instrText>
      </w:r>
      <w:r>
        <w:rPr>
          <w:rFonts w:cs="Palatino Linotype"/>
          <w:color w:val="auto"/>
        </w:rPr>
        <w:instrText>”</w:instrText>
      </w:r>
      <w:r>
        <w:rPr>
          <w:color w:val="auto"/>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rPr>
        <w:instrText>∘</w:instrText>
      </w:r>
      <w:r>
        <w:rPr>
          <w:rFonts w:cs="Palatino Linotype"/>
          <w:color w:val="auto"/>
        </w:rPr>
        <w:instrText> </w:instrText>
      </w:r>
      <w:r>
        <w:rPr>
          <w:color w:val="auto"/>
        </w:rPr>
        <w:instrText>N, 25</w:instrText>
      </w:r>
      <w:r>
        <w:rPr>
          <w:rFonts w:ascii="Cambria Math" w:hAnsi="Cambria Math" w:cs="Cambria Math"/>
          <w:color w:val="auto"/>
        </w:rPr>
        <w:instrText>∘</w:instrText>
      </w:r>
      <w:r>
        <w:rPr>
          <w:rFonts w:cs="Palatino Linotype"/>
          <w:color w:val="auto"/>
        </w:rPr>
        <w:instrText> </w:instrText>
      </w:r>
      <w:r>
        <w:rPr>
          <w:color w:val="auto"/>
        </w:rPr>
        <w:instrText>W</w:instrText>
      </w:r>
      <w:r>
        <w:rPr>
          <w:rFonts w:cs="Palatino Linotype"/>
          <w:color w:val="auto"/>
        </w:rPr>
        <w:instrText>–</w:instrText>
      </w:r>
      <w:r>
        <w:rPr>
          <w:color w:val="auto"/>
        </w:rPr>
        <w:instrText>50</w:instrText>
      </w:r>
      <w:r>
        <w:rPr>
          <w:rFonts w:ascii="Cambria Math" w:hAnsi="Cambria Math" w:cs="Cambria Math"/>
          <w:color w:val="auto"/>
        </w:rPr>
        <w:instrText>∘</w:instrText>
      </w:r>
      <w:r>
        <w:rPr>
          <w:rFonts w:cs="Palatino Linotype"/>
          <w:color w:val="auto"/>
        </w:rPr>
        <w:instrText> </w:instrText>
      </w:r>
      <w:r>
        <w:rPr>
          <w:color w:val="auto"/>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plainTextFormattedCitation":"[28]","previouslyFormattedCitation":"(Githumbi et al., 2022)"},"properties":{"noteIndex":0},"schema":"https://github.com/citation-style-language/schema/raw/master/csl-citation.json"}</w:instrText>
      </w:r>
      <w:r>
        <w:rPr>
          <w:color w:val="auto"/>
        </w:rPr>
        <w:fldChar w:fldCharType="separate"/>
      </w:r>
      <w:r>
        <w:rPr>
          <w:noProof/>
          <w:color w:val="auto"/>
        </w:rPr>
        <w:t>[31]</w:t>
      </w:r>
      <w:r>
        <w:rPr>
          <w:color w:val="auto"/>
        </w:rPr>
        <w:fldChar w:fldCharType="end"/>
      </w:r>
      <w:r>
        <w:rPr>
          <w:color w:val="auto"/>
        </w:rPr>
        <w:t xml:space="preserve">. This </w:t>
      </w:r>
      <w:r>
        <w:rPr>
          <w:color w:val="auto"/>
          <w:lang w:val="en-GB"/>
        </w:rPr>
        <w:t>third generation produces grid-based estimates at 1° × 1° (ca. 100 km × 100 km) across 30°–71° N, 20° W–47° E (</w:t>
      </w:r>
      <w:proofErr w:type="spellStart"/>
      <w:r>
        <w:rPr>
          <w:color w:val="auto"/>
          <w:lang w:val="en-GB"/>
        </w:rPr>
        <w:t>northwestern</w:t>
      </w:r>
      <w:proofErr w:type="spellEnd"/>
      <w:r>
        <w:rPr>
          <w:color w:val="auto"/>
          <w:lang w:val="en-GB"/>
        </w:rPr>
        <w:t xml:space="preserve">, central Europe, Mediterranean area, and part of the East until 47° E, Figures 1 and A1) for 25 contiguous time windows across the Holocene. The number of pollen records used (1607) and the area covered (most of </w:t>
      </w:r>
      <w:r>
        <w:rPr>
          <w:color w:val="auto"/>
          <w:lang w:val="en-GB"/>
        </w:rPr>
        <w:lastRenderedPageBreak/>
        <w:t xml:space="preserve">Europe) of 539 grid cells represent a significant advance on the results presented by </w:t>
      </w:r>
      <w:r>
        <w:rPr>
          <w:color w:val="auto"/>
          <w:lang w:val="en-GB"/>
        </w:rPr>
        <w:fldChar w:fldCharType="begin" w:fldLock="1"/>
      </w:r>
      <w:r>
        <w:rPr>
          <w:color w:val="auto"/>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lang w:val="en-GB"/>
        </w:rPr>
        <w:instrText>∘</w:instrText>
      </w:r>
      <w:r>
        <w:rPr>
          <w:rFonts w:cs="Palatino Linotype"/>
          <w:color w:val="auto"/>
          <w:lang w:val="en-GB"/>
        </w:rPr>
        <w:instrText> × </w:instrText>
      </w:r>
      <w:r>
        <w:rPr>
          <w:color w:val="auto"/>
          <w:lang w:val="en-GB"/>
        </w:rPr>
        <w:instrText>1</w:instrText>
      </w:r>
      <w:r>
        <w:rPr>
          <w:rFonts w:ascii="Cambria Math" w:hAnsi="Cambria Math" w:cs="Cambria Math"/>
          <w:color w:val="auto"/>
          <w:lang w:val="en-GB"/>
        </w:rPr>
        <w:instrText>∘</w:instrText>
      </w:r>
      <w:r>
        <w:rPr>
          <w:color w:val="auto"/>
          <w:lang w:val="en-GB"/>
        </w:rPr>
        <w:instrText xml:space="preserve"> spatial scale using the </w:instrText>
      </w:r>
      <w:r>
        <w:rPr>
          <w:rFonts w:cs="Palatino Linotype"/>
          <w:color w:val="auto"/>
          <w:lang w:val="en-GB"/>
        </w:rPr>
        <w:instrText>“</w:instrText>
      </w:r>
      <w:r>
        <w:rPr>
          <w:color w:val="auto"/>
          <w:lang w:val="en-GB"/>
        </w:rPr>
        <w:instrText>Regional Estimates of VEgetation Abundance from Large Sites</w:instrText>
      </w:r>
      <w:r>
        <w:rPr>
          <w:rFonts w:cs="Palatino Linotype"/>
          <w:color w:val="auto"/>
          <w:lang w:val="en-GB"/>
        </w:rPr>
        <w:instrText>”</w:instrText>
      </w:r>
      <w:r>
        <w:rPr>
          <w:color w:val="auto"/>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N, 25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W</w:instrText>
      </w:r>
      <w:r>
        <w:rPr>
          <w:rFonts w:cs="Palatino Linotype"/>
          <w:color w:val="auto"/>
          <w:lang w:val="en-GB"/>
        </w:rPr>
        <w:instrText>–</w:instrText>
      </w:r>
      <w:r>
        <w:rPr>
          <w:color w:val="auto"/>
          <w:lang w:val="en-GB"/>
        </w:rPr>
        <w:instrText>50</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plainTextFormattedCitation":"[28]","previouslyFormattedCitation":"(Githumbi et al., 2022)"},"properties":{"noteIndex":0},"schema":"https://github.com/citation-style-language/schema/raw/master/csl-citation.json"}</w:instrText>
      </w:r>
      <w:r>
        <w:rPr>
          <w:color w:val="auto"/>
          <w:lang w:val="en-GB"/>
        </w:rPr>
        <w:fldChar w:fldCharType="separate"/>
      </w:r>
      <w:r>
        <w:rPr>
          <w:noProof/>
          <w:color w:val="auto"/>
          <w:lang w:val="en-GB"/>
        </w:rPr>
        <w:t>[31]</w:t>
      </w:r>
      <w:r>
        <w:rPr>
          <w:color w:val="auto"/>
          <w:lang w:val="en-GB"/>
        </w:rPr>
        <w:fldChar w:fldCharType="end"/>
      </w:r>
      <w:r>
        <w:rPr>
          <w:color w:val="auto"/>
          <w:lang w:val="en-GB"/>
        </w:rPr>
        <w:t xml:space="preserve">, which was based on 1128 pollen records for Europe and part of the Eastern Mediterranean–Black Sea–Caspian-Corridor. We used three RPP-means datasets and </w:t>
      </w:r>
      <w:r>
        <w:rPr>
          <w:color w:val="auto"/>
        </w:rPr>
        <w:t>evaluated the extent to which the selection of a set of RPP-means influences the REVEALS estimates. The three datasets are (</w:t>
      </w:r>
      <w:proofErr w:type="spellStart"/>
      <w:r>
        <w:rPr>
          <w:color w:val="auto"/>
        </w:rPr>
        <w:t>i</w:t>
      </w:r>
      <w:proofErr w:type="spellEnd"/>
      <w:r>
        <w:rPr>
          <w:color w:val="auto"/>
        </w:rPr>
        <w:t>) the RPP-means dataset</w:t>
      </w:r>
      <w:r>
        <w:rPr>
          <w:color w:val="auto"/>
          <w:lang w:val="en-GB"/>
        </w:rPr>
        <w:t xml:space="preserve"> from </w:t>
      </w:r>
      <w:r>
        <w:rPr>
          <w:rStyle w:val="FootnoteReference"/>
          <w:rFonts w:cstheme="minorHAnsi"/>
          <w:color w:val="auto"/>
          <w:lang w:val="en-GB"/>
        </w:rPr>
        <w:fldChar w:fldCharType="begin" w:fldLock="1"/>
      </w:r>
      <w:r>
        <w:rPr>
          <w:color w:val="auto"/>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lang w:val="en-GB"/>
        </w:rPr>
        <w:instrText>∘</w:instrText>
      </w:r>
      <w:r>
        <w:rPr>
          <w:rFonts w:cs="Palatino Linotype"/>
          <w:color w:val="auto"/>
          <w:lang w:val="en-GB"/>
        </w:rPr>
        <w:instrText> × </w:instrText>
      </w:r>
      <w:r>
        <w:rPr>
          <w:color w:val="auto"/>
          <w:lang w:val="en-GB"/>
        </w:rPr>
        <w:instrText>1</w:instrText>
      </w:r>
      <w:r>
        <w:rPr>
          <w:rFonts w:ascii="Cambria Math" w:hAnsi="Cambria Math" w:cs="Cambria Math"/>
          <w:color w:val="auto"/>
          <w:lang w:val="en-GB"/>
        </w:rPr>
        <w:instrText>∘</w:instrText>
      </w:r>
      <w:r>
        <w:rPr>
          <w:color w:val="auto"/>
          <w:lang w:val="en-GB"/>
        </w:rPr>
        <w:instrText xml:space="preserve"> spatial scale using the </w:instrText>
      </w:r>
      <w:r>
        <w:rPr>
          <w:rFonts w:cs="Palatino Linotype"/>
          <w:color w:val="auto"/>
          <w:lang w:val="en-GB"/>
        </w:rPr>
        <w:instrText>“</w:instrText>
      </w:r>
      <w:r>
        <w:rPr>
          <w:color w:val="auto"/>
          <w:lang w:val="en-GB"/>
        </w:rPr>
        <w:instrText>Regional Estimates of VEgetation Abundance from Large Sites”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N, 25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W–50</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plainTextFormattedCitation":"[28]","previouslyFormattedCitation":"(Githumbi et al., 2022)"},"properties":{"noteIndex":0},"schema":"https://github.com/citation-style-language/schema/raw/master/csl-citation.json"}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[31]</w:t>
      </w:r>
      <w:r>
        <w:rPr>
          <w:rStyle w:val="FootnoteReference"/>
          <w:rFonts w:cstheme="minorHAnsi"/>
          <w:color w:val="auto"/>
          <w:lang w:val="en-GB"/>
        </w:rPr>
        <w:fldChar w:fldCharType="end"/>
      </w:r>
      <w:r>
        <w:rPr>
          <w:color w:val="auto"/>
          <w:lang w:val="en-GB"/>
        </w:rPr>
        <w:t xml:space="preserve"> (RPPs.st1: 31 taxa); (ii) a new synthesis proposed in this study inclusive of a larger number of entomophilous taxa (RPPs.st2: 46 taxa); and (iii) a composite dataset, derived from </w:t>
      </w:r>
      <w:r>
        <w:rPr>
          <w:rStyle w:val="FootnoteReference"/>
          <w:rFonts w:cstheme="minorHAnsi"/>
          <w:color w:val="auto"/>
          <w:lang w:val="en-GB"/>
        </w:rPr>
        <w:fldChar w:fldCharType="begin" w:fldLock="1"/>
      </w:r>
      <w:r>
        <w:rPr>
          <w:color w:val="auto"/>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mendeley":{"formattedCitation":"&lt;sup&gt;[25]&lt;/sup&gt;","manualFormatting":"[28,31]","plainTextFormattedCitation":"[25]","previouslyFormattedCitation":"(Mazier et al., 2012)"},"properties":{"noteIndex":0},"schema":"https://github.com/citation-style-language/schema/raw/master/csl-citation.json"}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[28,31]</w:t>
      </w:r>
      <w:r>
        <w:rPr>
          <w:rStyle w:val="FootnoteReference"/>
          <w:rFonts w:cstheme="minorHAnsi"/>
          <w:color w:val="auto"/>
          <w:lang w:val="en-GB"/>
        </w:rPr>
        <w:fldChar w:fldCharType="end"/>
      </w:r>
      <w:r>
        <w:rPr>
          <w:color w:val="auto"/>
          <w:lang w:val="en-GB"/>
        </w:rPr>
        <w:t xml:space="preserve"> </w:t>
      </w:r>
      <w:r>
        <w:rPr>
          <w:color w:val="auto"/>
        </w:rPr>
        <w:t>(</w:t>
      </w:r>
      <w:r>
        <w:rPr>
          <w:color w:val="auto"/>
          <w:lang w:val="en-GB"/>
        </w:rPr>
        <w:t>RPPs.st3: 31 taxa)</w:t>
      </w:r>
      <w:r>
        <w:rPr>
          <w:color w:val="auto"/>
        </w:rPr>
        <w:t>.</w:t>
      </w:r>
    </w:p>
    <w:p w14:paraId="2F88F5DA" w14:textId="240D4DA3" w:rsidR="004653D0" w:rsidRDefault="004653D0" w:rsidP="004653D0">
      <w:pPr>
        <w:pStyle w:val="MDPI52figure"/>
        <w:rPr>
          <w:lang w:val="en-GB"/>
        </w:rPr>
      </w:pPr>
      <w:r>
        <w:rPr>
          <w:noProof/>
          <w:lang w:val="fr-FR" w:eastAsia="fr-FR" w:bidi="ar-SA"/>
        </w:rPr>
        <w:drawing>
          <wp:inline distT="0" distB="0" distL="0" distR="0" wp14:anchorId="53B9B960" wp14:editId="0EC4841F">
            <wp:extent cx="5029200" cy="2952750"/>
            <wp:effectExtent l="0" t="0" r="0" b="0"/>
            <wp:docPr id="8" name="Picture 8" descr="reliability_230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iability_23042023"/>
                    <pic:cNvPicPr>
                      <a:picLocks noChangeAspect="1" noChangeArrowheads="1"/>
                    </pic:cNvPicPr>
                  </pic:nvPicPr>
                  <pic:blipFill>
                    <a:blip r:embed="rId17" cstate="print">
                      <a:extLst>
                        <a:ext uri="{28A0092B-C50C-407E-A947-70E740481C1C}">
                          <a14:useLocalDpi xmlns:a14="http://schemas.microsoft.com/office/drawing/2010/main" val="0"/>
                        </a:ext>
                      </a:extLst>
                    </a:blip>
                    <a:srcRect l="8748" t="16351" r="8298" b="14606"/>
                    <a:stretch>
                      <a:fillRect/>
                    </a:stretch>
                  </pic:blipFill>
                  <pic:spPr bwMode="auto">
                    <a:xfrm>
                      <a:off x="0" y="0"/>
                      <a:ext cx="5029200" cy="2952750"/>
                    </a:xfrm>
                    <a:prstGeom prst="rect">
                      <a:avLst/>
                    </a:prstGeom>
                    <a:noFill/>
                    <a:ln>
                      <a:noFill/>
                    </a:ln>
                  </pic:spPr>
                </pic:pic>
              </a:graphicData>
            </a:graphic>
          </wp:inline>
        </w:drawing>
      </w:r>
    </w:p>
    <w:p w14:paraId="344C6F68" w14:textId="77777777" w:rsidR="004653D0" w:rsidRDefault="004653D0" w:rsidP="004653D0">
      <w:pPr>
        <w:pStyle w:val="MDPI51figurecaption"/>
        <w:jc w:val="both"/>
        <w:rPr>
          <w:rFonts w:cstheme="minorHAnsi"/>
          <w:szCs w:val="18"/>
        </w:rPr>
      </w:pPr>
      <w:r>
        <w:rPr>
          <w:rFonts w:cstheme="minorHAnsi"/>
          <w:b/>
          <w:lang w:val="en-GB"/>
        </w:rPr>
        <w:t xml:space="preserve">Figure 1. </w:t>
      </w:r>
      <w:r>
        <w:rPr>
          <w:lang w:val="en-GB"/>
        </w:rPr>
        <w:t>S</w:t>
      </w:r>
      <w:proofErr w:type="spellStart"/>
      <w:r>
        <w:t>tudy</w:t>
      </w:r>
      <w:proofErr w:type="spellEnd"/>
      <w:r>
        <w:t xml:space="preserve"> area showing grid coverage with available REVEALS-based reconstruction of land-cover. Grid</w:t>
      </w:r>
      <w:r>
        <w:rPr>
          <w:rFonts w:cstheme="minorHAnsi"/>
          <w:szCs w:val="18"/>
          <w:lang w:val="en-GB"/>
        </w:rPr>
        <w:t xml:space="preserve">-cell reliability depends on the number and type of pollen records for the </w:t>
      </w:r>
      <w:proofErr w:type="gramStart"/>
      <w:r>
        <w:rPr>
          <w:rFonts w:cstheme="minorHAnsi"/>
          <w:szCs w:val="18"/>
          <w:lang w:val="en-GB"/>
        </w:rPr>
        <w:t>25 time</w:t>
      </w:r>
      <w:proofErr w:type="gramEnd"/>
      <w:r>
        <w:rPr>
          <w:rFonts w:cstheme="minorHAnsi"/>
          <w:szCs w:val="18"/>
          <w:lang w:val="en-GB"/>
        </w:rPr>
        <w:t xml:space="preserve"> windows (TWs)</w:t>
      </w:r>
      <w:r>
        <w:rPr>
          <w:rFonts w:cstheme="minorHAnsi"/>
          <w:sz w:val="20"/>
          <w:lang w:val="en-GB"/>
        </w:rPr>
        <w:t xml:space="preserve">. </w:t>
      </w:r>
      <w:r>
        <w:t>Reliable: ≥1 large lake(s), ≥2 small lake(s) and/or small bog(s), mix of ≥1 large lake(s) and ≥1 small lake(s) and/or small bog(s); less reliable: 1 bog (large or small) or 1 small lake</w:t>
      </w:r>
      <w:r>
        <w:rPr>
          <w:sz w:val="20"/>
          <w:lang w:val="en-GB"/>
        </w:rPr>
        <w:t>.</w:t>
      </w:r>
      <w:r>
        <w:rPr>
          <w:rFonts w:cstheme="minorHAnsi"/>
          <w:sz w:val="20"/>
          <w:lang w:val="en-GB"/>
        </w:rPr>
        <w:t xml:space="preserve"> </w:t>
      </w:r>
      <w:r>
        <w:rPr>
          <w:rFonts w:cstheme="minorHAnsi"/>
          <w:szCs w:val="18"/>
          <w:lang w:val="en-GB"/>
        </w:rPr>
        <w:t>Grey grid cells: less reliable results for all TWs</w:t>
      </w:r>
      <w:r>
        <w:rPr>
          <w:rFonts w:cstheme="minorHAnsi"/>
          <w:color w:val="0D0D0D" w:themeColor="text1" w:themeTint="F2"/>
          <w:szCs w:val="18"/>
          <w:lang w:val="en-GB"/>
        </w:rPr>
        <w:t xml:space="preserve">. </w:t>
      </w:r>
      <w:proofErr w:type="spellStart"/>
      <w:r>
        <w:rPr>
          <w:rFonts w:cstheme="minorHAnsi"/>
          <w:color w:val="0D0D0D" w:themeColor="text1" w:themeTint="F2"/>
          <w:szCs w:val="18"/>
        </w:rPr>
        <w:t>Colour</w:t>
      </w:r>
      <w:proofErr w:type="spellEnd"/>
      <w:r>
        <w:rPr>
          <w:rFonts w:cstheme="minorHAnsi"/>
          <w:color w:val="0D0D0D" w:themeColor="text1" w:themeTint="F2"/>
          <w:szCs w:val="18"/>
        </w:rPr>
        <w:t xml:space="preserve"> </w:t>
      </w:r>
      <w:r>
        <w:rPr>
          <w:rFonts w:cstheme="minorHAnsi"/>
          <w:szCs w:val="18"/>
        </w:rPr>
        <w:t>indicate, for each grid cell, the % of the total number of TWs with reliable REVEALS reconstructions of plant cover. For instance, light yellow grid cells imply that reconstructions are reliable for 8–21% of the TWs, while they are less reliable for 79–92% of the TWs; and dark green grid cells indicate that reconstructions are reliable for 98–100% of the TWs, while they are less reliable for 0–2% of the TWs.</w:t>
      </w:r>
    </w:p>
    <w:p w14:paraId="735ABFFF" w14:textId="77777777" w:rsidR="004653D0" w:rsidRDefault="004653D0" w:rsidP="004653D0">
      <w:pPr>
        <w:pStyle w:val="MDPI31text"/>
        <w:rPr>
          <w:lang w:val="en-GB"/>
        </w:rPr>
      </w:pPr>
      <w:r>
        <w:rPr>
          <w:lang w:val="en-GB"/>
        </w:rPr>
        <w:t xml:space="preserve">The specific aims of this paper are: (1) to improve the accuracy and reliability of REVEALS estimates across all of Europe through significantly increasing the number of pollen records used for the reconstruction (particularly in the Mediterranean region); (2) to explore how three different RPP-means datasets impact the model output; (3) to identify the geographical location of the differences between the three REVEALS reconstructions  and which plant taxa may explain these differences; and (4) to determine which RPP-means dataset is best to use, by validating REVEALS estimates against recent vegetation cover across Europe. </w:t>
      </w:r>
    </w:p>
    <w:p w14:paraId="7B8483F5" w14:textId="77777777" w:rsidR="004653D0" w:rsidRDefault="004653D0" w:rsidP="004653D0">
      <w:pPr>
        <w:pStyle w:val="MDPI31text"/>
        <w:rPr>
          <w:rFonts w:eastAsiaTheme="minorEastAsia"/>
          <w:lang w:val="en-GB" w:eastAsia="zh-CN"/>
        </w:rPr>
      </w:pPr>
      <w:r>
        <w:rPr>
          <w:lang w:val="en-GB"/>
        </w:rPr>
        <w:t xml:space="preserve">Due to the large number of abbreviations in the paper, and </w:t>
      </w:r>
      <w:proofErr w:type="gramStart"/>
      <w:r>
        <w:rPr>
          <w:lang w:val="en-GB"/>
        </w:rPr>
        <w:t>in order to</w:t>
      </w:r>
      <w:proofErr w:type="gramEnd"/>
      <w:r>
        <w:rPr>
          <w:lang w:val="en-GB"/>
        </w:rPr>
        <w:t xml:space="preserve"> facilitate reading, a glossary is provided in Supplementary Materials.</w:t>
      </w:r>
    </w:p>
    <w:p w14:paraId="25C7449E" w14:textId="77777777" w:rsidR="004653D0" w:rsidRDefault="004653D0" w:rsidP="004653D0">
      <w:pPr>
        <w:pStyle w:val="MDPI21heading1"/>
        <w:rPr>
          <w:lang w:val="en-GB"/>
        </w:rPr>
      </w:pPr>
      <w:r>
        <w:rPr>
          <w:lang w:val="en-GB"/>
        </w:rPr>
        <w:t>2. Methods</w:t>
      </w:r>
    </w:p>
    <w:p w14:paraId="68A0298D" w14:textId="77777777" w:rsidR="004653D0" w:rsidRDefault="004653D0" w:rsidP="004653D0">
      <w:pPr>
        <w:pStyle w:val="MDPI22heading2"/>
        <w:rPr>
          <w:lang w:val="en-GB"/>
        </w:rPr>
      </w:pPr>
      <w:r>
        <w:rPr>
          <w:lang w:val="en-GB"/>
        </w:rPr>
        <w:t>2.1. The REVEALS Model</w:t>
      </w:r>
    </w:p>
    <w:p w14:paraId="6367035A" w14:textId="77777777" w:rsidR="004653D0" w:rsidRDefault="004653D0" w:rsidP="004653D0">
      <w:pPr>
        <w:pStyle w:val="MDPI31text"/>
      </w:pPr>
      <w:r>
        <w:rPr>
          <w:lang w:val="en-GB"/>
        </w:rPr>
        <w:t xml:space="preserve">REVEALS, a generalized form of the R-value model </w:t>
      </w:r>
      <w:r>
        <w:rPr>
          <w:rStyle w:val="FootnoteReference"/>
          <w:rFonts w:cstheme="minorHAnsi"/>
          <w:color w:val="auto"/>
          <w:lang w:val="en-GB"/>
        </w:rPr>
        <w:fldChar w:fldCharType="begin" w:fldLock="1"/>
      </w:r>
      <w:r>
        <w:rPr>
          <w:lang w:val="en-GB"/>
        </w:rPr>
        <w:instrText>ADDIN CSL_CITATION {"citationItems":[{"id":"ITEM-1","itemData":{"DOI":"10.2475/ajs.261.10.897","ISSN":"0002-9599","author":[{"dropping-particle":"","family":"Davis","given":"M. B.","non-dropping-particle":"","parse-names":false,"suffix":""}],"container-title":"American Journal of Science","id":"ITEM-1","issue":"10","issued":{"date-parts":[["1963","12","1"]]},"page":"897-912","title":"On the theory of pollen analysis","type":"article-journal","volume":"261"},"uris":["http://www.mendeley.com/documents/?uuid=ac0f4e05-0bf4-3241-a335-d8d8c88f32bc"]}],"mendeley":{"formattedCitation":"&lt;sup&gt;[37]&lt;/sup&gt;","manualFormatting":"[38]","plainTextFormattedCitation":"[37]","previouslyFormattedCitation":"(Davis, 1963)"},"properties":{"noteIndex":0},"schema":"https://github.com/citation-style-language/schema/raw/master/csl-citation.json"}</w:instrText>
      </w:r>
      <w:r>
        <w:rPr>
          <w:rStyle w:val="FootnoteReference"/>
          <w:rFonts w:cstheme="minorHAnsi"/>
          <w:color w:val="auto"/>
          <w:lang w:val="en-GB"/>
        </w:rPr>
        <w:fldChar w:fldCharType="separate"/>
      </w:r>
      <w:r>
        <w:rPr>
          <w:noProof/>
          <w:lang w:val="en-GB"/>
        </w:rPr>
        <w:t>[38]</w:t>
      </w:r>
      <w:r>
        <w:rPr>
          <w:rStyle w:val="FootnoteReference"/>
          <w:rFonts w:cstheme="minorHAnsi"/>
          <w:color w:val="auto"/>
          <w:lang w:val="en-GB"/>
        </w:rPr>
        <w:fldChar w:fldCharType="end"/>
      </w:r>
      <w:r>
        <w:rPr>
          <w:lang w:val="en-GB"/>
        </w:rPr>
        <w:t xml:space="preserve">, estimates past regional vegetation abundance using fossil pollen counts from large sites </w:t>
      </w:r>
      <w:r>
        <w:rPr>
          <w:rStyle w:val="FootnoteReference"/>
          <w:rFonts w:cstheme="minorHAnsi"/>
          <w:color w:val="auto"/>
          <w:lang w:val="en-GB"/>
        </w:rPr>
        <w:fldChar w:fldCharType="begin" w:fldLock="1"/>
      </w:r>
      <w:r>
        <w:rPr>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8844359a-85f2-4f77-9886-de6fdfdf9daa"]}],"mendeley":{"formattedCitation":"&lt;sup&gt;[24]&lt;/sup&gt;","manualFormatting":"[27]","plainTextFormattedCitation":"[24]","previouslyFormattedCitation":"(Sugita, 2007a)"},"properties":{"noteIndex":0},"schema":"https://github.com/citation-style-language/schema/raw/master/csl-citation.json"}</w:instrText>
      </w:r>
      <w:r>
        <w:rPr>
          <w:rStyle w:val="FootnoteReference"/>
          <w:rFonts w:cstheme="minorHAnsi"/>
          <w:color w:val="auto"/>
          <w:lang w:val="en-GB"/>
        </w:rPr>
        <w:fldChar w:fldCharType="separate"/>
      </w:r>
      <w:r>
        <w:rPr>
          <w:noProof/>
          <w:lang w:val="en-GB"/>
        </w:rPr>
        <w:t>[27]</w:t>
      </w:r>
      <w:r>
        <w:rPr>
          <w:rStyle w:val="FootnoteReference"/>
          <w:rFonts w:cstheme="minorHAnsi"/>
          <w:color w:val="auto"/>
          <w:lang w:val="en-GB"/>
        </w:rPr>
        <w:fldChar w:fldCharType="end"/>
      </w:r>
      <w:r>
        <w:rPr>
          <w:lang w:val="en-GB"/>
        </w:rPr>
        <w:t xml:space="preserve"> and expresses the regional vegetation composition as “the ratio of the pollen counts of each taxon weighted by its pollen productivity and dispersal term to the total sum of those for all </w:t>
      </w:r>
      <w:r>
        <w:t xml:space="preserve">taxa” </w:t>
      </w:r>
      <w:r>
        <w:rPr>
          <w:rStyle w:val="FootnoteReference"/>
          <w:rFonts w:cstheme="minorHAnsi"/>
          <w:color w:val="auto"/>
        </w:rPr>
        <w:fldChar w:fldCharType="begin" w:fldLock="1"/>
      </w:r>
      <w:r>
        <w:instrText>ADDIN CSL_CITATION {"citationItems":[{"id":"ITEM-1","itemData":{"DOI":"10.1016/J.YQRES.2010.07.008","ISSN":"0033-5894","abstract":"The Landscape Reconstruction Algorithm (LRA) overcomes some of the fundamental problems in pollen analysis for quantitative reconstruction of vegetation. LRA first uses the REVEALS model to estimate regional vegetation using pollen data from large sites and then the LOVE model to estimate vegetation composition within the relevant source area of pollen (RSAP) at small sites by subtracting the background pollen estimated from the regional vegetation composition. This study tests LRA using training data from forest hollows in northern Michigan (35 sites) and northwestern Wisconsin (43 sites). In northern Michigan, surface pollen from 152-ha and 332-ha lakes is used for REVEALS. Because of the lack of pollen data from large lakes in northwestern Wisconsin, we use pollen from 21 hollows randomly selected from the 43 sites for REVEALS. RSAP indirectly estimated by LRA is comparable to the expected value in each region. A regression analysis and permutation test validate that the LRA-based vegetation reconstruction is significantly more accurate than pollen percentages alone in both regions. Even though the site selection in northwestern Wisconsin is not ideal, the results are robust. The LRA is a significant step forward in quantitative reconstruction of vegetation.","author":[{"dropping-particle":"","family":"Sugita","given":"Shinya","non-dropping-particle":"","parse-names":false,"suffix":""},{"dropping-particle":"","family":"Parshall","given":"Tim","non-dropping-particle":"","parse-names":false,"suffix":""},{"dropping-particle":"","family":"Calcote","given":"Randy","non-dropping-particle":"","parse-names":false,"suffix":""},{"dropping-particle":"","family":"Walker","given":"Karen","non-dropping-particle":"","parse-names":false,"suffix":""}],"container-title":"Quaternary Research","id":"ITEM-1","issue":"2","issued":{"date-parts":[["2010","9"]]},"page":"289-300","publisher":"Cambridge University Press","title":"Testing the Landscape Reconstruction Algorithm for spatially explicit reconstruction of vegetation in northern Michigan and Wisconsin","type":"article-journal","volume":"74"},"uris":["http://www.mendeley.com/documents/?uuid=a0a3eeaa-9515-3478-93f4-b0ff5e122cd3"]}],"mendeley":{"formattedCitation":"&lt;sup&gt;[38]&lt;/sup&gt;","manualFormatting":"[39]","plainTextFormattedCitation":"[38]","previouslyFormattedCitation":"(Sugita et al., 2010b)"},"properties":{"noteIndex":0},"schema":"https://github.com/citation-style-language/schema/raw/master/csl-citation.json"}</w:instrText>
      </w:r>
      <w:r>
        <w:rPr>
          <w:rStyle w:val="FootnoteReference"/>
          <w:rFonts w:cstheme="minorHAnsi"/>
          <w:color w:val="auto"/>
        </w:rPr>
        <w:fldChar w:fldCharType="separate"/>
      </w:r>
      <w:r>
        <w:rPr>
          <w:bCs/>
          <w:noProof/>
        </w:rPr>
        <w:t>[39]</w:t>
      </w:r>
      <w:r>
        <w:rPr>
          <w:rStyle w:val="FootnoteReference"/>
          <w:rFonts w:cstheme="minorHAnsi"/>
          <w:color w:val="auto"/>
        </w:rPr>
        <w:fldChar w:fldCharType="end"/>
      </w:r>
      <w:r>
        <w:t xml:space="preserve">. REVEALS and its assumptions are described in detail in </w:t>
      </w:r>
      <w:r>
        <w:rPr>
          <w:rStyle w:val="FootnoteReference"/>
          <w:rFonts w:cstheme="minorHAnsi"/>
          <w:color w:val="auto"/>
        </w:rPr>
        <w:fldChar w:fldCharType="begin" w:fldLock="1"/>
      </w:r>
      <w:r>
        <w:instrText>ADDIN CSL_CITATION {"citationItems":[{"id":"ITEM-1","itemData":{"DOI":"10.1191/0959683604hl713rp","ISSN":"09596836","abstract":"Pollen productivity estimates (PPE) are one of the critical parameters for a quantitative reconstruction of past vegetation from fossil pollen records. Modern pollen and vegetation data were collected in traditional landscapes of southern Sweden to derive PPE for the most characteristic plant taxa. The 42 selected sites are assumed to be good analogues of historical to prehistorical grasslands. A sampling method of vegetation, designed to produce plant abundance data in different distance classes, allowed the use of distance-weighted plant abundance around the surface pollen sites. PPE for 11 herb taxa and Juniperus communis were estimated by extended R-value (ERV) models, using the distance-weighted plant abundance and surface pollen data. Results using three ERV submodels, data sets from open and semi-open landscapes, and two distance-weighting methods are generally consistent. The herb taxa analysed have higher PPE than Poaceae except Cyperaceae and Compositae (sub-family) Cichorioideae. Calluna vulgaris, Rumex acetosa type, Juniperus communis and Plantago lanceolata have the highest PPE. Most of the common tree taxa in the region produce 6-8 times as much pollen per unit area as Poaceae. The present set of PPE covers most of the common herb taxa of northwest Europe and will be useful for simulating pollen dispersal and deposition in heterogeneous landscapes of open and forested vegetation, which will help in future research project design and in the interpretation of fossil data.","author":[{"dropping-particle":"","family":"Broström","given":"Anna","non-dropping-particle":"","parse-names":false,"suffix":""},{"dropping-particle":"","family":"Sugita","given":"Shinya","non-dropping-particle":"","parse-names":false,"suffix":""},{"dropping-particle":"","family":"Gaillard","given":"Marie José","non-dropping-particle":"","parse-names":false,"suffix":""}],"container-title":"Holocene","id":"ITEM-1","issue":"3","issued":{"date-parts":[["2004","5"]]},"page":"368-381","title":"Pollen productivity estimates for the reconstruction of past vegetation cover in the cultural landscape of southern Sweden","type":"article-journal","volume":"14"},"uris":["http://www.mendeley.com/documents/?uuid=666c02eb-913c-3d94-85c3-6c7ef256255f"]},{"id":"ITEM-2","itemData":{"DOI":"10.1016/j.quascirev.2013.10.006","ISSN":"02773791","abstract":"1. Quantitative reconstruction of past vegetation distribution and abundance from sedimentary pollen records provides an important baseline for understanding long term ecosystem dynamics and for the calibration of earth system process models such as regional-scale climate models, widely used to predict future environmental change. Most current approaches assume that the amount of pollen produced by each vegetation type, usually expressed as a relative pollen productivity term, is constant in space and time.2. Estimates of relative pollen productivity can be extracted from extended R-value analysis (Parsons and Prentice, 1981) using comparisons between pollen assemblages deposited into sedimentary contexts, such as moss polsters, and measurements of the present day vegetation cover around the sampled location. Vegetation survey method has been shown to have a profound effect on estimates of model parameters (Bunting and Hjelle, 2010), therefore a standard method is an essential pre-requisite for testing some of the key assumptions of pollen-based reconstruction of past vegetation; such as the assumption that relative pollen productivity is effectively constant in space and time within a region or biome.3. This paper systematically reviews the assumptions and methodology underlying current models of pollen dispersal and deposition, and thereby identifies the key characteristics of an effective vegetation survey method for estimating relative pollen productivity in a range of landscape contexts.4. It then presents the methodology used in a current research project, developed during a practitioner workshop. The method selected is pragmatic, designed to be replicable by different research groups, usable in a wide range of habitats, and requiring minimum effort to collect adequate data for model calibration rather than representing some ideal or required approach. Using this common methodology will allow project members to collect multiple measurements of relative pollen productivity for major plant taxa from several northern European locations in order to test the assumption of uniformity of these values within the climatic range of the main taxa recorded in pollen records from the region. © 2013 Elsevier Ltd.","author":[{"dropping-particle":"","family":"Bunting","given":"M. J.","non-dropping-particle":"","parse-names":false,"suffix":""},{"dropping-particle":"","family":"Farrell","given":"M.","non-dropping-particle":"","parse-names":false,"suffix":""},{"dropping-particle":"","family":"Broström","given":"A.","non-dropping-particle":"","parse-names":false,"suffix":""},{"dropping-particle":"","family":"Hjelle","given":"K. L.","non-dropping-particle":"","parse-names":false,"suffix":""},{"dropping-particle":"","family":"Mazier","given":"F.","non-dropping-particle":"","parse-names":false,"suffix":""},{"dropping-particle":"","family":"Middleton","given":"R.","non-dropping-particle":"","parse-names":false,"suffix":""},{"dropping-particle":"","family":"Nielsen","given":"A. B.","non-dropping-particle":"","parse-names":false,"suffix":""},{"dropping-particle":"","family":"Rushton","given":"E.","non-dropping-particle":"","parse-names":false,"suffix":""},{"dropping-particle":"","family":"Shaw","given":"H.","non-dropping-particle":"","parse-names":false,"suffix":""},{"dropping-particle":"","family":"Twiddle","given":"C. L.","non-dropping-particle":"","parse-names":false,"suffix":""}],"container-title":"Quaternary Science Reviews","id":"ITEM-2","issued":{"date-parts":[["2013"]]},"page":"41-55","publisher":"Elsevier Ltd","title":"Palynological perspectives on vegetation survey: A critical step for model-based reconstruction of Quaternary land cover","type":"article-journal","volume":"82"},"uris":["http://www.mendeley.com/documents/?uuid=3a302ac7-985a-43f5-b3ba-e666c6d5a062"]},{"id":"ITEM-3","itemData":{"DOI":"10.1006/QRES.1993.1027","ISSN":"0033-5894","abstract":"A model of pollen deposition on the surface of an entire basin is developed to estimate pollen source area, and results are compared with those for a point at the center of a basin (I. C. Prentice, 1985, Quaternary Research 23, 76-86; 1988, \"Vegetation History,\" (pp. 17-42, Kluwer Academic). This model is more appropriate for approximating the source area of pollen in lake sediment, since mixing in lake water and focusing of sediment redistribute pollen originally deposited over the entire surface. In general, the pollen source radius for the entire basin surface is 10-30% smaller than the source radius for a point at the center; the difference in the source radius is more profound for heavier pollen types such as spruce and sugar maple than for lighter types such as oak and ragweed. The average pollen input to the entire surface is more strongly influenced by nearby pollen sources than pollen deposition at the center. The pollen record from a lake may therefore provide different spatial resolution than the record from a bog of similar radius. © 1993 by Academic Press, Inc.","author":[{"dropping-particle":"","family":"Sugita","given":"Shinya","non-dropping-particle":"","parse-names":false,"suffix":""}],"container-title":"Quaternary Research","id":"ITEM-3","issue":"2","issued":{"date-parts":[["1993","3","1"]]},"page":"239-244","publisher":"No longer published by Elsevier","title":"A Model of Pollen Source Area for an Entire Lake Surface","type":"article-journal","volume":"39"},"uris":["http://www.mendeley.com/documents/?uuid=2d14a995-9fb8-33e5-9afc-13c127b6eabb"]},{"id":"ITEM-4","itemData":{"DOI":"10.1177/0959683607075837","ISBN":"0959683607","ISSN":"09596836","abstract":"Quantitative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Publications.","author":[{"dropping-particle":"","family":"Sugita","given":"Shinya","non-dropping-particle":"","parse-names":false,"suffix":""}],"container-title":"Holocene","id":"ITEM-4","issue":"2","issued":{"date-parts":[["2007"]]},"page":"229-241","title":"Theory of quantitative reconstruction of vegetation I: Pollen from large sites REVEALS regional vegetation composition","type":"article-journal","volume":"17"},"uris":["http://www.mendeley.com/documents/?uuid=8844359a-85f2-4f77-9886-de6fdfdf9daa"]}],"mendeley":{"formattedCitation":"&lt;sup&gt;[24, 39–41]&lt;/sup&gt;","manualFormatting":"[27]","plainTextFormattedCitation":"[24, 39–41]","previouslyFormattedCitation":"(Broström et al., 2004; Bunting et al., 2013; Sugita, 1993, 2007a)"},"properties":{"noteIndex":0},"schema":"https://github.com/citation-style-language/schema/raw/master/csl-citation.json"}</w:instrText>
      </w:r>
      <w:r>
        <w:rPr>
          <w:rStyle w:val="FootnoteReference"/>
          <w:rFonts w:cstheme="minorHAnsi"/>
          <w:color w:val="auto"/>
        </w:rPr>
        <w:fldChar w:fldCharType="separate"/>
      </w:r>
      <w:r>
        <w:rPr>
          <w:bCs/>
          <w:noProof/>
        </w:rPr>
        <w:t>[27]</w:t>
      </w:r>
      <w:r>
        <w:rPr>
          <w:rStyle w:val="FootnoteReference"/>
          <w:rFonts w:cstheme="minorHAnsi"/>
          <w:color w:val="auto"/>
        </w:rPr>
        <w:fldChar w:fldCharType="end"/>
      </w:r>
      <w:r>
        <w:rPr>
          <w:bCs/>
        </w:rPr>
        <w:t xml:space="preserve">. </w:t>
      </w:r>
      <w:r>
        <w:t xml:space="preserve">Here we briefly list the main </w:t>
      </w:r>
      <w:r>
        <w:lastRenderedPageBreak/>
        <w:t xml:space="preserve">assumptions: </w:t>
      </w:r>
      <w:r>
        <w:rPr>
          <w:lang w:val="en-GB"/>
        </w:rPr>
        <w:t xml:space="preserve">(1) the major agent of pollen transport is wind, and wind direction is even in all directions; (2) the site shape is circular; (3) </w:t>
      </w:r>
      <w:r>
        <w:t>no source plants for pollen grow on the basin surface</w:t>
      </w:r>
      <w:r>
        <w:rPr>
          <w:lang w:val="en-GB"/>
        </w:rPr>
        <w:t xml:space="preserve">; (4) relative pollen productivities are constant through time and space </w:t>
      </w:r>
      <w:r>
        <w:rPr>
          <w:rStyle w:val="FootnoteReference"/>
          <w:rFonts w:cstheme="minorHAnsi"/>
          <w:color w:val="auto"/>
          <w:lang w:val="en-GB"/>
        </w:rPr>
        <w:fldChar w:fldCharType="begin" w:fldLock="1"/>
      </w:r>
      <w:r>
        <w:rPr>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d0d3fc05-82ae-4fdc-8fb9-770061f8957b"]}],"mendeley":{"formattedCitation":"&lt;sup&gt;[24]&lt;/sup&gt;","manualFormatting":"[27]","plainTextFormattedCitation":"[24]","previouslyFormattedCitation":"(Sugita, 2007a)"},"properties":{"noteIndex":0},"schema":"https://github.com/citation-style-language/schema/raw/master/csl-citation.json"}</w:instrText>
      </w:r>
      <w:r>
        <w:rPr>
          <w:rStyle w:val="FootnoteReference"/>
          <w:rFonts w:cstheme="minorHAnsi"/>
          <w:color w:val="auto"/>
          <w:lang w:val="en-GB"/>
        </w:rPr>
        <w:fldChar w:fldCharType="separate"/>
      </w:r>
      <w:r>
        <w:rPr>
          <w:noProof/>
          <w:lang w:val="en-GB"/>
        </w:rPr>
        <w:t>[27]</w:t>
      </w:r>
      <w:r>
        <w:rPr>
          <w:rStyle w:val="FootnoteReference"/>
          <w:rFonts w:cstheme="minorHAnsi"/>
          <w:color w:val="auto"/>
          <w:lang w:val="en-GB"/>
        </w:rPr>
        <w:fldChar w:fldCharType="end"/>
      </w:r>
      <w:r>
        <w:rPr>
          <w:lang w:val="en-GB"/>
        </w:rPr>
        <w:t>.</w:t>
      </w:r>
    </w:p>
    <w:p w14:paraId="01F87A93" w14:textId="77777777" w:rsidR="004653D0" w:rsidRDefault="004653D0" w:rsidP="004653D0">
      <w:pPr>
        <w:pStyle w:val="MDPI31text"/>
        <w:rPr>
          <w:lang w:val="en-GB"/>
        </w:rPr>
      </w:pPr>
      <w:r>
        <w:rPr>
          <w:lang w:val="en-GB"/>
        </w:rPr>
        <w:t xml:space="preserve">REVEALS was developed for pollen records from large lakes (&gt;50–100 ha) </w:t>
      </w:r>
      <w:r>
        <w:rPr>
          <w:rStyle w:val="FootnoteReference"/>
          <w:rFonts w:cstheme="minorHAnsi"/>
          <w:color w:val="auto"/>
          <w:lang w:val="en-GB"/>
        </w:rPr>
        <w:fldChar w:fldCharType="begin" w:fldLock="1"/>
      </w:r>
      <w:r>
        <w:rPr>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d0d3fc05-82ae-4fdc-8fb9-770061f8957b"]}],"mendeley":{"formattedCitation":"&lt;sup&gt;[24]&lt;/sup&gt;","manualFormatting":"[27]","plainTextFormattedCitation":"[24]","previouslyFormattedCitation":"(Sugita, 2007a)"},"properties":{"noteIndex":0},"schema":"https://github.com/citation-style-language/schema/raw/master/csl-citation.json"}</w:instrText>
      </w:r>
      <w:r>
        <w:rPr>
          <w:rStyle w:val="FootnoteReference"/>
          <w:rFonts w:cstheme="minorHAnsi"/>
          <w:color w:val="auto"/>
          <w:lang w:val="en-GB"/>
        </w:rPr>
        <w:fldChar w:fldCharType="separate"/>
      </w:r>
      <w:r>
        <w:rPr>
          <w:noProof/>
          <w:lang w:val="en-GB"/>
        </w:rPr>
        <w:t>[27]</w:t>
      </w:r>
      <w:r>
        <w:rPr>
          <w:rStyle w:val="FootnoteReference"/>
          <w:rFonts w:cstheme="minorHAnsi"/>
          <w:color w:val="auto"/>
          <w:lang w:val="en-GB"/>
        </w:rPr>
        <w:fldChar w:fldCharType="end"/>
      </w:r>
      <w:r>
        <w:rPr>
          <w:lang w:val="en-GB"/>
        </w:rPr>
        <w:t xml:space="preserve">. Several empirical studies tested its performance </w:t>
      </w:r>
      <w:r>
        <w:t xml:space="preserve">using pollen counts from multiple small-sized sites, showing that </w:t>
      </w:r>
      <w:r>
        <w:rPr>
          <w:lang w:val="en-GB"/>
        </w:rPr>
        <w:t xml:space="preserve">REVEALS estimates based on pollen records from small lakes or bogs are similar to REVEALS estimates based on pollen records from large lakes </w:t>
      </w:r>
      <w:r>
        <w:rPr>
          <w:rStyle w:val="FootnoteReference"/>
          <w:rFonts w:cstheme="minorHAnsi"/>
          <w:color w:val="auto"/>
          <w:lang w:val="en-GB"/>
        </w:rPr>
        <w:fldChar w:fldCharType="begin" w:fldLock="1"/>
      </w:r>
      <w:r>
        <w:rPr>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Database","type":"article-journal","volume":"187"},"uris":["http://www.mendeley.com/documents/?uuid=eb9dc5e8-934f-4d38-bbbb-4a9c9354df1e"]},{"id":"ITEM-2","itemData":{"DOI":"10.1111/gcb.12737","ISSN":"13652486","PMID":"25204435","abstract":"We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Biology","id":"ITEM-2","issue":"2","issued":{"date-parts":[["2015"]]},"page":"676-697","title":"Pollen-based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modelling","type":"article-journal","volume":"21"},"uris":["http://www.mendeley.com/documents/?uuid=302a955a-cfbf-40c5-84f7-2e6a230f9fe0"]},{"id":"ITEM-3","itemData":{"DOI":"10.1016/J.QUASCIREV.2013.05.014","ISSN":"0277-3791","abstract":"The vegetation of Europe has undergone substantial changes during the course of the Holocene epoch, resulting from range expansion of plants following climate amelioration, competition between taxa and disturbance through anthropogenic activities. Much of the detail of this pattern is understood from decades of pollen analytical work across Europe, and this understanding has been used to address questions relating to vegetation-climate feedback, biogeography and human impact. Recent advances in modelling the relationship between pollen and vegetation now make it possible to transform pollen proportions into estimates of vegetation cover at both regional and local spatial scales, using the Landscape Reconstruction Algorithm (LRA), i.e. the REVEALS (Regional Estimates of VEgetation Abundance from Large Sites) and the LOVE (LOcal VEgetation) models. This paper presents the compilation and analysis of 73 pollen stratigraphies from the British Isles, to assess the application of the LRA and describe the pattern of landscape/woodland openness (i.e. the cover of low herb and bushy vegetation) through the Holocene. The results show that multiple small sites can be used as an effective replacement for a single large site for the reconstruction of regional vegetation cover. The REVEALS vegetation estimates imply that the British Isles had a greater degree of landscape/woodland openness at the regional scale than areas on the European mainland. There is considerable spatial bias in the British Isles dataset towards wetland areas and uplands, which may explain higher estimates of landscape openness compared with Europe. Where multiple estimates of regional vegetation are available from within the same region inter-regional differences are greater than intra-regional differences, supporting the use of the REVEALS model to the estimation of regional vegetation from pollen data. © 2013 Elsevier Ltd.","author":[{"dropping-particle":"","family":"Fyfe","given":"Ralph M.","non-dropping-particle":"","parse-names":false,"suffix":""},{"dropping-particle":"","family":"Twiddle","given":"Claire","non-dropping-particle":"","parse-names":false,"suffix":""},{"dropping-particle":"","family":"Sugita","given":"Shinya","non-dropping-particle":"","parse-names":false,"suffix":""},{"dropping-particle":"","family":"Gaillard","given":"Marie José","non-dropping-particle":"","parse-names":false,"suffix":""},{"dropping-particle":"","family":"Barratt","given":"Philip","non-dropping-particle":"","parse-names":false,"suffix":""},{"dropping-particle":"","family":"Caseldine","given":"Christopher J.","non-dropping-particle":"","parse-names":false,"suffix":""},{"dropping-particle":"","family":"Dodson","given":"John","non-dropping-particle":"","parse-names":false,"suffix":""},{"dropping-particle":"","family":"Edwards","given":"Kevin J.","non-dropping-particle":"","parse-names":false,"suffix":""},{"dropping-particle":"","family":"Farrell","given":"Michelle","non-dropping-particle":"","parse-names":false,"suffix":""},{"dropping-particle":"","family":"Froyd","given":"Cynthia","non-dropping-particle":"","parse-names":false,"suffix":""},{"dropping-particle":"","family":"Grant","given":"Michael J.","non-dropping-particle":"","parse-names":false,"suffix":""},{"dropping-particle":"","family":"Huckerby","given":"Elizabeth","non-dropping-particle":"","parse-names":false,"suffix":""},{"dropping-particle":"","family":"Innes","given":"James B.","non-dropping-particle":"","parse-names":false,"suffix":""},{"dropping-particle":"","family":"Shaw","given":"Helen","non-dropping-particle":"","parse-names":false,"suffix":""},{"dropping-particle":"","family":"Waller","given":"Martyn","non-dropping-particle":"","parse-names":false,"suffix":""}],"container-title":"Quaternary Science Reviews","id":"ITEM-3","issued":{"date-parts":[["2013","8","1"]]},"page":"132-148","publisher":"Pergamon","title":"The Holocene vegetation cover of Britain and Ireland: overcoming problems of scale and discerning patterns of openness","type":"article-journal","volume":"73"},"uris":["http://www.mendeley.com/documents/?uuid=a8f17ba9-b59a-352d-9663-5bc026ac5b4f"]}],"mendeley":{"formattedCitation":"&lt;sup&gt;[25–27]&lt;/sup&gt;","manualFormatting":"[28–30]","plainTextFormattedCitation":"[25–27]","previouslyFormattedCitation":"(Fyfe et al., 2013b; Mazier et al., 2012; Trondman et al., 2015a)"},"properties":{"noteIndex":0},"schema":"https://github.com/citation-style-language/schema/raw/master/csl-citation.json"}</w:instrText>
      </w:r>
      <w:r>
        <w:rPr>
          <w:rStyle w:val="FootnoteReference"/>
          <w:rFonts w:cstheme="minorHAnsi"/>
          <w:color w:val="auto"/>
          <w:lang w:val="en-GB"/>
        </w:rPr>
        <w:fldChar w:fldCharType="separate"/>
      </w:r>
      <w:r>
        <w:rPr>
          <w:noProof/>
        </w:rPr>
        <w:t>[28–30]</w:t>
      </w:r>
      <w:r>
        <w:rPr>
          <w:rStyle w:val="FootnoteReference"/>
          <w:rFonts w:cstheme="minorHAnsi"/>
          <w:color w:val="auto"/>
          <w:lang w:val="en-GB"/>
        </w:rPr>
        <w:fldChar w:fldCharType="end"/>
      </w:r>
      <w:r>
        <w:t xml:space="preserve">. </w:t>
      </w:r>
      <w:r>
        <w:rPr>
          <w:lang w:val="en-GB"/>
        </w:rPr>
        <w:t xml:space="preserve">In the absence of pollen records from large lakes, the larger the number of small sites (lakes or bogs), the better the REVEALS results. Simulations showed that increasing the number of pollen records significantly decreased the standard error of the REVEALS estimates </w:t>
      </w:r>
      <w:r>
        <w:rPr>
          <w:rStyle w:val="FootnoteReference"/>
          <w:rFonts w:cstheme="minorHAnsi"/>
          <w:color w:val="auto"/>
          <w:lang w:val="en-GB"/>
        </w:rPr>
        <w:fldChar w:fldCharType="begin" w:fldLock="1"/>
      </w:r>
      <w:r>
        <w:rPr>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7881646e-c868-425c-893d-354c61d81a9f"]}],"mendeley":{"formattedCitation":"&lt;sup&gt;[24]&lt;/sup&gt;","manualFormatting":"[27]","plainTextFormattedCitation":"[24]","previouslyFormattedCitation":"(Sugita, 2007a)"},"properties":{"noteIndex":0},"schema":"https://github.com/citation-style-language/schema/raw/master/csl-citation.json"}</w:instrText>
      </w:r>
      <w:r>
        <w:rPr>
          <w:rStyle w:val="FootnoteReference"/>
          <w:rFonts w:cstheme="minorHAnsi"/>
          <w:color w:val="auto"/>
          <w:lang w:val="en-GB"/>
        </w:rPr>
        <w:fldChar w:fldCharType="separate"/>
      </w:r>
      <w:r>
        <w:rPr>
          <w:noProof/>
          <w:lang w:val="en-GB"/>
        </w:rPr>
        <w:t>[27]</w:t>
      </w:r>
      <w:r>
        <w:rPr>
          <w:rStyle w:val="FootnoteReference"/>
          <w:rFonts w:cstheme="minorHAnsi"/>
          <w:color w:val="auto"/>
          <w:lang w:val="en-GB"/>
        </w:rPr>
        <w:fldChar w:fldCharType="end"/>
      </w:r>
      <w:r>
        <w:rPr>
          <w:lang w:val="en-GB"/>
        </w:rPr>
        <w:t>. However, bogs (large and small) violate one of the assumptions of the REVEALS model, i.e., “</w:t>
      </w:r>
      <w:r>
        <w:t>no source plants for pollen grow on the basin surface</w:t>
      </w:r>
      <w:r>
        <w:rPr>
          <w:lang w:val="en-GB"/>
        </w:rPr>
        <w:t xml:space="preserve">” </w:t>
      </w:r>
      <w:r>
        <w:rPr>
          <w:rStyle w:val="FootnoteReference"/>
          <w:rFonts w:cstheme="minorHAnsi"/>
          <w:color w:val="auto"/>
          <w:lang w:val="en-GB"/>
        </w:rPr>
        <w:fldChar w:fldCharType="begin" w:fldLock="1"/>
      </w:r>
      <w:r>
        <w:rPr>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7881646e-c868-425c-893d-354c61d81a9f"]}],"mendeley":{"formattedCitation":"&lt;sup&gt;[24]&lt;/sup&gt;","manualFormatting":"[27]","plainTextFormattedCitation":"[24]","previouslyFormattedCitation":"(Sugita, 2007a)"},"properties":{"noteIndex":0},"schema":"https://github.com/citation-style-language/schema/raw/master/csl-citation.json"}</w:instrText>
      </w:r>
      <w:r>
        <w:rPr>
          <w:rStyle w:val="FootnoteReference"/>
          <w:rFonts w:cstheme="minorHAnsi"/>
          <w:color w:val="auto"/>
          <w:lang w:val="en-GB"/>
        </w:rPr>
        <w:fldChar w:fldCharType="separate"/>
      </w:r>
      <w:r>
        <w:rPr>
          <w:noProof/>
          <w:lang w:val="en-GB"/>
        </w:rPr>
        <w:t>[27]</w:t>
      </w:r>
      <w:r>
        <w:rPr>
          <w:rStyle w:val="FootnoteReference"/>
          <w:rFonts w:cstheme="minorHAnsi"/>
          <w:color w:val="auto"/>
          <w:lang w:val="en-GB"/>
        </w:rPr>
        <w:fldChar w:fldCharType="end"/>
      </w:r>
      <w:r>
        <w:rPr>
          <w:lang w:val="en-GB"/>
        </w:rPr>
        <w:t xml:space="preserve">. Violation of this assumption has been shown to bias REVEALS results most significantly in the case of large bogs, while pollen records from multiple small bogs have been shown to produce REVEALS estimates that are similar to those from large lakes and can thus be used to provide reliable estimates of plant cover </w:t>
      </w:r>
      <w:r>
        <w:fldChar w:fldCharType="begin" w:fldLock="1"/>
      </w:r>
      <w:r>
        <w:rPr>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Database","type":"article-journal","volume":"187"},"uris":["http://www.mendeley.com/documents/?uuid=eb9dc5e8-934f-4d38-bbbb-4a9c9354df1e"]},{"id":"ITEM-2","itemData":{"DOI":"10.1111/gcb.12737","ISSN":"13652486","PMID":"25204435","abstract":"We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Biology","id":"ITEM-2","issue":"2","issued":{"date-parts":[["2015"]]},"page":"676-697","title":"Pollen-based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modelling","type":"article-journal","volume":"21"},"uris":["http://www.mendeley.com/documents/?uuid=302a955a-cfbf-40c5-84f7-2e6a230f9fe0"]},{"id":"ITEM-3","itemData":{"DOI":"10.1016/J.QUASCIREV.2013.05.014","ISSN":"0277-3791","abstract":"The vegetation of Europe has undergone substantial changes during the course of the Holocene epoch, resulting from range expansion of plants following climate amelioration, competition between taxa and disturbance through anthropogenic activities. Much of the detail of this pattern is understood from decades of pollen analytical work across Europe, and this understanding has been used to address questions relating to vegetation-climate feedback, biogeography and human impact. Recent advances in modelling the relationship between pollen and vegetation now make it possible to transform pollen proportions into estimates of vegetation cover at both regional and local spatial scales, using the Landscape Reconstruction Algorithm (LRA), i.e. the REVEALS (Regional Estimates of VEgetation Abundance from Large Sites) and the LOVE (LOcal VEgetation) models. This paper presents the compilation and analysis of 73 pollen stratigraphies from the British Isles, to assess the application of the LRA and describe the pattern of landscape/woodland openness (i.e. the cover of low herb and bushy vegetation) through the Holocene. The results show that multiple small sites can be used as an effective replacement for a single large site for the reconstruction of regional vegetation cover. The REVEALS vegetation estimates imply that the British Isles had a greater degree of landscape/woodland openness at the regional scale than areas on the European mainland. There is considerable spatial bias in the British Isles dataset towards wetland areas and uplands, which may explain higher estimates of landscape openness compared with Europe. Where multiple estimates of regional vegetation are available from within the same region inter-regional differences are greater than intra-regional differences, supporting the use of the REVEALS model to the estimation of regional vegetation from pollen data. © 2013 Elsevier Ltd.","author":[{"dropping-particle":"","family":"Fyfe","given":"Ralph M.","non-dropping-particle":"","parse-names":false,"suffix":""},{"dropping-particle":"","family":"Twiddle","given":"Claire","non-dropping-particle":"","parse-names":false,"suffix":""},{"dropping-particle":"","family":"Sugita","given":"Shinya","non-dropping-particle":"","parse-names":false,"suffix":""},{"dropping-particle":"","family":"Gaillard","given":"Marie José","non-dropping-particle":"","parse-names":false,"suffix":""},{"dropping-particle":"","family":"Barratt","given":"Philip","non-dropping-particle":"","parse-names":false,"suffix":""},{"dropping-particle":"","family":"Caseldine","given":"Christopher J.","non-dropping-particle":"","parse-names":false,"suffix":""},{"dropping-particle":"","family":"Dodson","given":"John","non-dropping-particle":"","parse-names":false,"suffix":""},{"dropping-particle":"","family":"Edwards","given":"Kevin J.","non-dropping-particle":"","parse-names":false,"suffix":""},{"dropping-particle":"","family":"Farrell","given":"Michelle","non-dropping-particle":"","parse-names":false,"suffix":""},{"dropping-particle":"","family":"Froyd","given":"Cynthia","non-dropping-particle":"","parse-names":false,"suffix":""},{"dropping-particle":"","family":"Grant","given":"Michael J.","non-dropping-particle":"","parse-names":false,"suffix":""},{"dropping-particle":"","family":"Huckerby","given":"Elizabeth","non-dropping-particle":"","parse-names":false,"suffix":""},{"dropping-particle":"","family":"Innes","given":"James B.","non-dropping-particle":"","parse-names":false,"suffix":""},{"dropping-particle":"","family":"Shaw","given":"Helen","non-dropping-particle":"","parse-names":false,"suffix":""},{"dropping-particle":"","family":"Waller","given":"Martyn","non-dropping-particle":"","parse-names":false,"suffix":""}],"container-title":"Quaternary Science Reviews","id":"ITEM-3","issued":{"date-parts":[["2013","8","1"]]},"page":"132-148","publisher":"Pergamon","title":"The Holocene vegetation cover of Britain and Ireland: overcoming problems of scale and discerning patterns of openness","type":"article-journal","volume":"73"},"uris":["http://www.mendeley.com/documents/?uuid=a8f17ba9-b59a-352d-9663-5bc026ac5b4f"]}],"mendeley":{"formattedCitation":"&lt;sup&gt;[25–27]&lt;/sup&gt;","manualFormatting":"[28,30]","plainTextFormattedCitation":"[25–27]","previouslyFormattedCitation":"(Fyfe et al., 2013b; Mazier et al., 2012; Trondman et al., 2015a)"},"properties":{"noteIndex":0},"schema":"https://github.com/citation-style-language/schema/raw/master/csl-citation.json"}</w:instrText>
      </w:r>
      <w:r>
        <w:fldChar w:fldCharType="separate"/>
      </w:r>
      <w:r>
        <w:rPr>
          <w:lang w:val="en-GB"/>
        </w:rPr>
        <w:t>[28,30]</w:t>
      </w:r>
      <w:r>
        <w:fldChar w:fldCharType="end"/>
      </w:r>
      <w:r>
        <w:rPr>
          <w:lang w:val="en-GB"/>
        </w:rPr>
        <w:t>. In Figure 1, we present a measure of the reliability of the REVEALS reconstructions presented in this paper. It is based on the number of sites (pollen records) and the type and size of sites used in each grid-based REVEALS estimate of plant cover and expressed in percentage of all 25 contiguous time-windows of the Holocene with reliable REVEALS reconstructions (see further details on this issue in the Discussion).</w:t>
      </w:r>
    </w:p>
    <w:p w14:paraId="34831BF1" w14:textId="77777777" w:rsidR="004653D0" w:rsidRDefault="004653D0" w:rsidP="004653D0">
      <w:pPr>
        <w:pStyle w:val="MDPI31text"/>
      </w:pPr>
      <w:r>
        <w:rPr>
          <w:lang w:val="en-GB"/>
        </w:rPr>
        <w:t xml:space="preserve">REVEALS accounts for inter-taxonomic differences in pollen productivity and dispersal proprieties as well as the size and type of sedimentary basins. Two major modelling schemes have been implemented in REVEALS to describe the dispersal and deposition of pollen grains in the air. Pollen dispersal is approximated either by a Gaussian plume model (GPM) of small particles from a ground-level source under various atmospheric conditions </w:t>
      </w:r>
      <w:r>
        <w:rPr>
          <w:lang w:val="en-GB"/>
        </w:rPr>
        <w:fldChar w:fldCharType="begin" w:fldLock="1"/>
      </w:r>
      <w:r>
        <w:rPr>
          <w:lang w:val="en-GB"/>
        </w:rPr>
        <w:instrText>ADDIN CSL_CITATION {"citationItems":[{"id":"ITEM-1","itemData":{"id":"ITEM-1","issued":{"date-parts":[["0"]]},"publisher":"Micrometeorology.","title":"Sutton, O.: Micrometeorology., Q. J. Roy. Meteor. Soc., 79, 457– 457, https://doi.org/10.1002/qj.49707934125, 1953.","type":"article"},"uris":["http://www.mendeley.com/documents/?uuid=0265c743-bec7-4cd1-99f4-843d1827dcd2"]},{"id":"ITEM-2","itemData":{"DOI":"10.1006/QRES.1993.1027","ISSN":"0033-5894","abstract":"A model of pollen deposition on the surface of an entire basin is developed to estimate pollen source area, and results are compared with those for a point at the center of a basin (I. C. Prentice, 1985, Quaternary Research 23, 76-86; 1988, \"Vegetation History,\" (pp. 17-42, Kluwer Academic). This model is more appropriate for approximating the source area of pollen in lake sediment, since mixing in lake water and focusing of sediment redistribute pollen originally deposited over the entire surface. In general, the pollen source radius for the entire basin surface is 10-30% smaller than the source radius for a point at the center; the difference in the source radius is more profound for heavier pollen types such as spruce and sugar maple than for lighter types such as oak and ragweed. The average pollen input to the entire surface is more strongly influenced by nearby pollen sources than pollen deposition at the center. The pollen record from a lake may therefore provide different spatial resolution than the record from a bog of similar radius. © 1993 by Academic Press, Inc.","author":[{"dropping-particle":"","family":"Sugita","given":"Shinya","non-dropping-particle":"","parse-names":false,"suffix":""}],"container-title":"Quaternary Research","id":"ITEM-2","issue":"2","issued":{"date-parts":[["1993","3","1"]]},"page":"239-244","publisher":"No longer published by Elsevier","title":"A Model of Pollen Source Area for an Entire Lake Surface","type":"article-journal","volume":"39"},"uris":["http://www.mendeley.com/documents/?uuid=2d14a995-9fb8-33e5-9afc-13c127b6eabb"]},{"id":"ITEM-3","itemData":{"DOI":"10.2307/2261452","ISSN":"00220477","abstract":"1 According to the Prentice-Sugita model, pollen loading (PL) is linearly related to the distance-weighted plant abundance (DWPA) surrounding a sedimentary basin. Since source trees of pollen far away from a basin have much less influence on pollen representation than source trees near a basin, the correlation between PL and D WPA should approach an asymptote as the vegetation sampling area increases. The 'relevant source area' for pollen can be defined as the area beyond which the correlation does not improve. 2 A simulation experiment using patchy vegetation landscapes illustrates this prin- ciple, demonstrating that r2 and likelihood function scores do not improve when vegetation sampling increases beyond certain distances. This suggests that very little additional information on the pollen-plant abundance relationship will be gained by a vegetation survey beyond the 'relevant' distance when data are collected from regions of similar vegetation type and spatial pattern. 3 The 'relevant' source area for pollen in lakes in the simulated landscapes is within 50-100 m from the lake edge for forest hollows (radius of hollow R = 2 m), 300- 400 m for small lakes (R = 50 m), and 600-800 m for medium size lakes (R = 250 m). Although only about 30-45% of total pollen loading comes from within these distances, the model demonstrates that when the background pollen is consistent, this proportion is adequate to reflect local vegetation composition. 4 The simulation results show that pollen data from large lakes (R = 750 m) show little site-to-site variation, especially for a species that grows in small patches (radii of 80 m in the simulated landscape). Linear regression and maximum likelihood methods therefore do not provide accurate estimations of pollen productivity and background pollen loading. Vegetation may appear homogeneous even when the actual pattern of vegetation is heterogeneous and patchy, depending on the size of lake relative to the size of patches. 5 The pollen-plant abundance data should be collected from regions with similar forest composition to determine the 'relevant' source area and the parameters of a linear relationship between PL and D WPA. Otherwise, either the linear regression or maximum likelihood methods provide inaccurate estimates of the relevant source area and parameters even when the simulation data with no sampling and counting errors are used","author":[{"dropping-particle":"","family":"Sugita","given":"Shinya","non-dropping-particle":"","parse-names":false,"suffix":""}],"container-title":"Journal of Ecology","id":"ITEM-3","issue":"4","issued":{"date-parts":[["1994","12"]]},"page":"881-897","publisher":"JSTOR","title":"Pollen representation of vegetation in Quaternary sediments: theory and method in patchy vegetation","type":"article-journal","volume":"82"},"uris":["http://www.mendeley.com/documents/?uuid=91df2575-f0cd-3a78-81a2-c2e09a59f7c3"]},{"id":"ITEM-4","itemData":{"DOI":"10.1007/978-94-009-3081-0_2","author":[{"dropping-particle":"","family":"Prentice","given":"Colin","non-dropping-particle":"","parse-names":false,"suffix":""}],"container-title":"Vegetation history","id":"ITEM-4","issued":{"date-parts":[["1988"]]},"page":"17-42","publisher":"Springer Netherlands","publisher-place":"Dordrecht","title":"Records of vegetation in time and space: the principles of pollen analysis","type":"chapter"},"uris":["http://www.mendeley.com/documents/?uuid=c4d6e132-23e1-36ad-a66b-c81cddabfd1b"]},{"id":"ITEM-5","itemData":{"DOI":"10.1016/0033-5894(85)90073-0","ISSN":"0033-5894","abstract":"The concepts of pollen source area and of production and dispersal biases in pollen representation are quantified by means of a simple theoretical model. Source areas and relative pollen representation are shown to depend on basin size according to functions that describe the amount of pollen remaining airborne at increasing distances from single pollen sources. The form of these functions is determined by physical processes. Standard formulas for elevated sources do not apply, but the integrated form of Sutton's equation for particle dispersal from a ground-level source gives useful approximations applicable to pollen transport over a forest canopy. Simulations using this equation yielded source areas that increased realistically with basin size, showed substantial differences between source areas for pollen grains with different deposition velocities, and predicted that lighter pollen grains should become better represented with increasing basin size. All of these predictions are qualitatively consistent with present knowledge of the characteristics of pollen assemblages in different depositional environments. The model further allows parameters that can be estimated by statistical calibration methods to be predicted from underlying physical quantities. This extension suggests procedures for testing the theory with quantitative data on surface pollen and forest composition. Preliminary results showed reasonable agreement between estimated and predicted values of dispersal indices for the most abundant taxa in pollen spectra from the northern midwestern United States. © 1985.","author":[{"dropping-particle":"","family":"Prentice","given":"I. Colin","non-dropping-particle":"","parse-names":false,"suffix":""}],"container-title":"Quaternary Research","id":"ITEM-5","issue":"1","issued":{"date-parts":[["1985","1","1"]]},"page":"76-86","publisher":"No longer published by Elsevier","title":"Pollen representation, source area, and basin size: Toward a unified theory of pollen analysis","type":"article-journal","volume":"23"},"uris":["http://www.mendeley.com/documents/?uuid=54b2c8a3-6baf-3433-bdce-811d5adf87c1"]}],"mendeley":{"formattedCitation":"&lt;sup&gt;[41–45]&lt;/sup&gt;","manualFormatting":"[40–45]","plainTextFormattedCitation":"[41–45]","previouslyFormattedCitation":"(C. Prentice, 1988; I. C. Prentice, 1985; Sugita, 1993, 1994; &lt;i&gt;Sutton, O.: Micrometeorology., Q. J. Roy. Meteor. Soc., 79, 457– 457, Https://Doi.Org/10.1002/Qj.49707934125, 1953.&lt;/i&gt;, n.d.)"},"properties":{"noteIndex":0},"schema":"https://github.com/citation-style-language/schema/raw/master/csl-citation.json"}</w:instrText>
      </w:r>
      <w:r>
        <w:rPr>
          <w:lang w:val="en-GB"/>
        </w:rPr>
        <w:fldChar w:fldCharType="separate"/>
      </w:r>
      <w:r>
        <w:rPr>
          <w:noProof/>
          <w:lang w:val="en-GB"/>
        </w:rPr>
        <w:t>[40–45]</w:t>
      </w:r>
      <w:r>
        <w:rPr>
          <w:lang w:val="en-GB"/>
        </w:rPr>
        <w:fldChar w:fldCharType="end"/>
      </w:r>
      <w:r>
        <w:rPr>
          <w:lang w:val="en-GB"/>
        </w:rPr>
        <w:t xml:space="preserve"> or by a </w:t>
      </w:r>
      <w:proofErr w:type="spellStart"/>
      <w:r>
        <w:rPr>
          <w:lang w:val="en-GB"/>
        </w:rPr>
        <w:t>Lagrangian</w:t>
      </w:r>
      <w:proofErr w:type="spellEnd"/>
      <w:r>
        <w:rPr>
          <w:lang w:val="en-GB"/>
        </w:rPr>
        <w:t xml:space="preserve"> stochastic model (LSM) under more realistic wind fields and atmospheric turbulence conditions </w:t>
      </w:r>
      <w:r>
        <w:rPr>
          <w:rStyle w:val="FootnoteReference"/>
          <w:rFonts w:cstheme="minorHAnsi"/>
          <w:color w:val="auto"/>
          <w:lang w:val="en-GB"/>
        </w:rPr>
        <w:fldChar w:fldCharType="begin" w:fldLock="1"/>
      </w:r>
      <w:r>
        <w:rPr>
          <w:lang w:val="en-GB"/>
        </w:rPr>
        <w:instrText>ADDIN CSL_CITATION {"citationItems":[{"id":"ITEM-1","itemData":{"DOI":"10.1016/j.ecolmodel.2007.05.023","ISSN":"03043800","abstract":"Dispersal of airborne spores, pollen and seeds is important for various ecological and biological processes, and therefore modeling tools are needed in order to predict the dispersal patterns of these particles. In this study, we use a Lagrangian stochastic (LS) modeling approach to describe airborne particles dispersal in the atmospheric boundary layer. The LS dispersal model is extended to include non-Gaussian turbulence in the upper parts of the atmospheric boundary layer, as well as the reduction of the autocorrelation time in trajectories due to the high terminal velocity of particles. The sensitivity of particle dispersal on biological and atmospheric factors is assessed by simulating dispersal patterns under varying environmental conditions. Similarly, the level of needed model complexity for describing the particle dispersal is examined. Our particle dispersal simulations suggest that the level of model complexity and accuracy needed in the description of biological and atmospheric factors depends on the particle size and the distance and time-scale over which the particle dispersal is monitored. More simplification is justified for light particles, whereas heavy particles require more accuracy in modeling. For example, we found out that the local dispersal of light particles is hardly affected by the atmospheric stability whereas it has a strong effect on the dispersal of heavy particles. Based on our simulations, we developed guidelines for modeling airborne particle dispersal. Together with the detailed description of the LS dispersion model and its parameterization throughout the atmospheric boundary layer, these can serve as basis for various particle dispersal studies and help ecologists and biologists not so familiar with meteorological modeling tools to apply the LS model for spore, pollen and seed dispersal. © 2007 Elsevier B.V. All rights reserved.","author":[{"dropping-particle":"","family":"Kuparinen","given":"Anna","non-dropping-particle":"","parse-names":false,"suffix":""},{"dropping-particle":"","family":"Markkanen","given":"Tiina","non-dropping-particle":"","parse-names":false,"suffix":""},{"dropping-particle":"","family":"Riikonen","given":"Hermanni","non-dropping-particle":"","parse-names":false,"suffix":""},{"dropping-particle":"","family":"Vesala","given":"Timo","non-dropping-particle":"","parse-names":false,"suffix":""}],"container-title":"Ecological Modelling","id":"ITEM-1","issue":"2-4","issued":{"date-parts":[["2007"]]},"page":"177-188","title":"Modeling air-mediated dispersal of spores, pollen and seeds in forested areas","type":"article-journal","volume":"208"},"uris":["http://www.mendeley.com/documents/?uuid=e88a7f8f-6cf4-4d5e-865a-6882f70c41e3"]},{"id":"ITEM-2","itemData":{"DOI":"10.1111/j.1502-3885.2011.00240.x","ISSN":"0300-9483","abstract":"In the north Atlantic region the final period of the last ice age saw abrupt shifts between near present-day warm and near ice age cold conditions, ending with the cold Younger Dryas. The effects of the cold periods may have been more severe in the vicinity of the Atlantic Ocean than in continental Europe. We use pollen percentage and influx data combined with data on substrate and relief to reconstruct spatially explicit vegetation composition, patterns and development during the Younger Dryas, with special focus on to the forest/non-forest transition across NE Germany. Opposing trends, such as birch pollen percentages sharply increasing but accumulation rates sharply decreasing northwards, underline pitfalls in the interpretation of pollen percentage data in tree-line situations. The combined approach reveals a sharp ecotone. Pine declined on northern sites, possibly because of permafrost formation, but was hardly affected in the south. Birch also declined in the south, possibly because of the severe winter cold. Cold-adapted trees did not enter forest gaps. The cooling had little impact on herbal vegetation. Steppe elements (grasses, Artemisia) were largely restricted to south-exposed slopes and did not benefit from the cooling-patches of steppe vegetation were even less abundant than during the preceding warm periods. The approach of combining fossil pollen data, including accumulation rates, with data on the contemporary distribution of substrate and relief allowed unprecedented spatial resolution to be reached in the reconstruction of Younger Dryas vegetation patterns.","author":[{"dropping-particle":"","family":"Theuerkauf","given":"Martin","non-dropping-particle":"","parse-names":false,"suffix":""},{"dropping-particle":"","family":"Joosten","given":"Hans","non-dropping-particle":"","parse-names":false,"suffix":""}],"container-title":"Boreas","id":"ITEM-2","issued":{"date-parts":[["2012"]]},"title":"Younger Dryas cold stage vegetation patterns of central Europe-climate, soil and relief controls","type":"article-journal","volume":"41"},"uris":["http://www.mendeley.com/documents/?uuid=3460e83f-d2a8-391c-9cbc-578b14467acb"]},{"id":"ITEM-3","itemData":{"DOI":"10.1007/S00334-016-0572-0","ISSN":"1617-6278","abstract":"The REVEALS model is applied in quantitative vegetation reconstruction to translate pollen percentage data from large lakes and peatlands into regional vegetation composition. The model was first presented in 2007 and has gained increasing attention. It is a core element of the Landcover 6k initiative within the PAGES project. The REVEALS model has two critical components: the pollen dispersal model and pollen productivity estimates (PPEs). To study the consequences of model settings, we implemented REVEALS in R. We use a state-of-the-art Lagrangian stochastic dispersal model (LSM) and compare model outcomes with calculations based on a conventional Gaussian plume dispersal model (GPM). In the LSM turbulence causes pollen fall speed to have little effect on the dispersal pattern whereas fall speed is a major factor in the GPM. Dispersal models are also used to derive PPEs. The unrealistic GPM produces PPEs that do not describe actual pollen productivity, but rather serve as a basin specific correction factor. A test with pollen and vegetation data from NE Germany shows that REVEALS performs best when applied with the LSM. REVEALS applications with the GPM can produce realistic results, but only if unrealistic PPEs are used. We discuss the derivation of PPEs and further REVEALS applications. Our REVEALS implementation is freely available as the ‘REVEALSinR’ function within the R package DISQOVER. REVEALSinR offers an environment for experimentation and analysing model sensitivities. We encourage further experiments and welcome comments on our tool.","author":[{"dropping-particle":"","family":"Theuerkauf","given":"Martin","non-dropping-particle":"","parse-names":false,"suffix":""},{"dropping-particle":"","family":"Couwenberg","given":"John","non-dropping-particle":"","parse-names":false,"suffix":""},{"dropping-particle":"","family":"Kuparinen","given":"Anna","non-dropping-particle":"","parse-names":false,"suffix":""},{"dropping-particle":"","family":"Liebscher","given":"Volkmar","non-dropping-particle":"","parse-names":false,"suffix":""}],"container-title":"Vegetation History and Archaeobotany 2016 25:6","id":"ITEM-3","issue":"6","issued":{"date-parts":[["2016","4","13"]]},"page":"541-553","publisher":"Springer","title":"A matter of dispersal: REVEALSinR introduces state-of-the-art dispersal models to quantitative vegetation reconstruction","type":"article-journal","volume":"25"},"uris":["http://www.mendeley.com/documents/?uuid=80762032-9758-36c5-8ef2-c33eb21bc060"]}],"mendeley":{"formattedCitation":"&lt;sup&gt;[46–48]&lt;/sup&gt;","manualFormatting":"[46–48]","plainTextFormattedCitation":"[46–48]","previouslyFormattedCitation":"(Kuparinen et al., 2007; Theuerkauf et al., 2016; Theuerkauf &amp; Joosten, 2012)"},"properties":{"noteIndex":0},"schema":"https://github.com/citation-style-language/schema/raw/master/csl-citation.json"}</w:instrText>
      </w:r>
      <w:r>
        <w:rPr>
          <w:rStyle w:val="FootnoteReference"/>
          <w:rFonts w:cstheme="minorHAnsi"/>
          <w:color w:val="auto"/>
          <w:lang w:val="en-GB"/>
        </w:rPr>
        <w:fldChar w:fldCharType="separate"/>
      </w:r>
      <w:r>
        <w:rPr>
          <w:bCs/>
          <w:noProof/>
        </w:rPr>
        <w:t>[46–48]</w:t>
      </w:r>
      <w:r>
        <w:rPr>
          <w:rStyle w:val="FootnoteReference"/>
          <w:rFonts w:cstheme="minorHAnsi"/>
          <w:color w:val="auto"/>
          <w:lang w:val="en-GB"/>
        </w:rPr>
        <w:fldChar w:fldCharType="end"/>
      </w:r>
      <w:r>
        <w:rPr>
          <w:lang w:val="en-GB"/>
        </w:rPr>
        <w:t>.</w:t>
      </w:r>
      <w:r>
        <w:t xml:space="preserve"> T</w:t>
      </w:r>
      <w:proofErr w:type="spellStart"/>
      <w:r>
        <w:rPr>
          <w:lang w:val="en-GB"/>
        </w:rPr>
        <w:t>heoretically</w:t>
      </w:r>
      <w:proofErr w:type="spellEnd"/>
      <w:r>
        <w:rPr>
          <w:lang w:val="en-GB"/>
        </w:rPr>
        <w:t xml:space="preserve">, the choice of dispersal model needs to be consistent for both obtaining RPPs and reconstructions of past vegetation using those RPPs </w:t>
      </w:r>
      <w:r>
        <w:rPr>
          <w:lang w:val="en-GB"/>
        </w:rPr>
        <w:fldChar w:fldCharType="begin" w:fldLock="1"/>
      </w:r>
      <w:r>
        <w:rPr>
          <w:lang w:val="en-GB"/>
        </w:rPr>
        <w:instrText>ADDIN CSL_CITATION {"citationItems":[{"id":"ITEM-1","itemData":{"DOI":"10.1016/j.quascirev.2019.106049","ISSN":"02773791","abstract":"Long-term perspectives on climate- and human-induced shifts in plant communities and tree line in mountains are often inferred from fossil pollen records. However, various factors, such as complex patterns of orographic wind fields and abundant insect-pollinated plants in higher altitudes, make pollen-based reconstruction in mountain regions difficult. Over the last decade the Landscape Reconstruction Algorithm (LRA) - a model-based approach in reconstruction of vegetation – has been successfully applied in various parts of the globe. However, evaluation of its effectiveness in mountain ranges is still limited. The present study assesses the extent to which the LRA approach helps quantify the local changes in vegetation cover at Vicdessos valley in northern French Pyrenees as a case study. In the study area well-dated sediment cores are available from eight bogs and ponds, 6–113 m in radius, located above the current tree line. We first use a simple simulation experiment to evaluate the way how pollen records from “landscape islands” (mountain tops and plateaus) would represent local vegetation and to clarify important factors affecting the LRA-based reconstruction in a mountainous region. This study then uses pollen records from these sites and vegetation and land-cover data both within a 50-km radius around the Vicdessos valley and within a 2-km radius from each site for evaluation of the REVEALS- and LOVE-based reconstruction of the regional and local plant cover, respectively, in the LRA approach. The land-cover data are complied for coniferous trees, broadleaved trees and non-forested areas from the CORINE and historical maps in three time windows: 1960–1970, 1990–2000 and 2000–2013. Major findings are as follows. (1) Accuracy of the regional vegetation estimates affects the reliability of the LRA-based reconstruction of vegetation within a 2-km radius; use of the CORINE data as input to the LOVE model improves reliability of the results over the use of the REVEALS-based estimates of regional vegetation. This implies that a systematic selection of pollen data only from sites above the tree line is problematic for estimating regional vegetation, and thus the entire LRA process. (2) Selection of the dispersal models for pollen transport (i.e. the Langrangian Stochastic Model vs. Gaussian Plume Model) does not affect significantly the LRA-based estimates at both the regional and local scales in the study area. (3) The LRA approach improves the pollen-…","author":[{"dropping-particle":"","family":"Marquer","given":"Laurent","non-dropping-particle":"","parse-names":false,"suffix":""},{"dropping-particle":"","family":"Mazier","given":"Florence","non-dropping-particle":"","parse-names":false,"suffix":""},{"dropping-particle":"","family":"Sugita","given":"Shinya","non-dropping-particle":"","parse-names":false,"suffix":""},{"dropping-particle":"","family":"Galop","given":"Didier","non-dropping-particle":"","parse-names":false,"suffix":""},{"dropping-particle":"","family":"Houet","given":"Thomas","non-dropping-particle":"","parse-names":false,"suffix":""},{"dropping-particle":"","family":"Faure","given":"Elodie","non-dropping-particle":"","parse-names":false,"suffix":""},{"dropping-particle":"","family":"Gaillard","given":"Marie José","non-dropping-particle":"","parse-names":false,"suffix":""},{"dropping-particle":"","family":"Haunold","given":"Sébastien","non-dropping-particle":"","parse-names":false,"suffix":""},{"dropping-particle":"","family":"Munnik","given":"Nicolas","non-dropping-particle":"de","parse-names":false,"suffix":""},{"dropping-particle":"","family":"Simonneau","given":"Anaëlle","non-dropping-particle":"","parse-names":false,"suffix":""},{"dropping-particle":"","family":"Vleeschouwer","given":"François","non-dropping-particle":"De","parse-names":false,"suffix":""},{"dropping-particle":"","family":"Roux","given":"Gaël","non-dropping-particle":"Le","parse-names":false,"suffix":""}],"container-title":"Quaternary Science Reviews","id":"ITEM-1","issued":{"date-parts":[["2020"]]},"title":"Pollen-based reconstruction of Holocene land-cover in mountain regions: Evaluation of the Landscape Reconstruction Algorithm in the Vicdessos valley, northern Pyrenees, France","type":"article-journal","volume":"228"},"uris":["http://www.mendeley.com/documents/?uuid=11ad9432-88ae-47b7-a427-fe9e9fb88903"]}],"mendeley":{"formattedCitation":"&lt;sup&gt;[49]&lt;/sup&gt;","manualFormatting":"[49]","plainTextFormattedCitation":"[49]","previouslyFormattedCitation":"(Marquer et al., 2020)"},"properties":{"noteIndex":0},"schema":"https://github.com/citation-style-language/schema/raw/master/csl-citation.json"}</w:instrText>
      </w:r>
      <w:r>
        <w:rPr>
          <w:lang w:val="en-GB"/>
        </w:rPr>
        <w:fldChar w:fldCharType="separate"/>
      </w:r>
      <w:r>
        <w:rPr>
          <w:noProof/>
          <w:lang w:val="en-GB"/>
        </w:rPr>
        <w:t>[49]</w:t>
      </w:r>
      <w:r>
        <w:rPr>
          <w:lang w:val="en-GB"/>
        </w:rPr>
        <w:fldChar w:fldCharType="end"/>
      </w:r>
      <w:r>
        <w:rPr>
          <w:lang w:val="en-GB"/>
        </w:rPr>
        <w:t xml:space="preserve">. Because of the limited number of LSM-based RPPs available in Europe and elsewhere, most of the REVEALS applications have so far used GPM-based RPPs </w:t>
      </w:r>
      <w:r>
        <w:rPr>
          <w:rStyle w:val="FootnoteReference"/>
          <w:rFonts w:cstheme="minorHAnsi"/>
          <w:color w:val="auto"/>
          <w:lang w:val="en-GB"/>
        </w:rPr>
        <w:fldChar w:fldCharType="begin" w:fldLock="1"/>
      </w:r>
      <w:r>
        <w:rPr>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Database","type":"article-journal","volume":"187"},"uris":["http://www.mendeley.com/documents/?uuid=eb9dc5e8-934f-4d38-bbbb-4a9c9354df1e"]},{"id":"ITEM-2","itemData":{"DOI":"10.1111/gcb.12737","ISSN":"13652486","PMID":"25204435","abstract":"We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Biology","id":"ITEM-2","issue":"2","issued":{"date-parts":[["2015"]]},"page":"676-697","title":"Pollen-based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modelling","type":"article-journal","volume":"21"},"uris":["http://www.mendeley.com/documents/?uuid=302a955a-cfbf-40c5-84f7-2e6a230f9fe0"]},{"id":"ITEM-3","itemData":{"DOI":"10.5194/essd-14-1581-2022","ISSN":"1866-3516","abstract":"&lt;p&gt;&lt;![CDATA[Abstract.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w:instrText>
      </w:r>
      <w:r>
        <w:rPr>
          <w:rFonts w:cs="Palatino Linotype"/>
          <w:lang w:val="en-GB"/>
        </w:rPr>
        <w:instrText>”</w:instrText>
      </w:r>
      <w:r>
        <w:rPr>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Data","id":"ITEM-3","issue":"4","issued":{"date-parts":[["2022","4","8"]]},"page":"1581-1619","title":"European pollen-based REVEALS land-cover reconstructions for the Holocene: methodology, mapping and potentials","type":"article-journal","volume":"14"},"uris":["http://www.mendeley.com/documents/?uuid=a3aa2c66-dc24-3563-953d-fabb33741ce8"]},{"id":"ITEM-4","itemData":{"URL":"https://essd.copernicus.org/preprints/essd-2022-148/","accessed":{"date-parts":[["2022","12","1"]]},"container-title":"2022","id":"ITEM-4","issued":{"date-parts":[["0"]]},"title":"Li, F. (2022) Gridded pollen-based Holocene regional plant cover in temperate and northern subtropical China suitable for climate modeling","type":"webpage"},"uris":["http://www.mendeley.com/documents/?uuid=99e56756-aee0-3ee6-beb4-e03b789e9ea3"]}],"mendeley":{"formattedCitation":"&lt;sup&gt;[25, 27, 28, 31]&lt;/sup&gt;","manualFormatting":"[28,31,33,34]","plainTextFormattedCitation":"[25, 27, 28, 31]","previouslyFormattedCitation":"(Githumbi et al., 2022; &lt;i&gt;Li, F. (2022) Gridded Pollen-Based Holocene Regional Plant Cover in Temperate and Northern Subtropical China Suitable for Climate Modeling&lt;/i&gt;, n.d.; Mazier et al., 2012; Trondman et al., 2015a)"},"properties":{"noteIndex":0},"schema":"https://github.com/citation-style-language/schema/raw/master/csl-citation.json"}</w:instrText>
      </w:r>
      <w:r>
        <w:rPr>
          <w:rStyle w:val="FootnoteReference"/>
          <w:rFonts w:cstheme="minorHAnsi"/>
          <w:color w:val="auto"/>
          <w:lang w:val="en-GB"/>
        </w:rPr>
        <w:fldChar w:fldCharType="separate"/>
      </w:r>
      <w:r>
        <w:rPr>
          <w:noProof/>
        </w:rPr>
        <w:t>[28,31,33,34]</w:t>
      </w:r>
      <w:r>
        <w:rPr>
          <w:rStyle w:val="FootnoteReference"/>
          <w:rFonts w:cstheme="minorHAnsi"/>
          <w:color w:val="auto"/>
          <w:lang w:val="en-GB"/>
        </w:rPr>
        <w:fldChar w:fldCharType="end"/>
      </w:r>
      <w:r>
        <w:t>.</w:t>
      </w:r>
    </w:p>
    <w:p w14:paraId="24D3AB6C" w14:textId="77777777" w:rsidR="004653D0" w:rsidRDefault="004653D0" w:rsidP="004653D0">
      <w:pPr>
        <w:pStyle w:val="MDPI31text"/>
        <w:rPr>
          <w:lang w:val="en-GB"/>
        </w:rPr>
      </w:pPr>
      <w:r>
        <w:rPr>
          <w:lang w:val="en-GB"/>
        </w:rPr>
        <w:t>The input parameters to run the REVEALS model are original pollen counts, relative pollen productivity (RPPs) and their standard deviations (SDs), fall speed of pollen (FSP), basin type (lake or bog), size (radius, m), maximum extent of the regional vegetation (km), wind speed (</w:t>
      </w:r>
      <w:proofErr w:type="gramStart"/>
      <w:r>
        <w:rPr>
          <w:lang w:val="en-GB"/>
        </w:rPr>
        <w:t>m.s</w:t>
      </w:r>
      <w:proofErr w:type="gramEnd"/>
      <w:r>
        <w:rPr>
          <w:vertAlign w:val="superscript"/>
          <w:lang w:val="en-GB"/>
        </w:rPr>
        <w:t>−1</w:t>
      </w:r>
      <w:r>
        <w:rPr>
          <w:lang w:val="en-GB"/>
        </w:rPr>
        <w:t xml:space="preserve">), and atmospheric conditions. We followed the protocols and criteria published in </w:t>
      </w:r>
      <w:r>
        <w:rPr>
          <w:rStyle w:val="FootnoteReference"/>
          <w:rFonts w:cstheme="minorHAnsi"/>
          <w:color w:val="auto"/>
          <w:lang w:val="en-GB"/>
        </w:rPr>
        <w:fldChar w:fldCharType="begin" w:fldLock="1"/>
      </w:r>
      <w:r>
        <w:rPr>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Database","type":"article-journal","volume":"187"},"uris":["http://www.mendeley.com/documents/?uuid=eb9dc5e8-934f-4d38-bbbb-4a9c9354df1e"]},{"id":"ITEM-2","itemData":{"DOI":"10.1111/gcb.12737","ISSN":"13652486","PMID":"25204435","abstract":"We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Biology","id":"ITEM-2","issue":"2","issued":{"date-parts":[["2015"]]},"page":"676-697","title":"Pollen-based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modelling","type":"article-journal","volume":"21"},"uris":["http://www.mendeley.com/documents/?uuid=302a955a-cfbf-40c5-84f7-2e6a230f9fe0"]}],"mendeley":{"formattedCitation":"&lt;sup&gt;[25, 27]&lt;/sup&gt;","manualFormatting":"[28,33]","plainTextFormattedCitation":"[25, 27]","previouslyFormattedCitation":"(Mazier et al., 2012; Trondman et al., 2015a)"},"properties":{"noteIndex":0},"schema":"https://github.com/citation-style-language/schema/raw/master/csl-citation.json"}</w:instrText>
      </w:r>
      <w:r>
        <w:rPr>
          <w:rStyle w:val="FootnoteReference"/>
          <w:rFonts w:cstheme="minorHAnsi"/>
          <w:color w:val="auto"/>
          <w:lang w:val="en-GB"/>
        </w:rPr>
        <w:fldChar w:fldCharType="separate"/>
      </w:r>
      <w:r>
        <w:rPr>
          <w:noProof/>
          <w:lang w:val="en-GB"/>
        </w:rPr>
        <w:t>[28,33]</w:t>
      </w:r>
      <w:r>
        <w:rPr>
          <w:rStyle w:val="FootnoteReference"/>
          <w:rFonts w:cstheme="minorHAnsi"/>
          <w:color w:val="auto"/>
          <w:lang w:val="en-GB"/>
        </w:rPr>
        <w:fldChar w:fldCharType="end"/>
      </w:r>
      <w:r>
        <w:rPr>
          <w:noProof/>
          <w:lang w:val="en-GB"/>
        </w:rPr>
        <w:t xml:space="preserve"> </w:t>
      </w:r>
      <w:r>
        <w:rPr>
          <w:lang w:val="en-GB"/>
        </w:rPr>
        <w:t xml:space="preserve">and lately in </w:t>
      </w:r>
      <w:r>
        <w:rPr>
          <w:rStyle w:val="FootnoteReference"/>
          <w:rFonts w:cstheme="minorHAnsi"/>
          <w:color w:val="auto"/>
          <w:lang w:val="en-GB"/>
        </w:rPr>
        <w:fldChar w:fldCharType="begin" w:fldLock="1"/>
      </w:r>
      <w:r>
        <w:rPr>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plainTextFormattedCitation":"[28]","previouslyFormattedCitation":"(Githumbi et al., 2022)"},"properties":{"noteIndex":0},"schema":"https://github.com/citation-style-language/schema/raw/master/csl-citation.json"}</w:instrText>
      </w:r>
      <w:r>
        <w:rPr>
          <w:rStyle w:val="FootnoteReference"/>
          <w:rFonts w:cstheme="minorHAnsi"/>
          <w:color w:val="auto"/>
          <w:lang w:val="en-GB"/>
        </w:rPr>
        <w:fldChar w:fldCharType="separate"/>
      </w:r>
      <w:r>
        <w:rPr>
          <w:noProof/>
          <w:lang w:val="en-GB"/>
        </w:rPr>
        <w:t>[31]</w:t>
      </w:r>
      <w:r>
        <w:rPr>
          <w:rStyle w:val="FootnoteReference"/>
          <w:rFonts w:cstheme="minorHAnsi"/>
          <w:color w:val="auto"/>
          <w:lang w:val="en-GB"/>
        </w:rPr>
        <w:fldChar w:fldCharType="end"/>
      </w:r>
      <w:r>
        <w:rPr>
          <w:lang w:val="en-GB"/>
        </w:rPr>
        <w:t>. The selection and preparation of individual pollen records and the values of model parameters used are described in the following sections.</w:t>
      </w:r>
    </w:p>
    <w:p w14:paraId="6764018F" w14:textId="77777777" w:rsidR="004653D0" w:rsidRDefault="004653D0" w:rsidP="004653D0">
      <w:pPr>
        <w:pStyle w:val="MDPI22heading2"/>
        <w:spacing w:before="240"/>
        <w:rPr>
          <w:lang w:val="en-GB"/>
        </w:rPr>
      </w:pPr>
      <w:r>
        <w:rPr>
          <w:lang w:val="en-GB"/>
        </w:rPr>
        <w:t>2.2. Fossil Pollen Records: Data Compilation and Preparation</w:t>
      </w:r>
    </w:p>
    <w:p w14:paraId="029CB50D" w14:textId="77777777" w:rsidR="004653D0" w:rsidRDefault="004653D0" w:rsidP="004653D0">
      <w:pPr>
        <w:pStyle w:val="MDPI31text"/>
        <w:rPr>
          <w:lang w:val="en-GB"/>
        </w:rPr>
      </w:pPr>
      <w:r>
        <w:rPr>
          <w:lang w:val="en-GB"/>
        </w:rPr>
        <w:t xml:space="preserve">A total of 1607 pollen records (923 and 684 sites from bogs and lakes, respectively) (see </w:t>
      </w:r>
      <w:proofErr w:type="spellStart"/>
      <w:r>
        <w:rPr>
          <w:lang w:val="en-GB"/>
        </w:rPr>
        <w:t>TERRANOVA_metadata</w:t>
      </w:r>
      <w:proofErr w:type="spellEnd"/>
      <w:r>
        <w:rPr>
          <w:lang w:val="en-GB"/>
        </w:rPr>
        <w:t xml:space="preserve"> in </w:t>
      </w:r>
      <w:hyperlink r:id="rId18" w:tgtFrame="_blank" w:history="1">
        <w:r>
          <w:rPr>
            <w:rStyle w:val="Hyperlink"/>
            <w:color w:val="auto"/>
          </w:rPr>
          <w:t>https://doi.org/10.48579/PRO/J5GZUO</w:t>
        </w:r>
      </w:hyperlink>
      <w:r>
        <w:rPr>
          <w:rStyle w:val="Hyperlink"/>
          <w:color w:val="auto"/>
        </w:rPr>
        <w:t>, accessed on 24 April 2023</w:t>
      </w:r>
      <w:r>
        <w:rPr>
          <w:rStyle w:val="CommentReference"/>
          <w:rFonts w:eastAsia="SimSun"/>
          <w:noProof/>
          <w:lang w:eastAsia="zh-CN" w:bidi="ar-SA"/>
        </w:rPr>
        <w:t>)</w:t>
      </w:r>
      <w:r>
        <w:rPr>
          <w:lang w:val="en-GB"/>
        </w:rPr>
        <w:t xml:space="preserve"> was compiled from 41 countries covering all European countries, the western part of Russia and the eastern Mediterranean–Black Sea–Caspian corridor (Appendix A, Figure A1). This work benefited from earlier efforts and projects (</w:t>
      </w:r>
      <w:proofErr w:type="spellStart"/>
      <w:r>
        <w:rPr>
          <w:lang w:val="en-GB"/>
        </w:rPr>
        <w:t>Landclim</w:t>
      </w:r>
      <w:proofErr w:type="spellEnd"/>
      <w:r>
        <w:rPr>
          <w:lang w:val="en-GB"/>
        </w:rPr>
        <w:t xml:space="preserve"> I and II), which compiled pollen datasets from open-access databases and individual data contributors </w:t>
      </w:r>
      <w:r>
        <w:rPr>
          <w:rStyle w:val="FootnoteReference"/>
          <w:rFonts w:cstheme="minorHAnsi"/>
          <w:color w:val="auto"/>
          <w:lang w:val="en-GB"/>
        </w:rPr>
        <w:fldChar w:fldCharType="begin" w:fldLock="1"/>
      </w:r>
      <w:r>
        <w:rPr>
          <w:lang w:val="en-GB"/>
        </w:rPr>
        <w:instrText>ADDIN CSL_CITATION {"citationItems":[{"id":"ITEM-1","itemData":{"DOI":"10.1111/GCB.12737","ISSN":"13652486","PMID":"25204435","abstract":"We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Biology","id":"ITEM-1","issue":"2","issued":{"date-parts":[["2015","2","1"]]},"page":"676-697","title":"Pollen-based quantitative reconstructions of Holocene regional vegetation cover (plant-functional types and land-cover types) in Europe suitable for climate modelling","type":"article-journal","volume":"21"},"uris":["http://www.mendeley.com/documents/?uuid=347edc7d-9bf0-328f-9c0a-ed02e5edc91c"]},{"id":"ITEM-2","itemData":{"DOI":"10.5194/essd-14-1581-2022","ISSN":"1866-3516","abstract":"&lt;p&gt;&lt;![CDATA[Abstract.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w:instrText>
      </w:r>
      <w:r>
        <w:rPr>
          <w:rFonts w:cs="Palatino Linotype"/>
          <w:lang w:val="en-GB"/>
        </w:rPr>
        <w:instrText>”</w:instrText>
      </w:r>
      <w:r>
        <w:rPr>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Data","id":"ITEM-2","issue":"4","issued":{"date-parts":[["2022","4","8"]]},"page":"1581-1619","title":"European pollen-based REVEALS land-cover reconstructions for the Holocene: methodology, mapping and potentials","type":"article-journal","volume":"14"},"uris":["http://www.mendeley.com/documents/?uuid=a3aa2c66-dc24-3563-953d-fabb33741ce8"]}],"mendeley":{"formattedCitation":"&lt;sup&gt;[28, 30]&lt;/sup&gt;","manualFormatting":"[31,33]","plainTextFormattedCitation":"[28, 30]","previouslyFormattedCitation":"(Githumbi et al., 2022; Trondman et al., 2015b)"},"properties":{"noteIndex":0},"schema":"https://github.com/citation-style-language/schema/raw/master/csl-citation.json"}</w:instrText>
      </w:r>
      <w:r>
        <w:rPr>
          <w:rStyle w:val="FootnoteReference"/>
          <w:rFonts w:cstheme="minorHAnsi"/>
          <w:color w:val="auto"/>
          <w:lang w:val="en-GB"/>
        </w:rPr>
        <w:fldChar w:fldCharType="separate"/>
      </w:r>
      <w:r>
        <w:rPr>
          <w:noProof/>
          <w:lang w:val="en-GB"/>
        </w:rPr>
        <w:t>[31,33]</w:t>
      </w:r>
      <w:r>
        <w:rPr>
          <w:rStyle w:val="FootnoteReference"/>
          <w:rFonts w:cstheme="minorHAnsi"/>
          <w:color w:val="auto"/>
          <w:lang w:val="en-GB"/>
        </w:rPr>
        <w:fldChar w:fldCharType="end"/>
      </w:r>
      <w:r>
        <w:rPr>
          <w:lang w:val="en-GB"/>
        </w:rPr>
        <w:t xml:space="preserve">. The </w:t>
      </w:r>
      <w:proofErr w:type="spellStart"/>
      <w:r>
        <w:rPr>
          <w:lang w:val="en-GB"/>
        </w:rPr>
        <w:t>Landclim</w:t>
      </w:r>
      <w:proofErr w:type="spellEnd"/>
      <w:r>
        <w:rPr>
          <w:lang w:val="en-GB"/>
        </w:rPr>
        <w:t xml:space="preserve"> II pollen dataset includes pollen data from the European Pollen Database </w:t>
      </w:r>
      <w:r>
        <w:rPr>
          <w:rStyle w:val="FootnoteReference"/>
          <w:rFonts w:cstheme="minorHAnsi"/>
          <w:color w:val="auto"/>
          <w:lang w:val="en-GB"/>
        </w:rPr>
        <w:fldChar w:fldCharType="begin" w:fldLock="1"/>
      </w:r>
      <w:r>
        <w:rPr>
          <w:lang w:val="en-GB"/>
        </w:rPr>
        <w:instrText>ADDIN CSL_CITATION {"citationItems":[{"id":"ITEM-1","itemData":{"DOI":"10.1007/s00334-009-0215-9","ISSN":"0939-6314","author":[{"dropping-particle":"","family":"Fyfe","given":"Ralph M.","non-dropping-particle":"","parse-names":false,"suffix":""},{"dropping-particle":"","family":"Beaulieu","given":"Jacques-Louis","non-dropping-particle":"de","parse-names":false,"suffix":""},{"dropping-particle":"","family":"Binney","given":"Heather","non-dropping-particle":"","parse-names":false,"suffix":""},{"dropping-particle":"","family":"Bradshaw","given":"Richard H. W.","non-dropping-particle":"","parse-names":false,"suffix":""},{"dropping-particle":"","family":"Brewer","given":"Simon","non-dropping-particle":"","parse-names":false,"suffix":""},{"dropping-particle":"","family":"Flao","given":"Anne","non-dropping-particle":"Le","parse-names":false,"suffix":""},{"dropping-particle":"","family":"Finsinger","given":"Walter","non-dropping-particle":"","parse-names":false,"suffix":""},{"dropping-particle":"","family":"Gaillard","given":"Marie-José","non-dropping-particle":"","parse-names":false,"suffix":""},{"dropping-particle":"","family":"Giesecke","given":"Thomas","non-dropping-particle":"","parse-names":false,"suffix":""},{"dropping-particle":"","family":"Gil-Romera","given":"Graciela","non-dropping-particle":"","parse-names":false,"suffix":""},{"dropping-particle":"","family":"Grimm","given":"Eric C.","non-dropping-particle":"","parse-names":false,"suffix":""},{"dropping-particle":"","family":"Huntley","given":"Brian","non-dropping-particle":"","parse-names":false,"suffix":""},{"dropping-particle":"","family":"Kunes","given":"Petr","non-dropping-particle":"","parse-names":false,"suffix":""},{"dropping-particle":"","family":"Kühl","given":"Norbert","non-dropping-particle":"","parse-names":false,"suffix":""},{"dropping-particle":"","family":"Leydet","given":"Michelle","non-dropping-particle":"","parse-names":false,"suffix":""},{"dropping-particle":"","family":"Lotter","given":"André F.","non-dropping-particle":"","parse-names":false,"suffix":""},{"dropping-particle":"","family":"Tarasov","given":"Pavel E.","non-dropping-particle":"","parse-names":false,"suffix":""},{"dropping-particle":"","family":"Tonkov","given":"Spassimir","non-dropping-particle":"","parse-names":false,"suffix":""}],"container-title":"Vegetation History and Archaeobotany","id":"ITEM-1","issue":"5","issued":{"date-parts":[["2009","9","20"]]},"page":"417-424","title":"The European Pollen Database: past efforts and current activities","type":"article-journal","volume":"18"},"uris":["http://www.mendeley.com/documents/?uuid=e6550956-8860-3cba-bdbf-30c8dcb34d2b"]},{"id":"ITEM-2","itemData":{"DOI":"10.1007/s00334-012-0390-y","abstract":"The number of well-dated pollen diagrams in Europe has increased considerably over the last 30 years and many of them have been submitted to the European Pollen Database (EPD). This allows for the construction of increasingly precise maps of Holocene vegetation change across the continent. Chronological information in the EPD has been expressed in uncalibrated radiocarbon years, and most chronologies to date are based on this time scale. Here we present new chronologies for most of the datasets stored in the EPD based on calibrated radiocarbon years. Age information associated with pollen diagrams is often derived from the pollen stratigraphy itself or from other sedimento-logical information. We reviewed these chronological tie points and assigned uncertainties to them. The steps taken to generate the new chronologies are described and the rationale for a new classification system for age uncertainties is introduced. The resulting chronologies are fit for most continental scale questions. They may not provide the best age model for particular sites, but may be viewed as general purpose chronologies. Taxonomic particularities of the data stored in the EPD are explained. An example is given of how the database can be queried to select samples with appropriate age control as well as the suitable taxonomic level to answer a specific research question.","author":[{"dropping-particle":"","family":"Giesecke","given":"Thomas","non-dropping-particle":"","parse-names":false,"suffix":""},{"dropping-particle":"","family":"Davis","given":"Basil","non-dropping-particle":"","parse-names":false,"suffix":""},{"dropping-particle":"","family":"Brewer","given":"Simon","non-dropping-particle":"","parse-names":false,"suffix":""},{"dropping-particle":"","family":"Finsinger","given":"Walter","non-dropping-particle":"","parse-names":false,"suffix":""},{"dropping-particle":"","family":"Wolters","given":"Steffen","non-dropping-particle":"","parse-names":false,"suffix":""},{"dropping-particle":"","family":"Blaauw","given":"Maarten","non-dropping-particle":"","parse-names":false,"suffix":""},{"dropping-particle":"","family":"Beaulieu","given":"Jacques-Louis","non-dropping-particle":"De","parse-names":false,"suffix":""},{"dropping-particle":"","family":"Binney","given":"Heather","non-dropping-particle":"","parse-names":false,"suffix":""},{"dropping-particle":"","family":"Fyfe","given":"Ralph M","non-dropping-particle":"","parse-names":false,"suffix":""},{"dropping-particle":"","family":"Gaillard","given":"Marie-José","non-dropping-particle":"","parse-names":false,"suffix":""},{"dropping-particle":"","family":"Gil-Romera","given":"Graciela","non-dropping-particle":"","parse-names":false,"suffix":""},{"dropping-particle":"","family":"Knaap","given":"W O","non-dropping-particle":"Van Der","parse-names":false,"suffix":""},{"dropping-particle":"","family":"Kuneš","given":"Petr","non-dropping-particle":"","parse-names":false,"suffix":""},{"dropping-particle":"","family":"Kü","given":"Norbert","non-dropping-particle":"","parse-names":false,"suffix":""},{"dropping-particle":"","family":"Leeuwen","given":"Jacqueline F N","non-dropping-particle":"Van","parse-names":false,"suffix":""},{"dropping-particle":"","family":"Leydet","given":"Michelle","non-dropping-particle":"","parse-names":false,"suffix":""},{"dropping-particle":"","family":"Lotter","given":"André F","non-dropping-particle":"","parse-names":false,"suffix":""},{"dropping-particle":"","family":"Ortu","given":"Elena","non-dropping-particle":"","parse-names":false,"suffix":""},{"dropping-particle":"","family":"Semmler","given":"Malte","non-dropping-particle":"","parse-names":false,"suffix":""},{"dropping-particle":"","family":"Richard","given":"•","non-dropping-particle":"","parse-names":false,"suffix":""},{"dropping-particle":"","family":"Bradshaw","given":"H W","non-dropping-particle":"","parse-names":false,"suffix":""}],"id":"ITEM-2","issued":{"date-parts":[["0"]]},"title":"Towards mapping the late Quaternary vegetation change of Europe. 2014","type":"article-journal"},"uris":["http://www.mendeley.com/documents/?uuid=5c370680-c1e4-3cd1-a1e5-f01745f4dc2b"]}],"mendeley":{"formattedCitation":"&lt;sup&gt;[50, 51]&lt;/sup&gt;","manualFormatting":"[50,51]","plainTextFormattedCitation":"[50, 51]","previouslyFormattedCitation":"(Fyfe et al., 2009; Giesecke et al., n.d.)"},"properties":{"noteIndex":0},"schema":"https://github.com/citation-style-language/schema/raw/master/csl-citation.json"}</w:instrText>
      </w:r>
      <w:r>
        <w:rPr>
          <w:rStyle w:val="FootnoteReference"/>
          <w:rFonts w:cstheme="minorHAnsi"/>
          <w:color w:val="auto"/>
          <w:lang w:val="en-GB"/>
        </w:rPr>
        <w:fldChar w:fldCharType="separate"/>
      </w:r>
      <w:r>
        <w:rPr>
          <w:noProof/>
          <w:lang w:val="en-GB"/>
        </w:rPr>
        <w:t>[50,51]</w:t>
      </w:r>
      <w:r>
        <w:rPr>
          <w:rStyle w:val="FootnoteReference"/>
          <w:rFonts w:cstheme="minorHAnsi"/>
          <w:color w:val="auto"/>
          <w:lang w:val="en-GB"/>
        </w:rPr>
        <w:fldChar w:fldCharType="end"/>
      </w:r>
      <w:r>
        <w:rPr>
          <w:lang w:val="en-GB"/>
        </w:rPr>
        <w:t xml:space="preserve">, the Alpine Palynological Database (ALPADABA; Institute of Plant Sciences, University of Bern), the Czech Quaternary Palynological Database (PALYCZ; </w:t>
      </w:r>
      <w:r>
        <w:rPr>
          <w:rStyle w:val="FootnoteReference"/>
          <w:rFonts w:cstheme="minorHAnsi"/>
          <w:color w:val="auto"/>
          <w:lang w:val="en-GB"/>
        </w:rPr>
        <w:fldChar w:fldCharType="begin" w:fldLock="1"/>
      </w:r>
      <w:r>
        <w:rPr>
          <w:lang w:val="en-GB"/>
        </w:rPr>
        <w:instrText>ADDIN CSL_CITATION {"citationItems":[{"id":"ITEM-1","itemData":{"abstract":"o n t r i b u t o r s 55 Kuneš P., Abraham V., Kovářík O., Kopecký M. &amp; PALYCZ contributors (2009): Czech Quaternary Palynological Database-PALYCZ: review and basic statistics of the data.-Preslia 81: 209-238. This paper reviews the data on quaternary palynological sequences collected in the Czech Republic, attempts to store them in the Czech Quaternary Palynological Database (PALYCZ) and outlines a possible use for regional syntheses. Work on pollen stratigraphies done over the last hundred years has yielded a very large amount of data for this region. These data can be used globally for various types of environmental reconstructions and are of local importance, especially when combined with local databases. For data to be included in PALYCZ it has to meet certain criteria, the determination of the pollen of herbaceous plants must be well resolved and radiocarbon dated. As of 31 December 2008, we had reviewed 177 pollen profiles. Data from 152 sequences are already stored in PostgreSQL® in re-lational tables, which allow a broad range of queries to be addressed using the html protocol. The data collected since 1959 by 15 authors contain raw pollen counts together with 14 C dates and various metadata on locality. All the pollen samples were ordered using non-metric multidimensional scaling. Display of the ordination diagram incorporating the appropriate millennial time slices revealed a common pattern in all data. The quality of data is also discussed in the context of the history of the research and methods used. Database access can be found at","author":[{"dropping-particle":"","family":"Kuneš, P., Abraham, V., Kováˇrík, O., Kopecký, M.","given":"Bˇrízová","non-dropping-particle":"","parse-names":false,"suffix":""},{"dropping-particle":"","family":"E., Dudová, L., Jankovská, V., Knipping, M., Kozšková","given":"R.","non-dropping-particle":"","parse-names":false,"suffix":""},{"dropping-particle":"","family":"Nováková, K., Petr, L., Pokorný, P., Roszková, A., Rybnícková","given":"ˇ","non-dropping-particle":"","parse-names":false,"suffix":""},{"dropping-particle":"","family":"E., Svobodová-Svitavská, H., and Wacnik","given":"A.","non-dropping-particle":"","parse-names":false,"suffix":""}],"container-title":"Preslia","id":"ITEM-1","issued":{"date-parts":[["2009"]]},"page":"209-238","publisher":"Czech Geological Survey","title":"Czech Quaternary Palynological Database-PALYCZ: review and basic statistics of the data Česká kvartérní pylová databáze-PALYCZ: přehled a základní statistika","type":"article-journal","volume":"81"},"uris":["http://www.mendeley.com/documents/?uuid=a42e4317-b196-3f51-b8f3-23d9d37bb2c8"]}],"mendeley":{"formattedCitation":"&lt;sup&gt;[52]&lt;/sup&gt;","manualFormatting":"[52]","plainTextFormattedCitation":"[52]","previouslyFormattedCitation":"(Kuneš, P., Abraham, V., Kováˇrík, O., Kopecký, M. et al., 2009)"},"properties":{"noteIndex":0},"schema":"https://github.com/citation-style-language/schema/raw/master/csl-citation.json"}</w:instrText>
      </w:r>
      <w:r>
        <w:rPr>
          <w:rStyle w:val="FootnoteReference"/>
          <w:rFonts w:cstheme="minorHAnsi"/>
          <w:color w:val="auto"/>
          <w:lang w:val="en-GB"/>
        </w:rPr>
        <w:fldChar w:fldCharType="separate"/>
      </w:r>
      <w:r>
        <w:rPr>
          <w:noProof/>
          <w:lang w:val="en-GB"/>
        </w:rPr>
        <w:t>[52]</w:t>
      </w:r>
      <w:r>
        <w:rPr>
          <w:rStyle w:val="FootnoteReference"/>
          <w:rFonts w:cstheme="minorHAnsi"/>
          <w:color w:val="auto"/>
          <w:lang w:val="en-GB"/>
        </w:rPr>
        <w:fldChar w:fldCharType="end"/>
      </w:r>
      <w:r>
        <w:rPr>
          <w:lang w:val="en-GB"/>
        </w:rPr>
        <w:t xml:space="preserve">), the Pyrenean Paleoenvironmental Database (PALEOPYR; </w:t>
      </w:r>
      <w:r>
        <w:rPr>
          <w:rStyle w:val="FootnoteReference"/>
          <w:rFonts w:cstheme="minorHAnsi"/>
          <w:color w:val="auto"/>
          <w:lang w:val="en-GB"/>
        </w:rPr>
        <w:fldChar w:fldCharType="begin" w:fldLock="1"/>
      </w:r>
      <w:r>
        <w:rPr>
          <w:lang w:val="en-GB"/>
        </w:rPr>
        <w:instrText>ADDIN CSL_CITATION {"citationItems":[{"id":"ITEM-1","itemData":{"DOI":"10.3166/ISI.20.3.63-87","abstract":"RESUME. Les données paléoenvironnementales collectées sur le versant nord des Pyrénées font l'objet d'un archivage au sein d'un système d'information pour les données PALEOenvironnementales PYRénéennes (PALEOPYR) et visent à reconstruire les dynamiques spatio-temporelles de la végétation durant l'Holocène. Trente années de recherche ont permis de produire de grandes quantités de données (pollen, microfossiles non-polliniques, charbons, diatomées…). Ce travail illustre les grandes étapes méthodologiques de conception d'un système d'information et propose des recommandations d'optimisation du serveur PostgreSQL/PostGIS. La nouvelle base de données archive les données de 90 enregistrements sédimentaires ainsi que les métadonnées associées. La création d'interfaces graphiques et cartographiques sur Internet facilite la visualisation et l'exploitation de ces données. PALEOPYR représente ainsi une avancée méthodologique fondamentale pour la recherche paléoécologique à l'échelle des Pyrénées. ABSTRACT. This paper i) reviews the data on Holocene paleoenvironmental sequences collected on the northern slopes of the Pyrenees, ii) attempts to store them in the PALEOenvironmental information system for PYRenees data (PALEOPYR) and iii) outlines a possible use for synthesis on spatio-temporal dynamics of the vegetation. Studies on paleoenvironmental stratigraphies over the last thirty years have yielded a very large amount of data (including pollen, non-pollen palynomorphs, charcoal, diatoms…). This paper aims at describing the major methodological steps of designing the database and provides recommendations for optimizing the PostgreSQL/PostGIS server. Data from 90 sequences and their relative metadata are stored in the database in relational tables. This database will allow a broad range of queries to be addressed in order to visualize and explore the data with both graphical user and web mapping interfaces. PALEOPYR will help the scientific community to study past landscape dynamics at the Pyrenean scale. 2 MOTS-CLES : données paléoenvironnementales, pollen, base de données, cartographie interactive, évolution de la végétation, montagnes, Pyrénées","author":[{"dropping-particle":"","family":"Lerigoleur","given":"Emilie","non-dropping-particle":"","parse-names":false,"suffix":""},{"dropping-particle":"","family":"Mazier","given":"Florence","non-dropping-particle":"","parse-names":false,"suffix":""},{"dropping-particle":"","family":"Jégou","given":"Laurent","non-dropping-particle":"","parse-names":false,"suffix":""},{"dropping-particle":"","family":"Perret","given":"Marie","non-dropping-particle":"","parse-names":false,"suffix":""},{"dropping-particle":"","family":"Galop","given":"Didier","non-dropping-particle":"","parse-names":false,"suffix":""}],"id":"ITEM-1","issued":{"date-parts":[["0"]]},"title":"PALEOPYR : un système d'information pour les données paléoenvironnementales nord-pyrénéennes","type":"article-journal"},"uris":["http://www.mendeley.com/documents/?uuid=344a8d85-f26e-39d7-b8d0-2bce868e1b61"]}],"mendeley":{"formattedCitation":"&lt;sup&gt;[53]&lt;/sup&gt;","plainTextFormattedCitation":"[53]","previouslyFormattedCitation":"(Lerigoleur et al., n.d.)"},"properties":{"noteIndex":0},"schema":"https://github.com/citation-style-language/schema/raw/master/csl-citation.json"}</w:instrText>
      </w:r>
      <w:r>
        <w:rPr>
          <w:rStyle w:val="FootnoteReference"/>
          <w:rFonts w:cstheme="minorHAnsi"/>
          <w:color w:val="auto"/>
          <w:lang w:val="en-GB"/>
        </w:rPr>
        <w:fldChar w:fldCharType="separate"/>
      </w:r>
      <w:r>
        <w:rPr>
          <w:noProof/>
          <w:lang w:val="en-GB"/>
        </w:rPr>
        <w:t>[53]</w:t>
      </w:r>
      <w:r>
        <w:rPr>
          <w:rStyle w:val="FootnoteReference"/>
          <w:rFonts w:cstheme="minorHAnsi"/>
          <w:color w:val="auto"/>
          <w:lang w:val="en-GB"/>
        </w:rPr>
        <w:fldChar w:fldCharType="end"/>
      </w:r>
      <w:r>
        <w:rPr>
          <w:lang w:val="en-GB"/>
        </w:rPr>
        <w:t xml:space="preserve">), and datasets compiled within synthesis projects from the Mediterranean region </w:t>
      </w:r>
      <w:r>
        <w:rPr>
          <w:rStyle w:val="FootnoteReference"/>
          <w:rFonts w:cstheme="minorHAnsi"/>
          <w:color w:val="auto"/>
          <w:lang w:val="en-GB"/>
        </w:rPr>
        <w:fldChar w:fldCharType="begin" w:fldLock="1"/>
      </w:r>
      <w:r>
        <w:rPr>
          <w:lang w:val="en-GB"/>
        </w:rPr>
        <w:instrText>ADDIN CSL_CITATION {"citationItems":[{"id":"ITEM-1","itemData":{"DOI":"10.1111/jvs.12594","abstract":"Aims: To apply the Landscape Reconstruction Algorithm (LRA) to pollen count data from multiple sites to estimate local vegetation abundance and compare with charcoal-derived records of burning. Location: Exmoor, southwest England, UK. Methods: Pollen count data from 16 sites were transformed to estimates of distance-weighted vegetation abundance using the LRA (REVEALS and LOVE models), correcting for bias in pollen production and dispersal. Charcoal concentration data from six sites were normalized using Box-Cox transformation to produce z-scores. Moving-window correlation was undertaken to compare pollen percentage values for key taxa (Calluna, Poaceae) and localized burning. Estimates of distance-vegetation abundance (LRA output) and time-averaged charcoal z-scores were compared to assess the role of burning as a driver for upland vegetation cover. Results: Comparison of pollen percentage and normalized charcoal z-scores show little correlation between vegetation cover and burning. Estimates of distance-weighted vegetation abundance and normalized charcoal data show relationships between vegetation change and burning at four of the six sites. The relationships are site-specific: three sites suggest burning promoted grass-dominated vegetation, at one site burning promoted heather-dominated vegetation, and in two sites there is no apparent relationship. Conclusions: The patterning of vegetation within uplands is a crucial part of ecosystem service delivery, and contemporary and future management benefits from understanding of ‘long-term’ development, i.e. patterns over millennia. The correction of biases within pollen production and dispersal to produce local vegetation estimates has demonstrated spatial heterogeneity in vegetation cover on Exmoor that is not otherwise evident in the pollen percentage data (which retain a strong influence of the regional vegetation cover). The relationship between LRA-derived vegetation cover and burning is not apparent in comparisons between pollen percentage data and charcoal records. This implies that studies that use pollen proportional data alone can misrepresent the relationship between vegetation cover and fire. This study demonstrates that fire has been an important part of the development of this cultural landscape.","author":[{"dropping-particle":"","family":"Fyfe","given":"Ralph M.","non-dropping-particle":"","parse-names":false,"suffix":""},{"dropping-particle":"","family":"Ombashi","given":"Havananda","non-dropping-particle":"","parse-names":false,"suffix":""},{"dropping-particle":"","family":"Davies","given":"Heather J.","non-dropping-particle":"","parse-names":false,"suffix":""},{"dropping-particle":"","family":"Head","given":"Katie","non-dropping-particle":"","parse-names":false,"suffix":""}],"container-title":"Journal of Vegetation Science","id":"ITEM-1","issue":"3","issued":{"date-parts":[["2018","5","1"]]},"page":"393-403","publisher":"Wiley-Blackwell","title":"Quantified moorland vegetation and assessment of the role of burning over the past five millennia","type":"article-journal","volume":"29"},"uris":["http://www.mendeley.com/documents/?uuid=aad1f5f2-59b4-3f88-bd54-cd3470125cce"]},{"id":"ITEM-2","itemData":{"DOI":"10.1038/s41598-017-18646-7","abstract":"8000 years ago, prior to Neolithic agriculture, Europe was mostly a wooded continent. Since then, its forest cover has been progressively fragmented, so that today it covers less than half of Europe's land area, in many cases having been cleared to make way for fields and pasture-land. Establishing the origin of Europe's current, more open land-cover mosaic requires a long-term perspective, for which pollen analysis offers a key tool. In this study we utilise and compare three numerical approaches to transforming pollen data into past forest cover, drawing on &gt;1000 14 C-dated site records. All reconstructions highlight the different histories of the mixed temperate and the northern boreal forests, with the former declining progressively since ~6000 years ago, linked to forest clearance for agriculture in later prehistory (especially in northwest Europe) and early historic times (e.g. in north central Europe). In contrast, extensive human impact on the needle-leaf forests of northern Europe only becomes detectable in the last two millennia and has left a larger area of forest in place. Forest loss has been a dominant feature of Europe's landscape ecology in the second half of the current interglacial, with consequences for carbon cycling, ecosystem functioning and biodiversity. Along with an intrinsic interest in Europe's natural and cultural heritage, there is a need by climatologists, archaeologists , geomorphologists, conservation ecologists and others for the reconstruction of long-term, large-scale changes in forest cover, especially those associated with human activities 1. For example, pollen-based reconstructions potentially provide a critical empirical test of the hypothesis that human land-cover change already started to alter greenhouse gas emissions significantly, and thereby global climate, thousands of years ago 2. Although many previous studies have investigated how pollen can be used to infer past forest cover, most have been site-or region-specific 3-5. Spatially-extensive (e.g. Europe-wide) syntheses have focused instead on what pollen can tell us about changes in vegetation species composition, biome distribution or climate 6,7 , rather than explicitly incorporating human-induced changes in forest cover. Recently, a number of different numerical approaches have been developed to reconstruct large-scale past land cover from pollen data. They include the REVEALS model 8 linked to the LandClim project 9-11 , the Pseudobiomization Method (…","author":[{"dropping-particle":"","family":"Roberts","given":"N","non-dropping-particle":"","parse-names":false,"suffix":""},{"dropping-particle":"","family":"Fyfe","given":"R M","non-dropping-particle":"","parse-names":false,"suffix":""},{"dropping-particle":"","family":"Woodbridge","given":"J","non-dropping-particle":"","parse-names":false,"suffix":""},{"dropping-particle":"","family":"Gaillard","given":"M.-J","non-dropping-particle":"","parse-names":false,"suffix":""},{"dropping-particle":"","family":"Davis","given":"B A S","non-dropping-particle":"","parse-names":false,"suffix":""},{"dropping-particle":"","family":"Kaplan","given":"J O","non-dropping-particle":"","parse-names":false,"suffix":""},{"dropping-particle":"","family":"Marquer","given":"L","non-dropping-particle":"","parse-names":false,"suffix":""},{"dropping-particle":"","family":"Mazier","given":"F","non-dropping-particle":"","parse-names":false,"suffix":""},{"dropping-particle":"","family":"Nielsen","given":"A B","non-dropping-particle":"","parse-names":false,"suffix":""},{"dropping-particle":"","family":"Sugita","given":"S","non-dropping-particle":"","parse-names":false,"suffix":""},{"dropping-particle":"","family":"Trondman","given":"A.-K","non-dropping-particle":"","parse-names":false,"suffix":""},{"dropping-particle":"","family":"Leydet","given":"&amp; M","non-dropping-particle":"","parse-names":false,"suffix":""}],"id":"ITEM-2","issued":{"date-parts":[["2018"]]},"title":"Europe's lost forests: a pollen-based synthesis for the last 11,000 years OPEN","type":"article-journal"},"uris":["http://www.mendeley.com/documents/?uuid=64725f50-8a97-3398-967e-babb44be77ab"]}],"mendeley":{"formattedCitation":"&lt;sup&gt;[5, 54]&lt;/sup&gt;","manualFormatting":"[7,54]","plainTextFormattedCitation":"[5, 54]","previouslyFormattedCitation":"(Fyfe, Ombashi, et al., 2018; Roberts et al., 2018)"},"properties":{"noteIndex":0},"schema":"https://github.com/citation-style-language/schema/raw/master/csl-citation.json"}</w:instrText>
      </w:r>
      <w:r>
        <w:rPr>
          <w:rStyle w:val="FootnoteReference"/>
          <w:rFonts w:cstheme="minorHAnsi"/>
          <w:color w:val="auto"/>
          <w:lang w:val="en-GB"/>
        </w:rPr>
        <w:fldChar w:fldCharType="separate"/>
      </w:r>
      <w:r>
        <w:rPr>
          <w:noProof/>
          <w:lang w:val="en-GB"/>
        </w:rPr>
        <w:t>[7,11]</w:t>
      </w:r>
      <w:r>
        <w:rPr>
          <w:rStyle w:val="FootnoteReference"/>
          <w:rFonts w:cstheme="minorHAnsi"/>
          <w:color w:val="auto"/>
          <w:lang w:val="en-GB"/>
        </w:rPr>
        <w:fldChar w:fldCharType="end"/>
      </w:r>
      <w:r>
        <w:rPr>
          <w:lang w:val="en-GB"/>
        </w:rPr>
        <w:t xml:space="preserve"> and the eastern Mediterranean–Black Sea–Caspian corridor (</w:t>
      </w:r>
      <w:proofErr w:type="spellStart"/>
      <w:r>
        <w:rPr>
          <w:lang w:val="en-GB"/>
        </w:rPr>
        <w:t>EMBSeCBIO</w:t>
      </w:r>
      <w:proofErr w:type="spellEnd"/>
      <w:r>
        <w:rPr>
          <w:lang w:val="en-GB"/>
        </w:rPr>
        <w:t xml:space="preserve"> project; </w:t>
      </w:r>
      <w:r>
        <w:rPr>
          <w:rStyle w:val="FootnoteReference"/>
          <w:rFonts w:cstheme="minorHAnsi"/>
          <w:color w:val="auto"/>
          <w:lang w:val="en-GB"/>
        </w:rPr>
        <w:fldChar w:fldCharType="begin" w:fldLock="1"/>
      </w:r>
      <w:r>
        <w:rPr>
          <w:lang w:val="en-GB"/>
        </w:rPr>
        <w:instrText>ADDIN CSL_CITATION {"citationItems":[{"id":"ITEM-1","itemData":{"DOI":"10.1111/jbi.13128ï","author":[{"dropping-particle":"","family":"Marinova","given":"Elena","non-dropping-particle":"","parse-names":false,"suffix":""},{"dropping-particle":"","family":"Harrison","given":"Sandy","non-dropping-particle":"","parse-names":false,"suffix":""},{"dropping-particle":"","family":"Bragg","given":"Fran","non-dropping-particle":"","parse-names":false,"suffix":""},{"dropping-particle":"","family":"Connor","given":"Simon","non-dropping-particle":"","parse-names":false,"suffix":""},{"dropping-particle":"","family":"Laet","given":"Veronique","non-dropping-particle":"De","parse-names":false,"suffix":""},{"dropping-particle":"","family":"Leroy","given":"Suzanne A G","non-dropping-particle":"","parse-names":false,"suffix":""},{"dropping-particle":"","family":"Mudie","given":"Petra","non-dropping-particle":"","parse-names":false,"suffix":""},{"dropping-particle":"","family":"Atanassova","given":"Juliana","non-dropping-particle":"","parse-names":false,"suffix":""},{"dropping-particle":"","family":"Bozilova","given":"Elissaveta","non-dropping-particle":"","parse-names":false,"suffix":""},{"dropping-particle":"","family":"Caner","given":"Hülya","non-dropping-particle":"","parse-names":false,"suffix":""}],"container-title":"Journal of Biogeography","id":"ITEM-1","issue":"2","issued":{"date-parts":[["2018"]]},"title":"Eastern Mediterranean-Black Sea-Caspian-Corridor","type":"article-journal","volume":"45"},"uris":["http://www.mendeley.com/documents/?uuid=a9fb451a-5583-318f-9fec-78c76f6db755"]}],"mendeley":{"formattedCitation":"&lt;sup&gt;[55]&lt;/sup&gt;","manualFormatting":"[55]","plainTextFormattedCitation":"[55]","previouslyFormattedCitation":"(Marinova et al., 2018)"},"properties":{"noteIndex":0},"schema":"https://github.com/citation-style-language/schema/raw/master/csl-citation.json"}</w:instrText>
      </w:r>
      <w:r>
        <w:rPr>
          <w:rStyle w:val="FootnoteReference"/>
          <w:rFonts w:cstheme="minorHAnsi"/>
          <w:color w:val="auto"/>
          <w:lang w:val="en-GB"/>
        </w:rPr>
        <w:fldChar w:fldCharType="separate"/>
      </w:r>
      <w:r>
        <w:rPr>
          <w:bCs/>
          <w:noProof/>
        </w:rPr>
        <w:t>[54]</w:t>
      </w:r>
      <w:r>
        <w:rPr>
          <w:rStyle w:val="FootnoteReference"/>
          <w:rFonts w:cstheme="minorHAnsi"/>
          <w:color w:val="auto"/>
          <w:lang w:val="en-GB"/>
        </w:rPr>
        <w:fldChar w:fldCharType="end"/>
      </w:r>
      <w:r>
        <w:rPr>
          <w:lang w:val="en-GB"/>
        </w:rPr>
        <w:t xml:space="preserve">). Most of the cited datasets are now archived in NEOTOMA </w:t>
      </w:r>
      <w:r>
        <w:rPr>
          <w:rStyle w:val="FootnoteReference"/>
          <w:rFonts w:cstheme="minorHAnsi"/>
          <w:color w:val="auto"/>
          <w:lang w:val="en-GB"/>
        </w:rPr>
        <w:fldChar w:fldCharType="begin" w:fldLock="1"/>
      </w:r>
      <w:r>
        <w:rPr>
          <w:lang w:val="en-GB"/>
        </w:rPr>
        <w:instrText>ADDIN CSL_CITATION {"citationItems":[{"id":"ITEM-1","itemData":{"DOI":"10.5334/OQ.AB/METRICS/","ISSN":"2055298X","abstract":"Paleoecological data are integral to ecological and evolutionary analyses. First, they provide an opportunity to study ecological and evolutionary interactions between communities and abiotic environments across time scales. Second, they allow us to study the long-term outcomes of processes that occur infrequently, such as megadroughts, hurricanes, and rapid climate change. Third, the past allows us to study ecological processes in the absence of widespread anthropogenic influence. The R package neotoma, described here, obtains and manipulates data from the NeotomaPaleo-ecological Database (Neotoma Database: http://www.neotomadb.org). The Neotoma Database is a public-domain searchable repository for multiproxypaleoecological records spanning the past 5 million years. The Neotoma Database provides the data and cyberinfrastructure to study spatiotemporal dynamics of species and communities from the Pliocene to the present; neotoma provides a user interface to enable these studies. neotoma searches the Neotoma Database using terms that can include location, taxon name, or dataset type (e.g., pollen, vertebrate fauna, ostracode) using the Database’s Application Programming Interface (API). The package returns a set of nested metadata associated with the site, including the full assemblage record, geo-chronological data to enable the rebuilding of age models, dataset metadata (e.g. age range of samples, date of accession into Neotoma, principal investigator), and site metadata (e.g. location, site name and description). neotoma also provides tools to allow cross-site analysis, including the ability to standardize taxonomies using built-in taxonomies derived from the published literature or user-provided taxonomies. We show how key functions in the neotoma package can be used, by reproducing analytic examples from the published literature focusing on Pinus migration following deglaciation and shifts in mammal species distributions during the Pleistocene.","author":[{"dropping-particle":"","family":"Goring","given":"Simon","non-dropping-particle":"","parse-names":false,"suffix":""},{"dropping-particle":"","family":"Dawson","given":"Andria","non-dropping-particle":"","parse-names":false,"suffix":""},{"dropping-particle":"","family":"Simpson","given":"Gavin L.","non-dropping-particle":"","parse-names":false,"suffix":""},{"dropping-particle":"","family":"Ram","given":"Karthik","non-dropping-particle":"","parse-names":false,"suffix":""},{"dropping-particle":"","family":"Graham","given":"Russ W.","non-dropping-particle":"","parse-names":false,"suffix":""},{"dropping-particle":"","family":"Grimm","given":"Eric C.","non-dropping-particle":"","parse-names":false,"suffix":""},{"dropping-particle":"","family":"Williams","given":"John W.","non-dropping-particle":"","parse-names":false,"suffix":""}],"container-title":"Open Quaternary","id":"ITEM-1","issue":"1","issued":{"date-parts":[["2015","3","9"]]},"publisher":"Ubiquity Press","title":"Neotoma: A programmatic interface to the neotoma paleoecological database","type":"article-journal","volume":"1"},"uris":["http://www.mendeley.com/documents/?uuid=8978a401-d608-318d-b2c9-87a2157d18dc"]}],"mendeley":{"formattedCitation":"&lt;sup&gt;[56]&lt;/sup&gt;","manualFormatting":"[56]","plainTextFormattedCitation":"[56]","previouslyFormattedCitation":"(Goring et al., 2015)"},"properties":{"noteIndex":0},"schema":"https://github.com/citation-style-language/schema/raw/master/csl-citation.json"}</w:instrText>
      </w:r>
      <w:r>
        <w:rPr>
          <w:rStyle w:val="FootnoteReference"/>
          <w:rFonts w:cstheme="minorHAnsi"/>
          <w:color w:val="auto"/>
          <w:lang w:val="en-GB"/>
        </w:rPr>
        <w:fldChar w:fldCharType="separate"/>
      </w:r>
      <w:r>
        <w:rPr>
          <w:bCs/>
          <w:noProof/>
        </w:rPr>
        <w:t>[55]</w:t>
      </w:r>
      <w:r>
        <w:rPr>
          <w:rStyle w:val="FootnoteReference"/>
          <w:rFonts w:cstheme="minorHAnsi"/>
          <w:color w:val="auto"/>
          <w:lang w:val="en-GB"/>
        </w:rPr>
        <w:fldChar w:fldCharType="end"/>
      </w:r>
      <w:r>
        <w:rPr>
          <w:lang w:val="en-GB"/>
        </w:rPr>
        <w:t xml:space="preserve">. The 479 new records that have been used here are either datasets added to Neotoma or the EPD until end of 2020 or collated from individual data contributors that </w:t>
      </w:r>
      <w:proofErr w:type="spellStart"/>
      <w:r>
        <w:rPr>
          <w:lang w:val="en-GB"/>
        </w:rPr>
        <w:t>fulfill</w:t>
      </w:r>
      <w:proofErr w:type="spellEnd"/>
      <w:r>
        <w:rPr>
          <w:lang w:val="en-GB"/>
        </w:rPr>
        <w:t xml:space="preserve"> the protocols applied in the </w:t>
      </w:r>
      <w:proofErr w:type="spellStart"/>
      <w:r>
        <w:rPr>
          <w:lang w:val="en-GB"/>
        </w:rPr>
        <w:t>Landclim</w:t>
      </w:r>
      <w:proofErr w:type="spellEnd"/>
      <w:r>
        <w:rPr>
          <w:lang w:val="en-GB"/>
        </w:rPr>
        <w:t xml:space="preserve"> projects. </w:t>
      </w:r>
      <w:r>
        <w:rPr>
          <w:lang w:val="en-GB"/>
        </w:rPr>
        <w:lastRenderedPageBreak/>
        <w:t xml:space="preserve">Pollen records are from natural terrestrial basins (lakes or bogs) with calibrated chronologies based on ≥ 3 dates. Where necessary new age-depth models expressed as (calibrated) calendar years before the present (i.e., </w:t>
      </w:r>
      <w:proofErr w:type="spellStart"/>
      <w:r>
        <w:rPr>
          <w:lang w:val="en-GB"/>
        </w:rPr>
        <w:t>cal</w:t>
      </w:r>
      <w:proofErr w:type="spellEnd"/>
      <w:r>
        <w:rPr>
          <w:lang w:val="en-GB"/>
        </w:rPr>
        <w:t xml:space="preserve"> BP = before 1950 CE, hereafter referred to as BP) were established in collaboration with the data contributors or database managers using the R-package </w:t>
      </w:r>
      <w:r>
        <w:rPr>
          <w:i/>
          <w:lang w:val="en-GB"/>
        </w:rPr>
        <w:t xml:space="preserve">clam </w:t>
      </w:r>
      <w:r>
        <w:rPr>
          <w:rStyle w:val="FootnoteReference"/>
          <w:rFonts w:cstheme="minorHAnsi"/>
          <w:color w:val="auto"/>
          <w:lang w:val="en-GB"/>
        </w:rPr>
        <w:fldChar w:fldCharType="begin" w:fldLock="1"/>
      </w:r>
      <w:r>
        <w:rPr>
          <w:lang w:val="en-GB"/>
        </w:rPr>
        <w:instrText>ADDIN CSL_CITATION {"citationItems":[{"id":"ITEM-1","itemData":{"DOI":"10.1016/j.quageo.2010.01.002","ISSN":"18711014","abstract":"Age-depth models form the backbone of most palaeoenvironmental studies. However, procedures for constructing chronologies vary between studies, they are usually not explained sufficiently, and some are inadequate for handling calibrated radiocarbon dates. An alternative method based on importance sampling through calibrated dates is proposed. Dedicated R code is presented which works with calibrated radiocarbon as well as other dates, and provides a simple, systematic, transparent, documented and customizable alternative. The code automatically produces age-depth models, enabling exploration of the impacts of different assumptions (e.g., model type, hiatuses, age offsets, outliers, and extrapolation). © 2010 Elsevier B.V.","author":[{"dropping-particle":"","family":"Blaauw","given":"Maarten","non-dropping-particle":"","parse-names":false,"suffix":""}],"container-title":"Quaternary Geochronology","id":"ITEM-1","issue":"5","issued":{"date-parts":[["2010"]]},"page":"512-518","publisher":"Elsevier B.V","title":"Methods and code for 'classical' age-modelling of radiocarbon sequences","type":"article-journal","volume":"5"},"uris":["http://www.mendeley.com/documents/?uuid=b6391060-debc-4b3b-a562-904c6e97107f"]}],"mendeley":{"formattedCitation":"&lt;sup&gt;[57]&lt;/sup&gt;","plainTextFormattedCitation":"[57]","previouslyFormattedCitation":"(Blaauw, 2010)"},"properties":{"noteIndex":0},"schema":"https://github.com/citation-style-language/schema/raw/master/csl-citation.json"}</w:instrText>
      </w:r>
      <w:r>
        <w:rPr>
          <w:rStyle w:val="FootnoteReference"/>
          <w:rFonts w:cstheme="minorHAnsi"/>
          <w:color w:val="auto"/>
          <w:lang w:val="en-GB"/>
        </w:rPr>
        <w:fldChar w:fldCharType="separate"/>
      </w:r>
      <w:r>
        <w:rPr>
          <w:bCs/>
          <w:noProof/>
        </w:rPr>
        <w:t>[56]</w:t>
      </w:r>
      <w:r>
        <w:rPr>
          <w:rStyle w:val="FootnoteReference"/>
          <w:rFonts w:cstheme="minorHAnsi"/>
          <w:color w:val="auto"/>
          <w:lang w:val="en-GB"/>
        </w:rPr>
        <w:fldChar w:fldCharType="end"/>
      </w:r>
      <w:r>
        <w:rPr>
          <w:lang w:val="en-GB"/>
        </w:rPr>
        <w:t>.</w:t>
      </w:r>
    </w:p>
    <w:p w14:paraId="50DA6EFE" w14:textId="77777777" w:rsidR="004653D0" w:rsidRDefault="004653D0" w:rsidP="004653D0">
      <w:pPr>
        <w:pStyle w:val="MDPI31text"/>
        <w:rPr>
          <w:lang w:val="en-GB"/>
        </w:rPr>
      </w:pPr>
      <w:r>
        <w:rPr>
          <w:lang w:val="en-GB"/>
        </w:rPr>
        <w:t xml:space="preserve">Site radius information was obtained from original publications where possible. Where a site’s radius could not be determined from publication, it was geolocated in Google Earth, and the area of the site was measured. A radius value was extracted, assuming that a site shape is circular </w:t>
      </w:r>
      <w:r>
        <w:rPr>
          <w:rStyle w:val="FootnoteReference"/>
          <w:color w:val="auto"/>
          <w:lang w:val="en-GB"/>
        </w:rPr>
        <w:fldChar w:fldCharType="begin" w:fldLock="1"/>
      </w:r>
      <w:r>
        <w:rPr>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mendeley":{"formattedCitation":"&lt;sup&gt;[25]&lt;/sup&gt;","manualFormatting":"[28]","plainTextFormattedCitation":"[25]","previouslyFormattedCitation":"(Mazier et al., 2012)"},"properties":{"noteIndex":0},"schema":"https://github.com/citation-style-language/schema/raw/master/csl-citation.json"}</w:instrText>
      </w:r>
      <w:r>
        <w:rPr>
          <w:rStyle w:val="FootnoteReference"/>
          <w:color w:val="auto"/>
          <w:lang w:val="en-GB"/>
        </w:rPr>
        <w:fldChar w:fldCharType="separate"/>
      </w:r>
      <w:r>
        <w:rPr>
          <w:noProof/>
          <w:lang w:val="en-GB"/>
        </w:rPr>
        <w:t>[28]</w:t>
      </w:r>
      <w:r>
        <w:rPr>
          <w:rStyle w:val="FootnoteReference"/>
          <w:color w:val="auto"/>
          <w:lang w:val="en-GB"/>
        </w:rPr>
        <w:fldChar w:fldCharType="end"/>
      </w:r>
      <w:r>
        <w:rPr>
          <w:lang w:val="en-GB"/>
        </w:rPr>
        <w:t>. Available pollen records were filtered based on criteria including basin type (to exclude archaeological sites and marine records) and quality of chronological control (excluding sites with poor age-depth models or fewer than three radiocarbon dates).</w:t>
      </w:r>
    </w:p>
    <w:p w14:paraId="66E0D3C0" w14:textId="77777777" w:rsidR="004653D0" w:rsidRDefault="004653D0" w:rsidP="004653D0">
      <w:pPr>
        <w:pStyle w:val="MDPI31text"/>
        <w:rPr>
          <w:lang w:val="en-GB"/>
        </w:rPr>
      </w:pPr>
      <w:r>
        <w:rPr>
          <w:lang w:val="en-GB"/>
        </w:rPr>
        <w:t xml:space="preserve">Pollen counts were aggregated into </w:t>
      </w:r>
      <w:proofErr w:type="gramStart"/>
      <w:r>
        <w:rPr>
          <w:lang w:val="en-GB"/>
        </w:rPr>
        <w:t>25 time</w:t>
      </w:r>
      <w:proofErr w:type="gramEnd"/>
      <w:r>
        <w:rPr>
          <w:lang w:val="en-GB"/>
        </w:rPr>
        <w:t xml:space="preserve"> windows across the Holocene (present–11,700 BP). The use of consecutive 500-year-long time windows results in REVEALS reconstructions with low SEs. The 500-year-long time windows are meaningful for the study of past land-cover changes over several millennia </w:t>
      </w:r>
      <w:r>
        <w:rPr>
          <w:rStyle w:val="FootnoteReference"/>
          <w:rFonts w:cstheme="minorHAnsi"/>
          <w:color w:val="auto"/>
          <w:lang w:val="en-GB"/>
        </w:rPr>
        <w:fldChar w:fldCharType="begin" w:fldLock="1"/>
      </w:r>
      <w:r>
        <w:rPr>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w:instrText>
      </w:r>
      <w:r>
        <w:rPr>
          <w:rFonts w:cs="Palatino Linotype"/>
          <w:lang w:val="en-GB"/>
        </w:rPr>
        <w:instrText>”</w:instrText>
      </w:r>
      <w:r>
        <w:rPr>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id":"ITEM-2","itemData":{"URL":"https://essd.copernicus.org/preprints/essd-2022-148/","accessed":{"date-parts":[["2022","12","1"]]},"container-title":"2022","id":"ITEM-2","issued":{"date-parts":[["0"]]},"title":"Li, F. (2022) Gridded pollen-based Holocene regional plant cover in temperate and northern subtropical China suitable for climate modeling","type":"webpage"},"uris":["http://www.mendeley.com/documents/?uuid=99e56756-aee0-3ee6-beb4-e03b789e9ea3"]}],"mendeley":{"formattedCitation":"&lt;sup&gt;[28, 31]&lt;/sup&gt;","manualFormatting":"[31,34]","plainTextFormattedCitation":"[28, 31]","previouslyFormattedCitation":"(Githumbi et al., 2022; &lt;i&gt;Li, F. (2022) Gridded Pollen-Based Holocene Regional Plant Cover in Temperate and Northern Subtropical China Suitable for Climate Modeling&lt;/i&gt;, n.d.)"},"properties":{"noteIndex":0},"schema":"https://github.com/citation-style-language/schema/raw/master/csl-citation.json"}</w:instrText>
      </w:r>
      <w:r>
        <w:rPr>
          <w:rStyle w:val="FootnoteReference"/>
          <w:rFonts w:cstheme="minorHAnsi"/>
          <w:color w:val="auto"/>
          <w:lang w:val="en-GB"/>
        </w:rPr>
        <w:fldChar w:fldCharType="separate"/>
      </w:r>
      <w:r>
        <w:rPr>
          <w:noProof/>
          <w:lang w:val="en-GB"/>
        </w:rPr>
        <w:t>[31,34]</w:t>
      </w:r>
      <w:r>
        <w:rPr>
          <w:rStyle w:val="FootnoteReference"/>
          <w:rFonts w:cstheme="minorHAnsi"/>
          <w:color w:val="auto"/>
          <w:lang w:val="en-GB"/>
        </w:rPr>
        <w:fldChar w:fldCharType="end"/>
      </w:r>
      <w:r>
        <w:rPr>
          <w:lang w:val="en-GB"/>
        </w:rPr>
        <w:t xml:space="preserve"> and </w:t>
      </w:r>
      <w:r>
        <w:rPr>
          <w:lang w:val="de-AT"/>
        </w:rPr>
        <w:t>maximize the pollen-count size within time windows. This minimizes standard errors by decreasing variability between samples</w:t>
      </w:r>
      <w:r>
        <w:rPr>
          <w:lang w:val="en-GB"/>
        </w:rPr>
        <w:t>. Because human-induced land-cover changes were often more rapid since the early Middle Ages than through the earlier millennia, the three most recent time windows were fixed to present–100 BP (where the present is the year of coring), 100–350 BP, and 350–700 BP. An additional modern window was considered to evaluate the performance of the quality of the REVEALS reconstruction (see Section 2.3).</w:t>
      </w:r>
    </w:p>
    <w:p w14:paraId="5A28568C" w14:textId="77777777" w:rsidR="004653D0" w:rsidRDefault="004653D0" w:rsidP="004653D0">
      <w:pPr>
        <w:pStyle w:val="MDPI31text"/>
        <w:rPr>
          <w:lang w:val="en-GB"/>
        </w:rPr>
      </w:pPr>
      <w:r>
        <w:rPr>
          <w:lang w:val="en-GB"/>
        </w:rPr>
        <w:t xml:space="preserve">The taxonomy of each of the 1607 original pollen data files was harmonized. Pollen morphological types were assigned to 31 and 46 taxa (Table 1) using an updated dictionary table from </w:t>
      </w:r>
      <w:r>
        <w:rPr>
          <w:rStyle w:val="FootnoteReference"/>
          <w:rFonts w:cstheme="minorHAnsi"/>
          <w:color w:val="auto"/>
          <w:lang w:val="en-GB"/>
        </w:rPr>
        <w:fldChar w:fldCharType="begin" w:fldLock="1"/>
      </w:r>
      <w:r>
        <w:rPr>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w:instrText>
      </w:r>
      <w:r>
        <w:rPr>
          <w:rFonts w:cs="Palatino Linotype"/>
          <w:lang w:val="en-GB"/>
        </w:rPr>
        <w:instrText>”</w:instrText>
      </w:r>
      <w:r>
        <w:rPr>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manualFormatting":"[31]","plainTextFormattedCitation":"[28]","previouslyFormattedCitation":"(Githumbi et al., 2022)"},"properties":{"noteIndex":0},"schema":"https://github.com/citation-style-language/schema/raw/master/csl-citation.json"}</w:instrText>
      </w:r>
      <w:r>
        <w:rPr>
          <w:rStyle w:val="FootnoteReference"/>
          <w:rFonts w:cstheme="minorHAnsi"/>
          <w:color w:val="auto"/>
          <w:lang w:val="en-GB"/>
        </w:rPr>
        <w:fldChar w:fldCharType="separate"/>
      </w:r>
      <w:r>
        <w:rPr>
          <w:noProof/>
          <w:lang w:val="en-GB"/>
        </w:rPr>
        <w:t>[31]</w:t>
      </w:r>
      <w:r>
        <w:rPr>
          <w:rStyle w:val="FootnoteReference"/>
          <w:rFonts w:cstheme="minorHAnsi"/>
          <w:color w:val="auto"/>
          <w:lang w:val="en-GB"/>
        </w:rPr>
        <w:fldChar w:fldCharType="end"/>
      </w:r>
      <w:r>
        <w:rPr>
          <w:lang w:val="en-GB"/>
        </w:rPr>
        <w:t xml:space="preserve"> following the protocol described in </w:t>
      </w:r>
      <w:r>
        <w:rPr>
          <w:rStyle w:val="FootnoteReference"/>
          <w:rFonts w:cstheme="minorHAnsi"/>
          <w:color w:val="auto"/>
          <w:lang w:val="en-GB"/>
        </w:rPr>
        <w:fldChar w:fldCharType="begin" w:fldLock="1"/>
      </w:r>
      <w:r>
        <w:rPr>
          <w:lang w:val="en-GB"/>
        </w:rPr>
        <w:instrText>ADDIN CSL_CITATION {"citationItems":[{"id":"ITEM-1","itemData":{"DOI":"10.1111/gcb.12737","ISSN":"13652486","PMID":"25204435","abstract":"We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Biology","id":"ITEM-1","issue":"2","issued":{"date-parts":[["2015"]]},"page":"676-697","title":"Pollen-based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mendeley":{"formattedCitation":"&lt;sup&gt;[27]&lt;/sup&gt;","manualFormatting":"[33]","plainTextFormattedCitation":"[27]","previouslyFormattedCitation":"(Trondman et al., 2015a)"},"properties":{"noteIndex":0},"schema":"https://github.com/citation-style-language/schema/raw/master/csl-citation.json"}</w:instrText>
      </w:r>
      <w:r>
        <w:rPr>
          <w:rStyle w:val="FootnoteReference"/>
          <w:rFonts w:cstheme="minorHAnsi"/>
          <w:color w:val="auto"/>
          <w:lang w:val="en-GB"/>
        </w:rPr>
        <w:fldChar w:fldCharType="separate"/>
      </w:r>
      <w:r>
        <w:rPr>
          <w:noProof/>
          <w:lang w:val="en-GB"/>
        </w:rPr>
        <w:t>[33]</w:t>
      </w:r>
      <w:r>
        <w:rPr>
          <w:rStyle w:val="FootnoteReference"/>
          <w:rFonts w:cstheme="minorHAnsi"/>
          <w:color w:val="auto"/>
          <w:lang w:val="en-GB"/>
        </w:rPr>
        <w:fldChar w:fldCharType="end"/>
      </w:r>
      <w:r>
        <w:rPr>
          <w:lang w:val="en-GB"/>
        </w:rPr>
        <w:t>. Samples from each harmonized record were aggregated in time windows using the assigned calibrated ages BP from each age-depth model. The pollen records were then filtered to remove time windows with fewer than 100 pollen grains to avoid sterile samples that would compromise the correctness of the REVEALS estimates.</w:t>
      </w:r>
    </w:p>
    <w:p w14:paraId="588D24FB" w14:textId="77777777" w:rsidR="004653D0" w:rsidRDefault="004653D0" w:rsidP="004653D0">
      <w:pPr>
        <w:pStyle w:val="MDPI31text"/>
        <w:rPr>
          <w:lang w:val="en-GB"/>
        </w:rPr>
      </w:pPr>
      <w:r>
        <w:rPr>
          <w:lang w:val="en-GB"/>
        </w:rPr>
        <w:t xml:space="preserve">RPP </w:t>
      </w:r>
      <w:r>
        <w:t>(relative to Poaceae, RPP = 1)</w:t>
      </w:r>
      <w:r>
        <w:rPr>
          <w:lang w:val="en-GB"/>
        </w:rPr>
        <w:t xml:space="preserve"> is one of the most important input parameters required to run the REVEALS model </w:t>
      </w:r>
      <w:r>
        <w:rPr>
          <w:rStyle w:val="FootnoteReference"/>
          <w:rFonts w:cstheme="minorHAnsi"/>
          <w:color w:val="auto"/>
          <w:lang w:val="en-GB"/>
        </w:rPr>
        <w:fldChar w:fldCharType="begin" w:fldLock="1"/>
      </w:r>
      <w:r>
        <w:rPr>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7881646e-c868-425c-893d-354c61d81a9f"]}],"mendeley":{"formattedCitation":"&lt;sup&gt;[24]&lt;/sup&gt;","manualFormatting":"[27]","plainTextFormattedCitation":"[24]","previouslyFormattedCitation":"(Sugita, 2007a)"},"properties":{"noteIndex":0},"schema":"https://github.com/citation-style-language/schema/raw/master/csl-citation.json"}</w:instrText>
      </w:r>
      <w:r>
        <w:rPr>
          <w:rStyle w:val="FootnoteReference"/>
          <w:rFonts w:cstheme="minorHAnsi"/>
          <w:color w:val="auto"/>
          <w:lang w:val="en-GB"/>
        </w:rPr>
        <w:fldChar w:fldCharType="separate"/>
      </w:r>
      <w:r>
        <w:rPr>
          <w:noProof/>
          <w:lang w:val="en-GB"/>
        </w:rPr>
        <w:t>[27]</w:t>
      </w:r>
      <w:r>
        <w:rPr>
          <w:rStyle w:val="FootnoteReference"/>
          <w:rFonts w:cstheme="minorHAnsi"/>
          <w:color w:val="auto"/>
          <w:lang w:val="en-GB"/>
        </w:rPr>
        <w:fldChar w:fldCharType="end"/>
      </w:r>
      <w:r>
        <w:rPr>
          <w:lang w:val="en-GB"/>
        </w:rPr>
        <w:t xml:space="preserve">. We test the inclusion or exclusion of </w:t>
      </w:r>
      <w:r>
        <w:t>plant taxa with dominant entomophily and the effect of RPP values on the grid-based REVEALS estimates (Gb-</w:t>
      </w:r>
      <w:proofErr w:type="spellStart"/>
      <w:r>
        <w:t>RVest</w:t>
      </w:r>
      <w:proofErr w:type="spellEnd"/>
      <w:r>
        <w:t xml:space="preserve">). </w:t>
      </w:r>
      <w:r>
        <w:rPr>
          <w:lang w:val="en-GB"/>
        </w:rPr>
        <w:t>The selection of RPP studies, RPP values, and calculation of mean RPP and their standard deviation (SD) for Europe (Table 1) are explained in Appendix B, Table A1. This paper uses three alternative RPP-means datasets (Table 1) to evaluate the effect of RPP selection on REVEALS results.</w:t>
      </w:r>
    </w:p>
    <w:p w14:paraId="39D08F25" w14:textId="77777777" w:rsidR="004653D0" w:rsidRDefault="004653D0" w:rsidP="004653D0">
      <w:pPr>
        <w:pStyle w:val="MDPI31text"/>
      </w:pPr>
      <w:r>
        <w:rPr>
          <w:lang w:val="en-GB"/>
        </w:rPr>
        <w:t xml:space="preserve">RPPs.st1 (31 taxa) is </w:t>
      </w:r>
      <w:r>
        <w:t xml:space="preserve">the European RPP-means dataset </w:t>
      </w:r>
      <w:r>
        <w:rPr>
          <w:lang w:val="en-GB"/>
        </w:rPr>
        <w:t xml:space="preserve">from </w:t>
      </w:r>
      <w:r>
        <w:rPr>
          <w:rStyle w:val="FootnoteReference"/>
          <w:rFonts w:cstheme="minorHAnsi"/>
          <w:color w:val="auto"/>
          <w:lang w:val="en-GB"/>
        </w:rPr>
        <w:fldChar w:fldCharType="begin" w:fldLock="1"/>
      </w:r>
      <w:r>
        <w:rPr>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w:instrText>
      </w:r>
      <w:r>
        <w:rPr>
          <w:lang w:val="en-GB"/>
        </w:rPr>
        <w:instrText>× 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w:instrText>
      </w:r>
      <w:r>
        <w:rPr>
          <w:rFonts w:cs="Palatino Linotype"/>
          <w:lang w:val="en-GB"/>
        </w:rPr>
        <w:instrText>”</w:instrText>
      </w:r>
      <w:r>
        <w:rPr>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manualFormatting":"[31]","plainTextFormattedCitation":"[28]","previouslyFormattedCitation":"(Githumbi et al., 2022)"},"properties":{"noteIndex":0},"schema":"https://github.com/citation-style-language/schema/raw/master/csl-citation.json"}</w:instrText>
      </w:r>
      <w:r>
        <w:rPr>
          <w:rStyle w:val="FootnoteReference"/>
          <w:rFonts w:cstheme="minorHAnsi"/>
          <w:color w:val="auto"/>
          <w:lang w:val="en-GB"/>
        </w:rPr>
        <w:fldChar w:fldCharType="separate"/>
      </w:r>
      <w:r>
        <w:rPr>
          <w:noProof/>
          <w:lang w:val="en-GB"/>
        </w:rPr>
        <w:t>[31]</w:t>
      </w:r>
      <w:r>
        <w:rPr>
          <w:rStyle w:val="FootnoteReference"/>
          <w:rFonts w:cstheme="minorHAnsi"/>
          <w:color w:val="auto"/>
          <w:lang w:val="en-GB"/>
        </w:rPr>
        <w:fldChar w:fldCharType="end"/>
      </w:r>
      <w:r>
        <w:rPr>
          <w:lang w:val="en-GB"/>
        </w:rPr>
        <w:t xml:space="preserve">. It includes plant taxa from boreal, temperate, and Mediterranean Europe for the calculation of the RPP-mean values. </w:t>
      </w:r>
      <w:r>
        <w:t>In this selection, most entomophilous herbs are excluded, except the most common taxa with mixed wind and insect transport, such as</w:t>
      </w:r>
      <w:r>
        <w:rPr>
          <w:lang w:val="en-GB"/>
        </w:rPr>
        <w:t xml:space="preserve"> </w:t>
      </w:r>
      <w:proofErr w:type="spellStart"/>
      <w:r>
        <w:rPr>
          <w:lang w:val="en-GB"/>
        </w:rPr>
        <w:t>Amaranthaceae</w:t>
      </w:r>
      <w:proofErr w:type="spellEnd"/>
      <w:r>
        <w:rPr>
          <w:lang w:val="en-GB"/>
        </w:rPr>
        <w:t xml:space="preserve">/Chenopodiaceae, </w:t>
      </w:r>
      <w:r>
        <w:rPr>
          <w:i/>
          <w:lang w:val="en-GB"/>
        </w:rPr>
        <w:t>Fi—</w:t>
      </w:r>
      <w:proofErr w:type="spellStart"/>
      <w:r>
        <w:rPr>
          <w:i/>
          <w:lang w:val="en-GB"/>
        </w:rPr>
        <w:t>lipendula</w:t>
      </w:r>
      <w:proofErr w:type="spellEnd"/>
      <w:r>
        <w:rPr>
          <w:lang w:val="en-GB"/>
        </w:rPr>
        <w:t xml:space="preserve">, </w:t>
      </w:r>
      <w:r>
        <w:rPr>
          <w:i/>
          <w:lang w:val="en-GB"/>
        </w:rPr>
        <w:t xml:space="preserve">Rumex </w:t>
      </w:r>
      <w:proofErr w:type="spellStart"/>
      <w:r>
        <w:rPr>
          <w:i/>
          <w:lang w:val="en-GB"/>
        </w:rPr>
        <w:t>acetosa</w:t>
      </w:r>
      <w:proofErr w:type="spellEnd"/>
      <w:r>
        <w:rPr>
          <w:i/>
          <w:lang w:val="en-GB"/>
        </w:rPr>
        <w:t xml:space="preserve"> </w:t>
      </w:r>
      <w:r>
        <w:rPr>
          <w:iCs/>
          <w:lang w:val="en-GB"/>
        </w:rPr>
        <w:t>t.,</w:t>
      </w:r>
      <w:r>
        <w:rPr>
          <w:lang w:val="en-GB"/>
        </w:rPr>
        <w:t xml:space="preserve"> and </w:t>
      </w:r>
      <w:r>
        <w:rPr>
          <w:i/>
          <w:lang w:val="en-GB"/>
        </w:rPr>
        <w:t>Plantago lanceolata</w:t>
      </w:r>
      <w:r>
        <w:rPr>
          <w:lang w:val="en-GB"/>
        </w:rPr>
        <w:t xml:space="preserve">. </w:t>
      </w:r>
      <w:r>
        <w:t xml:space="preserve">Note that the entomophilous tree </w:t>
      </w:r>
      <w:r>
        <w:rPr>
          <w:i/>
        </w:rPr>
        <w:t xml:space="preserve">Tilia </w:t>
      </w:r>
      <w:r>
        <w:t xml:space="preserve">and partly entomophilous tree/shrub </w:t>
      </w:r>
      <w:r>
        <w:rPr>
          <w:i/>
        </w:rPr>
        <w:t>Salix</w:t>
      </w:r>
      <w:r>
        <w:t xml:space="preserve"> are included.</w:t>
      </w:r>
    </w:p>
    <w:p w14:paraId="11104FBE" w14:textId="77777777" w:rsidR="004653D0" w:rsidRDefault="004653D0" w:rsidP="004653D0">
      <w:pPr>
        <w:pStyle w:val="MDPI31text"/>
        <w:rPr>
          <w:lang w:val="en-GB"/>
        </w:rPr>
      </w:pPr>
      <w:r>
        <w:rPr>
          <w:lang w:val="en-GB"/>
        </w:rPr>
        <w:t xml:space="preserve">RPPs.st2 (46 taxa) is a new synthesis proposed in this study, inclusive of a larger number of entomophilous taxa. It uses the same 31 taxa and mean values of RPP used in the first dataset </w:t>
      </w:r>
      <w:r>
        <w:rPr>
          <w:rStyle w:val="FootnoteReference"/>
          <w:rFonts w:cstheme="minorHAnsi"/>
          <w:color w:val="auto"/>
          <w:lang w:val="en-GB"/>
        </w:rPr>
        <w:fldChar w:fldCharType="begin" w:fldLock="1"/>
      </w:r>
      <w:r>
        <w:rPr>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manualFormatting":"[31]","plainTextFormattedCitation":"[28]","previouslyFormattedCitation":"(Githumbi et al., 2022)"},"properties":{"noteIndex":0},"schema":"https://github.com/citation-style-language/schema/raw/master/csl-citation.json"}</w:instrText>
      </w:r>
      <w:r>
        <w:rPr>
          <w:rStyle w:val="FootnoteReference"/>
          <w:rFonts w:cstheme="minorHAnsi"/>
          <w:color w:val="auto"/>
          <w:lang w:val="en-GB"/>
        </w:rPr>
        <w:fldChar w:fldCharType="separate"/>
      </w:r>
      <w:r>
        <w:rPr>
          <w:noProof/>
          <w:lang w:val="en-GB"/>
        </w:rPr>
        <w:t>[31]</w:t>
      </w:r>
      <w:r>
        <w:rPr>
          <w:rStyle w:val="FootnoteReference"/>
          <w:rFonts w:cstheme="minorHAnsi"/>
          <w:color w:val="auto"/>
          <w:lang w:val="en-GB"/>
        </w:rPr>
        <w:fldChar w:fldCharType="end"/>
      </w:r>
      <w:r>
        <w:rPr>
          <w:lang w:val="en-GB"/>
        </w:rPr>
        <w:t xml:space="preserve"> and </w:t>
      </w:r>
      <w:r>
        <w:t>13 additional entomophilous taxa (some with mixed wind and insect transport), i.e.</w:t>
      </w:r>
      <w:r>
        <w:rPr>
          <w:lang w:val="en-GB"/>
        </w:rPr>
        <w:t xml:space="preserve">, </w:t>
      </w:r>
      <w:proofErr w:type="spellStart"/>
      <w:r>
        <w:rPr>
          <w:i/>
          <w:lang w:val="en-GB"/>
        </w:rPr>
        <w:t>Empetrum</w:t>
      </w:r>
      <w:proofErr w:type="spellEnd"/>
      <w:r>
        <w:rPr>
          <w:lang w:val="en-GB"/>
        </w:rPr>
        <w:t xml:space="preserve">, </w:t>
      </w:r>
      <w:r>
        <w:rPr>
          <w:i/>
          <w:lang w:val="en-GB"/>
        </w:rPr>
        <w:t>Acer</w:t>
      </w:r>
      <w:r>
        <w:rPr>
          <w:lang w:val="en-GB"/>
        </w:rPr>
        <w:t xml:space="preserve">, </w:t>
      </w:r>
      <w:r>
        <w:rPr>
          <w:i/>
          <w:lang w:val="en-GB"/>
        </w:rPr>
        <w:t xml:space="preserve">Sambucus nigra </w:t>
      </w:r>
      <w:r>
        <w:rPr>
          <w:iCs/>
          <w:lang w:val="en-GB"/>
        </w:rPr>
        <w:t>t.</w:t>
      </w:r>
      <w:r>
        <w:rPr>
          <w:i/>
          <w:lang w:val="en-GB"/>
        </w:rPr>
        <w:t xml:space="preserve">, </w:t>
      </w:r>
      <w:r>
        <w:rPr>
          <w:lang w:val="en-GB"/>
        </w:rPr>
        <w:t xml:space="preserve">Fabaceae, </w:t>
      </w:r>
      <w:proofErr w:type="spellStart"/>
      <w:r>
        <w:rPr>
          <w:lang w:val="en-GB"/>
        </w:rPr>
        <w:t>Apiaceae</w:t>
      </w:r>
      <w:proofErr w:type="spellEnd"/>
      <w:r>
        <w:rPr>
          <w:lang w:val="en-GB"/>
        </w:rPr>
        <w:t xml:space="preserve">, Compositae SF. </w:t>
      </w:r>
      <w:r>
        <w:rPr>
          <w:lang w:val="it-IT"/>
        </w:rPr>
        <w:t xml:space="preserve">Cichorioideae, </w:t>
      </w:r>
      <w:r>
        <w:rPr>
          <w:iCs/>
          <w:lang w:val="it-IT"/>
        </w:rPr>
        <w:t>Comp.</w:t>
      </w:r>
      <w:r>
        <w:rPr>
          <w:i/>
          <w:lang w:val="it-IT"/>
        </w:rPr>
        <w:t xml:space="preserve"> Leucanthemum (Anthemis) </w:t>
      </w:r>
      <w:r>
        <w:rPr>
          <w:iCs/>
          <w:lang w:val="it-IT"/>
        </w:rPr>
        <w:t>t.</w:t>
      </w:r>
      <w:r>
        <w:rPr>
          <w:lang w:val="it-IT"/>
        </w:rPr>
        <w:t xml:space="preserve">, </w:t>
      </w:r>
      <w:r>
        <w:rPr>
          <w:i/>
          <w:lang w:val="it-IT"/>
        </w:rPr>
        <w:t>Plantago</w:t>
      </w:r>
      <w:r>
        <w:rPr>
          <w:lang w:val="it-IT"/>
        </w:rPr>
        <w:t xml:space="preserve"> </w:t>
      </w:r>
      <w:r>
        <w:rPr>
          <w:i/>
          <w:lang w:val="it-IT"/>
        </w:rPr>
        <w:t>media</w:t>
      </w:r>
      <w:r>
        <w:rPr>
          <w:lang w:val="it-IT"/>
        </w:rPr>
        <w:t xml:space="preserve">, </w:t>
      </w:r>
      <w:r>
        <w:rPr>
          <w:i/>
          <w:lang w:val="it-IT"/>
        </w:rPr>
        <w:t>Plantago montana</w:t>
      </w:r>
      <w:r>
        <w:rPr>
          <w:lang w:val="it-IT"/>
        </w:rPr>
        <w:t xml:space="preserve">, </w:t>
      </w:r>
      <w:r>
        <w:rPr>
          <w:i/>
          <w:lang w:val="it-IT"/>
        </w:rPr>
        <w:t xml:space="preserve">Ranunculus acris </w:t>
      </w:r>
      <w:r>
        <w:rPr>
          <w:iCs/>
          <w:lang w:val="it-IT"/>
        </w:rPr>
        <w:t>t.</w:t>
      </w:r>
      <w:r>
        <w:rPr>
          <w:lang w:val="it-IT"/>
        </w:rPr>
        <w:t xml:space="preserve">, </w:t>
      </w:r>
      <w:r>
        <w:rPr>
          <w:i/>
          <w:lang w:val="it-IT"/>
        </w:rPr>
        <w:t xml:space="preserve">Potentilla </w:t>
      </w:r>
      <w:r>
        <w:rPr>
          <w:iCs/>
          <w:lang w:val="it-IT"/>
        </w:rPr>
        <w:t>t.</w:t>
      </w:r>
      <w:r>
        <w:rPr>
          <w:lang w:val="it-IT"/>
        </w:rPr>
        <w:t xml:space="preserve">, Rubiaceae, and </w:t>
      </w:r>
      <w:r>
        <w:rPr>
          <w:i/>
          <w:lang w:val="it-IT"/>
        </w:rPr>
        <w:t>Trollius</w:t>
      </w:r>
      <w:r>
        <w:rPr>
          <w:lang w:val="it-IT"/>
        </w:rPr>
        <w:t xml:space="preserve">, as well as </w:t>
      </w:r>
      <w:r>
        <w:rPr>
          <w:i/>
          <w:lang w:val="it-IT"/>
        </w:rPr>
        <w:t>Populus</w:t>
      </w:r>
      <w:r>
        <w:rPr>
          <w:lang w:val="it-IT"/>
        </w:rPr>
        <w:t xml:space="preserve"> and </w:t>
      </w:r>
      <w:r>
        <w:rPr>
          <w:i/>
          <w:lang w:val="it-IT"/>
        </w:rPr>
        <w:t>Urtica</w:t>
      </w:r>
      <w:r>
        <w:rPr>
          <w:lang w:val="it-IT"/>
        </w:rPr>
        <w:t xml:space="preserve"> (mainly anemophilous). </w:t>
      </w:r>
      <w:r>
        <w:rPr>
          <w:lang w:val="en-GB"/>
        </w:rPr>
        <w:t xml:space="preserve">For these additional taxa, the mean was calculated using all available European RPP values (Appendix B, Table A1) based on standard 2 from </w:t>
      </w:r>
      <w:r>
        <w:rPr>
          <w:rStyle w:val="FootnoteReference"/>
          <w:rFonts w:cstheme="minorHAnsi"/>
          <w:color w:val="auto"/>
          <w:lang w:val="en-GB"/>
        </w:rPr>
        <w:fldChar w:fldCharType="begin" w:fldLock="1"/>
      </w:r>
      <w:r>
        <w:rPr>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mendeley":{"formattedCitation":"&lt;sup&gt;[25]&lt;/sup&gt;","manualFormatting":"[28]","plainTextFormattedCitation":"[25]","previouslyFormattedCitation":"(Mazier et al., 2012)"},"properties":{"noteIndex":0},"schema":"https://github.com/citation-style-language/schema/raw/master/csl-citation.json"}</w:instrText>
      </w:r>
      <w:r>
        <w:rPr>
          <w:rStyle w:val="FootnoteReference"/>
          <w:rFonts w:cstheme="minorHAnsi"/>
          <w:color w:val="auto"/>
          <w:lang w:val="en-GB"/>
        </w:rPr>
        <w:fldChar w:fldCharType="separate"/>
      </w:r>
      <w:r>
        <w:rPr>
          <w:noProof/>
          <w:lang w:val="en-GB"/>
        </w:rPr>
        <w:t>[28]</w:t>
      </w:r>
      <w:r>
        <w:rPr>
          <w:rStyle w:val="FootnoteReference"/>
          <w:rFonts w:cstheme="minorHAnsi"/>
          <w:color w:val="auto"/>
          <w:lang w:val="en-GB"/>
        </w:rPr>
        <w:fldChar w:fldCharType="end"/>
      </w:r>
      <w:r>
        <w:rPr>
          <w:lang w:val="en-GB"/>
        </w:rPr>
        <w:t xml:space="preserve">. We excluded values that were not significantly different from zero considering the lower bound of its SD (e.g., </w:t>
      </w:r>
      <w:proofErr w:type="spellStart"/>
      <w:r>
        <w:rPr>
          <w:i/>
          <w:lang w:val="en-GB"/>
        </w:rPr>
        <w:t>Empetrum</w:t>
      </w:r>
      <w:proofErr w:type="spellEnd"/>
      <w:r>
        <w:rPr>
          <w:lang w:val="en-GB"/>
        </w:rPr>
        <w:t>, 0.07) and values assumed to be outliers or unreliable in the original publications. The RPPs.st2 is used to test the sensitivity of the REVEALS model to the use of pollen types from entomophilous plant taxa, although the model assumes that all pollen is transported by wind (see Section 2.1).</w:t>
      </w:r>
    </w:p>
    <w:p w14:paraId="39CFE292" w14:textId="77777777" w:rsidR="004653D0" w:rsidRDefault="004653D0" w:rsidP="004653D0">
      <w:pPr>
        <w:pStyle w:val="MDPI31text"/>
        <w:rPr>
          <w:lang w:val="en-GB"/>
        </w:rPr>
      </w:pPr>
      <w:r>
        <w:rPr>
          <w:lang w:val="en-GB"/>
        </w:rPr>
        <w:lastRenderedPageBreak/>
        <w:t xml:space="preserve">RPPs.st3 (31 taxa) is a composed dataset that compiled 24 plant taxa and their RPP values selected by </w:t>
      </w:r>
      <w:r>
        <w:rPr>
          <w:rStyle w:val="FootnoteReference"/>
          <w:rFonts w:cstheme="minorHAnsi"/>
          <w:color w:val="auto"/>
          <w:lang w:val="en-GB"/>
        </w:rPr>
        <w:fldChar w:fldCharType="begin" w:fldLock="1"/>
      </w:r>
      <w:r>
        <w:rPr>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mendeley":{"formattedCitation":"&lt;sup&gt;[25]&lt;/sup&gt;","manualFormatting":"[28,","plainTextFormattedCitation":"[25]","previouslyFormattedCitation":"(Mazier et al., 2012)"},"properties":{"noteIndex":0},"schema":"https://github.com/citation-style-language/schema/raw/master/csl-citation.json"}</w:instrText>
      </w:r>
      <w:r>
        <w:rPr>
          <w:rStyle w:val="FootnoteReference"/>
          <w:rFonts w:cstheme="minorHAnsi"/>
          <w:color w:val="auto"/>
          <w:lang w:val="en-GB"/>
        </w:rPr>
        <w:fldChar w:fldCharType="separate"/>
      </w:r>
      <w:r>
        <w:rPr>
          <w:noProof/>
          <w:lang w:val="en-GB"/>
        </w:rPr>
        <w:t>[28,</w:t>
      </w:r>
      <w:r>
        <w:rPr>
          <w:rStyle w:val="FootnoteReference"/>
          <w:rFonts w:cstheme="minorHAnsi"/>
          <w:color w:val="auto"/>
          <w:lang w:val="en-GB"/>
        </w:rPr>
        <w:fldChar w:fldCharType="end"/>
      </w:r>
      <w:r>
        <w:rPr>
          <w:rStyle w:val="FootnoteReference"/>
          <w:rFonts w:cstheme="minorHAnsi"/>
          <w:color w:val="auto"/>
          <w:lang w:val="en-GB"/>
        </w:rPr>
        <w:fldChar w:fldCharType="begin" w:fldLock="1"/>
      </w:r>
      <w:r>
        <w:rPr>
          <w:lang w:val="en-GB"/>
        </w:rPr>
        <w:instrText>ADDIN CSL_CITATION {"citationItems":[{"id":"ITEM-1","itemData":{"DOI":"10.1111/gcb.12737","ISSN":"13652486","PMID":"25204435","abstract":"We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Biology","id":"ITEM-1","issue":"2","issued":{"date-parts":[["2015"]]},"page":"676-697","title":"Pollen-based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mendeley":{"formattedCitation":"&lt;sup&gt;[27]&lt;/sup&gt;","manualFormatting":"33]","plainTextFormattedCitation":"[27]","previouslyFormattedCitation":"(Trondman et al., 2015a)"},"properties":{"noteIndex":0},"schema":"https://github.com/citation-style-language/schema/raw/master/csl-citation.json"}</w:instrText>
      </w:r>
      <w:r>
        <w:rPr>
          <w:rStyle w:val="FootnoteReference"/>
          <w:rFonts w:cstheme="minorHAnsi"/>
          <w:color w:val="auto"/>
          <w:lang w:val="en-GB"/>
        </w:rPr>
        <w:fldChar w:fldCharType="separate"/>
      </w:r>
      <w:r>
        <w:rPr>
          <w:noProof/>
          <w:lang w:val="en-GB"/>
        </w:rPr>
        <w:t>33]</w:t>
      </w:r>
      <w:r>
        <w:rPr>
          <w:rStyle w:val="FootnoteReference"/>
          <w:rFonts w:cstheme="minorHAnsi"/>
          <w:color w:val="auto"/>
          <w:lang w:val="en-GB"/>
        </w:rPr>
        <w:fldChar w:fldCharType="end"/>
      </w:r>
      <w:r>
        <w:rPr>
          <w:lang w:val="en-GB"/>
        </w:rPr>
        <w:t xml:space="preserve"> and 7 Mediterranean plant taxa: </w:t>
      </w:r>
      <w:proofErr w:type="spellStart"/>
      <w:r>
        <w:rPr>
          <w:lang w:val="en-GB"/>
        </w:rPr>
        <w:t>Amaranthaceae</w:t>
      </w:r>
      <w:proofErr w:type="spellEnd"/>
      <w:r>
        <w:rPr>
          <w:lang w:val="en-GB"/>
        </w:rPr>
        <w:t xml:space="preserve">/Chenopodiaceae, </w:t>
      </w:r>
      <w:r>
        <w:rPr>
          <w:i/>
          <w:lang w:val="en-GB"/>
        </w:rPr>
        <w:t>Buxus</w:t>
      </w:r>
      <w:r>
        <w:rPr>
          <w:lang w:val="en-GB"/>
        </w:rPr>
        <w:t xml:space="preserve"> </w:t>
      </w:r>
      <w:r>
        <w:rPr>
          <w:i/>
          <w:lang w:val="en-GB"/>
        </w:rPr>
        <w:t>sempervirens, Carpinus</w:t>
      </w:r>
      <w:r>
        <w:rPr>
          <w:lang w:val="en-GB"/>
        </w:rPr>
        <w:t xml:space="preserve"> </w:t>
      </w:r>
      <w:proofErr w:type="spellStart"/>
      <w:r>
        <w:rPr>
          <w:i/>
          <w:lang w:val="en-GB"/>
        </w:rPr>
        <w:t>orientalis</w:t>
      </w:r>
      <w:proofErr w:type="spellEnd"/>
      <w:r>
        <w:rPr>
          <w:i/>
          <w:lang w:val="en-GB"/>
        </w:rPr>
        <w:t>, Castanea</w:t>
      </w:r>
      <w:r>
        <w:rPr>
          <w:lang w:val="en-GB"/>
        </w:rPr>
        <w:t xml:space="preserve"> </w:t>
      </w:r>
      <w:r>
        <w:rPr>
          <w:i/>
          <w:lang w:val="en-GB"/>
        </w:rPr>
        <w:t>sativa</w:t>
      </w:r>
      <w:r>
        <w:rPr>
          <w:lang w:val="en-GB"/>
        </w:rPr>
        <w:t xml:space="preserve">, </w:t>
      </w:r>
      <w:proofErr w:type="spellStart"/>
      <w:r>
        <w:rPr>
          <w:i/>
          <w:lang w:val="en-GB"/>
        </w:rPr>
        <w:t>Phillyrea</w:t>
      </w:r>
      <w:proofErr w:type="spellEnd"/>
      <w:r>
        <w:rPr>
          <w:lang w:val="en-GB"/>
        </w:rPr>
        <w:t xml:space="preserve"> and </w:t>
      </w:r>
      <w:r>
        <w:rPr>
          <w:iCs/>
          <w:lang w:val="en-GB"/>
        </w:rPr>
        <w:t>evergreen</w:t>
      </w:r>
      <w:r>
        <w:rPr>
          <w:i/>
          <w:lang w:val="en-GB"/>
        </w:rPr>
        <w:t xml:space="preserve"> Quercus </w:t>
      </w:r>
      <w:r>
        <w:rPr>
          <w:iCs/>
          <w:lang w:val="en-GB"/>
        </w:rPr>
        <w:t>t.</w:t>
      </w:r>
      <w:r>
        <w:rPr>
          <w:i/>
          <w:lang w:val="en-GB"/>
        </w:rPr>
        <w:t xml:space="preserve"> </w:t>
      </w:r>
      <w:r>
        <w:rPr>
          <w:rStyle w:val="FootnoteReference"/>
          <w:rFonts w:cstheme="minorHAnsi"/>
          <w:color w:val="auto"/>
          <w:lang w:val="en-GB"/>
        </w:rPr>
        <w:fldChar w:fldCharType="begin" w:fldLock="1"/>
      </w:r>
      <w:r>
        <w:rPr>
          <w:lang w:val="en-GB"/>
        </w:rPr>
        <w:instrText>ADDIN CSL_CITATION {"citationItems":[{"id":"ITEM-1","itemData":{"DOI":"10.1016/j.revpalbo.2019.02.007","ISSN":"00346667","abstract":"Estimates of relative pollen productivity (RPP) represent key input parameters for model-based quantitative reconstructions of past vegetation cover. In this study, we provide the first RPP estimates for 13 taxa from the forest steppe ecoregion in southeastern Romania (southeastern Europe). We used modern pollen assemblages from 26 points together with vegetation surveys and mapping, covering a 1.5 km radius around each sampling site. We have estimated the relevant source area of pollen (RSAP) and pollen productivity for 13 taxa relative to Poaceae using the ERV (Extended R-value model), sub-model 3, as this model shows the best goodness of fit. The estimated RSAP is about 100 m and falls within the range of RSAP estimates of moss pollsters and forest hollows from other RPP-related studies. Results show that Rubiaceae (7.97), Apiaceae (5.91), Artemisia (5.89) and Fraxinus (2.99) are high pollen producers compared to Poaceae, while Plantago lanceolata (0.58), Fabaceae (0.40), Acer (0.30), Rosaceae (0.29), Carpinus orientalis (0.24), Cerealia (0.22) and Asteraceae (0.16) are low pollen producers with lower RPPs than Poaceae. Quercus (1.10) has a pollen productivity close to that of Poaceae. The RPPs for Carpinus orientalis and Fabaceae are published here the first time for Europe. The high pollen producing plants include both entomophilous and anemophilous species, while the low pollen producers are mostly entomophilous species. Our results form an essential contribution to improving the accuracy of quantitative reconstruction of forest steppe ecoregion in Europe and generally in regions with a similar climate and vegetation setting.","author":[{"dropping-particle":"","family":"Grindean","given":"Roxana","non-dropping-particle":"","parse-names":false,"suffix":""},{"dropping-particle":"","family":"Nielsen","given":"Anne Birgitte","non-dropping-particle":"","parse-names":false,"suffix":""},{"dropping-particle":"","family":"Tanţău","given":"Ioan","non-dropping-particle":"","parse-names":false,"suffix":""},{"dropping-particle":"","family":"Feurdean","given":"Angelica","non-dropping-particle":"","parse-names":false,"suffix":""}],"container-title":"Review of Palaeobotany and Palynology","id":"ITEM-1","issued":{"date-parts":[["2019"]]},"page":"54-63","title":"Relative pollen productivity estimates in the forest steppe landscape of southeastern Romania","type":"article-journal","volume":"264"},"uris":["http://www.mendeley.com/documents/?uuid=a04ab3f8-2af2-4b36-9ffc-af3bb2cc5914"]},{"id":"ITEM-2","itemData":{"DOI":"10.5194/essd-14-1581-2022","ISSN":"1866-3516","abstract":"&lt;p&gt;&lt;![CDATA[Abstract.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Data","id":"ITEM-2","issue":"4","issued":{"date-parts":[["2022","4","8"]]},"page":"1581-1619","title":"European pollen-based REVEALS land-cover reconstructions for the Holocene: methodology, mapping and potentials","type":"article-journal","volume":"14"},"uris":["http://www.mendeley.com/documents/?uuid=a3aa2c66-dc24-3563-953d-fabb33741ce8"]}],"mendeley":{"formattedCitation":"&lt;sup&gt;[28, 58]&lt;/sup&gt;","manualFormatting":"[31]","plainTextFormattedCitation":"[28, 58]","previouslyFormattedCitation":"(Githumbi et al., 2022; Grindean et al., 2019)"},"properties":{"noteIndex":0},"schema":"https://github.com/citation-style-language/schema/raw/master/csl-citation.json"}</w:instrText>
      </w:r>
      <w:r>
        <w:rPr>
          <w:rStyle w:val="FootnoteReference"/>
          <w:rFonts w:cstheme="minorHAnsi"/>
          <w:color w:val="auto"/>
          <w:lang w:val="en-GB"/>
        </w:rPr>
        <w:fldChar w:fldCharType="separate"/>
      </w:r>
      <w:r>
        <w:rPr>
          <w:noProof/>
          <w:lang w:val="en-GB"/>
        </w:rPr>
        <w:t>[31]</w:t>
      </w:r>
      <w:r>
        <w:rPr>
          <w:rStyle w:val="FootnoteReference"/>
          <w:rFonts w:cstheme="minorHAnsi"/>
          <w:color w:val="auto"/>
          <w:lang w:val="en-GB"/>
        </w:rPr>
        <w:fldChar w:fldCharType="end"/>
      </w:r>
      <w:r>
        <w:rPr>
          <w:lang w:val="en-GB"/>
        </w:rPr>
        <w:t xml:space="preserve">. RPPs.st3 differs from RPPs.st2 and RPPs.st1 for 19 RPPs values of the following taxa: </w:t>
      </w:r>
      <w:proofErr w:type="spellStart"/>
      <w:r>
        <w:rPr>
          <w:i/>
          <w:lang w:val="en-GB"/>
        </w:rPr>
        <w:t>Picea</w:t>
      </w:r>
      <w:proofErr w:type="spellEnd"/>
      <w:r>
        <w:rPr>
          <w:lang w:val="en-GB"/>
        </w:rPr>
        <w:t xml:space="preserve">, </w:t>
      </w:r>
      <w:r>
        <w:rPr>
          <w:i/>
          <w:lang w:val="en-GB"/>
        </w:rPr>
        <w:t>Pinus</w:t>
      </w:r>
      <w:r>
        <w:rPr>
          <w:lang w:val="en-GB"/>
        </w:rPr>
        <w:t xml:space="preserve">, Ericaceae, </w:t>
      </w:r>
      <w:r>
        <w:rPr>
          <w:i/>
          <w:lang w:val="en-GB"/>
        </w:rPr>
        <w:t>Betula</w:t>
      </w:r>
      <w:r>
        <w:rPr>
          <w:lang w:val="en-GB"/>
        </w:rPr>
        <w:t xml:space="preserve">, </w:t>
      </w:r>
      <w:r>
        <w:rPr>
          <w:i/>
          <w:lang w:val="en-GB"/>
        </w:rPr>
        <w:t>Corylus</w:t>
      </w:r>
      <w:r>
        <w:rPr>
          <w:lang w:val="en-GB"/>
        </w:rPr>
        <w:t xml:space="preserve"> </w:t>
      </w:r>
      <w:r>
        <w:rPr>
          <w:i/>
          <w:lang w:val="en-GB"/>
        </w:rPr>
        <w:t>avellana</w:t>
      </w:r>
      <w:r>
        <w:rPr>
          <w:lang w:val="en-GB"/>
        </w:rPr>
        <w:t xml:space="preserve">, </w:t>
      </w:r>
      <w:r>
        <w:rPr>
          <w:i/>
          <w:lang w:val="en-GB"/>
        </w:rPr>
        <w:t>Fraxinus</w:t>
      </w:r>
      <w:r>
        <w:rPr>
          <w:lang w:val="en-GB"/>
        </w:rPr>
        <w:t xml:space="preserve">, </w:t>
      </w:r>
      <w:r>
        <w:rPr>
          <w:iCs/>
          <w:lang w:val="en-GB"/>
        </w:rPr>
        <w:t xml:space="preserve">deciduous </w:t>
      </w:r>
      <w:r>
        <w:rPr>
          <w:i/>
          <w:lang w:val="en-GB"/>
        </w:rPr>
        <w:t xml:space="preserve">Quercus </w:t>
      </w:r>
      <w:r>
        <w:rPr>
          <w:iCs/>
          <w:lang w:val="en-GB"/>
        </w:rPr>
        <w:t>t.</w:t>
      </w:r>
      <w:r>
        <w:rPr>
          <w:lang w:val="en-GB"/>
        </w:rPr>
        <w:t xml:space="preserve">, </w:t>
      </w:r>
      <w:r>
        <w:rPr>
          <w:i/>
          <w:lang w:val="en-GB"/>
        </w:rPr>
        <w:t>Carpinus</w:t>
      </w:r>
      <w:r>
        <w:rPr>
          <w:lang w:val="en-GB"/>
        </w:rPr>
        <w:t xml:space="preserve"> </w:t>
      </w:r>
      <w:proofErr w:type="spellStart"/>
      <w:r>
        <w:rPr>
          <w:i/>
          <w:lang w:val="en-GB"/>
        </w:rPr>
        <w:t>betulus</w:t>
      </w:r>
      <w:proofErr w:type="spellEnd"/>
      <w:r>
        <w:rPr>
          <w:lang w:val="en-GB"/>
        </w:rPr>
        <w:t xml:space="preserve">, </w:t>
      </w:r>
      <w:r>
        <w:rPr>
          <w:i/>
          <w:lang w:val="en-GB"/>
        </w:rPr>
        <w:t>Fagus</w:t>
      </w:r>
      <w:r>
        <w:rPr>
          <w:lang w:val="en-GB"/>
        </w:rPr>
        <w:t xml:space="preserve">, </w:t>
      </w:r>
      <w:r>
        <w:rPr>
          <w:i/>
          <w:lang w:val="en-GB"/>
        </w:rPr>
        <w:t>Tilia</w:t>
      </w:r>
      <w:r>
        <w:rPr>
          <w:lang w:val="en-GB"/>
        </w:rPr>
        <w:t xml:space="preserve">, </w:t>
      </w:r>
      <w:r>
        <w:rPr>
          <w:i/>
          <w:lang w:val="en-GB"/>
        </w:rPr>
        <w:t>Salix</w:t>
      </w:r>
      <w:r>
        <w:rPr>
          <w:lang w:val="en-GB"/>
        </w:rPr>
        <w:t xml:space="preserve">, </w:t>
      </w:r>
      <w:proofErr w:type="spellStart"/>
      <w:r>
        <w:rPr>
          <w:i/>
          <w:lang w:val="en-GB"/>
        </w:rPr>
        <w:t>Calluna</w:t>
      </w:r>
      <w:proofErr w:type="spellEnd"/>
      <w:r>
        <w:rPr>
          <w:lang w:val="en-GB"/>
        </w:rPr>
        <w:t xml:space="preserve"> </w:t>
      </w:r>
      <w:r>
        <w:rPr>
          <w:i/>
          <w:lang w:val="en-GB"/>
        </w:rPr>
        <w:t>vulgaris</w:t>
      </w:r>
      <w:r>
        <w:rPr>
          <w:lang w:val="en-GB"/>
        </w:rPr>
        <w:t xml:space="preserve">, </w:t>
      </w:r>
      <w:r>
        <w:rPr>
          <w:i/>
          <w:lang w:val="en-GB"/>
        </w:rPr>
        <w:t>Artemisia</w:t>
      </w:r>
      <w:r>
        <w:rPr>
          <w:lang w:val="en-GB"/>
        </w:rPr>
        <w:t xml:space="preserve">, Cyperaceae, </w:t>
      </w:r>
      <w:r>
        <w:rPr>
          <w:i/>
          <w:lang w:val="en-GB"/>
        </w:rPr>
        <w:t>Filipendula</w:t>
      </w:r>
      <w:r>
        <w:rPr>
          <w:lang w:val="en-GB"/>
        </w:rPr>
        <w:t xml:space="preserve">, </w:t>
      </w:r>
      <w:r>
        <w:rPr>
          <w:i/>
          <w:lang w:val="en-GB"/>
        </w:rPr>
        <w:t>Plantago</w:t>
      </w:r>
      <w:r>
        <w:rPr>
          <w:lang w:val="en-GB"/>
        </w:rPr>
        <w:t xml:space="preserve"> </w:t>
      </w:r>
      <w:r>
        <w:rPr>
          <w:i/>
          <w:lang w:val="en-GB"/>
        </w:rPr>
        <w:t>lanceolata</w:t>
      </w:r>
      <w:r>
        <w:rPr>
          <w:lang w:val="en-GB"/>
        </w:rPr>
        <w:t xml:space="preserve">, </w:t>
      </w:r>
      <w:r>
        <w:rPr>
          <w:i/>
          <w:lang w:val="en-GB"/>
        </w:rPr>
        <w:t xml:space="preserve">Rumex </w:t>
      </w:r>
      <w:proofErr w:type="spellStart"/>
      <w:r>
        <w:rPr>
          <w:i/>
          <w:lang w:val="en-GB"/>
        </w:rPr>
        <w:t>acetosa</w:t>
      </w:r>
      <w:proofErr w:type="spellEnd"/>
      <w:r>
        <w:rPr>
          <w:i/>
          <w:lang w:val="en-GB"/>
        </w:rPr>
        <w:t xml:space="preserve"> </w:t>
      </w:r>
      <w:r>
        <w:rPr>
          <w:iCs/>
          <w:lang w:val="en-GB"/>
        </w:rPr>
        <w:t>t.</w:t>
      </w:r>
      <w:r>
        <w:rPr>
          <w:lang w:val="en-GB"/>
        </w:rPr>
        <w:t xml:space="preserve">, and </w:t>
      </w:r>
      <w:r>
        <w:rPr>
          <w:i/>
          <w:lang w:val="en-GB"/>
        </w:rPr>
        <w:t>Secale cereale</w:t>
      </w:r>
      <w:r>
        <w:rPr>
          <w:lang w:val="en-GB"/>
        </w:rPr>
        <w:t xml:space="preserve">. The following 12 plant taxa share the same mean value of RPP for all three datasets: </w:t>
      </w:r>
      <w:r>
        <w:rPr>
          <w:i/>
          <w:lang w:val="en-GB"/>
        </w:rPr>
        <w:t>Abies,</w:t>
      </w:r>
      <w:r>
        <w:rPr>
          <w:lang w:val="en-GB"/>
        </w:rPr>
        <w:t xml:space="preserve"> </w:t>
      </w:r>
      <w:r>
        <w:rPr>
          <w:i/>
          <w:lang w:val="en-GB"/>
        </w:rPr>
        <w:t>Juniperus</w:t>
      </w:r>
      <w:r>
        <w:rPr>
          <w:lang w:val="en-GB"/>
        </w:rPr>
        <w:t xml:space="preserve">, </w:t>
      </w:r>
      <w:proofErr w:type="spellStart"/>
      <w:r>
        <w:rPr>
          <w:i/>
          <w:lang w:val="en-GB"/>
        </w:rPr>
        <w:t>Phillyrea</w:t>
      </w:r>
      <w:proofErr w:type="spellEnd"/>
      <w:r>
        <w:rPr>
          <w:lang w:val="en-GB"/>
        </w:rPr>
        <w:t xml:space="preserve">, </w:t>
      </w:r>
      <w:r>
        <w:rPr>
          <w:i/>
          <w:lang w:val="en-GB"/>
        </w:rPr>
        <w:t>Pistacia</w:t>
      </w:r>
      <w:r>
        <w:rPr>
          <w:lang w:val="en-GB"/>
        </w:rPr>
        <w:t xml:space="preserve">, </w:t>
      </w:r>
      <w:r>
        <w:rPr>
          <w:iCs/>
          <w:lang w:val="en-GB"/>
        </w:rPr>
        <w:t>evergreen</w:t>
      </w:r>
      <w:r>
        <w:rPr>
          <w:i/>
          <w:lang w:val="en-GB"/>
        </w:rPr>
        <w:t xml:space="preserve"> Quercus </w:t>
      </w:r>
      <w:r>
        <w:rPr>
          <w:iCs/>
          <w:lang w:val="en-GB"/>
        </w:rPr>
        <w:t>t.</w:t>
      </w:r>
      <w:r>
        <w:rPr>
          <w:lang w:val="en-GB"/>
        </w:rPr>
        <w:t xml:space="preserve">, </w:t>
      </w:r>
      <w:r>
        <w:rPr>
          <w:i/>
          <w:lang w:val="en-GB"/>
        </w:rPr>
        <w:t>Buxus sempervirens</w:t>
      </w:r>
      <w:r>
        <w:rPr>
          <w:lang w:val="en-GB"/>
        </w:rPr>
        <w:t xml:space="preserve">, </w:t>
      </w:r>
      <w:r>
        <w:rPr>
          <w:i/>
          <w:lang w:val="en-GB"/>
        </w:rPr>
        <w:t xml:space="preserve">Carpinus </w:t>
      </w:r>
      <w:proofErr w:type="spellStart"/>
      <w:r>
        <w:rPr>
          <w:i/>
          <w:lang w:val="en-GB"/>
        </w:rPr>
        <w:t>orientalis</w:t>
      </w:r>
      <w:proofErr w:type="spellEnd"/>
      <w:r>
        <w:rPr>
          <w:lang w:val="en-GB"/>
        </w:rPr>
        <w:t xml:space="preserve">, </w:t>
      </w:r>
      <w:r>
        <w:rPr>
          <w:i/>
          <w:lang w:val="en-GB"/>
        </w:rPr>
        <w:t>Castanea sativa</w:t>
      </w:r>
      <w:r>
        <w:rPr>
          <w:lang w:val="en-GB"/>
        </w:rPr>
        <w:t xml:space="preserve">, </w:t>
      </w:r>
      <w:r>
        <w:rPr>
          <w:i/>
          <w:lang w:val="en-GB"/>
        </w:rPr>
        <w:t>Ulmus</w:t>
      </w:r>
      <w:r>
        <w:rPr>
          <w:lang w:val="en-GB"/>
        </w:rPr>
        <w:t xml:space="preserve">, </w:t>
      </w:r>
      <w:proofErr w:type="spellStart"/>
      <w:r>
        <w:rPr>
          <w:lang w:val="en-GB"/>
        </w:rPr>
        <w:t>Amaranthaceae</w:t>
      </w:r>
      <w:proofErr w:type="spellEnd"/>
      <w:r>
        <w:rPr>
          <w:lang w:val="en-GB"/>
        </w:rPr>
        <w:t xml:space="preserve">/Chenopodiaceae, Poaceae, and </w:t>
      </w:r>
      <w:r>
        <w:rPr>
          <w:iCs/>
          <w:lang w:val="en-GB"/>
        </w:rPr>
        <w:t xml:space="preserve">Cerealia </w:t>
      </w:r>
      <w:r>
        <w:rPr>
          <w:lang w:val="en-GB"/>
        </w:rPr>
        <w:t xml:space="preserve">t. </w:t>
      </w:r>
    </w:p>
    <w:p w14:paraId="7733DDDE" w14:textId="77777777" w:rsidR="004653D0" w:rsidRDefault="004653D0" w:rsidP="004653D0">
      <w:pPr>
        <w:pStyle w:val="MDPI31text"/>
        <w:rPr>
          <w:lang w:val="en-GB"/>
        </w:rPr>
      </w:pPr>
      <w:r>
        <w:rPr>
          <w:lang w:val="en-GB"/>
        </w:rPr>
        <w:t xml:space="preserve">Fall speed of pollen (FSP) values are listed in </w:t>
      </w:r>
      <w:r>
        <w:rPr>
          <w:noProof/>
          <w:lang w:val="en-GB"/>
        </w:rPr>
        <w:fldChar w:fldCharType="begin" w:fldLock="1"/>
      </w:r>
      <w:r>
        <w:rPr>
          <w:noProof/>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Database","type":"article-journal","volume":"187"},"uris":["http://www.mendeley.com/documents/?uuid=eb9dc5e8-934f-4d38-bbbb-4a9c9354df1e"]},{"id":"ITEM-2","itemData":{"DOI":"10.1016/j.revpalbo.2019.02.007","ISSN":"00346667","abstract":"Estimates of relative pollen productivity (RPP) represent key input parameters for model-based quantitative reconstructions of past vegetation cover. In this study, we provide the first RPP estimates for 13 taxa from the forest steppe ecoregion in southeastern Romania (southeastern Europe). We used modern pollen assemblages from 26 points together with vegetation surveys and mapping, covering a 1.5 km radius around each sampling site. We have estimated the relevant source area of pollen (RSAP) and pollen productivity for 13 taxa relative to Poaceae using the ERV (Extended R-value model), sub-model 3, as this model shows the best goodness of fit. The estimated RSAP is about 100 m and falls within the range of RSAP estimates of moss pollsters and forest hollows from other RPP-related studies. Results show that Rubiaceae (7.97), Apiaceae (5.91), Artemisia (5.89) and Fraxinus (2.99) are high pollen producers compared to Poaceae, while Plantago lanceolata (0.58), Fabaceae (0.40), Acer (0.30), Rosaceae (0.29), Carpinus orientalis (0.24), Cerealia (0.22) and Asteraceae (0.16) are low pollen producers with lower RPPs than Poaceae. Quercus (1.10) has a pollen productivity close to that of Poaceae. The RPPs for Carpinus orientalis and Fabaceae are published here the first time for Europe. The high pollen producing plants include both entomophilous and anemophilous species, while the low pollen producers are mostly entomophilous species. Our results form an essential contribution to improving the accuracy of quantitative reconstruction of forest steppe ecoregion in Europe and generally in regions with a similar climate and vegetation setting.","author":[{"dropping-particle":"","family":"Grindean","given":"Roxana","non-dropping-particle":"","parse-names":false,"suffix":""},{"dropping-particle":"","family":"Nielsen","given":"Anne Birgitte","non-dropping-particle":"","parse-names":false,"suffix":""},{"dropping-particle":"","family":"Tanţău","given":"Ioan","non-dropping-particle":"","parse-names":false,"suffix":""},{"dropping-particle":"","family":"Feurdean","given":"Angelica","non-dropping-particle":"","parse-names":false,"suffix":""}],"container-title":"Review of Palaeobotany and Palynology","id":"ITEM-2","issued":{"date-parts":[["2019"]]},"page":"54-63","title":"Relative pollen productivity estimates in the forest steppe landscape of southeastern Romania","type":"article-journal","volume":"264"},"uris":["http://www.mendeley.com/documents/?uuid=a04ab3f8-2af2-4b36-9ffc-af3bb2cc5914"]},{"id":"ITEM-3","itemData":{"DOI":"10.5194/essd-14-1581-2022","ISSN":"1866-3516","abstract":"&lt;p&gt;&lt;![CDATA[Abstract.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noProof/>
          <w:lang w:val="en-GB"/>
        </w:rPr>
        <w:instrText>∘</w:instrText>
      </w:r>
      <w:r>
        <w:rPr>
          <w:rFonts w:cs="Palatino Linotype"/>
          <w:noProof/>
          <w:lang w:val="en-GB"/>
        </w:rPr>
        <w:instrText> × </w:instrText>
      </w:r>
      <w:r>
        <w:rPr>
          <w:noProof/>
          <w:lang w:val="en-GB"/>
        </w:rPr>
        <w:instrText>1</w:instrText>
      </w:r>
      <w:r>
        <w:rPr>
          <w:rFonts w:ascii="Cambria Math" w:hAnsi="Cambria Math" w:cs="Cambria Math"/>
          <w:noProof/>
          <w:lang w:val="en-GB"/>
        </w:rPr>
        <w:instrText>∘</w:instrText>
      </w:r>
      <w:r>
        <w:rPr>
          <w:noProof/>
          <w:lang w:val="en-GB"/>
        </w:rPr>
        <w:instrText xml:space="preserve"> spatial scale using the </w:instrText>
      </w:r>
      <w:r>
        <w:rPr>
          <w:rFonts w:cs="Palatino Linotype"/>
          <w:noProof/>
          <w:lang w:val="en-GB"/>
        </w:rPr>
        <w:instrText>“</w:instrText>
      </w:r>
      <w:r>
        <w:rPr>
          <w:noProof/>
          <w:lang w:val="en-GB"/>
        </w:rPr>
        <w:instrText>Regional Estimates of VEgetation Abundance from Large Sites</w:instrText>
      </w:r>
      <w:r>
        <w:rPr>
          <w:rFonts w:cs="Palatino Linotype"/>
          <w:noProof/>
          <w:lang w:val="en-GB"/>
        </w:rPr>
        <w:instrText>”</w:instrText>
      </w:r>
      <w:r>
        <w:rPr>
          <w:noProof/>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noProof/>
          <w:lang w:val="en-GB"/>
        </w:rPr>
        <w:instrText>∘</w:instrText>
      </w:r>
      <w:r>
        <w:rPr>
          <w:rFonts w:cs="Palatino Linotype"/>
          <w:noProof/>
          <w:lang w:val="en-GB"/>
        </w:rPr>
        <w:instrText> </w:instrText>
      </w:r>
      <w:r>
        <w:rPr>
          <w:noProof/>
          <w:lang w:val="en-GB"/>
        </w:rPr>
        <w:instrText>N, 25</w:instrText>
      </w:r>
      <w:r>
        <w:rPr>
          <w:rFonts w:ascii="Cambria Math" w:hAnsi="Cambria Math" w:cs="Cambria Math"/>
          <w:noProof/>
          <w:lang w:val="en-GB"/>
        </w:rPr>
        <w:instrText>∘</w:instrText>
      </w:r>
      <w:r>
        <w:rPr>
          <w:rFonts w:cs="Palatino Linotype"/>
          <w:noProof/>
          <w:lang w:val="en-GB"/>
        </w:rPr>
        <w:instrText> </w:instrText>
      </w:r>
      <w:r>
        <w:rPr>
          <w:noProof/>
          <w:lang w:val="en-GB"/>
        </w:rPr>
        <w:instrText>W</w:instrText>
      </w:r>
      <w:r>
        <w:rPr>
          <w:rFonts w:cs="Palatino Linotype"/>
          <w:noProof/>
          <w:lang w:val="en-GB"/>
        </w:rPr>
        <w:instrText>–</w:instrText>
      </w:r>
      <w:r>
        <w:rPr>
          <w:noProof/>
          <w:lang w:val="en-GB"/>
        </w:rPr>
        <w:instrText>50</w:instrText>
      </w:r>
      <w:r>
        <w:rPr>
          <w:rFonts w:ascii="Cambria Math" w:hAnsi="Cambria Math" w:cs="Cambria Math"/>
          <w:noProof/>
          <w:lang w:val="en-GB"/>
        </w:rPr>
        <w:instrText>∘</w:instrText>
      </w:r>
      <w:r>
        <w:rPr>
          <w:rFonts w:cs="Palatino Linotype"/>
          <w:noProof/>
          <w:lang w:val="en-GB"/>
        </w:rPr>
        <w:instrText> </w:instrText>
      </w:r>
      <w:r>
        <w:rPr>
          <w:noProof/>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Data","id":"ITEM-3","issue":"4","issued":{"date-parts":[["2022","4","8"]]},"page":"1581-1619","title":"European pollen-based REVEALS land-cover reconstructions for the Holocene: methodology, mapping and potentials","type":"article-journal","volume":"14"},"uris":["http://www.mendeley.com/documents/?uuid=a3aa2c66-dc24-3563-953d-fabb33741ce8"]}],"mendeley":{"formattedCitation":"&lt;sup&gt;[25, 28, 58]&lt;/sup&gt;","manualFormatting":"[31]","plainTextFormattedCitation":"[25, 28, 58]","previouslyFormattedCitation":"(Githumbi et al., 2022; Grindean et al., 2019; Mazier et al., 2012)"},"properties":{"noteIndex":0},"schema":"https://github.com/citation-style-language/schema/raw/master/csl-citation.json"}</w:instrText>
      </w:r>
      <w:r>
        <w:rPr>
          <w:noProof/>
          <w:lang w:val="en-GB"/>
        </w:rPr>
        <w:fldChar w:fldCharType="separate"/>
      </w:r>
      <w:r>
        <w:rPr>
          <w:noProof/>
          <w:lang w:val="en-GB"/>
        </w:rPr>
        <w:t>[31]</w:t>
      </w:r>
      <w:r>
        <w:rPr>
          <w:noProof/>
          <w:lang w:val="en-GB"/>
        </w:rPr>
        <w:fldChar w:fldCharType="end"/>
      </w:r>
      <w:r>
        <w:rPr>
          <w:lang w:val="en-GB"/>
        </w:rPr>
        <w:t>.</w:t>
      </w:r>
    </w:p>
    <w:p w14:paraId="1BD37DE5" w14:textId="77777777" w:rsidR="004653D0" w:rsidRDefault="004653D0" w:rsidP="004653D0">
      <w:pPr>
        <w:pStyle w:val="MDPI41tablecaption"/>
        <w:jc w:val="both"/>
        <w:rPr>
          <w:lang w:val="en-GB"/>
        </w:rPr>
      </w:pPr>
      <w:r>
        <w:rPr>
          <w:b/>
          <w:lang w:val="en-GB"/>
        </w:rPr>
        <w:t xml:space="preserve">Table 1. </w:t>
      </w:r>
      <w:r>
        <w:rPr>
          <w:lang w:val="en-GB"/>
        </w:rPr>
        <w:t>Land-cover types (LCTs) and their corresponding pollen morphological types. Fall speed of pollen (FSP) and the mean relative pollen productivity estimates (RPPs) for three different RPP-means datasets (</w:t>
      </w:r>
      <w:proofErr w:type="spellStart"/>
      <w:r>
        <w:rPr>
          <w:lang w:val="en-GB"/>
        </w:rPr>
        <w:t>RPPs.sts</w:t>
      </w:r>
      <w:proofErr w:type="spellEnd"/>
      <w:r>
        <w:rPr>
          <w:lang w:val="en-GB"/>
        </w:rPr>
        <w:t xml:space="preserve">), with their standard deviations (SDs) in brackets (see text for more explanations). We highlighted the values that remain fixed across the </w:t>
      </w:r>
      <w:proofErr w:type="spellStart"/>
      <w:r>
        <w:rPr>
          <w:lang w:val="en-GB"/>
        </w:rPr>
        <w:t>RPPs.sts</w:t>
      </w:r>
      <w:proofErr w:type="spellEnd"/>
      <w:r>
        <w:rPr>
          <w:lang w:val="en-GB"/>
        </w:rPr>
        <w:t xml:space="preserve"> in green, the additional values considered in RPPs.st3 in blue and, the 15 additional RPP values (mostly entomophilous taxa) in RPPs.st2 in orange. For more information on species involved in the calculation of original RPP values, see Appendix B, Table A1.</w:t>
      </w:r>
    </w:p>
    <w:tbl>
      <w:tblPr>
        <w:tblW w:w="10470" w:type="dxa"/>
        <w:jc w:val="center"/>
        <w:tblLayout w:type="fixed"/>
        <w:tblCellMar>
          <w:left w:w="0" w:type="dxa"/>
          <w:right w:w="0" w:type="dxa"/>
        </w:tblCellMar>
        <w:tblLook w:val="04A0" w:firstRow="1" w:lastRow="0" w:firstColumn="1" w:lastColumn="0" w:noHBand="0" w:noVBand="1"/>
      </w:tblPr>
      <w:tblGrid>
        <w:gridCol w:w="1939"/>
        <w:gridCol w:w="2919"/>
        <w:gridCol w:w="1192"/>
        <w:gridCol w:w="1480"/>
        <w:gridCol w:w="1480"/>
        <w:gridCol w:w="1460"/>
      </w:tblGrid>
      <w:tr w:rsidR="004653D0" w14:paraId="442FB5FA" w14:textId="77777777" w:rsidTr="004653D0">
        <w:trPr>
          <w:jc w:val="center"/>
        </w:trPr>
        <w:tc>
          <w:tcPr>
            <w:tcW w:w="1939" w:type="dxa"/>
            <w:tcBorders>
              <w:top w:val="single" w:sz="8" w:space="0" w:color="auto"/>
              <w:left w:val="nil"/>
              <w:bottom w:val="single" w:sz="4" w:space="0" w:color="auto"/>
              <w:right w:val="nil"/>
            </w:tcBorders>
            <w:shd w:val="clear" w:color="auto" w:fill="FFFFFF"/>
            <w:vAlign w:val="center"/>
            <w:hideMark/>
          </w:tcPr>
          <w:p w14:paraId="1B917191" w14:textId="77777777" w:rsidR="004653D0" w:rsidRDefault="004653D0">
            <w:pPr>
              <w:autoSpaceDE w:val="0"/>
              <w:autoSpaceDN w:val="0"/>
              <w:adjustRightInd w:val="0"/>
              <w:snapToGrid w:val="0"/>
              <w:spacing w:line="240" w:lineRule="auto"/>
              <w:jc w:val="center"/>
              <w:rPr>
                <w:rFonts w:eastAsia="Times New Roman" w:cs="Calibri"/>
                <w:b/>
                <w:noProof w:val="0"/>
                <w:szCs w:val="18"/>
              </w:rPr>
            </w:pPr>
            <w:r>
              <w:rPr>
                <w:rFonts w:eastAsia="Times New Roman" w:cs="Calibri"/>
                <w:b/>
                <w:noProof w:val="0"/>
                <w:szCs w:val="18"/>
              </w:rPr>
              <w:t>Land Cover Types (LCTs)</w:t>
            </w:r>
          </w:p>
        </w:tc>
        <w:tc>
          <w:tcPr>
            <w:tcW w:w="2918" w:type="dxa"/>
            <w:tcBorders>
              <w:top w:val="single" w:sz="8" w:space="0" w:color="auto"/>
              <w:left w:val="nil"/>
              <w:bottom w:val="single" w:sz="4" w:space="0" w:color="auto"/>
              <w:right w:val="nil"/>
            </w:tcBorders>
            <w:shd w:val="clear" w:color="auto" w:fill="FFFFFF"/>
            <w:vAlign w:val="center"/>
            <w:hideMark/>
          </w:tcPr>
          <w:p w14:paraId="35BE8412" w14:textId="77777777" w:rsidR="004653D0" w:rsidRDefault="004653D0">
            <w:pPr>
              <w:autoSpaceDE w:val="0"/>
              <w:autoSpaceDN w:val="0"/>
              <w:adjustRightInd w:val="0"/>
              <w:snapToGrid w:val="0"/>
              <w:spacing w:line="240" w:lineRule="auto"/>
              <w:jc w:val="center"/>
              <w:rPr>
                <w:rFonts w:eastAsia="Times New Roman" w:cs="Calibri"/>
                <w:b/>
                <w:noProof w:val="0"/>
                <w:color w:val="auto"/>
                <w:szCs w:val="18"/>
              </w:rPr>
            </w:pPr>
            <w:r>
              <w:rPr>
                <w:rFonts w:eastAsia="Times New Roman" w:cs="Calibri"/>
                <w:b/>
                <w:noProof w:val="0"/>
                <w:szCs w:val="18"/>
              </w:rPr>
              <w:t>Plant Taxa/Pollen-Morphological Types</w:t>
            </w:r>
          </w:p>
        </w:tc>
        <w:tc>
          <w:tcPr>
            <w:tcW w:w="1191" w:type="dxa"/>
            <w:tcBorders>
              <w:top w:val="single" w:sz="8" w:space="0" w:color="auto"/>
              <w:left w:val="nil"/>
              <w:bottom w:val="single" w:sz="4" w:space="0" w:color="auto"/>
              <w:right w:val="nil"/>
            </w:tcBorders>
            <w:shd w:val="clear" w:color="auto" w:fill="FFFFFF"/>
            <w:vAlign w:val="center"/>
            <w:hideMark/>
          </w:tcPr>
          <w:p w14:paraId="68DD6973" w14:textId="77777777" w:rsidR="004653D0" w:rsidRDefault="004653D0">
            <w:pPr>
              <w:autoSpaceDE w:val="0"/>
              <w:autoSpaceDN w:val="0"/>
              <w:adjustRightInd w:val="0"/>
              <w:snapToGrid w:val="0"/>
              <w:spacing w:line="240" w:lineRule="auto"/>
              <w:jc w:val="center"/>
              <w:rPr>
                <w:rFonts w:eastAsia="Times New Roman" w:cs="Calibri"/>
                <w:b/>
                <w:noProof w:val="0"/>
                <w:szCs w:val="18"/>
              </w:rPr>
            </w:pPr>
            <w:r>
              <w:rPr>
                <w:rFonts w:eastAsia="Times New Roman" w:cs="Calibri"/>
                <w:b/>
                <w:noProof w:val="0"/>
                <w:szCs w:val="18"/>
              </w:rPr>
              <w:t>FSP (m/s)</w:t>
            </w:r>
          </w:p>
        </w:tc>
        <w:tc>
          <w:tcPr>
            <w:tcW w:w="1479" w:type="dxa"/>
            <w:tcBorders>
              <w:top w:val="single" w:sz="8" w:space="0" w:color="auto"/>
              <w:left w:val="nil"/>
              <w:bottom w:val="single" w:sz="4" w:space="0" w:color="auto"/>
              <w:right w:val="nil"/>
            </w:tcBorders>
            <w:shd w:val="clear" w:color="auto" w:fill="FFFFFF"/>
            <w:noWrap/>
            <w:vAlign w:val="center"/>
            <w:hideMark/>
          </w:tcPr>
          <w:p w14:paraId="1123427D" w14:textId="77777777" w:rsidR="004653D0" w:rsidRDefault="004653D0">
            <w:pPr>
              <w:autoSpaceDE w:val="0"/>
              <w:autoSpaceDN w:val="0"/>
              <w:adjustRightInd w:val="0"/>
              <w:snapToGrid w:val="0"/>
              <w:spacing w:line="240" w:lineRule="auto"/>
              <w:jc w:val="center"/>
              <w:rPr>
                <w:rFonts w:eastAsia="Times New Roman" w:cs="Calibri"/>
                <w:b/>
                <w:noProof w:val="0"/>
                <w:szCs w:val="18"/>
              </w:rPr>
            </w:pPr>
            <w:r>
              <w:rPr>
                <w:rFonts w:eastAsia="Times New Roman" w:cs="Calibri"/>
                <w:b/>
                <w:noProof w:val="0"/>
                <w:szCs w:val="18"/>
              </w:rPr>
              <w:t>RPPs.st1 (SD)</w:t>
            </w:r>
          </w:p>
        </w:tc>
        <w:tc>
          <w:tcPr>
            <w:tcW w:w="1479" w:type="dxa"/>
            <w:tcBorders>
              <w:top w:val="single" w:sz="8" w:space="0" w:color="auto"/>
              <w:left w:val="nil"/>
              <w:bottom w:val="single" w:sz="4" w:space="0" w:color="auto"/>
              <w:right w:val="nil"/>
            </w:tcBorders>
            <w:shd w:val="clear" w:color="auto" w:fill="FFFFFF"/>
            <w:noWrap/>
            <w:vAlign w:val="center"/>
            <w:hideMark/>
          </w:tcPr>
          <w:p w14:paraId="10BA637F" w14:textId="77777777" w:rsidR="004653D0" w:rsidRDefault="004653D0">
            <w:pPr>
              <w:autoSpaceDE w:val="0"/>
              <w:autoSpaceDN w:val="0"/>
              <w:adjustRightInd w:val="0"/>
              <w:snapToGrid w:val="0"/>
              <w:spacing w:line="240" w:lineRule="auto"/>
              <w:jc w:val="center"/>
              <w:rPr>
                <w:rFonts w:eastAsia="Times New Roman" w:cs="Calibri"/>
                <w:b/>
                <w:noProof w:val="0"/>
                <w:szCs w:val="18"/>
              </w:rPr>
            </w:pPr>
            <w:r>
              <w:rPr>
                <w:rFonts w:eastAsia="Times New Roman" w:cs="Calibri"/>
                <w:b/>
                <w:noProof w:val="0"/>
                <w:szCs w:val="18"/>
              </w:rPr>
              <w:t>RPPs.st2 (SD)</w:t>
            </w:r>
          </w:p>
        </w:tc>
        <w:tc>
          <w:tcPr>
            <w:tcW w:w="1459" w:type="dxa"/>
            <w:tcBorders>
              <w:top w:val="single" w:sz="8" w:space="0" w:color="auto"/>
              <w:left w:val="nil"/>
              <w:bottom w:val="single" w:sz="4" w:space="0" w:color="auto"/>
              <w:right w:val="nil"/>
            </w:tcBorders>
            <w:shd w:val="clear" w:color="auto" w:fill="FFFFFF"/>
            <w:noWrap/>
            <w:vAlign w:val="center"/>
            <w:hideMark/>
          </w:tcPr>
          <w:p w14:paraId="5987A772" w14:textId="77777777" w:rsidR="004653D0" w:rsidRDefault="004653D0">
            <w:pPr>
              <w:autoSpaceDE w:val="0"/>
              <w:autoSpaceDN w:val="0"/>
              <w:adjustRightInd w:val="0"/>
              <w:snapToGrid w:val="0"/>
              <w:spacing w:line="240" w:lineRule="auto"/>
              <w:jc w:val="center"/>
              <w:rPr>
                <w:rFonts w:eastAsia="Times New Roman" w:cs="Calibri"/>
                <w:b/>
                <w:noProof w:val="0"/>
                <w:szCs w:val="18"/>
              </w:rPr>
            </w:pPr>
            <w:r>
              <w:rPr>
                <w:rFonts w:eastAsia="Times New Roman" w:cs="Calibri"/>
                <w:b/>
                <w:noProof w:val="0"/>
                <w:szCs w:val="18"/>
              </w:rPr>
              <w:t>RPPs.st3 (SD)</w:t>
            </w:r>
          </w:p>
        </w:tc>
      </w:tr>
      <w:tr w:rsidR="004653D0" w14:paraId="2F3AA8A8" w14:textId="77777777" w:rsidTr="004653D0">
        <w:trPr>
          <w:jc w:val="center"/>
        </w:trPr>
        <w:tc>
          <w:tcPr>
            <w:tcW w:w="1939" w:type="dxa"/>
            <w:vMerge w:val="restart"/>
            <w:shd w:val="clear" w:color="auto" w:fill="FFFFFF"/>
            <w:vAlign w:val="center"/>
            <w:hideMark/>
          </w:tcPr>
          <w:p w14:paraId="7565116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Evergreen Trees (ET)</w:t>
            </w:r>
          </w:p>
        </w:tc>
        <w:tc>
          <w:tcPr>
            <w:tcW w:w="2918" w:type="dxa"/>
            <w:shd w:val="clear" w:color="auto" w:fill="FFFFFF"/>
            <w:noWrap/>
            <w:vAlign w:val="center"/>
            <w:hideMark/>
          </w:tcPr>
          <w:p w14:paraId="415AB274"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Abies</w:t>
            </w:r>
          </w:p>
        </w:tc>
        <w:tc>
          <w:tcPr>
            <w:tcW w:w="1191" w:type="dxa"/>
            <w:shd w:val="clear" w:color="auto" w:fill="FFFFFF"/>
            <w:noWrap/>
            <w:vAlign w:val="center"/>
            <w:hideMark/>
          </w:tcPr>
          <w:p w14:paraId="4F7CF1F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0.12</w:t>
            </w:r>
          </w:p>
        </w:tc>
        <w:tc>
          <w:tcPr>
            <w:tcW w:w="1479" w:type="dxa"/>
            <w:shd w:val="clear" w:color="auto" w:fill="A9D08E"/>
            <w:noWrap/>
            <w:vAlign w:val="center"/>
            <w:hideMark/>
          </w:tcPr>
          <w:p w14:paraId="075B8B2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6.88(1.44)</w:t>
            </w:r>
          </w:p>
        </w:tc>
        <w:tc>
          <w:tcPr>
            <w:tcW w:w="1479" w:type="dxa"/>
            <w:shd w:val="clear" w:color="auto" w:fill="A9D08E"/>
            <w:noWrap/>
            <w:vAlign w:val="center"/>
            <w:hideMark/>
          </w:tcPr>
          <w:p w14:paraId="5DF69C7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6.88(1.44)</w:t>
            </w:r>
          </w:p>
        </w:tc>
        <w:tc>
          <w:tcPr>
            <w:tcW w:w="1459" w:type="dxa"/>
            <w:shd w:val="clear" w:color="auto" w:fill="A9D08E"/>
            <w:noWrap/>
            <w:vAlign w:val="center"/>
            <w:hideMark/>
          </w:tcPr>
          <w:p w14:paraId="58DCF1F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6.88(1.44)</w:t>
            </w:r>
          </w:p>
        </w:tc>
      </w:tr>
      <w:tr w:rsidR="004653D0" w14:paraId="6EDBABC2" w14:textId="77777777" w:rsidTr="004653D0">
        <w:trPr>
          <w:jc w:val="center"/>
        </w:trPr>
        <w:tc>
          <w:tcPr>
            <w:tcW w:w="1939" w:type="dxa"/>
            <w:vMerge/>
            <w:vAlign w:val="center"/>
            <w:hideMark/>
          </w:tcPr>
          <w:p w14:paraId="78650367"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56408678"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Buxus sempervirens</w:t>
            </w:r>
          </w:p>
        </w:tc>
        <w:tc>
          <w:tcPr>
            <w:tcW w:w="1191" w:type="dxa"/>
            <w:shd w:val="clear" w:color="auto" w:fill="FFFFFF"/>
            <w:noWrap/>
            <w:vAlign w:val="center"/>
            <w:hideMark/>
          </w:tcPr>
          <w:p w14:paraId="047393C5"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0.032</w:t>
            </w:r>
          </w:p>
        </w:tc>
        <w:tc>
          <w:tcPr>
            <w:tcW w:w="1479" w:type="dxa"/>
            <w:shd w:val="clear" w:color="auto" w:fill="A9D08E"/>
            <w:noWrap/>
            <w:vAlign w:val="center"/>
            <w:hideMark/>
          </w:tcPr>
          <w:p w14:paraId="60F8AECD"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1.89(0.068)</w:t>
            </w:r>
          </w:p>
        </w:tc>
        <w:tc>
          <w:tcPr>
            <w:tcW w:w="1479" w:type="dxa"/>
            <w:shd w:val="clear" w:color="auto" w:fill="A9D08E"/>
            <w:noWrap/>
            <w:vAlign w:val="center"/>
            <w:hideMark/>
          </w:tcPr>
          <w:p w14:paraId="3F56DE3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1.89(0.068)</w:t>
            </w:r>
          </w:p>
        </w:tc>
        <w:tc>
          <w:tcPr>
            <w:tcW w:w="1459" w:type="dxa"/>
            <w:shd w:val="clear" w:color="auto" w:fill="A9D08E"/>
            <w:noWrap/>
            <w:vAlign w:val="center"/>
            <w:hideMark/>
          </w:tcPr>
          <w:p w14:paraId="0296D0FA"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1.89(0.068)</w:t>
            </w:r>
          </w:p>
        </w:tc>
      </w:tr>
      <w:tr w:rsidR="004653D0" w14:paraId="10AD318C" w14:textId="77777777" w:rsidTr="004653D0">
        <w:trPr>
          <w:jc w:val="center"/>
        </w:trPr>
        <w:tc>
          <w:tcPr>
            <w:tcW w:w="1939" w:type="dxa"/>
            <w:vMerge/>
            <w:vAlign w:val="center"/>
            <w:hideMark/>
          </w:tcPr>
          <w:p w14:paraId="7C59205F"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023BC6D7"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proofErr w:type="spellStart"/>
            <w:r>
              <w:rPr>
                <w:rFonts w:eastAsia="Times New Roman"/>
                <w:i/>
                <w:iCs/>
                <w:noProof w:val="0"/>
                <w:szCs w:val="18"/>
              </w:rPr>
              <w:t>Empetrum</w:t>
            </w:r>
            <w:proofErr w:type="spellEnd"/>
          </w:p>
        </w:tc>
        <w:tc>
          <w:tcPr>
            <w:tcW w:w="1191" w:type="dxa"/>
            <w:shd w:val="clear" w:color="auto" w:fill="FFFFFF"/>
            <w:noWrap/>
            <w:vAlign w:val="center"/>
            <w:hideMark/>
          </w:tcPr>
          <w:p w14:paraId="4A47CFFD"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0.038</w:t>
            </w:r>
          </w:p>
        </w:tc>
        <w:tc>
          <w:tcPr>
            <w:tcW w:w="1479" w:type="dxa"/>
            <w:shd w:val="clear" w:color="auto" w:fill="FFFFFF"/>
            <w:noWrap/>
            <w:vAlign w:val="center"/>
            <w:hideMark/>
          </w:tcPr>
          <w:p w14:paraId="40030B5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4FD788DC"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0.11(0.03)</w:t>
            </w:r>
          </w:p>
        </w:tc>
        <w:tc>
          <w:tcPr>
            <w:tcW w:w="1459" w:type="dxa"/>
            <w:shd w:val="clear" w:color="auto" w:fill="FFFFFF"/>
            <w:noWrap/>
            <w:vAlign w:val="center"/>
            <w:hideMark/>
          </w:tcPr>
          <w:p w14:paraId="1AAA41D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501DE26E" w14:textId="77777777" w:rsidTr="004653D0">
        <w:trPr>
          <w:jc w:val="center"/>
        </w:trPr>
        <w:tc>
          <w:tcPr>
            <w:tcW w:w="1939" w:type="dxa"/>
            <w:vMerge/>
            <w:vAlign w:val="center"/>
            <w:hideMark/>
          </w:tcPr>
          <w:p w14:paraId="5F528A2B"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7C8B8A4E" w14:textId="77777777" w:rsidR="004653D0" w:rsidRDefault="004653D0">
            <w:pPr>
              <w:autoSpaceDE w:val="0"/>
              <w:autoSpaceDN w:val="0"/>
              <w:adjustRightInd w:val="0"/>
              <w:snapToGrid w:val="0"/>
              <w:spacing w:line="240" w:lineRule="auto"/>
              <w:jc w:val="center"/>
              <w:rPr>
                <w:rFonts w:eastAsia="Times New Roman"/>
                <w:noProof w:val="0"/>
                <w:color w:val="auto"/>
                <w:szCs w:val="18"/>
              </w:rPr>
            </w:pPr>
            <w:r>
              <w:rPr>
                <w:rFonts w:eastAsia="Times New Roman"/>
                <w:noProof w:val="0"/>
                <w:szCs w:val="18"/>
              </w:rPr>
              <w:t>Ericaceae</w:t>
            </w:r>
          </w:p>
        </w:tc>
        <w:tc>
          <w:tcPr>
            <w:tcW w:w="1191" w:type="dxa"/>
            <w:shd w:val="clear" w:color="auto" w:fill="FFFFFF"/>
            <w:noWrap/>
            <w:vAlign w:val="center"/>
            <w:hideMark/>
          </w:tcPr>
          <w:p w14:paraId="1045C7C0"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0.038</w:t>
            </w:r>
          </w:p>
        </w:tc>
        <w:tc>
          <w:tcPr>
            <w:tcW w:w="1479" w:type="dxa"/>
            <w:shd w:val="clear" w:color="auto" w:fill="A9D08E"/>
            <w:noWrap/>
            <w:vAlign w:val="center"/>
            <w:hideMark/>
          </w:tcPr>
          <w:p w14:paraId="600CDC80"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4.27(0.094)</w:t>
            </w:r>
          </w:p>
        </w:tc>
        <w:tc>
          <w:tcPr>
            <w:tcW w:w="1479" w:type="dxa"/>
            <w:shd w:val="clear" w:color="auto" w:fill="A9D08E"/>
            <w:noWrap/>
            <w:vAlign w:val="center"/>
            <w:hideMark/>
          </w:tcPr>
          <w:p w14:paraId="68740CD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4.27(0.094)</w:t>
            </w:r>
          </w:p>
        </w:tc>
        <w:tc>
          <w:tcPr>
            <w:tcW w:w="1459" w:type="dxa"/>
            <w:shd w:val="clear" w:color="auto" w:fill="9BC2E6"/>
            <w:noWrap/>
            <w:vAlign w:val="center"/>
            <w:hideMark/>
          </w:tcPr>
          <w:p w14:paraId="471D74FD"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0.07 (0.04)</w:t>
            </w:r>
          </w:p>
        </w:tc>
      </w:tr>
      <w:tr w:rsidR="004653D0" w14:paraId="758F7A9D" w14:textId="77777777" w:rsidTr="004653D0">
        <w:trPr>
          <w:jc w:val="center"/>
        </w:trPr>
        <w:tc>
          <w:tcPr>
            <w:tcW w:w="1939" w:type="dxa"/>
            <w:vMerge/>
            <w:vAlign w:val="center"/>
            <w:hideMark/>
          </w:tcPr>
          <w:p w14:paraId="25846B9B"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6420E463"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Juniperus </w:t>
            </w:r>
          </w:p>
        </w:tc>
        <w:tc>
          <w:tcPr>
            <w:tcW w:w="1191" w:type="dxa"/>
            <w:shd w:val="clear" w:color="auto" w:fill="FFFFFF"/>
            <w:noWrap/>
            <w:vAlign w:val="center"/>
            <w:hideMark/>
          </w:tcPr>
          <w:p w14:paraId="5CE683F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0.016</w:t>
            </w:r>
          </w:p>
        </w:tc>
        <w:tc>
          <w:tcPr>
            <w:tcW w:w="1479" w:type="dxa"/>
            <w:shd w:val="clear" w:color="auto" w:fill="A9D08E"/>
            <w:noWrap/>
            <w:vAlign w:val="center"/>
            <w:hideMark/>
          </w:tcPr>
          <w:p w14:paraId="1261074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2.07(0.04)</w:t>
            </w:r>
          </w:p>
        </w:tc>
        <w:tc>
          <w:tcPr>
            <w:tcW w:w="1479" w:type="dxa"/>
            <w:shd w:val="clear" w:color="auto" w:fill="A9D08E"/>
            <w:noWrap/>
            <w:vAlign w:val="center"/>
            <w:hideMark/>
          </w:tcPr>
          <w:p w14:paraId="2F5FF36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2.07(0.04)</w:t>
            </w:r>
          </w:p>
        </w:tc>
        <w:tc>
          <w:tcPr>
            <w:tcW w:w="1459" w:type="dxa"/>
            <w:shd w:val="clear" w:color="auto" w:fill="A9D08E"/>
            <w:noWrap/>
            <w:vAlign w:val="center"/>
            <w:hideMark/>
          </w:tcPr>
          <w:p w14:paraId="0F095F0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2.07(0.04)</w:t>
            </w:r>
          </w:p>
        </w:tc>
      </w:tr>
      <w:tr w:rsidR="004653D0" w14:paraId="134E6CC3" w14:textId="77777777" w:rsidTr="004653D0">
        <w:trPr>
          <w:jc w:val="center"/>
        </w:trPr>
        <w:tc>
          <w:tcPr>
            <w:tcW w:w="1939" w:type="dxa"/>
            <w:vMerge/>
            <w:vAlign w:val="center"/>
            <w:hideMark/>
          </w:tcPr>
          <w:p w14:paraId="1C5FC888"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219CC7AD"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proofErr w:type="spellStart"/>
            <w:r>
              <w:rPr>
                <w:rFonts w:eastAsia="Times New Roman"/>
                <w:i/>
                <w:iCs/>
                <w:noProof w:val="0"/>
                <w:szCs w:val="18"/>
              </w:rPr>
              <w:t>Phillyrea</w:t>
            </w:r>
            <w:proofErr w:type="spellEnd"/>
          </w:p>
        </w:tc>
        <w:tc>
          <w:tcPr>
            <w:tcW w:w="1191" w:type="dxa"/>
            <w:shd w:val="clear" w:color="auto" w:fill="FFFFFF"/>
            <w:noWrap/>
            <w:vAlign w:val="center"/>
            <w:hideMark/>
          </w:tcPr>
          <w:p w14:paraId="16A4E92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0.015</w:t>
            </w:r>
          </w:p>
        </w:tc>
        <w:tc>
          <w:tcPr>
            <w:tcW w:w="1479" w:type="dxa"/>
            <w:shd w:val="clear" w:color="auto" w:fill="A9D08E"/>
            <w:noWrap/>
            <w:vAlign w:val="center"/>
            <w:hideMark/>
          </w:tcPr>
          <w:p w14:paraId="4F91449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0.51(0.075)</w:t>
            </w:r>
          </w:p>
        </w:tc>
        <w:tc>
          <w:tcPr>
            <w:tcW w:w="1479" w:type="dxa"/>
            <w:shd w:val="clear" w:color="auto" w:fill="A9D08E"/>
            <w:noWrap/>
            <w:vAlign w:val="center"/>
            <w:hideMark/>
          </w:tcPr>
          <w:p w14:paraId="1300993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0.51(0.075)</w:t>
            </w:r>
          </w:p>
        </w:tc>
        <w:tc>
          <w:tcPr>
            <w:tcW w:w="1459" w:type="dxa"/>
            <w:shd w:val="clear" w:color="auto" w:fill="A9D08E"/>
            <w:noWrap/>
            <w:vAlign w:val="center"/>
            <w:hideMark/>
          </w:tcPr>
          <w:p w14:paraId="1902965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0.51(0.075)</w:t>
            </w:r>
          </w:p>
        </w:tc>
      </w:tr>
      <w:tr w:rsidR="004653D0" w14:paraId="60B23904" w14:textId="77777777" w:rsidTr="004653D0">
        <w:trPr>
          <w:jc w:val="center"/>
        </w:trPr>
        <w:tc>
          <w:tcPr>
            <w:tcW w:w="1939" w:type="dxa"/>
            <w:vMerge/>
            <w:vAlign w:val="center"/>
            <w:hideMark/>
          </w:tcPr>
          <w:p w14:paraId="42AF308F"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55E6AEDF"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proofErr w:type="spellStart"/>
            <w:r>
              <w:rPr>
                <w:rFonts w:eastAsia="Times New Roman"/>
                <w:i/>
                <w:iCs/>
                <w:noProof w:val="0"/>
                <w:szCs w:val="18"/>
              </w:rPr>
              <w:t>Picea</w:t>
            </w:r>
            <w:proofErr w:type="spellEnd"/>
          </w:p>
        </w:tc>
        <w:tc>
          <w:tcPr>
            <w:tcW w:w="1191" w:type="dxa"/>
            <w:shd w:val="clear" w:color="auto" w:fill="FFFFFF"/>
            <w:noWrap/>
            <w:vAlign w:val="center"/>
            <w:hideMark/>
          </w:tcPr>
          <w:p w14:paraId="0DCF817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0.056</w:t>
            </w:r>
          </w:p>
        </w:tc>
        <w:tc>
          <w:tcPr>
            <w:tcW w:w="1479" w:type="dxa"/>
            <w:shd w:val="clear" w:color="auto" w:fill="A9D08E"/>
            <w:noWrap/>
            <w:vAlign w:val="center"/>
            <w:hideMark/>
          </w:tcPr>
          <w:p w14:paraId="6CA5C37C"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5.44(0.10)</w:t>
            </w:r>
          </w:p>
        </w:tc>
        <w:tc>
          <w:tcPr>
            <w:tcW w:w="1479" w:type="dxa"/>
            <w:shd w:val="clear" w:color="auto" w:fill="A9D08E"/>
            <w:noWrap/>
            <w:vAlign w:val="center"/>
            <w:hideMark/>
          </w:tcPr>
          <w:p w14:paraId="2E495A6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5.44(0.10)</w:t>
            </w:r>
          </w:p>
        </w:tc>
        <w:tc>
          <w:tcPr>
            <w:tcW w:w="1459" w:type="dxa"/>
            <w:shd w:val="clear" w:color="auto" w:fill="9BC2E6"/>
            <w:noWrap/>
            <w:vAlign w:val="center"/>
            <w:hideMark/>
          </w:tcPr>
          <w:p w14:paraId="4F1E83C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2.62 (0.12)</w:t>
            </w:r>
          </w:p>
        </w:tc>
      </w:tr>
      <w:tr w:rsidR="004653D0" w14:paraId="3C4F4CC7" w14:textId="77777777" w:rsidTr="004653D0">
        <w:trPr>
          <w:jc w:val="center"/>
        </w:trPr>
        <w:tc>
          <w:tcPr>
            <w:tcW w:w="1939" w:type="dxa"/>
            <w:vMerge/>
            <w:vAlign w:val="center"/>
            <w:hideMark/>
          </w:tcPr>
          <w:p w14:paraId="3042327C"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76978554"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Pinus </w:t>
            </w:r>
          </w:p>
        </w:tc>
        <w:tc>
          <w:tcPr>
            <w:tcW w:w="1191" w:type="dxa"/>
            <w:shd w:val="clear" w:color="auto" w:fill="FFFFFF"/>
            <w:noWrap/>
            <w:vAlign w:val="center"/>
            <w:hideMark/>
          </w:tcPr>
          <w:p w14:paraId="2DE2CFE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0.031</w:t>
            </w:r>
          </w:p>
        </w:tc>
        <w:tc>
          <w:tcPr>
            <w:tcW w:w="1479" w:type="dxa"/>
            <w:shd w:val="clear" w:color="auto" w:fill="A9D08E"/>
            <w:noWrap/>
            <w:vAlign w:val="center"/>
            <w:hideMark/>
          </w:tcPr>
          <w:p w14:paraId="714E38B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6.06(0.24)</w:t>
            </w:r>
          </w:p>
        </w:tc>
        <w:tc>
          <w:tcPr>
            <w:tcW w:w="1479" w:type="dxa"/>
            <w:shd w:val="clear" w:color="auto" w:fill="A9D08E"/>
            <w:noWrap/>
            <w:vAlign w:val="center"/>
            <w:hideMark/>
          </w:tcPr>
          <w:p w14:paraId="60E2AAF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6.06(0.24)</w:t>
            </w:r>
          </w:p>
        </w:tc>
        <w:tc>
          <w:tcPr>
            <w:tcW w:w="1459" w:type="dxa"/>
            <w:shd w:val="clear" w:color="auto" w:fill="9BC2E6"/>
            <w:noWrap/>
            <w:vAlign w:val="center"/>
            <w:hideMark/>
          </w:tcPr>
          <w:p w14:paraId="72C64B9A"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6.38 (0.45)</w:t>
            </w:r>
          </w:p>
        </w:tc>
      </w:tr>
      <w:tr w:rsidR="004653D0" w14:paraId="7A0FCF5D" w14:textId="77777777" w:rsidTr="004653D0">
        <w:trPr>
          <w:jc w:val="center"/>
        </w:trPr>
        <w:tc>
          <w:tcPr>
            <w:tcW w:w="1939" w:type="dxa"/>
            <w:vMerge/>
            <w:vAlign w:val="center"/>
            <w:hideMark/>
          </w:tcPr>
          <w:p w14:paraId="4941559E"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6A7E7ABE"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Pistacia</w:t>
            </w:r>
          </w:p>
        </w:tc>
        <w:tc>
          <w:tcPr>
            <w:tcW w:w="1191" w:type="dxa"/>
            <w:shd w:val="clear" w:color="auto" w:fill="FFFFFF"/>
            <w:noWrap/>
            <w:vAlign w:val="center"/>
            <w:hideMark/>
          </w:tcPr>
          <w:p w14:paraId="1137BDE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w:t>
            </w:r>
          </w:p>
        </w:tc>
        <w:tc>
          <w:tcPr>
            <w:tcW w:w="1479" w:type="dxa"/>
            <w:shd w:val="clear" w:color="auto" w:fill="A9D08E"/>
            <w:noWrap/>
            <w:vAlign w:val="center"/>
            <w:hideMark/>
          </w:tcPr>
          <w:p w14:paraId="227C98C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0.76(0.201)</w:t>
            </w:r>
          </w:p>
        </w:tc>
        <w:tc>
          <w:tcPr>
            <w:tcW w:w="1479" w:type="dxa"/>
            <w:shd w:val="clear" w:color="auto" w:fill="A9D08E"/>
            <w:noWrap/>
            <w:vAlign w:val="center"/>
            <w:hideMark/>
          </w:tcPr>
          <w:p w14:paraId="20FD4EE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0.76(0.201)</w:t>
            </w:r>
          </w:p>
        </w:tc>
        <w:tc>
          <w:tcPr>
            <w:tcW w:w="1459" w:type="dxa"/>
            <w:shd w:val="clear" w:color="auto" w:fill="A9D08E"/>
            <w:noWrap/>
            <w:vAlign w:val="center"/>
            <w:hideMark/>
          </w:tcPr>
          <w:p w14:paraId="30C7BFA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0.76(0.201)</w:t>
            </w:r>
          </w:p>
        </w:tc>
      </w:tr>
      <w:tr w:rsidR="004653D0" w14:paraId="7C31D642" w14:textId="77777777" w:rsidTr="004653D0">
        <w:trPr>
          <w:jc w:val="center"/>
        </w:trPr>
        <w:tc>
          <w:tcPr>
            <w:tcW w:w="1939" w:type="dxa"/>
            <w:vMerge/>
            <w:vAlign w:val="center"/>
            <w:hideMark/>
          </w:tcPr>
          <w:p w14:paraId="4B932C5A"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6819656A"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noProof w:val="0"/>
                <w:szCs w:val="18"/>
              </w:rPr>
              <w:t xml:space="preserve">evergreen </w:t>
            </w:r>
            <w:r>
              <w:rPr>
                <w:rFonts w:eastAsia="Times New Roman"/>
                <w:i/>
                <w:iCs/>
                <w:noProof w:val="0"/>
                <w:szCs w:val="18"/>
              </w:rPr>
              <w:t xml:space="preserve">Quercus </w:t>
            </w:r>
            <w:r>
              <w:rPr>
                <w:rFonts w:eastAsia="Times New Roman"/>
                <w:noProof w:val="0"/>
                <w:szCs w:val="18"/>
              </w:rPr>
              <w:t>t.</w:t>
            </w:r>
          </w:p>
        </w:tc>
        <w:tc>
          <w:tcPr>
            <w:tcW w:w="1191" w:type="dxa"/>
            <w:shd w:val="clear" w:color="auto" w:fill="FFFFFF"/>
            <w:noWrap/>
            <w:vAlign w:val="center"/>
            <w:hideMark/>
          </w:tcPr>
          <w:p w14:paraId="315482DA"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0.035</w:t>
            </w:r>
          </w:p>
        </w:tc>
        <w:tc>
          <w:tcPr>
            <w:tcW w:w="1479" w:type="dxa"/>
            <w:shd w:val="clear" w:color="auto" w:fill="A9D08E"/>
            <w:noWrap/>
            <w:vAlign w:val="center"/>
            <w:hideMark/>
          </w:tcPr>
          <w:p w14:paraId="122CBBE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11.04(0.261)</w:t>
            </w:r>
          </w:p>
        </w:tc>
        <w:tc>
          <w:tcPr>
            <w:tcW w:w="1479" w:type="dxa"/>
            <w:shd w:val="clear" w:color="auto" w:fill="A9D08E"/>
            <w:noWrap/>
            <w:vAlign w:val="center"/>
            <w:hideMark/>
          </w:tcPr>
          <w:p w14:paraId="5930D35F"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11.04(0.261)</w:t>
            </w:r>
          </w:p>
        </w:tc>
        <w:tc>
          <w:tcPr>
            <w:tcW w:w="1459" w:type="dxa"/>
            <w:shd w:val="clear" w:color="auto" w:fill="A9D08E"/>
            <w:noWrap/>
            <w:vAlign w:val="center"/>
            <w:hideMark/>
          </w:tcPr>
          <w:p w14:paraId="4129D08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11.04(0.261)</w:t>
            </w:r>
          </w:p>
        </w:tc>
      </w:tr>
      <w:tr w:rsidR="004653D0" w14:paraId="00A4D92E" w14:textId="77777777" w:rsidTr="004653D0">
        <w:trPr>
          <w:jc w:val="center"/>
        </w:trPr>
        <w:tc>
          <w:tcPr>
            <w:tcW w:w="1939" w:type="dxa"/>
            <w:vMerge w:val="restart"/>
            <w:shd w:val="clear" w:color="auto" w:fill="FFFFFF"/>
            <w:vAlign w:val="center"/>
            <w:hideMark/>
          </w:tcPr>
          <w:p w14:paraId="1EF58E8D" w14:textId="77777777" w:rsidR="004653D0" w:rsidRDefault="004653D0">
            <w:pPr>
              <w:autoSpaceDE w:val="0"/>
              <w:autoSpaceDN w:val="0"/>
              <w:adjustRightInd w:val="0"/>
              <w:snapToGrid w:val="0"/>
              <w:spacing w:line="240" w:lineRule="auto"/>
              <w:jc w:val="center"/>
              <w:rPr>
                <w:rFonts w:eastAsia="Times New Roman" w:cs="Calibri"/>
                <w:noProof w:val="0"/>
                <w:szCs w:val="18"/>
              </w:rPr>
            </w:pPr>
            <w:proofErr w:type="spellStart"/>
            <w:r>
              <w:rPr>
                <w:rFonts w:eastAsia="Times New Roman" w:cs="Calibri"/>
                <w:noProof w:val="0"/>
                <w:szCs w:val="18"/>
              </w:rPr>
              <w:t>Summergreen</w:t>
            </w:r>
            <w:proofErr w:type="spellEnd"/>
            <w:r>
              <w:rPr>
                <w:rFonts w:eastAsia="Times New Roman" w:cs="Calibri"/>
                <w:noProof w:val="0"/>
                <w:szCs w:val="18"/>
              </w:rPr>
              <w:t xml:space="preserve"> Trees (ST)</w:t>
            </w:r>
          </w:p>
        </w:tc>
        <w:tc>
          <w:tcPr>
            <w:tcW w:w="2918" w:type="dxa"/>
            <w:shd w:val="clear" w:color="auto" w:fill="FFFFFF"/>
            <w:noWrap/>
            <w:vAlign w:val="center"/>
            <w:hideMark/>
          </w:tcPr>
          <w:p w14:paraId="4D6A7257"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Acer</w:t>
            </w:r>
          </w:p>
        </w:tc>
        <w:tc>
          <w:tcPr>
            <w:tcW w:w="1191" w:type="dxa"/>
            <w:shd w:val="clear" w:color="auto" w:fill="FFFFFF"/>
            <w:noWrap/>
            <w:vAlign w:val="center"/>
            <w:hideMark/>
          </w:tcPr>
          <w:p w14:paraId="07B1598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0.056</w:t>
            </w:r>
          </w:p>
        </w:tc>
        <w:tc>
          <w:tcPr>
            <w:tcW w:w="1479" w:type="dxa"/>
            <w:shd w:val="clear" w:color="auto" w:fill="FFFFFF"/>
            <w:noWrap/>
            <w:vAlign w:val="center"/>
            <w:hideMark/>
          </w:tcPr>
          <w:p w14:paraId="39C3AB4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228E1DC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0.63(0.156)</w:t>
            </w:r>
          </w:p>
        </w:tc>
        <w:tc>
          <w:tcPr>
            <w:tcW w:w="1459" w:type="dxa"/>
            <w:shd w:val="clear" w:color="auto" w:fill="FFFFFF"/>
            <w:noWrap/>
            <w:vAlign w:val="center"/>
            <w:hideMark/>
          </w:tcPr>
          <w:p w14:paraId="41193F7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595ED696" w14:textId="77777777" w:rsidTr="004653D0">
        <w:trPr>
          <w:jc w:val="center"/>
        </w:trPr>
        <w:tc>
          <w:tcPr>
            <w:tcW w:w="1939" w:type="dxa"/>
            <w:vMerge/>
            <w:vAlign w:val="center"/>
            <w:hideMark/>
          </w:tcPr>
          <w:p w14:paraId="4F2C737B"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7757113E"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Alnus</w:t>
            </w:r>
          </w:p>
        </w:tc>
        <w:tc>
          <w:tcPr>
            <w:tcW w:w="1191" w:type="dxa"/>
            <w:shd w:val="clear" w:color="auto" w:fill="FFFFFF"/>
            <w:noWrap/>
            <w:vAlign w:val="center"/>
            <w:hideMark/>
          </w:tcPr>
          <w:p w14:paraId="623D81D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0.021</w:t>
            </w:r>
          </w:p>
        </w:tc>
        <w:tc>
          <w:tcPr>
            <w:tcW w:w="1479" w:type="dxa"/>
            <w:shd w:val="clear" w:color="auto" w:fill="A9D08E"/>
            <w:noWrap/>
            <w:vAlign w:val="center"/>
            <w:hideMark/>
          </w:tcPr>
          <w:p w14:paraId="6CAAFAE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13.56(0.29)</w:t>
            </w:r>
          </w:p>
        </w:tc>
        <w:tc>
          <w:tcPr>
            <w:tcW w:w="1479" w:type="dxa"/>
            <w:shd w:val="clear" w:color="auto" w:fill="A9D08E"/>
            <w:noWrap/>
            <w:vAlign w:val="center"/>
            <w:hideMark/>
          </w:tcPr>
          <w:p w14:paraId="766976E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13.56(0.29)</w:t>
            </w:r>
          </w:p>
        </w:tc>
        <w:tc>
          <w:tcPr>
            <w:tcW w:w="1459" w:type="dxa"/>
            <w:shd w:val="clear" w:color="auto" w:fill="9BC2E6"/>
            <w:noWrap/>
            <w:vAlign w:val="center"/>
            <w:hideMark/>
          </w:tcPr>
          <w:p w14:paraId="4703018A"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9.07 (0.10)</w:t>
            </w:r>
          </w:p>
        </w:tc>
      </w:tr>
      <w:tr w:rsidR="004653D0" w14:paraId="09201B99" w14:textId="77777777" w:rsidTr="004653D0">
        <w:trPr>
          <w:jc w:val="center"/>
        </w:trPr>
        <w:tc>
          <w:tcPr>
            <w:tcW w:w="1939" w:type="dxa"/>
            <w:vMerge/>
            <w:vAlign w:val="center"/>
            <w:hideMark/>
          </w:tcPr>
          <w:p w14:paraId="265B0EF6"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0E59BE60"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Betula </w:t>
            </w:r>
          </w:p>
        </w:tc>
        <w:tc>
          <w:tcPr>
            <w:tcW w:w="1191" w:type="dxa"/>
            <w:shd w:val="clear" w:color="auto" w:fill="FFFFFF"/>
            <w:noWrap/>
            <w:vAlign w:val="center"/>
            <w:hideMark/>
          </w:tcPr>
          <w:p w14:paraId="23E9158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0.024</w:t>
            </w:r>
          </w:p>
        </w:tc>
        <w:tc>
          <w:tcPr>
            <w:tcW w:w="1479" w:type="dxa"/>
            <w:shd w:val="clear" w:color="auto" w:fill="A9D08E"/>
            <w:noWrap/>
            <w:vAlign w:val="center"/>
            <w:hideMark/>
          </w:tcPr>
          <w:p w14:paraId="3FEBE62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5.11(0.30)</w:t>
            </w:r>
          </w:p>
        </w:tc>
        <w:tc>
          <w:tcPr>
            <w:tcW w:w="1479" w:type="dxa"/>
            <w:shd w:val="clear" w:color="auto" w:fill="A9D08E"/>
            <w:noWrap/>
            <w:vAlign w:val="center"/>
            <w:hideMark/>
          </w:tcPr>
          <w:p w14:paraId="57E89D7D"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5.11(0.30)</w:t>
            </w:r>
          </w:p>
        </w:tc>
        <w:tc>
          <w:tcPr>
            <w:tcW w:w="1459" w:type="dxa"/>
            <w:shd w:val="clear" w:color="auto" w:fill="9BC2E6"/>
            <w:noWrap/>
            <w:vAlign w:val="center"/>
            <w:hideMark/>
          </w:tcPr>
          <w:p w14:paraId="11EE96E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3.09 (0.27)</w:t>
            </w:r>
          </w:p>
        </w:tc>
      </w:tr>
      <w:tr w:rsidR="004653D0" w14:paraId="7B52527C" w14:textId="77777777" w:rsidTr="004653D0">
        <w:trPr>
          <w:jc w:val="center"/>
        </w:trPr>
        <w:tc>
          <w:tcPr>
            <w:tcW w:w="1939" w:type="dxa"/>
            <w:vMerge/>
            <w:vAlign w:val="center"/>
            <w:hideMark/>
          </w:tcPr>
          <w:p w14:paraId="2FCF83D7"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47019EFB"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Carpinus </w:t>
            </w:r>
            <w:proofErr w:type="spellStart"/>
            <w:r>
              <w:rPr>
                <w:rFonts w:eastAsia="Times New Roman"/>
                <w:i/>
                <w:iCs/>
                <w:noProof w:val="0"/>
                <w:szCs w:val="18"/>
              </w:rPr>
              <w:t>betulus</w:t>
            </w:r>
            <w:proofErr w:type="spellEnd"/>
            <w:r>
              <w:rPr>
                <w:rFonts w:eastAsia="Times New Roman"/>
                <w:i/>
                <w:iCs/>
                <w:noProof w:val="0"/>
                <w:szCs w:val="18"/>
              </w:rPr>
              <w:t xml:space="preserve"> </w:t>
            </w:r>
          </w:p>
        </w:tc>
        <w:tc>
          <w:tcPr>
            <w:tcW w:w="1191" w:type="dxa"/>
            <w:shd w:val="clear" w:color="auto" w:fill="FFFFFF"/>
            <w:noWrap/>
            <w:vAlign w:val="center"/>
            <w:hideMark/>
          </w:tcPr>
          <w:p w14:paraId="243CCECA"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0.042</w:t>
            </w:r>
          </w:p>
        </w:tc>
        <w:tc>
          <w:tcPr>
            <w:tcW w:w="1479" w:type="dxa"/>
            <w:shd w:val="clear" w:color="auto" w:fill="A9D08E"/>
            <w:noWrap/>
            <w:vAlign w:val="center"/>
            <w:hideMark/>
          </w:tcPr>
          <w:p w14:paraId="4BD5D96C"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4.52(0.43)</w:t>
            </w:r>
          </w:p>
        </w:tc>
        <w:tc>
          <w:tcPr>
            <w:tcW w:w="1479" w:type="dxa"/>
            <w:shd w:val="clear" w:color="auto" w:fill="A9D08E"/>
            <w:noWrap/>
            <w:vAlign w:val="center"/>
            <w:hideMark/>
          </w:tcPr>
          <w:p w14:paraId="6602ED5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4.52(0.43)</w:t>
            </w:r>
          </w:p>
        </w:tc>
        <w:tc>
          <w:tcPr>
            <w:tcW w:w="1459" w:type="dxa"/>
            <w:shd w:val="clear" w:color="auto" w:fill="9BC2E6"/>
            <w:noWrap/>
            <w:vAlign w:val="center"/>
            <w:hideMark/>
          </w:tcPr>
          <w:p w14:paraId="1958B63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3.55 (0.43)</w:t>
            </w:r>
          </w:p>
        </w:tc>
      </w:tr>
      <w:tr w:rsidR="004653D0" w14:paraId="1F309D6B" w14:textId="77777777" w:rsidTr="004653D0">
        <w:trPr>
          <w:jc w:val="center"/>
        </w:trPr>
        <w:tc>
          <w:tcPr>
            <w:tcW w:w="1939" w:type="dxa"/>
            <w:vMerge/>
            <w:vAlign w:val="center"/>
            <w:hideMark/>
          </w:tcPr>
          <w:p w14:paraId="20335356"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6C10E07B"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Carpinus </w:t>
            </w:r>
            <w:proofErr w:type="spellStart"/>
            <w:r>
              <w:rPr>
                <w:rFonts w:eastAsia="Times New Roman"/>
                <w:i/>
                <w:iCs/>
                <w:noProof w:val="0"/>
                <w:szCs w:val="18"/>
              </w:rPr>
              <w:t>orientalis</w:t>
            </w:r>
            <w:proofErr w:type="spellEnd"/>
          </w:p>
        </w:tc>
        <w:tc>
          <w:tcPr>
            <w:tcW w:w="1191" w:type="dxa"/>
            <w:shd w:val="clear" w:color="auto" w:fill="FFFFFF"/>
            <w:noWrap/>
            <w:vAlign w:val="center"/>
            <w:hideMark/>
          </w:tcPr>
          <w:p w14:paraId="5E80D18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0.042</w:t>
            </w:r>
          </w:p>
        </w:tc>
        <w:tc>
          <w:tcPr>
            <w:tcW w:w="1479" w:type="dxa"/>
            <w:shd w:val="clear" w:color="auto" w:fill="A9D08E"/>
            <w:noWrap/>
            <w:vAlign w:val="center"/>
            <w:hideMark/>
          </w:tcPr>
          <w:p w14:paraId="0EF247C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0.24(0.07)</w:t>
            </w:r>
          </w:p>
        </w:tc>
        <w:tc>
          <w:tcPr>
            <w:tcW w:w="1479" w:type="dxa"/>
            <w:shd w:val="clear" w:color="auto" w:fill="A9D08E"/>
            <w:noWrap/>
            <w:vAlign w:val="center"/>
            <w:hideMark/>
          </w:tcPr>
          <w:p w14:paraId="7FB7CE0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0.24(0.07)</w:t>
            </w:r>
          </w:p>
        </w:tc>
        <w:tc>
          <w:tcPr>
            <w:tcW w:w="1459" w:type="dxa"/>
            <w:shd w:val="clear" w:color="auto" w:fill="A9D08E"/>
            <w:noWrap/>
            <w:vAlign w:val="center"/>
            <w:hideMark/>
          </w:tcPr>
          <w:p w14:paraId="496768E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0.24(0.07)</w:t>
            </w:r>
          </w:p>
        </w:tc>
      </w:tr>
      <w:tr w:rsidR="004653D0" w14:paraId="421CA033" w14:textId="77777777" w:rsidTr="004653D0">
        <w:trPr>
          <w:jc w:val="center"/>
        </w:trPr>
        <w:tc>
          <w:tcPr>
            <w:tcW w:w="1939" w:type="dxa"/>
            <w:vMerge/>
            <w:vAlign w:val="center"/>
            <w:hideMark/>
          </w:tcPr>
          <w:p w14:paraId="2713E57E"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4157E186"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Castanea sativa</w:t>
            </w:r>
          </w:p>
        </w:tc>
        <w:tc>
          <w:tcPr>
            <w:tcW w:w="1191" w:type="dxa"/>
            <w:shd w:val="clear" w:color="auto" w:fill="FFFFFF"/>
            <w:noWrap/>
            <w:vAlign w:val="center"/>
            <w:hideMark/>
          </w:tcPr>
          <w:p w14:paraId="6373A7D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0.01</w:t>
            </w:r>
          </w:p>
        </w:tc>
        <w:tc>
          <w:tcPr>
            <w:tcW w:w="1479" w:type="dxa"/>
            <w:shd w:val="clear" w:color="auto" w:fill="A9D08E"/>
            <w:noWrap/>
            <w:vAlign w:val="center"/>
            <w:hideMark/>
          </w:tcPr>
          <w:p w14:paraId="66FB055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3.26(0.059)</w:t>
            </w:r>
          </w:p>
        </w:tc>
        <w:tc>
          <w:tcPr>
            <w:tcW w:w="1479" w:type="dxa"/>
            <w:shd w:val="clear" w:color="auto" w:fill="A9D08E"/>
            <w:noWrap/>
            <w:vAlign w:val="center"/>
            <w:hideMark/>
          </w:tcPr>
          <w:p w14:paraId="470824A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3.26(0.059)</w:t>
            </w:r>
          </w:p>
        </w:tc>
        <w:tc>
          <w:tcPr>
            <w:tcW w:w="1459" w:type="dxa"/>
            <w:shd w:val="clear" w:color="auto" w:fill="A9D08E"/>
            <w:noWrap/>
            <w:vAlign w:val="center"/>
            <w:hideMark/>
          </w:tcPr>
          <w:p w14:paraId="1E73234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3.26(0.059)</w:t>
            </w:r>
          </w:p>
        </w:tc>
      </w:tr>
      <w:tr w:rsidR="004653D0" w14:paraId="34465C07" w14:textId="77777777" w:rsidTr="004653D0">
        <w:trPr>
          <w:jc w:val="center"/>
        </w:trPr>
        <w:tc>
          <w:tcPr>
            <w:tcW w:w="1939" w:type="dxa"/>
            <w:vMerge/>
            <w:vAlign w:val="center"/>
            <w:hideMark/>
          </w:tcPr>
          <w:p w14:paraId="5F3A9CB7"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669B10AA"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Corylus avellana</w:t>
            </w:r>
          </w:p>
        </w:tc>
        <w:tc>
          <w:tcPr>
            <w:tcW w:w="1191" w:type="dxa"/>
            <w:shd w:val="clear" w:color="auto" w:fill="FFFFFF"/>
            <w:noWrap/>
            <w:vAlign w:val="center"/>
            <w:hideMark/>
          </w:tcPr>
          <w:p w14:paraId="65DB3115"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0.025</w:t>
            </w:r>
          </w:p>
        </w:tc>
        <w:tc>
          <w:tcPr>
            <w:tcW w:w="1479" w:type="dxa"/>
            <w:shd w:val="clear" w:color="auto" w:fill="A9D08E"/>
            <w:noWrap/>
            <w:vAlign w:val="center"/>
            <w:hideMark/>
          </w:tcPr>
          <w:p w14:paraId="24F6DEFA"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1.71(0.10)</w:t>
            </w:r>
          </w:p>
        </w:tc>
        <w:tc>
          <w:tcPr>
            <w:tcW w:w="1479" w:type="dxa"/>
            <w:shd w:val="clear" w:color="auto" w:fill="A9D08E"/>
            <w:noWrap/>
            <w:vAlign w:val="center"/>
            <w:hideMark/>
          </w:tcPr>
          <w:p w14:paraId="2DD4E95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1.71(0.10)</w:t>
            </w:r>
          </w:p>
        </w:tc>
        <w:tc>
          <w:tcPr>
            <w:tcW w:w="1459" w:type="dxa"/>
            <w:shd w:val="clear" w:color="auto" w:fill="9BC2E6"/>
            <w:noWrap/>
            <w:vAlign w:val="center"/>
            <w:hideMark/>
          </w:tcPr>
          <w:p w14:paraId="5C07DA1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1.99 (0.20)</w:t>
            </w:r>
          </w:p>
        </w:tc>
      </w:tr>
      <w:tr w:rsidR="004653D0" w14:paraId="4BC3B050" w14:textId="77777777" w:rsidTr="004653D0">
        <w:trPr>
          <w:jc w:val="center"/>
        </w:trPr>
        <w:tc>
          <w:tcPr>
            <w:tcW w:w="1939" w:type="dxa"/>
            <w:vMerge/>
            <w:vAlign w:val="center"/>
            <w:hideMark/>
          </w:tcPr>
          <w:p w14:paraId="0A4550D0"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2039EDFE"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Fagus</w:t>
            </w:r>
          </w:p>
        </w:tc>
        <w:tc>
          <w:tcPr>
            <w:tcW w:w="1191" w:type="dxa"/>
            <w:shd w:val="clear" w:color="auto" w:fill="FFFFFF"/>
            <w:noWrap/>
            <w:vAlign w:val="center"/>
            <w:hideMark/>
          </w:tcPr>
          <w:p w14:paraId="696BE61D"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0.057</w:t>
            </w:r>
          </w:p>
        </w:tc>
        <w:tc>
          <w:tcPr>
            <w:tcW w:w="1479" w:type="dxa"/>
            <w:shd w:val="clear" w:color="auto" w:fill="A9D08E"/>
            <w:noWrap/>
            <w:vAlign w:val="center"/>
            <w:hideMark/>
          </w:tcPr>
          <w:p w14:paraId="6B67D34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5.86(0.18)</w:t>
            </w:r>
          </w:p>
        </w:tc>
        <w:tc>
          <w:tcPr>
            <w:tcW w:w="1479" w:type="dxa"/>
            <w:shd w:val="clear" w:color="auto" w:fill="A9D08E"/>
            <w:noWrap/>
            <w:vAlign w:val="center"/>
            <w:hideMark/>
          </w:tcPr>
          <w:p w14:paraId="092053F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5.86(0.18)</w:t>
            </w:r>
          </w:p>
        </w:tc>
        <w:tc>
          <w:tcPr>
            <w:tcW w:w="1459" w:type="dxa"/>
            <w:shd w:val="clear" w:color="auto" w:fill="9BC2E6"/>
            <w:noWrap/>
            <w:vAlign w:val="center"/>
            <w:hideMark/>
          </w:tcPr>
          <w:p w14:paraId="3841B4D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2.35 (0.11)</w:t>
            </w:r>
          </w:p>
        </w:tc>
      </w:tr>
      <w:tr w:rsidR="004653D0" w14:paraId="0611BB5C" w14:textId="77777777" w:rsidTr="004653D0">
        <w:trPr>
          <w:jc w:val="center"/>
        </w:trPr>
        <w:tc>
          <w:tcPr>
            <w:tcW w:w="1939" w:type="dxa"/>
            <w:vMerge/>
            <w:vAlign w:val="center"/>
            <w:hideMark/>
          </w:tcPr>
          <w:p w14:paraId="2D4FD1D8"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6A320AB5"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Fraxinus</w:t>
            </w:r>
          </w:p>
        </w:tc>
        <w:tc>
          <w:tcPr>
            <w:tcW w:w="1191" w:type="dxa"/>
            <w:shd w:val="clear" w:color="auto" w:fill="FFFFFF"/>
            <w:noWrap/>
            <w:vAlign w:val="center"/>
            <w:hideMark/>
          </w:tcPr>
          <w:p w14:paraId="1CD1A74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0.022</w:t>
            </w:r>
          </w:p>
        </w:tc>
        <w:tc>
          <w:tcPr>
            <w:tcW w:w="1479" w:type="dxa"/>
            <w:shd w:val="clear" w:color="auto" w:fill="A9D08E"/>
            <w:noWrap/>
            <w:vAlign w:val="center"/>
            <w:hideMark/>
          </w:tcPr>
          <w:p w14:paraId="320B53B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1.04(0.05)</w:t>
            </w:r>
          </w:p>
        </w:tc>
        <w:tc>
          <w:tcPr>
            <w:tcW w:w="1479" w:type="dxa"/>
            <w:shd w:val="clear" w:color="auto" w:fill="A9D08E"/>
            <w:noWrap/>
            <w:vAlign w:val="center"/>
            <w:hideMark/>
          </w:tcPr>
          <w:p w14:paraId="7797762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1.04(0.05)</w:t>
            </w:r>
          </w:p>
        </w:tc>
        <w:tc>
          <w:tcPr>
            <w:tcW w:w="1459" w:type="dxa"/>
            <w:shd w:val="clear" w:color="auto" w:fill="9BC2E6"/>
            <w:noWrap/>
            <w:vAlign w:val="center"/>
            <w:hideMark/>
          </w:tcPr>
          <w:p w14:paraId="089CE53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1.03 (0.11)</w:t>
            </w:r>
          </w:p>
        </w:tc>
      </w:tr>
      <w:tr w:rsidR="004653D0" w14:paraId="7BEE7D2E" w14:textId="77777777" w:rsidTr="004653D0">
        <w:trPr>
          <w:jc w:val="center"/>
        </w:trPr>
        <w:tc>
          <w:tcPr>
            <w:tcW w:w="1939" w:type="dxa"/>
            <w:vMerge/>
            <w:vAlign w:val="center"/>
            <w:hideMark/>
          </w:tcPr>
          <w:p w14:paraId="714D6620"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4153D22F"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Populus</w:t>
            </w:r>
            <w:r>
              <w:rPr>
                <w:rFonts w:eastAsia="Times New Roman" w:cs="Calibri"/>
                <w:i/>
                <w:iCs/>
                <w:noProof w:val="0"/>
                <w:szCs w:val="18"/>
              </w:rPr>
              <w:t xml:space="preserve"> </w:t>
            </w:r>
          </w:p>
        </w:tc>
        <w:tc>
          <w:tcPr>
            <w:tcW w:w="1191" w:type="dxa"/>
            <w:shd w:val="clear" w:color="auto" w:fill="FFFFFF"/>
            <w:noWrap/>
            <w:vAlign w:val="center"/>
            <w:hideMark/>
          </w:tcPr>
          <w:p w14:paraId="47B338F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0.025</w:t>
            </w:r>
          </w:p>
        </w:tc>
        <w:tc>
          <w:tcPr>
            <w:tcW w:w="1479" w:type="dxa"/>
            <w:shd w:val="clear" w:color="auto" w:fill="FFFFFF"/>
            <w:noWrap/>
            <w:vAlign w:val="center"/>
            <w:hideMark/>
          </w:tcPr>
          <w:p w14:paraId="419CC75A"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369891F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2.66(1.25)</w:t>
            </w:r>
          </w:p>
        </w:tc>
        <w:tc>
          <w:tcPr>
            <w:tcW w:w="1459" w:type="dxa"/>
            <w:shd w:val="clear" w:color="auto" w:fill="FFFFFF"/>
            <w:noWrap/>
            <w:vAlign w:val="center"/>
            <w:hideMark/>
          </w:tcPr>
          <w:p w14:paraId="1623F15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6C9B69AF" w14:textId="77777777" w:rsidTr="004653D0">
        <w:trPr>
          <w:jc w:val="center"/>
        </w:trPr>
        <w:tc>
          <w:tcPr>
            <w:tcW w:w="1939" w:type="dxa"/>
            <w:vMerge/>
            <w:vAlign w:val="center"/>
            <w:hideMark/>
          </w:tcPr>
          <w:p w14:paraId="0745411B"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06DF51CC"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noProof w:val="0"/>
                <w:szCs w:val="18"/>
              </w:rPr>
              <w:t xml:space="preserve">deciduous </w:t>
            </w:r>
            <w:r>
              <w:rPr>
                <w:rFonts w:eastAsia="Times New Roman"/>
                <w:i/>
                <w:iCs/>
                <w:noProof w:val="0"/>
                <w:szCs w:val="18"/>
              </w:rPr>
              <w:t xml:space="preserve">Quercus </w:t>
            </w:r>
            <w:r>
              <w:rPr>
                <w:rFonts w:eastAsia="Times New Roman"/>
                <w:noProof w:val="0"/>
                <w:szCs w:val="18"/>
              </w:rPr>
              <w:t>t.</w:t>
            </w:r>
          </w:p>
        </w:tc>
        <w:tc>
          <w:tcPr>
            <w:tcW w:w="1191" w:type="dxa"/>
            <w:shd w:val="clear" w:color="auto" w:fill="FFFFFF"/>
            <w:noWrap/>
            <w:vAlign w:val="center"/>
            <w:hideMark/>
          </w:tcPr>
          <w:p w14:paraId="4051C04C"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0.035</w:t>
            </w:r>
          </w:p>
        </w:tc>
        <w:tc>
          <w:tcPr>
            <w:tcW w:w="1479" w:type="dxa"/>
            <w:shd w:val="clear" w:color="auto" w:fill="A9D08E"/>
            <w:noWrap/>
            <w:vAlign w:val="center"/>
            <w:hideMark/>
          </w:tcPr>
          <w:p w14:paraId="1B4AFE80"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4.54(0.09)</w:t>
            </w:r>
          </w:p>
        </w:tc>
        <w:tc>
          <w:tcPr>
            <w:tcW w:w="1479" w:type="dxa"/>
            <w:shd w:val="clear" w:color="auto" w:fill="A9D08E"/>
            <w:noWrap/>
            <w:vAlign w:val="center"/>
            <w:hideMark/>
          </w:tcPr>
          <w:p w14:paraId="271234A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4.54(0.09)</w:t>
            </w:r>
          </w:p>
        </w:tc>
        <w:tc>
          <w:tcPr>
            <w:tcW w:w="1459" w:type="dxa"/>
            <w:shd w:val="clear" w:color="auto" w:fill="9BC2E6"/>
            <w:noWrap/>
            <w:vAlign w:val="center"/>
            <w:hideMark/>
          </w:tcPr>
          <w:p w14:paraId="007A3DA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5.83 (0.15)</w:t>
            </w:r>
          </w:p>
        </w:tc>
      </w:tr>
      <w:tr w:rsidR="004653D0" w14:paraId="68FAC896" w14:textId="77777777" w:rsidTr="004653D0">
        <w:trPr>
          <w:jc w:val="center"/>
        </w:trPr>
        <w:tc>
          <w:tcPr>
            <w:tcW w:w="1939" w:type="dxa"/>
            <w:vMerge/>
            <w:vAlign w:val="center"/>
            <w:hideMark/>
          </w:tcPr>
          <w:p w14:paraId="213245C1"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20AAC0C7"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Salix</w:t>
            </w:r>
          </w:p>
        </w:tc>
        <w:tc>
          <w:tcPr>
            <w:tcW w:w="1191" w:type="dxa"/>
            <w:shd w:val="clear" w:color="auto" w:fill="FFFFFF"/>
            <w:noWrap/>
            <w:vAlign w:val="center"/>
            <w:hideMark/>
          </w:tcPr>
          <w:p w14:paraId="51B2469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0.022</w:t>
            </w:r>
          </w:p>
        </w:tc>
        <w:tc>
          <w:tcPr>
            <w:tcW w:w="1479" w:type="dxa"/>
            <w:shd w:val="clear" w:color="auto" w:fill="A9D08E"/>
            <w:noWrap/>
            <w:vAlign w:val="center"/>
            <w:hideMark/>
          </w:tcPr>
          <w:p w14:paraId="3F4B06D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1.18(0.08)</w:t>
            </w:r>
          </w:p>
        </w:tc>
        <w:tc>
          <w:tcPr>
            <w:tcW w:w="1479" w:type="dxa"/>
            <w:shd w:val="clear" w:color="auto" w:fill="A9D08E"/>
            <w:noWrap/>
            <w:vAlign w:val="center"/>
            <w:hideMark/>
          </w:tcPr>
          <w:p w14:paraId="3C51525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1.18(0.08)</w:t>
            </w:r>
          </w:p>
        </w:tc>
        <w:tc>
          <w:tcPr>
            <w:tcW w:w="1459" w:type="dxa"/>
            <w:shd w:val="clear" w:color="auto" w:fill="9BC2E6"/>
            <w:noWrap/>
            <w:vAlign w:val="center"/>
            <w:hideMark/>
          </w:tcPr>
          <w:p w14:paraId="16D0F2A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1.22 (0.11)</w:t>
            </w:r>
          </w:p>
        </w:tc>
      </w:tr>
      <w:tr w:rsidR="004653D0" w14:paraId="638F7650" w14:textId="77777777" w:rsidTr="004653D0">
        <w:trPr>
          <w:jc w:val="center"/>
        </w:trPr>
        <w:tc>
          <w:tcPr>
            <w:tcW w:w="1939" w:type="dxa"/>
            <w:vMerge/>
            <w:vAlign w:val="center"/>
            <w:hideMark/>
          </w:tcPr>
          <w:p w14:paraId="77EE185A"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04292A30"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Sambucus nigra</w:t>
            </w:r>
            <w:r>
              <w:rPr>
                <w:rFonts w:eastAsia="Times New Roman"/>
                <w:noProof w:val="0"/>
                <w:szCs w:val="18"/>
              </w:rPr>
              <w:t xml:space="preserve"> t.</w:t>
            </w:r>
          </w:p>
        </w:tc>
        <w:tc>
          <w:tcPr>
            <w:tcW w:w="1191" w:type="dxa"/>
            <w:shd w:val="clear" w:color="auto" w:fill="FFFFFF"/>
            <w:noWrap/>
            <w:vAlign w:val="center"/>
            <w:hideMark/>
          </w:tcPr>
          <w:p w14:paraId="3A441FB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0.013</w:t>
            </w:r>
          </w:p>
        </w:tc>
        <w:tc>
          <w:tcPr>
            <w:tcW w:w="1479" w:type="dxa"/>
            <w:shd w:val="clear" w:color="auto" w:fill="FFFFFF"/>
            <w:noWrap/>
            <w:vAlign w:val="center"/>
            <w:hideMark/>
          </w:tcPr>
          <w:p w14:paraId="6281BD1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2640271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1.30(0.12)</w:t>
            </w:r>
          </w:p>
        </w:tc>
        <w:tc>
          <w:tcPr>
            <w:tcW w:w="1459" w:type="dxa"/>
            <w:shd w:val="clear" w:color="auto" w:fill="FFFFFF"/>
            <w:noWrap/>
            <w:vAlign w:val="center"/>
            <w:hideMark/>
          </w:tcPr>
          <w:p w14:paraId="0628BAB5"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1DAD1C9B" w14:textId="77777777" w:rsidTr="004653D0">
        <w:trPr>
          <w:jc w:val="center"/>
        </w:trPr>
        <w:tc>
          <w:tcPr>
            <w:tcW w:w="1939" w:type="dxa"/>
            <w:vMerge/>
            <w:vAlign w:val="center"/>
            <w:hideMark/>
          </w:tcPr>
          <w:p w14:paraId="11BABC9F"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43E2E645"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Tilia</w:t>
            </w:r>
          </w:p>
        </w:tc>
        <w:tc>
          <w:tcPr>
            <w:tcW w:w="1191" w:type="dxa"/>
            <w:shd w:val="clear" w:color="auto" w:fill="FFFFFF"/>
            <w:noWrap/>
            <w:vAlign w:val="center"/>
            <w:hideMark/>
          </w:tcPr>
          <w:p w14:paraId="72A8BBF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0.032</w:t>
            </w:r>
          </w:p>
        </w:tc>
        <w:tc>
          <w:tcPr>
            <w:tcW w:w="1479" w:type="dxa"/>
            <w:shd w:val="clear" w:color="auto" w:fill="A9D08E"/>
            <w:noWrap/>
            <w:vAlign w:val="center"/>
            <w:hideMark/>
          </w:tcPr>
          <w:p w14:paraId="4E4080FF"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1.21(0.12)</w:t>
            </w:r>
          </w:p>
        </w:tc>
        <w:tc>
          <w:tcPr>
            <w:tcW w:w="1479" w:type="dxa"/>
            <w:shd w:val="clear" w:color="auto" w:fill="A9D08E"/>
            <w:noWrap/>
            <w:vAlign w:val="center"/>
            <w:hideMark/>
          </w:tcPr>
          <w:p w14:paraId="1BA1975F"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1.21(0.12)</w:t>
            </w:r>
          </w:p>
        </w:tc>
        <w:tc>
          <w:tcPr>
            <w:tcW w:w="1459" w:type="dxa"/>
            <w:shd w:val="clear" w:color="auto" w:fill="9BC2E6"/>
            <w:noWrap/>
            <w:vAlign w:val="center"/>
            <w:hideMark/>
          </w:tcPr>
          <w:p w14:paraId="2138DE1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0.80 (0.03)</w:t>
            </w:r>
          </w:p>
        </w:tc>
      </w:tr>
      <w:tr w:rsidR="004653D0" w14:paraId="3785CBFC" w14:textId="77777777" w:rsidTr="004653D0">
        <w:trPr>
          <w:jc w:val="center"/>
        </w:trPr>
        <w:tc>
          <w:tcPr>
            <w:tcW w:w="1939" w:type="dxa"/>
            <w:vMerge/>
            <w:vAlign w:val="center"/>
            <w:hideMark/>
          </w:tcPr>
          <w:p w14:paraId="152F30A4"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4E69BE3F"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Ulmus</w:t>
            </w:r>
          </w:p>
        </w:tc>
        <w:tc>
          <w:tcPr>
            <w:tcW w:w="1191" w:type="dxa"/>
            <w:shd w:val="clear" w:color="auto" w:fill="FFFFFF"/>
            <w:noWrap/>
            <w:vAlign w:val="center"/>
            <w:hideMark/>
          </w:tcPr>
          <w:p w14:paraId="49B4595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0.032</w:t>
            </w:r>
          </w:p>
        </w:tc>
        <w:tc>
          <w:tcPr>
            <w:tcW w:w="1479" w:type="dxa"/>
            <w:shd w:val="clear" w:color="auto" w:fill="A9D08E"/>
            <w:noWrap/>
            <w:vAlign w:val="center"/>
            <w:hideMark/>
          </w:tcPr>
          <w:p w14:paraId="26D4525F"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1.27(0.05)</w:t>
            </w:r>
          </w:p>
        </w:tc>
        <w:tc>
          <w:tcPr>
            <w:tcW w:w="1479" w:type="dxa"/>
            <w:shd w:val="clear" w:color="auto" w:fill="A9D08E"/>
            <w:noWrap/>
            <w:vAlign w:val="center"/>
            <w:hideMark/>
          </w:tcPr>
          <w:p w14:paraId="3A68D25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1.27(0.05)</w:t>
            </w:r>
          </w:p>
        </w:tc>
        <w:tc>
          <w:tcPr>
            <w:tcW w:w="1459" w:type="dxa"/>
            <w:shd w:val="clear" w:color="auto" w:fill="A9D08E"/>
            <w:noWrap/>
            <w:vAlign w:val="center"/>
            <w:hideMark/>
          </w:tcPr>
          <w:p w14:paraId="625A268D"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1.27(0.05)</w:t>
            </w:r>
          </w:p>
        </w:tc>
      </w:tr>
      <w:tr w:rsidR="004653D0" w14:paraId="385BD397" w14:textId="77777777" w:rsidTr="004653D0">
        <w:trPr>
          <w:jc w:val="center"/>
        </w:trPr>
        <w:tc>
          <w:tcPr>
            <w:tcW w:w="1939" w:type="dxa"/>
            <w:shd w:val="clear" w:color="auto" w:fill="FFFFFF"/>
            <w:noWrap/>
            <w:vAlign w:val="center"/>
            <w:hideMark/>
          </w:tcPr>
          <w:p w14:paraId="22EF577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Open Land (OL)</w:t>
            </w:r>
          </w:p>
        </w:tc>
        <w:tc>
          <w:tcPr>
            <w:tcW w:w="2918" w:type="dxa"/>
            <w:shd w:val="clear" w:color="auto" w:fill="FFFFFF"/>
            <w:noWrap/>
            <w:vAlign w:val="center"/>
            <w:hideMark/>
          </w:tcPr>
          <w:p w14:paraId="52FA5C2C" w14:textId="77777777" w:rsidR="004653D0" w:rsidRDefault="004653D0">
            <w:pPr>
              <w:autoSpaceDE w:val="0"/>
              <w:autoSpaceDN w:val="0"/>
              <w:adjustRightInd w:val="0"/>
              <w:snapToGrid w:val="0"/>
              <w:spacing w:line="240" w:lineRule="auto"/>
              <w:jc w:val="center"/>
              <w:rPr>
                <w:rFonts w:eastAsia="Times New Roman"/>
                <w:noProof w:val="0"/>
                <w:color w:val="auto"/>
                <w:szCs w:val="18"/>
              </w:rPr>
            </w:pPr>
            <w:proofErr w:type="spellStart"/>
            <w:r>
              <w:rPr>
                <w:rFonts w:eastAsia="Times New Roman"/>
                <w:noProof w:val="0"/>
                <w:szCs w:val="18"/>
              </w:rPr>
              <w:t>Amaranthaceae</w:t>
            </w:r>
            <w:proofErr w:type="spellEnd"/>
            <w:r>
              <w:rPr>
                <w:rFonts w:eastAsia="Times New Roman"/>
                <w:noProof w:val="0"/>
                <w:szCs w:val="18"/>
              </w:rPr>
              <w:t>/Chenopodiaceae</w:t>
            </w:r>
          </w:p>
        </w:tc>
        <w:tc>
          <w:tcPr>
            <w:tcW w:w="1191" w:type="dxa"/>
            <w:shd w:val="clear" w:color="auto" w:fill="FFFFFF"/>
            <w:noWrap/>
            <w:vAlign w:val="center"/>
            <w:hideMark/>
          </w:tcPr>
          <w:p w14:paraId="69AEE0D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0.019</w:t>
            </w:r>
          </w:p>
        </w:tc>
        <w:tc>
          <w:tcPr>
            <w:tcW w:w="1479" w:type="dxa"/>
            <w:shd w:val="clear" w:color="auto" w:fill="A9D08E"/>
            <w:noWrap/>
            <w:vAlign w:val="center"/>
            <w:hideMark/>
          </w:tcPr>
          <w:p w14:paraId="74F3B42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4.28(0.270)</w:t>
            </w:r>
          </w:p>
        </w:tc>
        <w:tc>
          <w:tcPr>
            <w:tcW w:w="1479" w:type="dxa"/>
            <w:shd w:val="clear" w:color="auto" w:fill="A9D08E"/>
            <w:noWrap/>
            <w:vAlign w:val="center"/>
            <w:hideMark/>
          </w:tcPr>
          <w:p w14:paraId="44530A2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4.28(0.270)</w:t>
            </w:r>
          </w:p>
        </w:tc>
        <w:tc>
          <w:tcPr>
            <w:tcW w:w="1459" w:type="dxa"/>
            <w:shd w:val="clear" w:color="auto" w:fill="A9D08E"/>
            <w:noWrap/>
            <w:vAlign w:val="center"/>
            <w:hideMark/>
          </w:tcPr>
          <w:p w14:paraId="40B9F0E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4.28(0.270)</w:t>
            </w:r>
          </w:p>
        </w:tc>
      </w:tr>
      <w:tr w:rsidR="004653D0" w14:paraId="3C0BF656" w14:textId="77777777" w:rsidTr="004653D0">
        <w:trPr>
          <w:jc w:val="center"/>
        </w:trPr>
        <w:tc>
          <w:tcPr>
            <w:tcW w:w="1939" w:type="dxa"/>
            <w:vMerge w:val="restart"/>
            <w:tcBorders>
              <w:top w:val="nil"/>
              <w:left w:val="nil"/>
              <w:bottom w:val="single" w:sz="4" w:space="0" w:color="000000"/>
              <w:right w:val="nil"/>
            </w:tcBorders>
            <w:shd w:val="clear" w:color="auto" w:fill="FFFFFF"/>
            <w:noWrap/>
            <w:vAlign w:val="center"/>
            <w:hideMark/>
          </w:tcPr>
          <w:p w14:paraId="35D1237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2918" w:type="dxa"/>
            <w:shd w:val="clear" w:color="auto" w:fill="FFFFFF"/>
            <w:noWrap/>
            <w:vAlign w:val="center"/>
            <w:hideMark/>
          </w:tcPr>
          <w:p w14:paraId="334B783C" w14:textId="77777777" w:rsidR="004653D0" w:rsidRDefault="004653D0">
            <w:pPr>
              <w:autoSpaceDE w:val="0"/>
              <w:autoSpaceDN w:val="0"/>
              <w:adjustRightInd w:val="0"/>
              <w:snapToGrid w:val="0"/>
              <w:spacing w:line="240" w:lineRule="auto"/>
              <w:jc w:val="center"/>
              <w:rPr>
                <w:rFonts w:eastAsia="Times New Roman"/>
                <w:noProof w:val="0"/>
                <w:color w:val="auto"/>
                <w:szCs w:val="18"/>
              </w:rPr>
            </w:pPr>
            <w:proofErr w:type="spellStart"/>
            <w:r>
              <w:rPr>
                <w:rFonts w:eastAsia="Times New Roman"/>
                <w:noProof w:val="0"/>
                <w:szCs w:val="18"/>
              </w:rPr>
              <w:t>Apiaceae</w:t>
            </w:r>
            <w:proofErr w:type="spellEnd"/>
          </w:p>
        </w:tc>
        <w:tc>
          <w:tcPr>
            <w:tcW w:w="1191" w:type="dxa"/>
            <w:shd w:val="clear" w:color="auto" w:fill="FFFFFF"/>
            <w:noWrap/>
            <w:vAlign w:val="center"/>
            <w:hideMark/>
          </w:tcPr>
          <w:p w14:paraId="7150590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0.042</w:t>
            </w:r>
          </w:p>
        </w:tc>
        <w:tc>
          <w:tcPr>
            <w:tcW w:w="1479" w:type="dxa"/>
            <w:shd w:val="clear" w:color="auto" w:fill="FFFFFF"/>
            <w:noWrap/>
            <w:vAlign w:val="center"/>
            <w:hideMark/>
          </w:tcPr>
          <w:p w14:paraId="327378F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12F39FE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3.09(0.615)</w:t>
            </w:r>
          </w:p>
        </w:tc>
        <w:tc>
          <w:tcPr>
            <w:tcW w:w="1459" w:type="dxa"/>
            <w:shd w:val="clear" w:color="auto" w:fill="FFFFFF"/>
            <w:noWrap/>
            <w:vAlign w:val="center"/>
            <w:hideMark/>
          </w:tcPr>
          <w:p w14:paraId="2749248D"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555E7118" w14:textId="77777777" w:rsidTr="004653D0">
        <w:trPr>
          <w:jc w:val="center"/>
        </w:trPr>
        <w:tc>
          <w:tcPr>
            <w:tcW w:w="1939" w:type="dxa"/>
            <w:vMerge/>
            <w:tcBorders>
              <w:top w:val="nil"/>
              <w:left w:val="nil"/>
              <w:bottom w:val="single" w:sz="4" w:space="0" w:color="000000"/>
              <w:right w:val="nil"/>
            </w:tcBorders>
            <w:vAlign w:val="center"/>
            <w:hideMark/>
          </w:tcPr>
          <w:p w14:paraId="31F6152A"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4896B084"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Artemisia </w:t>
            </w:r>
          </w:p>
        </w:tc>
        <w:tc>
          <w:tcPr>
            <w:tcW w:w="1191" w:type="dxa"/>
            <w:shd w:val="clear" w:color="auto" w:fill="FFFFFF"/>
            <w:noWrap/>
            <w:vAlign w:val="center"/>
            <w:hideMark/>
          </w:tcPr>
          <w:p w14:paraId="57FEA400"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0.025</w:t>
            </w:r>
          </w:p>
        </w:tc>
        <w:tc>
          <w:tcPr>
            <w:tcW w:w="1479" w:type="dxa"/>
            <w:shd w:val="clear" w:color="auto" w:fill="A9D08E"/>
            <w:noWrap/>
            <w:vAlign w:val="center"/>
            <w:hideMark/>
          </w:tcPr>
          <w:p w14:paraId="5EE66AFD"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3.94(0.15)</w:t>
            </w:r>
          </w:p>
        </w:tc>
        <w:tc>
          <w:tcPr>
            <w:tcW w:w="1479" w:type="dxa"/>
            <w:shd w:val="clear" w:color="auto" w:fill="A9D08E"/>
            <w:noWrap/>
            <w:vAlign w:val="center"/>
            <w:hideMark/>
          </w:tcPr>
          <w:p w14:paraId="48A367B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3.94(0.15)</w:t>
            </w:r>
          </w:p>
        </w:tc>
        <w:tc>
          <w:tcPr>
            <w:tcW w:w="1459" w:type="dxa"/>
            <w:shd w:val="clear" w:color="auto" w:fill="9BC2E6"/>
            <w:noWrap/>
            <w:vAlign w:val="center"/>
            <w:hideMark/>
          </w:tcPr>
          <w:p w14:paraId="3FCDCDD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3.48 (0.20)</w:t>
            </w:r>
          </w:p>
        </w:tc>
      </w:tr>
      <w:tr w:rsidR="004653D0" w14:paraId="1DC446BC" w14:textId="77777777" w:rsidTr="004653D0">
        <w:trPr>
          <w:jc w:val="center"/>
        </w:trPr>
        <w:tc>
          <w:tcPr>
            <w:tcW w:w="1939" w:type="dxa"/>
            <w:vMerge/>
            <w:tcBorders>
              <w:top w:val="nil"/>
              <w:left w:val="nil"/>
              <w:bottom w:val="single" w:sz="4" w:space="0" w:color="000000"/>
              <w:right w:val="nil"/>
            </w:tcBorders>
            <w:vAlign w:val="center"/>
            <w:hideMark/>
          </w:tcPr>
          <w:p w14:paraId="23258435"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714D9A9A"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proofErr w:type="spellStart"/>
            <w:r>
              <w:rPr>
                <w:rFonts w:eastAsia="Times New Roman"/>
                <w:i/>
                <w:iCs/>
                <w:noProof w:val="0"/>
                <w:szCs w:val="18"/>
              </w:rPr>
              <w:t>Calluna</w:t>
            </w:r>
            <w:proofErr w:type="spellEnd"/>
            <w:r>
              <w:rPr>
                <w:rFonts w:eastAsia="Times New Roman"/>
                <w:i/>
                <w:iCs/>
                <w:noProof w:val="0"/>
                <w:szCs w:val="18"/>
              </w:rPr>
              <w:t xml:space="preserve"> vulgaris</w:t>
            </w:r>
          </w:p>
        </w:tc>
        <w:tc>
          <w:tcPr>
            <w:tcW w:w="1191" w:type="dxa"/>
            <w:shd w:val="clear" w:color="auto" w:fill="FFFFFF"/>
            <w:noWrap/>
            <w:vAlign w:val="center"/>
            <w:hideMark/>
          </w:tcPr>
          <w:p w14:paraId="4930EC5F"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0.038</w:t>
            </w:r>
          </w:p>
        </w:tc>
        <w:tc>
          <w:tcPr>
            <w:tcW w:w="1479" w:type="dxa"/>
            <w:shd w:val="clear" w:color="auto" w:fill="A9D08E"/>
            <w:noWrap/>
            <w:vAlign w:val="center"/>
            <w:hideMark/>
          </w:tcPr>
          <w:p w14:paraId="74E8DE0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1.09(0.03)</w:t>
            </w:r>
          </w:p>
        </w:tc>
        <w:tc>
          <w:tcPr>
            <w:tcW w:w="1479" w:type="dxa"/>
            <w:shd w:val="clear" w:color="auto" w:fill="A9D08E"/>
            <w:noWrap/>
            <w:vAlign w:val="center"/>
            <w:hideMark/>
          </w:tcPr>
          <w:p w14:paraId="249B043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1.09(0.03)</w:t>
            </w:r>
          </w:p>
        </w:tc>
        <w:tc>
          <w:tcPr>
            <w:tcW w:w="1459" w:type="dxa"/>
            <w:shd w:val="clear" w:color="auto" w:fill="9BC2E6"/>
            <w:noWrap/>
            <w:vAlign w:val="center"/>
            <w:hideMark/>
          </w:tcPr>
          <w:p w14:paraId="69FCAEA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0.82 (0.02)</w:t>
            </w:r>
          </w:p>
        </w:tc>
      </w:tr>
      <w:tr w:rsidR="004653D0" w14:paraId="1F41084F" w14:textId="77777777" w:rsidTr="004653D0">
        <w:trPr>
          <w:jc w:val="center"/>
        </w:trPr>
        <w:tc>
          <w:tcPr>
            <w:tcW w:w="1939" w:type="dxa"/>
            <w:vMerge/>
            <w:tcBorders>
              <w:top w:val="nil"/>
              <w:left w:val="nil"/>
              <w:bottom w:val="single" w:sz="4" w:space="0" w:color="000000"/>
              <w:right w:val="nil"/>
            </w:tcBorders>
            <w:vAlign w:val="center"/>
            <w:hideMark/>
          </w:tcPr>
          <w:p w14:paraId="0DDA5186"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0B763024" w14:textId="77777777" w:rsidR="004653D0" w:rsidRDefault="004653D0">
            <w:pPr>
              <w:autoSpaceDE w:val="0"/>
              <w:autoSpaceDN w:val="0"/>
              <w:adjustRightInd w:val="0"/>
              <w:snapToGrid w:val="0"/>
              <w:spacing w:line="240" w:lineRule="auto"/>
              <w:jc w:val="center"/>
              <w:rPr>
                <w:rFonts w:eastAsia="Times New Roman"/>
                <w:noProof w:val="0"/>
                <w:color w:val="auto"/>
                <w:szCs w:val="18"/>
              </w:rPr>
            </w:pPr>
            <w:r>
              <w:rPr>
                <w:rFonts w:eastAsia="Times New Roman"/>
                <w:noProof w:val="0"/>
                <w:szCs w:val="18"/>
              </w:rPr>
              <w:t xml:space="preserve">Cerealia t. </w:t>
            </w:r>
          </w:p>
        </w:tc>
        <w:tc>
          <w:tcPr>
            <w:tcW w:w="1191" w:type="dxa"/>
            <w:shd w:val="clear" w:color="auto" w:fill="FFFFFF"/>
            <w:noWrap/>
            <w:vAlign w:val="center"/>
            <w:hideMark/>
          </w:tcPr>
          <w:p w14:paraId="502179D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0.06</w:t>
            </w:r>
          </w:p>
        </w:tc>
        <w:tc>
          <w:tcPr>
            <w:tcW w:w="1479" w:type="dxa"/>
            <w:shd w:val="clear" w:color="auto" w:fill="A9D08E"/>
            <w:noWrap/>
            <w:vAlign w:val="center"/>
            <w:hideMark/>
          </w:tcPr>
          <w:p w14:paraId="2F4D1A9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1.85(0.38)</w:t>
            </w:r>
          </w:p>
        </w:tc>
        <w:tc>
          <w:tcPr>
            <w:tcW w:w="1479" w:type="dxa"/>
            <w:shd w:val="clear" w:color="auto" w:fill="A9D08E"/>
            <w:noWrap/>
            <w:vAlign w:val="center"/>
            <w:hideMark/>
          </w:tcPr>
          <w:p w14:paraId="3C0287CC"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1.85(0.38)</w:t>
            </w:r>
          </w:p>
        </w:tc>
        <w:tc>
          <w:tcPr>
            <w:tcW w:w="1459" w:type="dxa"/>
            <w:shd w:val="clear" w:color="auto" w:fill="A9D08E"/>
            <w:noWrap/>
            <w:vAlign w:val="center"/>
            <w:hideMark/>
          </w:tcPr>
          <w:p w14:paraId="48206EA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1.85 (0.38)</w:t>
            </w:r>
          </w:p>
        </w:tc>
      </w:tr>
      <w:tr w:rsidR="004653D0" w14:paraId="6605F7B0" w14:textId="77777777" w:rsidTr="004653D0">
        <w:trPr>
          <w:jc w:val="center"/>
        </w:trPr>
        <w:tc>
          <w:tcPr>
            <w:tcW w:w="1939" w:type="dxa"/>
            <w:vMerge/>
            <w:tcBorders>
              <w:top w:val="nil"/>
              <w:left w:val="nil"/>
              <w:bottom w:val="single" w:sz="4" w:space="0" w:color="000000"/>
              <w:right w:val="nil"/>
            </w:tcBorders>
            <w:vAlign w:val="center"/>
            <w:hideMark/>
          </w:tcPr>
          <w:p w14:paraId="1CE86ECE"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1BEF9FD7" w14:textId="77777777" w:rsidR="004653D0" w:rsidRDefault="004653D0">
            <w:pPr>
              <w:autoSpaceDE w:val="0"/>
              <w:autoSpaceDN w:val="0"/>
              <w:adjustRightInd w:val="0"/>
              <w:snapToGrid w:val="0"/>
              <w:spacing w:line="240" w:lineRule="auto"/>
              <w:jc w:val="center"/>
              <w:rPr>
                <w:rFonts w:eastAsia="Times New Roman"/>
                <w:noProof w:val="0"/>
                <w:color w:val="auto"/>
                <w:szCs w:val="18"/>
              </w:rPr>
            </w:pPr>
            <w:r>
              <w:rPr>
                <w:rFonts w:eastAsia="Times New Roman"/>
                <w:noProof w:val="0"/>
                <w:szCs w:val="18"/>
              </w:rPr>
              <w:t xml:space="preserve">Comp. SF. </w:t>
            </w:r>
            <w:proofErr w:type="spellStart"/>
            <w:r>
              <w:rPr>
                <w:rFonts w:eastAsia="Times New Roman"/>
                <w:noProof w:val="0"/>
                <w:szCs w:val="18"/>
              </w:rPr>
              <w:t>Cichorioideae</w:t>
            </w:r>
            <w:proofErr w:type="spellEnd"/>
          </w:p>
        </w:tc>
        <w:tc>
          <w:tcPr>
            <w:tcW w:w="1191" w:type="dxa"/>
            <w:shd w:val="clear" w:color="auto" w:fill="FFFFFF"/>
            <w:noWrap/>
            <w:vAlign w:val="center"/>
            <w:hideMark/>
          </w:tcPr>
          <w:p w14:paraId="52D3CE20"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0.051</w:t>
            </w:r>
          </w:p>
        </w:tc>
        <w:tc>
          <w:tcPr>
            <w:tcW w:w="1479" w:type="dxa"/>
            <w:shd w:val="clear" w:color="auto" w:fill="FFFFFF"/>
            <w:noWrap/>
            <w:vAlign w:val="center"/>
            <w:hideMark/>
          </w:tcPr>
          <w:p w14:paraId="2297855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29E3C4D5"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0.36(0.137)</w:t>
            </w:r>
          </w:p>
        </w:tc>
        <w:tc>
          <w:tcPr>
            <w:tcW w:w="1459" w:type="dxa"/>
            <w:shd w:val="clear" w:color="auto" w:fill="FFFFFF"/>
            <w:noWrap/>
            <w:vAlign w:val="center"/>
            <w:hideMark/>
          </w:tcPr>
          <w:p w14:paraId="2202F1E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6D1BA853" w14:textId="77777777" w:rsidTr="004653D0">
        <w:trPr>
          <w:jc w:val="center"/>
        </w:trPr>
        <w:tc>
          <w:tcPr>
            <w:tcW w:w="1939" w:type="dxa"/>
            <w:vMerge/>
            <w:tcBorders>
              <w:top w:val="nil"/>
              <w:left w:val="nil"/>
              <w:bottom w:val="single" w:sz="4" w:space="0" w:color="000000"/>
              <w:right w:val="nil"/>
            </w:tcBorders>
            <w:vAlign w:val="center"/>
            <w:hideMark/>
          </w:tcPr>
          <w:p w14:paraId="0DFC0890"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18E125D3" w14:textId="77777777" w:rsidR="004653D0" w:rsidRDefault="004653D0">
            <w:pPr>
              <w:autoSpaceDE w:val="0"/>
              <w:autoSpaceDN w:val="0"/>
              <w:adjustRightInd w:val="0"/>
              <w:snapToGrid w:val="0"/>
              <w:spacing w:line="240" w:lineRule="auto"/>
              <w:jc w:val="center"/>
              <w:rPr>
                <w:rFonts w:eastAsia="Times New Roman"/>
                <w:noProof w:val="0"/>
                <w:color w:val="auto"/>
                <w:szCs w:val="18"/>
              </w:rPr>
            </w:pPr>
            <w:r>
              <w:rPr>
                <w:rFonts w:eastAsia="Times New Roman"/>
                <w:noProof w:val="0"/>
                <w:szCs w:val="18"/>
              </w:rPr>
              <w:t>Cyperaceae</w:t>
            </w:r>
          </w:p>
        </w:tc>
        <w:tc>
          <w:tcPr>
            <w:tcW w:w="1191" w:type="dxa"/>
            <w:shd w:val="clear" w:color="auto" w:fill="FFFFFF"/>
            <w:noWrap/>
            <w:vAlign w:val="center"/>
            <w:hideMark/>
          </w:tcPr>
          <w:p w14:paraId="1074DB4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0.035</w:t>
            </w:r>
          </w:p>
        </w:tc>
        <w:tc>
          <w:tcPr>
            <w:tcW w:w="1479" w:type="dxa"/>
            <w:shd w:val="clear" w:color="auto" w:fill="A9D08E"/>
            <w:noWrap/>
            <w:vAlign w:val="center"/>
            <w:hideMark/>
          </w:tcPr>
          <w:p w14:paraId="6E0C310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0.96(0.05)</w:t>
            </w:r>
          </w:p>
        </w:tc>
        <w:tc>
          <w:tcPr>
            <w:tcW w:w="1479" w:type="dxa"/>
            <w:shd w:val="clear" w:color="auto" w:fill="A9D08E"/>
            <w:noWrap/>
            <w:vAlign w:val="center"/>
            <w:hideMark/>
          </w:tcPr>
          <w:p w14:paraId="64C14F9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0.96(0.05)</w:t>
            </w:r>
          </w:p>
        </w:tc>
        <w:tc>
          <w:tcPr>
            <w:tcW w:w="1459" w:type="dxa"/>
            <w:shd w:val="clear" w:color="auto" w:fill="9BC2E6"/>
            <w:noWrap/>
            <w:vAlign w:val="center"/>
            <w:hideMark/>
          </w:tcPr>
          <w:p w14:paraId="6716B49C"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0.87 (0.06)</w:t>
            </w:r>
          </w:p>
        </w:tc>
      </w:tr>
      <w:tr w:rsidR="004653D0" w14:paraId="41101ABA" w14:textId="77777777" w:rsidTr="004653D0">
        <w:trPr>
          <w:jc w:val="center"/>
        </w:trPr>
        <w:tc>
          <w:tcPr>
            <w:tcW w:w="1939" w:type="dxa"/>
            <w:vMerge/>
            <w:tcBorders>
              <w:top w:val="nil"/>
              <w:left w:val="nil"/>
              <w:bottom w:val="single" w:sz="4" w:space="0" w:color="000000"/>
              <w:right w:val="nil"/>
            </w:tcBorders>
            <w:vAlign w:val="center"/>
            <w:hideMark/>
          </w:tcPr>
          <w:p w14:paraId="59156852"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254FE87C" w14:textId="77777777" w:rsidR="004653D0" w:rsidRDefault="004653D0">
            <w:pPr>
              <w:autoSpaceDE w:val="0"/>
              <w:autoSpaceDN w:val="0"/>
              <w:adjustRightInd w:val="0"/>
              <w:snapToGrid w:val="0"/>
              <w:spacing w:line="240" w:lineRule="auto"/>
              <w:jc w:val="center"/>
              <w:rPr>
                <w:rFonts w:eastAsia="Times New Roman"/>
                <w:noProof w:val="0"/>
                <w:color w:val="auto"/>
                <w:szCs w:val="18"/>
              </w:rPr>
            </w:pPr>
            <w:r>
              <w:rPr>
                <w:rFonts w:eastAsia="Times New Roman"/>
                <w:noProof w:val="0"/>
                <w:szCs w:val="18"/>
              </w:rPr>
              <w:t>Fabaceae</w:t>
            </w:r>
          </w:p>
        </w:tc>
        <w:tc>
          <w:tcPr>
            <w:tcW w:w="1191" w:type="dxa"/>
            <w:shd w:val="clear" w:color="auto" w:fill="FFFFFF"/>
            <w:noWrap/>
            <w:vAlign w:val="center"/>
            <w:hideMark/>
          </w:tcPr>
          <w:p w14:paraId="0596969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0.021</w:t>
            </w:r>
          </w:p>
        </w:tc>
        <w:tc>
          <w:tcPr>
            <w:tcW w:w="1479" w:type="dxa"/>
            <w:shd w:val="clear" w:color="auto" w:fill="FFFFFF"/>
            <w:noWrap/>
            <w:vAlign w:val="center"/>
            <w:hideMark/>
          </w:tcPr>
          <w:p w14:paraId="7D1C0BDF"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3800753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0.4(0.07)</w:t>
            </w:r>
          </w:p>
        </w:tc>
        <w:tc>
          <w:tcPr>
            <w:tcW w:w="1459" w:type="dxa"/>
            <w:shd w:val="clear" w:color="auto" w:fill="FFFFFF"/>
            <w:noWrap/>
            <w:vAlign w:val="center"/>
            <w:hideMark/>
          </w:tcPr>
          <w:p w14:paraId="049E1ECC"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05F00F04" w14:textId="77777777" w:rsidTr="004653D0">
        <w:trPr>
          <w:jc w:val="center"/>
        </w:trPr>
        <w:tc>
          <w:tcPr>
            <w:tcW w:w="1939" w:type="dxa"/>
            <w:vMerge/>
            <w:tcBorders>
              <w:top w:val="nil"/>
              <w:left w:val="nil"/>
              <w:bottom w:val="single" w:sz="4" w:space="0" w:color="000000"/>
              <w:right w:val="nil"/>
            </w:tcBorders>
            <w:vAlign w:val="center"/>
            <w:hideMark/>
          </w:tcPr>
          <w:p w14:paraId="21DE2844"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62BB723F"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Filipendula </w:t>
            </w:r>
          </w:p>
        </w:tc>
        <w:tc>
          <w:tcPr>
            <w:tcW w:w="1191" w:type="dxa"/>
            <w:shd w:val="clear" w:color="auto" w:fill="FFFFFF"/>
            <w:noWrap/>
            <w:vAlign w:val="center"/>
            <w:hideMark/>
          </w:tcPr>
          <w:p w14:paraId="4C1AC7E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0.006</w:t>
            </w:r>
          </w:p>
        </w:tc>
        <w:tc>
          <w:tcPr>
            <w:tcW w:w="1479" w:type="dxa"/>
            <w:shd w:val="clear" w:color="auto" w:fill="A9D08E"/>
            <w:noWrap/>
            <w:vAlign w:val="center"/>
            <w:hideMark/>
          </w:tcPr>
          <w:p w14:paraId="3A73F42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3.00(0.28)</w:t>
            </w:r>
          </w:p>
        </w:tc>
        <w:tc>
          <w:tcPr>
            <w:tcW w:w="1479" w:type="dxa"/>
            <w:shd w:val="clear" w:color="auto" w:fill="A9D08E"/>
            <w:noWrap/>
            <w:vAlign w:val="center"/>
            <w:hideMark/>
          </w:tcPr>
          <w:p w14:paraId="0D69A8ED"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3.00(0.28)</w:t>
            </w:r>
          </w:p>
        </w:tc>
        <w:tc>
          <w:tcPr>
            <w:tcW w:w="1459" w:type="dxa"/>
            <w:shd w:val="clear" w:color="auto" w:fill="9BC2E6"/>
            <w:noWrap/>
            <w:vAlign w:val="center"/>
            <w:hideMark/>
          </w:tcPr>
          <w:p w14:paraId="29824725"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2.81 (0.43)</w:t>
            </w:r>
          </w:p>
        </w:tc>
      </w:tr>
      <w:tr w:rsidR="004653D0" w14:paraId="725A7174" w14:textId="77777777" w:rsidTr="004653D0">
        <w:trPr>
          <w:jc w:val="center"/>
        </w:trPr>
        <w:tc>
          <w:tcPr>
            <w:tcW w:w="1939" w:type="dxa"/>
            <w:vMerge/>
            <w:tcBorders>
              <w:top w:val="nil"/>
              <w:left w:val="nil"/>
              <w:bottom w:val="single" w:sz="4" w:space="0" w:color="000000"/>
              <w:right w:val="nil"/>
            </w:tcBorders>
            <w:vAlign w:val="center"/>
            <w:hideMark/>
          </w:tcPr>
          <w:p w14:paraId="657CC53F"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7EA7F5F2"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noProof w:val="0"/>
                <w:szCs w:val="18"/>
              </w:rPr>
              <w:t xml:space="preserve">Comp. </w:t>
            </w:r>
            <w:r>
              <w:rPr>
                <w:rFonts w:eastAsia="Times New Roman"/>
                <w:i/>
                <w:iCs/>
                <w:noProof w:val="0"/>
                <w:szCs w:val="18"/>
              </w:rPr>
              <w:t xml:space="preserve">Leucanthemum (Anthemis) </w:t>
            </w:r>
            <w:r>
              <w:rPr>
                <w:rFonts w:eastAsia="Times New Roman"/>
                <w:noProof w:val="0"/>
                <w:szCs w:val="18"/>
              </w:rPr>
              <w:t>t.</w:t>
            </w:r>
          </w:p>
        </w:tc>
        <w:tc>
          <w:tcPr>
            <w:tcW w:w="1191" w:type="dxa"/>
            <w:shd w:val="clear" w:color="auto" w:fill="FFFFFF"/>
            <w:noWrap/>
            <w:vAlign w:val="center"/>
            <w:hideMark/>
          </w:tcPr>
          <w:p w14:paraId="0C9352F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0.029</w:t>
            </w:r>
          </w:p>
        </w:tc>
        <w:tc>
          <w:tcPr>
            <w:tcW w:w="1479" w:type="dxa"/>
            <w:shd w:val="clear" w:color="auto" w:fill="FFFFFF"/>
            <w:noWrap/>
            <w:vAlign w:val="center"/>
            <w:hideMark/>
          </w:tcPr>
          <w:p w14:paraId="0AE329A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47C17D3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0.10(0.008)</w:t>
            </w:r>
          </w:p>
        </w:tc>
        <w:tc>
          <w:tcPr>
            <w:tcW w:w="1459" w:type="dxa"/>
            <w:shd w:val="clear" w:color="auto" w:fill="FFFFFF"/>
            <w:noWrap/>
            <w:vAlign w:val="center"/>
            <w:hideMark/>
          </w:tcPr>
          <w:p w14:paraId="64ECFAB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6039DB2D" w14:textId="77777777" w:rsidTr="004653D0">
        <w:trPr>
          <w:jc w:val="center"/>
        </w:trPr>
        <w:tc>
          <w:tcPr>
            <w:tcW w:w="1939" w:type="dxa"/>
            <w:vMerge/>
            <w:tcBorders>
              <w:top w:val="nil"/>
              <w:left w:val="nil"/>
              <w:bottom w:val="single" w:sz="4" w:space="0" w:color="000000"/>
              <w:right w:val="nil"/>
            </w:tcBorders>
            <w:vAlign w:val="center"/>
            <w:hideMark/>
          </w:tcPr>
          <w:p w14:paraId="12BF5379"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50F204D3"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Plantago lanceolata </w:t>
            </w:r>
          </w:p>
        </w:tc>
        <w:tc>
          <w:tcPr>
            <w:tcW w:w="1191" w:type="dxa"/>
            <w:shd w:val="clear" w:color="auto" w:fill="FFFFFF"/>
            <w:noWrap/>
            <w:vAlign w:val="center"/>
            <w:hideMark/>
          </w:tcPr>
          <w:p w14:paraId="6FAFF18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0.029</w:t>
            </w:r>
          </w:p>
        </w:tc>
        <w:tc>
          <w:tcPr>
            <w:tcW w:w="1479" w:type="dxa"/>
            <w:shd w:val="clear" w:color="auto" w:fill="A9D08E"/>
            <w:noWrap/>
            <w:vAlign w:val="center"/>
            <w:hideMark/>
          </w:tcPr>
          <w:p w14:paraId="4BD106C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2.33(0.20)</w:t>
            </w:r>
          </w:p>
        </w:tc>
        <w:tc>
          <w:tcPr>
            <w:tcW w:w="1479" w:type="dxa"/>
            <w:shd w:val="clear" w:color="auto" w:fill="A9D08E"/>
            <w:noWrap/>
            <w:vAlign w:val="center"/>
            <w:hideMark/>
          </w:tcPr>
          <w:p w14:paraId="2CFDF88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2.33(0.20)</w:t>
            </w:r>
          </w:p>
        </w:tc>
        <w:tc>
          <w:tcPr>
            <w:tcW w:w="1459" w:type="dxa"/>
            <w:shd w:val="clear" w:color="auto" w:fill="9BC2E6"/>
            <w:noWrap/>
            <w:vAlign w:val="center"/>
            <w:hideMark/>
          </w:tcPr>
          <w:p w14:paraId="26352785"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1.04 (0.09)</w:t>
            </w:r>
          </w:p>
        </w:tc>
      </w:tr>
      <w:tr w:rsidR="004653D0" w14:paraId="4928101C" w14:textId="77777777" w:rsidTr="004653D0">
        <w:trPr>
          <w:jc w:val="center"/>
        </w:trPr>
        <w:tc>
          <w:tcPr>
            <w:tcW w:w="1939" w:type="dxa"/>
            <w:vMerge/>
            <w:tcBorders>
              <w:top w:val="nil"/>
              <w:left w:val="nil"/>
              <w:bottom w:val="single" w:sz="4" w:space="0" w:color="000000"/>
              <w:right w:val="nil"/>
            </w:tcBorders>
            <w:vAlign w:val="center"/>
            <w:hideMark/>
          </w:tcPr>
          <w:p w14:paraId="269A4097"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06ACA246"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Plantago media</w:t>
            </w:r>
          </w:p>
        </w:tc>
        <w:tc>
          <w:tcPr>
            <w:tcW w:w="1191" w:type="dxa"/>
            <w:shd w:val="clear" w:color="auto" w:fill="FFFFFF"/>
            <w:noWrap/>
            <w:vAlign w:val="center"/>
            <w:hideMark/>
          </w:tcPr>
          <w:p w14:paraId="27D9FA7F"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0.024</w:t>
            </w:r>
          </w:p>
        </w:tc>
        <w:tc>
          <w:tcPr>
            <w:tcW w:w="1479" w:type="dxa"/>
            <w:shd w:val="clear" w:color="auto" w:fill="FFFFFF"/>
            <w:noWrap/>
            <w:vAlign w:val="center"/>
            <w:hideMark/>
          </w:tcPr>
          <w:p w14:paraId="706BB44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6EEFCEF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1.27(0.18)</w:t>
            </w:r>
          </w:p>
        </w:tc>
        <w:tc>
          <w:tcPr>
            <w:tcW w:w="1459" w:type="dxa"/>
            <w:shd w:val="clear" w:color="auto" w:fill="FFFFFF"/>
            <w:noWrap/>
            <w:vAlign w:val="center"/>
            <w:hideMark/>
          </w:tcPr>
          <w:p w14:paraId="00E415E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2817AAD0" w14:textId="77777777" w:rsidTr="004653D0">
        <w:trPr>
          <w:jc w:val="center"/>
        </w:trPr>
        <w:tc>
          <w:tcPr>
            <w:tcW w:w="1939" w:type="dxa"/>
            <w:vMerge/>
            <w:tcBorders>
              <w:top w:val="nil"/>
              <w:left w:val="nil"/>
              <w:bottom w:val="single" w:sz="4" w:space="0" w:color="000000"/>
              <w:right w:val="nil"/>
            </w:tcBorders>
            <w:vAlign w:val="center"/>
            <w:hideMark/>
          </w:tcPr>
          <w:p w14:paraId="20FEE4EE"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6DA14CD5"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Plantago </w:t>
            </w:r>
            <w:proofErr w:type="spellStart"/>
            <w:r>
              <w:rPr>
                <w:rFonts w:eastAsia="Times New Roman"/>
                <w:i/>
                <w:iCs/>
                <w:noProof w:val="0"/>
                <w:szCs w:val="18"/>
              </w:rPr>
              <w:t>montana</w:t>
            </w:r>
            <w:proofErr w:type="spellEnd"/>
          </w:p>
        </w:tc>
        <w:tc>
          <w:tcPr>
            <w:tcW w:w="1191" w:type="dxa"/>
            <w:shd w:val="clear" w:color="auto" w:fill="FFFFFF"/>
            <w:noWrap/>
            <w:vAlign w:val="center"/>
            <w:hideMark/>
          </w:tcPr>
          <w:p w14:paraId="600D876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w:t>
            </w:r>
          </w:p>
        </w:tc>
        <w:tc>
          <w:tcPr>
            <w:tcW w:w="1479" w:type="dxa"/>
            <w:shd w:val="clear" w:color="auto" w:fill="FFFFFF"/>
            <w:noWrap/>
            <w:vAlign w:val="center"/>
            <w:hideMark/>
          </w:tcPr>
          <w:p w14:paraId="0211712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722E0DF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0.74(0.13)</w:t>
            </w:r>
          </w:p>
        </w:tc>
        <w:tc>
          <w:tcPr>
            <w:tcW w:w="1459" w:type="dxa"/>
            <w:shd w:val="clear" w:color="auto" w:fill="FFFFFF"/>
            <w:noWrap/>
            <w:vAlign w:val="center"/>
            <w:hideMark/>
          </w:tcPr>
          <w:p w14:paraId="6BDA12FF"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19FC60C1" w14:textId="77777777" w:rsidTr="004653D0">
        <w:trPr>
          <w:jc w:val="center"/>
        </w:trPr>
        <w:tc>
          <w:tcPr>
            <w:tcW w:w="1939" w:type="dxa"/>
            <w:vMerge/>
            <w:tcBorders>
              <w:top w:val="nil"/>
              <w:left w:val="nil"/>
              <w:bottom w:val="single" w:sz="4" w:space="0" w:color="000000"/>
              <w:right w:val="nil"/>
            </w:tcBorders>
            <w:vAlign w:val="center"/>
            <w:hideMark/>
          </w:tcPr>
          <w:p w14:paraId="2F00AFE0"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4867F4B3" w14:textId="77777777" w:rsidR="004653D0" w:rsidRDefault="004653D0">
            <w:pPr>
              <w:autoSpaceDE w:val="0"/>
              <w:autoSpaceDN w:val="0"/>
              <w:adjustRightInd w:val="0"/>
              <w:snapToGrid w:val="0"/>
              <w:spacing w:line="240" w:lineRule="auto"/>
              <w:jc w:val="center"/>
              <w:rPr>
                <w:rFonts w:eastAsia="Times New Roman"/>
                <w:noProof w:val="0"/>
                <w:color w:val="auto"/>
                <w:szCs w:val="18"/>
              </w:rPr>
            </w:pPr>
            <w:r>
              <w:rPr>
                <w:rFonts w:eastAsia="Times New Roman"/>
                <w:noProof w:val="0"/>
                <w:szCs w:val="18"/>
              </w:rPr>
              <w:t xml:space="preserve">Poaceae </w:t>
            </w:r>
          </w:p>
        </w:tc>
        <w:tc>
          <w:tcPr>
            <w:tcW w:w="1191" w:type="dxa"/>
            <w:shd w:val="clear" w:color="auto" w:fill="FFFFFF"/>
            <w:noWrap/>
            <w:vAlign w:val="center"/>
            <w:hideMark/>
          </w:tcPr>
          <w:p w14:paraId="5723461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0.035</w:t>
            </w:r>
          </w:p>
        </w:tc>
        <w:tc>
          <w:tcPr>
            <w:tcW w:w="1479" w:type="dxa"/>
            <w:shd w:val="clear" w:color="auto" w:fill="A9D08E"/>
            <w:noWrap/>
            <w:vAlign w:val="center"/>
            <w:hideMark/>
          </w:tcPr>
          <w:p w14:paraId="7F4438F1"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1.00 (0.00)</w:t>
            </w:r>
          </w:p>
        </w:tc>
        <w:tc>
          <w:tcPr>
            <w:tcW w:w="1479" w:type="dxa"/>
            <w:shd w:val="clear" w:color="auto" w:fill="A9D08E"/>
            <w:noWrap/>
            <w:vAlign w:val="center"/>
            <w:hideMark/>
          </w:tcPr>
          <w:p w14:paraId="774960EC"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1.00 (0.00)</w:t>
            </w:r>
          </w:p>
        </w:tc>
        <w:tc>
          <w:tcPr>
            <w:tcW w:w="1459" w:type="dxa"/>
            <w:shd w:val="clear" w:color="auto" w:fill="A9D08E"/>
            <w:noWrap/>
            <w:vAlign w:val="center"/>
            <w:hideMark/>
          </w:tcPr>
          <w:p w14:paraId="551822D0"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1.00 (0.00)</w:t>
            </w:r>
          </w:p>
        </w:tc>
      </w:tr>
      <w:tr w:rsidR="004653D0" w14:paraId="2F18A9AD" w14:textId="77777777" w:rsidTr="004653D0">
        <w:trPr>
          <w:jc w:val="center"/>
        </w:trPr>
        <w:tc>
          <w:tcPr>
            <w:tcW w:w="1939" w:type="dxa"/>
            <w:vMerge/>
            <w:tcBorders>
              <w:top w:val="nil"/>
              <w:left w:val="nil"/>
              <w:bottom w:val="single" w:sz="4" w:space="0" w:color="000000"/>
              <w:right w:val="nil"/>
            </w:tcBorders>
            <w:vAlign w:val="center"/>
            <w:hideMark/>
          </w:tcPr>
          <w:p w14:paraId="021881C4"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0136F1C8"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Potentilla </w:t>
            </w:r>
            <w:r>
              <w:rPr>
                <w:rFonts w:eastAsia="Times New Roman"/>
                <w:noProof w:val="0"/>
                <w:szCs w:val="18"/>
              </w:rPr>
              <w:t>t.</w:t>
            </w:r>
          </w:p>
        </w:tc>
        <w:tc>
          <w:tcPr>
            <w:tcW w:w="1191" w:type="dxa"/>
            <w:shd w:val="clear" w:color="auto" w:fill="FFFFFF"/>
            <w:noWrap/>
            <w:vAlign w:val="center"/>
            <w:hideMark/>
          </w:tcPr>
          <w:p w14:paraId="33E6344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0.018</w:t>
            </w:r>
          </w:p>
        </w:tc>
        <w:tc>
          <w:tcPr>
            <w:tcW w:w="1479" w:type="dxa"/>
            <w:shd w:val="clear" w:color="auto" w:fill="FFFFFF"/>
            <w:noWrap/>
            <w:vAlign w:val="center"/>
            <w:hideMark/>
          </w:tcPr>
          <w:p w14:paraId="216FDE6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5BB4DE7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1.19(0.133)</w:t>
            </w:r>
          </w:p>
        </w:tc>
        <w:tc>
          <w:tcPr>
            <w:tcW w:w="1459" w:type="dxa"/>
            <w:shd w:val="clear" w:color="auto" w:fill="FFFFFF"/>
            <w:noWrap/>
            <w:vAlign w:val="center"/>
            <w:hideMark/>
          </w:tcPr>
          <w:p w14:paraId="44C75BC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0DBEF251" w14:textId="77777777" w:rsidTr="004653D0">
        <w:trPr>
          <w:jc w:val="center"/>
        </w:trPr>
        <w:tc>
          <w:tcPr>
            <w:tcW w:w="1939" w:type="dxa"/>
            <w:vMerge/>
            <w:tcBorders>
              <w:top w:val="nil"/>
              <w:left w:val="nil"/>
              <w:bottom w:val="single" w:sz="4" w:space="0" w:color="000000"/>
              <w:right w:val="nil"/>
            </w:tcBorders>
            <w:vAlign w:val="center"/>
            <w:hideMark/>
          </w:tcPr>
          <w:p w14:paraId="60321728"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7CAF340B"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Ranunculus acris </w:t>
            </w:r>
            <w:r>
              <w:rPr>
                <w:rFonts w:eastAsia="Times New Roman"/>
                <w:noProof w:val="0"/>
                <w:szCs w:val="18"/>
              </w:rPr>
              <w:t>t.</w:t>
            </w:r>
          </w:p>
        </w:tc>
        <w:tc>
          <w:tcPr>
            <w:tcW w:w="1191" w:type="dxa"/>
            <w:shd w:val="clear" w:color="auto" w:fill="FFFFFF"/>
            <w:noWrap/>
            <w:vAlign w:val="center"/>
            <w:hideMark/>
          </w:tcPr>
          <w:p w14:paraId="686C7404"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0.014</w:t>
            </w:r>
          </w:p>
        </w:tc>
        <w:tc>
          <w:tcPr>
            <w:tcW w:w="1479" w:type="dxa"/>
            <w:shd w:val="clear" w:color="auto" w:fill="FFFFFF"/>
            <w:noWrap/>
            <w:vAlign w:val="center"/>
            <w:hideMark/>
          </w:tcPr>
          <w:p w14:paraId="23ABBE8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0EBA262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1.99(0.265)</w:t>
            </w:r>
          </w:p>
        </w:tc>
        <w:tc>
          <w:tcPr>
            <w:tcW w:w="1459" w:type="dxa"/>
            <w:shd w:val="clear" w:color="auto" w:fill="FFFFFF"/>
            <w:noWrap/>
            <w:vAlign w:val="center"/>
            <w:hideMark/>
          </w:tcPr>
          <w:p w14:paraId="16567479"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1DD0B7C2" w14:textId="77777777" w:rsidTr="004653D0">
        <w:trPr>
          <w:jc w:val="center"/>
        </w:trPr>
        <w:tc>
          <w:tcPr>
            <w:tcW w:w="1939" w:type="dxa"/>
            <w:vMerge/>
            <w:tcBorders>
              <w:top w:val="nil"/>
              <w:left w:val="nil"/>
              <w:bottom w:val="single" w:sz="4" w:space="0" w:color="000000"/>
              <w:right w:val="nil"/>
            </w:tcBorders>
            <w:vAlign w:val="center"/>
            <w:hideMark/>
          </w:tcPr>
          <w:p w14:paraId="7162D548"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779D0C69" w14:textId="77777777" w:rsidR="004653D0" w:rsidRDefault="004653D0">
            <w:pPr>
              <w:autoSpaceDE w:val="0"/>
              <w:autoSpaceDN w:val="0"/>
              <w:adjustRightInd w:val="0"/>
              <w:snapToGrid w:val="0"/>
              <w:spacing w:line="240" w:lineRule="auto"/>
              <w:jc w:val="center"/>
              <w:rPr>
                <w:rFonts w:eastAsia="Times New Roman"/>
                <w:noProof w:val="0"/>
                <w:color w:val="auto"/>
                <w:szCs w:val="18"/>
              </w:rPr>
            </w:pPr>
            <w:proofErr w:type="spellStart"/>
            <w:r>
              <w:rPr>
                <w:rFonts w:eastAsia="Times New Roman"/>
                <w:noProof w:val="0"/>
                <w:szCs w:val="18"/>
              </w:rPr>
              <w:t>Rubiaceae</w:t>
            </w:r>
            <w:proofErr w:type="spellEnd"/>
          </w:p>
        </w:tc>
        <w:tc>
          <w:tcPr>
            <w:tcW w:w="1191" w:type="dxa"/>
            <w:shd w:val="clear" w:color="auto" w:fill="FFFFFF"/>
            <w:noWrap/>
            <w:vAlign w:val="center"/>
            <w:hideMark/>
          </w:tcPr>
          <w:p w14:paraId="5EF20FA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0.019</w:t>
            </w:r>
          </w:p>
        </w:tc>
        <w:tc>
          <w:tcPr>
            <w:tcW w:w="1479" w:type="dxa"/>
            <w:shd w:val="clear" w:color="auto" w:fill="FFFFFF"/>
            <w:noWrap/>
            <w:vAlign w:val="center"/>
            <w:hideMark/>
          </w:tcPr>
          <w:p w14:paraId="074F6F1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0D65444F"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3.95(0.314)</w:t>
            </w:r>
          </w:p>
        </w:tc>
        <w:tc>
          <w:tcPr>
            <w:tcW w:w="1459" w:type="dxa"/>
            <w:shd w:val="clear" w:color="auto" w:fill="FFFFFF"/>
            <w:noWrap/>
            <w:vAlign w:val="center"/>
            <w:hideMark/>
          </w:tcPr>
          <w:p w14:paraId="00FA4FB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72126D3D" w14:textId="77777777" w:rsidTr="004653D0">
        <w:trPr>
          <w:jc w:val="center"/>
        </w:trPr>
        <w:tc>
          <w:tcPr>
            <w:tcW w:w="1939" w:type="dxa"/>
            <w:vMerge/>
            <w:tcBorders>
              <w:top w:val="nil"/>
              <w:left w:val="nil"/>
              <w:bottom w:val="single" w:sz="4" w:space="0" w:color="000000"/>
              <w:right w:val="nil"/>
            </w:tcBorders>
            <w:vAlign w:val="center"/>
            <w:hideMark/>
          </w:tcPr>
          <w:p w14:paraId="6B26619F"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3A7BF56E"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 xml:space="preserve">Rumex </w:t>
            </w:r>
            <w:proofErr w:type="spellStart"/>
            <w:r>
              <w:rPr>
                <w:rFonts w:eastAsia="Times New Roman"/>
                <w:i/>
                <w:iCs/>
                <w:noProof w:val="0"/>
                <w:szCs w:val="18"/>
              </w:rPr>
              <w:t>acetosa</w:t>
            </w:r>
            <w:proofErr w:type="spellEnd"/>
            <w:r>
              <w:rPr>
                <w:rFonts w:eastAsia="Times New Roman"/>
                <w:i/>
                <w:iCs/>
                <w:noProof w:val="0"/>
                <w:szCs w:val="18"/>
              </w:rPr>
              <w:t xml:space="preserve"> </w:t>
            </w:r>
            <w:r>
              <w:rPr>
                <w:rFonts w:eastAsia="Times New Roman"/>
                <w:noProof w:val="0"/>
                <w:szCs w:val="18"/>
              </w:rPr>
              <w:t xml:space="preserve">t. </w:t>
            </w:r>
          </w:p>
        </w:tc>
        <w:tc>
          <w:tcPr>
            <w:tcW w:w="1191" w:type="dxa"/>
            <w:shd w:val="clear" w:color="auto" w:fill="FFFFFF"/>
            <w:noWrap/>
            <w:vAlign w:val="center"/>
            <w:hideMark/>
          </w:tcPr>
          <w:p w14:paraId="408344F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0.018</w:t>
            </w:r>
          </w:p>
        </w:tc>
        <w:tc>
          <w:tcPr>
            <w:tcW w:w="1479" w:type="dxa"/>
            <w:shd w:val="clear" w:color="auto" w:fill="A9D08E"/>
            <w:noWrap/>
            <w:vAlign w:val="center"/>
            <w:hideMark/>
          </w:tcPr>
          <w:p w14:paraId="06F9A6E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3.02(0.28)</w:t>
            </w:r>
          </w:p>
        </w:tc>
        <w:tc>
          <w:tcPr>
            <w:tcW w:w="1479" w:type="dxa"/>
            <w:shd w:val="clear" w:color="auto" w:fill="A9D08E"/>
            <w:noWrap/>
            <w:vAlign w:val="center"/>
            <w:hideMark/>
          </w:tcPr>
          <w:p w14:paraId="32859AD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3.02(0.28)</w:t>
            </w:r>
          </w:p>
        </w:tc>
        <w:tc>
          <w:tcPr>
            <w:tcW w:w="1459" w:type="dxa"/>
            <w:shd w:val="clear" w:color="auto" w:fill="9BC2E6"/>
            <w:noWrap/>
            <w:vAlign w:val="center"/>
            <w:hideMark/>
          </w:tcPr>
          <w:p w14:paraId="4A92855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2.14 (0.28)</w:t>
            </w:r>
          </w:p>
        </w:tc>
      </w:tr>
      <w:tr w:rsidR="004653D0" w14:paraId="0F07AC79" w14:textId="77777777" w:rsidTr="004653D0">
        <w:trPr>
          <w:jc w:val="center"/>
        </w:trPr>
        <w:tc>
          <w:tcPr>
            <w:tcW w:w="1939" w:type="dxa"/>
            <w:vMerge/>
            <w:tcBorders>
              <w:top w:val="nil"/>
              <w:left w:val="nil"/>
              <w:bottom w:val="single" w:sz="4" w:space="0" w:color="000000"/>
              <w:right w:val="nil"/>
            </w:tcBorders>
            <w:vAlign w:val="center"/>
            <w:hideMark/>
          </w:tcPr>
          <w:p w14:paraId="47F5A90F"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36636D81"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Secale cereale</w:t>
            </w:r>
          </w:p>
        </w:tc>
        <w:tc>
          <w:tcPr>
            <w:tcW w:w="1191" w:type="dxa"/>
            <w:shd w:val="clear" w:color="auto" w:fill="FFFFFF"/>
            <w:noWrap/>
            <w:vAlign w:val="center"/>
            <w:hideMark/>
          </w:tcPr>
          <w:p w14:paraId="1F6CCB8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0.06</w:t>
            </w:r>
          </w:p>
        </w:tc>
        <w:tc>
          <w:tcPr>
            <w:tcW w:w="1479" w:type="dxa"/>
            <w:shd w:val="clear" w:color="auto" w:fill="A9D08E"/>
            <w:noWrap/>
            <w:vAlign w:val="center"/>
            <w:hideMark/>
          </w:tcPr>
          <w:p w14:paraId="2BC8AF7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3.99(0.32)</w:t>
            </w:r>
          </w:p>
        </w:tc>
        <w:tc>
          <w:tcPr>
            <w:tcW w:w="1479" w:type="dxa"/>
            <w:shd w:val="clear" w:color="auto" w:fill="A9D08E"/>
            <w:noWrap/>
            <w:vAlign w:val="center"/>
            <w:hideMark/>
          </w:tcPr>
          <w:p w14:paraId="4D0055A0"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3.99(0.32)</w:t>
            </w:r>
          </w:p>
        </w:tc>
        <w:tc>
          <w:tcPr>
            <w:tcW w:w="1459" w:type="dxa"/>
            <w:shd w:val="clear" w:color="auto" w:fill="9BC2E6"/>
            <w:noWrap/>
            <w:vAlign w:val="center"/>
            <w:hideMark/>
          </w:tcPr>
          <w:p w14:paraId="20E1BC7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3.02 (0.05)</w:t>
            </w:r>
          </w:p>
        </w:tc>
      </w:tr>
      <w:tr w:rsidR="004653D0" w14:paraId="63D6BF8C" w14:textId="77777777" w:rsidTr="004653D0">
        <w:trPr>
          <w:jc w:val="center"/>
        </w:trPr>
        <w:tc>
          <w:tcPr>
            <w:tcW w:w="1939" w:type="dxa"/>
            <w:vMerge/>
            <w:tcBorders>
              <w:top w:val="nil"/>
              <w:left w:val="nil"/>
              <w:bottom w:val="single" w:sz="4" w:space="0" w:color="000000"/>
              <w:right w:val="nil"/>
            </w:tcBorders>
            <w:vAlign w:val="center"/>
            <w:hideMark/>
          </w:tcPr>
          <w:p w14:paraId="34705AE0" w14:textId="77777777" w:rsidR="004653D0" w:rsidRDefault="004653D0">
            <w:pPr>
              <w:spacing w:line="240" w:lineRule="auto"/>
              <w:jc w:val="left"/>
              <w:rPr>
                <w:rFonts w:eastAsia="Times New Roman" w:cs="Calibri"/>
                <w:noProof w:val="0"/>
                <w:szCs w:val="18"/>
              </w:rPr>
            </w:pPr>
          </w:p>
        </w:tc>
        <w:tc>
          <w:tcPr>
            <w:tcW w:w="2918" w:type="dxa"/>
            <w:shd w:val="clear" w:color="auto" w:fill="FFFFFF"/>
            <w:noWrap/>
            <w:vAlign w:val="center"/>
            <w:hideMark/>
          </w:tcPr>
          <w:p w14:paraId="555B10B3"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Trollius</w:t>
            </w:r>
          </w:p>
        </w:tc>
        <w:tc>
          <w:tcPr>
            <w:tcW w:w="1191" w:type="dxa"/>
            <w:shd w:val="clear" w:color="auto" w:fill="FFFFFF"/>
            <w:noWrap/>
            <w:vAlign w:val="center"/>
            <w:hideMark/>
          </w:tcPr>
          <w:p w14:paraId="219C8E40"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0.013</w:t>
            </w:r>
          </w:p>
        </w:tc>
        <w:tc>
          <w:tcPr>
            <w:tcW w:w="1479" w:type="dxa"/>
            <w:shd w:val="clear" w:color="auto" w:fill="FFFFFF"/>
            <w:noWrap/>
            <w:vAlign w:val="center"/>
            <w:hideMark/>
          </w:tcPr>
          <w:p w14:paraId="0E0A045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shd w:val="clear" w:color="auto" w:fill="FFD966"/>
            <w:noWrap/>
            <w:vAlign w:val="center"/>
            <w:hideMark/>
          </w:tcPr>
          <w:p w14:paraId="315473D0"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2.29(0.36)</w:t>
            </w:r>
          </w:p>
        </w:tc>
        <w:tc>
          <w:tcPr>
            <w:tcW w:w="1459" w:type="dxa"/>
            <w:shd w:val="clear" w:color="auto" w:fill="FFFFFF"/>
            <w:noWrap/>
            <w:vAlign w:val="center"/>
            <w:hideMark/>
          </w:tcPr>
          <w:p w14:paraId="0FEBCAFB"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1FBCEADD" w14:textId="77777777" w:rsidTr="004653D0">
        <w:trPr>
          <w:jc w:val="center"/>
        </w:trPr>
        <w:tc>
          <w:tcPr>
            <w:tcW w:w="1939" w:type="dxa"/>
            <w:vMerge/>
            <w:tcBorders>
              <w:top w:val="nil"/>
              <w:left w:val="nil"/>
              <w:bottom w:val="single" w:sz="4" w:space="0" w:color="000000"/>
              <w:right w:val="nil"/>
            </w:tcBorders>
            <w:vAlign w:val="center"/>
            <w:hideMark/>
          </w:tcPr>
          <w:p w14:paraId="407F38D3" w14:textId="77777777" w:rsidR="004653D0" w:rsidRDefault="004653D0">
            <w:pPr>
              <w:spacing w:line="240" w:lineRule="auto"/>
              <w:jc w:val="left"/>
              <w:rPr>
                <w:rFonts w:eastAsia="Times New Roman" w:cs="Calibri"/>
                <w:noProof w:val="0"/>
                <w:szCs w:val="18"/>
              </w:rPr>
            </w:pPr>
          </w:p>
        </w:tc>
        <w:tc>
          <w:tcPr>
            <w:tcW w:w="2918" w:type="dxa"/>
            <w:tcBorders>
              <w:top w:val="nil"/>
              <w:left w:val="nil"/>
              <w:bottom w:val="single" w:sz="4" w:space="0" w:color="auto"/>
              <w:right w:val="nil"/>
            </w:tcBorders>
            <w:shd w:val="clear" w:color="auto" w:fill="FFFFFF"/>
            <w:noWrap/>
            <w:vAlign w:val="center"/>
            <w:hideMark/>
          </w:tcPr>
          <w:p w14:paraId="6BB3BDC2" w14:textId="77777777" w:rsidR="004653D0" w:rsidRDefault="004653D0">
            <w:pPr>
              <w:autoSpaceDE w:val="0"/>
              <w:autoSpaceDN w:val="0"/>
              <w:adjustRightInd w:val="0"/>
              <w:snapToGrid w:val="0"/>
              <w:spacing w:line="240" w:lineRule="auto"/>
              <w:jc w:val="center"/>
              <w:rPr>
                <w:rFonts w:eastAsia="Times New Roman"/>
                <w:i/>
                <w:iCs/>
                <w:noProof w:val="0"/>
                <w:color w:val="auto"/>
                <w:szCs w:val="18"/>
              </w:rPr>
            </w:pPr>
            <w:r>
              <w:rPr>
                <w:rFonts w:eastAsia="Times New Roman"/>
                <w:i/>
                <w:iCs/>
                <w:noProof w:val="0"/>
                <w:szCs w:val="18"/>
              </w:rPr>
              <w:t>Urtica</w:t>
            </w:r>
          </w:p>
        </w:tc>
        <w:tc>
          <w:tcPr>
            <w:tcW w:w="1191" w:type="dxa"/>
            <w:tcBorders>
              <w:top w:val="nil"/>
              <w:left w:val="nil"/>
              <w:bottom w:val="single" w:sz="4" w:space="0" w:color="auto"/>
              <w:right w:val="nil"/>
            </w:tcBorders>
            <w:shd w:val="clear" w:color="auto" w:fill="FFFFFF"/>
            <w:noWrap/>
            <w:vAlign w:val="center"/>
            <w:hideMark/>
          </w:tcPr>
          <w:p w14:paraId="6983A3C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0.007</w:t>
            </w:r>
          </w:p>
        </w:tc>
        <w:tc>
          <w:tcPr>
            <w:tcW w:w="1479" w:type="dxa"/>
            <w:tcBorders>
              <w:top w:val="nil"/>
              <w:left w:val="nil"/>
              <w:bottom w:val="single" w:sz="4" w:space="0" w:color="auto"/>
              <w:right w:val="nil"/>
            </w:tcBorders>
            <w:shd w:val="clear" w:color="auto" w:fill="FFFFFF"/>
            <w:noWrap/>
            <w:vAlign w:val="center"/>
            <w:hideMark/>
          </w:tcPr>
          <w:p w14:paraId="7A2EDD22"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tcBorders>
              <w:top w:val="nil"/>
              <w:left w:val="nil"/>
              <w:bottom w:val="single" w:sz="4" w:space="0" w:color="auto"/>
              <w:right w:val="nil"/>
            </w:tcBorders>
            <w:shd w:val="clear" w:color="auto" w:fill="FFD966"/>
            <w:noWrap/>
            <w:vAlign w:val="center"/>
            <w:hideMark/>
          </w:tcPr>
          <w:p w14:paraId="72E66B5E"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10.52(0.31)</w:t>
            </w:r>
          </w:p>
        </w:tc>
        <w:tc>
          <w:tcPr>
            <w:tcW w:w="1459" w:type="dxa"/>
            <w:tcBorders>
              <w:top w:val="nil"/>
              <w:left w:val="nil"/>
              <w:bottom w:val="single" w:sz="4" w:space="0" w:color="auto"/>
              <w:right w:val="nil"/>
            </w:tcBorders>
            <w:shd w:val="clear" w:color="auto" w:fill="FFFFFF"/>
            <w:noWrap/>
            <w:vAlign w:val="center"/>
            <w:hideMark/>
          </w:tcPr>
          <w:p w14:paraId="0CB1E578"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r>
      <w:tr w:rsidR="004653D0" w14:paraId="616B218D" w14:textId="77777777" w:rsidTr="004653D0">
        <w:trPr>
          <w:jc w:val="center"/>
        </w:trPr>
        <w:tc>
          <w:tcPr>
            <w:tcW w:w="1939" w:type="dxa"/>
            <w:tcBorders>
              <w:top w:val="nil"/>
              <w:left w:val="nil"/>
              <w:bottom w:val="single" w:sz="8" w:space="0" w:color="auto"/>
              <w:right w:val="nil"/>
            </w:tcBorders>
            <w:shd w:val="clear" w:color="auto" w:fill="FFFFFF"/>
            <w:noWrap/>
            <w:vAlign w:val="center"/>
            <w:hideMark/>
          </w:tcPr>
          <w:p w14:paraId="2D8AD197"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2918" w:type="dxa"/>
            <w:tcBorders>
              <w:top w:val="nil"/>
              <w:left w:val="nil"/>
              <w:bottom w:val="single" w:sz="8" w:space="0" w:color="auto"/>
              <w:right w:val="nil"/>
            </w:tcBorders>
            <w:shd w:val="clear" w:color="auto" w:fill="FFFFFF"/>
            <w:noWrap/>
            <w:vAlign w:val="center"/>
            <w:hideMark/>
          </w:tcPr>
          <w:p w14:paraId="41975543" w14:textId="77777777" w:rsidR="004653D0" w:rsidRDefault="004653D0">
            <w:pPr>
              <w:autoSpaceDE w:val="0"/>
              <w:autoSpaceDN w:val="0"/>
              <w:adjustRightInd w:val="0"/>
              <w:snapToGrid w:val="0"/>
              <w:spacing w:line="240" w:lineRule="auto"/>
              <w:jc w:val="center"/>
              <w:rPr>
                <w:rFonts w:eastAsia="Times New Roman" w:cs="Calibri"/>
                <w:noProof w:val="0"/>
                <w:color w:val="auto"/>
                <w:szCs w:val="18"/>
              </w:rPr>
            </w:pPr>
            <w:r>
              <w:rPr>
                <w:rFonts w:eastAsia="Times New Roman" w:cs="Calibri"/>
                <w:noProof w:val="0"/>
                <w:szCs w:val="18"/>
              </w:rPr>
              <w:t>Number of taxa</w:t>
            </w:r>
          </w:p>
        </w:tc>
        <w:tc>
          <w:tcPr>
            <w:tcW w:w="1191" w:type="dxa"/>
            <w:tcBorders>
              <w:top w:val="nil"/>
              <w:left w:val="nil"/>
              <w:bottom w:val="single" w:sz="8" w:space="0" w:color="auto"/>
              <w:right w:val="nil"/>
            </w:tcBorders>
            <w:shd w:val="clear" w:color="auto" w:fill="FFFFFF"/>
            <w:noWrap/>
            <w:vAlign w:val="center"/>
            <w:hideMark/>
          </w:tcPr>
          <w:p w14:paraId="65AEC92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 xml:space="preserve"> </w:t>
            </w:r>
          </w:p>
        </w:tc>
        <w:tc>
          <w:tcPr>
            <w:tcW w:w="1479" w:type="dxa"/>
            <w:tcBorders>
              <w:top w:val="nil"/>
              <w:left w:val="nil"/>
              <w:bottom w:val="single" w:sz="8" w:space="0" w:color="auto"/>
              <w:right w:val="nil"/>
            </w:tcBorders>
            <w:shd w:val="clear" w:color="auto" w:fill="FFFFFF"/>
            <w:noWrap/>
            <w:vAlign w:val="center"/>
            <w:hideMark/>
          </w:tcPr>
          <w:p w14:paraId="7D67A086"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31</w:t>
            </w:r>
          </w:p>
        </w:tc>
        <w:tc>
          <w:tcPr>
            <w:tcW w:w="1479" w:type="dxa"/>
            <w:tcBorders>
              <w:top w:val="nil"/>
              <w:left w:val="nil"/>
              <w:bottom w:val="single" w:sz="8" w:space="0" w:color="auto"/>
              <w:right w:val="nil"/>
            </w:tcBorders>
            <w:shd w:val="clear" w:color="auto" w:fill="FFFFFF"/>
            <w:noWrap/>
            <w:vAlign w:val="center"/>
            <w:hideMark/>
          </w:tcPr>
          <w:p w14:paraId="0B864033"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46</w:t>
            </w:r>
          </w:p>
        </w:tc>
        <w:tc>
          <w:tcPr>
            <w:tcW w:w="1459" w:type="dxa"/>
            <w:tcBorders>
              <w:top w:val="nil"/>
              <w:left w:val="nil"/>
              <w:bottom w:val="single" w:sz="8" w:space="0" w:color="auto"/>
              <w:right w:val="nil"/>
            </w:tcBorders>
            <w:shd w:val="clear" w:color="auto" w:fill="FFFFFF"/>
            <w:noWrap/>
            <w:vAlign w:val="center"/>
            <w:hideMark/>
          </w:tcPr>
          <w:p w14:paraId="3859A065" w14:textId="77777777" w:rsidR="004653D0" w:rsidRDefault="004653D0">
            <w:pPr>
              <w:autoSpaceDE w:val="0"/>
              <w:autoSpaceDN w:val="0"/>
              <w:adjustRightInd w:val="0"/>
              <w:snapToGrid w:val="0"/>
              <w:spacing w:line="240" w:lineRule="auto"/>
              <w:jc w:val="center"/>
              <w:rPr>
                <w:rFonts w:eastAsia="Times New Roman" w:cs="Calibri"/>
                <w:noProof w:val="0"/>
                <w:szCs w:val="18"/>
              </w:rPr>
            </w:pPr>
            <w:r>
              <w:rPr>
                <w:rFonts w:eastAsia="Times New Roman" w:cs="Calibri"/>
                <w:noProof w:val="0"/>
                <w:szCs w:val="18"/>
              </w:rPr>
              <w:t>31</w:t>
            </w:r>
          </w:p>
        </w:tc>
      </w:tr>
    </w:tbl>
    <w:p w14:paraId="65F2F669" w14:textId="77777777" w:rsidR="004653D0" w:rsidRDefault="004653D0" w:rsidP="004653D0">
      <w:pPr>
        <w:pStyle w:val="MDPI22heading2"/>
        <w:spacing w:before="240"/>
        <w:rPr>
          <w:lang w:val="en-GB"/>
        </w:rPr>
      </w:pPr>
      <w:r>
        <w:rPr>
          <w:lang w:val="en-GB"/>
        </w:rPr>
        <w:t>2.3. Modern Vegetation and Pollen Datasets</w:t>
      </w:r>
    </w:p>
    <w:p w14:paraId="34E41255" w14:textId="77777777" w:rsidR="004653D0" w:rsidRDefault="004653D0" w:rsidP="004653D0">
      <w:pPr>
        <w:pStyle w:val="MDPI31text"/>
      </w:pPr>
      <w:r>
        <w:t>To perform an evaluation of the quality of the REVEALS results and the effect of RPP-means datasets (RPPs.st1, RPPs.st2, and RPPs.st3) on the grid-based REVEALS estimates (Gb-</w:t>
      </w:r>
      <w:proofErr w:type="spellStart"/>
      <w:r>
        <w:t>RVest</w:t>
      </w:r>
      <w:proofErr w:type="spellEnd"/>
      <w:r>
        <w:t>), we compared the sum of REVEALS-based tree cover for the most recent decades (RV-Trees) with modern measurements of tree cover (GFC-Trees).</w:t>
      </w:r>
    </w:p>
    <w:p w14:paraId="2CA007D8" w14:textId="77777777" w:rsidR="004653D0" w:rsidRDefault="004653D0" w:rsidP="004653D0">
      <w:pPr>
        <w:pStyle w:val="MDPI31text"/>
        <w:rPr>
          <w:lang w:val="en-GB"/>
        </w:rPr>
      </w:pPr>
      <w:r>
        <w:rPr>
          <w:lang w:val="en-GB"/>
        </w:rPr>
        <w:t xml:space="preserve">GFC-Trees was derived from the global forest change dataset </w:t>
      </w:r>
      <w:r>
        <w:rPr>
          <w:rStyle w:val="FootnoteReference"/>
          <w:rFonts w:cstheme="minorHAnsi"/>
          <w:color w:val="auto"/>
          <w:lang w:val="en-GB"/>
        </w:rPr>
        <w:fldChar w:fldCharType="begin" w:fldLock="1"/>
      </w:r>
      <w:r>
        <w:rPr>
          <w:lang w:val="en-GB"/>
        </w:rPr>
        <w:instrText>ADDIN CSL_CITATION {"citationItems":[{"id":"ITEM-1","itemData":{"DOI":"10.1126/science.1244693","ISSN":"10959203","PMID":"24233722","abstract":"Quantification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change.","author":[{"dropping-particle":"","family":"Hansen","given":"M. C.","non-dropping-particle":"","parse-names":false,"suffix":""},{"dropping-particle":"V.","family":"Potapov","given":"P.","non-dropping-particle":"","parse-names":false,"suffix":""},{"dropping-particle":"","family":"Moore","given":"R.","non-dropping-particle":"","parse-names":false,"suffix":""},{"dropping-particle":"","family":"Hancher","given":"M.","non-dropping-particle":"","parse-names":false,"suffix":""},{"dropping-particle":"","family":"Turubanova","given":"S. A.","non-dropping-particle":"","parse-names":false,"suffix":""},{"dropping-particle":"","family":"Tyukavina","given":"A.","non-dropping-particle":"","parse-names":false,"suffix":""},{"dropping-particle":"","family":"Thau","given":"D.","non-dropping-particle":"","parse-names":false,"suffix":""},{"dropping-particle":"V.","family":"Stehman","given":"S.","non-dropping-particle":"","parse-names":false,"suffix":""},{"dropping-particle":"","family":"Goetz","given":"S. J.","non-dropping-particle":"","parse-names":false,"suffix":""},{"dropping-particle":"","family":"Loveland","given":"T. R.","non-dropping-particle":"","parse-names":false,"suffix":""},{"dropping-particle":"","family":"Kommareddy","given":"A.","non-dropping-particle":"","parse-names":false,"suffix":""},{"dropping-particle":"","family":"Egorov","given":"A.","non-dropping-particle":"","parse-names":false,"suffix":""},{"dropping-particle":"","family":"Chini","given":"L.","non-dropping-particle":"","parse-names":false,"suffix":""},{"dropping-particle":"","family":"Justice","given":"C. O.","non-dropping-particle":"","parse-names":false,"suffix":""},{"dropping-particle":"","family":"Townshend","given":"J. R.G.","non-dropping-particle":"","parse-names":false,"suffix":""}],"container-title":"Science","id":"ITEM-1","issue":"6160","issued":{"date-parts":[["2013"]]},"page":"850-853","title":"High-resolution global maps of 21st-century forest cover change","type":"article-journal","volume":"342"},"uris":["http://www.mendeley.com/documents/?uuid=73f2d94c-0d62-4e7b-95c7-ef7ee779d8e3"]}],"mendeley":{"formattedCitation":"&lt;sup&gt;[60]&lt;/sup&gt;","manualFormatting":"[58]","plainTextFormattedCitation":"[60]","previouslyFormattedCitation":"(Hansen et al., 2013)"},"properties":{"noteIndex":0},"schema":"https://github.com/citation-style-language/schema/raw/master/csl-citation.json"}</w:instrText>
      </w:r>
      <w:r>
        <w:rPr>
          <w:rStyle w:val="FootnoteReference"/>
          <w:rFonts w:cstheme="minorHAnsi"/>
          <w:color w:val="auto"/>
          <w:lang w:val="en-GB"/>
        </w:rPr>
        <w:fldChar w:fldCharType="separate"/>
      </w:r>
      <w:r>
        <w:rPr>
          <w:bCs/>
          <w:noProof/>
        </w:rPr>
        <w:t>[57]</w:t>
      </w:r>
      <w:r>
        <w:rPr>
          <w:rStyle w:val="FootnoteReference"/>
          <w:rFonts w:cstheme="minorHAnsi"/>
          <w:color w:val="auto"/>
          <w:lang w:val="en-GB"/>
        </w:rPr>
        <w:fldChar w:fldCharType="end"/>
      </w:r>
      <w:r>
        <w:rPr>
          <w:lang w:val="en-GB"/>
        </w:rPr>
        <w:t xml:space="preserve">. This is based on the analysis of Landsat 7 Enhanced Thematic Mapper Plus data at a 30-m spatial resolution to characterize forest extent, loss, and gain from 2000 to 2012. We used tree cover data for the year 2000 that expresses tree cover (defined as vegetation taller than 5 m in height) </w:t>
      </w:r>
      <w:r>
        <w:t xml:space="preserve">as a percentage per output grid cell. All forms </w:t>
      </w:r>
      <w:r>
        <w:rPr>
          <w:lang w:val="en-GB"/>
        </w:rPr>
        <w:t xml:space="preserve">of natural forests or plantations across a range of canopy densities are considered. </w:t>
      </w:r>
      <w:r>
        <w:rPr>
          <w:noProof/>
          <w:lang w:val="en-GB"/>
        </w:rPr>
        <w:t>B</w:t>
      </w:r>
      <w:proofErr w:type="spellStart"/>
      <w:r>
        <w:t>roadleaved</w:t>
      </w:r>
      <w:proofErr w:type="spellEnd"/>
      <w:r>
        <w:t xml:space="preserve"> and coniferous trees are not differentiated</w:t>
      </w:r>
      <w:r>
        <w:rPr>
          <w:lang w:val="en-GB"/>
        </w:rPr>
        <w:t xml:space="preserve">. Original tree cover data </w:t>
      </w:r>
      <w:r>
        <w:t xml:space="preserve">are viewable and downable at </w:t>
      </w:r>
      <w:r>
        <w:rPr>
          <w:lang w:val="en-GB"/>
        </w:rPr>
        <w:t xml:space="preserve">full resolution at </w:t>
      </w:r>
      <w:r>
        <w:t>http://earthenginepartners.appspot.com/science-2013-global-forest.</w:t>
      </w:r>
    </w:p>
    <w:p w14:paraId="1259AF74" w14:textId="77777777" w:rsidR="004653D0" w:rsidRDefault="004653D0" w:rsidP="004653D0">
      <w:pPr>
        <w:pStyle w:val="MDPI31text"/>
      </w:pPr>
      <w:r>
        <w:rPr>
          <w:lang w:val="en-GB"/>
        </w:rPr>
        <w:t>RV-Trees values are based on the Gb-</w:t>
      </w:r>
      <w:proofErr w:type="spellStart"/>
      <w:r>
        <w:rPr>
          <w:lang w:val="en-GB"/>
        </w:rPr>
        <w:t>RVest</w:t>
      </w:r>
      <w:proofErr w:type="spellEnd"/>
      <w:r>
        <w:rPr>
          <w:lang w:val="en-GB"/>
        </w:rPr>
        <w:t xml:space="preserve"> results from the core top samples (−45 to −55 BP, i.e., 1995 AD to 2005 AD). GB-</w:t>
      </w:r>
      <w:proofErr w:type="spellStart"/>
      <w:r>
        <w:rPr>
          <w:lang w:val="en-GB"/>
        </w:rPr>
        <w:t>RVest</w:t>
      </w:r>
      <w:proofErr w:type="spellEnd"/>
      <w:r>
        <w:rPr>
          <w:lang w:val="en-GB"/>
        </w:rPr>
        <w:t xml:space="preserve"> results for taxa in the summer green trees and evergreen tree groups (Table 1) have been summed. The number of core top records from large lakes is limited in Europe (N = 9), and thus we have included Gb-</w:t>
      </w:r>
      <w:proofErr w:type="spellStart"/>
      <w:r>
        <w:rPr>
          <w:lang w:val="en-GB"/>
        </w:rPr>
        <w:t>RVest</w:t>
      </w:r>
      <w:proofErr w:type="spellEnd"/>
      <w:r>
        <w:rPr>
          <w:lang w:val="en-GB"/>
        </w:rPr>
        <w:t xml:space="preserve">, which is based on multiple small-sized sites within our evaluation of RPP-mean datasets. The total number of grid cells used is 111. This results in 36 grid cells with lakes and 75 grid cells with both lakes and bogs (of which 47 with only ≥1 bog(s)) of all radii. </w:t>
      </w:r>
      <w:r>
        <w:rPr>
          <w:lang w:val="de-AT"/>
        </w:rPr>
        <w:t xml:space="preserve">Therefore, the modern pollen dataset </w:t>
      </w:r>
      <w:r>
        <w:rPr>
          <w:lang w:val="en-GB"/>
        </w:rPr>
        <w:t xml:space="preserve">covered 20 European countries from the Mediterranean to the boreal vegetation zones, with a tree-cover gradient from 1% to 80% (Figure 2). </w:t>
      </w:r>
      <w:r>
        <w:t>The same pollen dataset was used for the comparison between raw pollen data (RW-data) and GFC-Trees for 31 taxa and 46 taxa.</w:t>
      </w:r>
    </w:p>
    <w:p w14:paraId="15ACC1A5" w14:textId="77777777" w:rsidR="004653D0" w:rsidRDefault="004653D0" w:rsidP="004653D0">
      <w:pPr>
        <w:pStyle w:val="MDPI31text"/>
      </w:pPr>
      <w:r>
        <w:t>Comparison of</w:t>
      </w:r>
      <w:r>
        <w:rPr>
          <w:rFonts w:cstheme="minorHAnsi"/>
          <w:lang w:val="en-GB"/>
        </w:rPr>
        <w:t xml:space="preserve"> </w:t>
      </w:r>
      <w:r>
        <w:t>RV-Trees with GFC-Trees required a transformation of the spatial resolution of the modern tree cover. While the tree cover is available at 1 arc-minute resolution, the REVEALS reconstructions were prepared for 1</w:t>
      </w:r>
      <w:r>
        <w:rPr>
          <w:lang w:val="en-GB"/>
        </w:rPr>
        <w:t>°</w:t>
      </w:r>
      <w:r>
        <w:t xml:space="preserve"> grid cells. We aggregated the tree-cover data to the REVEALS grid by averaging the tree-cover percentages in each REVEALS grid cell (Figure 2).</w:t>
      </w:r>
    </w:p>
    <w:p w14:paraId="1F8D9BE1" w14:textId="2E85DB38" w:rsidR="004653D0" w:rsidRDefault="004653D0" w:rsidP="004653D0">
      <w:pPr>
        <w:pStyle w:val="MDPI52figure"/>
      </w:pPr>
      <w:r>
        <w:rPr>
          <w:noProof/>
          <w:lang w:val="fr-FR" w:eastAsia="fr-FR" w:bidi="ar-SA"/>
        </w:rPr>
        <w:lastRenderedPageBreak/>
        <w:drawing>
          <wp:inline distT="0" distB="0" distL="0" distR="0" wp14:anchorId="1709758A" wp14:editId="7BBD76DC">
            <wp:extent cx="5972175" cy="3705225"/>
            <wp:effectExtent l="0" t="0" r="9525" b="952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4065" t="9995" r="5919" b="10739"/>
                    <a:stretch>
                      <a:fillRect/>
                    </a:stretch>
                  </pic:blipFill>
                  <pic:spPr bwMode="auto">
                    <a:xfrm>
                      <a:off x="0" y="0"/>
                      <a:ext cx="5972175" cy="3705225"/>
                    </a:xfrm>
                    <a:prstGeom prst="rect">
                      <a:avLst/>
                    </a:prstGeom>
                    <a:noFill/>
                    <a:ln>
                      <a:noFill/>
                    </a:ln>
                  </pic:spPr>
                </pic:pic>
              </a:graphicData>
            </a:graphic>
          </wp:inline>
        </w:drawing>
      </w:r>
    </w:p>
    <w:p w14:paraId="16A1BE6A" w14:textId="77777777" w:rsidR="004653D0" w:rsidRDefault="004653D0" w:rsidP="004653D0">
      <w:pPr>
        <w:pStyle w:val="MDPI51figurecaption"/>
        <w:jc w:val="both"/>
      </w:pPr>
      <w:r>
        <w:rPr>
          <w:b/>
          <w:lang w:val="en-GB"/>
        </w:rPr>
        <w:t xml:space="preserve">Figure 2. </w:t>
      </w:r>
      <w:r>
        <w:rPr>
          <w:lang w:val="en-GB"/>
        </w:rPr>
        <w:t xml:space="preserve">Grid cells with sites (bogs and lakes) used for validation and tree cover at 2000 AD according to the global forest change dataset </w:t>
      </w:r>
      <w:r>
        <w:rPr>
          <w:rStyle w:val="FootnoteReference"/>
          <w:rFonts w:cstheme="minorHAnsi"/>
          <w:color w:val="auto"/>
          <w:sz w:val="20"/>
          <w:lang w:val="en-GB"/>
        </w:rPr>
        <w:fldChar w:fldCharType="begin" w:fldLock="1"/>
      </w:r>
      <w:r>
        <w:rPr>
          <w:lang w:val="en-GB"/>
        </w:rPr>
        <w:instrText>ADDIN CSL_CITATION {"citationItems":[{"id":"ITEM-1","itemData":{"DOI":"10.1126/science.1244693","ISSN":"10959203","PMID":"24233722","abstract":"Quantification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change.","author":[{"dropping-particle":"","family":"Hansen","given":"M. C.","non-dropping-particle":"","parse-names":false,"suffix":""},{"dropping-particle":"V.","family":"Potapov","given":"P.","non-dropping-particle":"","parse-names":false,"suffix":""},{"dropping-particle":"","family":"Moore","given":"R.","non-dropping-particle":"","parse-names":false,"suffix":""},{"dropping-particle":"","family":"Hancher","given":"M.","non-dropping-particle":"","parse-names":false,"suffix":""},{"dropping-particle":"","family":"Turubanova","given":"S. A.","non-dropping-particle":"","parse-names":false,"suffix":""},{"dropping-particle":"","family":"Tyukavina","given":"A.","non-dropping-particle":"","parse-names":false,"suffix":""},{"dropping-particle":"","family":"Thau","given":"D.","non-dropping-particle":"","parse-names":false,"suffix":""},{"dropping-particle":"V.","family":"Stehman","given":"S.","non-dropping-particle":"","parse-names":false,"suffix":""},{"dropping-particle":"","family":"Goetz","given":"S. J.","non-dropping-particle":"","parse-names":false,"suffix":""},{"dropping-particle":"","family":"Loveland","given":"T. R.","non-dropping-particle":"","parse-names":false,"suffix":""},{"dropping-particle":"","family":"Kommareddy","given":"A.","non-dropping-particle":"","parse-names":false,"suffix":""},{"dropping-particle":"","family":"Egorov","given":"A.","non-dropping-particle":"","parse-names":false,"suffix":""},{"dropping-particle":"","family":"Chini","given":"L.","non-dropping-particle":"","parse-names":false,"suffix":""},{"dropping-particle":"","family":"Justice","given":"C. O.","non-dropping-particle":"","parse-names":false,"suffix":""},{"dropping-particle":"","family":"Townshend","given":"J. R.G.","non-dropping-particle":"","parse-names":false,"suffix":""}],"container-title":"Science","id":"ITEM-1","issue":"6160","issued":{"date-parts":[["2013"]]},"page":"850-853","title":"High-resolution global maps of 21st-century forest cover change","type":"article-journal","volume":"342"},"uris":["http://www.mendeley.com/documents/?uuid=73f2d94c-0d62-4e7b-95c7-ef7ee779d8e3"]}],"mendeley":{"formattedCitation":"&lt;sup&gt;[60]&lt;/sup&gt;","manualFormatting":"[58]","plainTextFormattedCitation":"[60]","previouslyFormattedCitation":"(Hansen et al., 2013)"},"properties":{"noteIndex":0},"schema":"https://github.com/citation-style-language/schema/raw/master/csl-citation.json"}</w:instrText>
      </w:r>
      <w:r>
        <w:rPr>
          <w:rStyle w:val="FootnoteReference"/>
          <w:rFonts w:cstheme="minorHAnsi"/>
          <w:color w:val="auto"/>
          <w:sz w:val="20"/>
          <w:lang w:val="en-GB"/>
        </w:rPr>
        <w:fldChar w:fldCharType="separate"/>
      </w:r>
      <w:r>
        <w:rPr>
          <w:noProof/>
          <w:lang w:val="en-GB"/>
        </w:rPr>
        <w:t>[57]</w:t>
      </w:r>
      <w:r>
        <w:rPr>
          <w:rStyle w:val="FootnoteReference"/>
          <w:rFonts w:cstheme="minorHAnsi"/>
          <w:color w:val="auto"/>
          <w:sz w:val="20"/>
          <w:lang w:val="en-GB"/>
        </w:rPr>
        <w:fldChar w:fldCharType="end"/>
      </w:r>
      <w:r>
        <w:rPr>
          <w:lang w:val="en-GB"/>
        </w:rPr>
        <w:t xml:space="preserve"> in mean percentage cover of the grid cell (1° × 1°). Blue and red grid cells, see the legend. See Methods for the definition of “reliable number of sites” (i.e., implying reliable REVEALS estimates of plant cover). Red grid cells represent less reliable REVEALS reconstructions. Note that the information on the reliability of results in this Figure is valid for the time window –45 to –55 (1995–2005 CE) only.</w:t>
      </w:r>
    </w:p>
    <w:p w14:paraId="56129A69" w14:textId="77777777" w:rsidR="004653D0" w:rsidRDefault="004653D0" w:rsidP="004653D0">
      <w:pPr>
        <w:pStyle w:val="MDPI22heading2"/>
        <w:spacing w:before="240"/>
        <w:rPr>
          <w:lang w:val="en-GB"/>
        </w:rPr>
      </w:pPr>
      <w:r>
        <w:rPr>
          <w:lang w:val="en-GB"/>
        </w:rPr>
        <w:t>2.4. REVEALS Run and Data Analysis</w:t>
      </w:r>
    </w:p>
    <w:p w14:paraId="22BA86F0" w14:textId="77777777" w:rsidR="004653D0" w:rsidRDefault="004653D0" w:rsidP="004653D0">
      <w:pPr>
        <w:pStyle w:val="MDPI31text"/>
        <w:rPr>
          <w:lang w:val="en-GB"/>
        </w:rPr>
      </w:pPr>
      <w:r>
        <w:rPr>
          <w:lang w:val="en-GB"/>
        </w:rPr>
        <w:t xml:space="preserve">The REVEALS function within the LRA R-package [58] was used to produce </w:t>
      </w:r>
      <w:r>
        <w:t>grid-based REVEALS estimates</w:t>
      </w:r>
      <w:r>
        <w:rPr>
          <w:lang w:val="en-GB"/>
        </w:rPr>
        <w:t xml:space="preserve"> (Gb-</w:t>
      </w:r>
      <w:proofErr w:type="spellStart"/>
      <w:r>
        <w:rPr>
          <w:lang w:val="en-GB"/>
        </w:rPr>
        <w:t>RVest</w:t>
      </w:r>
      <w:proofErr w:type="spellEnd"/>
      <w:r>
        <w:rPr>
          <w:lang w:val="en-GB"/>
        </w:rPr>
        <w:t xml:space="preserve">). In this study, we selected the Gaussian Plume model to describe pollen dispersal as selected RPP values are derived from the GPM model. Depending on the type of site, the REVEALS function used a different deposition model, Sugita’s model for lakes and ponds </w:t>
      </w:r>
      <w:r>
        <w:rPr>
          <w:rStyle w:val="FootnoteReference"/>
          <w:color w:val="auto"/>
          <w:lang w:val="en-GB"/>
        </w:rPr>
        <w:fldChar w:fldCharType="begin" w:fldLock="1"/>
      </w:r>
      <w:r>
        <w:rPr>
          <w:lang w:val="en-GB"/>
        </w:rPr>
        <w:instrText>ADDIN CSL_CITATION {"citationItems":[{"id":"ITEM-1","itemData":{"DOI":"10.1006/QRES.1993.1027","ISSN":"0033-5894","abstract":"A model of pollen deposition on the surface of an entire basin is developed to estimate pollen source area, and results are compared with those for a point at the center of a basin (I. C. Prentice, 1985, Quaternary Research 23, 76-86; 1988, \"Vegetation History,\" (pp. 17-42, Kluwer Academic). This model is more appropriate for approximating the source area of pollen in lake sediment, since mixing in lake water and focusing of sediment redistribute pollen originally deposited over the entire surface. In general, the pollen source radius for the entire basin surface is 10-30% smaller than the source radius for a point at the center; the difference in the source radius is more profound for heavier pollen types such as spruce and sugar maple than for lighter types such as oak and ragweed. The average pollen input to the entire surface is more strongly influenced by nearby pollen sources than pollen deposition at the center. The pollen record from a lake may therefore provide different spatial resolution than the record from a bog of similar radius. © 1993 by Academic Press, Inc.","author":[{"dropping-particle":"","family":"Sugita","given":"Shinya","non-dropping-particle":"","parse-names":false,"suffix":""}],"container-title":"Quaternary Research","id":"ITEM-1","issue":"2","issued":{"date-parts":[["1993","3","1"]]},"page":"239-244","publisher":"No longer published by Elsevier","title":"A Model of Pollen Source Area for an Entire Lake Surface","type":"article-journal","volume":"39"},"uris":["http://www.mendeley.com/documents/?uuid=2d14a995-9fb8-33e5-9afc-13c127b6eabb"]}],"mendeley":{"formattedCitation":"&lt;sup&gt;[41]&lt;/sup&gt;","manualFormatting":"[40]","plainTextFormattedCitation":"[41]","previouslyFormattedCitation":"(Sugita, 1993)"},"properties":{"noteIndex":0},"schema":"https://github.com/citation-style-language/schema/raw/master/csl-citation.json"}</w:instrText>
      </w:r>
      <w:r>
        <w:rPr>
          <w:rStyle w:val="FootnoteReference"/>
          <w:color w:val="auto"/>
          <w:lang w:val="en-GB"/>
        </w:rPr>
        <w:fldChar w:fldCharType="separate"/>
      </w:r>
      <w:r>
        <w:rPr>
          <w:noProof/>
          <w:lang w:val="en-GB"/>
        </w:rPr>
        <w:t>[40]</w:t>
      </w:r>
      <w:r>
        <w:rPr>
          <w:rStyle w:val="FootnoteReference"/>
          <w:color w:val="auto"/>
          <w:lang w:val="en-GB"/>
        </w:rPr>
        <w:fldChar w:fldCharType="end"/>
      </w:r>
      <w:r>
        <w:rPr>
          <w:lang w:val="en-GB"/>
        </w:rPr>
        <w:t xml:space="preserve"> or Prentice’s model for bogs and mires </w:t>
      </w:r>
      <w:r>
        <w:rPr>
          <w:rStyle w:val="FootnoteReference"/>
          <w:color w:val="auto"/>
          <w:lang w:val="en-GB"/>
        </w:rPr>
        <w:fldChar w:fldCharType="begin" w:fldLock="1"/>
      </w:r>
      <w:r>
        <w:rPr>
          <w:lang w:val="en-GB"/>
        </w:rPr>
        <w:instrText>ADDIN CSL_CITATION {"citationItems":[{"id":"ITEM-1","itemData":{"DOI":"10.1016/0033-5894(85)90073-0","ISSN":"0033-5894","abstract":"The concepts of pollen source area and of production and dispersal biases in pollen representation are quantified by means of a simple theoretical model. Source areas and relative pollen representation are shown to depend on basin size according to functions that describe the amount of pollen remaining airborne at increasing distances from single pollen sources. The form of these functions is determined by physical processes. Standard formulas for elevated sources do not apply, but the integrated form of Sutton's equation for particle dispersal from a ground-level source gives useful approximations applicable to pollen transport over a forest canopy. Simulations using this equation yielded source areas that increased realistically with basin size, showed substantial differences between source areas for pollen grains with different deposition velocities, and predicted that lighter pollen grains should become better represented with increasing basin size. All of these predictions are qualitatively consistent with present knowledge of the characteristics of pollen assemblages in different depositional environments. The model further allows parameters that can be estimated by statistical calibration methods to be predicted from underlying physical quantities. This extension suggests procedures for testing the theory with quantitative data on surface pollen and forest composition. Preliminary results showed reasonable agreement between estimated and predicted values of dispersal indices for the most abundant taxa in pollen spectra from the northern midwestern United States. © 1985.","author":[{"dropping-particle":"","family":"Prentice","given":"I. Colin","non-dropping-particle":"","parse-names":false,"suffix":""}],"container-title":"Quaternary Research","id":"ITEM-1","issue":"1","issued":{"date-parts":[["1985","1","1"]]},"page":"76-86","publisher":"No longer published by Elsevier","title":"Pollen representation, source area, and basin size: Toward a unified theory of pollen analysis","type":"article-journal","volume":"23"},"uris":["http://www.mendeley.com/documents/?uuid=54b2c8a3-6baf-3433-bdce-811d5adf87c1"]},{"id":"ITEM-2","itemData":{"DOI":"10.1007/978-94-009-3081-0_2","author":[{"dropping-particle":"","family":"Prentice","given":"Colin","non-dropping-particle":"","parse-names":false,"suffix":""}],"container-title":"Vegetation history","id":"ITEM-2","issued":{"date-parts":[["1988"]]},"page":"17-42","publisher":"Springer Netherlands","publisher-place":"Dordrecht","title":"Records of vegetation in time and space: the principles of pollen analysis","type":"chapter"},"uris":["http://www.mendeley.com/documents/?uuid=c4d6e132-23e1-36ad-a66b-c81cddabfd1b"]}],"mendeley":{"formattedCitation":"&lt;sup&gt;[44, 45]&lt;/sup&gt;","manualFormatting":"[43,44]","plainTextFormattedCitation":"[44, 45]","previouslyFormattedCitation":"(C. Prentice, 1988; I. C. Prentice, 1985)"},"properties":{"noteIndex":0},"schema":"https://github.com/citation-style-language/schema/raw/master/csl-citation.json"}</w:instrText>
      </w:r>
      <w:r>
        <w:rPr>
          <w:rStyle w:val="FootnoteReference"/>
          <w:color w:val="auto"/>
          <w:lang w:val="en-GB"/>
        </w:rPr>
        <w:fldChar w:fldCharType="separate"/>
      </w:r>
      <w:r>
        <w:rPr>
          <w:noProof/>
          <w:lang w:val="en-GB"/>
        </w:rPr>
        <w:t>[43,44]</w:t>
      </w:r>
      <w:r>
        <w:rPr>
          <w:rStyle w:val="FootnoteReference"/>
          <w:color w:val="auto"/>
          <w:lang w:val="en-GB"/>
        </w:rPr>
        <w:fldChar w:fldCharType="end"/>
      </w:r>
      <w:r>
        <w:rPr>
          <w:lang w:val="en-GB"/>
        </w:rPr>
        <w:t>. Pollen records from all sites, regardless of their size, are used to maximize the number of pollen records within each 1° × 1° grid cell across the studied area. For the grid cells that include pollen data from both lakes and bogs, we apply REVEALS separately for the lake and bog data and then combine results to produce a single mean Gb-</w:t>
      </w:r>
      <w:proofErr w:type="spellStart"/>
      <w:r>
        <w:rPr>
          <w:lang w:val="en-GB"/>
        </w:rPr>
        <w:t>RVest</w:t>
      </w:r>
      <w:proofErr w:type="spellEnd"/>
      <w:r>
        <w:rPr>
          <w:lang w:val="en-GB"/>
        </w:rPr>
        <w:t xml:space="preserve"> and its standard error (SE) for each taxon.</w:t>
      </w:r>
    </w:p>
    <w:p w14:paraId="68D76207" w14:textId="77777777" w:rsidR="004653D0" w:rsidRDefault="004653D0" w:rsidP="004653D0">
      <w:pPr>
        <w:pStyle w:val="MDPI31text"/>
        <w:rPr>
          <w:lang w:val="en-GB"/>
        </w:rPr>
      </w:pPr>
      <w:r>
        <w:rPr>
          <w:lang w:val="en-GB"/>
        </w:rPr>
        <w:t>When running REVEALS, neutral atmospheric conditions and wind speed of 3 m.s</w:t>
      </w:r>
      <w:r>
        <w:rPr>
          <w:vertAlign w:val="superscript"/>
          <w:lang w:val="en-GB"/>
        </w:rPr>
        <w:t>−1</w:t>
      </w:r>
      <w:r>
        <w:rPr>
          <w:lang w:val="en-GB"/>
        </w:rPr>
        <w:t xml:space="preserve"> as in </w:t>
      </w:r>
      <w:r>
        <w:rPr>
          <w:noProof/>
          <w:lang w:val="en-GB"/>
        </w:rPr>
        <w:fldChar w:fldCharType="begin" w:fldLock="1"/>
      </w:r>
      <w:r>
        <w:rPr>
          <w:noProof/>
          <w:lang w:val="en-GB"/>
        </w:rPr>
        <w:instrText>ADDIN CSL_CITATION {"citationItems":[{"id":"ITEM-1","itemData":{"DOI":"10.1007/978-94-009-3081-0_2","author":[{"dropping-particle":"","family":"Prentice","given":"Colin","non-dropping-particle":"","parse-names":false,"suffix":""}],"container-title":"Vegetation history","id":"ITEM-1","issued":{"date-parts":[["1988"]]},"page":"17-42","publisher":"Springer Netherlands","publisher-place":"Dordrecht","title":"Records of vegetation in time and space: the principles of pollen analysis","type":"chapter"},"uris":["http://www.mendeley.com/documents/?uuid=c4d6e132-23e1-36ad-a66b-c81cddabfd1b"]},{"id":"ITEM-2","itemData":{"DOI":"10.1016/0033-5894(85)90073-0","ISSN":"0033-5894","abstract":"The concepts of pollen source area and of production and dispersal biases in pollen representation are quantified by means of a simple theoretical model. Source areas and relative pollen representation are shown to depend on basin size according to functions that describe the amount of pollen remaining airborne at increasing distances from single pollen sources. The form of these functions is determined by physical processes. Standard formulas for elevated sources do not apply, but the integrated form of Sutton's equation for particle dispersal from a ground-level source gives useful approximations applicable to pollen transport over a forest canopy. Simulations using this equation yielded source areas that increased realistically with basin size, showed substantial differences between source areas for pollen grains with different deposition velocities, and predicted that lighter pollen grains should become better represented with increasing basin size. All of these predictions are qualitatively consistent with present knowledge of the characteristics of pollen assemblages in different depositional environments. The model further allows parameters that can be estimated by statistical calibration methods to be predicted from underlying physical quantities. This extension suggests procedures for testing the theory with quantitative data on surface pollen and forest composition. Preliminary results showed reasonable agreement between estimated and predicted values of dispersal indices for the most abundant taxa in pollen spectra from the northern midwestern United States. © 1985.","author":[{"dropping-particle":"","family":"Prentice","given":"I. Colin","non-dropping-particle":"","parse-names":false,"suffix":""}],"container-title":"Quaternary Research","id":"ITEM-2","issue":"1","issued":{"date-parts":[["1985","1","1"]]},"page":"76-86","publisher":"No longer published by Elsevier","title":"Pollen representation, source area, and basin size: Toward a unified theory of pollen analysis","type":"article-journal","volume":"23"},"uris":["http://www.mendeley.com/documents/?uuid=54b2c8a3-6baf-3433-bdce-811d5adf87c1"]},{"id":"ITEM-3","itemData":{"DOI":"10.1006/QRES.1993.1027","ISSN":"0033-5894","abstract":"A model of pollen deposition on the surface of an entire basin is developed to estimate pollen source area, and results are compared with those for a point at the center of a basin (I. C. Prentice, 1985, Quaternary Research 23, 76-86; 1988, \"Vegetation History,\" (pp. 17-42, Kluwer Academic). This model is more appropriate for approximating the source area of pollen in lake sediment, since mixing in lake water and focusing of sediment redistribute pollen originally deposited over the entire surface. In general, the pollen source radius for the entire basin surface is 10-30% smaller than the source radius for a point at the center; the difference in the source radius is more profound for heavier pollen types such as spruce and sugar maple than for lighter types such as oak and ragweed. The average pollen input to the entire surface is more strongly influenced by nearby pollen sources than pollen deposition at the center. The pollen record from a lake may therefore provide different spatial resolution than the record from a bog of similar radius. © 1993 by Academic Press, Inc.","author":[{"dropping-particle":"","family":"Sugita","given":"Shinya","non-dropping-particle":"","parse-names":false,"suffix":""}],"container-title":"Quaternary Research","id":"ITEM-3","issue":"2","issued":{"date-parts":[["1993","3","1"]]},"page":"239-244","publisher":"No longer published by Elsevier","title":"A Model of Pollen Source Area for an Entire Lake Surface","type":"article-journal","volume":"39"},"uris":["http://www.mendeley.com/documents/?uuid=2d14a995-9fb8-33e5-9afc-13c127b6eabb"]},{"id":"ITEM-4","itemData":{"DOI":"10.2307/2261452","ISSN":"00220477","abstract":"1 According to the Prentice-Sugita model, pollen loading (PL) is linearly related to the distance-weighted plant abundance (DWPA) surrounding a sedimentary basin. Since source trees of pollen far away from a basin have much less influence on pollen representation than source trees near a basin, the correlation between PL and D WPA should approach an asymptote as the vegetation sampling area increases. The 'relevant source area' for pollen can be defined as the area beyond which the correlation does not improve. 2 A simulation experiment using patchy vegetation landscapes illustrates this prin- ciple, demonstrating that r2 and likelihood function scores do not improve when vegetation sampling increases beyond certain distances. This suggests that very little additional information on the pollen-plant abundance relationship will be gained by a vegetation survey beyond the 'relevant' distance when data are collected from regions of similar vegetation type and spatial pattern. 3 The 'relevant' source area for pollen in lakes in the simulated landscapes is within 50-100 m from the lake edge for forest hollows (radius of hollow R = 2 m), 300- 400 m for small lakes (R = 50 m), and 600-800 m for medium size lakes (R = 250 m). Although only about 30-45% of total pollen loading comes from within these distances, the model demonstrates that when the background pollen is consistent, this proportion is adequate to reflect local vegetation composition. 4 The simulation results show that pollen data from large lakes (R = 750 m) show little site-to-site variation, especially for a species that grows in small patches (radii of 80 m in the simulated landscape). Linear regression and maximum likelihood methods therefore do not provide accurate estimations of pollen productivity and background pollen loading. Vegetation may appear homogeneous even when the actual pattern of vegetation is heterogeneous and patchy, depending on the size of lake relative to the size of patches. 5 The pollen-plant abundance data should be collected from regions with similar forest composition to determine the 'relevant' source area and the parameters of a linear relationship between PL and D WPA. Otherwise, either the linear regression or maximum likelihood methods provide inaccurate estimates of the relevant source area and parameters even when the simulation data with no sampling and counting errors are used","author":[{"dropping-particle":"","family":"Sugita","given":"Shinya","non-dropping-particle":"","parse-names":false,"suffix":""}],"container-title":"Journal of Ecology","id":"ITEM-4","issue":"4","issued":{"date-parts":[["1994","12"]]},"page":"881-897","publisher":"JSTOR","title":"Pollen representation of vegetation in Quaternary sediments: theory and method in patchy vegetation","type":"article-journal","volume":"82"},"uris":["http://www.mendeley.com/documents/?uuid=91df2575-f0cd-3a78-81a2-c2e09a59f7c3"]},{"id":"ITEM-5","itemData":{"DOI":"10.1177/0959683607075837","ISBN":"0959683607","ISSN":"09596836","abstract":"Quantitative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Publications.","author":[{"dropping-particle":"","family":"Sugita","given":"Shinya","non-dropping-particle":"","parse-names":false,"suffix":""}],"container-title":"Holocene","id":"ITEM-5","issue":"2","issued":{"date-parts":[["2007"]]},"page":"229-241","title":"Theory of quantitative reconstruction of vegetation I: Pollen from large sites REVEALS regional vegetation composition","type":"article-journal","volume":"17"},"uris":["http://www.mendeley.com/documents/?uuid=7881646e-c868-425c-893d-354c61d81a9f"]},{"id":"ITEM-6","itemData":{"DOI":"10.1177/0959683607075838","ISSN":"09596836","abstract":"This paper describes the LOVE (LOcal Vegetation Estimates) model for estimating local vegetation composition within the relevant source area of pollen. This model quantifies and then subtracts background pollen (ie, pollen coming from beyond the relevant source area) in order to arrive at a quantitative reconstruction of local vegetation. Parameters required for LOVE applications are pollen counts from target sites, the relevant source area of pollen of these sites, pollen productivity estimates and regional vegetation composition within 104 - 105 km2. Regional vegetation composition is obtained using fossil pollen from large sites (≥ 102 ha) with the REVEALS (Regional Estimates of VEgetation Abundance from Large Sites) model, the first step of the Landscape Reconstruction Algorithm (LRA) specifically designed for LOVE applications. POLLSCAPE simulations demonstrate that (1) regional vegetation composition can be used to predict background pollen at and beyond the relevant source area of pollen for given-sized basins, (2) LOVE with the LRA framework provides a robust and accurate estimate of local vegetation composition much better than vegetation reconstruction using pollen percentages alone and (3) although the relevant source area of pollen is difficult to estimate particularly in past landscapes, a proposed method using backward modelling of LOVE is effective to estimate the relevant source area in landscapes of unknown vegetation patchiness and heterogeneity. Thus, the LRA will also be useful to estimate indirectly changes in spatial structure of past vegetation and landscape caused by natural and anthropogenic forcing. © 2007 SAGE Publications.","author":[{"dropping-particle":"","family":"Sugita","given":"Shinya","non-dropping-particle":"","parse-names":false,"suffix":""}],"container-title":"Holocene","id":"ITEM-6","issue":"2","issued":{"date-parts":[["2007","3"]]},"page":"243-257","title":"Theory of quantitative reconstruction of vegetation II: All you need is LOVE","type":"article-journal","volume":"17"},"uris":["http://www.mendeley.com/documents/?uuid=2a350d49-2130-3b1e-b46b-25a8917dfa77"]}],"mendeley":{"formattedCitation":"&lt;sup&gt;[24, 41, 43–45, 62]&lt;/sup&gt;","manualFormatting":"[27,28,31,33]","plainTextFormattedCitation":"[24, 41, 43–45, 62]","previouslyFormattedCitation":"(C. Prentice, 1988; I. C. Prentice, 1985; Sugita, 1993, 1994, 2007a, 2007b)"},"properties":{"noteIndex":0},"schema":"https://github.com/citation-style-language/schema/raw/master/csl-citation.json"}</w:instrText>
      </w:r>
      <w:r>
        <w:rPr>
          <w:noProof/>
          <w:lang w:val="en-GB"/>
        </w:rPr>
        <w:fldChar w:fldCharType="separate"/>
      </w:r>
      <w:r>
        <w:rPr>
          <w:noProof/>
          <w:lang w:val="en-GB"/>
        </w:rPr>
        <w:t>[27,28,31,33]</w:t>
      </w:r>
      <w:r>
        <w:rPr>
          <w:noProof/>
          <w:lang w:val="en-GB"/>
        </w:rPr>
        <w:fldChar w:fldCharType="end"/>
      </w:r>
      <w:r>
        <w:rPr>
          <w:lang w:val="en-GB"/>
        </w:rPr>
        <w:t xml:space="preserve"> are assumed. </w:t>
      </w:r>
      <w:proofErr w:type="spellStart"/>
      <w:r>
        <w:rPr>
          <w:i/>
          <w:iCs/>
          <w:lang w:val="en-GB"/>
        </w:rPr>
        <w:t>Z</w:t>
      </w:r>
      <w:r>
        <w:rPr>
          <w:i/>
          <w:iCs/>
          <w:vertAlign w:val="subscript"/>
          <w:lang w:val="en-GB"/>
        </w:rPr>
        <w:t>max</w:t>
      </w:r>
      <w:proofErr w:type="spellEnd"/>
      <w:r>
        <w:rPr>
          <w:lang w:val="en-GB"/>
        </w:rPr>
        <w:t xml:space="preserve">, the maximum spatial extent of the regional vegetation from the centre of the site, is set to 50 km, roughly corresponding to a 1° × 1° grid cell </w:t>
      </w:r>
      <w:r>
        <w:rPr>
          <w:rStyle w:val="FootnoteReference"/>
          <w:color w:val="auto"/>
          <w:lang w:val="en-GB"/>
        </w:rPr>
        <w:fldChar w:fldCharType="begin" w:fldLock="1"/>
      </w:r>
      <w:r>
        <w:rPr>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Database","type":"article-journal","volume":"187"},"uris":["http://www.mendeley.com/documents/?uuid=eb9dc5e8-934f-4d38-bbbb-4a9c9354df1e"]},{"id":"ITEM-2","itemData":{"DOI":"10.1111/gcb.12737","ISSN":"13652486","PMID":"25204435","abstract":"We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Biology","id":"ITEM-2","issue":"2","issued":{"date-parts":[["2015"]]},"page":"676-697","title":"Pollen-based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modelling","type":"article-journal","volume":"21"},"uris":["http://www.mendeley.com/documents/?uuid=302a955a-cfbf-40c5-84f7-2e6a230f9fe0"]},{"id":"ITEM-3","itemData":{"DOI":"10.5194/essd-14-1581-2022","ISSN":"1866-3516","abstract":"&lt;p&gt;&lt;![CDATA[Abstract.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Data","id":"ITEM-3","issue":"4","issued":{"date-parts":[["2022","4","8"]]},"page":"1581-1619","title":"European pollen-based REVEALS land-cover reconstructions for the Holocene: methodology, mapping and potentials","type":"article-journal","volume":"14"},"uris":["http://www.mendeley.com/documents/?uuid=a3aa2c66-dc24-3563-953d-fabb33741ce8"]}],"mendeley":{"formattedCitation":"&lt;sup&gt;[25, 27, 28]&lt;/sup&gt;","manualFormatting":"[28,31,33]","plainTextFormattedCitation":"[25, 27, 28]","previouslyFormattedCitation":"(Githumbi et al., 2022; Mazier et al., 2012; Trondman et al., 2015a)"},"properties":{"noteIndex":0},"schema":"https://github.com/citation-style-language/schema/raw/master/csl-citation.json"}</w:instrText>
      </w:r>
      <w:r>
        <w:rPr>
          <w:rStyle w:val="FootnoteReference"/>
          <w:color w:val="auto"/>
          <w:lang w:val="en-GB"/>
        </w:rPr>
        <w:fldChar w:fldCharType="separate"/>
      </w:r>
      <w:r>
        <w:rPr>
          <w:noProof/>
          <w:lang w:val="en-GB"/>
        </w:rPr>
        <w:t>[28,31,33]</w:t>
      </w:r>
      <w:r>
        <w:rPr>
          <w:rStyle w:val="FootnoteReference"/>
          <w:color w:val="auto"/>
          <w:lang w:val="en-GB"/>
        </w:rPr>
        <w:fldChar w:fldCharType="end"/>
      </w:r>
      <w:r>
        <w:rPr>
          <w:lang w:val="en-GB"/>
        </w:rPr>
        <w:t>.</w:t>
      </w:r>
    </w:p>
    <w:p w14:paraId="29D89344" w14:textId="77777777" w:rsidR="004653D0" w:rsidRDefault="004653D0" w:rsidP="004653D0">
      <w:pPr>
        <w:pStyle w:val="MDPI31text"/>
        <w:rPr>
          <w:rFonts w:cstheme="minorHAnsi"/>
          <w:lang w:val="en-GB"/>
        </w:rPr>
      </w:pPr>
      <w:r>
        <w:t>REVEALS results are extracted by time window, producing 25 matrices of mean Gb-</w:t>
      </w:r>
      <w:proofErr w:type="spellStart"/>
      <w:r>
        <w:t>RVest</w:t>
      </w:r>
      <w:proofErr w:type="spellEnd"/>
      <w:r>
        <w:t xml:space="preserve"> and 25 matrices of corresponding mean SEs for each of the RPP taxa and each grid cell. As three RPP-means datasets are tested, three REVEALS results are produced per time window. The taxon-based Gb-</w:t>
      </w:r>
      <w:proofErr w:type="spellStart"/>
      <w:r>
        <w:t>RVest</w:t>
      </w:r>
      <w:proofErr w:type="spellEnd"/>
      <w:r>
        <w:t xml:space="preserve"> are then grouped into land-cover types (LCTs, Table 1), hereafter named Gb-</w:t>
      </w:r>
      <w:proofErr w:type="spellStart"/>
      <w:r>
        <w:t>RVest</w:t>
      </w:r>
      <w:proofErr w:type="spellEnd"/>
      <w:r>
        <w:t>-LCTs. For the modern time window</w:t>
      </w:r>
      <w:r>
        <w:rPr>
          <w:rFonts w:cstheme="minorHAnsi"/>
          <w:lang w:val="en-GB"/>
        </w:rPr>
        <w:t xml:space="preserve"> (−45 to −55 BP)</w:t>
      </w:r>
      <w:r>
        <w:t xml:space="preserve">, as the RV-Trees </w:t>
      </w:r>
      <w:r>
        <w:rPr>
          <w:rFonts w:cstheme="minorHAnsi"/>
          <w:lang w:val="en-GB"/>
        </w:rPr>
        <w:t xml:space="preserve">do not separate the contributions of evergreen and summer green species, the sum of the two </w:t>
      </w:r>
      <w:r>
        <w:t>Gb-</w:t>
      </w:r>
      <w:proofErr w:type="spellStart"/>
      <w:r>
        <w:t>RVest</w:t>
      </w:r>
      <w:proofErr w:type="spellEnd"/>
      <w:r>
        <w:t>-LCTs</w:t>
      </w:r>
      <w:r>
        <w:rPr>
          <w:rFonts w:cstheme="minorHAnsi"/>
          <w:lang w:val="en-GB"/>
        </w:rPr>
        <w:t xml:space="preserve"> was calculated for comparison with GFC-Trees (Table 1).</w:t>
      </w:r>
      <w:r>
        <w:t xml:space="preserve"> The SEs of each Gb-</w:t>
      </w:r>
      <w:proofErr w:type="spellStart"/>
      <w:r>
        <w:t>RVest</w:t>
      </w:r>
      <w:proofErr w:type="spellEnd"/>
      <w:r>
        <w:t>-LCT and overall tree cover were calculated using the delta method [59].</w:t>
      </w:r>
    </w:p>
    <w:p w14:paraId="749660AE" w14:textId="77777777" w:rsidR="004653D0" w:rsidRDefault="004653D0" w:rsidP="004653D0">
      <w:pPr>
        <w:pStyle w:val="MDPI31text"/>
        <w:rPr>
          <w:lang w:val="en-GB"/>
        </w:rPr>
      </w:pPr>
      <w:r>
        <w:t xml:space="preserve">We use here major axis (MA) as the regression method (see Appendix C) </w:t>
      </w:r>
      <w:r>
        <w:rPr>
          <w:lang w:val="en-GB"/>
        </w:rPr>
        <w:fldChar w:fldCharType="begin" w:fldLock="1"/>
      </w:r>
      <w:r>
        <w:rPr>
          <w:lang w:val="en-GB"/>
        </w:rPr>
        <w:instrText>ADDIN CSL_CITATION {"citationItems":[{"id":"ITEM-1","itemData":{"id":"ITEM-1","issued":{"date-parts":[["0"]]},"title":"Legendre, P. and Legendre, L. (1998) Numerical ecology. 2nd English Edition, Elsevier, Amsterdam.","type":"article-journal"},"uris":["http://www.mendeley.com/documents/?uuid=1b73e4c4-e46a-4ddf-b0a7-b4a53dc68e1d"]},{"id":"ITEM-2","itemData":{"DOI":"10.1002/9781118445112.stat07912","ISBN":"9781118445112","abstract":"Abstract The theoretical underpinnings of standard least-squares (LS) regression analysis are based on the assumption that the independent variable (often thought of as x) is measured without error as a design variable. The dependent variable (often labeled y) is modeled as having uncertainty or error. Both independent and dependent measurements may have multiple sources of error. Thus, the underlying least-squares regression assumptions can be violated. Reduced major axis (RMA) regression is specifically formulated to handle errors in both the x and y variables. It is an alternative to least squares and demonstrates the importance of understanding the assumptions underlying statistical procedures.","author":[{"dropping-particle":"V.","family":"Harper","given":"William","non-dropping-particle":"","parse-names":false,"suffix":""}],"container-title":"Wiley StatsRef: Statistics Reference Online","id":"ITEM-2","issued":{"date-parts":[["2016"]]},"page":"1-6","title":"Reduced Major Axis Regression","type":"article-journal"},"uris":["http://www.mendeley.com/documents/?uuid=61b3acb4-8af8-4399-9a5e-b173ee932e18"]}],"mendeley":{"formattedCitation":"&lt;sup&gt;[63, 64]&lt;/sup&gt;","manualFormatting":"[61,62]","plainTextFormattedCitation":"[63, 64]","previouslyFormattedCitation":"(Harper, 2016; &lt;i&gt;Legendre, P. and Legendre, L. (1998) Numerical Ecology. 2nd English Edition, Elsevier, Amsterdam.&lt;/i&gt;, n.d.)"},"properties":{"noteIndex":0},"schema":"https://github.com/citation-style-language/schema/raw/master/csl-citation.json"}</w:instrText>
      </w:r>
      <w:r>
        <w:rPr>
          <w:lang w:val="en-GB"/>
        </w:rPr>
        <w:fldChar w:fldCharType="separate"/>
      </w:r>
      <w:r>
        <w:rPr>
          <w:noProof/>
          <w:lang w:val="en-GB"/>
        </w:rPr>
        <w:t>[60,61]</w:t>
      </w:r>
      <w:r>
        <w:rPr>
          <w:lang w:val="en-GB"/>
        </w:rPr>
        <w:fldChar w:fldCharType="end"/>
      </w:r>
      <w:r>
        <w:rPr>
          <w:lang w:val="en-GB"/>
        </w:rPr>
        <w:t xml:space="preserve"> </w:t>
      </w:r>
      <w:r>
        <w:t xml:space="preserve">to explore the bivariate relationships between two pairs of variables, or data series: among </w:t>
      </w:r>
      <w:r>
        <w:rPr>
          <w:lang w:val="en-GB"/>
        </w:rPr>
        <w:lastRenderedPageBreak/>
        <w:t xml:space="preserve">different </w:t>
      </w:r>
      <w:proofErr w:type="spellStart"/>
      <w:r>
        <w:rPr>
          <w:lang w:val="en-GB"/>
        </w:rPr>
        <w:t>RPPs.sts</w:t>
      </w:r>
      <w:proofErr w:type="spellEnd"/>
      <w:r>
        <w:rPr>
          <w:lang w:val="en-GB"/>
        </w:rPr>
        <w:t xml:space="preserve"> over the Holocene (RPPs.st2 vs. RPPs.st1 and RPPs.st3 </w:t>
      </w:r>
      <w:r>
        <w:rPr>
          <w:iCs/>
          <w:lang w:val="en-GB"/>
        </w:rPr>
        <w:t>vs</w:t>
      </w:r>
      <w:r>
        <w:rPr>
          <w:lang w:val="en-GB"/>
        </w:rPr>
        <w:t>. RPPs.st1) and between modern vegetation and REVEALS results</w:t>
      </w:r>
      <w:r>
        <w:t>.</w:t>
      </w:r>
    </w:p>
    <w:p w14:paraId="4807F044" w14:textId="77777777" w:rsidR="004653D0" w:rsidRDefault="004653D0" w:rsidP="004653D0">
      <w:pPr>
        <w:pStyle w:val="MDPI31text"/>
        <w:rPr>
          <w:lang w:val="en-GB"/>
        </w:rPr>
      </w:pPr>
      <w:r>
        <w:rPr>
          <w:lang w:val="en-GB"/>
        </w:rPr>
        <w:t>Further, pairs of Gb-</w:t>
      </w:r>
      <w:proofErr w:type="spellStart"/>
      <w:r>
        <w:rPr>
          <w:lang w:val="en-GB"/>
        </w:rPr>
        <w:t>RVest</w:t>
      </w:r>
      <w:proofErr w:type="spellEnd"/>
      <w:r>
        <w:rPr>
          <w:lang w:val="en-GB"/>
        </w:rPr>
        <w:t xml:space="preserve">-LCTs (RPPs.st1 </w:t>
      </w:r>
      <w:r>
        <w:rPr>
          <w:iCs/>
          <w:lang w:val="en-GB"/>
        </w:rPr>
        <w:t>vs</w:t>
      </w:r>
      <w:r>
        <w:rPr>
          <w:lang w:val="en-GB"/>
        </w:rPr>
        <w:t xml:space="preserve">. RPPs.st2, RPPs.st1 </w:t>
      </w:r>
      <w:r>
        <w:rPr>
          <w:iCs/>
          <w:lang w:val="en-GB"/>
        </w:rPr>
        <w:t>vs</w:t>
      </w:r>
      <w:r>
        <w:rPr>
          <w:lang w:val="en-GB"/>
        </w:rPr>
        <w:t xml:space="preserve">. RPPs.st3) for all time windows together were compared calculating the difference between the values in each grid cell, </w:t>
      </w:r>
      <w:proofErr w:type="spellStart"/>
      <w:r>
        <w:rPr>
          <w:lang w:val="en-GB"/>
        </w:rPr>
        <w:t>geolocalizing</w:t>
      </w:r>
      <w:proofErr w:type="spellEnd"/>
      <w:r>
        <w:rPr>
          <w:lang w:val="en-GB"/>
        </w:rPr>
        <w:t xml:space="preserve"> in the map of Europe the negative and positive values.</w:t>
      </w:r>
    </w:p>
    <w:p w14:paraId="739940AF" w14:textId="77777777" w:rsidR="004653D0" w:rsidRDefault="004653D0" w:rsidP="004653D0">
      <w:pPr>
        <w:pStyle w:val="MDPI21heading1"/>
        <w:rPr>
          <w:lang w:val="en-GB"/>
        </w:rPr>
      </w:pPr>
      <w:r>
        <w:rPr>
          <w:lang w:val="en-GB"/>
        </w:rPr>
        <w:t>3. Results</w:t>
      </w:r>
    </w:p>
    <w:p w14:paraId="59536D90" w14:textId="77777777" w:rsidR="004653D0" w:rsidRDefault="004653D0" w:rsidP="004653D0">
      <w:pPr>
        <w:pStyle w:val="MDPI22heading2"/>
        <w:rPr>
          <w:rFonts w:cstheme="minorHAnsi"/>
          <w:lang w:val="en-GB"/>
        </w:rPr>
      </w:pPr>
      <w:r>
        <w:t>3.1. Effect of Type and Number of Pollen Taxa in RPP-Means Datasets on Gb-RVest-LCTs</w:t>
      </w:r>
    </w:p>
    <w:p w14:paraId="709F0E0B" w14:textId="77777777" w:rsidR="004653D0" w:rsidRDefault="004653D0" w:rsidP="004653D0">
      <w:pPr>
        <w:pStyle w:val="MDPI31text"/>
        <w:rPr>
          <w:lang w:val="en-GB"/>
        </w:rPr>
      </w:pPr>
      <w:r>
        <w:rPr>
          <w:lang w:val="en-GB"/>
        </w:rPr>
        <w:t xml:space="preserve">In this section, we evaluate how </w:t>
      </w:r>
      <w:r>
        <w:t>Gb-</w:t>
      </w:r>
      <w:proofErr w:type="spellStart"/>
      <w:r>
        <w:t>RVest</w:t>
      </w:r>
      <w:proofErr w:type="spellEnd"/>
      <w:r>
        <w:t>-LCTs,</w:t>
      </w:r>
      <w:r>
        <w:rPr>
          <w:lang w:val="en-GB"/>
        </w:rPr>
        <w:t xml:space="preserve"> using RPPs.st1 as a reference, compare to RPPs.st2 and RPPs.st3 (Figure 3) and formulate hypotheses on the nature of these relationships and how they vary across RPP-means datasets. </w:t>
      </w:r>
    </w:p>
    <w:p w14:paraId="20EAA8F2" w14:textId="77777777" w:rsidR="004653D0" w:rsidRDefault="004653D0" w:rsidP="004653D0">
      <w:pPr>
        <w:pStyle w:val="MDPI31text"/>
        <w:rPr>
          <w:lang w:val="en-GB"/>
        </w:rPr>
      </w:pPr>
      <w:r>
        <w:rPr>
          <w:lang w:val="en-GB"/>
        </w:rPr>
        <w:t>The strongest association in the MA regression results is between Gb-RVest.st1 and Gb-RVest.st2, with R</w:t>
      </w:r>
      <w:r>
        <w:rPr>
          <w:vertAlign w:val="superscript"/>
          <w:lang w:val="en-GB"/>
        </w:rPr>
        <w:t>2</w:t>
      </w:r>
      <w:r>
        <w:rPr>
          <w:lang w:val="en-GB"/>
        </w:rPr>
        <w:t xml:space="preserve"> values of 0.834 (ET), 0.876 (OL), and 0.953 for (ST). The R</w:t>
      </w:r>
      <w:r>
        <w:rPr>
          <w:vertAlign w:val="superscript"/>
          <w:lang w:val="en-GB"/>
        </w:rPr>
        <w:t>2</w:t>
      </w:r>
      <w:r>
        <w:rPr>
          <w:lang w:val="en-GB"/>
        </w:rPr>
        <w:t xml:space="preserve"> values of the comparison between Gb-RVest.st1 and Gb-RVest.st3 are 0.569 (ET), 0.784 (OL), and 0.858 (ST). ET-RV.st2 values are generally lower than ET-RV.st1 (r= −0.109), as are OL-RV.st3 </w:t>
      </w:r>
      <w:r>
        <w:rPr>
          <w:iCs/>
          <w:lang w:val="en-GB"/>
        </w:rPr>
        <w:t>compared to</w:t>
      </w:r>
      <w:r>
        <w:rPr>
          <w:lang w:val="en-GB"/>
        </w:rPr>
        <w:t xml:space="preserve"> OL-RV.st1 (r= −0.094), ST-RV.st2 </w:t>
      </w:r>
      <w:r>
        <w:rPr>
          <w:iCs/>
          <w:lang w:val="en-GB"/>
        </w:rPr>
        <w:t>compared to</w:t>
      </w:r>
      <w:r>
        <w:rPr>
          <w:lang w:val="en-GB"/>
        </w:rPr>
        <w:t xml:space="preserve"> ST-RV.st1 (r= −0.134), and ST-RV.st3 </w:t>
      </w:r>
      <w:r>
        <w:rPr>
          <w:iCs/>
          <w:lang w:val="en-GB"/>
        </w:rPr>
        <w:t>compared to</w:t>
      </w:r>
      <w:r>
        <w:rPr>
          <w:lang w:val="en-GB"/>
        </w:rPr>
        <w:t xml:space="preserve"> ST-RV.st1 (r = −0.031). ET-RV.st3 values are generally higher than ET-RV.st1 (r= 0.242), as are OL-RV.st2 </w:t>
      </w:r>
      <w:r>
        <w:rPr>
          <w:iCs/>
          <w:lang w:val="en-GB"/>
        </w:rPr>
        <w:t>compared to</w:t>
      </w:r>
      <w:r>
        <w:rPr>
          <w:lang w:val="en-GB"/>
        </w:rPr>
        <w:t xml:space="preserve"> OL-RV.st1 (r= 0.104) (values of r not shown in Figure 3).</w:t>
      </w:r>
    </w:p>
    <w:p w14:paraId="65600395" w14:textId="22541DA9" w:rsidR="004653D0" w:rsidRDefault="004653D0" w:rsidP="004653D0">
      <w:pPr>
        <w:pStyle w:val="MDPI52figure"/>
        <w:ind w:left="2608"/>
        <w:jc w:val="left"/>
        <w:rPr>
          <w:lang w:val="en-GB"/>
        </w:rPr>
      </w:pPr>
      <w:r>
        <w:rPr>
          <w:noProof/>
          <w:lang w:val="fr-FR" w:eastAsia="fr-FR" w:bidi="ar-SA"/>
        </w:rPr>
        <w:drawing>
          <wp:inline distT="0" distB="0" distL="0" distR="0" wp14:anchorId="60EEE48E" wp14:editId="7D3CD8BF">
            <wp:extent cx="3667125" cy="4619625"/>
            <wp:effectExtent l="0" t="0" r="9525" b="9525"/>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p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18332" r="37547" b="1390"/>
                    <a:stretch>
                      <a:fillRect/>
                    </a:stretch>
                  </pic:blipFill>
                  <pic:spPr bwMode="auto">
                    <a:xfrm>
                      <a:off x="0" y="0"/>
                      <a:ext cx="3667125" cy="4619625"/>
                    </a:xfrm>
                    <a:prstGeom prst="rect">
                      <a:avLst/>
                    </a:prstGeom>
                    <a:noFill/>
                    <a:ln>
                      <a:noFill/>
                    </a:ln>
                  </pic:spPr>
                </pic:pic>
              </a:graphicData>
            </a:graphic>
          </wp:inline>
        </w:drawing>
      </w:r>
    </w:p>
    <w:p w14:paraId="2F7669C2" w14:textId="77777777" w:rsidR="004653D0" w:rsidRDefault="004653D0" w:rsidP="004653D0">
      <w:pPr>
        <w:pStyle w:val="MDPI51figurecaption"/>
        <w:jc w:val="both"/>
        <w:rPr>
          <w:b/>
          <w:lang w:val="en-GB"/>
        </w:rPr>
      </w:pPr>
      <w:r>
        <w:rPr>
          <w:b/>
          <w:lang w:val="en-GB"/>
        </w:rPr>
        <w:t xml:space="preserve">Figure 3. </w:t>
      </w:r>
      <w:r>
        <w:rPr>
          <w:lang w:val="en-GB"/>
        </w:rPr>
        <w:t>Panels (</w:t>
      </w:r>
      <w:r>
        <w:rPr>
          <w:b/>
          <w:lang w:val="en-GB"/>
        </w:rPr>
        <w:t>a</w:t>
      </w:r>
      <w:r>
        <w:rPr>
          <w:lang w:val="en-GB"/>
        </w:rPr>
        <w:t>–</w:t>
      </w:r>
      <w:r>
        <w:rPr>
          <w:b/>
          <w:lang w:val="en-GB"/>
        </w:rPr>
        <w:t>c</w:t>
      </w:r>
      <w:r>
        <w:rPr>
          <w:lang w:val="en-GB"/>
        </w:rPr>
        <w:t xml:space="preserve">): Major axis (MA) regression between </w:t>
      </w:r>
      <w:r>
        <w:t>grid-based REVEALS estimates (Gb-</w:t>
      </w:r>
      <w:proofErr w:type="spellStart"/>
      <w:r>
        <w:t>RVest</w:t>
      </w:r>
      <w:proofErr w:type="spellEnd"/>
      <w:r>
        <w:t xml:space="preserve">) using either RPPs.st1 or RPPs.st2, </w:t>
      </w:r>
      <w:r>
        <w:rPr>
          <w:lang w:val="en-GB"/>
        </w:rPr>
        <w:t>(</w:t>
      </w:r>
      <w:r>
        <w:rPr>
          <w:b/>
          <w:bCs/>
          <w:lang w:val="en-GB"/>
        </w:rPr>
        <w:t>a</w:t>
      </w:r>
      <w:r>
        <w:rPr>
          <w:lang w:val="en-GB"/>
        </w:rPr>
        <w:t>) evergreen trees (</w:t>
      </w:r>
      <w:r>
        <w:t>Gb-</w:t>
      </w:r>
      <w:proofErr w:type="spellStart"/>
      <w:r>
        <w:t>RVest</w:t>
      </w:r>
      <w:proofErr w:type="spellEnd"/>
      <w:r>
        <w:rPr>
          <w:lang w:val="en-GB"/>
        </w:rPr>
        <w:t>-ET), (</w:t>
      </w:r>
      <w:r>
        <w:rPr>
          <w:b/>
          <w:bCs/>
          <w:lang w:val="en-GB"/>
        </w:rPr>
        <w:t>b</w:t>
      </w:r>
      <w:r>
        <w:rPr>
          <w:lang w:val="en-GB"/>
        </w:rPr>
        <w:t>) open land (</w:t>
      </w:r>
      <w:r>
        <w:t>Gb-</w:t>
      </w:r>
      <w:proofErr w:type="spellStart"/>
      <w:r>
        <w:t>RVest</w:t>
      </w:r>
      <w:proofErr w:type="spellEnd"/>
      <w:r>
        <w:t>-OL)</w:t>
      </w:r>
      <w:r>
        <w:rPr>
          <w:lang w:val="en-GB"/>
        </w:rPr>
        <w:t>, and (</w:t>
      </w:r>
      <w:r>
        <w:rPr>
          <w:b/>
          <w:bCs/>
          <w:lang w:val="en-GB"/>
        </w:rPr>
        <w:t>c</w:t>
      </w:r>
      <w:r>
        <w:rPr>
          <w:lang w:val="en-GB"/>
        </w:rPr>
        <w:t>) summer green trees (</w:t>
      </w:r>
      <w:r>
        <w:t>Gb-</w:t>
      </w:r>
      <w:proofErr w:type="spellStart"/>
      <w:r>
        <w:t>RVest</w:t>
      </w:r>
      <w:proofErr w:type="spellEnd"/>
      <w:r>
        <w:t>-ST</w:t>
      </w:r>
      <w:r>
        <w:rPr>
          <w:lang w:val="en-GB"/>
        </w:rPr>
        <w:t>). Panels (</w:t>
      </w:r>
      <w:r>
        <w:rPr>
          <w:b/>
          <w:lang w:val="en-GB"/>
        </w:rPr>
        <w:t>d</w:t>
      </w:r>
      <w:r>
        <w:rPr>
          <w:lang w:val="en-GB"/>
        </w:rPr>
        <w:t>–</w:t>
      </w:r>
      <w:r>
        <w:rPr>
          <w:b/>
          <w:lang w:val="en-GB"/>
        </w:rPr>
        <w:t>f</w:t>
      </w:r>
      <w:r>
        <w:rPr>
          <w:lang w:val="en-GB"/>
        </w:rPr>
        <w:t xml:space="preserve">): MA regression between </w:t>
      </w:r>
      <w:r>
        <w:t xml:space="preserve">grid-based REVEALS estimates using either RPPs.st1 or RPPs.st3, </w:t>
      </w:r>
      <w:r>
        <w:rPr>
          <w:lang w:val="en-GB"/>
        </w:rPr>
        <w:t>(</w:t>
      </w:r>
      <w:r>
        <w:rPr>
          <w:b/>
          <w:bCs/>
          <w:lang w:val="en-GB"/>
        </w:rPr>
        <w:t>d</w:t>
      </w:r>
      <w:r>
        <w:rPr>
          <w:lang w:val="en-GB"/>
        </w:rPr>
        <w:t>) evergreen trees, (</w:t>
      </w:r>
      <w:r>
        <w:rPr>
          <w:b/>
          <w:bCs/>
          <w:lang w:val="en-GB"/>
        </w:rPr>
        <w:t>e</w:t>
      </w:r>
      <w:r>
        <w:rPr>
          <w:lang w:val="en-GB"/>
        </w:rPr>
        <w:t>) open land, and (</w:t>
      </w:r>
      <w:r>
        <w:rPr>
          <w:b/>
          <w:bCs/>
          <w:lang w:val="en-GB"/>
        </w:rPr>
        <w:t>f</w:t>
      </w:r>
      <w:r>
        <w:rPr>
          <w:lang w:val="en-GB"/>
        </w:rPr>
        <w:t>) summer green trees. The black line is the 1 to 1 relationship, and the red line is the best-fitted relationship.</w:t>
      </w:r>
    </w:p>
    <w:p w14:paraId="6CC41044" w14:textId="77777777" w:rsidR="004653D0" w:rsidRDefault="004653D0" w:rsidP="004653D0">
      <w:pPr>
        <w:pStyle w:val="MDPI22heading2"/>
        <w:spacing w:before="240"/>
        <w:rPr>
          <w:lang w:val="en-GB"/>
        </w:rPr>
      </w:pPr>
      <w:r>
        <w:rPr>
          <w:lang w:val="en-GB"/>
        </w:rPr>
        <w:lastRenderedPageBreak/>
        <w:t>3.2. Geographical Pattern of the Gb-RVest-LCTs Differences between RPP-Means Datasets</w:t>
      </w:r>
    </w:p>
    <w:p w14:paraId="38B0E3E9" w14:textId="77777777" w:rsidR="004653D0" w:rsidRDefault="004653D0" w:rsidP="004653D0">
      <w:pPr>
        <w:pStyle w:val="MDPI31text"/>
        <w:rPr>
          <w:lang w:val="en-GB"/>
        </w:rPr>
      </w:pPr>
      <w:r>
        <w:rPr>
          <w:lang w:val="en-GB"/>
        </w:rPr>
        <w:t>Differences between pairs of Gb-</w:t>
      </w:r>
      <w:proofErr w:type="spellStart"/>
      <w:r>
        <w:rPr>
          <w:lang w:val="en-GB"/>
        </w:rPr>
        <w:t>RVest</w:t>
      </w:r>
      <w:proofErr w:type="spellEnd"/>
      <w:r>
        <w:rPr>
          <w:lang w:val="en-GB"/>
        </w:rPr>
        <w:t xml:space="preserve">-LCTs were mapped using the positive and negative results of the differences (i.e., </w:t>
      </w:r>
      <w:proofErr w:type="spellStart"/>
      <w:proofErr w:type="gramStart"/>
      <w:r>
        <w:rPr>
          <w:lang w:val="en-GB"/>
        </w:rPr>
        <w:t>diff.A</w:t>
      </w:r>
      <w:proofErr w:type="spellEnd"/>
      <w:proofErr w:type="gramEnd"/>
      <w:r>
        <w:rPr>
          <w:lang w:val="en-GB"/>
        </w:rPr>
        <w:t xml:space="preserve">, Figure 4a,b; </w:t>
      </w:r>
      <w:proofErr w:type="spellStart"/>
      <w:r>
        <w:rPr>
          <w:lang w:val="en-GB"/>
        </w:rPr>
        <w:t>diff.B</w:t>
      </w:r>
      <w:proofErr w:type="spellEnd"/>
      <w:r>
        <w:rPr>
          <w:lang w:val="en-GB"/>
        </w:rPr>
        <w:t>, Figure 5a,b). Furthermore, the negative and positive values of the differences are explain by maximum values of the most representative taxa over all time windows (Figures 4c–f and 5</w:t>
      </w:r>
      <w:proofErr w:type="gramStart"/>
      <w:r>
        <w:rPr>
          <w:lang w:val="en-GB"/>
        </w:rPr>
        <w:t>c,d</w:t>
      </w:r>
      <w:proofErr w:type="gramEnd"/>
      <w:r>
        <w:rPr>
          <w:lang w:val="en-GB"/>
        </w:rPr>
        <w:t>). These taxa influence the over- or under-representation of LCT in the analyses.</w:t>
      </w:r>
    </w:p>
    <w:p w14:paraId="75242800" w14:textId="77777777" w:rsidR="004653D0" w:rsidRDefault="004653D0" w:rsidP="004653D0">
      <w:pPr>
        <w:pStyle w:val="MDPI31text"/>
        <w:rPr>
          <w:lang w:val="en-GB"/>
        </w:rPr>
      </w:pPr>
      <w:r>
        <w:rPr>
          <w:lang w:val="en-GB"/>
        </w:rPr>
        <w:t>The greatest differences between Gb-RVest-LCTs.st1 and Gb-RVest-LCTs.st3 (</w:t>
      </w:r>
      <w:proofErr w:type="spellStart"/>
      <w:proofErr w:type="gramStart"/>
      <w:r>
        <w:rPr>
          <w:lang w:val="en-GB"/>
        </w:rPr>
        <w:t>diff.A</w:t>
      </w:r>
      <w:proofErr w:type="spellEnd"/>
      <w:proofErr w:type="gramEnd"/>
      <w:r>
        <w:rPr>
          <w:lang w:val="en-GB"/>
        </w:rPr>
        <w:t xml:space="preserve">) (Figure 4a,b) are found within ET and OL. ST values are broadly comparable. The greatest differences between Gb-RVest-ET.st3 and Gb-RVest-ET.st1 </w:t>
      </w:r>
      <w:proofErr w:type="gramStart"/>
      <w:r>
        <w:rPr>
          <w:lang w:val="en-GB"/>
        </w:rPr>
        <w:t>are located in</w:t>
      </w:r>
      <w:proofErr w:type="gramEnd"/>
      <w:r>
        <w:rPr>
          <w:lang w:val="en-GB"/>
        </w:rPr>
        <w:t xml:space="preserve"> Spain, Portugal, southern France, central Italy, and the U.K. (Figure 4a). Ericaceae appears to be the taxon that causes this overrepresentation of Gb-RVest-ET.st3 in comparison to Gb-RVest-ET.st1 (Figure 4c). Lower values of ET in Gb-RVest.st1 are compensated by </w:t>
      </w:r>
      <w:proofErr w:type="spellStart"/>
      <w:r>
        <w:rPr>
          <w:i/>
          <w:lang w:val="en-GB"/>
        </w:rPr>
        <w:t>Calluna</w:t>
      </w:r>
      <w:proofErr w:type="spellEnd"/>
      <w:r>
        <w:rPr>
          <w:i/>
          <w:lang w:val="en-GB"/>
        </w:rPr>
        <w:t xml:space="preserve"> vulgaris</w:t>
      </w:r>
      <w:r>
        <w:rPr>
          <w:lang w:val="en-GB"/>
        </w:rPr>
        <w:t>, Cyperaceae, and Poaceae (Figure 4d–f).</w:t>
      </w:r>
    </w:p>
    <w:p w14:paraId="071F7759" w14:textId="77777777" w:rsidR="004653D0" w:rsidRDefault="004653D0" w:rsidP="004653D0">
      <w:pPr>
        <w:pStyle w:val="MDPI31text"/>
        <w:rPr>
          <w:lang w:val="en-GB"/>
        </w:rPr>
      </w:pPr>
      <w:r>
        <w:rPr>
          <w:lang w:val="en-GB"/>
        </w:rPr>
        <w:t>The greatest differences between Gb-RVest-LCTs.st1 and Gb-RVest-LCTs.st2 are found within ET and OL (</w:t>
      </w:r>
      <w:proofErr w:type="spellStart"/>
      <w:proofErr w:type="gramStart"/>
      <w:r>
        <w:rPr>
          <w:lang w:val="en-GB"/>
        </w:rPr>
        <w:t>diff.B</w:t>
      </w:r>
      <w:proofErr w:type="spellEnd"/>
      <w:proofErr w:type="gramEnd"/>
      <w:r>
        <w:rPr>
          <w:lang w:val="en-GB"/>
        </w:rPr>
        <w:t xml:space="preserve">) (Figure 5a,b). The greatest differences are found within the U.K., Ireland, southern Sweden, and scattered grid cells from central to Eastern Europe. </w:t>
      </w:r>
      <w:proofErr w:type="spellStart"/>
      <w:r>
        <w:rPr>
          <w:i/>
          <w:lang w:val="en-GB"/>
        </w:rPr>
        <w:t>Empetrum</w:t>
      </w:r>
      <w:proofErr w:type="spellEnd"/>
      <w:r>
        <w:rPr>
          <w:lang w:val="en-GB"/>
        </w:rPr>
        <w:t xml:space="preserve"> causes the overrepresentation of Gb-RVest-ET.st2 in comparison to Gb-RVest-ET.st1 (Figure 5c). Lower values of Gb-RVest-ET.st1 are compensated by OL (Figure 5b), </w:t>
      </w:r>
      <w:proofErr w:type="gramStart"/>
      <w:r>
        <w:rPr>
          <w:lang w:val="en-GB"/>
        </w:rPr>
        <w:t xml:space="preserve">in particular </w:t>
      </w:r>
      <w:proofErr w:type="spellStart"/>
      <w:r>
        <w:rPr>
          <w:i/>
          <w:lang w:val="en-GB"/>
        </w:rPr>
        <w:t>Calluna</w:t>
      </w:r>
      <w:proofErr w:type="spellEnd"/>
      <w:proofErr w:type="gramEnd"/>
      <w:r>
        <w:rPr>
          <w:i/>
          <w:lang w:val="en-GB"/>
        </w:rPr>
        <w:t xml:space="preserve"> vulgaris</w:t>
      </w:r>
      <w:r>
        <w:rPr>
          <w:lang w:val="en-GB"/>
        </w:rPr>
        <w:t xml:space="preserve"> (Figure 5d).</w:t>
      </w:r>
    </w:p>
    <w:p w14:paraId="5D3241CF" w14:textId="46F021C9" w:rsidR="004653D0" w:rsidRDefault="004653D0" w:rsidP="004653D0">
      <w:pPr>
        <w:pStyle w:val="MDPI52figure"/>
        <w:rPr>
          <w:lang w:val="en-GB"/>
        </w:rPr>
      </w:pPr>
      <w:r>
        <w:rPr>
          <w:noProof/>
          <w:lang w:val="fr-FR" w:eastAsia="fr-FR" w:bidi="ar-SA"/>
        </w:rPr>
        <w:drawing>
          <wp:inline distT="0" distB="0" distL="0" distR="0" wp14:anchorId="47C308FB" wp14:editId="63120FAC">
            <wp:extent cx="4429125" cy="4229100"/>
            <wp:effectExtent l="0" t="0" r="9525" b="0"/>
            <wp:docPr id="5" name="Picture 5"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tte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1608" t="14111" r="32391" b="7845"/>
                    <a:stretch>
                      <a:fillRect/>
                    </a:stretch>
                  </pic:blipFill>
                  <pic:spPr bwMode="auto">
                    <a:xfrm>
                      <a:off x="0" y="0"/>
                      <a:ext cx="4429125" cy="4229100"/>
                    </a:xfrm>
                    <a:prstGeom prst="rect">
                      <a:avLst/>
                    </a:prstGeom>
                    <a:noFill/>
                    <a:ln>
                      <a:noFill/>
                    </a:ln>
                  </pic:spPr>
                </pic:pic>
              </a:graphicData>
            </a:graphic>
          </wp:inline>
        </w:drawing>
      </w:r>
    </w:p>
    <w:p w14:paraId="6C13900B" w14:textId="77777777" w:rsidR="004653D0" w:rsidRDefault="004653D0" w:rsidP="004653D0">
      <w:pPr>
        <w:pStyle w:val="MDPI51figurecaption"/>
        <w:jc w:val="both"/>
        <w:rPr>
          <w:szCs w:val="18"/>
        </w:rPr>
      </w:pPr>
      <w:r>
        <w:rPr>
          <w:b/>
          <w:lang w:val="en-GB"/>
        </w:rPr>
        <w:t xml:space="preserve">Figure 4. </w:t>
      </w:r>
      <w:proofErr w:type="spellStart"/>
      <w:r>
        <w:rPr>
          <w:szCs w:val="18"/>
          <w:lang w:val="en-GB"/>
        </w:rPr>
        <w:t>Geolocalisation</w:t>
      </w:r>
      <w:proofErr w:type="spellEnd"/>
      <w:r>
        <w:rPr>
          <w:szCs w:val="18"/>
          <w:lang w:val="en-GB"/>
        </w:rPr>
        <w:t xml:space="preserve"> of the </w:t>
      </w:r>
      <w:proofErr w:type="spellStart"/>
      <w:proofErr w:type="gramStart"/>
      <w:r>
        <w:rPr>
          <w:szCs w:val="18"/>
          <w:lang w:val="en-GB"/>
        </w:rPr>
        <w:t>diff.A</w:t>
      </w:r>
      <w:proofErr w:type="spellEnd"/>
      <w:proofErr w:type="gramEnd"/>
      <w:r>
        <w:rPr>
          <w:szCs w:val="18"/>
          <w:lang w:val="en-GB"/>
        </w:rPr>
        <w:t xml:space="preserve"> (see Section 3.2) between grid-based REVEALS estimates (Gb-</w:t>
      </w:r>
      <w:proofErr w:type="spellStart"/>
      <w:r>
        <w:rPr>
          <w:szCs w:val="18"/>
          <w:lang w:val="en-GB"/>
        </w:rPr>
        <w:t>RVest</w:t>
      </w:r>
      <w:proofErr w:type="spellEnd"/>
      <w:r>
        <w:rPr>
          <w:szCs w:val="18"/>
          <w:lang w:val="en-GB"/>
        </w:rPr>
        <w:t xml:space="preserve">) for Land-cover types using RPPs.st1 and RPPs.st3, shown as negative values of </w:t>
      </w:r>
      <w:proofErr w:type="spellStart"/>
      <w:r>
        <w:rPr>
          <w:szCs w:val="18"/>
          <w:lang w:val="en-GB"/>
        </w:rPr>
        <w:t>diff.A</w:t>
      </w:r>
      <w:proofErr w:type="spellEnd"/>
      <w:r>
        <w:rPr>
          <w:szCs w:val="18"/>
          <w:lang w:val="en-GB"/>
        </w:rPr>
        <w:t xml:space="preserve"> for evergreen trees (ET) in panel (</w:t>
      </w:r>
      <w:r>
        <w:rPr>
          <w:b/>
          <w:bCs/>
          <w:szCs w:val="18"/>
          <w:lang w:val="en-GB"/>
        </w:rPr>
        <w:t>a</w:t>
      </w:r>
      <w:r>
        <w:rPr>
          <w:szCs w:val="18"/>
          <w:lang w:val="en-GB"/>
        </w:rPr>
        <w:t xml:space="preserve">) and positive values of </w:t>
      </w:r>
      <w:proofErr w:type="spellStart"/>
      <w:r>
        <w:rPr>
          <w:szCs w:val="18"/>
          <w:lang w:val="en-GB"/>
        </w:rPr>
        <w:t>diff.A</w:t>
      </w:r>
      <w:proofErr w:type="spellEnd"/>
      <w:r>
        <w:rPr>
          <w:szCs w:val="18"/>
          <w:lang w:val="en-GB"/>
        </w:rPr>
        <w:t xml:space="preserve"> for open land (OL) in panel (</w:t>
      </w:r>
      <w:r>
        <w:rPr>
          <w:b/>
          <w:bCs/>
          <w:szCs w:val="18"/>
          <w:lang w:val="en-GB"/>
        </w:rPr>
        <w:t>b</w:t>
      </w:r>
      <w:r>
        <w:rPr>
          <w:szCs w:val="18"/>
          <w:lang w:val="en-GB"/>
        </w:rPr>
        <w:t>). Panel (</w:t>
      </w:r>
      <w:r>
        <w:rPr>
          <w:b/>
          <w:bCs/>
          <w:szCs w:val="18"/>
          <w:lang w:val="en-GB"/>
        </w:rPr>
        <w:t>c</w:t>
      </w:r>
      <w:r>
        <w:rPr>
          <w:szCs w:val="18"/>
          <w:lang w:val="en-GB"/>
        </w:rPr>
        <w:t xml:space="preserve">) shows the maximum values of </w:t>
      </w:r>
      <w:r>
        <w:rPr>
          <w:szCs w:val="18"/>
          <w:lang w:val="it-IT"/>
        </w:rPr>
        <w:t>Ericaceae using RPPs.st3</w:t>
      </w:r>
      <w:r>
        <w:rPr>
          <w:szCs w:val="18"/>
        </w:rPr>
        <w:t>.</w:t>
      </w:r>
      <w:r>
        <w:rPr>
          <w:szCs w:val="18"/>
          <w:lang w:val="en-GB"/>
        </w:rPr>
        <w:t xml:space="preserve"> Panels (</w:t>
      </w:r>
      <w:r>
        <w:rPr>
          <w:b/>
          <w:bCs/>
          <w:szCs w:val="18"/>
          <w:lang w:val="en-GB"/>
        </w:rPr>
        <w:t>d</w:t>
      </w:r>
      <w:r>
        <w:rPr>
          <w:szCs w:val="18"/>
          <w:lang w:val="en-GB"/>
        </w:rPr>
        <w:t>–</w:t>
      </w:r>
      <w:r>
        <w:rPr>
          <w:b/>
          <w:bCs/>
          <w:szCs w:val="18"/>
          <w:lang w:val="en-GB"/>
        </w:rPr>
        <w:t>f</w:t>
      </w:r>
      <w:r>
        <w:rPr>
          <w:szCs w:val="18"/>
          <w:lang w:val="en-GB"/>
        </w:rPr>
        <w:t xml:space="preserve">) illustrate the maximum values of </w:t>
      </w:r>
      <w:r>
        <w:rPr>
          <w:i/>
          <w:iCs/>
          <w:szCs w:val="18"/>
          <w:lang w:val="it-IT"/>
        </w:rPr>
        <w:t>Calluna vulgaris</w:t>
      </w:r>
      <w:r>
        <w:rPr>
          <w:szCs w:val="18"/>
        </w:rPr>
        <w:t xml:space="preserve">, </w:t>
      </w:r>
      <w:r>
        <w:rPr>
          <w:szCs w:val="18"/>
          <w:lang w:val="it-IT"/>
        </w:rPr>
        <w:t>Cyperaceae</w:t>
      </w:r>
      <w:r>
        <w:rPr>
          <w:szCs w:val="18"/>
        </w:rPr>
        <w:t xml:space="preserve">, and </w:t>
      </w:r>
      <w:r>
        <w:rPr>
          <w:szCs w:val="18"/>
          <w:lang w:val="it-IT"/>
        </w:rPr>
        <w:t xml:space="preserve">Poaceae </w:t>
      </w:r>
      <w:r>
        <w:rPr>
          <w:szCs w:val="18"/>
          <w:lang w:val="en-GB"/>
        </w:rPr>
        <w:t xml:space="preserve">using </w:t>
      </w:r>
      <w:r>
        <w:rPr>
          <w:szCs w:val="18"/>
          <w:lang w:val="it-IT"/>
        </w:rPr>
        <w:t>RPPs.st1</w:t>
      </w:r>
      <w:r>
        <w:rPr>
          <w:szCs w:val="18"/>
        </w:rPr>
        <w:t xml:space="preserve">. </w:t>
      </w:r>
      <w:r>
        <w:rPr>
          <w:szCs w:val="18"/>
          <w:lang w:val="en-GB"/>
        </w:rPr>
        <w:t xml:space="preserve">Scale range is valid for negative and positive values (panels </w:t>
      </w:r>
      <w:proofErr w:type="spellStart"/>
      <w:proofErr w:type="gramStart"/>
      <w:r>
        <w:rPr>
          <w:szCs w:val="18"/>
          <w:lang w:val="en-GB"/>
        </w:rPr>
        <w:t>a,b</w:t>
      </w:r>
      <w:proofErr w:type="spellEnd"/>
      <w:proofErr w:type="gramEnd"/>
      <w:r>
        <w:rPr>
          <w:szCs w:val="18"/>
          <w:lang w:val="en-GB"/>
        </w:rPr>
        <w:t>) from dark blue (−80) to dark red (+80) and for maximum values (panels c–f) from light pink (0) to dark red (+80).</w:t>
      </w:r>
    </w:p>
    <w:p w14:paraId="4589DAC6" w14:textId="3D79BC19" w:rsidR="004653D0" w:rsidRDefault="004653D0" w:rsidP="004653D0">
      <w:pPr>
        <w:pStyle w:val="MDPI52figure"/>
        <w:rPr>
          <w:lang w:val="en-GB"/>
        </w:rPr>
      </w:pPr>
      <w:r>
        <w:rPr>
          <w:noProof/>
          <w:lang w:val="fr-FR" w:eastAsia="fr-FR" w:bidi="ar-SA"/>
        </w:rPr>
        <w:lastRenderedPageBreak/>
        <w:drawing>
          <wp:inline distT="0" distB="0" distL="0" distR="0" wp14:anchorId="203C6685" wp14:editId="31FFCD74">
            <wp:extent cx="4781550" cy="3267075"/>
            <wp:effectExtent l="0" t="0" r="0" b="9525"/>
            <wp:docPr id="4" name="Picture 4"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scatte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20964" t="12854" r="33856" b="32127"/>
                    <a:stretch>
                      <a:fillRect/>
                    </a:stretch>
                  </pic:blipFill>
                  <pic:spPr bwMode="auto">
                    <a:xfrm>
                      <a:off x="0" y="0"/>
                      <a:ext cx="4781550" cy="3267075"/>
                    </a:xfrm>
                    <a:prstGeom prst="rect">
                      <a:avLst/>
                    </a:prstGeom>
                    <a:noFill/>
                    <a:ln>
                      <a:noFill/>
                    </a:ln>
                  </pic:spPr>
                </pic:pic>
              </a:graphicData>
            </a:graphic>
          </wp:inline>
        </w:drawing>
      </w:r>
    </w:p>
    <w:p w14:paraId="549AC39B" w14:textId="77777777" w:rsidR="004653D0" w:rsidRDefault="004653D0" w:rsidP="004653D0">
      <w:pPr>
        <w:pStyle w:val="MDPI51figurecaption"/>
        <w:jc w:val="both"/>
        <w:rPr>
          <w:szCs w:val="18"/>
        </w:rPr>
      </w:pPr>
      <w:r>
        <w:rPr>
          <w:b/>
          <w:lang w:val="en-GB"/>
        </w:rPr>
        <w:t xml:space="preserve">Figure 5. </w:t>
      </w:r>
      <w:proofErr w:type="spellStart"/>
      <w:r>
        <w:rPr>
          <w:lang w:val="en-GB"/>
        </w:rPr>
        <w:t>Geolocalisation</w:t>
      </w:r>
      <w:proofErr w:type="spellEnd"/>
      <w:r>
        <w:rPr>
          <w:lang w:val="en-GB"/>
        </w:rPr>
        <w:t xml:space="preserve"> of the </w:t>
      </w:r>
      <w:proofErr w:type="spellStart"/>
      <w:proofErr w:type="gramStart"/>
      <w:r>
        <w:rPr>
          <w:lang w:val="en-GB"/>
        </w:rPr>
        <w:t>diff.B</w:t>
      </w:r>
      <w:proofErr w:type="spellEnd"/>
      <w:proofErr w:type="gramEnd"/>
      <w:r>
        <w:rPr>
          <w:lang w:val="en-GB"/>
        </w:rPr>
        <w:t xml:space="preserve"> (see </w:t>
      </w:r>
      <w:r>
        <w:rPr>
          <w:szCs w:val="18"/>
          <w:lang w:val="en-GB"/>
        </w:rPr>
        <w:t>Section</w:t>
      </w:r>
      <w:r>
        <w:rPr>
          <w:lang w:val="en-GB"/>
        </w:rPr>
        <w:t xml:space="preserve"> 3.2) between grid-based REVEALS estimates </w:t>
      </w:r>
      <w:r>
        <w:rPr>
          <w:szCs w:val="18"/>
          <w:lang w:val="en-GB"/>
        </w:rPr>
        <w:t>(Gb-</w:t>
      </w:r>
      <w:proofErr w:type="spellStart"/>
      <w:r>
        <w:rPr>
          <w:szCs w:val="18"/>
          <w:lang w:val="en-GB"/>
        </w:rPr>
        <w:t>RVest</w:t>
      </w:r>
      <w:proofErr w:type="spellEnd"/>
      <w:r>
        <w:rPr>
          <w:szCs w:val="18"/>
          <w:lang w:val="en-GB"/>
        </w:rPr>
        <w:t>)</w:t>
      </w:r>
      <w:r>
        <w:rPr>
          <w:lang w:val="en-GB"/>
        </w:rPr>
        <w:t xml:space="preserve"> for Land-cover types for RPPs.st1 and grid-based REVEALS estimates for Land-cover types using RPPs.st2, in terms of negative values of evergreen trees (ET) panel (</w:t>
      </w:r>
      <w:r>
        <w:rPr>
          <w:b/>
          <w:bCs/>
          <w:lang w:val="en-GB"/>
        </w:rPr>
        <w:t>a</w:t>
      </w:r>
      <w:r>
        <w:rPr>
          <w:lang w:val="en-GB"/>
        </w:rPr>
        <w:t>) and positive values of the open land (OL) panel (</w:t>
      </w:r>
      <w:r>
        <w:rPr>
          <w:b/>
          <w:bCs/>
          <w:lang w:val="en-GB"/>
        </w:rPr>
        <w:t>b</w:t>
      </w:r>
      <w:r>
        <w:rPr>
          <w:lang w:val="en-GB"/>
        </w:rPr>
        <w:t>). Panel (</w:t>
      </w:r>
      <w:r>
        <w:rPr>
          <w:b/>
          <w:bCs/>
          <w:lang w:val="en-GB"/>
        </w:rPr>
        <w:t>c</w:t>
      </w:r>
      <w:r>
        <w:rPr>
          <w:lang w:val="en-GB"/>
        </w:rPr>
        <w:t xml:space="preserve">) shows the maximum values of </w:t>
      </w:r>
      <w:r>
        <w:rPr>
          <w:i/>
          <w:lang w:val="it-IT"/>
        </w:rPr>
        <w:t>Empetrum</w:t>
      </w:r>
      <w:r>
        <w:rPr>
          <w:lang w:val="it-IT"/>
        </w:rPr>
        <w:t xml:space="preserve"> using RPPs.st2</w:t>
      </w:r>
      <w:r>
        <w:t>.</w:t>
      </w:r>
      <w:r>
        <w:rPr>
          <w:lang w:val="en-GB"/>
        </w:rPr>
        <w:t xml:space="preserve"> Panel (</w:t>
      </w:r>
      <w:r>
        <w:rPr>
          <w:b/>
          <w:bCs/>
          <w:lang w:val="en-GB"/>
        </w:rPr>
        <w:t>d</w:t>
      </w:r>
      <w:r>
        <w:rPr>
          <w:lang w:val="en-GB"/>
        </w:rPr>
        <w:t xml:space="preserve">) illustrates the maximum values of </w:t>
      </w:r>
      <w:r>
        <w:rPr>
          <w:i/>
          <w:iCs/>
          <w:lang w:val="it-IT"/>
        </w:rPr>
        <w:t>Calluna vulgaris</w:t>
      </w:r>
      <w:r>
        <w:rPr>
          <w:lang w:val="it-IT"/>
        </w:rPr>
        <w:t xml:space="preserve"> using RPPs.st1</w:t>
      </w:r>
      <w:r>
        <w:t xml:space="preserve">. For </w:t>
      </w:r>
      <w:r>
        <w:rPr>
          <w:szCs w:val="18"/>
          <w:lang w:val="en-GB"/>
        </w:rPr>
        <w:t>scale range (see caption of Figure 4).</w:t>
      </w:r>
    </w:p>
    <w:p w14:paraId="504EFDCE" w14:textId="77777777" w:rsidR="004653D0" w:rsidRDefault="004653D0" w:rsidP="004653D0">
      <w:pPr>
        <w:pStyle w:val="MDPI22heading2"/>
        <w:spacing w:before="240"/>
        <w:rPr>
          <w:lang w:val="en-GB"/>
        </w:rPr>
      </w:pPr>
      <w:r>
        <w:rPr>
          <w:lang w:val="en-GB"/>
        </w:rPr>
        <w:t>3.3. REVEALS Validation for All Europe</w:t>
      </w:r>
    </w:p>
    <w:p w14:paraId="016BA247" w14:textId="77777777" w:rsidR="004653D0" w:rsidRDefault="004653D0" w:rsidP="004653D0">
      <w:pPr>
        <w:pStyle w:val="MDPI31text"/>
        <w:rPr>
          <w:lang w:val="en-GB"/>
        </w:rPr>
      </w:pPr>
      <w:r>
        <w:rPr>
          <w:lang w:val="en-GB"/>
        </w:rPr>
        <w:t xml:space="preserve">Validation was undertaken on two groups of sites (lakes only: RV-Trees.L.st1; lakes plus bogs: RV-Trees.LnB.st1) to test (a) which </w:t>
      </w:r>
      <w:proofErr w:type="spellStart"/>
      <w:r>
        <w:rPr>
          <w:lang w:val="en-GB"/>
        </w:rPr>
        <w:t>RPPs.sts</w:t>
      </w:r>
      <w:proofErr w:type="spellEnd"/>
      <w:r>
        <w:rPr>
          <w:lang w:val="en-GB"/>
        </w:rPr>
        <w:t xml:space="preserve"> to use in the REVEALS model </w:t>
      </w:r>
      <w:proofErr w:type="gramStart"/>
      <w:r>
        <w:rPr>
          <w:lang w:val="en-GB"/>
        </w:rPr>
        <w:t>in order to</w:t>
      </w:r>
      <w:proofErr w:type="gramEnd"/>
      <w:r>
        <w:rPr>
          <w:lang w:val="en-GB"/>
        </w:rPr>
        <w:t xml:space="preserve"> have robust reconstructions on a wide scale, and (b) whether the inclusion of bog sites influences the goodness of fit between REVEALS model results and modern vegetation.</w:t>
      </w:r>
    </w:p>
    <w:p w14:paraId="193D3A7D" w14:textId="77777777" w:rsidR="004653D0" w:rsidRDefault="004653D0" w:rsidP="004653D0">
      <w:pPr>
        <w:pStyle w:val="MDPI31text"/>
        <w:rPr>
          <w:lang w:val="en-GB"/>
        </w:rPr>
      </w:pPr>
      <w:r>
        <w:rPr>
          <w:lang w:val="en-GB"/>
        </w:rPr>
        <w:t xml:space="preserve">Comparing the slope values obtained by MA regression for both groups shows a greater association for GFC-Trees vs. RV-Trees.LnB.st1 (0.619) and GFC-Trees vs. RV-Trees.L.st1 (0.722) than in GFC-Trees vs. RV-Trees.LnB.st2 (0.600), GFC-Trees vs. RV-Trees.LnB.st3 (0.601), GFC-Trees vs. RV-Trees.L.st2 (0.709), and GFC-Trees vs. RV-Trees.L.st3 (0.698). RV-Trees.st1 is, therefore, statistically more </w:t>
      </w:r>
      <w:proofErr w:type="gramStart"/>
      <w:r>
        <w:rPr>
          <w:lang w:val="en-GB"/>
        </w:rPr>
        <w:t>similar to</w:t>
      </w:r>
      <w:proofErr w:type="gramEnd"/>
      <w:r>
        <w:rPr>
          <w:lang w:val="en-GB"/>
        </w:rPr>
        <w:t xml:space="preserve"> GFC-Trees than those obtained from the other two RPP sets (Figures 6 and 7a–c). The R</w:t>
      </w:r>
      <w:r>
        <w:rPr>
          <w:vertAlign w:val="superscript"/>
          <w:lang w:val="en-GB"/>
        </w:rPr>
        <w:t>2</w:t>
      </w:r>
      <w:r>
        <w:rPr>
          <w:lang w:val="en-GB"/>
        </w:rPr>
        <w:t xml:space="preserve"> values confirm this analysis. The strongest associations are GFC-Trees vs. RV-Trees.LnB.st1 (0.147) and GFC-Trees vs. RV-Trees.L.st1 (0.203) rather than in GFC-Trees vs. RV-Trees.LnB.st2 (0.105), GFC-Trees vs. RV-Trees.LnB.st3 (0.106), GFC-Trees vs. RV-Trees.L.st2 (0.167), or GFC-Trees vs.</w:t>
      </w:r>
      <w:r>
        <w:rPr>
          <w:i/>
          <w:lang w:val="en-GB"/>
        </w:rPr>
        <w:t xml:space="preserve"> </w:t>
      </w:r>
      <w:r>
        <w:rPr>
          <w:lang w:val="en-GB"/>
        </w:rPr>
        <w:t>RV-Trees.L.st3 (0.199) (Figures 6 and 7a–c).</w:t>
      </w:r>
    </w:p>
    <w:p w14:paraId="5CF985D5" w14:textId="77777777" w:rsidR="004653D0" w:rsidRDefault="004653D0" w:rsidP="004653D0">
      <w:pPr>
        <w:pStyle w:val="MDPI31text"/>
      </w:pPr>
      <w:r>
        <w:rPr>
          <w:lang w:val="en-GB"/>
        </w:rPr>
        <w:t>The best-fit relationship in both MA regression analyses between GFC-Trees and RV-</w:t>
      </w:r>
      <w:proofErr w:type="spellStart"/>
      <w:r>
        <w:rPr>
          <w:lang w:val="en-GB"/>
        </w:rPr>
        <w:t>Trees.L.sts</w:t>
      </w:r>
      <w:proofErr w:type="spellEnd"/>
      <w:r>
        <w:rPr>
          <w:lang w:val="en-GB"/>
        </w:rPr>
        <w:t>/RV-</w:t>
      </w:r>
      <w:proofErr w:type="spellStart"/>
      <w:r>
        <w:rPr>
          <w:lang w:val="en-GB"/>
        </w:rPr>
        <w:t>Trees.LnB.sts</w:t>
      </w:r>
      <w:proofErr w:type="spellEnd"/>
      <w:r>
        <w:rPr>
          <w:lang w:val="en-GB"/>
        </w:rPr>
        <w:t xml:space="preserve"> shows that trees are over-represented in the RV results (Figures 6 and 7a–c). </w:t>
      </w:r>
      <w:r>
        <w:t xml:space="preserve">The residuals </w:t>
      </w:r>
      <w:r>
        <w:rPr>
          <w:lang w:val="en-GB"/>
        </w:rPr>
        <w:t xml:space="preserve">(Figures 6 and 7f–h) </w:t>
      </w:r>
      <w:r>
        <w:t>are normally distributed across the RV-Trees gradient.</w:t>
      </w:r>
    </w:p>
    <w:p w14:paraId="6B90191A" w14:textId="77777777" w:rsidR="004653D0" w:rsidRDefault="004653D0" w:rsidP="004653D0">
      <w:pPr>
        <w:pStyle w:val="MDPI31text"/>
        <w:rPr>
          <w:lang w:val="en-GB"/>
        </w:rPr>
      </w:pPr>
      <w:r>
        <w:rPr>
          <w:lang w:val="en-GB"/>
        </w:rPr>
        <w:t xml:space="preserve">RW-data (for 31 and 46 taxa, for lakes, and lakes and bogs) was used instead of </w:t>
      </w:r>
      <w:proofErr w:type="spellStart"/>
      <w:r>
        <w:rPr>
          <w:lang w:val="en-GB"/>
        </w:rPr>
        <w:t>RVest</w:t>
      </w:r>
      <w:proofErr w:type="spellEnd"/>
      <w:r>
        <w:rPr>
          <w:lang w:val="en-GB"/>
        </w:rPr>
        <w:t>, to test whether the use of raw pollen-Trees rather than RV-Trees better represented the actual forest cover (GFC-Trees) (Figures 6 and 7</w:t>
      </w:r>
      <w:proofErr w:type="gramStart"/>
      <w:r>
        <w:rPr>
          <w:lang w:val="en-GB"/>
        </w:rPr>
        <w:t>d,e</w:t>
      </w:r>
      <w:proofErr w:type="gramEnd"/>
      <w:r>
        <w:rPr>
          <w:lang w:val="en-GB"/>
        </w:rPr>
        <w:t>). The results show that raw pollen-Trees have a worse association with GFC-Trees than RV-Trees. The regression between raw pollen-Trees (31 and 46 taxa) for lakes and bogs and GFC-Trees only has a weak association (R</w:t>
      </w:r>
      <w:r>
        <w:rPr>
          <w:vertAlign w:val="superscript"/>
          <w:lang w:val="en-GB"/>
        </w:rPr>
        <w:t>2</w:t>
      </w:r>
      <w:r>
        <w:rPr>
          <w:lang w:val="en-GB"/>
        </w:rPr>
        <w:t xml:space="preserve"> = 0.082) (Figure 6</w:t>
      </w:r>
      <w:proofErr w:type="gramStart"/>
      <w:r>
        <w:rPr>
          <w:lang w:val="en-GB"/>
        </w:rPr>
        <w:t>d,e</w:t>
      </w:r>
      <w:proofErr w:type="gramEnd"/>
      <w:r>
        <w:rPr>
          <w:lang w:val="en-GB"/>
        </w:rPr>
        <w:t>), and for the lakes-only group, an even lower R</w:t>
      </w:r>
      <w:r>
        <w:rPr>
          <w:vertAlign w:val="superscript"/>
          <w:lang w:val="en-GB"/>
        </w:rPr>
        <w:t>2</w:t>
      </w:r>
      <w:r>
        <w:rPr>
          <w:lang w:val="en-GB"/>
        </w:rPr>
        <w:t xml:space="preserve"> (0.073) (Figure 7d,e). The residuals in both cases are not normally distributed along the regression line (Figures 6 and 7</w:t>
      </w:r>
      <w:proofErr w:type="gramStart"/>
      <w:r>
        <w:rPr>
          <w:lang w:val="en-GB"/>
        </w:rPr>
        <w:t>i,j</w:t>
      </w:r>
      <w:proofErr w:type="gramEnd"/>
      <w:r>
        <w:rPr>
          <w:lang w:val="en-GB"/>
        </w:rPr>
        <w:t>).</w:t>
      </w:r>
    </w:p>
    <w:p w14:paraId="121FDF01" w14:textId="6B953368" w:rsidR="004653D0" w:rsidRDefault="004653D0" w:rsidP="004653D0">
      <w:pPr>
        <w:pStyle w:val="MDPI52figure"/>
        <w:rPr>
          <w:noProof/>
        </w:rPr>
      </w:pPr>
      <w:r>
        <w:rPr>
          <w:noProof/>
          <w:lang w:val="fr-FR" w:eastAsia="fr-FR" w:bidi="ar-SA"/>
        </w:rPr>
        <w:lastRenderedPageBreak/>
        <w:drawing>
          <wp:inline distT="0" distB="0" distL="0" distR="0" wp14:anchorId="4835ADEB" wp14:editId="10E63BEA">
            <wp:extent cx="5953125" cy="3857625"/>
            <wp:effectExtent l="0" t="0" r="9525" b="9525"/>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l="5112" r="8110" b="-17"/>
                    <a:stretch>
                      <a:fillRect/>
                    </a:stretch>
                  </pic:blipFill>
                  <pic:spPr bwMode="auto">
                    <a:xfrm>
                      <a:off x="0" y="0"/>
                      <a:ext cx="5953125" cy="3857625"/>
                    </a:xfrm>
                    <a:prstGeom prst="rect">
                      <a:avLst/>
                    </a:prstGeom>
                    <a:noFill/>
                    <a:ln>
                      <a:noFill/>
                    </a:ln>
                  </pic:spPr>
                </pic:pic>
              </a:graphicData>
            </a:graphic>
          </wp:inline>
        </w:drawing>
      </w:r>
    </w:p>
    <w:p w14:paraId="6BBAD3D8" w14:textId="77777777" w:rsidR="004653D0" w:rsidRDefault="004653D0" w:rsidP="004653D0">
      <w:pPr>
        <w:pStyle w:val="MDPI51figurecaption"/>
        <w:jc w:val="both"/>
        <w:rPr>
          <w:lang w:val="en-GB"/>
        </w:rPr>
      </w:pPr>
      <w:r>
        <w:rPr>
          <w:b/>
          <w:lang w:val="en-GB"/>
        </w:rPr>
        <w:t xml:space="preserve">Figure 6. </w:t>
      </w:r>
      <w:r>
        <w:rPr>
          <w:lang w:val="en-GB"/>
        </w:rPr>
        <w:t xml:space="preserve">From left to right major axis regression between global forest change trees and REVEALS estimates for tree cover RPPs.st1 (lakes and bogs), global forest change trees and REVEALS estimates for tree cover RPPs.st2 (lakes and bogs), global forest change trees and REVEALS estimates for tree cover RPPs.st3 (lakes and bogs) (panels: </w:t>
      </w:r>
      <w:r>
        <w:rPr>
          <w:b/>
          <w:bCs/>
          <w:lang w:val="en-GB"/>
        </w:rPr>
        <w:t>a</w:t>
      </w:r>
      <w:r>
        <w:rPr>
          <w:lang w:val="en-GB"/>
        </w:rPr>
        <w:t>–</w:t>
      </w:r>
      <w:r>
        <w:rPr>
          <w:b/>
          <w:bCs/>
          <w:lang w:val="en-GB"/>
        </w:rPr>
        <w:t>c</w:t>
      </w:r>
      <w:r>
        <w:rPr>
          <w:lang w:val="en-GB"/>
        </w:rPr>
        <w:t xml:space="preserve">) and corresponding residuals (panels: </w:t>
      </w:r>
      <w:r>
        <w:rPr>
          <w:b/>
          <w:bCs/>
          <w:lang w:val="en-GB"/>
        </w:rPr>
        <w:t>f</w:t>
      </w:r>
      <w:r>
        <w:rPr>
          <w:lang w:val="en-GB"/>
        </w:rPr>
        <w:t>–</w:t>
      </w:r>
      <w:r>
        <w:rPr>
          <w:b/>
          <w:bCs/>
          <w:lang w:val="en-GB"/>
        </w:rPr>
        <w:t>h</w:t>
      </w:r>
      <w:r>
        <w:rPr>
          <w:lang w:val="en-GB"/>
        </w:rPr>
        <w:t xml:space="preserve">), major axis regression between global forest change trees and raw pollen data (31 taxa), global forest change trees and raw pollen data (46 taxa) (panels: </w:t>
      </w:r>
      <w:proofErr w:type="spellStart"/>
      <w:r>
        <w:rPr>
          <w:b/>
          <w:bCs/>
          <w:lang w:val="en-GB"/>
        </w:rPr>
        <w:t>d</w:t>
      </w:r>
      <w:r>
        <w:rPr>
          <w:lang w:val="en-GB"/>
        </w:rPr>
        <w:t>,</w:t>
      </w:r>
      <w:r>
        <w:rPr>
          <w:b/>
          <w:bCs/>
          <w:lang w:val="en-GB"/>
        </w:rPr>
        <w:t>e</w:t>
      </w:r>
      <w:proofErr w:type="spellEnd"/>
      <w:r>
        <w:rPr>
          <w:lang w:val="en-GB"/>
        </w:rPr>
        <w:t xml:space="preserve">) and corresponding residuals values graphs below (panels: </w:t>
      </w:r>
      <w:proofErr w:type="spellStart"/>
      <w:r>
        <w:rPr>
          <w:b/>
          <w:bCs/>
          <w:lang w:val="en-GB"/>
        </w:rPr>
        <w:t>i</w:t>
      </w:r>
      <w:r>
        <w:rPr>
          <w:lang w:val="en-GB"/>
        </w:rPr>
        <w:t>,</w:t>
      </w:r>
      <w:r>
        <w:rPr>
          <w:b/>
          <w:bCs/>
          <w:lang w:val="en-GB"/>
        </w:rPr>
        <w:t>j</w:t>
      </w:r>
      <w:proofErr w:type="spellEnd"/>
      <w:r>
        <w:rPr>
          <w:lang w:val="en-GB"/>
        </w:rPr>
        <w:t>). Black dots correspond to the grid-cell values used, the dark line is the 1 to 1 relationship, and the red line is the best-fitted relationship.</w:t>
      </w:r>
    </w:p>
    <w:p w14:paraId="795E054B" w14:textId="31FBAE84" w:rsidR="004653D0" w:rsidRDefault="004653D0" w:rsidP="004653D0">
      <w:pPr>
        <w:pStyle w:val="MDPI52figure"/>
        <w:rPr>
          <w:lang w:val="en-GB"/>
        </w:rPr>
      </w:pPr>
      <w:r>
        <w:rPr>
          <w:noProof/>
          <w:lang w:val="fr-FR" w:eastAsia="fr-FR" w:bidi="ar-SA"/>
        </w:rPr>
        <w:drawing>
          <wp:inline distT="0" distB="0" distL="0" distR="0" wp14:anchorId="4E5DF3A7" wp14:editId="2A73A7DE">
            <wp:extent cx="6448425" cy="361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48425" cy="3619500"/>
                    </a:xfrm>
                    <a:prstGeom prst="rect">
                      <a:avLst/>
                    </a:prstGeom>
                    <a:noFill/>
                    <a:ln>
                      <a:noFill/>
                    </a:ln>
                  </pic:spPr>
                </pic:pic>
              </a:graphicData>
            </a:graphic>
          </wp:inline>
        </w:drawing>
      </w:r>
    </w:p>
    <w:p w14:paraId="26FE09F4" w14:textId="77777777" w:rsidR="004653D0" w:rsidRDefault="004653D0" w:rsidP="004653D0">
      <w:pPr>
        <w:pStyle w:val="MDPI51figurecaption"/>
        <w:jc w:val="both"/>
        <w:rPr>
          <w:lang w:val="en-GB"/>
        </w:rPr>
      </w:pPr>
      <w:r>
        <w:rPr>
          <w:b/>
          <w:lang w:val="en-GB"/>
        </w:rPr>
        <w:lastRenderedPageBreak/>
        <w:t xml:space="preserve">Figure 7. </w:t>
      </w:r>
      <w:r>
        <w:rPr>
          <w:lang w:val="en-GB"/>
        </w:rPr>
        <w:t xml:space="preserve">From left to right major axis regression between global forest change trees and REVEALS estimates for tree cover RPPs.st1 (lakes), global forest change trees and REVEALS estimates for tree cover RPPs.st2 (lakes), global forest change trees and REVEALS estimates for tree cover RPPs.st3 (lakes) (panels: </w:t>
      </w:r>
      <w:r>
        <w:rPr>
          <w:b/>
          <w:bCs/>
          <w:lang w:val="en-GB"/>
        </w:rPr>
        <w:t>a</w:t>
      </w:r>
      <w:r>
        <w:rPr>
          <w:lang w:val="en-GB"/>
        </w:rPr>
        <w:t>–</w:t>
      </w:r>
      <w:r>
        <w:rPr>
          <w:b/>
          <w:bCs/>
          <w:lang w:val="en-GB"/>
        </w:rPr>
        <w:t>c</w:t>
      </w:r>
      <w:r>
        <w:rPr>
          <w:lang w:val="en-GB"/>
        </w:rPr>
        <w:t xml:space="preserve">) and corresponding residuals (panels: </w:t>
      </w:r>
      <w:r>
        <w:rPr>
          <w:b/>
          <w:bCs/>
          <w:lang w:val="en-GB"/>
        </w:rPr>
        <w:t>f</w:t>
      </w:r>
      <w:r>
        <w:rPr>
          <w:lang w:val="en-GB"/>
        </w:rPr>
        <w:t>–</w:t>
      </w:r>
      <w:r>
        <w:rPr>
          <w:b/>
          <w:bCs/>
          <w:lang w:val="en-GB"/>
        </w:rPr>
        <w:t>h</w:t>
      </w:r>
      <w:r>
        <w:rPr>
          <w:lang w:val="en-GB"/>
        </w:rPr>
        <w:t xml:space="preserve">), major axis regression between global forest change trees and raw pollen data (31 taxa), global forest change trees and raw pollen data (46 taxa) (panels: </w:t>
      </w:r>
      <w:proofErr w:type="spellStart"/>
      <w:r>
        <w:rPr>
          <w:b/>
          <w:bCs/>
          <w:lang w:val="en-GB"/>
        </w:rPr>
        <w:t>d</w:t>
      </w:r>
      <w:r>
        <w:rPr>
          <w:lang w:val="en-GB"/>
        </w:rPr>
        <w:t>,</w:t>
      </w:r>
      <w:r>
        <w:rPr>
          <w:b/>
          <w:bCs/>
          <w:lang w:val="en-GB"/>
        </w:rPr>
        <w:t>e</w:t>
      </w:r>
      <w:proofErr w:type="spellEnd"/>
      <w:r>
        <w:rPr>
          <w:lang w:val="en-GB"/>
        </w:rPr>
        <w:t xml:space="preserve">) and corresponding residuals values graphs below (panels: </w:t>
      </w:r>
      <w:proofErr w:type="spellStart"/>
      <w:r>
        <w:rPr>
          <w:b/>
          <w:bCs/>
          <w:lang w:val="en-GB"/>
        </w:rPr>
        <w:t>i</w:t>
      </w:r>
      <w:r>
        <w:rPr>
          <w:lang w:val="en-GB"/>
        </w:rPr>
        <w:t>,</w:t>
      </w:r>
      <w:r>
        <w:rPr>
          <w:b/>
          <w:bCs/>
          <w:lang w:val="en-GB"/>
        </w:rPr>
        <w:t>j</w:t>
      </w:r>
      <w:proofErr w:type="spellEnd"/>
      <w:r>
        <w:rPr>
          <w:lang w:val="en-GB"/>
        </w:rPr>
        <w:t>). Black dots correspond to the grid cells values used, the dark line is the 1 to 1 relationship, and the red line is the best-fitted relationship.</w:t>
      </w:r>
    </w:p>
    <w:p w14:paraId="7AD0AB48" w14:textId="77777777" w:rsidR="004653D0" w:rsidRDefault="004653D0" w:rsidP="004653D0">
      <w:pPr>
        <w:pStyle w:val="MDPI21heading1"/>
        <w:rPr>
          <w:lang w:val="en-GB"/>
        </w:rPr>
      </w:pPr>
      <w:r>
        <w:rPr>
          <w:lang w:val="en-GB"/>
        </w:rPr>
        <w:t>4. Discussion</w:t>
      </w:r>
    </w:p>
    <w:p w14:paraId="3247DA99" w14:textId="77777777" w:rsidR="004653D0" w:rsidRDefault="004653D0" w:rsidP="004653D0">
      <w:pPr>
        <w:pStyle w:val="MDPI31text"/>
        <w:rPr>
          <w:lang w:val="en-GB"/>
        </w:rPr>
      </w:pPr>
      <w:r>
        <w:rPr>
          <w:lang w:val="en-GB"/>
        </w:rPr>
        <w:t>Our discussion focuses on (</w:t>
      </w:r>
      <w:proofErr w:type="spellStart"/>
      <w:r>
        <w:rPr>
          <w:lang w:val="en-GB"/>
        </w:rPr>
        <w:t>i</w:t>
      </w:r>
      <w:proofErr w:type="spellEnd"/>
      <w:r>
        <w:rPr>
          <w:lang w:val="en-GB"/>
        </w:rPr>
        <w:t>) proposing a robust RPP-means dataset, through validation, for a reliable representation of vegetation for the last 11,700 years BP at a European scale, (ii) the influence of different RPP-means datasets on Gb-</w:t>
      </w:r>
      <w:proofErr w:type="spellStart"/>
      <w:r>
        <w:rPr>
          <w:lang w:val="en-GB"/>
        </w:rPr>
        <w:t>RVest</w:t>
      </w:r>
      <w:proofErr w:type="spellEnd"/>
      <w:r>
        <w:rPr>
          <w:lang w:val="en-GB"/>
        </w:rPr>
        <w:t xml:space="preserve"> as a test of the sensitivity of the REVEALS approach, (iii) the evaluation of some challenging taxa, and (iv) the importance of the number of pollen records for high-quality Gb-</w:t>
      </w:r>
      <w:proofErr w:type="spellStart"/>
      <w:r>
        <w:rPr>
          <w:lang w:val="en-GB"/>
        </w:rPr>
        <w:t>RVest</w:t>
      </w:r>
      <w:proofErr w:type="spellEnd"/>
      <w:r>
        <w:rPr>
          <w:lang w:val="en-GB"/>
        </w:rPr>
        <w:t xml:space="preserve"> to capture transient vegetation change at a sub-millennial time scale through the Holocene.</w:t>
      </w:r>
    </w:p>
    <w:p w14:paraId="0999F9B9" w14:textId="77777777" w:rsidR="004653D0" w:rsidRDefault="004653D0" w:rsidP="004653D0">
      <w:pPr>
        <w:pStyle w:val="MDPI22heading2"/>
        <w:spacing w:before="240"/>
        <w:rPr>
          <w:lang w:val="en-GB"/>
        </w:rPr>
      </w:pPr>
      <w:r>
        <w:rPr>
          <w:lang w:val="en-GB"/>
        </w:rPr>
        <w:t>4.1. New Insight after Validation</w:t>
      </w:r>
    </w:p>
    <w:p w14:paraId="730DF563" w14:textId="77777777" w:rsidR="004653D0" w:rsidRDefault="004653D0" w:rsidP="004653D0">
      <w:pPr>
        <w:pStyle w:val="MDPI31text"/>
        <w:rPr>
          <w:lang w:val="en-GB"/>
        </w:rPr>
      </w:pPr>
      <w:r>
        <w:rPr>
          <w:rStyle w:val="jlqj4b"/>
          <w:rFonts w:cstheme="minorHAnsi"/>
          <w:color w:val="auto"/>
          <w:lang w:val="en-GB"/>
        </w:rPr>
        <w:t xml:space="preserve">Testing the reliability of REVEALS-based reconstructions relies on comparison with different datasets, such as remote sensing data, and here we have used </w:t>
      </w:r>
      <w:r>
        <w:rPr>
          <w:lang w:val="en-GB"/>
        </w:rPr>
        <w:t xml:space="preserve">the global forest change dataset (GFC). </w:t>
      </w:r>
      <w:r>
        <w:rPr>
          <w:rStyle w:val="jlqj4b"/>
          <w:rFonts w:cstheme="minorHAnsi"/>
          <w:color w:val="auto"/>
          <w:lang w:val="en-GB"/>
        </w:rPr>
        <w:t>N</w:t>
      </w:r>
      <w:r>
        <w:rPr>
          <w:lang w:val="en-GB"/>
        </w:rPr>
        <w:t xml:space="preserve">either </w:t>
      </w:r>
      <w:proofErr w:type="spellStart"/>
      <w:r>
        <w:rPr>
          <w:lang w:val="en-GB"/>
        </w:rPr>
        <w:t>RVest</w:t>
      </w:r>
      <w:proofErr w:type="spellEnd"/>
      <w:r>
        <w:rPr>
          <w:lang w:val="en-GB"/>
        </w:rPr>
        <w:t xml:space="preserve"> nor GFC provides a completely accurate reflection of the “actual” vegetation. Both are subject to a number of potential sources of errors, as already observed in </w:t>
      </w:r>
      <w:r>
        <w:rPr>
          <w:rStyle w:val="FootnoteReference"/>
          <w:rFonts w:cstheme="minorHAnsi"/>
          <w:color w:val="auto"/>
          <w:lang w:val="en-GB"/>
        </w:rPr>
        <w:fldChar w:fldCharType="begin" w:fldLock="1"/>
      </w:r>
      <w:r>
        <w:rPr>
          <w:lang w:val="en-GB"/>
        </w:rPr>
        <w:instrText>ADDIN CSL_CITATION {"citationItems":[{"id":"ITEM-1","itemData":{"DOI":"10.1111/JBI.12353","ISSN":"13652699","abstract":"Aim: Remote sensing coupled with direct observation allows recent changes in vegetation to be investigated but, in order to extend our understanding of land-cover change further back in time, different proxies for vegetation are required. The pseudobiomization (PBM) approach has been developed to transform fossil pollen data into land-cover classes (LCCs) in order to reconstruct broad-scale anthropogenic land-use change through time. The aim of this study was to test and refine the PBM approach through application to an extensive modern pollen dataset and comparison with remotely sensed CORINE land-cover maps for Europe. Location: The study area comprised 2471 modern pollen sites from across Europe. Methods: Pollen sites were assigned to one of eight LCCs using the pollen-based PBM method, which draws upon biomization techniques to transform pollen data into records of land-cover change. Five of the LCCs were 'pure' classes (e.g. broad-leaf forest) and three of them were mixed vegetation. Remotely sensed CORINE land-cover maps were used to assign LCCs to sites, and the results were compared with pollen-assigned LCCs. Results: The results revealed a good correspondence between the proportions of different LCCs that were registered using CORINE and pollen-based PBM, when data were aggregated at a pan-European scale. However, the match between the two datasets was much less close at a site-specific level. The overall results were improved to c. 60% when the target was broadened to include similar as well as identical LCCs. The spatial correspondence was best across north-central Europe and least good in south-west Europe, the Mediterranean and northern Scandinavia. Main conclusions: The ability of distinct data types to sense actual vegetation is limited by various sources of error; for example, both pollen and remote sensing vary in terms of spatial and temporal heterogeneity and taxonomic resolution. It is likely that many of the main sources of error are common to both methods, rather than being approach-specific. We conclude that pollen-based methods of intermediate complexity can be used as a proxy for broad-scale land-cover change across most of temperate Europe, but may be less reliable at a site-specific scale.","author":[{"dropping-particle":"","family":"Woodbridge","given":"Jessie","non-dropping-particle":"","parse-names":false,"suffix":""},{"dropping-particle":"","family":"Fyfe","given":"Ralph M.","non-dropping-particle":"","parse-names":false,"suffix":""},{"dropping-particle":"","family":"Roberts","given":"Neil","non-dropping-particle":"","parse-names":false,"suffix":""}],"container-title":"Journal of Biogeography","id":"ITEM-1","issue":"11","issued":{"date-parts":[["2014","11","1"]]},"page":"2080-2092","title":"A comparison of remotely sensed and pollen-based approaches to mapping Europe's land cover","type":"article-journal","volume":"41"},"uris":["http://www.mendeley.com/documents/?uuid=6cdee1a4-40c7-33cf-a77e-5d9b0fe2c9fa"]}],"mendeley":{"formattedCitation":"&lt;sup&gt;[65]&lt;/sup&gt;","manualFormatting":"[63]","plainTextFormattedCitation":"[65]","previouslyFormattedCitation":"(Woodbridge et al., 2014)"},"properties":{"noteIndex":0},"schema":"https://github.com/citation-style-language/schema/raw/master/csl-citation.json"}</w:instrText>
      </w:r>
      <w:r>
        <w:rPr>
          <w:rStyle w:val="FootnoteReference"/>
          <w:rFonts w:cstheme="minorHAnsi"/>
          <w:color w:val="auto"/>
          <w:lang w:val="en-GB"/>
        </w:rPr>
        <w:fldChar w:fldCharType="separate"/>
      </w:r>
      <w:r>
        <w:rPr>
          <w:noProof/>
          <w:lang w:val="en-GB"/>
        </w:rPr>
        <w:t>[62]</w:t>
      </w:r>
      <w:r>
        <w:rPr>
          <w:rStyle w:val="FootnoteReference"/>
          <w:rFonts w:cstheme="minorHAnsi"/>
          <w:color w:val="auto"/>
          <w:lang w:val="en-GB"/>
        </w:rPr>
        <w:fldChar w:fldCharType="end"/>
      </w:r>
      <w:r>
        <w:rPr>
          <w:lang w:val="en-GB"/>
        </w:rPr>
        <w:t xml:space="preserve"> in the correspondence between CORINE </w:t>
      </w:r>
      <w:r>
        <w:rPr>
          <w:rStyle w:val="FootnoteReference"/>
          <w:rFonts w:cstheme="minorHAnsi"/>
          <w:color w:val="auto"/>
          <w:lang w:val="en-GB"/>
        </w:rPr>
        <w:fldChar w:fldCharType="begin" w:fldLock="1"/>
      </w:r>
      <w:r>
        <w:rPr>
          <w:lang w:val="en-GB"/>
        </w:rPr>
        <w:instrText>ADDIN CSL_CITATION {"citationItems":[{"id":"ITEM-1","itemData":{"ISBN":"9789291679683","abstract":"Cultural heritage content is everywhere on the web: digital libraries, archives, and portals of museums or galleries. Cultural heritage document collections are characterized by contents related to a territory and its land's history. In this context, the GeoTopia project is supported by the CNRS-TGE-Adonis and focuses on archive data sharing and interpretation. It consists in a Content Management System (CMS) that aims to manage a repository of multimedia digital documents: it exploits information like origin, theme, period, area, etc. to index and/or query documents. Our contribution is dedicated to spatial information contained in non structured textual documents. More specifically, we have developed a process flow that can extract the spatial information contained in textual documents. This process flow indexes spatial information and computes precise geolocalized representations. We propose to encapsulate it into the GeoStream specific web service and to make its behavior dynamically customizable for easier integration into such platforms used for the management of cultural heritage electronic documents","author":[{"dropping-particle":"","family":"Bossard","given":"M.","non-dropping-particle":"","parse-names":false,"suffix":""}],"id":"ITEM-1","issue":"17","issued":{"date-parts":[["2007"]]},"title":"CLC2006 technical guidelines","type":"book"},"uris":["http://www.mendeley.com/documents/?uuid=2559d11a-ee94-4943-a7fe-bea07ac87106"]}],"mendeley":{"formattedCitation":"&lt;sup&gt;[66]&lt;/sup&gt;","manualFormatting":"[68]","plainTextFormattedCitation":"[66]","previouslyFormattedCitation":"(Bossard, 2007)"},"properties":{"noteIndex":0},"schema":"https://github.com/citation-style-language/schema/raw/master/csl-citation.json"}</w:instrText>
      </w:r>
      <w:r>
        <w:rPr>
          <w:rStyle w:val="FootnoteReference"/>
          <w:rFonts w:cstheme="minorHAnsi"/>
          <w:color w:val="auto"/>
          <w:lang w:val="en-GB"/>
        </w:rPr>
        <w:fldChar w:fldCharType="separate"/>
      </w:r>
      <w:r>
        <w:rPr>
          <w:noProof/>
          <w:lang w:val="en-GB"/>
        </w:rPr>
        <w:t>[63]</w:t>
      </w:r>
      <w:r>
        <w:rPr>
          <w:rStyle w:val="FootnoteReference"/>
          <w:rFonts w:cstheme="minorHAnsi"/>
          <w:color w:val="auto"/>
          <w:lang w:val="en-GB"/>
        </w:rPr>
        <w:fldChar w:fldCharType="end"/>
      </w:r>
      <w:r>
        <w:rPr>
          <w:lang w:val="en-GB"/>
        </w:rPr>
        <w:t xml:space="preserve"> and pollen-based land-cover classes. This study shares some similar challenges for comparing estimates of vegetation based on the remotely sensed and pollen-inferred land cover with </w:t>
      </w:r>
      <w:r>
        <w:rPr>
          <w:rStyle w:val="FootnoteReference"/>
          <w:rFonts w:cstheme="minorHAnsi"/>
          <w:color w:val="auto"/>
          <w:lang w:val="en-GB"/>
        </w:rPr>
        <w:fldChar w:fldCharType="begin" w:fldLock="1"/>
      </w:r>
      <w:r>
        <w:rPr>
          <w:lang w:val="en-GB"/>
        </w:rPr>
        <w:instrText>ADDIN CSL_CITATION {"citationItems":[{"id":"ITEM-1","itemData":{"DOI":"10.1111/JBI.12353","ISSN":"13652699","abstract":"Aim: Remote sensing coupled with direct observation allows recent changes in vegetation to be investigated but, in order to extend our understanding of land-cover change further back in time, different proxies for vegetation are required. The pseudobiomization (PBM) approach has been developed to transform fossil pollen data into land-cover classes (LCCs) in order to reconstruct broad-scale anthropogenic land-use change through time. The aim of this study was to test and refine the PBM approach through application to an extensive modern pollen dataset and comparison with remotely sensed CORINE land-cover maps for Europe. Location: The study area comprised 2471 modern pollen sites from across Europe. Methods: Pollen sites were assigned to one of eight LCCs using the pollen-based PBM method, which draws upon biomization techniques to transform pollen data into records of land-cover change. Five of the LCCs were 'pure' classes (e.g. broad-leaf forest) and three of them were mixed vegetation. Remotely sensed CORINE land-cover maps were used to assign LCCs to sites, and the results were compared with pollen-assigned LCCs. Results: The results revealed a good correspondence between the proportions of different LCCs that were registered using CORINE and pollen-based PBM, when data were aggregated at a pan-European scale. However, the match between the two datasets was much less close at a site-specific level. The overall results were improved to c. 60% when the target was broadened to include similar as well as identical LCCs. The spatial correspondence was best across north-central Europe and least good in south-west Europe, the Mediterranean and northern Scandinavia. Main conclusions: The ability of distinct data types to sense actual vegetation is limited by various sources of error; for example, both pollen and remote sensing vary in terms of spatial and temporal heterogeneity and taxonomic resolution. It is likely that many of the main sources of error are common to both methods, rather than being approach-specific. We conclude that pollen-based methods of intermediate complexity can be used as a proxy for broad-scale land-cover change across most of temperate Europe, but may be less reliable at a site-specific scale.","author":[{"dropping-particle":"","family":"Woodbridge","given":"Jessie","non-dropping-particle":"","parse-names":false,"suffix":""},{"dropping-particle":"","family":"Fyfe","given":"Ralph M.","non-dropping-particle":"","parse-names":false,"suffix":""},{"dropping-particle":"","family":"Roberts","given":"Neil","non-dropping-particle":"","parse-names":false,"suffix":""}],"container-title":"Journal of Biogeography","id":"ITEM-1","issue":"11","issued":{"date-parts":[["2014","11","1"]]},"page":"2080-2092","title":"A comparison of remotely sensed and pollen-based approaches to mapping Europe's land cover","type":"article-journal","volume":"41"},"uris":["http://www.mendeley.com/documents/?uuid=6cdee1a4-40c7-33cf-a77e-5d9b0fe2c9fa"]}],"mendeley":{"formattedCitation":"&lt;sup&gt;[65]&lt;/sup&gt;","manualFormatting":"[63]","plainTextFormattedCitation":"[65]","previouslyFormattedCitation":"(Woodbridge et al., 2014)"},"properties":{"noteIndex":0},"schema":"https://github.com/citation-style-language/schema/raw/master/csl-citation.json"}</w:instrText>
      </w:r>
      <w:r>
        <w:rPr>
          <w:rStyle w:val="FootnoteReference"/>
          <w:rFonts w:cstheme="minorHAnsi"/>
          <w:color w:val="auto"/>
          <w:lang w:val="en-GB"/>
        </w:rPr>
        <w:fldChar w:fldCharType="separate"/>
      </w:r>
      <w:r>
        <w:rPr>
          <w:noProof/>
          <w:lang w:val="en-GB"/>
        </w:rPr>
        <w:t>[62]</w:t>
      </w:r>
      <w:r>
        <w:rPr>
          <w:rStyle w:val="FootnoteReference"/>
          <w:rFonts w:cstheme="minorHAnsi"/>
          <w:color w:val="auto"/>
          <w:lang w:val="en-GB"/>
        </w:rPr>
        <w:fldChar w:fldCharType="end"/>
      </w:r>
      <w:r>
        <w:rPr>
          <w:lang w:val="en-GB"/>
        </w:rPr>
        <w:t xml:space="preserve">, which might have influenced the validation as a whole. These include: (1) georeferencing inaccuracies: misplaced pollen site locations can affect both GFC (by extracting the wrong forest cover data for sites) and </w:t>
      </w:r>
      <w:proofErr w:type="spellStart"/>
      <w:r>
        <w:rPr>
          <w:lang w:val="en-GB"/>
        </w:rPr>
        <w:t>RVest</w:t>
      </w:r>
      <w:proofErr w:type="spellEnd"/>
      <w:r>
        <w:rPr>
          <w:lang w:val="en-GB"/>
        </w:rPr>
        <w:t xml:space="preserve"> (by placing sites in the wrong grid cells); (2) misclassification of land cover as remote sensing techniques make it difficult to differentiate between land-cover types (e.g., the determination of different forest types) and not all land-cover types are detectable via remote sensing; (3) the normalization factor </w:t>
      </w:r>
      <w:r>
        <w:rPr>
          <w:rStyle w:val="rynqvb"/>
          <w:color w:val="auto"/>
          <w:lang w:val="en"/>
        </w:rPr>
        <w:t xml:space="preserve">applied to both </w:t>
      </w:r>
      <w:proofErr w:type="spellStart"/>
      <w:r>
        <w:rPr>
          <w:rStyle w:val="rynqvb"/>
          <w:color w:val="auto"/>
          <w:lang w:val="en"/>
        </w:rPr>
        <w:t>RVest</w:t>
      </w:r>
      <w:proofErr w:type="spellEnd"/>
      <w:r>
        <w:rPr>
          <w:rStyle w:val="rynqvb"/>
          <w:color w:val="auto"/>
          <w:lang w:val="en"/>
        </w:rPr>
        <w:t xml:space="preserve"> and GFC </w:t>
      </w:r>
      <w:r>
        <w:rPr>
          <w:lang w:val="en-GB"/>
        </w:rPr>
        <w:t xml:space="preserve">to make the datasets comparable </w:t>
      </w:r>
      <w:r>
        <w:rPr>
          <w:rStyle w:val="rynqvb"/>
          <w:color w:val="auto"/>
          <w:lang w:val="en"/>
        </w:rPr>
        <w:t>leads to loss of some details.</w:t>
      </w:r>
      <w:r>
        <w:rPr>
          <w:lang w:val="en-GB"/>
        </w:rPr>
        <w:t xml:space="preserve"> However, our comparison differs from that of </w:t>
      </w:r>
      <w:r>
        <w:rPr>
          <w:rStyle w:val="FootnoteReference"/>
          <w:rFonts w:cstheme="minorHAnsi"/>
          <w:color w:val="auto"/>
          <w:lang w:val="en-GB"/>
        </w:rPr>
        <w:fldChar w:fldCharType="begin" w:fldLock="1"/>
      </w:r>
      <w:r>
        <w:rPr>
          <w:lang w:val="en-GB"/>
        </w:rPr>
        <w:instrText>ADDIN CSL_CITATION {"citationItems":[{"id":"ITEM-1","itemData":{"DOI":"10.1111/JBI.12353","ISSN":"13652699","abstract":"Aim: Remote sensing coupled with direct observation allows recent changes in vegetation to be investigated but, in order to extend our understanding of land-cover change further back in time, different proxies for vegetation are required. The pseudobiomization (PBM) approach has been developed to transform fossil pollen data into land-cover classes (LCCs) in order to reconstruct broad-scale anthropogenic land-use change through time. The aim of this study was to test and refine the PBM approach through application to an extensive modern pollen dataset and comparison with remotely sensed CORINE land-cover maps for Europe. Location: The study area comprised 2471 modern pollen sites from across Europe. Methods: Pollen sites were assigned to one of eight LCCs using the pollen-based PBM method, which draws upon biomization techniques to transform pollen data into records of land-cover change. Five of the LCCs were 'pure' classes (e.g. broad-leaf forest) and three of them were mixed vegetation. Remotely sensed CORINE land-cover maps were used to assign LCCs to sites, and the results were compared with pollen-assigned LCCs. Results: The results revealed a good correspondence between the proportions of different LCCs that were registered using CORINE and pollen-based PBM, when data were aggregated at a pan-European scale. However, the match between the two datasets was much less close at a site-specific level. The overall results were improved to c. 60% when the target was broadened to include similar as well as identical LCCs. The spatial correspondence was best across north-central Europe and least good in south-west Europe, the Mediterranean and northern Scandinavia. Main conclusions: The ability of distinct data types to sense actual vegetation is limited by various sources of error; for example, both pollen and remote sensing vary in terms of spatial and temporal heterogeneity and taxonomic resolution. It is likely that many of the main sources of error are common to both methods, rather than being approach-specific. We conclude that pollen-based methods of intermediate complexity can be used as a proxy for broad-scale land-cover change across most of temperate Europe, but may be less reliable at a site-specific scale.","author":[{"dropping-particle":"","family":"Woodbridge","given":"Jessie","non-dropping-particle":"","parse-names":false,"suffix":""},{"dropping-particle":"","family":"Fyfe","given":"Ralph M.","non-dropping-particle":"","parse-names":false,"suffix":""},{"dropping-particle":"","family":"Roberts","given":"Neil","non-dropping-particle":"","parse-names":false,"suffix":""}],"container-title":"Journal of Biogeography","id":"ITEM-1","issue":"11","issued":{"date-parts":[["2014","11","1"]]},"page":"2080-2092","title":"A comparison of remotely sensed and pollen-based approaches to mapping Europe's land cover","type":"article-journal","volume":"41"},"uris":["http://www.mendeley.com/documents/?uuid=6cdee1a4-40c7-33cf-a77e-5d9b0fe2c9fa"]}],"mendeley":{"formattedCitation":"&lt;sup&gt;[65]&lt;/sup&gt;","manualFormatting":"[63]","plainTextFormattedCitation":"[65]","previouslyFormattedCitation":"(Woodbridge et al., 2014)"},"properties":{"noteIndex":0},"schema":"https://github.com/citation-style-language/schema/raw/master/csl-citation.json"}</w:instrText>
      </w:r>
      <w:r>
        <w:rPr>
          <w:rStyle w:val="FootnoteReference"/>
          <w:rFonts w:cstheme="minorHAnsi"/>
          <w:color w:val="auto"/>
          <w:lang w:val="en-GB"/>
        </w:rPr>
        <w:fldChar w:fldCharType="separate"/>
      </w:r>
      <w:r>
        <w:rPr>
          <w:noProof/>
          <w:lang w:val="en-GB"/>
        </w:rPr>
        <w:t>[62]</w:t>
      </w:r>
      <w:r>
        <w:rPr>
          <w:rStyle w:val="FootnoteReference"/>
          <w:rFonts w:cstheme="minorHAnsi"/>
          <w:color w:val="auto"/>
          <w:lang w:val="en-GB"/>
        </w:rPr>
        <w:fldChar w:fldCharType="end"/>
      </w:r>
      <w:r>
        <w:rPr>
          <w:lang w:val="en-GB"/>
        </w:rPr>
        <w:t xml:space="preserve"> for several reasons, which are: (1) the approach used to transform pollen data into records of land-cover change, as we have been able to compare quantified values in both </w:t>
      </w:r>
      <w:proofErr w:type="spellStart"/>
      <w:r>
        <w:rPr>
          <w:lang w:val="en-GB"/>
        </w:rPr>
        <w:t>RVest</w:t>
      </w:r>
      <w:proofErr w:type="spellEnd"/>
      <w:r>
        <w:rPr>
          <w:lang w:val="en-GB"/>
        </w:rPr>
        <w:t xml:space="preserve"> and GFC, rather than compare classification results (via </w:t>
      </w:r>
      <w:proofErr w:type="spellStart"/>
      <w:r>
        <w:rPr>
          <w:lang w:val="en-GB"/>
        </w:rPr>
        <w:t>biomization</w:t>
      </w:r>
      <w:proofErr w:type="spellEnd"/>
      <w:r>
        <w:rPr>
          <w:lang w:val="en-GB"/>
        </w:rPr>
        <w:t xml:space="preserve"> techniques used in [62]), (2) the modern vegetation used, (3) the use of modern surface pollen samples.</w:t>
      </w:r>
    </w:p>
    <w:p w14:paraId="798BC63B" w14:textId="77777777" w:rsidR="004653D0" w:rsidRDefault="004653D0" w:rsidP="004653D0">
      <w:pPr>
        <w:pStyle w:val="MDPI31text"/>
        <w:rPr>
          <w:lang w:val="en-GB"/>
        </w:rPr>
      </w:pPr>
      <w:r>
        <w:rPr>
          <w:lang w:val="en-GB"/>
        </w:rPr>
        <w:t xml:space="preserve">The global forest change dataset is &gt;80% accurate </w:t>
      </w:r>
      <w:r>
        <w:rPr>
          <w:rStyle w:val="FootnoteReference"/>
          <w:color w:val="auto"/>
          <w:lang w:val="en-GB"/>
        </w:rPr>
        <w:fldChar w:fldCharType="begin" w:fldLock="1"/>
      </w:r>
      <w:r>
        <w:rPr>
          <w:lang w:val="en-GB"/>
        </w:rPr>
        <w:instrText>ADDIN CSL_CITATION {"citationItems":[{"id":"ITEM-1","itemData":{"DOI":"10.1126/science.1244693","ISSN":"10959203","PMID":"24233722","abstract":"Quantification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change.","author":[{"dropping-particle":"","family":"Hansen","given":"M. C.","non-dropping-particle":"","parse-names":false,"suffix":""},{"dropping-particle":"V.","family":"Potapov","given":"P.","non-dropping-particle":"","parse-names":false,"suffix":""},{"dropping-particle":"","family":"Moore","given":"R.","non-dropping-particle":"","parse-names":false,"suffix":""},{"dropping-particle":"","family":"Hancher","given":"M.","non-dropping-particle":"","parse-names":false,"suffix":""},{"dropping-particle":"","family":"Turubanova","given":"S. A.","non-dropping-particle":"","parse-names":false,"suffix":""},{"dropping-particle":"","family":"Tyukavina","given":"A.","non-dropping-particle":"","parse-names":false,"suffix":""},{"dropping-particle":"","family":"Thau","given":"D.","non-dropping-particle":"","parse-names":false,"suffix":""},{"dropping-particle":"V.","family":"Stehman","given":"S.","non-dropping-particle":"","parse-names":false,"suffix":""},{"dropping-particle":"","family":"Goetz","given":"S. J.","non-dropping-particle":"","parse-names":false,"suffix":""},{"dropping-particle":"","family":"Loveland","given":"T. R.","non-dropping-particle":"","parse-names":false,"suffix":""},{"dropping-particle":"","family":"Kommareddy","given":"A.","non-dropping-particle":"","parse-names":false,"suffix":""},{"dropping-particle":"","family":"Egorov","given":"A.","non-dropping-particle":"","parse-names":false,"suffix":""},{"dropping-particle":"","family":"Chini","given":"L.","non-dropping-particle":"","parse-names":false,"suffix":""},{"dropping-particle":"","family":"Justice","given":"C. O.","non-dropping-particle":"","parse-names":false,"suffix":""},{"dropping-particle":"","family":"Townshend","given":"J. R.G.","non-dropping-particle":"","parse-names":false,"suffix":""}],"container-title":"Science","id":"ITEM-1","issue":"6160","issued":{"date-parts":[["2013"]]},"page":"850-853","title":"High-resolution global maps of 21st-century forest cover change","type":"article-journal","volume":"342"},"uris":["http://www.mendeley.com/documents/?uuid=73f2d94c-0d62-4e7b-95c7-ef7ee779d8e3"]}],"mendeley":{"formattedCitation":"&lt;sup&gt;[60]&lt;/sup&gt;","manualFormatting":"[58]","plainTextFormattedCitation":"[60]","previouslyFormattedCitation":"(Hansen et al., 2013)"},"properties":{"noteIndex":0},"schema":"https://github.com/citation-style-language/schema/raw/master/csl-citation.json"}</w:instrText>
      </w:r>
      <w:r>
        <w:rPr>
          <w:rStyle w:val="FootnoteReference"/>
          <w:color w:val="auto"/>
          <w:lang w:val="en-GB"/>
        </w:rPr>
        <w:fldChar w:fldCharType="separate"/>
      </w:r>
      <w:r>
        <w:rPr>
          <w:noProof/>
          <w:lang w:val="en-GB"/>
        </w:rPr>
        <w:t>[57]</w:t>
      </w:r>
      <w:r>
        <w:rPr>
          <w:rStyle w:val="FootnoteReference"/>
          <w:color w:val="auto"/>
          <w:lang w:val="en-GB"/>
        </w:rPr>
        <w:fldChar w:fldCharType="end"/>
      </w:r>
      <w:r>
        <w:rPr>
          <w:lang w:val="en-GB"/>
        </w:rPr>
        <w:t xml:space="preserve">. It is the most widely used forest cover product for global and regional analyses due to its high resolution (30 m), standardized classes, yearly updates, and convenient and cost-free use </w:t>
      </w:r>
      <w:r>
        <w:rPr>
          <w:rStyle w:val="FootnoteReference"/>
          <w:color w:val="auto"/>
          <w:lang w:val="en-GB"/>
        </w:rPr>
        <w:fldChar w:fldCharType="begin" w:fldLock="1"/>
      </w:r>
      <w:r>
        <w:rPr>
          <w:lang w:val="en-GB"/>
        </w:rPr>
        <w:instrText>ADDIN CSL_CITATION {"citationItems":[{"id":"ITEM-1","itemData":{"DOI":"10.1371/journal.pone.0268970","ISBN":"1111111111","ISSN":"19326203","PMID":"35793333","abstract":"Studying land use change in protected areas (PAs) located in tropical forests is a major conservation priority due to high conservation value (e.g., species richness and carbon storage) here, coupled with generally high deforestation rates. Land use change researchers use a variety of land cover products to track deforestation trends, including maps they produce themselves and readily available products, such as the Global Forest Change (GFC) dataset. However, all land cover maps should be critically assessed for limitations and biases to accurately communicate and interpret results. In this study, we assess deforestation in PA complexes located in agricultural frontiers in the Amazon Basin. We studied three specific sites: Amboró and Carrasco National Parks in Bolivia, Jamanxim National Forest in Brazil, and Tambopata National Reserve and Bahuaja-Sonene National Park in Peru. Within and in 20km buffer areas around each complex, we generated land cover maps using composites of Landsat imagery and supervised classification, and compared deforestation trends to data from the GFC dataset. We then performed a dissimilarity analysis to explore the discrepancies between the two remote sensing products. Both the GFC and our supervised classification showed that deforestation rates were higher in the 20km buffer than inside the PAs and that Jamanxim National Forest had the highest deforestation rate of the PAs we studied. However, GFC maps showed consistently higher rates of deforestation than our maps. Through a dissimilarity analysis, we found that many of the inconsistencies between these datasets arise from different treatment of mixed pixels or different parameters in map creation (for example, GFC does not detect reforestation after 2012). We found that our maps underestimated deforestation while GFC overestimated deforestation, and that true deforestation rates likely fall between our two estimates. We encourage users to consider limitations and biases when using or interpreting our maps, which we make publicly available, and GFC’s maps.","author":[{"dropping-particle":"","family":"Kinnebrew","given":"Eva","non-dropping-particle":"","parse-names":false,"suffix":""},{"dropping-particle":"","family":"Ochoa-Brito","given":"Jose I.","non-dropping-particle":"","parse-names":false,"suffix":""},{"dropping-particle":"","family":"French","given":"Matthew","non-dropping-particle":"","parse-names":false,"suffix":""},{"dropping-particle":"","family":"Mills-Novoa","given":"Megan","non-dropping-particle":"","parse-names":false,"suffix":""},{"dropping-particle":"","family":"Shoffner","given":"Elizabeth","non-dropping-particle":"","parse-names":false,"suffix":""},{"dropping-particle":"","family":"Siegel","given":"Katherine","non-dropping-particle":"","parse-names":false,"suffix":""}],"container-title":"PLoS ONE","id":"ITEM-1","issue":"7 July","issued":{"date-parts":[["2022"]]},"page":"1-23","title":"Biases and limitations of Global Forest Change and author-generated land cover maps in detecting deforestation in the Amazon","type":"article-journal","volume":"17"},"uris":["http://www.mendeley.com/documents/?uuid=44c17ea1-8b17-4ac5-aae4-7aae94f15a66"]}],"mendeley":{"formattedCitation":"&lt;sup&gt;[67]&lt;/sup&gt;","manualFormatting":"[65]","plainTextFormattedCitation":"[67]","previouslyFormattedCitation":"(Kinnebrew et al., 2022)"},"properties":{"noteIndex":0},"schema":"https://github.com/citation-style-language/schema/raw/master/csl-citation.json"}</w:instrText>
      </w:r>
      <w:r>
        <w:rPr>
          <w:rStyle w:val="FootnoteReference"/>
          <w:color w:val="auto"/>
          <w:lang w:val="en-GB"/>
        </w:rPr>
        <w:fldChar w:fldCharType="separate"/>
      </w:r>
      <w:r>
        <w:rPr>
          <w:noProof/>
          <w:lang w:val="en-GB"/>
        </w:rPr>
        <w:t>[64]</w:t>
      </w:r>
      <w:r>
        <w:rPr>
          <w:rStyle w:val="FootnoteReference"/>
          <w:color w:val="auto"/>
          <w:lang w:val="en-GB"/>
        </w:rPr>
        <w:fldChar w:fldCharType="end"/>
      </w:r>
      <w:r>
        <w:rPr>
          <w:lang w:val="en-GB"/>
        </w:rPr>
        <w:t xml:space="preserve">. It also has the advantage of being a time series of changes in tree cover </w:t>
      </w:r>
      <w:r>
        <w:rPr>
          <w:rStyle w:val="FootnoteReference"/>
          <w:color w:val="auto"/>
          <w:lang w:val="en-GB"/>
        </w:rPr>
        <w:fldChar w:fldCharType="begin" w:fldLock="1"/>
      </w:r>
      <w:r>
        <w:rPr>
          <w:lang w:val="en-GB"/>
        </w:rPr>
        <w:instrText>ADDIN CSL_CITATION {"citationItems":[{"id":"ITEM-1","itemData":{"DOI":"10.3390/f10100853","ISSN":"19994907","abstract":"Global tree cover products are widely used in analyses of deforestation, fragmentation, and connectivity, but are rarely critically assessed. Inaccuracies in these products could have consequences for future decision making, especially in data-poor regions like the tropics. In this study, potential biases in global and regional tree cover products were assessed across a diverse tropical country, Costa Rica. Two global tree cover products and one regional national forest cover map were evaluated along biophysical gradients in elevation, precipitation, and agricultural land cover. To quantify product accuracy and bias, freely available high-resolution imagery was used to validate tree and land cover across these gradients. Although the regional forest cover map was comparable in accuracy to a widely-used global forest map (the Global Forest Change of Hansen et al., also known as the GFC), another global forest map (derived from a cropland dataset) had the highest accuracy. Both global and regional forest cover products showed small to severe biases along biophysical gradients. Unlike the regional map, the global GFC map strongly underestimated tree cover (&gt;10% difference) below 189 mm of precipitation and at elevations above 2000 m, with a larger bias for precipitation. All map products misclassified agricultural fields as forest, but the GFC product particularly misclassified row crops and perennial erect crops (banana, oil palm, and coffee), with maximum tree cover in agricultural fields of 89%-100% across all crops. Our analysis calls into further question the utility of the GFC product for global forest monitoring outside humid regions, indicating that, in tropical regions, the GFC product is most accurate in areas with high, aseasonal rainfall, low relief, and low cropland area. Given that forest product errors are spatially distributed along biophysical gradients, researchers should account for these spatial biases when attempting to analyze or generate forest map products.","author":[{"dropping-particle":"","family":"Cunningham","given":"Daniel","non-dropping-particle":"","parse-names":false,"suffix":""},{"dropping-particle":"","family":"Cunningham","given":"Paul","non-dropping-particle":"","parse-names":false,"suffix":""},{"dropping-particle":"","family":"Fagan","given":"Matthew E.","non-dropping-particle":"","parse-names":false,"suffix":""}],"container-title":"Forests","id":"ITEM-1","issue":"10","issued":{"date-parts":[["2019"]]},"title":"Identifying biases in global tree cover products: A case study in Costa Rica","type":"article-journal","volume":"10"},"uris":["http://www.mendeley.com/documents/?uuid=654a7384-20a6-44e5-90b6-ba7a14fb20f4"]}],"mendeley":{"formattedCitation":"&lt;sup&gt;[68]&lt;/sup&gt;","manualFormatting":"[66]","plainTextFormattedCitation":"[68]","previouslyFormattedCitation":"(Cunningham et al., 2019)"},"properties":{"noteIndex":0},"schema":"https://github.com/citation-style-language/schema/raw/master/csl-citation.json"}</w:instrText>
      </w:r>
      <w:r>
        <w:rPr>
          <w:rStyle w:val="FootnoteReference"/>
          <w:color w:val="auto"/>
          <w:lang w:val="en-GB"/>
        </w:rPr>
        <w:fldChar w:fldCharType="separate"/>
      </w:r>
      <w:r>
        <w:rPr>
          <w:noProof/>
          <w:lang w:val="en-GB"/>
        </w:rPr>
        <w:t>[65]</w:t>
      </w:r>
      <w:r>
        <w:rPr>
          <w:rStyle w:val="FootnoteReference"/>
          <w:color w:val="auto"/>
          <w:lang w:val="en-GB"/>
        </w:rPr>
        <w:fldChar w:fldCharType="end"/>
      </w:r>
      <w:r>
        <w:rPr>
          <w:lang w:val="en-GB"/>
        </w:rPr>
        <w:t xml:space="preserve">. Nevertheless, </w:t>
      </w:r>
      <w:proofErr w:type="gramStart"/>
      <w:r>
        <w:rPr>
          <w:lang w:val="en-GB"/>
        </w:rPr>
        <w:t>a number of</w:t>
      </w:r>
      <w:proofErr w:type="gramEnd"/>
      <w:r>
        <w:rPr>
          <w:lang w:val="en-GB"/>
        </w:rPr>
        <w:t xml:space="preserve"> sources of error are specific to GFC. </w:t>
      </w:r>
      <w:r>
        <w:t xml:space="preserve">In </w:t>
      </w:r>
      <w:r>
        <w:fldChar w:fldCharType="begin" w:fldLock="1"/>
      </w:r>
      <w:r>
        <w:rPr>
          <w:lang w:val="en-GB"/>
        </w:rPr>
        <w:instrText>ADDIN CSL_CITATION {"citationItems":[{"id":"ITEM-1","itemData":{"DOI":"10.1126/SCIENCE.1248753/ASSET/FC4B61B0-2355-4DF5-872E-D9D1815D107E/ASSETS/GRAPHIC/344_981D_F1.JPEG","ISSN":"10959203","PMID":"24876487","abstract":"Hansen et al. (Reports, 15 November 2013, p. 850) published a high-resolution global forest map with detailed information on local forest loss and gain. We show that their product does not distinguish tropical forests from plantations and even herbaceous crops, which leads to a substantial underestimate of forest loss and compromises its value for local policy decisions.","author":[{"dropping-particle":"","family":"Tropek","given":"Robert","non-dropping-particle":"","parse-names":false,"suffix":""},{"dropping-particle":"","family":"Sedláček","given":"Ondřej","non-dropping-particle":"","parse-names":false,"suffix":""},{"dropping-particle":"","family":"Beck","given":"Jan","non-dropping-particle":"","parse-names":false,"suffix":""},{"dropping-particle":"","family":"Keil","given":"Petr","non-dropping-particle":"","parse-names":false,"suffix":""},{"dropping-particle":"","family":"Musilová","given":"Zuzana","non-dropping-particle":"","parse-names":false,"suffix":""},{"dropping-particle":"","family":"Šímová","given":"Irena","non-dropping-particle":"","parse-names":false,"suffix":""},{"dropping-particle":"","family":"Storch","given":"David","non-dropping-particle":"","parse-names":false,"suffix":""}],"container-title":"Science","id":"ITEM-1","issue":"6187","issued":{"date-parts":[["2014","5","30"]]},"publisher":"American Association for the Advancement of Science","title":"Comment on \"High-resolution global maps of 21st-century forest cover change\"","type":"article-journal","volume":"344"},"uris":["http://www.mendeley.com/documents/?uuid=9d0d5684-dc6a-3281-84c1-ac5cf786e200"]},{"id":"ITEM-2","itemData":{"DOI":"10.3390/f10100853","ISSN":"19994907","abstract":"Global tree cover products are widely used in analyses of deforestation, fragmentation, and connectivity, but are rarely critically assessed. Inaccuracies in these products could have consequences for future decision making, especially in data-poor regions like the tropics. In this study, potential biases in global and regional tree cover products were assessed across a diverse tropical country, Costa Rica. Two global tree cover products and one regional national forest cover map were evaluated along biophysical gradients in elevation, precipitation, and agricultural land cover. To quantify product accuracy and bias, freely available high-resolution imagery was used to validate tree and land cover across these gradients. Although the regional forest cover map was comparable in accuracy to a widely-used global forest map (the Global Forest Change of Hansen et al., also known as the GFC), another global forest map (derived from a cropland dataset) had the highest accuracy. Both global and regional forest cover products showed small to severe biases along biophysical gradients. Unlike the regional map, the global GFC map strongly underestimated tree cover (&gt;10% difference) below 189 mm of precipitation and at elevations above 2000 m, with a larger bias for precipitation. All map products misclassified agricultural fields as forest, but the GFC product particularly misclassified row crops and perennial erect crops (banana, oil palm, and coffee), with maximum tree cover in agricultural fields of 89%-100% across all crops. Our analysis calls into further question the utility of the GFC product for global forest monitoring outside humid regions, indicating that, in tropical regions, the GFC product is most accurate in areas with high, aseasonal rainfall, low relief, and low cropland area. Given that forest product errors are spatially distributed along biophysical gradients, researchers should account for these spatial biases when attempting to analyze or generate forest map products.","author":[{"dropping-particle":"","family":"Cunningham","given":"Daniel","non-dropping-particle":"","parse-names":false,"suffix":""},{"dropping-particle":"","family":"Cunningham","given":"Paul","non-dropping-particle":"","parse-names":false,"suffix":""},{"dropping-particle":"","family":"Fagan","given":"Matthew E.","non-dropping-particle":"","parse-names":false,"suffix":""}],"container-title":"Forests","id":"ITEM-2","issue":"10","issued":{"date-parts":[["2019"]]},"title":"Identifying biases in global tree cover products: A case study in Costa Rica","type":"article-journal","volume":"10"},"uris":["http://www.mendeley.com/documents/?uuid=654a7384-20a6-44e5-90b6-ba7a14fb20f4"]}],"mendeley":{"formattedCitation":"&lt;sup&gt;[68, 69]&lt;/sup&gt;","manualFormatting":"[66,67]","plainTextFormattedCitation":"[68, 69]","previouslyFormattedCitation":"(Cunningham et al., 2019; Tropek et al., 2014)"},"properties":{"noteIndex":0},"schema":"https://github.com/citation-style-language/schema/raw/master/csl-citation.json"}</w:instrText>
      </w:r>
      <w:r>
        <w:fldChar w:fldCharType="separate"/>
      </w:r>
      <w:r>
        <w:rPr>
          <w:noProof/>
          <w:lang w:val="en-GB"/>
        </w:rPr>
        <w:t>[65,66]</w:t>
      </w:r>
      <w:r>
        <w:fldChar w:fldCharType="end"/>
      </w:r>
      <w:r>
        <w:t>,</w:t>
      </w:r>
      <w:r>
        <w:rPr>
          <w:lang w:val="en-GB"/>
        </w:rPr>
        <w:t xml:space="preserve"> accuracy issues for this dataset are reported. GFC is less accurate in mountainous regions due to a combination of intense cloudiness and topographic shadowing </w:t>
      </w:r>
      <w:r>
        <w:rPr>
          <w:lang w:val="en-GB"/>
        </w:rPr>
        <w:fldChar w:fldCharType="begin" w:fldLock="1"/>
      </w:r>
      <w:r>
        <w:rPr>
          <w:lang w:val="en-GB"/>
        </w:rPr>
        <w:instrText>ADDIN CSL_CITATION {"citationItems":[{"id":"ITEM-1","itemData":{"DOI":"10.1080/07038992.2014.987376","ISSN":"1712-7971","author":[{"dropping-particle":"","family":"Banskota","given":"Asim","non-dropping-particle":"","parse-names":false,"suffix":""},{"dropping-particle":"","family":"Kayastha","given":"Nilam","non-dropping-particle":"","parse-names":false,"suffix":""},{"dropping-particle":"","family":"Falkowski","given":"Michael J","non-dropping-particle":"","parse-names":false,"suffix":""},{"dropping-particle":"","family":"Wulder","given":"Michael A","non-dropping-particle":"","parse-names":false,"suffix":""},{"dropping-particle":"","family":"Froese","given":"Robert E","non-dropping-particle":"","parse-names":false,"suffix":""},{"dropping-particle":"","family":"White","given":"Joanne C","non-dropping-particle":"","parse-names":false,"suffix":""}],"container-title":"Canadian Journal of Remote Sensing","id":"ITEM-1","issue":"5","issued":{"date-parts":[["2014"]]},"page":"362-384","title":"Forest Monitoring Using Landsat Time Series Data: A Review","type":"article-journal","volume":"40"},"uris":["http://www.mendeley.com/documents/?uuid=9c072a7e-49c6-345f-a0c2-d26e74d2cb98"]}],"mendeley":{"formattedCitation":"&lt;sup&gt;[70]&lt;/sup&gt;","manualFormatting":"[68]","plainTextFormattedCitation":"[70]","previouslyFormattedCitation":"(Banskota et al., 2014)"},"properties":{"noteIndex":0},"schema":"https://github.com/citation-style-language/schema/raw/master/csl-citation.json"}</w:instrText>
      </w:r>
      <w:r>
        <w:rPr>
          <w:lang w:val="en-GB"/>
        </w:rPr>
        <w:fldChar w:fldCharType="separate"/>
      </w:r>
      <w:r>
        <w:rPr>
          <w:noProof/>
          <w:lang w:val="en-GB"/>
        </w:rPr>
        <w:t>[67]</w:t>
      </w:r>
      <w:r>
        <w:rPr>
          <w:lang w:val="en-GB"/>
        </w:rPr>
        <w:fldChar w:fldCharType="end"/>
      </w:r>
      <w:r>
        <w:rPr>
          <w:lang w:val="en-GB"/>
        </w:rPr>
        <w:t xml:space="preserve">. GFC is also unable to distinguish between natural forest cover and agricultural tree crops </w:t>
      </w:r>
      <w:r>
        <w:rPr>
          <w:lang w:val="en-GB"/>
        </w:rPr>
        <w:fldChar w:fldCharType="begin" w:fldLock="1"/>
      </w:r>
      <w:r>
        <w:rPr>
          <w:lang w:val="en-GB"/>
        </w:rPr>
        <w:instrText>ADDIN CSL_CITATION {"citationItems":[{"id":"ITEM-1","itemData":{"DOI":"10.1126/SCIENCE.1248753/ASSET/FC4B61B0-2355-4DF5-872E-D9D1815D107E/ASSETS/GRAPHIC/344_981D_F1.JPEG","ISSN":"10959203","PMID":"24876487","abstract":"Hansen et al. (Reports, 15 November 2013, p. 850) published a high-resolution global forest map with detailed information on local forest loss and gain. We show that their product does not distinguish tropical forests from plantations and even herbaceous crops, which leads to a substantial underestimate of forest loss and compromises its value for local policy decisions.","author":[{"dropping-particle":"","family":"Tropek","given":"Robert","non-dropping-particle":"","parse-names":false,"suffix":""},{"dropping-particle":"","family":"Sedláček","given":"Ondřej","non-dropping-particle":"","parse-names":false,"suffix":""},{"dropping-particle":"","family":"Beck","given":"Jan","non-dropping-particle":"","parse-names":false,"suffix":""},{"dropping-particle":"","family":"Keil","given":"Petr","non-dropping-particle":"","parse-names":false,"suffix":""},{"dropping-particle":"","family":"Musilová","given":"Zuzana","non-dropping-particle":"","parse-names":false,"suffix":""},{"dropping-particle":"","family":"Šímová","given":"Irena","non-dropping-particle":"","parse-names":false,"suffix":""},{"dropping-particle":"","family":"Storch","given":"David","non-dropping-particle":"","parse-names":false,"suffix":""}],"container-title":"Science","id":"ITEM-1","issue":"6187","issued":{"date-parts":[["2014","5","30"]]},"publisher":"American Association for the Advancement of Science","title":"Comment on \"High-resolution global maps of 21st-century forest cover change\"","type":"article-journal","volume":"344"},"uris":["http://www.mendeley.com/documents/?uuid=9d0d5684-dc6a-3281-84c1-ac5cf786e200"]}],"mendeley":{"formattedCitation":"&lt;sup&gt;[69]&lt;/sup&gt;","manualFormatting":"[67]","plainTextFormattedCitation":"[69]","previouslyFormattedCitation":"(Tropek et al., 2014)"},"properties":{"noteIndex":0},"schema":"https://github.com/citation-style-language/schema/raw/master/csl-citation.json"}</w:instrText>
      </w:r>
      <w:r>
        <w:rPr>
          <w:lang w:val="en-GB"/>
        </w:rPr>
        <w:fldChar w:fldCharType="separate"/>
      </w:r>
      <w:r>
        <w:rPr>
          <w:noProof/>
          <w:lang w:val="en-GB"/>
        </w:rPr>
        <w:t>[66]</w:t>
      </w:r>
      <w:r>
        <w:rPr>
          <w:lang w:val="en-GB"/>
        </w:rPr>
        <w:fldChar w:fldCharType="end"/>
      </w:r>
      <w:r>
        <w:rPr>
          <w:lang w:val="en-GB"/>
        </w:rPr>
        <w:t xml:space="preserve">. Lower accuracy is also reported in regions with sparse and variable tree cover due to the background signal or seasonal variability in phenology or cloud cover. Another limiting factor can be ascribed to the rescaling process that limits the ability of the dataset to capture tree canopy cover values on the ground at 30 m × 30 m as it is derived from a coarser-resolution product </w:t>
      </w:r>
      <w:r>
        <w:rPr>
          <w:rStyle w:val="FootnoteReference"/>
          <w:color w:val="auto"/>
          <w:lang w:val="en-GB"/>
        </w:rPr>
        <w:fldChar w:fldCharType="begin" w:fldLock="1"/>
      </w:r>
      <w:r>
        <w:rPr>
          <w:lang w:val="en-GB"/>
        </w:rPr>
        <w:instrText>ADDIN CSL_CITATION {"citationItems":[{"id":"ITEM-1","itemData":{"DOI":"10.1371/journal.pone.0268970","ISBN":"1111111111","ISSN":"19326203","PMID":"35793333","abstract":"Studying land use change in protected areas (PAs) located in tropical forests is a major conservation priority due to high conservation value (e.g., species richness and carbon storage) here, coupled with generally high deforestation rates. Land use change researchers use a variety of land cover products to track deforestation trends, including maps they produce themselves and readily available products, such as the Global Forest Change (GFC) dataset. However, all land cover maps should be critically assessed for limitations and biases to accurately communicate and interpret results. In this study, we assess deforestation in PA complexes located in agricultural frontiers in the Amazon Basin. We studied three specific sites: Amboró and Carrasco National Parks in Bolivia, Jamanxim National Forest in Brazil, and Tambopata National Reserve and Bahuaja-Sonene National Park in Peru. Within and in 20km buffer areas around each complex, we generated land cover maps using composites of Landsat imagery and supervised classification, and compared deforestation trends to data from the GFC dataset. We then performed a dissimilarity analysis to explore the discrepancies between the two remote sensing products. Both the GFC and our supervised classification showed that deforestation rates were higher in the 20km buffer than inside the PAs and that Jamanxim National Forest had the highest deforestation rate of the PAs we studied. However, GFC maps showed consistently higher rates of deforestation than our maps. Through a dissimilarity analysis, we found that many of the inconsistencies between these datasets arise from different treatment of mixed pixels or different parameters in map creation (for example, GFC does not detect reforestation after 2012). We found that our maps underestimated deforestation while GFC overestimated deforestation, and that true deforestation rates likely fall between our two estimates. We encourage users to consider limitations and biases when using or interpreting our maps, which we make publicly available, and GFC’s maps.","author":[{"dropping-particle":"","family":"Kinnebrew","given":"Eva","non-dropping-particle":"","parse-names":false,"suffix":""},{"dropping-particle":"","family":"Ochoa-Brito","given":"Jose I.","non-dropping-particle":"","parse-names":false,"suffix":""},{"dropping-particle":"","family":"French","given":"Matthew","non-dropping-particle":"","parse-names":false,"suffix":""},{"dropping-particle":"","family":"Mills-Novoa","given":"Megan","non-dropping-particle":"","parse-names":false,"suffix":""},{"dropping-particle":"","family":"Shoffner","given":"Elizabeth","non-dropping-particle":"","parse-names":false,"suffix":""},{"dropping-particle":"","family":"Siegel","given":"Katherine","non-dropping-particle":"","parse-names":false,"suffix":""}],"container-title":"PLoS ONE","id":"ITEM-1","issue":"7 July","issued":{"date-parts":[["2022"]]},"page":"1-23","title":"Biases and limitations of Global Forest Change and author-generated land cover maps in detecting deforestation in the Amazon","type":"article-journal","volume":"17"},"uris":["http://www.mendeley.com/documents/?uuid=44c17ea1-8b17-4ac5-aae4-7aae94f15a66"]}],"mendeley":{"formattedCitation":"&lt;sup&gt;[67]&lt;/sup&gt;","manualFormatting":"[65]","plainTextFormattedCitation":"[67]","previouslyFormattedCitation":"(Kinnebrew et al., 2022)"},"properties":{"noteIndex":0},"schema":"https://github.com/citation-style-language/schema/raw/master/csl-citation.json"}</w:instrText>
      </w:r>
      <w:r>
        <w:rPr>
          <w:rStyle w:val="FootnoteReference"/>
          <w:color w:val="auto"/>
          <w:lang w:val="en-GB"/>
        </w:rPr>
        <w:fldChar w:fldCharType="separate"/>
      </w:r>
      <w:r>
        <w:rPr>
          <w:bCs/>
          <w:noProof/>
        </w:rPr>
        <w:t>[64]</w:t>
      </w:r>
      <w:r>
        <w:rPr>
          <w:rStyle w:val="FootnoteReference"/>
          <w:color w:val="auto"/>
          <w:lang w:val="en-GB"/>
        </w:rPr>
        <w:fldChar w:fldCharType="end"/>
      </w:r>
      <w:r>
        <w:rPr>
          <w:lang w:val="en-GB"/>
        </w:rPr>
        <w:t>.</w:t>
      </w:r>
    </w:p>
    <w:p w14:paraId="0240BB99" w14:textId="77777777" w:rsidR="004653D0" w:rsidRDefault="004653D0" w:rsidP="004653D0">
      <w:pPr>
        <w:pStyle w:val="MDPI31text"/>
      </w:pPr>
      <w:r>
        <w:rPr>
          <w:rStyle w:val="rynqvb"/>
          <w:color w:val="auto"/>
          <w:lang w:val="en"/>
        </w:rPr>
        <w:t xml:space="preserve">In this study, the number of </w:t>
      </w:r>
      <w:r>
        <w:rPr>
          <w:lang w:val="en-GB"/>
        </w:rPr>
        <w:t xml:space="preserve">available modern pollen datasets with top cores samples </w:t>
      </w:r>
      <w:r>
        <w:rPr>
          <w:rStyle w:val="jlqj4b"/>
          <w:rFonts w:cstheme="minorHAnsi"/>
          <w:color w:val="auto"/>
          <w:lang w:val="en"/>
        </w:rPr>
        <w:t xml:space="preserve">was limited. </w:t>
      </w:r>
      <w:r>
        <w:rPr>
          <w:rStyle w:val="jlqj4b"/>
          <w:rFonts w:cstheme="minorHAnsi"/>
          <w:color w:val="auto"/>
          <w:lang w:val="en-GB"/>
        </w:rPr>
        <w:t xml:space="preserve">For the sake of complete Europe-wide validation, as many sites (191) as possible were considered, including small lakes and bogs. </w:t>
      </w:r>
      <w:r>
        <w:rPr>
          <w:rStyle w:val="jlqj4b"/>
          <w:rFonts w:cstheme="minorHAnsi"/>
          <w:color w:val="auto"/>
          <w:lang w:val="en"/>
        </w:rPr>
        <w:t xml:space="preserve">A total of 41% of the grid cells (111 out of 539) had top core samples useful for comparison. Our comparison revealed that </w:t>
      </w:r>
      <w:r>
        <w:rPr>
          <w:lang w:val="en-GB"/>
        </w:rPr>
        <w:t>RPPs</w:t>
      </w:r>
      <w:r>
        <w:rPr>
          <w:rStyle w:val="jlqj4b"/>
          <w:rFonts w:cstheme="minorHAnsi"/>
          <w:color w:val="auto"/>
          <w:lang w:val="en"/>
        </w:rPr>
        <w:t xml:space="preserve">.st1 is the most suitable to represent modern vegetation in Europe, both using bogs and lakes, or only lakes, as suggested by </w:t>
      </w:r>
      <w:r>
        <w:rPr>
          <w:rStyle w:val="FootnoteReference"/>
          <w:rFonts w:cstheme="minorHAnsi"/>
          <w:color w:val="auto"/>
          <w:lang w:val="en"/>
        </w:rPr>
        <w:fldChar w:fldCharType="begin" w:fldLock="1"/>
      </w:r>
      <w:r>
        <w:rPr>
          <w:lang w:val="en"/>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
        </w:rPr>
        <w:instrText>∘</w:instrText>
      </w:r>
      <w:r>
        <w:rPr>
          <w:rFonts w:cs="Palatino Linotype"/>
          <w:lang w:val="en"/>
        </w:rPr>
        <w:instrText> × </w:instrText>
      </w:r>
      <w:r>
        <w:rPr>
          <w:lang w:val="en"/>
        </w:rPr>
        <w:instrText>1</w:instrText>
      </w:r>
      <w:r>
        <w:rPr>
          <w:rFonts w:ascii="Cambria Math" w:hAnsi="Cambria Math" w:cs="Cambria Math"/>
          <w:lang w:val="en"/>
        </w:rPr>
        <w:instrText>∘</w:instrText>
      </w:r>
      <w:r>
        <w:rPr>
          <w:lang w:val="en"/>
        </w:rPr>
        <w:instrText xml:space="preserve"> spatial scale using the </w:instrText>
      </w:r>
      <w:r>
        <w:rPr>
          <w:rFonts w:cs="Palatino Linotype"/>
          <w:lang w:val="en"/>
        </w:rPr>
        <w:instrText>“</w:instrText>
      </w:r>
      <w:r>
        <w:rPr>
          <w:lang w:val="en"/>
        </w:rPr>
        <w:instrText>Regional Estimates of VEgetation Abundance from Large Sites</w:instrText>
      </w:r>
      <w:r>
        <w:rPr>
          <w:rFonts w:cs="Palatino Linotype"/>
          <w:lang w:val="en"/>
        </w:rPr>
        <w:instrText>”</w:instrText>
      </w:r>
      <w:r>
        <w:rPr>
          <w:lang w:val="en"/>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
        </w:rPr>
        <w:instrText>∘</w:instrText>
      </w:r>
      <w:r>
        <w:rPr>
          <w:rFonts w:cs="Palatino Linotype"/>
          <w:lang w:val="en"/>
        </w:rPr>
        <w:instrText> </w:instrText>
      </w:r>
      <w:r>
        <w:rPr>
          <w:lang w:val="en"/>
        </w:rPr>
        <w:instrText>N, 25</w:instrText>
      </w:r>
      <w:r>
        <w:rPr>
          <w:rFonts w:ascii="Cambria Math" w:hAnsi="Cambria Math" w:cs="Cambria Math"/>
          <w:lang w:val="en"/>
        </w:rPr>
        <w:instrText>∘</w:instrText>
      </w:r>
      <w:r>
        <w:rPr>
          <w:rFonts w:cs="Palatino Linotype"/>
          <w:lang w:val="en"/>
        </w:rPr>
        <w:instrText> </w:instrText>
      </w:r>
      <w:r>
        <w:rPr>
          <w:lang w:val="en"/>
        </w:rPr>
        <w:instrText>W</w:instrText>
      </w:r>
      <w:r>
        <w:rPr>
          <w:rFonts w:cs="Palatino Linotype"/>
          <w:lang w:val="en"/>
        </w:rPr>
        <w:instrText>–</w:instrText>
      </w:r>
      <w:r>
        <w:rPr>
          <w:lang w:val="en"/>
        </w:rPr>
        <w:instrText>50</w:instrText>
      </w:r>
      <w:r>
        <w:rPr>
          <w:rFonts w:ascii="Cambria Math" w:hAnsi="Cambria Math" w:cs="Cambria Math"/>
          <w:lang w:val="en"/>
        </w:rPr>
        <w:instrText>∘</w:instrText>
      </w:r>
      <w:r>
        <w:rPr>
          <w:rFonts w:cs="Palatino Linotype"/>
          <w:lang w:val="en"/>
        </w:rPr>
        <w:instrText> </w:instrText>
      </w:r>
      <w:r>
        <w:rPr>
          <w:lang w:val="en"/>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manualFormatting":"[31]","plainTextFormattedCitation":"[28]","previouslyFormattedCitation":"(Githumbi et al., 2022)"},"properties":{"noteIndex":0},"schema":"https://github.com/citation-style-language/schema/raw/master/csl-citation.json"}</w:instrText>
      </w:r>
      <w:r>
        <w:rPr>
          <w:rStyle w:val="FootnoteReference"/>
          <w:rFonts w:cstheme="minorHAnsi"/>
          <w:color w:val="auto"/>
          <w:lang w:val="en"/>
        </w:rPr>
        <w:fldChar w:fldCharType="separate"/>
      </w:r>
      <w:r>
        <w:rPr>
          <w:noProof/>
          <w:lang w:val="en"/>
        </w:rPr>
        <w:t>[31]</w:t>
      </w:r>
      <w:r>
        <w:rPr>
          <w:rStyle w:val="FootnoteReference"/>
          <w:rFonts w:cstheme="minorHAnsi"/>
          <w:color w:val="auto"/>
          <w:lang w:val="en"/>
        </w:rPr>
        <w:fldChar w:fldCharType="end"/>
      </w:r>
      <w:r>
        <w:rPr>
          <w:rStyle w:val="jlqj4b"/>
          <w:rFonts w:cstheme="minorHAnsi"/>
          <w:color w:val="auto"/>
          <w:lang w:val="en"/>
        </w:rPr>
        <w:t xml:space="preserve">. The REVEALS model improved the accuracy of </w:t>
      </w:r>
      <w:r>
        <w:t xml:space="preserve">vegetation reconstruction significantly over the pollen proportions alone. Both </w:t>
      </w:r>
      <w:r>
        <w:rPr>
          <w:lang w:val="en-GB"/>
        </w:rPr>
        <w:lastRenderedPageBreak/>
        <w:t>RV-Trees and uncorrected pollen-Trees over-represented forest cover compared to GFC-Trees</w:t>
      </w:r>
      <w:r>
        <w:t>; however, the best match was found between RV-Trees and GFC-Trees.</w:t>
      </w:r>
      <w:r>
        <w:rPr>
          <w:lang w:val="en-GB"/>
        </w:rPr>
        <w:t xml:space="preserve"> T</w:t>
      </w:r>
      <w:proofErr w:type="spellStart"/>
      <w:r>
        <w:rPr>
          <w:rStyle w:val="rynqvb"/>
          <w:color w:val="auto"/>
          <w:lang w:val="en"/>
        </w:rPr>
        <w:t>rees</w:t>
      </w:r>
      <w:proofErr w:type="spellEnd"/>
      <w:r>
        <w:rPr>
          <w:rStyle w:val="rynqvb"/>
          <w:color w:val="auto"/>
          <w:lang w:val="en"/>
        </w:rPr>
        <w:t xml:space="preserve"> in GFC are defined as plants taller than 5 m. Some common European trees begin to produce and disperse pollen even before reaching a height of 5 m (e.g., </w:t>
      </w:r>
      <w:r>
        <w:rPr>
          <w:rStyle w:val="rynqvb"/>
          <w:i/>
          <w:color w:val="auto"/>
          <w:lang w:val="en"/>
        </w:rPr>
        <w:t>Betula</w:t>
      </w:r>
      <w:r>
        <w:rPr>
          <w:rStyle w:val="rynqvb"/>
          <w:color w:val="auto"/>
          <w:lang w:val="en"/>
        </w:rPr>
        <w:t xml:space="preserve"> and </w:t>
      </w:r>
      <w:r>
        <w:rPr>
          <w:rStyle w:val="rynqvb"/>
          <w:i/>
          <w:color w:val="auto"/>
          <w:lang w:val="en"/>
        </w:rPr>
        <w:t>Alnus</w:t>
      </w:r>
      <w:r>
        <w:rPr>
          <w:rStyle w:val="rynqvb"/>
          <w:color w:val="auto"/>
          <w:lang w:val="en"/>
        </w:rPr>
        <w:t xml:space="preserve">), particularly in regions where tree growth might be more stunted or there are lots of shrubby trees </w:t>
      </w:r>
      <w:r>
        <w:rPr>
          <w:rStyle w:val="FootnoteReference"/>
          <w:color w:val="auto"/>
          <w:lang w:val="en"/>
        </w:rPr>
        <w:fldChar w:fldCharType="begin" w:fldLock="1"/>
      </w:r>
      <w:r>
        <w:rPr>
          <w:lang w:val="en"/>
        </w:rPr>
        <w:instrText>ADDIN CSL_CITATION {"citationItems":[{"id":"ITEM-1","itemData":{"DOI":"10.1111/J.1365-2745.2007.01280.X","ISSN":"1365-2745","abstract":"1. Understanding the factors influencing tree growth is central to forest ecology because of the significance of growth to forest structure and biomass. One of the simplest, yet most controversial growth models, proposed by Enquist and colleagues, predicts that stem-diameter growth scales as the one-third power of stem diameter. Recent analyses of large-scale data sets have challenged the generality of this theory and highlighted the influence of resource competition on the scaling of growth with size. 2. Here we explore the factors regulating the diameter growth of 3334 trees of mountain beech (Nothofagus solandri var. cliffortioides) growing in natural single-species forests in New Zealand. Maximum-likelihood modelling was used to quantify the influences of tree size, altitude, the basal area of taller neighbours (BL) and the basal area of all neighbours (BT) on growth. Our interpretation of the models assumed that taller neighbours compete for light whereas all neighbours compete for nutrients. 3. The regression analyses indicate that competition for light has a strong influence on the growth of small trees, whereas competition for nutrients affects trees of all sizes. These findings are consistent with experimental manipulation studies showing that competition for light and nutrients inhibits the growth of small mountain beech trees, and fertilizer application studies showing that nitrogen limits the growth of large trees. 4. Tree growth declined with altitude. The regression analyses suggest that the intensity of light competition also declines with altitude, when trees with similar BT and BL values were compared along the gradient. These results are consistent with observations that trees become stunted and have more open canopies at high altitudes. 5. Our study is the first to build the effects of competition and environment into Enquist's model of tree growth. We show that competitive interactions alter the scaling of mean growth rate with size, whereas altitude does not influence the scaling of potential growth rate with size. © 2007 The Authors.","author":[{"dropping-particle":"","family":"Coomes","given":"David A.","non-dropping-particle":"","parse-names":false,"suffix":""},{"dropping-particle":"","family":"Allen","given":"Robert B.","non-dropping-particle":"","parse-names":false,"suffix":""}],"container-title":"Journal of Ecology","id":"ITEM-1","issue":"5","issued":{"date-parts":[["2007","9","1"]]},"page":"1084-1097","publisher":"John Wiley &amp; Sons, Ltd","title":"Effects of size, competition and altitude on tree growth","type":"article-journal","volume":"95"},"uris":["http://www.mendeley.com/documents/?uuid=51d7e741-24e3-3675-8410-f2f2d888426f"]},{"id":"ITEM-2","itemData":{"DOI":"10.1007/S00334-012-0373-Z/FIGURES/7","ISSN":"09396314","abstract":"Pollen productivity estimates (PPEs) are indispensable prerequisites for quantitative vegetation reconstructions. Estimates from different European regions show a large variability and it is uncertain whether this reflects regional differences in climate and soil or is brought about by different assessments of vegetation abundance. Forests represent a particular problem as they consist of several layers of vegetation and many tree species only start producing pollen after they have attained ages of several decades. Here we used detailed forest inventory data from north-eastern Germany to investigate the effect of flowering age and understory trees on PPEs. Pollen counts were obtained from 49 small to medium sized lakes chosen to represent the different forest types in the region. Surface samples from lakes within a closed forest of Fagus yielded disproportionate amounts of Fagus pollen, increasing its PPE and the variability of all other estimates. These samples were removed from further analysis but indicate a high trunk-space component that is not considered in the Prentice-Sugita pollen dispersal and deposition model. Results of the restricted dataset show important differences in PPEs based on the consideration of flowering age and understory position. The effect is largest for slow growing and/or late flowering trees like Fagus and Carpinus while it is minimal for species that flower early in their development like Betula and Alnus. The large relevant source area of pollen (RSAP) of 7 km obtained in this study is consistent with the landscape structure of the region. © 2012 The Author(s).","author":[{"dropping-particle":"","family":"Matthias","given":"Isabelle","non-dropping-particle":"","parse-names":false,"suffix":""},{"dropping-particle":"","family":"Nielsen","given":"Anne Birgitte","non-dropping-particle":"","parse-names":false,"suffix":""},{"dropping-particle":"","family":"Giesecke","given":"Thomas","non-dropping-particle":"","parse-names":false,"suffix":""}],"container-title":"Vegetation History and Archaeobotany","id":"ITEM-2","issue":"6","issued":{"date-parts":[["2012","10","10"]]},"page":"471-484","publisher":"Springer","title":"Evaluating the effect of flowering age and forest structure on pollen productivity estimates","type":"article-journal","volume":"21"},"uris":["http://www.mendeley.com/documents/?uuid=fa9a51b1-0e2a-35bb-a05f-9d32f230ea00"]},{"id":"ITEM-3","itemData":{"DOI":"10.1007/s10453-020-09638-8","ISBN":"0123456789","ISSN":"15733025","abstract":"Estimates of airborne pollen concentrations at the urban scale would be useful for epidemiologists, land managers, and allergy sufferers. Mechanistic models could be well suited for this task, but their development will require data on pollen production across cities, including estimates of pollen production by individual trees. In this study, we developed predictive models for pollen production as a function of trunk size, canopy area, and height, which are commonly recorded in tree surveys or readily extracted from remote sensing data. Pollen production was estimated by measuring the number of flowers per tree, the number of anthers per flower, and the number of pollen grains per anther. Variability at each morphological scale was assessed using bootstrapping. Pollen production was estimated for the following species: Acer negundo, Acer platanoides, Acer rubrum, Acer saccharinum, Betula papyrifera, Gleditsia triacanthos, Juglans nigra, Morus alba, Platanus × acerifolia, Populus deltoides, Quercus palustris, Quercus rubra, and Ulmus americana. Basal area predicted pollen production with a mean R2 of 0.72 (range 0.41–0.99), whereas canopy area predicted pollen production with a mean R2 of 0.76 (range 0.50–0.99). These equations are applied to two tree datasets to estimate total municipal pollen production and the spatial distribution of street tree pollen production for the focal species. We present some of the first individual-tree based estimates of pollen production at the municipal scale; the observed spatial heterogeneity in pollen production is substantial and can feasibly be included in mechanistic models of airborne pollen at fine spatial scales.","author":[{"dropping-particle":"","family":"Katz","given":"Daniel S.W.","non-dropping-particle":"","parse-names":false,"suffix":""},{"dropping-particle":"","family":"Morris","given":"Jonathan R.","non-dropping-particle":"","parse-names":false,"suffix":""},{"dropping-particle":"","family":"Batterman","given":"Stuart A.","non-dropping-particle":"","parse-names":false,"suffix":""}],"container-title":"Aerobiologia","id":"ITEM-3","issue":"3","issued":{"date-parts":[["2020"]]},"page":"401-415","publisher":"Springer Netherlands","title":"Pollen production for 13 urban North American tree species: allometric equations for tree trunk diameter and crown area","type":"article-journal","volume":"36"},"uris":["http://www.mendeley.com/documents/?uuid=28e5b5e1-eb53-454f-b36b-ef9c9be35658"]}],"mendeley":{"formattedCitation":"&lt;sup&gt;[34, 71, 72]&lt;/sup&gt;","manualFormatting":"[69,70,71]","plainTextFormattedCitation":"[34, 71, 72]","previouslyFormattedCitation":"(Coomes &amp; Allen, 2007; Katz et al., 2020; Matthias et al., 2012)"},"properties":{"noteIndex":0},"schema":"https://github.com/citation-style-language/schema/raw/master/csl-citation.json"}</w:instrText>
      </w:r>
      <w:r>
        <w:rPr>
          <w:rStyle w:val="FootnoteReference"/>
          <w:color w:val="auto"/>
          <w:lang w:val="en"/>
        </w:rPr>
        <w:fldChar w:fldCharType="separate"/>
      </w:r>
      <w:r>
        <w:rPr>
          <w:bCs/>
          <w:noProof/>
        </w:rPr>
        <w:t>[68–70]</w:t>
      </w:r>
      <w:r>
        <w:rPr>
          <w:rStyle w:val="FootnoteReference"/>
          <w:color w:val="auto"/>
          <w:lang w:val="en"/>
        </w:rPr>
        <w:fldChar w:fldCharType="end"/>
      </w:r>
      <w:r>
        <w:rPr>
          <w:rStyle w:val="rynqvb"/>
          <w:color w:val="auto"/>
          <w:lang w:val="en"/>
        </w:rPr>
        <w:t xml:space="preserve">. This may explain a </w:t>
      </w:r>
      <w:r>
        <w:t xml:space="preserve">greater representation of trees in </w:t>
      </w:r>
      <w:proofErr w:type="spellStart"/>
      <w:r>
        <w:t>RVest</w:t>
      </w:r>
      <w:proofErr w:type="spellEnd"/>
      <w:r>
        <w:t xml:space="preserve"> than in GFC. On the other hand, a young </w:t>
      </w:r>
      <w:r>
        <w:rPr>
          <w:i/>
        </w:rPr>
        <w:t>Pinus</w:t>
      </w:r>
      <w:r>
        <w:t xml:space="preserve"> woodland may not produce substantial volumes of pollen but will appear in the remote sensing dataset as a forest. Thus, it is important to bear in mind the </w:t>
      </w:r>
      <w:r>
        <w:rPr>
          <w:rStyle w:val="rynqvb"/>
          <w:lang w:val="en"/>
        </w:rPr>
        <w:t>characteristics</w:t>
      </w:r>
      <w:r>
        <w:t xml:space="preserve"> of the plant taxa and take into consideration their flowering age (i.e. the number of years a particular plant taxon needs before it produces a significant amount of pollen), location in the landscape (within or outside a woodland), or location within a woodland (with flowering parts below or within the woodland higher canopy) in order to better interpret the pollen-based reconstructions of plant cover. This validation not only identifies the most suitable RPP-means dataset so far that can be used at the European scale for the Holocene but also highlights the complexity of land cover, whose different sets of conditions, history, and dynamics are difficult to interpret from pixelated data. Each set of land-cover maps contains its own limitations and biases, which should not overshadow the value of these products.</w:t>
      </w:r>
    </w:p>
    <w:p w14:paraId="0869A14C" w14:textId="77777777" w:rsidR="004653D0" w:rsidRDefault="004653D0" w:rsidP="004653D0">
      <w:pPr>
        <w:pStyle w:val="MDPI22heading2"/>
        <w:spacing w:before="240"/>
        <w:rPr>
          <w:lang w:val="en-GB"/>
        </w:rPr>
      </w:pPr>
      <w:r>
        <w:rPr>
          <w:lang w:val="en-GB"/>
        </w:rPr>
        <w:t>4.2. Influence of RPPs.sts on REVEALS Model Sensitivity and Pattern of Difference at the Spatial Level</w:t>
      </w:r>
    </w:p>
    <w:p w14:paraId="575D8361" w14:textId="77777777" w:rsidR="004653D0" w:rsidRDefault="004653D0" w:rsidP="004653D0">
      <w:pPr>
        <w:pStyle w:val="MDPI31text"/>
        <w:rPr>
          <w:lang w:val="en-GB"/>
        </w:rPr>
      </w:pPr>
      <w:r>
        <w:rPr>
          <w:lang w:val="en-GB"/>
        </w:rPr>
        <w:t xml:space="preserve">The second aim of this paper was to explore how different RPP-means datasets impact the model output. It has previously been shown that </w:t>
      </w:r>
      <w:proofErr w:type="spellStart"/>
      <w:r>
        <w:rPr>
          <w:lang w:val="en-GB"/>
        </w:rPr>
        <w:t>RVest</w:t>
      </w:r>
      <w:proofErr w:type="spellEnd"/>
      <w:r>
        <w:rPr>
          <w:lang w:val="en-GB"/>
        </w:rPr>
        <w:t xml:space="preserve"> is strongly influenced by the choice of RPPs that are used </w:t>
      </w:r>
      <w:r>
        <w:rPr>
          <w:lang w:val="en-GB"/>
        </w:rPr>
        <w:fldChar w:fldCharType="begin" w:fldLock="1"/>
      </w:r>
      <w:r>
        <w:rPr>
          <w:lang w:val="en-GB"/>
        </w:rPr>
        <w:instrText>ADDIN CSL_CITATION {"citationItems":[{"id":"ITEM-1","itemData":{"DOI":"10.1002/jqs.1126","ISSN":"02678179","author":[{"dropping-particle":"","family":"Hellman","given":"Sofie","non-dropping-particle":"","parse-names":false,"suffix":""},{"dropping-particle":"","family":"Gaillard","given":"Marie-José","non-dropping-particle":"","parse-names":false,"suffix":""},{"dropping-particle":"","family":"Broström","given":"Anna","non-dropping-particle":"","parse-names":false,"suffix":""},{"dropping-particle":"","family":"Sugita","given":"Shinya","non-dropping-particle":"","parse-names":false,"suffix":""}],"container-title":"Journal of Quaternary Science","id":"ITEM-1","issue":"1","issued":{"date-parts":[["2008","1"]]},"page":"21-42","title":"The REVEALS model, a new tool to estimate past regional plant abundance from pollen data in large lakes: validation in southern Sweden","type":"article-journal","volume":"23"},"uris":["http://www.mendeley.com/documents/?uuid=8c62a458-8a93-3a73-9cb9-fc4b0b8f4c16"]},{"id":"ITEM-2","itemData":{"DOI":"10.1007/s00334-008-0149-7","ISSN":"0939-6314","author":[{"dropping-particle":"V.","family":"Hellman","given":"Sofie E.","non-dropping-particle":"","parse-names":false,"suffix":""},{"dropping-particle":"","family":"Gaillard","given":"Marie-josé","non-dropping-particle":"","parse-names":false,"suffix":""},{"dropping-particle":"","family":"Broström","given":"Anna","non-dropping-particle":"","parse-names":false,"suffix":""},{"dropping-particle":"","family":"Sugita","given":"Shinya","non-dropping-particle":"","parse-names":false,"suffix":""}],"container-title":"Vegetation History and Archaeobotany","id":"ITEM-2","issue":"5","issued":{"date-parts":[["2008","9","2"]]},"page":"445-459","title":"Effects of the sampling design and selection of parameter values on pollen-based quantitative reconstructions of regional vegetation: a case study in southern Sweden using the REVEALS model","type":"article-journal","volume":"17"},"uris":["http://www.mendeley.com/documents/?uuid=57e35ad9-3f27-395e-88d4-526f63b2da69"]},{"id":"ITEM-3","itemData":{"DOI":"10.1016/j.yqres.2010.07.008","ISSN":"00335894","abstract":"The Landscape Reconstruction Algorithm (LRA) overcomes some of the fundamental problems in pollen analysis for quantitative reconstruction of vegetation. LRA first uses the REVEALS model to estimate regional vegetation using pollen data from large sites and then the LOVE model to estimate vegetation composition within the relevant source area of pollen (RSAP) at small sites by subtracting the background pollen estimated from the regional vegetation composition. This study tests LRA using training data from forest hollows in northern Michigan (35 sites) and northwestern Wisconsin (43 sites). In northern Michigan, surface pollen from 152-ha and 332-ha lakes is used for REVEALS. Because of the lack of pollen data from large lakes in northwestern Wisconsin, we use pollen from 21 hollows randomly selected from the 43 sites for REVEALS. RSAP indirectly estimated by LRA is comparable to the expected value in each region. A regression analysis and permutation test validate that the LRA-based vegetation reconstruction is significantly more accurate than pollen percentages alone in both regions. Even though the site selection in northwestern Wisconsin is not ideal, the results are robust. The LRA is a significant step forward in quantitative reconstruction of vegetation. © 2010 University of Washington.","author":[{"dropping-particle":"","family":"Sugita","given":"Shinya","non-dropping-particle":"","parse-names":false,"suffix":""},{"dropping-particle":"","family":"Parshall","given":"Tim","non-dropping-particle":"","parse-names":false,"suffix":""},{"dropping-particle":"","family":"Calcote","given":"Randy","non-dropping-particle":"","parse-names":false,"suffix":""},{"dropping-particle":"","family":"Walker","given":"Karen","non-dropping-particle":"","parse-names":false,"suffix":""}],"container-title":"Quaternary Research","id":"ITEM-3","issue":"2","issued":{"date-parts":[["2010"]]},"page":"289-300","publisher":"University of Washington","title":"Testing the Landscape Reconstruction Algorithm for spatially explicit reconstruction of vegetation in northern Michigan and Wisconsin","type":"article-journal","volume":"74"},"uris":["http://www.mendeley.com/documents/?uuid=16c43b4b-2fbf-413a-8413-772126aa9b4f"]}],"mendeley":{"formattedCitation":"&lt;sup&gt;[73–75]&lt;/sup&gt;","manualFormatting":"[39,72,73]","plainTextFormattedCitation":"[73–75]","previouslyFormattedCitation":"(S. Hellman et al., 2008; S. E. V. Hellman et al., 2008; Sugita et al., 2010a)"},"properties":{"noteIndex":0},"schema":"https://github.com/citation-style-language/schema/raw/master/csl-citation.json"}</w:instrText>
      </w:r>
      <w:r>
        <w:rPr>
          <w:lang w:val="en-GB"/>
        </w:rPr>
        <w:fldChar w:fldCharType="separate"/>
      </w:r>
      <w:r>
        <w:rPr>
          <w:noProof/>
          <w:lang w:val="en-GB"/>
        </w:rPr>
        <w:t>[39,71,72]</w:t>
      </w:r>
      <w:r>
        <w:rPr>
          <w:lang w:val="en-GB"/>
        </w:rPr>
        <w:fldChar w:fldCharType="end"/>
      </w:r>
      <w:r>
        <w:t xml:space="preserve">. The </w:t>
      </w:r>
      <w:r>
        <w:rPr>
          <w:noProof/>
          <w:lang w:val="en-GB"/>
        </w:rPr>
        <w:t xml:space="preserve">RPPs values for a given taxon may, in some cases, differ between study areas, although it was less clear whether differences were related to environmental factors (e.g., climate, soils, land-use practices) or field methodologies in pollen sampling and vegetation survey </w:t>
      </w:r>
      <w:r>
        <w:rPr>
          <w:rStyle w:val="FootnoteReference"/>
          <w:rFonts w:cstheme="minorHAnsi"/>
          <w:noProof/>
          <w:color w:val="auto"/>
          <w:lang w:val="en-GB"/>
        </w:rPr>
        <w:fldChar w:fldCharType="begin" w:fldLock="1"/>
      </w:r>
      <w:r>
        <w:rPr>
          <w:noProof/>
          <w:lang w:val="en-GB"/>
        </w:rPr>
        <w:instrText>ADDIN CSL_CITATION {"citationItems":[{"id":"ITEM-1","itemData":{"DOI":"10.1007/s00334-008-0148-8","ISSN":"0939-6314","author":[{"dropping-particle":"","family":"Broström","given":"Anna","non-dropping-particle":"","parse-names":false,"suffix":""},{"dropping-particle":"","family":"Nielsen","given":"Anne Birgitte","non-dropping-particle":"","parse-names":false,"suffix":""},{"dropping-particle":"","family":"Gaillard","given":"Marie-José","non-dropping-particle":"","parse-names":false,"suffix":""},{"dropping-particle":"","family":"Hjelle","given":"Kari","non-dropping-particle":"","parse-names":false,"suffix":""},{"dropping-particle":"","family":"Mazier","given":"Florence","non-dropping-particle":"","parse-names":false,"suffix":""},{"dropping-particle":"","family":"Binney","given":"Heather","non-dropping-particle":"","parse-names":false,"suffix":""},{"dropping-particle":"","family":"Bunting","given":"Jane","non-dropping-particle":"","parse-names":false,"suffix":""},{"dropping-particle":"","family":"Fyfe","given":"Ralph","non-dropping-particle":"","parse-names":false,"suffix":""},{"dropping-particle":"","family":"Meltsov","given":"Viveca","non-dropping-particle":"","parse-names":false,"suffix":""},{"dropping-particle":"","family":"Poska","given":"Anneli","non-dropping-particle":"","parse-names":false,"suffix":""},{"dropping-particle":"","family":"Räsänen","given":"Satu","non-dropping-particle":"","parse-names":false,"suffix":""},{"dropping-particle":"","family":"Soepboer","given":"Welmoed","non-dropping-particle":"","parse-names":false,"suffix":""},{"dropping-particle":"","family":"Stedingk","given":"Henrik","non-dropping-particle":"von","parse-names":false,"suffix":""},{"dropping-particle":"","family":"Suutari","given":"Henna","non-dropping-particle":"","parse-names":false,"suffix":""},{"dropping-particle":"","family":"Sugita","given":"Shinya","non-dropping-particle":"","parse-names":false,"suffix":""}],"container-title":"Vegetation History and Archaeobotany","id":"ITEM-1","issue":"5","issued":{"date-parts":[["2008","9","8"]]},"page":"461-478","title":"Pollen productivity estimates of key European plant taxa for quantitative reconstruction of past vegetation: a review","type":"article-journal","volume":"17"},"uris":["http://www.mendeley.com/documents/?uuid=371935c1-c618-3c45-896f-eda8fa2ab867"]},{"id":"ITEM-2","itemData":{"DOI":"10.1016/j.revpalbo.2012.07.017","ISSN":"00346667","abstract":"REVEALS-based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Palynology","id":"ITEM-2","issued":{"date-parts":[["2012"]]},"page":"38-49","title":"Testing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-3","itemData":{"DOI":"10.1007/s00334-010-0246-2","ISSN":"0939-6314","author":[{"dropping-particle":"","family":"Bunting","given":"M. Jane","non-dropping-particle":"","parse-names":false,"suffix":""},{"dropping-particle":"","family":"Hjelle","given":"Kari Loe","non-dropping-particle":"","parse-names":false,"suffix":""}],"container-title":"Vegetation History and Archaeobotany","id":"ITEM-3","issue":"4","issued":{"date-parts":[["2010","8","11"]]},"page":"365-374","title":"Effect of vegetation data collection strategies on estimates of relevant source area of pollen (RSAP) and relative pollen productivity estimates (relative PPE) for non-arboreal taxa","type":"article-journal","volume":"19"},"uris":["http://www.mendeley.com/documents/?uuid=713a6807-b699-37ae-bb4f-bf423322e640"]},{"id":"ITEM-4","itemData":{"DOI":"10.1016/j.quascirev.2013.10.006","ISSN":"02773791","abstract":"1. Quantitative reconstruction of past vegetation distribution and abundance from sedimentary pollen records provides an important baseline for understanding long term ecosystem dynamics and for the calibration of earth system process models such as regional-scale climate models, widely used to predict future environmental change. Most current approaches assume that the amount of pollen produced by each vegetation type, usually expressed as a relative pollen productivity term, is constant in space and time.2. Estimates of relative pollen productivity can be extracted from extended R-value analysis (Parsons and Prentice, 1981) using comparisons between pollen assemblages deposited into sedimentary contexts, such as moss polsters, and measurements of the present day vegetation cover around the sampled location. Vegetation survey method has been shown to have a profound effect on estimates of model parameters (Bunting and Hjelle, 2010), therefore a standard method is an essential pre-requisite for testing some of the key assumptions of pollen-based reconstruction of past vegetation; such as the assumption that relative pollen productivity is effectively constant in space and time within a region or biome.3. This paper systematically reviews the assumptions and methodology underlying current models of pollen dispersal and deposition, and thereby identifies the key characteristics of an effective vegetation survey method for estimating relative pollen productivity in a range of landscape contexts.4. It then presents the methodology used in a current research project, developed during a practitioner workshop. The method selected is pragmatic, designed to be replicable by different research groups, usable in a wide range of habitats, and requiring minimum effort to collect adequate data for model calibration rather than representing some ideal or required approach. Using this common methodology will allow project members to collect multiple measurements of relative pollen productivity for major plant taxa from several northern European locations in order to test the assumption of uniformity of these values within the climatic range of the main taxa recorded in pollen records from the region. © 2013 Elsevier Ltd.","author":[{"dropping-particle":"","family":"Bunting","given":"M. J.","non-dropping-particle":"","parse-names":false,"suffix":""},{"dropping-particle":"","family":"Farrell","given":"M.","non-dropping-particle":"","parse-names":false,"suffix":""},{"dropping-particle":"","family":"Broström","given":"A.","non-dropping-particle":"","parse-names":false,"suffix":""},{"dropping-particle":"","family":"Hjelle","given":"K. L.","non-dropping-particle":"","parse-names":false,"suffix":""},{"dropping-particle":"","family":"Mazier","given":"F.","non-dropping-particle":"","parse-names":false,"suffix":""},{"dropping-particle":"","family":"Middleton","given":"R.","non-dropping-particle":"","parse-names":false,"suffix":""},{"dropping-particle":"","family":"Nielsen","given":"A. B.","non-dropping-particle":"","parse-names":false,"suffix":""},{"dropping-particle":"","family":"Rushton","given":"E.","non-dropping-particle":"","parse-names":false,"suffix":""},{"dropping-particle":"","family":"Shaw","given":"H.","non-dropping-particle":"","parse-names":false,"suffix":""},{"dropping-particle":"","family":"Twiddle","given":"C. L.","non-dropping-particle":"","parse-names":false,"suffix":""}],"container-title":"Quaternary Science Reviews","id":"ITEM-4","issued":{"date-parts":[["2013"]]},"page":"41-55","publisher":"Elsevier Ltd","title":"Palynological perspectives on vegetation survey: A critical step for model-based reconstruction of Quaternary land cover","type":"article-journal","volume":"82"},"uris":["http://www.mendeley.com/documents/?uuid=3a302ac7-985a-43f5-b3ba-e666c6d5a062"]}],"mendeley":{"formattedCitation":"&lt;sup&gt;[25, 32, 40, 76]&lt;/sup&gt;","manualFormatting":"[35,74,75]","plainTextFormattedCitation":"[25, 32, 40, 76]","previouslyFormattedCitation":"(Broström, Nielsen, Gaillard, Hjelle, Mazier, Binney, Bunting, Fyfe, Meltsov, Poska, Räsänen, Soepboer, von Stedingk, et al., 2008; Bunting et al., 2013; Bunting &amp; Hjelle, 2010; Mazier et al., 2012)"},"properties":{"noteIndex":0},"schema":"https://github.com/citation-style-language/schema/raw/master/csl-citation.json"}</w:instrText>
      </w:r>
      <w:r>
        <w:rPr>
          <w:rStyle w:val="FootnoteReference"/>
          <w:rFonts w:cstheme="minorHAnsi"/>
          <w:noProof/>
          <w:color w:val="auto"/>
          <w:lang w:val="en-GB"/>
        </w:rPr>
        <w:fldChar w:fldCharType="separate"/>
      </w:r>
      <w:r>
        <w:rPr>
          <w:noProof/>
        </w:rPr>
        <w:t>[35,73,74]</w:t>
      </w:r>
      <w:r>
        <w:rPr>
          <w:rStyle w:val="FootnoteReference"/>
          <w:rFonts w:cstheme="minorHAnsi"/>
          <w:noProof/>
          <w:color w:val="auto"/>
          <w:lang w:val="en-GB"/>
        </w:rPr>
        <w:fldChar w:fldCharType="end"/>
      </w:r>
      <w:r>
        <w:rPr>
          <w:noProof/>
        </w:rPr>
        <w:t xml:space="preserve">. </w:t>
      </w:r>
      <w:r>
        <w:rPr>
          <w:noProof/>
          <w:lang w:val="en-GB"/>
        </w:rPr>
        <w:t xml:space="preserve">The solution to variable RPPs between studies has been the calculation of mean RPP values that are applied within single studies (e.g., </w:t>
      </w:r>
      <w:r>
        <w:rPr>
          <w:noProof/>
          <w:lang w:val="en-GB"/>
        </w:rPr>
        <w:fldChar w:fldCharType="begin" w:fldLock="1"/>
      </w:r>
      <w:r>
        <w:rPr>
          <w:noProof/>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Database","type":"article-journal","volume":"187"},"uris":["http://www.mendeley.com/documents/?uuid=eb9dc5e8-934f-4d38-bbbb-4a9c9354df1e"]},{"id":"ITEM-2","itemData":{"DOI":"10.5194/essd-14-1581-2022","ISSN":"1866-3516","abstract":"&lt;p&gt;&lt;![CDATA[Abstract.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noProof/>
          <w:lang w:val="en-GB"/>
        </w:rPr>
        <w:instrText>∘</w:instrText>
      </w:r>
      <w:r>
        <w:rPr>
          <w:rFonts w:cs="Palatino Linotype"/>
          <w:noProof/>
          <w:lang w:val="en-GB"/>
        </w:rPr>
        <w:instrText> × </w:instrText>
      </w:r>
      <w:r>
        <w:rPr>
          <w:noProof/>
          <w:lang w:val="en-GB"/>
        </w:rPr>
        <w:instrText>1</w:instrText>
      </w:r>
      <w:r>
        <w:rPr>
          <w:rFonts w:ascii="Cambria Math" w:hAnsi="Cambria Math" w:cs="Cambria Math"/>
          <w:noProof/>
          <w:lang w:val="en-GB"/>
        </w:rPr>
        <w:instrText>∘</w:instrText>
      </w:r>
      <w:r>
        <w:rPr>
          <w:noProof/>
          <w:lang w:val="en-GB"/>
        </w:rPr>
        <w:instrText xml:space="preserve"> spatial scale using the </w:instrText>
      </w:r>
      <w:r>
        <w:rPr>
          <w:rFonts w:cs="Palatino Linotype"/>
          <w:noProof/>
          <w:lang w:val="en-GB"/>
        </w:rPr>
        <w:instrText>“</w:instrText>
      </w:r>
      <w:r>
        <w:rPr>
          <w:noProof/>
          <w:lang w:val="en-GB"/>
        </w:rPr>
        <w:instrText>Regional Estimates of VEgetation Abundance from Large Sites</w:instrText>
      </w:r>
      <w:r>
        <w:rPr>
          <w:rFonts w:cs="Palatino Linotype"/>
          <w:noProof/>
          <w:lang w:val="en-GB"/>
        </w:rPr>
        <w:instrText>”</w:instrText>
      </w:r>
      <w:r>
        <w:rPr>
          <w:noProof/>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noProof/>
          <w:lang w:val="en-GB"/>
        </w:rPr>
        <w:instrText>∘</w:instrText>
      </w:r>
      <w:r>
        <w:rPr>
          <w:rFonts w:cs="Palatino Linotype"/>
          <w:noProof/>
          <w:lang w:val="en-GB"/>
        </w:rPr>
        <w:instrText> </w:instrText>
      </w:r>
      <w:r>
        <w:rPr>
          <w:noProof/>
          <w:lang w:val="en-GB"/>
        </w:rPr>
        <w:instrText>N, 25</w:instrText>
      </w:r>
      <w:r>
        <w:rPr>
          <w:rFonts w:ascii="Cambria Math" w:hAnsi="Cambria Math" w:cs="Cambria Math"/>
          <w:noProof/>
          <w:lang w:val="en-GB"/>
        </w:rPr>
        <w:instrText>∘</w:instrText>
      </w:r>
      <w:r>
        <w:rPr>
          <w:rFonts w:cs="Palatino Linotype"/>
          <w:noProof/>
          <w:lang w:val="en-GB"/>
        </w:rPr>
        <w:instrText> </w:instrText>
      </w:r>
      <w:r>
        <w:rPr>
          <w:noProof/>
          <w:lang w:val="en-GB"/>
        </w:rPr>
        <w:instrText>W</w:instrText>
      </w:r>
      <w:r>
        <w:rPr>
          <w:rFonts w:cs="Palatino Linotype"/>
          <w:noProof/>
          <w:lang w:val="en-GB"/>
        </w:rPr>
        <w:instrText>–</w:instrText>
      </w:r>
      <w:r>
        <w:rPr>
          <w:noProof/>
          <w:lang w:val="en-GB"/>
        </w:rPr>
        <w:instrText>50</w:instrText>
      </w:r>
      <w:r>
        <w:rPr>
          <w:rFonts w:ascii="Cambria Math" w:hAnsi="Cambria Math" w:cs="Cambria Math"/>
          <w:noProof/>
          <w:lang w:val="en-GB"/>
        </w:rPr>
        <w:instrText>∘</w:instrText>
      </w:r>
      <w:r>
        <w:rPr>
          <w:rFonts w:cs="Palatino Linotype"/>
          <w:noProof/>
          <w:lang w:val="en-GB"/>
        </w:rPr>
        <w:instrText> </w:instrText>
      </w:r>
      <w:r>
        <w:rPr>
          <w:noProof/>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Data","id":"ITEM-2","issue":"4","issued":{"date-parts":[["2022","4","8"]]},"page":"1581-1619","title":"European pollen-based REVEALS land-cover reconstructions for the Holocene: methodology, mapping and potentials","type":"article-journal","volume":"14"},"uris":["http://www.mendeley.com/documents/?uuid=a3aa2c66-dc24-3563-953d-fabb33741ce8"]}],"mendeley":{"formattedCitation":"&lt;sup&gt;[25, 28]&lt;/sup&gt;","manualFormatting":"[28,31,33]","plainTextFormattedCitation":"[25, 28]","previouslyFormattedCitation":"(Githumbi et al., 2022; Mazier et al., 2012)"},"properties":{"noteIndex":0},"schema":"https://github.com/citation-style-language/schema/raw/master/csl-citation.json"}</w:instrText>
      </w:r>
      <w:r>
        <w:rPr>
          <w:noProof/>
          <w:lang w:val="en-GB"/>
        </w:rPr>
        <w:fldChar w:fldCharType="separate"/>
      </w:r>
      <w:r>
        <w:rPr>
          <w:noProof/>
          <w:lang w:val="en-GB"/>
        </w:rPr>
        <w:t>[28,31,33]</w:t>
      </w:r>
      <w:r>
        <w:rPr>
          <w:noProof/>
          <w:lang w:val="en-GB"/>
        </w:rPr>
        <w:fldChar w:fldCharType="end"/>
      </w:r>
      <w:r>
        <w:rPr>
          <w:noProof/>
          <w:lang w:val="en-GB"/>
        </w:rPr>
        <w:t>), and these have facilitated comparison between studies.</w:t>
      </w:r>
      <w:r>
        <w:rPr>
          <w:lang w:val="en-GB"/>
        </w:rPr>
        <w:t xml:space="preserve"> We explored in our analysis the impact that different RPP-mean datasets may have on the results of analysis, with a particular focus on the inclusion of entomophilous taxa and through experimentation with taxa that have very different values depending on the environment from which they derive. This is the case </w:t>
      </w:r>
      <w:proofErr w:type="gramStart"/>
      <w:r>
        <w:rPr>
          <w:lang w:val="en-GB"/>
        </w:rPr>
        <w:t>in particular for</w:t>
      </w:r>
      <w:proofErr w:type="gramEnd"/>
      <w:r>
        <w:rPr>
          <w:lang w:val="en-GB"/>
        </w:rPr>
        <w:t xml:space="preserve"> Ericaceae (see Appendix B, Table A1), which, to date, has only two extreme values available. The first, from central Sweden, is 0.07 </w:t>
      </w:r>
      <w:r>
        <w:rPr>
          <w:rStyle w:val="FootnoteReference"/>
          <w:color w:val="auto"/>
          <w:lang w:val="en-GB"/>
        </w:rPr>
        <w:fldChar w:fldCharType="begin" w:fldLock="1"/>
      </w:r>
      <w:r>
        <w:rPr>
          <w:lang w:val="en-GB"/>
        </w:rPr>
        <w:instrText>ADDIN CSL_CITATION {"citationItems":[{"id":"ITEM-1","itemData":{"DOI":"10.1191/0959683604hl713rp","ISSN":"09596836","abstract":"Pollen productivity estimates (PPE) are one of the critical parameters for a quantitative reconstruction of past vegetation from fossil pollen records. Modern pollen and vegetation data were collected in traditional landscapes of southern Sweden to derive PPE for the most characteristic plant taxa. The 42 selected sites are assumed to be good analogues of historical to prehistorical grasslands. A sampling method of vegetation, designed to produce plant abundance data in different distance classes, allowed the use of distance-weighted plant abundance around the surface pollen sites. PPE for 11 herb taxa and Juniperus communis were estimated by extended R-value (ERV) models, using the distance-weighted plant abundance and surface pollen data. Results using three ERV submodels, data sets from open and semi-open landscapes, and two distance-weighting methods are generally consistent. The herb taxa analysed have higher PPE than Poaceae except Cyperaceae and Compositae (sub-family) Cichorioideae. Calluna vulgaris, Rumex acetosa type, Juniperus communis and Plantago lanceolata have the highest PPE. Most of the common tree taxa in the region produce 6-8 times as much pollen per unit area as Poaceae. The present set of PPE covers most of the common herb taxa of northwest Europe and will be useful for simulating pollen dispersal and deposition in heterogeneous landscapes of open and forested vegetation, which will help in future research project design and in the interpretation of fossil data.","author":[{"dropping-particle":"","family":"Broström","given":"Anna","non-dropping-particle":"","parse-names":false,"suffix":""},{"dropping-particle":"","family":"Sugita","given":"Shinya","non-dropping-particle":"","parse-names":false,"suffix":""},{"dropping-particle":"","family":"Gaillard","given":"Marie José","non-dropping-particle":"","parse-names":false,"suffix":""}],"container-title":"Holocene","id":"ITEM-1","issue":"3","issued":{"date-parts":[["2004","5"]]},"page":"368-381","title":"Pollen productivity estimates for the reconstruction of past vegetation cover in the cultural landscape of southern Sweden","type":"article-journal","volume":"14"},"uris":["http://www.mendeley.com/documents/?uuid=666c02eb-913c-3d94-85c3-6c7ef256255f"]}],"mendeley":{"formattedCitation":"&lt;sup&gt;[39]&lt;/sup&gt;","manualFormatting":"[76]","plainTextFormattedCitation":"[39]","previouslyFormattedCitation":"(Broström et al., 2004)"},"properties":{"noteIndex":0},"schema":"https://github.com/citation-style-language/schema/raw/master/csl-citation.json"}</w:instrText>
      </w:r>
      <w:r>
        <w:rPr>
          <w:rStyle w:val="FootnoteReference"/>
          <w:color w:val="auto"/>
          <w:lang w:val="en-GB"/>
        </w:rPr>
        <w:fldChar w:fldCharType="separate"/>
      </w:r>
      <w:r>
        <w:rPr>
          <w:noProof/>
          <w:lang w:val="en-GB"/>
        </w:rPr>
        <w:t>[75]</w:t>
      </w:r>
      <w:r>
        <w:rPr>
          <w:rStyle w:val="FootnoteReference"/>
          <w:color w:val="auto"/>
          <w:lang w:val="en-GB"/>
        </w:rPr>
        <w:fldChar w:fldCharType="end"/>
      </w:r>
      <w:r>
        <w:rPr>
          <w:color w:val="auto"/>
          <w:lang w:val="en-GB"/>
        </w:rPr>
        <w:t>,</w:t>
      </w:r>
      <w:r>
        <w:rPr>
          <w:lang w:val="en-GB"/>
        </w:rPr>
        <w:t xml:space="preserve"> and the second one from Mediterranean France of 4.265 </w:t>
      </w:r>
      <w:r>
        <w:rPr>
          <w:lang w:val="en-GB"/>
        </w:rPr>
        <w:fldChar w:fldCharType="begin" w:fldLock="1"/>
      </w:r>
      <w:r>
        <w:rPr>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w:instrText>
      </w:r>
      <w:r>
        <w:rPr>
          <w:rFonts w:cs="Palatino Linotype"/>
          <w:lang w:val="en-GB"/>
        </w:rPr>
        <w:instrText>”</w:instrText>
      </w:r>
      <w:r>
        <w:rPr>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plainTextFormattedCitation":"[28]","previouslyFormattedCitation":"(Githumbi et al., 2022)"},"properties":{"noteIndex":0},"schema":"https://github.com/citation-style-language/schema/raw/master/csl-citation.json"}</w:instrText>
      </w:r>
      <w:r>
        <w:rPr>
          <w:lang w:val="en-GB"/>
        </w:rPr>
        <w:fldChar w:fldCharType="separate"/>
      </w:r>
      <w:r>
        <w:rPr>
          <w:noProof/>
          <w:lang w:val="en-GB"/>
        </w:rPr>
        <w:t>[31]</w:t>
      </w:r>
      <w:r>
        <w:rPr>
          <w:lang w:val="en-GB"/>
        </w:rPr>
        <w:fldChar w:fldCharType="end"/>
      </w:r>
      <w:r>
        <w:rPr>
          <w:lang w:val="en-GB"/>
        </w:rPr>
        <w:t>, all values are relative to Poaceae.</w:t>
      </w:r>
    </w:p>
    <w:p w14:paraId="3985F57F" w14:textId="77777777" w:rsidR="004653D0" w:rsidRDefault="004653D0" w:rsidP="004653D0">
      <w:pPr>
        <w:pStyle w:val="MDPI31text"/>
        <w:rPr>
          <w:lang w:val="en-GB"/>
        </w:rPr>
      </w:pPr>
      <w:r>
        <w:rPr>
          <w:lang w:val="en-GB"/>
        </w:rPr>
        <w:t>The results of our analysis show that Gb-</w:t>
      </w:r>
      <w:proofErr w:type="spellStart"/>
      <w:r>
        <w:rPr>
          <w:lang w:val="en-GB"/>
        </w:rPr>
        <w:t>RVest</w:t>
      </w:r>
      <w:proofErr w:type="spellEnd"/>
      <w:r>
        <w:rPr>
          <w:lang w:val="en-GB"/>
        </w:rPr>
        <w:t xml:space="preserve"> is more sensitive to changes in RPP values (when the comparison sets have the same number of RPP taxa) than the addition of taxa. The addition of a larger number of entomophilous taxa did not significantly impact the overall results, despite REVEALS assuming that the major agent of pollen transport is wind </w:t>
      </w:r>
      <w:r>
        <w:rPr>
          <w:rStyle w:val="FootnoteReference"/>
          <w:rFonts w:cstheme="minorHAnsi"/>
          <w:color w:val="auto"/>
          <w:lang w:val="en-GB"/>
        </w:rPr>
        <w:fldChar w:fldCharType="begin" w:fldLock="1"/>
      </w:r>
      <w:r>
        <w:rPr>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8844359a-85f2-4f77-9886-de6fdfdf9daa"]}],"mendeley":{"formattedCitation":"&lt;sup&gt;[24]&lt;/sup&gt;","manualFormatting":"[27]","plainTextFormattedCitation":"[24]","previouslyFormattedCitation":"(Sugita, 2007a)"},"properties":{"noteIndex":0},"schema":"https://github.com/citation-style-language/schema/raw/master/csl-citation.json"}</w:instrText>
      </w:r>
      <w:r>
        <w:rPr>
          <w:rStyle w:val="FootnoteReference"/>
          <w:rFonts w:cstheme="minorHAnsi"/>
          <w:color w:val="auto"/>
          <w:lang w:val="en-GB"/>
        </w:rPr>
        <w:fldChar w:fldCharType="separate"/>
      </w:r>
      <w:r>
        <w:rPr>
          <w:noProof/>
          <w:lang w:val="en-GB"/>
        </w:rPr>
        <w:t>[27]</w:t>
      </w:r>
      <w:r>
        <w:rPr>
          <w:rStyle w:val="FootnoteReference"/>
          <w:rFonts w:cstheme="minorHAnsi"/>
          <w:color w:val="auto"/>
          <w:lang w:val="en-GB"/>
        </w:rPr>
        <w:fldChar w:fldCharType="end"/>
      </w:r>
      <w:r>
        <w:rPr>
          <w:lang w:val="en-GB"/>
        </w:rPr>
        <w:t>. The main differences in Gb-</w:t>
      </w:r>
      <w:proofErr w:type="spellStart"/>
      <w:r>
        <w:rPr>
          <w:lang w:val="en-GB"/>
        </w:rPr>
        <w:t>RVest</w:t>
      </w:r>
      <w:proofErr w:type="spellEnd"/>
      <w:r>
        <w:rPr>
          <w:lang w:val="en-GB"/>
        </w:rPr>
        <w:t xml:space="preserve"> are found between runs using the RPPs.st1 and RPPs.st3 datasets (Figure 3), which are caused by differences in RPP values for 19 taxa (see Table 1). Experimentation using different </w:t>
      </w:r>
      <w:proofErr w:type="spellStart"/>
      <w:r>
        <w:rPr>
          <w:lang w:val="en-GB"/>
        </w:rPr>
        <w:t>RPPs.sts</w:t>
      </w:r>
      <w:proofErr w:type="spellEnd"/>
      <w:r>
        <w:rPr>
          <w:lang w:val="en-GB"/>
        </w:rPr>
        <w:t>, and careful comparison to modern forest cover data, has enabled us to test different values for the same taxa by observing which taxa are responsible for the over- or under-representation of the Gb-</w:t>
      </w:r>
      <w:proofErr w:type="spellStart"/>
      <w:r>
        <w:rPr>
          <w:lang w:val="en-GB"/>
        </w:rPr>
        <w:t>RVest</w:t>
      </w:r>
      <w:proofErr w:type="spellEnd"/>
      <w:r>
        <w:rPr>
          <w:lang w:val="en-GB"/>
        </w:rPr>
        <w:t xml:space="preserve">-LCTs. We have shown in our experimentation that uncertainty in RPPs for two challenging taxa (Ericaceae and </w:t>
      </w:r>
      <w:proofErr w:type="spellStart"/>
      <w:r>
        <w:rPr>
          <w:i/>
          <w:lang w:val="en-GB"/>
        </w:rPr>
        <w:t>Empetrum</w:t>
      </w:r>
      <w:proofErr w:type="spellEnd"/>
      <w:r>
        <w:rPr>
          <w:i/>
          <w:lang w:val="en-GB"/>
        </w:rPr>
        <w:t>)</w:t>
      </w:r>
      <w:r>
        <w:rPr>
          <w:lang w:val="en-GB"/>
        </w:rPr>
        <w:t xml:space="preserve"> has the greatest impact on our Gb-</w:t>
      </w:r>
      <w:proofErr w:type="spellStart"/>
      <w:r>
        <w:rPr>
          <w:lang w:val="en-GB"/>
        </w:rPr>
        <w:t>RVest</w:t>
      </w:r>
      <w:proofErr w:type="spellEnd"/>
      <w:r>
        <w:rPr>
          <w:lang w:val="en-GB"/>
        </w:rPr>
        <w:t>. This is mainly due to factors that influence the RPP values.</w:t>
      </w:r>
    </w:p>
    <w:p w14:paraId="6327EED0" w14:textId="77777777" w:rsidR="004653D0" w:rsidRDefault="004653D0" w:rsidP="004653D0">
      <w:pPr>
        <w:pStyle w:val="MDPI22heading2"/>
        <w:spacing w:before="240"/>
        <w:rPr>
          <w:rFonts w:cstheme="minorHAnsi"/>
          <w:lang w:val="en-GB"/>
        </w:rPr>
      </w:pPr>
      <w:r>
        <w:rPr>
          <w:lang w:val="en-GB"/>
        </w:rPr>
        <w:t>4.3. Challenging Taxa: Ericaceae and Empetrum</w:t>
      </w:r>
    </w:p>
    <w:p w14:paraId="0E018E10" w14:textId="77777777" w:rsidR="004653D0" w:rsidRDefault="004653D0" w:rsidP="004653D0">
      <w:pPr>
        <w:pStyle w:val="MDPI31text"/>
        <w:rPr>
          <w:lang w:val="en-GB"/>
        </w:rPr>
      </w:pPr>
      <w:r>
        <w:rPr>
          <w:lang w:val="en-GB"/>
        </w:rPr>
        <w:t xml:space="preserve">The pollen morphotype Ericaceae comprises a wide range of species with highly varied growth forms. Species growing in the Mediterranean area, such as </w:t>
      </w:r>
      <w:r>
        <w:rPr>
          <w:i/>
          <w:iCs/>
          <w:lang w:val="en-GB"/>
        </w:rPr>
        <w:t xml:space="preserve">Arbutus unedo </w:t>
      </w:r>
      <w:r>
        <w:rPr>
          <w:lang w:val="en-GB"/>
        </w:rPr>
        <w:t xml:space="preserve">and </w:t>
      </w:r>
      <w:r>
        <w:rPr>
          <w:i/>
          <w:lang w:val="en-GB"/>
        </w:rPr>
        <w:t xml:space="preserve">Erica arborea </w:t>
      </w:r>
      <w:r>
        <w:rPr>
          <w:rStyle w:val="FootnoteReference"/>
          <w:color w:val="auto"/>
          <w:lang w:val="en-GB"/>
        </w:rPr>
        <w:fldChar w:fldCharType="begin" w:fldLock="1"/>
      </w:r>
      <w:r>
        <w:rPr>
          <w:lang w:val="en-GB"/>
        </w:rPr>
        <w:instrText>ADDIN CSL_CITATION {"citationItems":[{"id":"ITEM-1","itemData":{"DOI":"10.1016/J.SCIENTA.2008.05.028","ISSN":"03044238","abstract":"These days, the strawberry tree (Arbutus unedo L.), which is a comparatively under-utilized fruit tree species, has attracted attention because of many different possible commercial usages such as for processed and fresh fruit production and ornamental, the pharmaceutical and chemical industrial applications. They are disappearing from the natural flora for many reasons such as their being cut down for fire-wood and structuring on natural vegetation. A selection program was carried out with the aim of selecting strawberry tree genotypes of high quality from the native strawberry tree population grown in the Central Black Sea Region of Turkey. A total of 51 genotypes were evaluated in the program, in 2003 and 2004. The aims of the selection program were focused on fruit pomological characteristics such as fruit weight, total soluble solid, acidity, fruit taste, stoniness, juiciness, roughness and appearance. The data regarding pomological characteristics was evaluated by the Weighted Rankit method. The highest overall score for the characteristics tested was from genotype 57A01 followed by 57A15, 57GÇ08, 57A22 and 57A07, respectively. Their fruit weight was 11.08, 6.17, 6.30, 6.95 and 8.06 g, respectively. TSS contents and acidity of them varied from 21.4 to 30.0% and 0.80 to 1.59%, respectively. Phenological characteristics such as first bloom, fruit set and harvest date and some other fruit, flower and leaf characteristics of selected A. unedo genotypes were also determined. Vitamin C content of the samples varied from 97.83 to 280.00 mg/100 g. Finally, five superior strawberry tree genotypes were selected from the samples we studied for extensive cultivation and thus they were also saved from extinction. © 2008 Elsevier B.V. All rights reserved.","author":[{"dropping-particle":"","family":"Celikel","given":"Gulay","non-dropping-particle":"","parse-names":false,"suffix":""},{"dropping-particle":"","family":"Demirsoy","given":"Leyla","non-dropping-particle":"","parse-names":false,"suffix":""},{"dropping-particle":"","family":"Demirsoy","given":"Husnu","non-dropping-particle":"","parse-names":false,"suffix":""}],"container-title":"Scientia Horticulturae","id":"ITEM-1","issue":"2","issued":{"date-parts":[["2008","9","16"]]},"page":"115-119","title":"The strawberry tree (Arbutus unedo L.) selection in Turkey","type":"article-journal","volume":"118"},"uris":["http://www.mendeley.com/documents/?uuid=8f802ce8-b96e-346b-a893-2b7fcb43c120"]},{"id":"ITEM-2","itemData":{"DOI":"10.2307/3235947","ISSN":"11009233","abstract":"Analysis of the seedling distribution of Erica arbórea and Arbutus unedo, two dominant plant species in the Corsican maquis, and of three tree species (Pinus mesogeensis, Quercus ilex and Quercus pubescens) with which they compete in a mosaic of successional habitats, has enabled the determination of the successional position of the two ericaceous species. Erica arbórea and Arbutus unedo are often considered to be pyro-phytes, but the distribution pattern of their seedlings, following either abandonment of cultivation or after fire, indicates that fire is unfavourable for their establishment. Field and laboratory studies of the germination of the two ericaceous species indicate that the absence of seedlings following fire is not due to the destruction of seeds by fire but due to the newly created environmental conditions. Erica arbórea invades sites abandoned after cultivation and has thus spread widely since the end ofthe last century. Arbutus unedo, the seeds of which are disseminated in bird droppings, has the ability to establish in denser vegetation, and thus appears to be a mid-successional species.","author":[{"dropping-particle":"","family":"Mesléard","given":"F.","non-dropping-particle":"","parse-names":false,"suffix":""},{"dropping-particle":"","family":"Lepart","given":"J.","non-dropping-particle":"","parse-names":false,"suffix":""}],"container-title":"Journal of Vegetation Science","id":"ITEM-2","issue":"2","issued":{"date-parts":[["1991","4"]]},"page":"155-164","publisher":"Wiley","title":" Germination and seedling dynamics of Arbutus unedo and Erica arbórea on Corsica ","type":"article-journal","volume":"2"},"uris":["http://www.mendeley.com/documents/?uuid=abc503d7-4f7e-323a-9e3c-50aee0765606"]},{"id":"ITEM-3","itemData":{"DOI":"10.2307/2256613","ISSN":"00220477","abstract":"This book continues as volume 2 of a multi-compendium on Edible Medicinal and Non-Medicinal Plants. It covers edible fruits/seeds used fresh or processed, as vegetables, spices, stimulants, pulses, edible oils and beverages. It encompasses species from the following families: Clusiaceae, Combretaceae, Cucurbitaceae, Dilleniaceae, Ebenaceae, Euphorbiaceae, Ericaceae and Fabaceae. This work will be of significant interest to scientists, researchers, medical practitioners, pharmacologists, ethnobotanists, horticulturists, food nutritionists, agriculturists, botanists, herbalogists, conservationists, teachers, lecturers, students and the general public. Topics covered include: taxonomy (botanical name and synonyms); common English and vernacular names; origin and distribution; agro-ecological requirements; edible plant part and uses; botany; nutritive and medicinal/pharmacological properties, medicinal uses and current research findings; non-edible uses; and selected/cited references.","author":[{"dropping-particle":"","family":"Sealy","given":"J. Robert","non-dropping-particle":"","parse-names":false,"suffix":""}],"container-title":"The Journal of Ecology","id":"ITEM-3","issue":"2","issued":{"date-parts":[["1949","12"]]},"page":"365","publisher":"JSTOR","title":"Arbutus Unedo","type":"article-journal","volume":"37"},"uris":["http://www.mendeley.com/documents/?uuid=b3bd504c-1889-315f-9994-0ee100656f4c"]},{"id":"ITEM-4","itemData":{"ISSN":"02144565","abstract":"Two hybrids of genus Erica L. are recorded from northwest Spain. Erica x stuartii (MacFarl.) Mast. (E. tetralix L. x E. mackaiana Bab.) is recorded from Aranga (A Coruña, NW Spain). Hitherto this hybrid was only known from Ireland and Asturias (N Spain). Erica x veitchii Bean (E. arborea L. x E. lusitanica Rudolphi) is recorded from Asturias for first time in the wild. E. lusitanica corresponds to the recently described subspecies cantabrica Fagúndez &amp; Izco, therefore a new name for the nothosubspecies is proposed: E. x veitchii nothosubsp. asturica nothosubsp. nov.","author":[{"dropping-particle":"","family":"Fagúndez","given":"Jaime","non-dropping-particle":"","parse-names":false,"suffix":""}],"container-title":"Botanica Complutensis","id":"ITEM-4","issued":{"date-parts":[["2006"]]},"page":"131-135","title":"Two wild hybrids of Erica L. (Ericaceae) from northwest Spain","type":"article-journal","volume":"30"},"uris":["http://www.mendeley.com/documents/?uuid=a62bdcc9-4123-42f0-a9ad-721a2b05c53e"]}],"mendeley":{"formattedCitation":"&lt;sup&gt;[77–80]&lt;/sup&gt;","plainTextFormattedCitation":"[77–80]","previouslyFormattedCitation":"(Celikel et al., 2008; Fagúndez, 2006; Mesléard &amp; Lepart, 1991; Sealy, 1949)"},"properties":{"noteIndex":0},"schema":"https://github.com/citation-style-language/schema/raw/master/csl-citation.json"}</w:instrText>
      </w:r>
      <w:r>
        <w:rPr>
          <w:rStyle w:val="FootnoteReference"/>
          <w:color w:val="auto"/>
          <w:lang w:val="en-GB"/>
        </w:rPr>
        <w:fldChar w:fldCharType="separate"/>
      </w:r>
      <w:r>
        <w:rPr>
          <w:bCs/>
          <w:noProof/>
        </w:rPr>
        <w:t>[76–79]</w:t>
      </w:r>
      <w:r>
        <w:rPr>
          <w:rStyle w:val="FootnoteReference"/>
          <w:color w:val="auto"/>
          <w:lang w:val="en-GB"/>
        </w:rPr>
        <w:fldChar w:fldCharType="end"/>
      </w:r>
      <w:r>
        <w:rPr>
          <w:i/>
          <w:lang w:val="en-GB"/>
        </w:rPr>
        <w:t xml:space="preserve">, </w:t>
      </w:r>
      <w:r>
        <w:rPr>
          <w:iCs/>
          <w:lang w:val="en-GB"/>
        </w:rPr>
        <w:t>can grow as shrubs up to 5 m in height and have a large number of inflorescences</w:t>
      </w:r>
      <w:r>
        <w:rPr>
          <w:lang w:val="en-GB"/>
        </w:rPr>
        <w:t xml:space="preserve"> </w:t>
      </w:r>
      <w:r>
        <w:rPr>
          <w:lang w:val="en-GB"/>
        </w:rPr>
        <w:fldChar w:fldCharType="begin" w:fldLock="1"/>
      </w:r>
      <w:r>
        <w:rPr>
          <w:lang w:val="en-GB"/>
        </w:rPr>
        <w:instrText>ADDIN CSL_CITATION {"citationItems":[{"id":"ITEM-1","itemData":{"author":[{"dropping-particle":"","family":"Bannister","given":"1965","non-dropping-particle":"","parse-names":false,"suffix":""}],"id":"ITEM-1","issue":"2","issued":{"date-parts":[["2016"]]},"page":"527-542","title":"Erica Cinerea L . Author ( s ): P . Bannister Published by : British Ecological Society Stable URL : http://www.jstor.org/stable/2257993","type":"article-journal","volume":"53"},"uris":["http://www.mendeley.com/documents/?uuid=5c961d00-3513-401e-b954-1b6224d4901d"]},{"id":"ITEM-2","itemData":{"ISSN":"02144565","abstract":"Two hybrids of genus Erica L. are recorded from northwest Spain. Erica x stuartii (MacFarl.) Mast. (E. tetralix L. x E. mackaiana Bab.) is recorded from Aranga (A Coruña, NW Spain). Hitherto this hybrid was only known from Ireland and Asturias (N Spain). Erica x veitchii Bean (E. arborea L. x E. lusitanica Rudolphi) is recorded from Asturias for first time in the wild. E. lusitanica corresponds to the recently described subspecies cantabrica Fagúndez &amp; Izco, therefore a new name for the nothosubspecies is proposed: E. x veitchii nothosubsp. asturica nothosubsp. nov.","author":[{"dropping-particle":"","family":"Fagúndez","given":"Jaime","non-dropping-particle":"","parse-names":false,"suffix":""}],"container-title":"Botanica Complutensis","id":"ITEM-2","issued":{"date-parts":[["2006"]]},"page":"131-135","title":"Two wild hybrids of Erica L. (Ericaceae) from northwest Spain","type":"article-journal","volume":"30"},"uris":["http://www.mendeley.com/documents/?uuid=a62bdcc9-4123-42f0-a9ad-721a2b05c53e"]}],"mendeley":{"formattedCitation":"&lt;sup&gt;[80, 81]&lt;/sup&gt;","manualFormatting":"[80,81]","plainTextFormattedCitation":"[80, 81]","previouslyFormattedCitation":"(Bannister, 2016; Fagúndez, 2006)"},"properties":{"noteIndex":0},"schema":"https://github.com/citation-style-language/schema/raw/master/csl-citation.json"}</w:instrText>
      </w:r>
      <w:r>
        <w:rPr>
          <w:lang w:val="en-GB"/>
        </w:rPr>
        <w:fldChar w:fldCharType="separate"/>
      </w:r>
      <w:r>
        <w:rPr>
          <w:noProof/>
          <w:lang w:val="en-GB"/>
        </w:rPr>
        <w:t>[79,80]</w:t>
      </w:r>
      <w:r>
        <w:rPr>
          <w:lang w:val="en-GB"/>
        </w:rPr>
        <w:fldChar w:fldCharType="end"/>
      </w:r>
      <w:r>
        <w:rPr>
          <w:lang w:val="en-GB"/>
        </w:rPr>
        <w:t xml:space="preserve">. Low-growth species are characteristic of central and northern Europe, e.g., </w:t>
      </w:r>
      <w:r>
        <w:rPr>
          <w:i/>
          <w:iCs/>
          <w:lang w:val="en-GB"/>
        </w:rPr>
        <w:t xml:space="preserve">Andromeda </w:t>
      </w:r>
      <w:proofErr w:type="spellStart"/>
      <w:r>
        <w:rPr>
          <w:i/>
          <w:iCs/>
          <w:lang w:val="en-GB"/>
        </w:rPr>
        <w:t>polifolia</w:t>
      </w:r>
      <w:proofErr w:type="spellEnd"/>
      <w:r>
        <w:rPr>
          <w:lang w:val="en-GB"/>
        </w:rPr>
        <w:t xml:space="preserve">, </w:t>
      </w:r>
      <w:r>
        <w:rPr>
          <w:i/>
          <w:iCs/>
          <w:lang w:val="en-GB"/>
        </w:rPr>
        <w:t xml:space="preserve">Erica cinerea, </w:t>
      </w:r>
      <w:r>
        <w:rPr>
          <w:lang w:val="en-GB"/>
        </w:rPr>
        <w:t xml:space="preserve">and </w:t>
      </w:r>
      <w:proofErr w:type="spellStart"/>
      <w:r>
        <w:rPr>
          <w:i/>
          <w:iCs/>
          <w:lang w:val="en-GB"/>
        </w:rPr>
        <w:t>Vaccinum</w:t>
      </w:r>
      <w:proofErr w:type="spellEnd"/>
      <w:r>
        <w:rPr>
          <w:i/>
          <w:iCs/>
          <w:lang w:val="en-GB"/>
        </w:rPr>
        <w:t xml:space="preserve"> </w:t>
      </w:r>
      <w:r>
        <w:rPr>
          <w:lang w:val="en-GB"/>
        </w:rPr>
        <w:t xml:space="preserve">spp. </w:t>
      </w:r>
      <w:r>
        <w:rPr>
          <w:rStyle w:val="FootnoteReference"/>
          <w:color w:val="auto"/>
          <w:lang w:val="en-GB"/>
        </w:rPr>
        <w:fldChar w:fldCharType="begin" w:fldLock="1"/>
      </w:r>
      <w:r>
        <w:rPr>
          <w:lang w:val="en-GB"/>
        </w:rPr>
        <w:instrText>ADDIN CSL_CITATION {"citationItems":[{"id":"ITEM-1","itemData":{"author":[{"dropping-particle":"","family":"Wood","given":"1961","non-dropping-particle":"","parse-names":false,"suffix":""}],"id":"ITEM-1","issue":"1","issued":{"date-parts":[["1976"]]},"page":"74-90","title":"THE GENERA OF GUTTIFERAE ( CLUSIACEAE ) IN THE SOUTHEASTERN UNITED STATES Author ( s ): Carroll E . Wood , Jr . and Preston Adams Published by : Arnold Arboretum of Harvard University Stable URL : https://www.jstor.org/stable/43794505 REFERENCES Linked re","type":"article-journal","volume":"57"},"uris":["http://www.mendeley.com/documents/?uuid=fc034c63-995f-4d02-9c09-643c290b472d"]},{"id":"ITEM-2","itemData":{"abstract":"Using experimental manipulations, I examined if pollen quality affected h i t and seed production in five ericaceous understory shrubs in a coniferous forest in central Sweden. Flowers of Vaccinium myrtillus L., Vacciniurn uliginosum L., Vaccinium vitis-idaea L., Vaccinium oxycoccos Gil., and Andromeda polifolia L. were (treatment 1) open-pollinated, (treatment 2) bagged without further treatment, (treatment 3) bagged and self-pollinated, (treatment 4) cross-pollinated with pollen from neighbouring plants, or (treatment 5) supplied with pollen from distant plants. Finally, flowers were (treatment 6) open-pollinated with a supply of extra pollen of distant origin. To investigate pollen or resource limitations to h i t and seed production, V. vitis-idaea was subjected to partial flower removal followed by open-and hand-pollination. Fruit and seed set were estimated for each treatment. The main conclusion is that natural levels of outcrossing are sufficiently high for full seed production and that the availability of pollen is not limiting in natural habitats. There were significant reductions in h i t md seed set after self-pollination in V. myrtillus. Fruit set was reduced in V* vitis-iduea, and V* uliginosum failed to set fruit after self-pollination. Self-pollination caused a decreased s a d set in A. polifolia. There was no significant variation across treatments in V. oxycoccos. Since fruits tend to develop regardless of seed number, resources are likely to limit seed production in species with costly h i t s .","author":[{"dropping-particle":"","family":"Froborg","given":"1996","non-dropping-particle":"","parse-names":false,"suffix":""}],"id":"ITEM-2","issue":"Reader 1977","issued":{"date-parts":[["1985"]]},"title":"Pollination and seed production in five boreal species of bccinium and Andromeda ( Ericaceae )","type":"article-journal"},"uris":["http://www.mendeley.com/documents/?uuid=802c9559-471f-45f0-9637-9d64385072c0"]}],"mendeley":{"formattedCitation":"&lt;sup&gt;[82, 83]&lt;/sup&gt;","manualFormatting":"[84,85]","plainTextFormattedCitation":"[82, 83]","previouslyFormattedCitation":"(Froborg, 1985; Wood, 1976)"},"properties":{"noteIndex":0},"schema":"https://github.com/citation-style-language/schema/raw/master/csl-citation.json"}</w:instrText>
      </w:r>
      <w:r>
        <w:rPr>
          <w:rStyle w:val="FootnoteReference"/>
          <w:color w:val="auto"/>
          <w:lang w:val="en-GB"/>
        </w:rPr>
        <w:fldChar w:fldCharType="separate"/>
      </w:r>
      <w:r>
        <w:rPr>
          <w:bCs/>
          <w:noProof/>
        </w:rPr>
        <w:t>[81,82]</w:t>
      </w:r>
      <w:r>
        <w:rPr>
          <w:rStyle w:val="FootnoteReference"/>
          <w:color w:val="auto"/>
          <w:lang w:val="en-GB"/>
        </w:rPr>
        <w:fldChar w:fldCharType="end"/>
      </w:r>
      <w:r>
        <w:rPr>
          <w:lang w:val="en-GB"/>
        </w:rPr>
        <w:t xml:space="preserve">. The observed </w:t>
      </w:r>
      <w:r>
        <w:rPr>
          <w:lang w:val="en-GB"/>
        </w:rPr>
        <w:lastRenderedPageBreak/>
        <w:t>variability in RPP values (4.265 in the Mediterranean, used in RPPs.st1, and 0.07 in central Sweden, used in RPPs.st3) is most likely a result of both growth form and the number of inflorescences. The use of the higher value (RPPs.st1) led to the under-representation of Ericaceae in Gb-</w:t>
      </w:r>
      <w:proofErr w:type="spellStart"/>
      <w:r>
        <w:rPr>
          <w:lang w:val="en-GB"/>
        </w:rPr>
        <w:t>RVest</w:t>
      </w:r>
      <w:proofErr w:type="spellEnd"/>
      <w:r>
        <w:rPr>
          <w:lang w:val="en-GB"/>
        </w:rPr>
        <w:t xml:space="preserve"> in central northern Europe (Figure 4). The lower value (RPPs.st3) resulted in an overrepresentation of Gb-</w:t>
      </w:r>
      <w:proofErr w:type="spellStart"/>
      <w:r>
        <w:rPr>
          <w:lang w:val="en-GB"/>
        </w:rPr>
        <w:t>RVest</w:t>
      </w:r>
      <w:proofErr w:type="spellEnd"/>
      <w:r>
        <w:rPr>
          <w:lang w:val="en-GB"/>
        </w:rPr>
        <w:t xml:space="preserve"> in the Mediterranean region (Figure 5). In the case of Ericaceae, we might employ two different values in different regions of Europe; however, it is not possible without independent climate data to use several different values for a single reconstruction because the extent of the Mediterranean biome is likely to have shifted during the Holocene </w:t>
      </w:r>
      <w:r>
        <w:rPr>
          <w:rStyle w:val="FootnoteReference"/>
          <w:color w:val="auto"/>
          <w:lang w:val="en-GB"/>
        </w:rPr>
        <w:fldChar w:fldCharType="begin" w:fldLock="1"/>
      </w:r>
      <w:r>
        <w:rPr>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w:instrText>
      </w:r>
      <w:r>
        <w:rPr>
          <w:rFonts w:cs="Palatino Linotype"/>
          <w:lang w:val="en-GB"/>
        </w:rPr>
        <w:instrText>”</w:instrText>
      </w:r>
      <w:r>
        <w:rPr>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manualFormatting":"[31]","plainTextFormattedCitation":"[28]","previouslyFormattedCitation":"(Githumbi et al., 2022)"},"properties":{"noteIndex":0},"schema":"https://github.com/citation-style-language/schema/raw/master/csl-citation.json"}</w:instrText>
      </w:r>
      <w:r>
        <w:rPr>
          <w:rStyle w:val="FootnoteReference"/>
          <w:color w:val="auto"/>
          <w:lang w:val="en-GB"/>
        </w:rPr>
        <w:fldChar w:fldCharType="separate"/>
      </w:r>
      <w:r>
        <w:rPr>
          <w:noProof/>
          <w:lang w:val="en-GB"/>
        </w:rPr>
        <w:t>[31]</w:t>
      </w:r>
      <w:r>
        <w:rPr>
          <w:rStyle w:val="FootnoteReference"/>
          <w:color w:val="auto"/>
          <w:lang w:val="en-GB"/>
        </w:rPr>
        <w:fldChar w:fldCharType="end"/>
      </w:r>
      <w:r>
        <w:rPr>
          <w:lang w:val="en-GB"/>
        </w:rPr>
        <w:t>.</w:t>
      </w:r>
    </w:p>
    <w:p w14:paraId="6CB3AFE3" w14:textId="77777777" w:rsidR="004653D0" w:rsidRDefault="004653D0" w:rsidP="004653D0">
      <w:pPr>
        <w:pStyle w:val="MDPI31text"/>
        <w:rPr>
          <w:rFonts w:cstheme="minorHAnsi"/>
        </w:rPr>
      </w:pPr>
      <w:r>
        <w:rPr>
          <w:lang w:val="en-GB"/>
        </w:rPr>
        <w:t xml:space="preserve">The overrepresentation of </w:t>
      </w:r>
      <w:proofErr w:type="spellStart"/>
      <w:r>
        <w:rPr>
          <w:i/>
          <w:iCs/>
          <w:lang w:val="en-GB"/>
        </w:rPr>
        <w:t>Empetrum</w:t>
      </w:r>
      <w:proofErr w:type="spellEnd"/>
      <w:r>
        <w:rPr>
          <w:i/>
          <w:iCs/>
          <w:lang w:val="en-GB"/>
        </w:rPr>
        <w:t xml:space="preserve"> </w:t>
      </w:r>
      <w:r>
        <w:rPr>
          <w:lang w:val="en-GB"/>
        </w:rPr>
        <w:t xml:space="preserve">in Gb-Rvest-ET.st2 in North Europe, mainly in the British Isles, has similar causes as those for Ericaceae. </w:t>
      </w:r>
      <w:r>
        <w:rPr>
          <w:rFonts w:cstheme="minorHAnsi"/>
          <w:lang w:val="en-GB"/>
        </w:rPr>
        <w:t xml:space="preserve">The abundance of </w:t>
      </w:r>
      <w:proofErr w:type="spellStart"/>
      <w:r>
        <w:rPr>
          <w:rFonts w:cstheme="minorHAnsi"/>
          <w:i/>
          <w:lang w:val="en-GB"/>
        </w:rPr>
        <w:t>Empetrum</w:t>
      </w:r>
      <w:proofErr w:type="spellEnd"/>
      <w:r>
        <w:rPr>
          <w:rFonts w:cstheme="minorHAnsi"/>
          <w:lang w:val="en-GB"/>
        </w:rPr>
        <w:t xml:space="preserve"> in some grid cells may reflect the habitat of the species; the type of basin type (lake or bog) may also play a role. </w:t>
      </w:r>
      <w:proofErr w:type="spellStart"/>
      <w:r>
        <w:rPr>
          <w:rFonts w:cstheme="minorHAnsi"/>
          <w:i/>
          <w:lang w:val="en-GB"/>
        </w:rPr>
        <w:t>Empetrum</w:t>
      </w:r>
      <w:proofErr w:type="spellEnd"/>
      <w:r>
        <w:rPr>
          <w:rFonts w:cstheme="minorHAnsi"/>
          <w:lang w:val="en-GB"/>
        </w:rPr>
        <w:t xml:space="preserve"> is generally found in re</w:t>
      </w:r>
      <w:proofErr w:type="spellStart"/>
      <w:r>
        <w:rPr>
          <w:rFonts w:cstheme="minorHAnsi"/>
        </w:rPr>
        <w:t>gions</w:t>
      </w:r>
      <w:proofErr w:type="spellEnd"/>
      <w:r>
        <w:rPr>
          <w:rFonts w:cstheme="minorHAnsi"/>
        </w:rPr>
        <w:t xml:space="preserve"> with high rainfall at low altitudes in northwest England and at sea level in western Ireland, as shown by our results. </w:t>
      </w:r>
      <w:proofErr w:type="spellStart"/>
      <w:r>
        <w:rPr>
          <w:rFonts w:cstheme="minorHAnsi"/>
          <w:i/>
          <w:iCs/>
        </w:rPr>
        <w:t>Empetrum</w:t>
      </w:r>
      <w:proofErr w:type="spellEnd"/>
      <w:r>
        <w:rPr>
          <w:rFonts w:cstheme="minorHAnsi"/>
        </w:rPr>
        <w:t xml:space="preserve"> is most characteristic of </w:t>
      </w:r>
      <w:proofErr w:type="spellStart"/>
      <w:r>
        <w:rPr>
          <w:rFonts w:cstheme="minorHAnsi"/>
        </w:rPr>
        <w:t>ombrogenous</w:t>
      </w:r>
      <w:proofErr w:type="spellEnd"/>
      <w:r>
        <w:rPr>
          <w:rFonts w:cstheme="minorHAnsi"/>
        </w:rPr>
        <w:t xml:space="preserve"> bogs but is also present in some open pine and birch woodland </w:t>
      </w:r>
      <w:r>
        <w:rPr>
          <w:rStyle w:val="FootnoteReference"/>
          <w:rFonts w:cstheme="minorHAnsi"/>
          <w:color w:val="auto"/>
        </w:rPr>
        <w:fldChar w:fldCharType="begin" w:fldLock="1"/>
      </w:r>
      <w:r>
        <w:rPr>
          <w:rFonts w:cstheme="minorHAnsi"/>
        </w:rPr>
        <w:instrText>ADDIN CSL_CITATION {"citationItems":[{"id":"ITEM-1","itemData":{"author":[{"dropping-particle":"","family":"Bell","given":"J N B","non-dropping-particle":"","parse-names":false,"suffix":""},{"dropping-particle":"","family":"Tallis","given":"J H","non-dropping-particle":"","parse-names":false,"suffix":""}],"container-title":"Source: Journal of Ecology","id":"ITEM-1","issue":"1","issued":{"date-parts":[["1973"]]},"page":"289-305","title":"Empetrum Nigrum L.","type":"article-journal","volume":"61"},"uris":["http://www.mendeley.com/documents/?uuid=a77cf732-88d2-3cdd-b49b-f8a044a7e86f"]}],"mendeley":{"formattedCitation":"&lt;sup&gt;[84]&lt;/sup&gt;","plainTextFormattedCitation":"[84]","previouslyFormattedCitation":"(Bell &amp; Tallis, 1973)"},"properties":{"noteIndex":0},"schema":"https://github.com/citation-style-language/schema/raw/master/csl-citation.json"}</w:instrText>
      </w:r>
      <w:r>
        <w:rPr>
          <w:rStyle w:val="FootnoteReference"/>
          <w:rFonts w:cstheme="minorHAnsi"/>
          <w:color w:val="auto"/>
        </w:rPr>
        <w:fldChar w:fldCharType="separate"/>
      </w:r>
      <w:r>
        <w:rPr>
          <w:rFonts w:cstheme="minorHAnsi"/>
          <w:bCs/>
          <w:noProof/>
        </w:rPr>
        <w:t>[83]</w:t>
      </w:r>
      <w:r>
        <w:rPr>
          <w:rStyle w:val="FootnoteReference"/>
          <w:rFonts w:cstheme="minorHAnsi"/>
          <w:color w:val="auto"/>
        </w:rPr>
        <w:fldChar w:fldCharType="end"/>
      </w:r>
      <w:r>
        <w:rPr>
          <w:rFonts w:cstheme="minorHAnsi"/>
        </w:rPr>
        <w:t xml:space="preserve">: as a result, we are more likely to reconstruct greater land cover of </w:t>
      </w:r>
      <w:proofErr w:type="spellStart"/>
      <w:r>
        <w:rPr>
          <w:rFonts w:cstheme="minorHAnsi"/>
          <w:i/>
          <w:iCs/>
        </w:rPr>
        <w:t>Empetrum</w:t>
      </w:r>
      <w:proofErr w:type="spellEnd"/>
      <w:r>
        <w:rPr>
          <w:rFonts w:cstheme="minorHAnsi"/>
        </w:rPr>
        <w:t xml:space="preserve"> when bogs are used rather than lakes, and the same is probably true for Ericaceae.</w:t>
      </w:r>
    </w:p>
    <w:p w14:paraId="446F7A85" w14:textId="77777777" w:rsidR="004653D0" w:rsidRDefault="004653D0" w:rsidP="004653D0">
      <w:pPr>
        <w:pStyle w:val="MDPI31text"/>
      </w:pPr>
      <w:r>
        <w:t xml:space="preserve">Besides the different basin types, there are inherent characteristics of </w:t>
      </w:r>
      <w:proofErr w:type="spellStart"/>
      <w:r>
        <w:t>Ericaeae</w:t>
      </w:r>
      <w:proofErr w:type="spellEnd"/>
      <w:r>
        <w:t xml:space="preserve"> and </w:t>
      </w:r>
      <w:proofErr w:type="spellStart"/>
      <w:r>
        <w:rPr>
          <w:i/>
        </w:rPr>
        <w:t>Empetrum</w:t>
      </w:r>
      <w:proofErr w:type="spellEnd"/>
      <w:r>
        <w:rPr>
          <w:i/>
        </w:rPr>
        <w:t xml:space="preserve"> </w:t>
      </w:r>
      <w:r>
        <w:t xml:space="preserve">that may amplify the importance of heathland pollen taxa. The morphology of Ericaceae flowers (e.g., exserted stamens) as in </w:t>
      </w:r>
      <w:proofErr w:type="spellStart"/>
      <w:r>
        <w:rPr>
          <w:i/>
        </w:rPr>
        <w:t>Calluna</w:t>
      </w:r>
      <w:proofErr w:type="spellEnd"/>
      <w:r>
        <w:rPr>
          <w:i/>
        </w:rPr>
        <w:t xml:space="preserve"> vulgaris, Erica </w:t>
      </w:r>
      <w:proofErr w:type="spellStart"/>
      <w:r>
        <w:rPr>
          <w:i/>
        </w:rPr>
        <w:t>umbellata</w:t>
      </w:r>
      <w:proofErr w:type="spellEnd"/>
      <w:r>
        <w:rPr>
          <w:i/>
        </w:rPr>
        <w:t xml:space="preserve">, E. </w:t>
      </w:r>
      <w:proofErr w:type="spellStart"/>
      <w:r>
        <w:rPr>
          <w:i/>
        </w:rPr>
        <w:t>vagans</w:t>
      </w:r>
      <w:proofErr w:type="spellEnd"/>
      <w:r>
        <w:rPr>
          <w:i/>
        </w:rPr>
        <w:t xml:space="preserve">, </w:t>
      </w:r>
      <w:r>
        <w:rPr>
          <w:iCs/>
        </w:rPr>
        <w:t xml:space="preserve">and </w:t>
      </w:r>
      <w:r>
        <w:rPr>
          <w:i/>
        </w:rPr>
        <w:t xml:space="preserve">E. </w:t>
      </w:r>
      <w:proofErr w:type="spellStart"/>
      <w:r>
        <w:rPr>
          <w:i/>
        </w:rPr>
        <w:t>erigena</w:t>
      </w:r>
      <w:proofErr w:type="spellEnd"/>
      <w:r>
        <w:t xml:space="preserve"> can trigger anemophilous pollination and, therefore, a wider pattern of pollen dispersal. The buoyancy and hydrodynamic characteristics of the pollen shape of Ericaceae (i.e., tetragonal tetrads) may intensify transport by water (e.g., streams or surface runoff) with subsequent accumulation at the margin of the water body (in our case, lakes) </w:t>
      </w:r>
      <w:r>
        <w:fldChar w:fldCharType="begin" w:fldLock="1"/>
      </w:r>
      <w:r>
        <w:instrText>ADDIN CSL_CITATION {"citationItems":[{"id":"ITEM-1","itemData":{"DOI":"10.1016/j.revpalbo.2022.104765","ISSN":"00346667","abstract":"To determine whether modern pollen content in sediments from upland lake systems reflects the factual regional and extra-local vegetation composition, we analysed twenty-five samples focusing on aspects such as pond size and morphology, relative position in the catchment, local vegetation, canopy configuration and seasonality of the water table. The average pollen percentages of all sediment samples studied allows a fairly good reconstruction of the main vegetation units in the area, but major differences between the average samples obtained in each sedimentary system, and also between some samples taken from the same system are found. The main factors explaining those differences are the size of the pond, its tree canopy and the seasonality of the water table, which strongly determines the Ericaceae and Pinus percentages. A high-resolution multiproxy palaeoecological record from a small upland lake is re-evaluated in light of the new experimental evidence, and it is concluded that the interpretation of the importance of heathland and pinewoods in the Late Glacial landscape using pollen data may be magnified by the transport of both pollen types through water flows and their accumulation in the basin. Furthermore, anomalous Pinus pollen peaks occur in dry periods when the water table remains low. The sediment can also be depleted of some high-buoyancy pollen types (tetrads and saccate) when the water level is high and effluents are active. These effects may also be important in fluvio-marine systems in which Ericaceae and Pinus pollen are often overrepresented.","author":[{"dropping-particle":"","family":"Castro-Parada","given":"Alberto","non-dropping-particle":"","parse-names":false,"suffix":""},{"dropping-particle":"","family":"Muñoz Sobrino","given":"Castor","non-dropping-particle":"","parse-names":false,"suffix":""}],"container-title":"Review of Palaeobotany and Palynology","id":"ITEM-1","issued":{"date-parts":[["2022"]]},"title":"Variations in modern pollen distribution in sediments from nearby upland lakes: implications for the interpretation of paleoecological data","type":"article-journal","volume":"306"},"uris":["http://www.mendeley.com/documents/?uuid=54f4e1ac-daaa-4dcb-8080-a963c74f419e"]}],"mendeley":{"formattedCitation":"&lt;sup&gt;[85]&lt;/sup&gt;","plainTextFormattedCitation":"[85]","previouslyFormattedCitation":"(Castro-Parada &amp; Muñoz Sobrino, 2022)"},"properties":{"noteIndex":0},"schema":"https://github.com/citation-style-language/schema/raw/master/csl-citation.json"}</w:instrText>
      </w:r>
      <w:r>
        <w:fldChar w:fldCharType="separate"/>
      </w:r>
      <w:r>
        <w:rPr>
          <w:noProof/>
        </w:rPr>
        <w:t>[84]</w:t>
      </w:r>
      <w:r>
        <w:fldChar w:fldCharType="end"/>
      </w:r>
      <w:r>
        <w:t>. The combination of those factors can influence the relative abundance of Ericaceae pollen in sediments.</w:t>
      </w:r>
    </w:p>
    <w:p w14:paraId="03BC1F41" w14:textId="77777777" w:rsidR="004653D0" w:rsidRDefault="004653D0" w:rsidP="004653D0">
      <w:pPr>
        <w:spacing w:line="240" w:lineRule="auto"/>
        <w:jc w:val="left"/>
        <w:rPr>
          <w:rFonts w:eastAsia="Times New Roman"/>
          <w:i/>
          <w:snapToGrid w:val="0"/>
          <w:szCs w:val="22"/>
          <w:lang w:val="en-GB" w:eastAsia="de-DE" w:bidi="en-US"/>
        </w:rPr>
      </w:pPr>
      <w:r>
        <w:rPr>
          <w:rtl/>
          <w:lang w:val="en-GB"/>
        </w:rPr>
        <w:br w:type="page"/>
      </w:r>
    </w:p>
    <w:p w14:paraId="6307B968" w14:textId="77777777" w:rsidR="004653D0" w:rsidRDefault="004653D0" w:rsidP="004653D0">
      <w:pPr>
        <w:pStyle w:val="MDPI22heading2"/>
        <w:spacing w:before="240"/>
        <w:rPr>
          <w:lang w:val="en-GB"/>
        </w:rPr>
      </w:pPr>
      <w:r>
        <w:rPr>
          <w:lang w:val="en-GB"/>
        </w:rPr>
        <w:lastRenderedPageBreak/>
        <w:t>4.4. Importance of the Number of Pollen Records in Europe: Data Reliability</w:t>
      </w:r>
    </w:p>
    <w:p w14:paraId="3A60BED9" w14:textId="77777777" w:rsidR="004653D0" w:rsidRDefault="004653D0" w:rsidP="004653D0">
      <w:pPr>
        <w:pStyle w:val="MDPI31text"/>
        <w:rPr>
          <w:color w:val="auto"/>
          <w:lang w:val="en-GB"/>
        </w:rPr>
      </w:pPr>
      <w:r>
        <w:rPr>
          <w:color w:val="auto"/>
          <w:lang w:val="en-GB"/>
        </w:rPr>
        <w:t xml:space="preserve">The reliability (quality) of grid-based REVEALS estimates across the Holocene depends on three key elements: the number of pollen records used and their distribution in each grid cell; the type and size of pollen records; and the variation of these factors across time windows </w:t>
      </w:r>
      <w:r>
        <w:rPr>
          <w:rStyle w:val="FootnoteReference"/>
          <w:rFonts w:cstheme="minorHAnsi"/>
          <w:color w:val="auto"/>
          <w:lang w:val="en-GB"/>
        </w:rPr>
        <w:fldChar w:fldCharType="begin" w:fldLock="1"/>
      </w:r>
      <w:r>
        <w:rPr>
          <w:color w:val="auto"/>
          <w:lang w:val="en-GB"/>
        </w:rPr>
        <w:instrText>ADDIN CSL_CITATION {"citationItems":[{"id":"ITEM-1","itemData":{"DOI":"10.1111/gcb.12737","ISSN":"13652486","PMID":"25204435","abstract":"We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Biology","id":"ITEM-1","issue":"2","issued":{"date-parts":[["2015"]]},"page":"676-697","title":"Pollen-based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modelling","type":"article-journal","volume":"21"},"uris":["http://www.mendeley.com/documents/?uuid=302a955a-cfbf-40c5-84f7-2e6a230f9fe0"]},{"id":"ITEM-2","itemData":{"DOI":"10.5194/essd-14-1581-2022","ISSN":"1866-3516","abstract":"&lt;p&gt;&lt;![CDATA[Abstract.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 1</w:instrText>
      </w:r>
      <w:r>
        <w:rPr>
          <w:rFonts w:ascii="Cambria Math" w:hAnsi="Cambria Math" w:cs="Cambria Math"/>
          <w:color w:val="auto"/>
          <w:lang w:val="en-GB"/>
        </w:rPr>
        <w:instrText>∘</w:instrText>
      </w:r>
      <w:r>
        <w:rPr>
          <w:color w:val="auto"/>
          <w:lang w:val="en-GB"/>
        </w:rPr>
        <w:instrText xml:space="preserve"> spatial scale using the </w:instrText>
      </w:r>
      <w:r>
        <w:rPr>
          <w:rFonts w:cs="Palatino Linotype"/>
          <w:color w:val="auto"/>
          <w:lang w:val="en-GB"/>
        </w:rPr>
        <w:instrText>“</w:instrText>
      </w:r>
      <w:r>
        <w:rPr>
          <w:color w:val="auto"/>
          <w:lang w:val="en-GB"/>
        </w:rPr>
        <w:instrText>Regional Estimates of VEgetation Abundance from Large Sites</w:instrText>
      </w:r>
      <w:r>
        <w:rPr>
          <w:rFonts w:cs="Palatino Linotype"/>
          <w:color w:val="auto"/>
          <w:lang w:val="en-GB"/>
        </w:rPr>
        <w:instrText>”</w:instrText>
      </w:r>
      <w:r>
        <w:rPr>
          <w:color w:val="auto"/>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N, 25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W</w:instrText>
      </w:r>
      <w:r>
        <w:rPr>
          <w:rFonts w:cs="Palatino Linotype"/>
          <w:color w:val="auto"/>
          <w:lang w:val="en-GB"/>
        </w:rPr>
        <w:instrText>–</w:instrText>
      </w:r>
      <w:r>
        <w:rPr>
          <w:color w:val="auto"/>
          <w:lang w:val="en-GB"/>
        </w:rPr>
        <w:instrText>50</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Data","id":"ITEM-2","issue":"4","issued":{"date-parts":[["2022","4","8"]]},"page":"1581-1619","title":"European pollen-based REVEALS land-cover reconstructions for the Holocene: methodology, mapping and potentials","type":"article-journal","volume":"14"},"uris":["http://www.mendeley.com/documents/?uuid=a3aa2c66-dc24-3563-953d-fabb33741ce8"]}],"mendeley":{"formattedCitation":"&lt;sup&gt;[27, 28]&lt;/sup&gt;","manualFormatting":"[31,33]","plainTextFormattedCitation":"[27, 28]","previouslyFormattedCitation":"(Githumbi et al., 2022; Trondman et al., 2015a)"},"properties":{"noteIndex":0},"schema":"https://github.com/citation-style-language/schema/raw/master/csl-citation.json"}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[31,33]</w:t>
      </w:r>
      <w:r>
        <w:rPr>
          <w:rStyle w:val="FootnoteReference"/>
          <w:rFonts w:cstheme="minorHAnsi"/>
          <w:color w:val="auto"/>
          <w:lang w:val="en-GB"/>
        </w:rPr>
        <w:fldChar w:fldCharType="end"/>
      </w:r>
      <w:r>
        <w:rPr>
          <w:color w:val="auto"/>
          <w:lang w:val="en-GB"/>
        </w:rPr>
        <w:t xml:space="preserve">. The REVEALS model was developed to reconstruct regional vegetation abundance using pollen data from large lakes (&gt;100–500 ha) </w:t>
      </w:r>
      <w:r>
        <w:rPr>
          <w:rStyle w:val="FootnoteReference"/>
          <w:color w:val="auto"/>
          <w:lang w:val="en-GB"/>
        </w:rPr>
        <w:fldChar w:fldCharType="begin" w:fldLock="1"/>
      </w:r>
      <w:r>
        <w:rPr>
          <w:color w:val="auto"/>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8844359a-85f2-4f77-9886-de6fdfdf9daa"]}],"mendeley":{"formattedCitation":"&lt;sup&gt;[24]&lt;/sup&gt;","plainTextFormattedCitation":"[24]","previouslyFormattedCitation":"(Sugita, 2007a)"},"properties":{"noteIndex":0},"schema":"https://github.com/citation-style-language/schema/raw/master/csl-citation.json"}</w:instrText>
      </w:r>
      <w:r>
        <w:rPr>
          <w:rStyle w:val="FootnoteReference"/>
          <w:color w:val="auto"/>
          <w:lang w:val="en-GB"/>
        </w:rPr>
        <w:fldChar w:fldCharType="separate"/>
      </w:r>
      <w:r>
        <w:rPr>
          <w:noProof/>
          <w:color w:val="auto"/>
          <w:lang w:val="en-GB"/>
        </w:rPr>
        <w:t>[27]</w:t>
      </w:r>
      <w:r>
        <w:rPr>
          <w:rStyle w:val="FootnoteReference"/>
          <w:color w:val="auto"/>
          <w:lang w:val="en-GB"/>
        </w:rPr>
        <w:fldChar w:fldCharType="end"/>
      </w:r>
      <w:r>
        <w:rPr>
          <w:color w:val="auto"/>
          <w:lang w:val="en-GB"/>
        </w:rPr>
        <w:t xml:space="preserve">. Studies using pollen records from the Czech Republic </w:t>
      </w:r>
      <w:r>
        <w:rPr>
          <w:rStyle w:val="FootnoteReference"/>
          <w:rFonts w:cstheme="minorHAnsi"/>
          <w:color w:val="auto"/>
          <w:lang w:val="en-GB"/>
        </w:rPr>
        <w:fldChar w:fldCharType="begin" w:fldLock="1"/>
      </w:r>
      <w:r>
        <w:rPr>
          <w:color w:val="auto"/>
          <w:lang w:val="en-GB"/>
        </w:rPr>
        <w:instrText>ADDIN CSL_CITATION {"citationItems":[{"id":"ITEM-1","itemData":{"DOI":"10.1016/j.revpalbo.2012.07.017","ISSN":"00346667","abstract":"REVEALS-based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Palynology","id":"ITEM-1","issued":{"date-parts":[["2012"]]},"page":"38-49","title":"Testing the effect of site selection and parameter setting on REVEALS-model estimates of plant abundance using the Czech Quaternary Palynological Database","type":"article-journal","volume":"187"},"uris":["http://www.mendeley.com/documents/?uuid=eb9dc5e8-934f-4d38-bbbb-4a9c9354df1e"]}],"mendeley":{"formattedCitation":"&lt;sup&gt;[25]&lt;/sup&gt;","manualFormatting":"[28]","plainTextFormattedCitation":"[25]","previouslyFormattedCitation":"(Mazier et al., 2012)"},"properties":{"noteIndex":0},"schema":"https://github.com/citation-style-language/schema/raw/master/csl-citation.json"}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[28]</w:t>
      </w:r>
      <w:r>
        <w:rPr>
          <w:rStyle w:val="FootnoteReference"/>
          <w:rFonts w:cstheme="minorHAnsi"/>
          <w:color w:val="auto"/>
          <w:lang w:val="en-GB"/>
        </w:rPr>
        <w:fldChar w:fldCharType="end"/>
      </w:r>
      <w:r>
        <w:rPr>
          <w:color w:val="auto"/>
          <w:lang w:val="en-GB"/>
        </w:rPr>
        <w:t xml:space="preserve">, Britain and Ireland </w:t>
      </w:r>
      <w:r>
        <w:rPr>
          <w:rStyle w:val="FootnoteReference"/>
          <w:rFonts w:cstheme="minorHAnsi"/>
          <w:color w:val="auto"/>
          <w:lang w:val="en-GB"/>
        </w:rPr>
        <w:fldChar w:fldCharType="begin" w:fldLock="1"/>
      </w:r>
      <w:r>
        <w:rPr>
          <w:color w:val="auto"/>
          <w:lang w:val="en-GB"/>
        </w:rPr>
        <w:instrText>ADDIN CSL_CITATION {"citationItems":[{"id":"ITEM-1","itemData":{"DOI":"10.1016/j.quascirev.2013.05.014","ISSN":"02773791","author":[{"dropping-particle":"","family":"Fyfe","given":"Ralph M.","non-dropping-particle":"","parse-names":false,"suffix":""},{"dropping-particle":"","family":"Twiddle","given":"Claire","non-dropping-particle":"","parse-names":false,"suffix":""},{"dropping-particle":"","family":"Sugita","given":"Shinya","non-dropping-particle":"","parse-names":false,"suffix":""},{"dropping-particle":"","family":"Gaillard","given":"Marie-José","non-dropping-particle":"","parse-names":false,"suffix":""},{"dropping-particle":"","family":"Barratt","given":"Philip","non-dropping-particle":"","parse-names":false,"suffix":""},{"dropping-particle":"","family":"Caseldine","given":"Christopher J.","non-dropping-particle":"","parse-names":false,"suffix":""},{"dropping-particle":"","family":"Dodson","given":"John","non-dropping-particle":"","parse-names":false,"suffix":""},{"dropping-particle":"","family":"Edwards","given":"Kevin J.","non-dropping-particle":"","parse-names":false,"suffix":""},{"dropping-particle":"","family":"Farrell","given":"Michelle","non-dropping-particle":"","parse-names":false,"suffix":""},{"dropping-particle":"","family":"Froyd","given":"Cynthia","non-dropping-particle":"","parse-names":false,"suffix":""},{"dropping-particle":"","family":"Grant","given":"Michael J.","non-dropping-particle":"","parse-names":false,"suffix":""},{"dropping-particle":"","family":"Huckerby","given":"Elizabeth","non-dropping-particle":"","parse-names":false,"suffix":""},{"dropping-particle":"","family":"Innes","given":"James B.","non-dropping-particle":"","parse-names":false,"suffix":""},{"dropping-particle":"","family":"Shaw","given":"Helen","non-dropping-particle":"","parse-names":false,"suffix":""},{"dropping-particle":"","family":"Waller","given":"Martyn","non-dropping-particle":"","parse-names":false,"suffix":""}],"container-title":"Quaternary Science Reviews","id":"ITEM-1","issued":{"date-parts":[["2013","8"]]},"page":"132-148","title":"The Holocene vegetation cover of Britain and Ireland: overcoming problems of scale and discerning patterns of openness","type":"article-journal","volume":"73"},"uris":["http://www.mendeley.com/documents/?uuid=0aaad07e-9ff9-3bae-857e-aae93e519292"]}],"mendeley":{"formattedCitation":"&lt;sup&gt;[35]&lt;/sup&gt;","manualFormatting":"[29]","plainTextFormattedCitation":"[35]","previouslyFormattedCitation":"(Fyfe et al., 2013a)"},"properties":{"noteIndex":0},"schema":"https://github.com/citation-style-language/schema/raw/master/csl-citation.json"}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[29]</w:t>
      </w:r>
      <w:r>
        <w:rPr>
          <w:rStyle w:val="FootnoteReference"/>
          <w:rFonts w:cstheme="minorHAnsi"/>
          <w:color w:val="auto"/>
          <w:lang w:val="en-GB"/>
        </w:rPr>
        <w:fldChar w:fldCharType="end"/>
      </w:r>
      <w:r>
        <w:rPr>
          <w:color w:val="auto"/>
          <w:lang w:val="en-GB"/>
        </w:rPr>
        <w:t xml:space="preserve">, and southern Sweden </w:t>
      </w:r>
      <w:r>
        <w:rPr>
          <w:rStyle w:val="FootnoteReference"/>
          <w:rFonts w:cstheme="minorHAnsi"/>
          <w:color w:val="auto"/>
          <w:lang w:val="en-GB"/>
        </w:rPr>
        <w:fldChar w:fldCharType="begin" w:fldLock="1"/>
      </w:r>
      <w:r>
        <w:rPr>
          <w:color w:val="auto"/>
          <w:lang w:val="en-GB"/>
        </w:rPr>
        <w:instrText>ADDIN CSL_CITATION {"citationItems":[{"id":"ITEM-1","itemData":{"DOI":"10.1111/gcb.12737","ISSN":"13652486","PMID":"25204435","abstract":"We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Biology","id":"ITEM-1","issue":"2","issued":{"date-parts":[["2015"]]},"page":"676-697","title":"Pollen-based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mendeley":{"formattedCitation":"&lt;sup&gt;[27]&lt;/sup&gt;","manualFormatting":"[30]","plainTextFormattedCitation":"[27]","previouslyFormattedCitation":"(Trondman et al., 2015a)"},"properties":{"noteIndex":0},"schema":"https://github.com/citation-style-language/schema/raw/master/csl-citation.json"}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[30]</w:t>
      </w:r>
      <w:r>
        <w:rPr>
          <w:rStyle w:val="FootnoteReference"/>
          <w:rFonts w:cstheme="minorHAnsi"/>
          <w:color w:val="auto"/>
          <w:lang w:val="en-GB"/>
        </w:rPr>
        <w:fldChar w:fldCharType="end"/>
      </w:r>
      <w:r>
        <w:rPr>
          <w:color w:val="auto"/>
          <w:lang w:val="en-GB"/>
        </w:rPr>
        <w:t xml:space="preserve"> have shown that REVEALS estimates based on pollen records from 2 to 3 small sites (&lt;50 ha) are similar to REVEALS estimates based on pollen records from large lakes. The minimum number of small sites required to obtain reliable outcomes is difficult to define </w:t>
      </w:r>
      <w:r>
        <w:rPr>
          <w:rStyle w:val="FootnoteReference"/>
          <w:rFonts w:cstheme="minorHAnsi"/>
          <w:color w:val="auto"/>
          <w:lang w:val="en-GB"/>
        </w:rPr>
        <w:fldChar w:fldCharType="begin" w:fldLock="1"/>
      </w:r>
      <w:r>
        <w:rPr>
          <w:color w:val="auto"/>
          <w:lang w:val="en-GB"/>
        </w:rPr>
        <w:instrText>ADDIN CSL_CITATION {"citationItems":[{"id":"ITEM-1","itemData":{"DOI":"10.1111/gcb.12737","ISSN":"13652486","PMID":"25204435","abstract":"We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Biology","id":"ITEM-1","issue":"2","issued":{"date-parts":[["2015"]]},"page":"676-697","title":"Pollen-based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mendeley":{"formattedCitation":"&lt;sup&gt;[27]&lt;/sup&gt;","manualFormatting":"[33]","plainTextFormattedCitation":"[27]","previouslyFormattedCitation":"(Trondman et al., 2015a)"},"properties":{"noteIndex":0},"schema":"https://github.com/citation-style-language/schema/raw/master/csl-citation.json"}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[33]</w:t>
      </w:r>
      <w:r>
        <w:rPr>
          <w:rStyle w:val="FootnoteReference"/>
          <w:rFonts w:cstheme="minorHAnsi"/>
          <w:color w:val="auto"/>
          <w:lang w:val="en-GB"/>
        </w:rPr>
        <w:fldChar w:fldCharType="end"/>
      </w:r>
      <w:r>
        <w:rPr>
          <w:color w:val="auto"/>
          <w:lang w:val="en-GB"/>
        </w:rPr>
        <w:t xml:space="preserve">. In this study, we used the “protocol of reliability” proposed earlier </w:t>
      </w:r>
      <w:r>
        <w:rPr>
          <w:rStyle w:val="FootnoteReference"/>
          <w:color w:val="auto"/>
          <w:lang w:val="en-GB"/>
        </w:rPr>
        <w:fldChar w:fldCharType="begin" w:fldLock="1"/>
      </w:r>
      <w:r>
        <w:rPr>
          <w:color w:val="auto"/>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color w:val="auto"/>
          <w:lang w:val="en-GB"/>
        </w:rPr>
        <w:instrText>∘</w:instrText>
      </w:r>
      <w:r>
        <w:rPr>
          <w:rFonts w:cs="Palatino Linotype"/>
          <w:color w:val="auto"/>
          <w:lang w:val="en-GB"/>
        </w:rPr>
        <w:instrText> × </w:instrText>
      </w:r>
      <w:r>
        <w:rPr>
          <w:color w:val="auto"/>
          <w:lang w:val="en-GB"/>
        </w:rPr>
        <w:instrText>1</w:instrText>
      </w:r>
      <w:r>
        <w:rPr>
          <w:rFonts w:ascii="Cambria Math" w:hAnsi="Cambria Math" w:cs="Cambria Math"/>
          <w:color w:val="auto"/>
          <w:lang w:val="en-GB"/>
        </w:rPr>
        <w:instrText>∘</w:instrText>
      </w:r>
      <w:r>
        <w:rPr>
          <w:color w:val="auto"/>
          <w:lang w:val="en-GB"/>
        </w:rPr>
        <w:instrText xml:space="preserve"> spatial scale using the </w:instrText>
      </w:r>
      <w:r>
        <w:rPr>
          <w:rFonts w:cs="Palatino Linotype"/>
          <w:color w:val="auto"/>
          <w:lang w:val="en-GB"/>
        </w:rPr>
        <w:instrText>“</w:instrText>
      </w:r>
      <w:r>
        <w:rPr>
          <w:color w:val="auto"/>
          <w:lang w:val="en-GB"/>
        </w:rPr>
        <w:instrText>Regional Estimates of VEgetation Abundance from Large Sites</w:instrText>
      </w:r>
      <w:r>
        <w:rPr>
          <w:rFonts w:cs="Palatino Linotype"/>
          <w:color w:val="auto"/>
          <w:lang w:val="en-GB"/>
        </w:rPr>
        <w:instrText>”</w:instrText>
      </w:r>
      <w:r>
        <w:rPr>
          <w:color w:val="auto"/>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N, 25</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W</w:instrText>
      </w:r>
      <w:r>
        <w:rPr>
          <w:rFonts w:cs="Palatino Linotype"/>
          <w:color w:val="auto"/>
          <w:lang w:val="en-GB"/>
        </w:rPr>
        <w:instrText>–</w:instrText>
      </w:r>
      <w:r>
        <w:rPr>
          <w:color w:val="auto"/>
          <w:lang w:val="en-GB"/>
        </w:rPr>
        <w:instrText>50</w:instrText>
      </w:r>
      <w:r>
        <w:rPr>
          <w:rFonts w:ascii="Cambria Math" w:hAnsi="Cambria Math" w:cs="Cambria Math"/>
          <w:color w:val="auto"/>
          <w:lang w:val="en-GB"/>
        </w:rPr>
        <w:instrText>∘</w:instrText>
      </w:r>
      <w:r>
        <w:rPr>
          <w:rFonts w:cs="Palatino Linotype"/>
          <w:color w:val="auto"/>
          <w:lang w:val="en-GB"/>
        </w:rPr>
        <w:instrText> </w:instrText>
      </w:r>
      <w:r>
        <w:rPr>
          <w:color w:val="auto"/>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manualFormatting":"[31]","plainTextFormattedCitation":"[28]","previouslyFormattedCitation":"(Githumbi et al., 2022)"},"properties":{"noteIndex":0},"schema":"https://github.com/citation-style-language/schema/raw/master/csl-citation.json"}</w:instrText>
      </w:r>
      <w:r>
        <w:rPr>
          <w:rStyle w:val="FootnoteReference"/>
          <w:color w:val="auto"/>
          <w:lang w:val="en-GB"/>
        </w:rPr>
        <w:fldChar w:fldCharType="separate"/>
      </w:r>
      <w:r>
        <w:rPr>
          <w:noProof/>
          <w:color w:val="auto"/>
          <w:lang w:val="en-GB"/>
        </w:rPr>
        <w:t>[31]</w:t>
      </w:r>
      <w:r>
        <w:rPr>
          <w:rStyle w:val="FootnoteReference"/>
          <w:color w:val="auto"/>
          <w:lang w:val="en-GB"/>
        </w:rPr>
        <w:fldChar w:fldCharType="end"/>
      </w:r>
      <w:r>
        <w:rPr>
          <w:color w:val="auto"/>
          <w:lang w:val="en-GB"/>
        </w:rPr>
        <w:t xml:space="preserve">, considering “reliable” the grid cells with one large lake or at least three small sites. Those grid cells with less than three small sites (lake or bog) or a large bog that violates assumptions of the model (i.e., no pollen-bearing plants grow on the sedimentary basin) were considered “unreliable” (Figure 1). The availability of pollen records from large sites in Europe remains limited, which means that the multiple small sites approach </w:t>
      </w:r>
      <w:r>
        <w:rPr>
          <w:rStyle w:val="FootnoteReference"/>
          <w:color w:val="auto"/>
          <w:lang w:val="en-GB"/>
        </w:rPr>
        <w:fldChar w:fldCharType="begin" w:fldLock="1"/>
      </w:r>
      <w:r>
        <w:rPr>
          <w:color w:val="auto"/>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8844359a-85f2-4f77-9886-de6fdfdf9daa"]}],"mendeley":{"formattedCitation":"&lt;sup&gt;[24]&lt;/sup&gt;","manualFormatting":"[27]","plainTextFormattedCitation":"[24]","previouslyFormattedCitation":"(Sugita, 2007a)"},"properties":{"noteIndex":0},"schema":"https://github.com/citation-style-language/schema/raw/master/csl-citation.json"}</w:instrText>
      </w:r>
      <w:r>
        <w:rPr>
          <w:rStyle w:val="FootnoteReference"/>
          <w:color w:val="auto"/>
          <w:lang w:val="en-GB"/>
        </w:rPr>
        <w:fldChar w:fldCharType="separate"/>
      </w:r>
      <w:r>
        <w:rPr>
          <w:noProof/>
          <w:color w:val="auto"/>
          <w:lang w:val="en-GB"/>
        </w:rPr>
        <w:t>[27]</w:t>
      </w:r>
      <w:r>
        <w:rPr>
          <w:rStyle w:val="FootnoteReference"/>
          <w:color w:val="auto"/>
          <w:lang w:val="en-GB"/>
        </w:rPr>
        <w:fldChar w:fldCharType="end"/>
      </w:r>
      <w:r>
        <w:rPr>
          <w:color w:val="auto"/>
          <w:lang w:val="en-GB"/>
        </w:rPr>
        <w:t xml:space="preserve"> had to be implemented to obtain a larger spatial density of REVEALS estimates across Europe.</w:t>
      </w:r>
    </w:p>
    <w:p w14:paraId="2C864C2C" w14:textId="77777777" w:rsidR="004653D0" w:rsidRDefault="004653D0" w:rsidP="004653D0">
      <w:pPr>
        <w:pStyle w:val="MDPI31text"/>
        <w:rPr>
          <w:lang w:val="en-GB"/>
        </w:rPr>
      </w:pPr>
      <w:r>
        <w:rPr>
          <w:lang w:val="en-GB"/>
        </w:rPr>
        <w:t>Through time, the reliability of an individual grid cell may change, as not all pollen sequences cover the whole Holocene. In this dataset,</w:t>
      </w:r>
      <w:r>
        <w:rPr>
          <w:rFonts w:cstheme="minorHAnsi"/>
          <w:lang w:val="en-GB"/>
        </w:rPr>
        <w:t xml:space="preserve"> 186 out of 539 grids are sufficiently reliable (Figure 1) because at least 50% of the time windows are based on large lakes or more than 3 small sites. A total of 62 grid cells are partly reliable as fewer than 50% of the time windows are based on reliable sites or groups of sites. A total of 291 grids are unreliable.</w:t>
      </w:r>
      <w:r>
        <w:rPr>
          <w:lang w:val="en-GB"/>
        </w:rPr>
        <w:t xml:space="preserve"> Caution should be applied when using REVEALS estimates from unreliable grid cells. These values may still represent regional vegetation if the vegetation in the grid cell was homogeneous in the past, but if the vegetation was heterogenous Gb-</w:t>
      </w:r>
      <w:proofErr w:type="spellStart"/>
      <w:r>
        <w:rPr>
          <w:lang w:val="en-GB"/>
        </w:rPr>
        <w:t>RVest</w:t>
      </w:r>
      <w:proofErr w:type="spellEnd"/>
      <w:r>
        <w:rPr>
          <w:lang w:val="en-GB"/>
        </w:rPr>
        <w:t xml:space="preserve"> from pollen sites that represent local vegetation cover are unlikely to wholly reflect regional vegetation.</w:t>
      </w:r>
    </w:p>
    <w:p w14:paraId="3724F672" w14:textId="77777777" w:rsidR="004653D0" w:rsidRDefault="004653D0" w:rsidP="004653D0">
      <w:pPr>
        <w:pStyle w:val="MDPI31text"/>
      </w:pPr>
      <w:r>
        <w:t>The precision of Gb-</w:t>
      </w:r>
      <w:proofErr w:type="spellStart"/>
      <w:r>
        <w:t>RVest</w:t>
      </w:r>
      <w:proofErr w:type="spellEnd"/>
      <w:r>
        <w:t xml:space="preserve"> is indicated by their SEs. Increasing the size of the pollen count for a time window results in </w:t>
      </w:r>
      <w:proofErr w:type="spellStart"/>
      <w:r>
        <w:t>RVest</w:t>
      </w:r>
      <w:proofErr w:type="spellEnd"/>
      <w:r>
        <w:t xml:space="preserve"> with a smaller SE </w:t>
      </w:r>
      <w:r>
        <w:rPr>
          <w:rStyle w:val="FootnoteReference"/>
          <w:color w:val="auto"/>
        </w:rPr>
        <w:fldChar w:fldCharType="begin" w:fldLock="1"/>
      </w:r>
      <w: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composition","type":"article-journal","volume":"17"},"uris":["http://www.mendeley.com/documents/?uuid=8844359a-85f2-4f77-9886-de6fdfdf9daa"]},{"id":"ITEM-2","itemData":{"DOI":"10.1111/gcb.12737","ISSN":"13652486","PMID":"25204435","abstract":"We present quantitative reconstructions of regional vegetation cover in north-western Europe, western Europe north of the Alps, and eastern Europe for five time windows in the Holocene [around 6k, 3k, 0.5k, 0.2k, and 0.05k calendar years before present (bp)] at a 1° × 1° spatial scale with the objective of producing vegetation descriptions suitable for climate modelling. The REVEALS model was applied on 636 pollen records from lakes and bogs to reconstruct the past cover of 25 plant taxa grouped into 10 plant-functional types and three land-cover types [evergreen trees, summer-green (deciduous) trees, and open land]. The model corrects for some of the biases in pollen percentages by using pollen productivity estimates and fall speeds of pollen, and by applying simple but robust models of pollen dispersal and deposition. The emerging patterns of tree migration and deforestation between 6k bp and modern time in the REVEALS estimates agree with our general understanding of the vegetation history of Europe based on pollen percentages. However, the degree of anthropogenic deforestation (i.e. cover of cultivated and grazing land) at 3k, 0.5k, and 0.2k bp is significantly higher than deduced from pollen percentages. This is also the case at 6k in some parts of Europe, in particular Britain and Ireland. Furthermore, the relationship between summer-green and evergreen trees, and between individual tree taxa, differs significantly when expressed as pollen percentages or as REVEALS estimates of tree cover. For instance, when Pinus is dominant over Picea as pollen percentages, Picea is dominant over Pinus as REVEALS estimates. These differences play a major role in the reconstruction of European landscapes and for the study of land cover-climate interactions, biodiversity and human resources.","author":[{"dropping-particle":"","family":"Trondman","given":"A. K.","non-dropping-particle":"","parse-names":false,"suffix":""},{"dropping-particle":"","family":"Gaillard","given":"M. J.","non-dropping-particle":"","parse-names":false,"suffix":""},{"dropping-particle":"","family":"Mazier","given":"F.","non-dropping-particle":"","parse-names":false,"suffix":""},{"dropping-particle":"","family":"Sugita","given":"S.","non-dropping-particle":"","parse-names":false,"suffix":""},{"dropping-particle":"","family":"Fyfe","given":"R.","non-dropping-particle":"","parse-names":false,"suffix":""},{"dropping-particle":"","family":"Nielsen","given":"A. B.","non-dropping-particle":"","parse-names":false,"suffix":""},{"dropping-particle":"","family":"Twiddle","given":"C.","non-dropping-particle":"","parse-names":false,"suffix":""},{"dropping-particle":"","family":"Barratt","given":"P.","non-dropping-particle":"","parse-names":false,"suffix":""},{"dropping-particle":"","family":"Birks","given":"H. J.B.","non-dropping-particle":"","parse-names":false,"suffix":""},{"dropping-particle":"","family":"Bjune","given":"A. E.","non-dropping-particle":"","parse-names":false,"suffix":""},{"dropping-particle":"","family":"Björkman","given":"L.","non-dropping-particle":"","parse-names":false,"suffix":""},{"dropping-particle":"","family":"Broström","given":"A.","non-dropping-particle":"","parse-names":false,"suffix":""},{"dropping-particle":"","family":"Caseldine","given":"C.","non-dropping-particle":"","parse-names":false,"suffix":""},{"dropping-particle":"","family":"David","given":"R.","non-dropping-particle":"","parse-names":false,"suffix":""},{"dropping-particle":"","family":"Dodson","given":"J.","non-dropping-particle":"","parse-names":false,"suffix":""},{"dropping-particle":"","family":"Dörfler","given":"W.","non-dropping-particle":"","parse-names":false,"suffix":""},{"dropping-particle":"","family":"Fischer","given":"E.","non-dropping-particle":"","parse-names":false,"suffix":""},{"dropping-particle":"","family":"Geel","given":"B.","non-dropping-particle":"van","parse-names":false,"suffix":""},{"dropping-particle":"","family":"Giesecke","given":"T.","non-dropping-particle":"","parse-names":false,"suffix":""},{"dropping-particle":"","family":"Hultberg","given":"T.","non-dropping-particle":"","parse-names":false,"suffix":""},{"dropping-particle":"","family":"Kalnina","given":"L.","non-dropping-particle":"","parse-names":false,"suffix":""},{"dropping-particle":"","family":"Kangur","given":"M.","non-dropping-particle":"","parse-names":false,"suffix":""},{"dropping-particle":"","family":"Knaap","given":"P.","non-dropping-particle":"van der","parse-names":false,"suffix":""},{"dropping-particle":"","family":"Koff","given":"T.","non-dropping-particle":"","parse-names":false,"suffix":""},{"dropping-particle":"","family":"Kuneš","given":"P.","non-dropping-particle":"","parse-names":false,"suffix":""},{"dropping-particle":"","family":"Lagerås","given":"P.","non-dropping-particle":"","parse-names":false,"suffix":""},{"dropping-particle":"","family":"Latalowa","given":"M.","non-dropping-particle":"","parse-names":false,"suffix":""},{"dropping-particle":"","family":"Lechterbeck","given":"J.","non-dropping-particle":"","parse-names":false,"suffix":""},{"dropping-particle":"","family":"Leroyer","given":"C.","non-dropping-particle":"","parse-names":false,"suffix":""},{"dropping-particle":"","family":"Leydet","given":"M.","non-dropping-particle":"","parse-names":false,"suffix":""},{"dropping-particle":"","family":"Lindbladh","given":"M.","non-dropping-particle":"","parse-names":false,"suffix":""},{"dropping-particle":"","family":"Marquer","given":"L.","non-dropping-particle":"","parse-names":false,"suffix":""},{"dropping-particle":"","family":"Mitchell","given":"F. J.G.","non-dropping-particle":"","parse-names":false,"suffix":""},{"dropping-particle":"V.","family":"Odgaard","given":"B.","non-dropping-particle":"","parse-names":false,"suffix":""},{"dropping-particle":"","family":"Peglar","given":"S. M.","non-dropping-particle":"","parse-names":false,"suffix":""},{"dropping-particle":"","family":"Persson","given":"T.","non-dropping-particle":"","parse-names":false,"suffix":""},{"dropping-particle":"","family":"Poska","given":"A.","non-dropping-particle":"","parse-names":false,"suffix":""},{"dropping-particle":"","family":"Rösch","given":"M.","non-dropping-particle":"","parse-names":false,"suffix":""},{"dropping-particle":"","family":"Seppä","given":"H.","non-dropping-particle":"","parse-names":false,"suffix":""},{"dropping-particle":"","family":"Veski","given":"S.","non-dropping-particle":"","parse-names":false,"suffix":""},{"dropping-particle":"","family":"Wick","given":"L.","non-dropping-particle":"","parse-names":false,"suffix":""}],"container-title":"Global Change Biology","id":"ITEM-2","issue":"2","issued":{"date-parts":[["2015"]]},"page":"676-697","title":"Pollen-based quantitative reconstructions of Holocene regional vegetation cover (plant-functional types and land-cover types) in Europe suitable for climate modelling","type":"article-journal","volume":"21"},"uris":["http://www.mendeley.com/documents/?uuid=302a955a-cfbf-40c5-84f7-2e6a230f9fe0"]}],"mendeley":{"formattedCitation":"&lt;sup&gt;[24, 27]&lt;/sup&gt;","manualFormatting":"[27,28,31,33]","plainTextFormattedCitation":"[24, 27]","previouslyFormattedCitation":"(Sugita, 2007a; Trondman et al., 2015a)"},"properties":{"noteIndex":0},"schema":"https://github.com/citation-style-language/schema/raw/master/csl-citation.json"}</w:instrText>
      </w:r>
      <w:r>
        <w:rPr>
          <w:rStyle w:val="FootnoteReference"/>
          <w:color w:val="auto"/>
        </w:rPr>
        <w:fldChar w:fldCharType="separate"/>
      </w:r>
      <w:r>
        <w:rPr>
          <w:noProof/>
        </w:rPr>
        <w:t>[27,28,31,33]</w:t>
      </w:r>
      <w:r>
        <w:rPr>
          <w:rStyle w:val="FootnoteReference"/>
          <w:color w:val="auto"/>
        </w:rPr>
        <w:fldChar w:fldCharType="end"/>
      </w:r>
      <w:r>
        <w:rPr>
          <w:noProof/>
        </w:rPr>
        <w:t xml:space="preserve">. The </w:t>
      </w:r>
      <w:r>
        <w:rPr>
          <w:lang w:val="en-GB"/>
        </w:rPr>
        <w:t xml:space="preserve">500-year-long time windows (except for the three most recent ones) help to maximize the size of the pollen count for each time window. </w:t>
      </w:r>
      <w:r>
        <w:t>Caution should be applied when using the Gb-</w:t>
      </w:r>
      <w:proofErr w:type="spellStart"/>
      <w:r>
        <w:t>RVest</w:t>
      </w:r>
      <w:proofErr w:type="spellEnd"/>
      <w:r>
        <w:t xml:space="preserve"> when SEs are equal to or greater than </w:t>
      </w:r>
      <w:proofErr w:type="spellStart"/>
      <w:r>
        <w:t>RVest</w:t>
      </w:r>
      <w:proofErr w:type="spellEnd"/>
      <w:r>
        <w:t xml:space="preserve"> </w:t>
      </w:r>
      <w:r>
        <w:rPr>
          <w:rStyle w:val="FootnoteReference"/>
          <w:color w:val="auto"/>
        </w:rPr>
        <w:fldChar w:fldCharType="begin" w:fldLock="1"/>
      </w:r>
      <w: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rPr>
        <w:instrText>∘</w:instrText>
      </w:r>
      <w:r>
        <w:rPr>
          <w:rFonts w:cs="Palatino Linotype"/>
        </w:rPr>
        <w:instrText> × </w:instrText>
      </w:r>
      <w:r>
        <w:instrText>1</w:instrText>
      </w:r>
      <w:r>
        <w:rPr>
          <w:rFonts w:ascii="Cambria Math" w:hAnsi="Cambria Math" w:cs="Cambria Math"/>
        </w:rPr>
        <w:instrText>∘</w:instrText>
      </w:r>
      <w:r>
        <w:instrText xml:space="preserve"> spatial scale using the </w:instrText>
      </w:r>
      <w:r>
        <w:rPr>
          <w:rFonts w:cs="Palatino Linotype"/>
        </w:rPr>
        <w:instrText>“</w:instrText>
      </w:r>
      <w:r>
        <w:instrText>Regional Estimates of VEgetation Abundance from Large Sites</w:instrText>
      </w:r>
      <w:r>
        <w:rPr>
          <w:rFonts w:cs="Palatino Linotype"/>
        </w:rPr>
        <w:instrText>”</w:instrText>
      </w:r>
      <w: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rPr>
        <w:instrText>∘</w:instrText>
      </w:r>
      <w:r>
        <w:rPr>
          <w:rFonts w:cs="Palatino Linotype"/>
        </w:rPr>
        <w:instrText> </w:instrText>
      </w:r>
      <w:r>
        <w:instrText>N, 25</w:instrText>
      </w:r>
      <w:r>
        <w:rPr>
          <w:rFonts w:ascii="Cambria Math" w:hAnsi="Cambria Math" w:cs="Cambria Math"/>
        </w:rPr>
        <w:instrText>∘</w:instrText>
      </w:r>
      <w:r>
        <w:rPr>
          <w:rFonts w:cs="Palatino Linotype"/>
        </w:rPr>
        <w:instrText> </w:instrText>
      </w:r>
      <w:r>
        <w:instrText>W</w:instrText>
      </w:r>
      <w:r>
        <w:rPr>
          <w:rFonts w:cs="Palatino Linotype"/>
        </w:rPr>
        <w:instrText>–</w:instrText>
      </w:r>
      <w:r>
        <w:instrText>50</w:instrText>
      </w:r>
      <w:r>
        <w:rPr>
          <w:rFonts w:ascii="Cambria Math" w:hAnsi="Cambria Math" w:cs="Cambria Math"/>
        </w:rPr>
        <w:instrText>∘</w:instrText>
      </w:r>
      <w:r>
        <w:rPr>
          <w:rFonts w:cs="Palatino Linotype"/>
        </w:rPr>
        <w:instrText> </w:instrText>
      </w:r>
      <w: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manualFormatting":"[31]","plainTextFormattedCitation":"[28]","previouslyFormattedCitation":"(Githumbi et al., 2022)"},"properties":{"noteIndex":0},"schema":"https://github.com/citation-style-language/schema/raw/master/csl-citation.json"}</w:instrText>
      </w:r>
      <w:r>
        <w:rPr>
          <w:rStyle w:val="FootnoteReference"/>
          <w:color w:val="auto"/>
        </w:rPr>
        <w:fldChar w:fldCharType="separate"/>
      </w:r>
      <w:r>
        <w:rPr>
          <w:noProof/>
        </w:rPr>
        <w:t>[31]</w:t>
      </w:r>
      <w:r>
        <w:rPr>
          <w:rStyle w:val="FootnoteReference"/>
          <w:color w:val="auto"/>
        </w:rPr>
        <w:fldChar w:fldCharType="end"/>
      </w:r>
      <w:r>
        <w:t>.</w:t>
      </w:r>
    </w:p>
    <w:p w14:paraId="200F51AD" w14:textId="77777777" w:rsidR="004653D0" w:rsidRDefault="004653D0" w:rsidP="004653D0">
      <w:pPr>
        <w:pStyle w:val="MDPI31text"/>
        <w:rPr>
          <w:rFonts w:cstheme="minorHAnsi"/>
          <w:lang w:val="en-GB"/>
        </w:rPr>
      </w:pPr>
      <w:r>
        <w:rPr>
          <w:lang w:val="en-GB"/>
        </w:rPr>
        <w:t xml:space="preserve">The results presented here are based on 1607 pollen sequences, which is 40% more than </w:t>
      </w:r>
      <w:r>
        <w:rPr>
          <w:lang w:val="en-GB"/>
        </w:rPr>
        <w:fldChar w:fldCharType="begin" w:fldLock="1"/>
      </w:r>
      <w:r>
        <w:rPr>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manualFormatting":"[31]","plainTextFormattedCitation":"[28]","previouslyFormattedCitation":"(Githumbi et al., 2022)"},"properties":{"noteIndex":0},"schema":"https://github.com/citation-style-language/schema/raw/master/csl-citation.json"}</w:instrText>
      </w:r>
      <w:r>
        <w:rPr>
          <w:lang w:val="en-GB"/>
        </w:rPr>
        <w:fldChar w:fldCharType="separate"/>
      </w:r>
      <w:r>
        <w:rPr>
          <w:noProof/>
          <w:lang w:val="en-GB"/>
        </w:rPr>
        <w:t>[31]</w:t>
      </w:r>
      <w:r>
        <w:rPr>
          <w:lang w:val="en-GB"/>
        </w:rPr>
        <w:fldChar w:fldCharType="end"/>
      </w:r>
      <w:r>
        <w:rPr>
          <w:lang w:val="en-GB"/>
        </w:rPr>
        <w:t>, and has greatly improved the availability of reliable Gb-</w:t>
      </w:r>
      <w:proofErr w:type="spellStart"/>
      <w:r>
        <w:rPr>
          <w:lang w:val="en-GB"/>
        </w:rPr>
        <w:t>RVest</w:t>
      </w:r>
      <w:proofErr w:type="spellEnd"/>
      <w:r>
        <w:rPr>
          <w:lang w:val="en-GB"/>
        </w:rPr>
        <w:t>, particularly in southern Europe. Future work should focus on further enhancing this research effort by using more pollen sequences to improve both reliability of values (more sites in each grid cell) and focusing on regions with unreliable grid cells</w:t>
      </w:r>
      <w:r>
        <w:rPr>
          <w:rFonts w:cstheme="minorHAnsi"/>
          <w:lang w:val="en-GB"/>
        </w:rPr>
        <w:t xml:space="preserve"> (Figure 1) or where open-source or well-dated sequences are currently lacking. </w:t>
      </w:r>
      <w:r>
        <w:rPr>
          <w:lang w:val="en-GB"/>
        </w:rPr>
        <w:t>These regions include the</w:t>
      </w:r>
      <w:r>
        <w:rPr>
          <w:rFonts w:cstheme="minorHAnsi"/>
          <w:lang w:val="en-GB"/>
        </w:rPr>
        <w:t xml:space="preserve"> Balkan peninsula, Northern Scandinavia, and Eastern and Southern Europe.</w:t>
      </w:r>
    </w:p>
    <w:p w14:paraId="06BD20A9" w14:textId="77777777" w:rsidR="004653D0" w:rsidRDefault="004653D0" w:rsidP="004653D0">
      <w:pPr>
        <w:pStyle w:val="MDPI21heading1"/>
        <w:rPr>
          <w:lang w:val="en-GB"/>
        </w:rPr>
      </w:pPr>
      <w:r>
        <w:rPr>
          <w:lang w:val="en-GB"/>
        </w:rPr>
        <w:t>5. Conclusions</w:t>
      </w:r>
    </w:p>
    <w:p w14:paraId="209A9976" w14:textId="77777777" w:rsidR="004653D0" w:rsidRDefault="004653D0" w:rsidP="004653D0">
      <w:pPr>
        <w:pStyle w:val="MDPI31text"/>
        <w:rPr>
          <w:lang w:val="en-GB"/>
        </w:rPr>
      </w:pPr>
      <w:r>
        <w:rPr>
          <w:lang w:val="en-GB"/>
        </w:rPr>
        <w:t xml:space="preserve">This paper describes how a different selection of input parameters (three RPP-means datasets, </w:t>
      </w:r>
      <w:proofErr w:type="spellStart"/>
      <w:r>
        <w:rPr>
          <w:lang w:val="en-GB"/>
        </w:rPr>
        <w:t>RPPs.sts</w:t>
      </w:r>
      <w:proofErr w:type="spellEnd"/>
      <w:r>
        <w:rPr>
          <w:lang w:val="en-GB"/>
        </w:rPr>
        <w:t xml:space="preserve">) affects </w:t>
      </w:r>
      <w:r>
        <w:t>grid-based REVEALS estimates (Gb-</w:t>
      </w:r>
      <w:proofErr w:type="spellStart"/>
      <w:r>
        <w:t>RVest</w:t>
      </w:r>
      <w:proofErr w:type="spellEnd"/>
      <w:r>
        <w:t xml:space="preserve">) across the Holocene at a pan-European scale. </w:t>
      </w:r>
      <w:r>
        <w:rPr>
          <w:lang w:val="en-GB"/>
        </w:rPr>
        <w:t>Using major axis regression, we have shown that the choice of RPP values can result in significant differences in Gb-</w:t>
      </w:r>
      <w:proofErr w:type="spellStart"/>
      <w:r>
        <w:rPr>
          <w:lang w:val="en-GB"/>
        </w:rPr>
        <w:t>RVest</w:t>
      </w:r>
      <w:proofErr w:type="spellEnd"/>
      <w:r>
        <w:rPr>
          <w:lang w:val="en-GB"/>
        </w:rPr>
        <w:t xml:space="preserve">. </w:t>
      </w:r>
      <w:proofErr w:type="spellStart"/>
      <w:r>
        <w:rPr>
          <w:lang w:val="en-GB"/>
        </w:rPr>
        <w:t>RPPs.sts</w:t>
      </w:r>
      <w:proofErr w:type="spellEnd"/>
      <w:r>
        <w:rPr>
          <w:lang w:val="en-GB"/>
        </w:rPr>
        <w:t xml:space="preserve"> were validated for the first time on a European scale. We had shown that REVEALS performed better when RPPs.st1 was used. This RPP set excluded entomophilous taxa but included those with mixed dispersal mechanisms. Thus, the addition of a larger number of entomophilous taxa does not significantly improve the overall result, and it is more important to obtain reliable RPP values for taxa than broaden the number used. The validation process confirmed earlier studies that have demonstrated that the </w:t>
      </w:r>
      <w:r>
        <w:rPr>
          <w:rStyle w:val="jlqj4b"/>
          <w:rFonts w:cstheme="minorHAnsi"/>
          <w:color w:val="auto"/>
          <w:lang w:val="en"/>
        </w:rPr>
        <w:t xml:space="preserve">REVEALS model improves the accuracy of </w:t>
      </w:r>
      <w:r>
        <w:t>vegetation reconstruction (</w:t>
      </w:r>
      <w:proofErr w:type="spellStart"/>
      <w:r>
        <w:t>RVest</w:t>
      </w:r>
      <w:proofErr w:type="spellEnd"/>
      <w:r>
        <w:t>) significantly over the pollen proportions (raw pollen data) alone.</w:t>
      </w:r>
    </w:p>
    <w:p w14:paraId="65FE01D5" w14:textId="77777777" w:rsidR="004653D0" w:rsidRDefault="004653D0" w:rsidP="004653D0">
      <w:pPr>
        <w:pStyle w:val="MDPI31text"/>
        <w:rPr>
          <w:lang w:val="en-GB"/>
        </w:rPr>
      </w:pPr>
      <w:r>
        <w:rPr>
          <w:lang w:val="en-GB"/>
        </w:rPr>
        <w:t>This study points out the complexity of the variables acting on Gb-</w:t>
      </w:r>
      <w:proofErr w:type="spellStart"/>
      <w:r>
        <w:rPr>
          <w:lang w:val="en-GB"/>
        </w:rPr>
        <w:t>RVest</w:t>
      </w:r>
      <w:proofErr w:type="spellEnd"/>
      <w:r>
        <w:rPr>
          <w:lang w:val="en-GB"/>
        </w:rPr>
        <w:t xml:space="preserve">. Mainly RPPs values, intrinsic plant characteristics (e.g., entomophily/anemophily, flowers, and </w:t>
      </w:r>
      <w:r>
        <w:rPr>
          <w:lang w:val="en-GB"/>
        </w:rPr>
        <w:lastRenderedPageBreak/>
        <w:t>pollen morphology), and the place where pollen grains were sampled (lakes or peat bogs) can influence quantified vegetation reconstructions. The increasing number of pollen records used in this study across Europe and during the Holocene has increased the quality and accuracy of vegetation estimates both at the spatial and temporal levels.</w:t>
      </w:r>
    </w:p>
    <w:p w14:paraId="5C992A89" w14:textId="77777777" w:rsidR="004653D0" w:rsidRDefault="004653D0" w:rsidP="004653D0">
      <w:pPr>
        <w:pStyle w:val="MDPI31text"/>
        <w:rPr>
          <w:lang w:val="en-GB"/>
        </w:rPr>
      </w:pPr>
      <w:r>
        <w:rPr>
          <w:lang w:val="en-GB"/>
        </w:rPr>
        <w:t xml:space="preserve">This emphasizes the importance of all inputs used in the model and intends to foster the inclusion of numerous factors that act on the pollen grains' production, dispersion, and deposition when interpreting the estimated results. Thus, it encourages new studies on the improvement of RPPs and pollen records in Europe </w:t>
      </w:r>
      <w:proofErr w:type="gramStart"/>
      <w:r>
        <w:rPr>
          <w:lang w:val="en-GB"/>
        </w:rPr>
        <w:t>in order to</w:t>
      </w:r>
      <w:proofErr w:type="gramEnd"/>
      <w:r>
        <w:rPr>
          <w:lang w:val="en-GB"/>
        </w:rPr>
        <w:t xml:space="preserve"> make the reconstructions increasingly accurate.</w:t>
      </w:r>
    </w:p>
    <w:p w14:paraId="7B01A1A8" w14:textId="77777777" w:rsidR="004653D0" w:rsidRDefault="004653D0" w:rsidP="004653D0">
      <w:pPr>
        <w:pStyle w:val="MDPI31text"/>
        <w:rPr>
          <w:rFonts w:cstheme="minorHAnsi"/>
          <w:lang w:eastAsia="en-GB"/>
        </w:rPr>
      </w:pPr>
      <w:r>
        <w:t xml:space="preserve">The great improvement of the accuracy and spatial coverage of REVEALS-based reconstruction enables better and more detailed usages of these results. </w:t>
      </w:r>
      <w:r>
        <w:rPr>
          <w:lang w:val="en-GB"/>
        </w:rPr>
        <w:t xml:space="preserve">Within the Terranova Project, examples of uses are the exploration of </w:t>
      </w:r>
      <w:r>
        <w:t xml:space="preserve">spatial-temporal changes in past land cover and </w:t>
      </w:r>
      <w:r>
        <w:rPr>
          <w:rFonts w:cstheme="minorHAnsi"/>
        </w:rPr>
        <w:t xml:space="preserve">biodiversity over long time periods at a European scale, the evaluation of model-simulated vegetation cover from </w:t>
      </w:r>
      <w:r>
        <w:rPr>
          <w:rFonts w:cstheme="minorHAnsi"/>
          <w:lang w:eastAsia="en-GB"/>
        </w:rPr>
        <w:t xml:space="preserve">dynamic vegetation model (CARAIB </w:t>
      </w:r>
      <w:r>
        <w:rPr>
          <w:rFonts w:cstheme="minorHAnsi"/>
          <w:lang w:eastAsia="en-GB"/>
        </w:rPr>
        <w:fldChar w:fldCharType="begin" w:fldLock="1"/>
      </w:r>
      <w:r>
        <w:rPr>
          <w:rFonts w:cstheme="minorHAnsi"/>
          <w:lang w:eastAsia="en-GB"/>
        </w:rPr>
        <w:instrText>ADDIN CSL_CITATION {"citationItems":[{"id":"ITEM-1","itemData":{"DOI":"10.1016/j.palaeo.2006.03.034","ISSN":"00310182","abstract":"Climatic outputs from the atmospheric general circulation model ECHAM4 coupled to a mixed layer ocean model are used as inputs to the CARAIB global vegetation model to reconstruct the distribution of vegetation and the biosphere carbon stocks over the continents during the Late Miocene (Tortonian). The results show significant changes in the geographical distribution of vegetation during the Late Miocene compared to the present with a reduction of desert areas and an expansion of tropical seasonal forests, which reached temperate latitudes. These changes in vegetation distribution are accompanied by a moderate increase of the total biosphere carbon stock by 159 Gt. Sensitivity tests to atmospheric CO2 have also been performed with the vegetation model only, i.e., while keeping constant all climatic variables to their reference Tortonian state. These tests point out the potential importance of CO2 fertilization both regarding vegetation distribution and biosphere carbon storage. The impact of an atmospheric CO2 decrease (from 280 to 200 ppmv) or increase (from 280 to 560 ppmv) on the vegetation distribution appears to be at least as large as that of the climate change between the Tortonian and the present, while in terms of carbon storage the impact of atmospheric CO2 is far much larger than the climatic one. Although the actual response of vegetation to CO2 fertilization may be much smaller than its theoretical response in the model, these results emphasize the need to consider atmospheric CO2 as an important parameter for palaeovegetation reconstructions. © 2006 Elsevier B.V. All rights reserved.","author":[{"dropping-particle":"","family":"François","given":"Louis","non-dropping-particle":"","parse-names":false,"suffix":""},{"dropping-particle":"","family":"Ghislain","given":"Maxime","non-dropping-particle":"","parse-names":false,"suffix":""},{"dropping-particle":"","family":"Otto","given":"Dominique","non-dropping-particle":"","parse-names":false,"suffix":""},{"dropping-particle":"","family":"Micheels","given":"Arne","non-dropping-particle":"","parse-names":false,"suffix":""}],"container-title":"Palaeogeography, Palaeoclimatology, Palaeoecology","id":"ITEM-1","issue":"1-4","issued":{"date-parts":[["2006"]]},"page":"302-320","title":"Late Miocene vegetation reconstruction with the CARAIB model","type":"article-journal","volume":"238"},"uris":["http://www.mendeley.com/documents/?uuid=2c905f1b-3b01-4bf8-8194-ee8b4d55eb43"]}],"mendeley":{"formattedCitation":"&lt;sup&gt;[86]&lt;/sup&gt;","plainTextFormattedCitation":"[86]","previouslyFormattedCitation":"(François et al., 2006)"},"properties":{"noteIndex":0},"schema":"https://github.com/citation-style-language/schema/raw/master/csl-citation.json"}</w:instrText>
      </w:r>
      <w:r>
        <w:rPr>
          <w:rFonts w:cstheme="minorHAnsi"/>
          <w:lang w:eastAsia="en-GB"/>
        </w:rPr>
        <w:fldChar w:fldCharType="separate"/>
      </w:r>
      <w:r>
        <w:rPr>
          <w:rFonts w:cstheme="minorHAnsi"/>
          <w:noProof/>
          <w:lang w:eastAsia="en-GB"/>
        </w:rPr>
        <w:t>[85]</w:t>
      </w:r>
      <w:r>
        <w:rPr>
          <w:rFonts w:cstheme="minorHAnsi"/>
          <w:lang w:eastAsia="en-GB"/>
        </w:rPr>
        <w:fldChar w:fldCharType="end"/>
      </w:r>
      <w:r>
        <w:rPr>
          <w:rFonts w:cstheme="minorHAnsi"/>
          <w:lang w:eastAsia="en-GB"/>
        </w:rPr>
        <w:t>), and Agent-Based Models (ABM</w:t>
      </w:r>
      <w:r>
        <w:rPr>
          <w:rFonts w:cstheme="minorHAnsi"/>
        </w:rPr>
        <w:t xml:space="preserve"> </w:t>
      </w:r>
      <w:r>
        <w:rPr>
          <w:rFonts w:cstheme="minorHAnsi"/>
        </w:rPr>
        <w:fldChar w:fldCharType="begin" w:fldLock="1"/>
      </w:r>
      <w:r>
        <w:rPr>
          <w:rFonts w:cstheme="minorHAnsi"/>
        </w:rPr>
        <w:instrText>ADDIN CSL_CITATION {"citationItems":[{"id":"ITEM-1","itemData":{"DOI":"10.1017/AAP.2019.6","ISSN":"23263768","abstract":"Formal models of past human societies informed by archaeological research have a high potential for shaping some of the most topical current debates. Agent-based models, which emphasize how actions by individuals combine to produce global patterns, provide a convenient framework for developing quantitative models of historical social processes. However, being derived from computer science, the method remains largely specialized in archaeology. In this paper and the associated tutorial, we provide a jargon-free introduction to the technique, its potential and limits as well as its diverse applications in archaeology and beyond. We discuss the epistemological rationale of using computational modeling and simulation, classify types of models, and give an overview of the main concepts behind agent-based modeling.","author":[{"dropping-particle":"","family":"Romanowska","given":"Iza","non-dropping-particle":"","parse-names":false,"suffix":""},{"dropping-particle":"","family":"Crabtree","given":"Stefani A.","non-dropping-particle":"","parse-names":false,"suffix":""},{"dropping-particle":"","family":"Harris","given":"Kathryn","non-dropping-particle":"","parse-names":false,"suffix":""},{"dropping-particle":"","family":"Davies","given":"Benjamin","non-dropping-particle":"","parse-names":false,"suffix":""}],"container-title":"Advances in Archaeological Practice","id":"ITEM-1","issue":"2","issued":{"date-parts":[["2019","5","1"]]},"page":"178-184","publisher":"Cambridge University Press","title":"Agent-Based Modeling for Archaeologists: Part 1 of 3","type":"article-journal","volume":"7"},"uris":["http://www.mendeley.com/documents/?uuid=9fe669b8-84a3-3b53-9077-896e011da1f1"]}],"mendeley":{"formattedCitation":"&lt;sup&gt;[87]&lt;/sup&gt;","plainTextFormattedCitation":"[87]","previouslyFormattedCitation":"(Romanowska et al., 2019)"},"properties":{"noteIndex":0},"schema":"https://github.com/citation-style-language/schema/raw/master/csl-citation.json"}</w:instrText>
      </w:r>
      <w:r>
        <w:rPr>
          <w:rFonts w:cstheme="minorHAnsi"/>
        </w:rPr>
        <w:fldChar w:fldCharType="separate"/>
      </w:r>
      <w:r>
        <w:rPr>
          <w:rFonts w:cstheme="minorHAnsi"/>
          <w:noProof/>
        </w:rPr>
        <w:t>[86]</w:t>
      </w:r>
      <w:r>
        <w:rPr>
          <w:rFonts w:cstheme="minorHAnsi"/>
        </w:rPr>
        <w:fldChar w:fldCharType="end"/>
      </w:r>
      <w:r>
        <w:rPr>
          <w:rFonts w:cstheme="minorHAnsi"/>
          <w:lang w:eastAsia="en-GB"/>
        </w:rPr>
        <w:t>), respectively.</w:t>
      </w:r>
    </w:p>
    <w:p w14:paraId="08A3ACB6" w14:textId="77777777" w:rsidR="004653D0" w:rsidRDefault="004653D0" w:rsidP="004653D0">
      <w:pPr>
        <w:pStyle w:val="MDPI62BackMatter"/>
        <w:spacing w:before="240"/>
        <w:rPr>
          <w:lang w:val="en-GB"/>
        </w:rPr>
      </w:pPr>
      <w:r>
        <w:rPr>
          <w:b/>
          <w:bCs/>
          <w:lang w:val="en-GB" w:eastAsia="de-DE"/>
        </w:rPr>
        <w:t>Supplementary Materials</w:t>
      </w:r>
      <w:r>
        <w:rPr>
          <w:b/>
          <w:bCs/>
          <w:lang w:val="en-GB"/>
        </w:rPr>
        <w:t xml:space="preserve">: </w:t>
      </w:r>
      <w:r>
        <w:rPr>
          <w:lang w:val="en-GB"/>
        </w:rPr>
        <w:t xml:space="preserve">The following supporting information can be downloaded at: </w:t>
      </w:r>
      <w:r>
        <w:t>www.mdpi.com/xxx/s1.</w:t>
      </w:r>
      <w:r>
        <w:rPr>
          <w:lang w:val="en-GB"/>
        </w:rPr>
        <w:t xml:space="preserve"> File S1 Glossary of abbreviations used in the paper. </w:t>
      </w:r>
    </w:p>
    <w:p w14:paraId="0A256D34" w14:textId="77777777" w:rsidR="004653D0" w:rsidRPr="004653D0" w:rsidRDefault="004653D0" w:rsidP="004653D0">
      <w:pPr>
        <w:pStyle w:val="MDPI62BackMatter"/>
      </w:pPr>
      <w:r>
        <w:rPr>
          <w:b/>
        </w:rPr>
        <w:t xml:space="preserve">Author Contributions: </w:t>
      </w:r>
      <w:r>
        <w:t xml:space="preserve">methodology, M.A.S., F.M., R.F., M.-J.G., S.S. and A.P.; analysis, M.A.S., F.M., R.F., T.K. and A.L.; data compilation, M.A.S., E.G., F.M., </w:t>
      </w:r>
      <w:r w:rsidRPr="004653D0">
        <w:t>A.-K.T., J.W., R.F., D.G., A.B.N., A.P. and M.M.; data curation M.A.S. and F.M.; writing—original draft preparation, M.A.S., F.M. and R.F.; writing—revisions and editing M.A.S., F.M., R.F. and M.-J.G.; data collection and final draft revision, D.A.-S., C.Å., T.A., B.A., S.T.A</w:t>
      </w:r>
      <w:r w:rsidRPr="004653D0">
        <w:rPr>
          <w:vertAlign w:val="superscript"/>
        </w:rPr>
        <w:t>†</w:t>
      </w:r>
      <w:r w:rsidRPr="004653D0">
        <w:t>, R.S.A., M.A., L.B. (</w:t>
      </w:r>
      <w:proofErr w:type="spellStart"/>
      <w:r w:rsidRPr="004653D0">
        <w:t>Lauras</w:t>
      </w:r>
      <w:proofErr w:type="spellEnd"/>
      <w:r w:rsidRPr="004653D0">
        <w:t xml:space="preserve"> </w:t>
      </w:r>
      <w:proofErr w:type="spellStart"/>
      <w:r w:rsidRPr="004653D0">
        <w:t>Balakauskas</w:t>
      </w:r>
      <w:proofErr w:type="spellEnd"/>
      <w:r w:rsidRPr="004653D0">
        <w:t xml:space="preserve">), L.B. (Lena </w:t>
      </w:r>
      <w:proofErr w:type="spellStart"/>
      <w:r w:rsidRPr="004653D0">
        <w:t>Barnekow</w:t>
      </w:r>
      <w:proofErr w:type="spellEnd"/>
      <w:r w:rsidRPr="004653D0">
        <w:t xml:space="preserve">), V.B., J.B., H.J.B.B., L.B. (Leif </w:t>
      </w:r>
      <w:proofErr w:type="spellStart"/>
      <w:r w:rsidRPr="004653D0">
        <w:t>Björkman</w:t>
      </w:r>
      <w:proofErr w:type="spellEnd"/>
      <w:r w:rsidRPr="004653D0">
        <w:t>), A.E.B., O.B., N.B., J.C. (José Carrion), C.C., J.C. (</w:t>
      </w:r>
      <w:proofErr w:type="spellStart"/>
      <w:r w:rsidRPr="004653D0">
        <w:t>Jörg</w:t>
      </w:r>
      <w:proofErr w:type="spellEnd"/>
      <w:r w:rsidRPr="004653D0">
        <w:t xml:space="preserve"> Christiansen), Q.C., A.C., S.C., R.D., A.D., R.D.J., F.D.R., B.D., W.D., E.D., K.J.E., A.E., E.E., D.E., E.F. (Elodie Faure), I.F., A.F., E.F. (</w:t>
      </w:r>
      <w:proofErr w:type="spellStart"/>
      <w:r w:rsidRPr="004653D0">
        <w:t>Elske</w:t>
      </w:r>
      <w:proofErr w:type="spellEnd"/>
      <w:r w:rsidRPr="004653D0">
        <w:t xml:space="preserve"> Fischer), W.F., F.F.-M., E.D.F., C.F., S.G.-P., I.G.-M., E.G. (Emilie Gauthier), G.G.-R., P.G.-S., M.J.G., R.G., J.N.H., G.H., A.-J.H., M.H., K.H., S.J., N.J., G.J.-M., I.J.-B., M.K. (</w:t>
      </w:r>
      <w:proofErr w:type="spellStart"/>
      <w:r w:rsidRPr="004653D0">
        <w:t>Meilutė</w:t>
      </w:r>
      <w:proofErr w:type="spellEnd"/>
      <w:r w:rsidRPr="004653D0">
        <w:t xml:space="preserve"> </w:t>
      </w:r>
      <w:proofErr w:type="spellStart"/>
      <w:r w:rsidRPr="004653D0">
        <w:t>Kabailienė</w:t>
      </w:r>
      <w:proofErr w:type="spellEnd"/>
      <w:r w:rsidRPr="004653D0">
        <w:t xml:space="preserve"> </w:t>
      </w:r>
      <w:r w:rsidRPr="004653D0">
        <w:rPr>
          <w:vertAlign w:val="superscript"/>
        </w:rPr>
        <w:t>†</w:t>
      </w:r>
      <w:r w:rsidRPr="004653D0">
        <w:t>), I.M.K., M.K. (</w:t>
      </w:r>
      <w:proofErr w:type="spellStart"/>
      <w:r w:rsidRPr="004653D0">
        <w:t>Mihkel</w:t>
      </w:r>
      <w:proofErr w:type="spellEnd"/>
      <w:r w:rsidRPr="004653D0">
        <w:t xml:space="preserve"> </w:t>
      </w:r>
      <w:proofErr w:type="spellStart"/>
      <w:r w:rsidRPr="004653D0">
        <w:t>Kangur</w:t>
      </w:r>
      <w:proofErr w:type="spellEnd"/>
      <w:r w:rsidRPr="004653D0">
        <w:t xml:space="preserve">), M.K.-K., A.K., P.K., P.L., M.L. (Malgorzata </w:t>
      </w:r>
      <w:proofErr w:type="spellStart"/>
      <w:r w:rsidRPr="004653D0">
        <w:t>Latalowa</w:t>
      </w:r>
      <w:proofErr w:type="spellEnd"/>
      <w:r w:rsidRPr="004653D0">
        <w:t xml:space="preserve">), J.L. (Jutta </w:t>
      </w:r>
      <w:proofErr w:type="spellStart"/>
      <w:r w:rsidRPr="004653D0">
        <w:t>Lechterbeck</w:t>
      </w:r>
      <w:proofErr w:type="spellEnd"/>
      <w:r w:rsidRPr="004653D0">
        <w:t xml:space="preserve">), C.L., M.L. (Michelle Leydet), M.L. (Matts </w:t>
      </w:r>
      <w:proofErr w:type="spellStart"/>
      <w:r w:rsidRPr="004653D0">
        <w:t>Lindbladh</w:t>
      </w:r>
      <w:proofErr w:type="spellEnd"/>
      <w:r w:rsidRPr="004653D0">
        <w:t xml:space="preserve">), O.L., J.-A.L.-S., J.L. (John Lowe), R.L.-L., E.L., L.M. (Lina </w:t>
      </w:r>
      <w:proofErr w:type="spellStart"/>
      <w:r w:rsidRPr="004653D0">
        <w:t>Macijauskaitė</w:t>
      </w:r>
      <w:proofErr w:type="spellEnd"/>
      <w:r w:rsidRPr="004653D0">
        <w:t xml:space="preserve">), D.M. (Donatella </w:t>
      </w:r>
      <w:proofErr w:type="spellStart"/>
      <w:r w:rsidRPr="004653D0">
        <w:t>Magri</w:t>
      </w:r>
      <w:proofErr w:type="spellEnd"/>
      <w:r w:rsidRPr="004653D0">
        <w:t xml:space="preserve">), D.M. (Dominique </w:t>
      </w:r>
      <w:proofErr w:type="spellStart"/>
      <w:r w:rsidRPr="004653D0">
        <w:t>Marguerie</w:t>
      </w:r>
      <w:proofErr w:type="spellEnd"/>
      <w:r w:rsidRPr="004653D0">
        <w:t xml:space="preserve">), L.M. (Laurent </w:t>
      </w:r>
      <w:proofErr w:type="spellStart"/>
      <w:r w:rsidRPr="004653D0">
        <w:t>Marquer</w:t>
      </w:r>
      <w:proofErr w:type="spellEnd"/>
      <w:r w:rsidRPr="004653D0">
        <w:t xml:space="preserve">), A.M.-C., I.M., J.M.M.-F., T.M., A.M., Y.M., C.M., A.M., C.M.S., B.O., I.O., S.P.-D., R.P.P.-O., C.P., P.R.R., M.J.R.-R., P.R. (Peter Rasmussen), M.R. (Maurice </w:t>
      </w:r>
      <w:proofErr w:type="spellStart"/>
      <w:r w:rsidRPr="004653D0">
        <w:t>Reille</w:t>
      </w:r>
      <w:proofErr w:type="spellEnd"/>
      <w:r w:rsidRPr="004653D0">
        <w:t xml:space="preserve">), M.R. (Manfred </w:t>
      </w:r>
      <w:proofErr w:type="spellStart"/>
      <w:r w:rsidRPr="004653D0">
        <w:t>Rösch</w:t>
      </w:r>
      <w:proofErr w:type="spellEnd"/>
      <w:r w:rsidRPr="004653D0">
        <w:t xml:space="preserve">), P.R. (Pascale </w:t>
      </w:r>
      <w:proofErr w:type="spellStart"/>
      <w:r w:rsidRPr="004653D0">
        <w:t>Ruffaldi</w:t>
      </w:r>
      <w:proofErr w:type="spellEnd"/>
      <w:r w:rsidRPr="004653D0">
        <w:t>), M.S.G., N.S. (</w:t>
      </w:r>
      <w:proofErr w:type="spellStart"/>
      <w:r w:rsidRPr="004653D0">
        <w:t>Nijolė</w:t>
      </w:r>
      <w:proofErr w:type="spellEnd"/>
      <w:r w:rsidRPr="004653D0">
        <w:t xml:space="preserve"> </w:t>
      </w:r>
      <w:proofErr w:type="spellStart"/>
      <w:r w:rsidRPr="004653D0">
        <w:t>Savukynienė</w:t>
      </w:r>
      <w:proofErr w:type="spellEnd"/>
      <w:r w:rsidRPr="004653D0">
        <w:t xml:space="preserve">), T.S., M.S. (Manuela </w:t>
      </w:r>
      <w:proofErr w:type="spellStart"/>
      <w:r w:rsidRPr="004653D0">
        <w:t>Schult</w:t>
      </w:r>
      <w:proofErr w:type="spellEnd"/>
      <w:r w:rsidRPr="004653D0">
        <w:t>), U.S., H.S., G.S.V., L.S., H.W.S., M.S. (</w:t>
      </w:r>
      <w:proofErr w:type="spellStart"/>
      <w:r w:rsidRPr="004653D0">
        <w:t>Migle</w:t>
      </w:r>
      <w:proofErr w:type="spellEnd"/>
      <w:r w:rsidRPr="004653D0">
        <w:t xml:space="preserve"> </w:t>
      </w:r>
      <w:proofErr w:type="spellStart"/>
      <w:r w:rsidRPr="004653D0">
        <w:t>Stancikaite</w:t>
      </w:r>
      <w:proofErr w:type="spellEnd"/>
      <w:r w:rsidRPr="004653D0">
        <w:t>), A.C.S., N.S. (</w:t>
      </w:r>
      <w:proofErr w:type="spellStart"/>
      <w:r w:rsidRPr="004653D0">
        <w:t>Normunds</w:t>
      </w:r>
      <w:proofErr w:type="spellEnd"/>
      <w:r w:rsidRPr="004653D0">
        <w:t xml:space="preserve"> Stivrins), I.T., M.T., S.T., W.O.V.D.K., J.F.N.V.L., E.V., G.V., S.V., R.V., H.V.S., M.P.W., J.W., K.J.W., S.W. and V.P.Z. All authors have read and agreed to the published version of the manuscript. </w:t>
      </w:r>
    </w:p>
    <w:p w14:paraId="58DB2860" w14:textId="77777777" w:rsidR="004653D0" w:rsidRDefault="004653D0" w:rsidP="004653D0">
      <w:pPr>
        <w:pStyle w:val="MDPI62BackMatter"/>
      </w:pPr>
      <w:r w:rsidRPr="004653D0">
        <w:rPr>
          <w:b/>
        </w:rPr>
        <w:t>Funding:</w:t>
      </w:r>
      <w:r w:rsidRPr="004653D0">
        <w:t xml:space="preserve"> This research was funded by the TERRANOVA Project, H2020 </w:t>
      </w:r>
      <w:r w:rsidRPr="004653D0">
        <w:rPr>
          <w:rStyle w:val="q4iawc"/>
          <w:color w:val="auto"/>
          <w:lang w:val="en"/>
        </w:rPr>
        <w:t xml:space="preserve">Marie </w:t>
      </w:r>
      <w:proofErr w:type="spellStart"/>
      <w:r w:rsidRPr="004653D0">
        <w:rPr>
          <w:rStyle w:val="q4iawc"/>
          <w:color w:val="auto"/>
          <w:lang w:val="en"/>
        </w:rPr>
        <w:t>Sklodowska</w:t>
      </w:r>
      <w:proofErr w:type="spellEnd"/>
      <w:r w:rsidRPr="004653D0">
        <w:rPr>
          <w:rStyle w:val="q4iawc"/>
          <w:color w:val="auto"/>
          <w:lang w:val="en"/>
        </w:rPr>
        <w:t>-Curie</w:t>
      </w:r>
      <w:r>
        <w:t xml:space="preserve"> grant agreement no. 813904.</w:t>
      </w:r>
    </w:p>
    <w:p w14:paraId="6AA8C576" w14:textId="77777777" w:rsidR="004653D0" w:rsidRDefault="004653D0" w:rsidP="004653D0">
      <w:pPr>
        <w:pStyle w:val="MDPI62BackMatter"/>
        <w:rPr>
          <w:rFonts w:cstheme="minorHAnsi"/>
        </w:rPr>
      </w:pPr>
      <w:r>
        <w:rPr>
          <w:b/>
        </w:rPr>
        <w:t xml:space="preserve">Data Availability Statement: </w:t>
      </w:r>
      <w:r>
        <w:rPr>
          <w:vertAlign w:val="superscript"/>
        </w:rPr>
        <w:t>1</w:t>
      </w:r>
      <w:r>
        <w:rPr>
          <w:b/>
        </w:rPr>
        <w:t xml:space="preserve"> </w:t>
      </w:r>
      <w:r>
        <w:t xml:space="preserve">Serge, M.A.; Fyfe, R.; Gaillard, M.-J.; Klein, T.; </w:t>
      </w:r>
      <w:proofErr w:type="spellStart"/>
      <w:r>
        <w:t>Lagnoux</w:t>
      </w:r>
      <w:proofErr w:type="spellEnd"/>
      <w:r>
        <w:t xml:space="preserve">, A.; Galop, D.; </w:t>
      </w:r>
      <w:proofErr w:type="spellStart"/>
      <w:r>
        <w:t>Githumbi</w:t>
      </w:r>
      <w:proofErr w:type="spellEnd"/>
      <w:r>
        <w:t xml:space="preserve">, E.; </w:t>
      </w:r>
      <w:proofErr w:type="spellStart"/>
      <w:r>
        <w:t>Mindrescu</w:t>
      </w:r>
      <w:proofErr w:type="spellEnd"/>
      <w:r>
        <w:t xml:space="preserve">, M.; Nielsen, A.-B.; </w:t>
      </w:r>
      <w:proofErr w:type="spellStart"/>
      <w:r>
        <w:t>Trondman</w:t>
      </w:r>
      <w:proofErr w:type="spellEnd"/>
      <w:r>
        <w:t xml:space="preserve">, A.-K.; </w:t>
      </w:r>
      <w:proofErr w:type="spellStart"/>
      <w:r>
        <w:t>Poska</w:t>
      </w:r>
      <w:proofErr w:type="spellEnd"/>
      <w:r>
        <w:t xml:space="preserve">, A.; Sugita, S.; Woodbridge, J.; TERRANOVA, contributors; </w:t>
      </w:r>
      <w:proofErr w:type="spellStart"/>
      <w:r>
        <w:t>Mazier</w:t>
      </w:r>
      <w:proofErr w:type="spellEnd"/>
      <w:r>
        <w:t xml:space="preserve">, F. Spatially extensive and temporally continuous three REVEALS pollen-based vegetation reconstructions in Europe over the Holocene. </w:t>
      </w:r>
      <w:r>
        <w:rPr>
          <w:rFonts w:cstheme="minorHAnsi"/>
          <w:vertAlign w:val="superscript"/>
          <w:lang w:val="fr-FR"/>
        </w:rPr>
        <w:t xml:space="preserve">1 </w:t>
      </w:r>
      <w:r>
        <w:rPr>
          <w:rFonts w:cstheme="minorHAnsi"/>
          <w:lang w:val="fr-FR"/>
        </w:rPr>
        <w:t xml:space="preserve">Laboratoire Géographie de l’Environnement, UMR 5602, CNRS, Université de Toulouse-Jean Jaurès, Toulouse, </w:t>
      </w:r>
      <w:proofErr w:type="gramStart"/>
      <w:r>
        <w:rPr>
          <w:rFonts w:cstheme="minorHAnsi"/>
          <w:lang w:val="fr-FR"/>
        </w:rPr>
        <w:t>France;</w:t>
      </w:r>
      <w:proofErr w:type="gramEnd"/>
      <w:r>
        <w:rPr>
          <w:rFonts w:cstheme="minorHAnsi"/>
          <w:lang w:val="fr-FR"/>
        </w:rPr>
        <w:t xml:space="preserve"> </w:t>
      </w:r>
      <w:proofErr w:type="spellStart"/>
      <w:r>
        <w:rPr>
          <w:lang w:val="fr-FR"/>
        </w:rPr>
        <w:t>data.InDoRES</w:t>
      </w:r>
      <w:proofErr w:type="spellEnd"/>
      <w:r>
        <w:rPr>
          <w:lang w:val="fr-FR"/>
        </w:rPr>
        <w:t xml:space="preserve">, V1, </w:t>
      </w:r>
      <w:bookmarkStart w:id="2" w:name="_Hlk134295552"/>
      <w:r>
        <w:fldChar w:fldCharType="begin"/>
      </w:r>
      <w:r>
        <w:instrText xml:space="preserve"> HYPERLINK "https://doi.org/10.48579/PRO/J5GZUO" \t "_blank" </w:instrText>
      </w:r>
      <w:r>
        <w:fldChar w:fldCharType="separate"/>
      </w:r>
      <w:r>
        <w:rPr>
          <w:rStyle w:val="Hyperlink"/>
          <w:color w:val="auto"/>
          <w:lang w:val="fr-FR"/>
        </w:rPr>
        <w:t>https://doi.org/10.48579/PRO/J5GZUO</w:t>
      </w:r>
      <w:r>
        <w:fldChar w:fldCharType="end"/>
      </w:r>
      <w:r>
        <w:rPr>
          <w:rStyle w:val="CommentReference"/>
          <w:rFonts w:eastAsia="SimSun"/>
          <w:noProof/>
          <w:lang w:val="fr-FR" w:eastAsia="zh-CN" w:bidi="ar-SA"/>
        </w:rPr>
        <w:t xml:space="preserve"> </w:t>
      </w:r>
      <w:r>
        <w:rPr>
          <w:rStyle w:val="CommentReference"/>
          <w:rFonts w:eastAsia="SimSun"/>
          <w:noProof/>
          <w:szCs w:val="18"/>
          <w:lang w:val="fr-FR" w:eastAsia="zh-CN" w:bidi="ar-SA"/>
        </w:rPr>
        <w:t>(accessed on 24 April 2023)</w:t>
      </w:r>
      <w:bookmarkEnd w:id="2"/>
      <w:r>
        <w:rPr>
          <w:lang w:val="fr-FR"/>
        </w:rPr>
        <w:t xml:space="preserve">. </w:t>
      </w:r>
      <w:r>
        <w:t xml:space="preserve">Computer Code and Software: This study uses </w:t>
      </w:r>
      <w:r>
        <w:rPr>
          <w:rFonts w:cstheme="minorHAnsi"/>
          <w:lang w:val="en-GB"/>
        </w:rPr>
        <w:t xml:space="preserve">the original R-code available on </w:t>
      </w:r>
      <w:hyperlink r:id="rId25" w:history="1">
        <w:r>
          <w:rPr>
            <w:rStyle w:val="Hyperlink"/>
            <w:rFonts w:cstheme="minorHAnsi"/>
            <w:color w:val="auto"/>
            <w:lang w:val="en-GB"/>
          </w:rPr>
          <w:t>https://github.com/petrkunes/LRA</w:t>
        </w:r>
      </w:hyperlink>
      <w:r>
        <w:rPr>
          <w:rStyle w:val="Hyperlink"/>
          <w:rFonts w:cstheme="minorHAnsi"/>
          <w:color w:val="auto"/>
          <w:lang w:val="en-GB"/>
        </w:rPr>
        <w:t xml:space="preserve"> </w:t>
      </w:r>
      <w:r>
        <w:rPr>
          <w:rStyle w:val="CommentReference"/>
          <w:rFonts w:eastAsia="SimSun"/>
          <w:noProof/>
          <w:szCs w:val="18"/>
          <w:lang w:eastAsia="zh-CN" w:bidi="ar-SA"/>
        </w:rPr>
        <w:t>(</w:t>
      </w:r>
      <w:r>
        <w:rPr>
          <w:rFonts w:cstheme="minorHAnsi"/>
          <w:lang w:val="en-GB"/>
        </w:rPr>
        <w:t xml:space="preserve">last version </w:t>
      </w:r>
      <w:r>
        <w:rPr>
          <w:rFonts w:cstheme="minorHAnsi"/>
        </w:rPr>
        <w:t xml:space="preserve">v0.1.0, 8 December 2020, </w:t>
      </w:r>
      <w:r>
        <w:rPr>
          <w:rStyle w:val="CommentReference"/>
          <w:rFonts w:eastAsia="SimSun"/>
          <w:noProof/>
          <w:szCs w:val="18"/>
          <w:lang w:eastAsia="zh-CN" w:bidi="ar-SA"/>
        </w:rPr>
        <w:t>accessed on 24 April 2023</w:t>
      </w:r>
      <w:r>
        <w:rPr>
          <w:rFonts w:cstheme="minorHAnsi"/>
        </w:rPr>
        <w:t xml:space="preserve">) developed for the </w:t>
      </w:r>
      <w:proofErr w:type="spellStart"/>
      <w:r>
        <w:rPr>
          <w:rFonts w:cstheme="minorHAnsi"/>
        </w:rPr>
        <w:t>LandClim</w:t>
      </w:r>
      <w:proofErr w:type="spellEnd"/>
      <w:r>
        <w:rPr>
          <w:rFonts w:cstheme="minorHAnsi"/>
        </w:rPr>
        <w:t xml:space="preserve"> II project (Swedish Research Council, VR; PI: M.-J. Gaillard) and suitable for this study; examples are available on </w:t>
      </w:r>
      <w:hyperlink r:id="rId26" w:history="1">
        <w:r>
          <w:rPr>
            <w:rStyle w:val="Hyperlink"/>
            <w:rFonts w:cstheme="minorHAnsi"/>
            <w:color w:val="auto"/>
            <w:lang w:val="en-GB"/>
          </w:rPr>
          <w:t>https://github.com/rmfyfe/landclimII</w:t>
        </w:r>
      </w:hyperlink>
      <w:r>
        <w:rPr>
          <w:rFonts w:cstheme="minorHAnsi"/>
          <w:lang w:val="en-GB"/>
        </w:rPr>
        <w:t xml:space="preserve"> (last version, 12 August 2021, </w:t>
      </w:r>
      <w:r>
        <w:rPr>
          <w:rStyle w:val="CommentReference"/>
          <w:rFonts w:eastAsia="SimSun"/>
          <w:noProof/>
          <w:szCs w:val="18"/>
          <w:lang w:eastAsia="zh-CN" w:bidi="ar-SA"/>
        </w:rPr>
        <w:t>accessed on 24 April 2023</w:t>
      </w:r>
      <w:r>
        <w:rPr>
          <w:rFonts w:cstheme="minorHAnsi"/>
          <w:lang w:val="en-GB"/>
        </w:rPr>
        <w:t>).</w:t>
      </w:r>
    </w:p>
    <w:p w14:paraId="67AC30DB" w14:textId="77777777" w:rsidR="004653D0" w:rsidRDefault="004653D0" w:rsidP="004653D0">
      <w:pPr>
        <w:pStyle w:val="MDPI62BackMatter"/>
        <w:rPr>
          <w:lang w:val="en-GB"/>
        </w:rPr>
      </w:pPr>
      <w:r>
        <w:rPr>
          <w:rFonts w:cstheme="minorHAnsi"/>
          <w:b/>
          <w:lang w:val="en-GB"/>
        </w:rPr>
        <w:t>Acknowledgments:</w:t>
      </w:r>
      <w:r>
        <w:rPr>
          <w:rFonts w:cstheme="minorHAnsi"/>
          <w:lang w:val="en-GB"/>
        </w:rPr>
        <w:t xml:space="preserve"> </w:t>
      </w:r>
      <w:r>
        <w:rPr>
          <w:rStyle w:val="q4iawc"/>
          <w:color w:val="auto"/>
          <w:lang w:val="en"/>
        </w:rPr>
        <w:t xml:space="preserve">The work was supported by the project TERRANOVA, the European Landscape Learning Initiative, which has received funding from the European Union’s Horizon 2020 research and innovation program under the Marie </w:t>
      </w:r>
      <w:proofErr w:type="spellStart"/>
      <w:r>
        <w:rPr>
          <w:rStyle w:val="q4iawc"/>
          <w:color w:val="auto"/>
          <w:lang w:val="en"/>
        </w:rPr>
        <w:t>Sklodowska</w:t>
      </w:r>
      <w:proofErr w:type="spellEnd"/>
      <w:r>
        <w:rPr>
          <w:rStyle w:val="q4iawc"/>
          <w:color w:val="auto"/>
          <w:lang w:val="en"/>
        </w:rPr>
        <w:t xml:space="preserve">-Curie grant agreement no. 813904. The output reflects the views of the authors only, and the European Union cannot be held responsible for any use that may be made of the information contained therein. </w:t>
      </w:r>
      <w:r>
        <w:t xml:space="preserve">This study is also a contribution to the Past Global Change (PAGES) project and its working group LandCover6k (http://pastglobalchanges.org/landcover6k, accessed on 24 April 2023) that in turn received support </w:t>
      </w:r>
      <w:r>
        <w:lastRenderedPageBreak/>
        <w:t xml:space="preserve">from the Swiss National Science Foundation, the Swiss Academy of Sciences, the U.S. National Science Foundation, and the Chinese Academy of Sciences. </w:t>
      </w:r>
      <w:r>
        <w:rPr>
          <w:rStyle w:val="q4iawc"/>
          <w:color w:val="auto"/>
          <w:lang w:val="en"/>
        </w:rPr>
        <w:t xml:space="preserve">M.-J. Gaillard acknowledges </w:t>
      </w:r>
      <w:r>
        <w:rPr>
          <w:lang w:val="en-GB"/>
        </w:rPr>
        <w:t>the financial support from Linnaeus University’s Faculty of Health and Life Science and the Swedish strategic research area MERGE (</w:t>
      </w:r>
      <w:proofErr w:type="spellStart"/>
      <w:r>
        <w:rPr>
          <w:lang w:val="en-GB"/>
        </w:rPr>
        <w:t>ModEling</w:t>
      </w:r>
      <w:proofErr w:type="spellEnd"/>
      <w:r>
        <w:rPr>
          <w:lang w:val="en-GB"/>
        </w:rPr>
        <w:t xml:space="preserve"> the Regional and Global Earth system; </w:t>
      </w:r>
      <w:hyperlink r:id="rId27" w:tgtFrame="_blank" w:history="1">
        <w:r>
          <w:rPr>
            <w:rStyle w:val="Hyperlink"/>
            <w:color w:val="auto"/>
            <w:lang w:val="en-GB"/>
          </w:rPr>
          <w:t>www.merge.lu.se</w:t>
        </w:r>
      </w:hyperlink>
      <w:r>
        <w:rPr>
          <w:rStyle w:val="Hyperlink"/>
          <w:color w:val="auto"/>
          <w:lang w:val="en-GB"/>
        </w:rPr>
        <w:t xml:space="preserve">, </w:t>
      </w:r>
      <w:r>
        <w:rPr>
          <w:rStyle w:val="CommentReference"/>
          <w:rFonts w:eastAsia="SimSun"/>
          <w:noProof/>
          <w:szCs w:val="18"/>
          <w:lang w:eastAsia="zh-CN" w:bidi="ar-SA"/>
        </w:rPr>
        <w:t>accessed on 24 April 2023</w:t>
      </w:r>
      <w:r>
        <w:rPr>
          <w:lang w:val="en-GB"/>
        </w:rPr>
        <w:t xml:space="preserve">). </w:t>
      </w:r>
      <w:proofErr w:type="spellStart"/>
      <w:r>
        <w:t>Anneli</w:t>
      </w:r>
      <w:proofErr w:type="spellEnd"/>
      <w:r>
        <w:t xml:space="preserve"> </w:t>
      </w:r>
      <w:proofErr w:type="spellStart"/>
      <w:r>
        <w:t>Poska</w:t>
      </w:r>
      <w:proofErr w:type="spellEnd"/>
      <w:r>
        <w:t xml:space="preserve"> was supported by the project </w:t>
      </w:r>
      <w:proofErr w:type="spellStart"/>
      <w:r>
        <w:t>TrackLag</w:t>
      </w:r>
      <w:proofErr w:type="spellEnd"/>
      <w:r>
        <w:t xml:space="preserve">, Tracking the time-lags of species response to environmental change using </w:t>
      </w:r>
      <w:proofErr w:type="spellStart"/>
      <w:r>
        <w:t>palaeo</w:t>
      </w:r>
      <w:proofErr w:type="spellEnd"/>
      <w:r>
        <w:t>-proxy data and modelling (ETF grant PRG323).</w:t>
      </w:r>
    </w:p>
    <w:p w14:paraId="53DB3E77" w14:textId="77777777" w:rsidR="004653D0" w:rsidRDefault="004653D0" w:rsidP="004653D0">
      <w:pPr>
        <w:pStyle w:val="MDPI62BackMatter"/>
      </w:pPr>
      <w:r>
        <w:rPr>
          <w:b/>
        </w:rPr>
        <w:t xml:space="preserve">Conflicts of Interest: </w:t>
      </w:r>
      <w:r>
        <w:t>The authors declare no conflict of interest.</w:t>
      </w:r>
    </w:p>
    <w:p w14:paraId="1CF82D34" w14:textId="77777777" w:rsidR="004653D0" w:rsidRDefault="004653D0" w:rsidP="004653D0">
      <w:pPr>
        <w:spacing w:line="240" w:lineRule="auto"/>
        <w:jc w:val="left"/>
        <w:rPr>
          <w:rFonts w:eastAsia="Times New Roman"/>
          <w:b/>
          <w:noProof w:val="0"/>
          <w:snapToGrid w:val="0"/>
          <w:szCs w:val="22"/>
          <w:lang w:eastAsia="de-DE" w:bidi="en-US"/>
        </w:rPr>
      </w:pPr>
      <w:r>
        <w:rPr>
          <w:rtl/>
        </w:rPr>
        <w:br w:type="page"/>
      </w:r>
    </w:p>
    <w:p w14:paraId="77EAF2C9" w14:textId="77777777" w:rsidR="004653D0" w:rsidRDefault="004653D0" w:rsidP="004653D0">
      <w:pPr>
        <w:pStyle w:val="MDPI21heading1"/>
      </w:pPr>
      <w:r>
        <w:lastRenderedPageBreak/>
        <w:t>Appendix A</w:t>
      </w:r>
    </w:p>
    <w:p w14:paraId="0B71137E" w14:textId="65DF09FA" w:rsidR="004653D0" w:rsidRDefault="004653D0" w:rsidP="004653D0">
      <w:pPr>
        <w:pStyle w:val="MDPI52figure"/>
      </w:pPr>
      <w:r>
        <w:rPr>
          <w:noProof/>
          <w:lang w:val="fr-FR" w:eastAsia="fr-FR" w:bidi="ar-SA"/>
        </w:rPr>
        <w:drawing>
          <wp:inline distT="0" distB="0" distL="0" distR="0" wp14:anchorId="05591AFF" wp14:editId="188C9FE6">
            <wp:extent cx="5657850" cy="3352800"/>
            <wp:effectExtent l="0" t="0" r="0" b="0"/>
            <wp:docPr id="1" name="Picture 1"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tter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l="13428" t="27333" r="17027" b="14352"/>
                    <a:stretch>
                      <a:fillRect/>
                    </a:stretch>
                  </pic:blipFill>
                  <pic:spPr bwMode="auto">
                    <a:xfrm>
                      <a:off x="0" y="0"/>
                      <a:ext cx="5657850" cy="3352800"/>
                    </a:xfrm>
                    <a:prstGeom prst="rect">
                      <a:avLst/>
                    </a:prstGeom>
                    <a:noFill/>
                    <a:ln>
                      <a:noFill/>
                    </a:ln>
                  </pic:spPr>
                </pic:pic>
              </a:graphicData>
            </a:graphic>
          </wp:inline>
        </w:drawing>
      </w:r>
    </w:p>
    <w:p w14:paraId="0C056FAA" w14:textId="77777777" w:rsidR="004653D0" w:rsidRDefault="004653D0" w:rsidP="004653D0">
      <w:pPr>
        <w:pStyle w:val="MDPI51figurecaption"/>
        <w:jc w:val="both"/>
      </w:pPr>
      <w:r>
        <w:rPr>
          <w:b/>
          <w:lang w:val="en-GB"/>
        </w:rPr>
        <w:t xml:space="preserve">Figure A1. </w:t>
      </w:r>
      <w:r>
        <w:rPr>
          <w:lang w:val="en-GB"/>
        </w:rPr>
        <w:t>Study region showing site coverage. The size and colour of the circles represent site type and size.</w:t>
      </w:r>
    </w:p>
    <w:p w14:paraId="47998AA6" w14:textId="77777777" w:rsidR="004653D0" w:rsidRDefault="004653D0" w:rsidP="004653D0">
      <w:pPr>
        <w:pStyle w:val="MDPI21heading1"/>
        <w:rPr>
          <w:color w:val="auto"/>
          <w:lang w:val="en-GB"/>
        </w:rPr>
      </w:pPr>
      <w:r>
        <w:rPr>
          <w:color w:val="auto"/>
          <w:lang w:val="en-GB"/>
        </w:rPr>
        <w:t>Appendix B</w:t>
      </w:r>
    </w:p>
    <w:p w14:paraId="6868DD7E" w14:textId="77777777" w:rsidR="004653D0" w:rsidRDefault="004653D0" w:rsidP="004653D0">
      <w:pPr>
        <w:pStyle w:val="MDPI31text"/>
        <w:rPr>
          <w:lang w:val="en-GB"/>
        </w:rPr>
      </w:pPr>
      <w:r>
        <w:rPr>
          <w:lang w:val="en-GB"/>
        </w:rPr>
        <w:t xml:space="preserve">Available European RPP values are reported in Table A1. A total of 41 taxa from studies in boreal and temperate Europe, and 8 taxa from studies in Mediterranean Europe, of which 6 included exclusively sub-Mediterranean and Mediterranean taxa: </w:t>
      </w:r>
      <w:r>
        <w:rPr>
          <w:i/>
          <w:lang w:val="en-GB"/>
        </w:rPr>
        <w:t xml:space="preserve">Buxus sempervirens, Carpinus </w:t>
      </w:r>
      <w:proofErr w:type="spellStart"/>
      <w:r>
        <w:rPr>
          <w:i/>
          <w:lang w:val="en-GB"/>
        </w:rPr>
        <w:t>orientalis</w:t>
      </w:r>
      <w:proofErr w:type="spellEnd"/>
      <w:r>
        <w:rPr>
          <w:i/>
          <w:lang w:val="en-GB"/>
        </w:rPr>
        <w:t>, Castanea sativa</w:t>
      </w:r>
      <w:r>
        <w:rPr>
          <w:lang w:val="en-GB"/>
        </w:rPr>
        <w:t xml:space="preserve">, </w:t>
      </w:r>
      <w:proofErr w:type="spellStart"/>
      <w:r>
        <w:rPr>
          <w:i/>
          <w:lang w:val="en-GB"/>
        </w:rPr>
        <w:t>Phillyrea</w:t>
      </w:r>
      <w:proofErr w:type="spellEnd"/>
      <w:r>
        <w:rPr>
          <w:i/>
          <w:lang w:val="en-GB"/>
        </w:rPr>
        <w:t>, Pistacia,</w:t>
      </w:r>
      <w:r>
        <w:rPr>
          <w:lang w:val="en-GB"/>
        </w:rPr>
        <w:t xml:space="preserve"> and </w:t>
      </w:r>
      <w:r>
        <w:rPr>
          <w:i/>
          <w:lang w:val="en-GB"/>
        </w:rPr>
        <w:t xml:space="preserve">evergreen Quercus t. (Q. ilex, Q. </w:t>
      </w:r>
      <w:proofErr w:type="spellStart"/>
      <w:r>
        <w:rPr>
          <w:i/>
          <w:lang w:val="en-GB"/>
        </w:rPr>
        <w:t>coccifera</w:t>
      </w:r>
      <w:proofErr w:type="spellEnd"/>
      <w:r>
        <w:rPr>
          <w:i/>
          <w:lang w:val="en-GB"/>
        </w:rPr>
        <w:t>)</w:t>
      </w:r>
      <w:r>
        <w:rPr>
          <w:lang w:val="en-GB"/>
        </w:rPr>
        <w:t xml:space="preserve"> </w:t>
      </w:r>
      <w:r>
        <w:rPr>
          <w:rStyle w:val="FootnoteReference"/>
          <w:color w:val="auto"/>
          <w:lang w:val="en-GB"/>
        </w:rPr>
        <w:fldChar w:fldCharType="begin" w:fldLock="1"/>
      </w:r>
      <w:r>
        <w:rPr>
          <w:lang w:val="en-GB"/>
        </w:rPr>
        <w:instrText>ADDIN CSL_CITATION {"citationItems":[{"id":"ITEM-1","itemData":{"DOI":"10.1016/j.revpalbo.2019.02.007","ISSN":"00346667","abstract":"Estimates of relative pollen productivity (RPP) represent key input parameters for model-based quantitative reconstructions of past vegetation cover. In this study, we provide the first RPP estimates for 13 taxa from the forest steppe ecoregion in southeastern Romania (southeastern Europe). We used modern pollen assemblages from 26 points together with vegetation surveys and mapping, covering a 1.5 km radius around each sampling site. We have estimated the relevant source area of pollen (RSAP) and pollen productivity for 13 taxa relative to Poaceae using the ERV (Extended R-value model), sub-model 3, as this model shows the best goodness of fit. The estimated RSAP is about 100 m and falls within the range of RSAP estimates of moss pollsters and forest hollows from other RPP-related studies. Results show that Rubiaceae (7.97), Apiaceae (5.91), Artemisia (5.89) and Fraxinus (2.99) are high pollen producers compared to Poaceae, while Plantago lanceolata (0.58), Fabaceae (0.40), Acer (0.30), Rosaceae (0.29), Carpinus orientalis (0.24), Cerealia (0.22) and Asteraceae (0.16) are low pollen producers with lower RPPs than Poaceae. Quercus (1.10) has a pollen productivity close to that of Poaceae. The RPPs for Carpinus orientalis and Fabaceae are published here the first time for Europe. The high pollen producing plants include both entomophilous and anemophilous species, while the low pollen producers are mostly entomophilous species. Our results form an essential contribution to improving the accuracy of quantitative reconstruction of forest steppe ecoregion in Europe and generally in regions with a similar climate and vegetation setting.","author":[{"dropping-particle":"","family":"Grindean","given":"Roxana","non-dropping-particle":"","parse-names":false,"suffix":""},{"dropping-particle":"","family":"Nielsen","given":"Anne Birgitte","non-dropping-particle":"","parse-names":false,"suffix":""},{"dropping-particle":"","family":"Tanţău","given":"Ioan","non-dropping-particle":"","parse-names":false,"suffix":""},{"dropping-particle":"","family":"Feurdean","given":"Angelica","non-dropping-particle":"","parse-names":false,"suffix":""}],"container-title":"Review of Palaeobotany and Palynology","id":"ITEM-1","issued":{"date-parts":[["2019"]]},"page":"54-63","title":"Relative pollen productivity estimates in the forest steppe landscape of southeastern Romania","type":"article-journal","volume":"264"},"uris":["http://www.mendeley.com/documents/?uuid=a04ab3f8-2af2-4b36-9ffc-af3bb2cc5914"]}],"mendeley":{"formattedCitation":"&lt;sup&gt;[58]&lt;/sup&gt;","manualFormatting":"[31,90]","plainTextFormattedCitation":"[58]","previouslyFormattedCitation":"(Grindean et al., 2019)"},"properties":{"noteIndex":0},"schema":"https://github.com/citation-style-language/schema/raw/master/csl-citation.json"}</w:instrText>
      </w:r>
      <w:r>
        <w:rPr>
          <w:rStyle w:val="FootnoteReference"/>
          <w:color w:val="auto"/>
          <w:lang w:val="en-GB"/>
        </w:rPr>
        <w:fldChar w:fldCharType="separate"/>
      </w:r>
      <w:r>
        <w:rPr>
          <w:noProof/>
          <w:lang w:val="en-GB"/>
        </w:rPr>
        <w:t>[31,87]</w:t>
      </w:r>
      <w:r>
        <w:rPr>
          <w:rStyle w:val="FootnoteReference"/>
          <w:color w:val="auto"/>
          <w:lang w:val="en-GB"/>
        </w:rPr>
        <w:fldChar w:fldCharType="end"/>
      </w:r>
      <w:r>
        <w:rPr>
          <w:lang w:val="en-GB"/>
        </w:rPr>
        <w:t>)</w:t>
      </w:r>
      <w:r>
        <w:rPr>
          <w:rFonts w:cstheme="minorHAnsi"/>
          <w:lang w:val="en-GB"/>
        </w:rPr>
        <w:t xml:space="preserve">. </w:t>
      </w:r>
      <w:proofErr w:type="gramStart"/>
      <w:r>
        <w:rPr>
          <w:rFonts w:cstheme="minorHAnsi"/>
          <w:lang w:val="en-GB"/>
        </w:rPr>
        <w:t>The majority of</w:t>
      </w:r>
      <w:proofErr w:type="gramEnd"/>
      <w:r>
        <w:rPr>
          <w:rFonts w:cstheme="minorHAnsi"/>
          <w:lang w:val="en-GB"/>
        </w:rPr>
        <w:t xml:space="preserve"> taxa could have values ranging between 1 and 10, corresponding to the different areas of Europe where the RPP evaluation was carried out </w:t>
      </w:r>
      <w:r>
        <w:rPr>
          <w:rFonts w:cstheme="minorHAnsi"/>
          <w:color w:val="auto"/>
          <w:lang w:val="en-GB"/>
        </w:rPr>
        <w:t>(Table A1)</w:t>
      </w:r>
      <w:r>
        <w:rPr>
          <w:rFonts w:cstheme="minorHAnsi"/>
          <w:lang w:val="en-GB"/>
        </w:rPr>
        <w:t xml:space="preserve">. The reasons for variable RPP values within one taxon have been discussed by </w:t>
      </w:r>
      <w:r>
        <w:rPr>
          <w:rStyle w:val="FootnoteReference"/>
          <w:rFonts w:cstheme="minorHAnsi"/>
          <w:color w:val="auto"/>
          <w:lang w:val="en-GB"/>
        </w:rPr>
        <w:fldChar w:fldCharType="begin" w:fldLock="1"/>
      </w:r>
      <w:r>
        <w:rPr>
          <w:rFonts w:cstheme="minorHAnsi"/>
          <w:lang w:val="en-GB"/>
        </w:rPr>
        <w:instrText>ADDIN CSL_CITATION {"citationItems":[{"id":"ITEM-1","itemData":{"DOI":"10.1007/s00334-008-0148-8","ISSN":"0939-6314","author":[{"dropping-particle":"","family":"Broström","given":"Anna","non-dropping-particle":"","parse-names":false,"suffix":""},{"dropping-particle":"","family":"Nielsen","given":"Anne Birgitte","non-dropping-particle":"","parse-names":false,"suffix":""},{"dropping-particle":"","family":"Gaillard","given":"Marie-José","non-dropping-particle":"","parse-names":false,"suffix":""},{"dropping-particle":"","family":"Hjelle","given":"Kari","non-dropping-particle":"","parse-names":false,"suffix":""},{"dropping-particle":"","family":"Mazier","given":"Florence","non-dropping-particle":"","parse-names":false,"suffix":""},{"dropping-particle":"","family":"Binney","given":"Heather","non-dropping-particle":"","parse-names":false,"suffix":""},{"dropping-particle":"","family":"Bunting","given":"Jane","non-dropping-particle":"","parse-names":false,"suffix":""},{"dropping-particle":"","family":"Fyfe","given":"Ralph","non-dropping-particle":"","parse-names":false,"suffix":""},{"dropping-particle":"","family":"Meltsov","given":"Viveca","non-dropping-particle":"","parse-names":false,"suffix":""},{"dropping-particle":"","family":"Poska","given":"Anneli","non-dropping-particle":"","parse-names":false,"suffix":""},{"dropping-particle":"","family":"Räsänen","given":"Satu","non-dropping-particle":"","parse-names":false,"suffix":""},{"dropping-particle":"","family":"Soepboer","given":"Welmoed","non-dropping-particle":"","parse-names":false,"suffix":""},{"dropping-particle":"","family":"Stedingk","given":"Henrik","non-dropping-particle":"von","parse-names":false,"suffix":""},{"dropping-particle":"","family":"Suutari","given":"Henna","non-dropping-particle":"","parse-names":false,"suffix":""},{"dropping-particle":"","family":"Sugita","given":"Shinya","non-dropping-particle":"","parse-names":false,"suffix":""}],"container-title":"Vegetation History and Archaeobotany","id":"ITEM-1","issue":"5","issued":{"date-parts":[["2008","9","8"]]},"page":"461-478","title":"Pollen productivity estimates of key European plant taxa for quantitative reconstruction of past vegetation: a review","type":"article-journal","volume":"17"},"uris":["http://www.mendeley.com/documents/?uuid=371935c1-c618-3c45-896f-eda8fa2ab867"]},{"id":"ITEM-2","itemData":{"DOI":"10.3389/fpls.2018.01214","ISSN":"1664-462X","author":[{"dropping-particle":"","family":"Li","given":"Furong","non-dropping-particle":"","parse-names":false,"suffix":""},{"dropping-particle":"","family":"Gaillard","given":"Marie-José","non-dropping-particle":"","parse-names":false,"suffix":""},{"dropping-particle":"","family":"Xu","given":"Qinghai","non-dropping-particle":"","parse-names":false,"suffix":""},{"dropping-particle":"","family":"Bunting","given":"Mairi J.","non-dropping-particle":"","parse-names":false,"suffix":""},{"dropping-particle":"","family":"Li","given":"Yuecong","non-dropping-particle":"","parse-names":false,"suffix":""},{"dropping-particle":"","family":"Li","given":"Jie","non-dropping-particle":"","parse-names":false,"suffix":""},{"dropping-particle":"","family":"Mu","given":"Huishuang","non-dropping-particle":"","parse-names":false,"suffix":""},{"dropping-particle":"","family":"Lu","given":"Jingyao","non-dropping-particle":"","parse-names":false,"suffix":""},{"dropping-particle":"","family":"Zhang","given":"Panpan","non-dropping-particle":"","parse-names":false,"suffix":""},{"dropping-particle":"","family":"Zhang","given":"Shengrui","non-dropping-particle":"","parse-names":false,"suffix":""},{"dropping-particle":"","family":"Cui","given":"Qiaoyu","non-dropping-particle":"","parse-names":false,"suffix":""},{"dropping-particle":"","family":"Zhang","given":"Yahong","non-dropping-particle":"","parse-names":false,"suffix":""},{"dropping-particle":"","family":"Shen","given":"Wei","non-dropping-particle":"","parse-names":false,"suffix":""}],"container-title":"Frontiers in Plant Science","id":"ITEM-2","issued":{"date-parts":[["2018","9","5"]]},"title":"A Review of Relative Pollen Productivity Estimates From Temperate China for Pollen-Based Quantitative Reconstruction of Past Plant Cover","type":"article-journal","volume":"9"},"uris":["http://www.mendeley.com/documents/?uuid=e97c7879-616c-3fb7-9209-1eb6890dab01"]}],"mendeley":{"formattedCitation":"&lt;sup&gt;[32, 88]&lt;/sup&gt;","manualFormatting":"[74,75]","plainTextFormattedCitation":"[32, 88]","previouslyFormattedCitation":"(Broström, Nielsen, Gaillard, Hjelle, Mazier, Binney, Bunting, Fyfe, Meltsov, Poska, Räsänen, Soepboer, von Stedingk, et al., 2008; Li et al., 2018)"},"properties":{"noteIndex":0},"schema":"https://github.com/citation-style-language/schema/raw/master/csl-citation.json"}</w:instrText>
      </w:r>
      <w:r>
        <w:rPr>
          <w:rStyle w:val="FootnoteReference"/>
          <w:rFonts w:cstheme="minorHAnsi"/>
          <w:color w:val="auto"/>
          <w:lang w:val="en-GB"/>
        </w:rPr>
        <w:fldChar w:fldCharType="separate"/>
      </w:r>
      <w:r>
        <w:rPr>
          <w:rFonts w:cstheme="minorHAnsi"/>
          <w:noProof/>
          <w:lang w:val="en-GB"/>
        </w:rPr>
        <w:t>[73,74]</w:t>
      </w:r>
      <w:r>
        <w:rPr>
          <w:rStyle w:val="FootnoteReference"/>
          <w:rFonts w:cstheme="minorHAnsi"/>
          <w:color w:val="auto"/>
          <w:lang w:val="en-GB"/>
        </w:rPr>
        <w:fldChar w:fldCharType="end"/>
      </w:r>
      <w:r>
        <w:rPr>
          <w:rFonts w:cstheme="minorHAnsi"/>
          <w:color w:val="auto"/>
          <w:lang w:val="en-GB"/>
        </w:rPr>
        <w:t xml:space="preserve">. </w:t>
      </w:r>
      <w:r>
        <w:rPr>
          <w:rFonts w:cstheme="minorHAnsi"/>
          <w:lang w:val="en-GB"/>
        </w:rPr>
        <w:t xml:space="preserve">They are mainly methodological factors, such as different sampling designs, environmental factors, and vegetation characteristics. </w:t>
      </w:r>
      <w:r>
        <w:rPr>
          <w:rStyle w:val="FootnoteReference"/>
          <w:rFonts w:cstheme="minorHAnsi"/>
          <w:color w:val="auto"/>
          <w:lang w:val="en-GB"/>
        </w:rPr>
        <w:fldChar w:fldCharType="begin" w:fldLock="1"/>
      </w:r>
      <w:r>
        <w:rPr>
          <w:rFonts w:cstheme="minorHAnsi"/>
          <w:lang w:val="en-GB"/>
        </w:rPr>
        <w:instrText>ADDIN CSL_CITATION {"citationItems":[{"id":"ITEM-1","itemData":{"DOI":"10.3389/fpls.2018.01214","ISSN":"1664-462X","author":[{"dropping-particle":"","family":"Li","given":"Furong","non-dropping-particle":"","parse-names":false,"suffix":""},{"dropping-particle":"","family":"Gaillard","given":"Marie-José","non-dropping-particle":"","parse-names":false,"suffix":""},{"dropping-particle":"","family":"Xu","given":"Qinghai","non-dropping-particle":"","parse-names":false,"suffix":""},{"dropping-particle":"","family":"Bunting","given":"Mairi J.","non-dropping-particle":"","parse-names":false,"suffix":""},{"dropping-particle":"","family":"Li","given":"Yuecong","non-dropping-particle":"","parse-names":false,"suffix":""},{"dropping-particle":"","family":"Li","given":"Jie","non-dropping-particle":"","parse-names":false,"suffix":""},{"dropping-particle":"","family":"Mu","given":"Huishuang","non-dropping-particle":"","parse-names":false,"suffix":""},{"dropping-particle":"","family":"Lu","given":"Jingyao","non-dropping-particle":"","parse-names":false,"suffix":""},{"dropping-particle":"","family":"Zhang","given":"Panpan","non-dropping-particle":"","parse-names":false,"suffix":""},{"dropping-particle":"","family":"Zhang","given":"Shengrui","non-dropping-particle":"","parse-names":false,"suffix":""},{"dropping-particle":"","family":"Cui","given":"Qiaoyu","non-dropping-particle":"","parse-names":false,"suffix":""},{"dropping-particle":"","family":"Zhang","given":"Yahong","non-dropping-particle":"","parse-names":false,"suffix":""},{"dropping-particle":"","family":"Shen","given":"Wei","non-dropping-particle":"","parse-names":false,"suffix":""}],"container-title":"Frontiers in Plant Science","id":"ITEM-1","issued":{"date-parts":[["2018","9","5"]]},"title":"A Review of Relative Pollen Productivity Estimates From Temperate China for Pollen-Based Quantitative Reconstruction of Past Plant Cover","type":"article-journal","volume":"9"},"uris":["http://www.mendeley.com/documents/?uuid=e97c7879-616c-3fb7-9209-1eb6890dab01"]}],"mendeley":{"formattedCitation":"&lt;sup&gt;[88]&lt;/sup&gt;","manualFormatting":"[91]","plainTextFormattedCitation":"[88]","previouslyFormattedCitation":"(Li et al., 2018)"},"properties":{"noteIndex":0},"schema":"https://github.com/citation-style-language/schema/raw/master/csl-citation.json"}</w:instrText>
      </w:r>
      <w:r>
        <w:rPr>
          <w:rStyle w:val="FootnoteReference"/>
          <w:rFonts w:cstheme="minorHAnsi"/>
          <w:color w:val="auto"/>
          <w:lang w:val="en-GB"/>
        </w:rPr>
        <w:fldChar w:fldCharType="separate"/>
      </w:r>
      <w:r>
        <w:rPr>
          <w:rFonts w:cstheme="minorHAnsi"/>
          <w:noProof/>
          <w:lang w:val="en-GB"/>
        </w:rPr>
        <w:t>[88]</w:t>
      </w:r>
      <w:r>
        <w:rPr>
          <w:rStyle w:val="FootnoteReference"/>
          <w:rFonts w:cstheme="minorHAnsi"/>
          <w:color w:val="auto"/>
          <w:lang w:val="en-GB"/>
        </w:rPr>
        <w:fldChar w:fldCharType="end"/>
      </w:r>
      <w:r>
        <w:rPr>
          <w:rFonts w:cstheme="minorHAnsi"/>
          <w:lang w:val="en-GB"/>
        </w:rPr>
        <w:t xml:space="preserve"> discussed in detail for </w:t>
      </w:r>
      <w:r>
        <w:rPr>
          <w:rFonts w:cstheme="minorHAnsi"/>
          <w:i/>
          <w:lang w:val="en-GB"/>
        </w:rPr>
        <w:t>Pinus (mainly P. sylvestris)</w:t>
      </w:r>
      <w:r>
        <w:rPr>
          <w:rFonts w:cstheme="minorHAnsi"/>
          <w:lang w:val="en-GB"/>
        </w:rPr>
        <w:t xml:space="preserve"> and </w:t>
      </w:r>
      <w:r>
        <w:rPr>
          <w:rFonts w:cstheme="minorHAnsi"/>
          <w:i/>
          <w:lang w:val="en-GB"/>
        </w:rPr>
        <w:t>Artemisia (mainly A. vulgaris)</w:t>
      </w:r>
      <w:r>
        <w:rPr>
          <w:rFonts w:cstheme="minorHAnsi"/>
          <w:lang w:val="en-GB"/>
        </w:rPr>
        <w:t xml:space="preserve"> that the methodological differences like pollen and vegetation sampling methods can explain the variability of RPP estimates within one taxon. </w:t>
      </w:r>
      <w:r>
        <w:rPr>
          <w:lang w:val="en-GB"/>
        </w:rPr>
        <w:t>All RPP values selected for these syntheses are expressed relative to Poaceae (RPP = 1).</w:t>
      </w:r>
    </w:p>
    <w:p w14:paraId="1A0606CA" w14:textId="77777777" w:rsidR="004653D0" w:rsidRDefault="004653D0" w:rsidP="004653D0">
      <w:pPr>
        <w:pStyle w:val="MDPI31text"/>
        <w:rPr>
          <w:lang w:val="en-GB"/>
        </w:rPr>
      </w:pPr>
      <w:r>
        <w:rPr>
          <w:lang w:val="en-GB"/>
        </w:rPr>
        <w:t xml:space="preserve">For all of the three RPP-means datasets (Table A1), we excluded from the average calculation two taxa and one family: </w:t>
      </w:r>
      <w:r>
        <w:rPr>
          <w:i/>
          <w:lang w:val="en-GB"/>
        </w:rPr>
        <w:t>Vaccinium (</w:t>
      </w:r>
      <w:proofErr w:type="spellStart"/>
      <w:r>
        <w:rPr>
          <w:i/>
          <w:lang w:val="en-GB"/>
        </w:rPr>
        <w:t>Vaccinum</w:t>
      </w:r>
      <w:proofErr w:type="spellEnd"/>
      <w:r>
        <w:rPr>
          <w:i/>
          <w:lang w:val="en-GB"/>
        </w:rPr>
        <w:t xml:space="preserve"> spp.)</w:t>
      </w:r>
      <w:r>
        <w:rPr>
          <w:lang w:val="en-GB"/>
        </w:rPr>
        <w:t xml:space="preserve">, </w:t>
      </w:r>
      <w:r>
        <w:rPr>
          <w:i/>
          <w:lang w:val="en-GB"/>
        </w:rPr>
        <w:t>Larix</w:t>
      </w:r>
      <w:r>
        <w:rPr>
          <w:lang w:val="en-GB"/>
        </w:rPr>
        <w:t>/</w:t>
      </w:r>
      <w:proofErr w:type="spellStart"/>
      <w:r>
        <w:rPr>
          <w:i/>
          <w:lang w:val="en-GB"/>
        </w:rPr>
        <w:t>Pseudotsuga</w:t>
      </w:r>
      <w:proofErr w:type="spellEnd"/>
      <w:r>
        <w:rPr>
          <w:lang w:val="en-GB"/>
        </w:rPr>
        <w:t>, Cupressaceae (</w:t>
      </w:r>
      <w:r>
        <w:rPr>
          <w:i/>
          <w:lang w:val="en-GB"/>
        </w:rPr>
        <w:t xml:space="preserve">Juniperus communis, J. </w:t>
      </w:r>
      <w:proofErr w:type="spellStart"/>
      <w:r>
        <w:rPr>
          <w:i/>
          <w:lang w:val="en-GB"/>
        </w:rPr>
        <w:t>phoenicea</w:t>
      </w:r>
      <w:proofErr w:type="spellEnd"/>
      <w:r>
        <w:rPr>
          <w:i/>
          <w:lang w:val="en-GB"/>
        </w:rPr>
        <w:t xml:space="preserve">, J. </w:t>
      </w:r>
      <w:proofErr w:type="spellStart"/>
      <w:r>
        <w:rPr>
          <w:i/>
          <w:lang w:val="en-GB"/>
        </w:rPr>
        <w:t>oxycedrus</w:t>
      </w:r>
      <w:proofErr w:type="spellEnd"/>
      <w:r>
        <w:rPr>
          <w:lang w:val="en-GB"/>
        </w:rPr>
        <w:t xml:space="preserve">), mainly due to uncertainties mentioned by the authors in the original publications (e.g., </w:t>
      </w:r>
      <w:r>
        <w:rPr>
          <w:i/>
          <w:lang w:val="en-GB"/>
        </w:rPr>
        <w:t>Vaccinium</w:t>
      </w:r>
      <w:r>
        <w:rPr>
          <w:lang w:val="en-GB"/>
        </w:rPr>
        <w:t xml:space="preserve"> for Finland </w:t>
      </w:r>
      <w:r>
        <w:rPr>
          <w:rStyle w:val="FootnoteReference"/>
          <w:rFonts w:cstheme="minorHAnsi"/>
          <w:color w:val="auto"/>
          <w:lang w:val="en-GB"/>
        </w:rPr>
        <w:fldChar w:fldCharType="begin" w:fldLock="1"/>
      </w:r>
      <w:r>
        <w:rPr>
          <w:lang w:val="en-GB"/>
        </w:rPr>
        <w:instrText>ADDIN CSL_CITATION {"citationItems":[{"id":"ITEM-1","itemData":{"DOI":"10.1016/J.REVPALBO.2007.04.004","ISSN":"0034-6667","abstract":"Pollen productivity estimates (PPE) are needed for producing quantitative reconstructions of the past landscapes by means of modelling. This study aims to provide estimates of relative pollen productivity for the two main tree species (Pinus sylvestris L. and Betula sp.), for Cyperaceae and Gramineae, and the dominant dwarf shrubs (Empetrum, Vaccinium sp.) of northern boreal forest vegetation in Finnish Lapland. A set of 24 moss samples were collected and their pollen content analysed, and detailed vegetation analyses were carried out within a 10.5 m radius around the samples. Vegetation further away, up to 10 km from the sites, was analysed from the Finnish Land Survey data. Vegetation proportions were calculated from the remotely sensed data using the program PolFlow, and distance weighting was applied using the program ERV_v6. The distance weighted vegetation data from the field survey and the Land Survey data were combined, and analysed with the pollen data using the ERV model. The resulting PPEs were evaluated by simulating pollen loadings with the POLLSCAPE model for an independent set of eight moss samples from the same area, using the obtained PPEs. The estimated pollen loadings and the observed pollen loadings were compared using paired samples t-tests. The PPEs obtained for the two major tree species are in keeping with expectations: PPE for Pinus is 8.4 (reference taxon Gramineae = 1) and for Betula 4.6. For Cyperaceae (0.002), Empetrum (0.07), and Vaccinium (0.01) the PPEs are very low and, according to paired samples t-test of the predicted and actual pollen loading, not reliable for Cyperaceae and Gramineae. The radius of the relevant source area of pollen (RSAP) is estimated to be ca. 1000 m. The pollen productivity estimates of the species, especially Pinus and Betula, are different in the northern boreal forest than in previously studied areas, such as southern Sweden. This has great implications for quantitative interpretations of fossil pollen records from the region. © 2007 Elsevier B.V. All rights reserved.","author":[{"dropping-particle":"","family":"Räsänen","given":"Satu","non-dropping-particle":"","parse-names":false,"suffix":""},{"dropping-particle":"","family":"Suutari","given":"Henna","non-dropping-particle":"","parse-names":false,"suffix":""},{"dropping-particle":"","family":"Nielsen","given":"Anne Birgitte","non-dropping-particle":"","parse-names":false,"suffix":""}],"container-title":"Review of Palaeobotany and Palynology","id":"ITEM-1","issue":"1-4","issued":{"date-parts":[["2007","9","1"]]},"page":"208-220","publisher":"Elsevier","title":"A step further towards quantitative reconstruction of past vegetation in Fennoscandian boreal forests: Pollen productivity estimates for six dominant taxa","type":"article-journal","volume":"146"},"uris":["http://www.mendeley.com/documents/?uuid=09bf762a-c393-3a1a-b7eb-b47c3b9db88a"]}],"mendeley":{"formattedCitation":"&lt;sup&gt;[89]&lt;/sup&gt;","manualFormatting":"[92]","plainTextFormattedCitation":"[89]","previouslyFormattedCitation":"(Räsänen et al., 2007)"},"properties":{"noteIndex":0},"schema":"https://github.com/citation-style-language/schema/raw/master/csl-citation.json"}</w:instrText>
      </w:r>
      <w:r>
        <w:rPr>
          <w:rStyle w:val="FootnoteReference"/>
          <w:rFonts w:cstheme="minorHAnsi"/>
          <w:color w:val="auto"/>
          <w:lang w:val="en-GB"/>
        </w:rPr>
        <w:fldChar w:fldCharType="separate"/>
      </w:r>
      <w:r>
        <w:rPr>
          <w:noProof/>
          <w:lang w:val="en-GB"/>
        </w:rPr>
        <w:t>[89]</w:t>
      </w:r>
      <w:r>
        <w:rPr>
          <w:rStyle w:val="FootnoteReference"/>
          <w:rFonts w:cstheme="minorHAnsi"/>
          <w:color w:val="auto"/>
          <w:lang w:val="en-GB"/>
        </w:rPr>
        <w:fldChar w:fldCharType="end"/>
      </w:r>
      <w:r>
        <w:rPr>
          <w:lang w:val="en-GB"/>
        </w:rPr>
        <w:t xml:space="preserve">). The RPP value used for </w:t>
      </w:r>
      <w:r>
        <w:rPr>
          <w:i/>
          <w:lang w:val="en-GB"/>
        </w:rPr>
        <w:t>Juniperus</w:t>
      </w:r>
      <w:r>
        <w:rPr>
          <w:lang w:val="en-GB"/>
        </w:rPr>
        <w:t xml:space="preserve"> </w:t>
      </w:r>
      <w:r>
        <w:rPr>
          <w:i/>
          <w:lang w:val="en-GB"/>
        </w:rPr>
        <w:t>communis</w:t>
      </w:r>
      <w:r>
        <w:rPr>
          <w:lang w:val="en-GB"/>
        </w:rPr>
        <w:t xml:space="preserve"> did not include the Mediterranean RPP value </w:t>
      </w:r>
      <w:r>
        <w:rPr>
          <w:noProof/>
          <w:lang w:val="en-GB"/>
        </w:rPr>
        <w:t>[28]</w:t>
      </w:r>
      <w:r>
        <w:rPr>
          <w:lang w:val="en-GB"/>
        </w:rPr>
        <w:t>.</w:t>
      </w:r>
    </w:p>
    <w:p w14:paraId="743F28F4" w14:textId="77777777" w:rsidR="004653D0" w:rsidRDefault="004653D0" w:rsidP="004653D0">
      <w:pPr>
        <w:pStyle w:val="MDPI31text"/>
        <w:rPr>
          <w:lang w:val="en-GB"/>
        </w:rPr>
      </w:pPr>
      <w:r>
        <w:rPr>
          <w:lang w:val="en-GB"/>
        </w:rPr>
        <w:t xml:space="preserve">The model used to estimate RPP is Extended R-Value (ERV) </w:t>
      </w:r>
      <w:r>
        <w:rPr>
          <w:rStyle w:val="FootnoteReference"/>
          <w:rFonts w:cstheme="minorHAnsi"/>
          <w:color w:val="auto"/>
          <w:lang w:val="en-GB"/>
        </w:rPr>
        <w:fldChar w:fldCharType="begin" w:fldLock="1"/>
      </w:r>
      <w:r>
        <w:rPr>
          <w:lang w:val="en-GB"/>
        </w:rPr>
        <w:instrText>ADDIN CSL_CITATION {"citationItems":[{"id":"ITEM-1","itemData":{"DOI":"10.1016/j.quascirev.2013.10.006","ISSN":"02773791","abstract":"1. Quantitative reconstruction of past vegetation distribution and abundance from sedimentary pollen records provides an important baseline for understanding long term ecosystem dynamics and for the calibration of earth system process models such as regional-scale climate models, widely used to predict future environmental change. Most current approaches assume that the amount of pollen produced by each vegetation type, usually expressed as a relative pollen productivity term, is constant in space and time.2. Estimates of relative pollen productivity can be extracted from extended R-value analysis (Parsons and Prentice, 1981) using comparisons between pollen assemblages deposited into sedimentary contexts, such as moss polsters, and measurements of the present day vegetation cover around the sampled location. Vegetation survey method has been shown to have a profound effect on estimates of model parameters (Bunting and Hjelle, 2010), therefore a standard method is an essential pre-requisite for testing some of the key assumptions of pollen-based reconstruction of past vegetation; such as the assumption that relative pollen productivity is effectively constant in space and time within a region or biome.3. This paper systematically reviews the assumptions and methodology underlying current models of pollen dispersal and deposition, and thereby identifies the key characteristics of an effective vegetation survey method for estimating relative pollen productivity in a range of landscape contexts.4. It then presents the methodology used in a current research project, developed during a practitioner workshop. The method selected is pragmatic, designed to be replicable by different research groups, usable in a wide range of habitats, and requiring minimum effort to collect adequate data for model calibration rather than representing some ideal or required approach. Using this common methodology will allow project members to collect multiple measurements of relative pollen productivity for major plant taxa from several northern European locations in order to test the assumption of uniformity of these values within the climatic range of the main taxa recorded in pollen records from the region. © 2013 Elsevier Ltd.","author":[{"dropping-particle":"","family":"Bunting","given":"M. J.","non-dropping-particle":"","parse-names":false,"suffix":""},{"dropping-particle":"","family":"Farrell","given":"M.","non-dropping-particle":"","parse-names":false,"suffix":""},{"dropping-particle":"","family":"Broström","given":"A.","non-dropping-particle":"","parse-names":false,"suffix":""},{"dropping-particle":"","family":"Hjelle","given":"K. L.","non-dropping-particle":"","parse-names":false,"suffix":""},{"dropping-particle":"","family":"Mazier","given":"F.","non-dropping-particle":"","parse-names":false,"suffix":""},{"dropping-particle":"","family":"Middleton","given":"R.","non-dropping-particle":"","parse-names":false,"suffix":""},{"dropping-particle":"","family":"Nielsen","given":"A. B.","non-dropping-particle":"","parse-names":false,"suffix":""},{"dropping-particle":"","family":"Rushton","given":"E.","non-dropping-particle":"","parse-names":false,"suffix":""},{"dropping-particle":"","family":"Shaw","given":"H.","non-dropping-particle":"","parse-names":false,"suffix":""},{"dropping-particle":"","family":"Twiddle","given":"C. L.","non-dropping-particle":"","parse-names":false,"suffix":""}],"container-title":"Quaternary Science Reviews","id":"ITEM-1","issued":{"date-parts":[["2013"]]},"page":"41-55","publisher":"Elsevier Ltd","title":"Palynological perspectives on vegetation survey: A critical step for model-based reconstruction of Quaternary land cover","type":"article-journal","volume":"82"},"uris":["http://www.mendeley.com/documents/?uuid=3a302ac7-985a-43f5-b3ba-e666c6d5a062"]}],"mendeley":{"formattedCitation":"&lt;sup&gt;[40]&lt;/sup&gt;","manualFormatting":"[42,45,89]","plainTextFormattedCitation":"[40]","previouslyFormattedCitation":"(Bunting et al., 2013)"},"properties":{"noteIndex":0},"schema":"https://github.com/citation-style-language/schema/raw/master/csl-citation.json"}</w:instrText>
      </w:r>
      <w:r>
        <w:rPr>
          <w:rStyle w:val="FootnoteReference"/>
          <w:rFonts w:cstheme="minorHAnsi"/>
          <w:color w:val="auto"/>
          <w:lang w:val="en-GB"/>
        </w:rPr>
        <w:fldChar w:fldCharType="separate"/>
      </w:r>
      <w:r>
        <w:rPr>
          <w:noProof/>
          <w:lang w:val="en-GB"/>
        </w:rPr>
        <w:t>[42,45,90]</w:t>
      </w:r>
      <w:r>
        <w:rPr>
          <w:rStyle w:val="FootnoteReference"/>
          <w:rFonts w:cstheme="minorHAnsi"/>
          <w:color w:val="auto"/>
          <w:lang w:val="en-GB"/>
        </w:rPr>
        <w:fldChar w:fldCharType="end"/>
      </w:r>
      <w:r>
        <w:rPr>
          <w:rFonts w:cstheme="minorHAnsi"/>
          <w:color w:val="auto"/>
          <w:lang w:val="en-GB"/>
        </w:rPr>
        <w:t>,</w:t>
      </w:r>
      <w:r>
        <w:rPr>
          <w:rFonts w:cstheme="minorHAnsi"/>
          <w:lang w:val="en-GB"/>
        </w:rPr>
        <w:t xml:space="preserve"> </w:t>
      </w:r>
      <w:r>
        <w:rPr>
          <w:lang w:val="en-GB"/>
        </w:rPr>
        <w:t xml:space="preserve">which takes into account the modern pollen assemblages (e.g., moss </w:t>
      </w:r>
      <w:proofErr w:type="spellStart"/>
      <w:r>
        <w:rPr>
          <w:lang w:val="en-GB"/>
        </w:rPr>
        <w:t>polsters</w:t>
      </w:r>
      <w:proofErr w:type="spellEnd"/>
      <w:r>
        <w:rPr>
          <w:lang w:val="en-GB"/>
        </w:rPr>
        <w:t xml:space="preserve">, lake sediments, soil samples) and the related vegetation cover. Estimation of RPP values has been carried out in 17 study regions across Europe: Britain </w:t>
      </w:r>
      <w:r>
        <w:rPr>
          <w:rStyle w:val="FootnoteReference"/>
          <w:rFonts w:cstheme="minorHAnsi"/>
          <w:color w:val="auto"/>
          <w:lang w:val="en-GB"/>
        </w:rPr>
        <w:fldChar w:fldCharType="begin" w:fldLock="1"/>
      </w:r>
      <w:r>
        <w:rPr>
          <w:lang w:val="en-GB"/>
        </w:rPr>
        <w:instrText>ADDIN CSL_CITATION {"citationItems":[{"id":"ITEM-1","itemData":{"DOI":"10.1016/J.REVPALBO.2004.12.009","ISSN":"0034-6667","abstract":"This paper introduces a suite of software (HUMPOL) for modelling pollen dispersal and deposition. The suite uses a standard algorithm, the Sutton equation, to model pollen dispersal from vegetation sources and pollen deposition at a sampling location but handles vegetation data more flexibly than existing software packages. The suite is designed as a platform for development of new models of pollen dispersal and deposition, and the production of simulated pollen data from maps of real landscapes for empirical tests of the model. Results are shown to be comparable with those produced by existing software. We also present a simple variation on the standard algorithm which simulates a variable windrose (current models assume uniform wind distribution around the compass) and show that this can reproduce the main features of empirical data. © 2005 Elsevier B.V. All rights reserved.","author":[{"dropping-particle":"","family":"Bunting","given":"M. Jane","non-dropping-particle":"","parse-names":false,"suffix":""},{"dropping-particle":"","family":"Middleton","given":"Dick","non-dropping-particle":"","parse-names":false,"suffix":""}],"container-title":"Review of Palaeobotany and Palynology","id":"ITEM-1","issue":"3-4","issued":{"date-parts":[["2005","5","1"]]},"page":"185-196","publisher":"Elsevier","title":"Modelling pollen dispersal and deposition using HUMPOL software, including simulating windroses and irregular lakes","type":"article-journal","volume":"134"},"uris":["http://www.mendeley.com/documents/?uuid=20ed05bf-1155-38c2-a79e-d4ab84da78ce"]}],"mendeley":{"formattedCitation":"&lt;sup&gt;[90]&lt;/sup&gt;","manualFormatting":"[93]","plainTextFormattedCitation":"[90]","previouslyFormattedCitation":"(Bunting &amp; Middleton, 2005)"},"properties":{"noteIndex":0},"schema":"https://github.com/citation-style-language/schema/raw/master/csl-citation.json"}</w:instrText>
      </w:r>
      <w:r>
        <w:rPr>
          <w:rStyle w:val="FootnoteReference"/>
          <w:rFonts w:cstheme="minorHAnsi"/>
          <w:color w:val="auto"/>
          <w:lang w:val="en-GB"/>
        </w:rPr>
        <w:fldChar w:fldCharType="separate"/>
      </w:r>
      <w:r>
        <w:rPr>
          <w:noProof/>
          <w:lang w:val="en-GB"/>
        </w:rPr>
        <w:t>[91]</w:t>
      </w:r>
      <w:r>
        <w:rPr>
          <w:rStyle w:val="FootnoteReference"/>
          <w:rFonts w:cstheme="minorHAnsi"/>
          <w:color w:val="auto"/>
          <w:lang w:val="en-GB"/>
        </w:rPr>
        <w:fldChar w:fldCharType="end"/>
      </w:r>
      <w:r>
        <w:rPr>
          <w:lang w:val="en-GB"/>
        </w:rPr>
        <w:t xml:space="preserve">; the Czech Republic, </w:t>
      </w:r>
      <w:r>
        <w:rPr>
          <w:rStyle w:val="FootnoteReference"/>
          <w:rFonts w:cstheme="minorHAnsi"/>
          <w:color w:val="auto"/>
          <w:lang w:val="en-GB"/>
        </w:rPr>
        <w:fldChar w:fldCharType="begin" w:fldLock="1"/>
      </w:r>
      <w:r>
        <w:rPr>
          <w:lang w:val="en-GB"/>
        </w:rPr>
        <w:instrText>ADDIN CSL_CITATION {"citationItems":[{"id":"ITEM-1","itemData":{"DOI":"10.1016/j.revpalbo.2012.04.004","ISSN":"00346667","author":[{"dropping-particle":"","family":"Abraham","given":"Vojtěch","non-dropping-particle":"","parse-names":false,"suffix":""},{"dropping-particle":"","family":"Kozáková","given":"Radka","non-dropping-particle":"","parse-names":false,"suffix":""}],"container-title":"Review of Palaeobotany and Palynology","id":"ITEM-1","issued":{"date-parts":[["2012","7"]]},"page":"1-12","title":"Relative pollen productivity estimates in the modern agricultural landscape of Central Bohemia (Czech Republic)","type":"article-journal","volume":"179"},"uris":["http://www.mendeley.com/documents/?uuid=70e9308b-8dd9-312e-9d82-f3ff8e920eed"]}],"mendeley":{"formattedCitation":"&lt;sup&gt;[91]&lt;/sup&gt;","manualFormatting":"[94]","plainTextFormattedCitation":"[91]","previouslyFormattedCitation":"(Abraham &amp; Kozáková, 2012)"},"properties":{"noteIndex":0},"schema":"https://github.com/citation-style-language/schema/raw/master/csl-citation.json"}</w:instrText>
      </w:r>
      <w:r>
        <w:rPr>
          <w:rStyle w:val="FootnoteReference"/>
          <w:rFonts w:cstheme="minorHAnsi"/>
          <w:color w:val="auto"/>
          <w:lang w:val="en-GB"/>
        </w:rPr>
        <w:fldChar w:fldCharType="separate"/>
      </w:r>
      <w:r>
        <w:rPr>
          <w:bCs/>
          <w:noProof/>
        </w:rPr>
        <w:t>[92]</w:t>
      </w:r>
      <w:r>
        <w:rPr>
          <w:rStyle w:val="FootnoteReference"/>
          <w:rFonts w:cstheme="minorHAnsi"/>
          <w:color w:val="auto"/>
          <w:lang w:val="en-GB"/>
        </w:rPr>
        <w:fldChar w:fldCharType="end"/>
      </w:r>
      <w:r>
        <w:rPr>
          <w:lang w:val="en-GB"/>
        </w:rPr>
        <w:t xml:space="preserve">; Denmark, </w:t>
      </w:r>
      <w:r>
        <w:rPr>
          <w:rStyle w:val="FootnoteReference"/>
          <w:rFonts w:cstheme="minorHAnsi"/>
          <w:color w:val="auto"/>
          <w:lang w:val="en-GB"/>
        </w:rPr>
        <w:fldChar w:fldCharType="begin" w:fldLock="1"/>
      </w:r>
      <w:r>
        <w:rPr>
          <w:lang w:val="en-GB"/>
        </w:rPr>
        <w:instrText>ADDIN CSL_CITATION {"citationItems":[{"id":"ITEM-1","itemData":{"DOI":"10.1111/j.1365-2699.2004.01080.x","ISSN":"03050270","author":[{"dropping-particle":"","family":"Nielsen","given":"Anne Birgitte","non-dropping-particle":"","parse-names":false,"suffix":""}],"container-title":"Journal of Biogeography","id":"ITEM-1","issue":"10","issued":{"date-parts":[["2004","9","13"]]},"page":"1693-1709","title":"Modelling pollen sedimentation in Danish lakes at c.ad 1800: an attempt to validate the POLLSCAPE model","type":"article-journal","volume":"31"},"uris":["http://www.mendeley.com/documents/?uuid=f82b7a4a-63f2-3e99-86d6-0902ce3b0336"]}],"mendeley":{"formattedCitation":"&lt;sup&gt;[92]&lt;/sup&gt;","manualFormatting":"[95]","plainTextFormattedCitation":"[92]","previouslyFormattedCitation":"(Nielsen, 2004)"},"properties":{"noteIndex":0},"schema":"https://github.com/citation-style-language/schema/raw/master/csl-citation.json"}</w:instrText>
      </w:r>
      <w:r>
        <w:rPr>
          <w:rStyle w:val="FootnoteReference"/>
          <w:rFonts w:cstheme="minorHAnsi"/>
          <w:color w:val="auto"/>
          <w:lang w:val="en-GB"/>
        </w:rPr>
        <w:fldChar w:fldCharType="separate"/>
      </w:r>
      <w:r>
        <w:rPr>
          <w:bCs/>
          <w:noProof/>
        </w:rPr>
        <w:t>[93]</w:t>
      </w:r>
      <w:r>
        <w:rPr>
          <w:rStyle w:val="FootnoteReference"/>
          <w:rFonts w:cstheme="minorHAnsi"/>
          <w:color w:val="auto"/>
          <w:lang w:val="en-GB"/>
        </w:rPr>
        <w:fldChar w:fldCharType="end"/>
      </w:r>
      <w:r>
        <w:rPr>
          <w:lang w:val="en-GB"/>
        </w:rPr>
        <w:t xml:space="preserve">; Estonia, </w:t>
      </w:r>
      <w:r>
        <w:rPr>
          <w:rStyle w:val="FootnoteReference"/>
          <w:rFonts w:cstheme="minorHAnsi"/>
          <w:color w:val="auto"/>
          <w:lang w:val="en-GB"/>
        </w:rPr>
        <w:fldChar w:fldCharType="begin" w:fldLock="1"/>
      </w:r>
      <w:r>
        <w:rPr>
          <w:lang w:val="en-GB"/>
        </w:rPr>
        <w:instrText>ADDIN CSL_CITATION {"citationItems":[{"id":"ITEM-1","itemData":{"DOI":"10.1016/J.REVPALBO.2011.07.001","ISSN":"0034-6667","abstract":"Estimates of relevant source area of pollen (RSAP) and relative pollen productivity (PPE) are critical parameters for quantitative reconstructions of past vegetation and land cover. This study provides estimates for PPE relative to Poaceae for ten taxa, characterizing the cultural landscape of south Estonia and the RSAP for 40 lakes with an average radius of approximately 100. m (22-274. m, average 101. m) in the region. We evaluate the effects on those estimates of various combinations of factors, such as the analytical methods (i.e. three Extended R value (ERV) sub-models), the distance-weighting methods used to determine plant abundance, and alternative classification schemes of vegetation and land cover data around study sites. Different combinations of ERV sub-models and distance-weighting methods lead to estimates of RSAP varying between 1500. m and 2000. m. The differences in the estimated RSAP are strongly related to the patch size of the vegetation data. According to ERV sub-model 1, which shows the highest log-likelihood among the three sub-models, most of the taxa have PPE that are higher (Picea, Pinus, Quercus), slightly higher (Salix, Artemisia, Filipendula) or similar (Betula, Cerealia, Cypreraceae) to that of Poaceae. The three ERV sub-models produce only slightly different PPE. However, the selection of distance-weighting method for vegetation has considerable influence on the PPE values. The inverse distance-weighting methods, which do not consider inter-taxonomic differences in pollen dispersal, tend to underestimate PPE for taxa with heavy pollen grains and overestimate PPE for taxa with light pollen grains, compared to the results obtained using other methods that consider taxon specific pollen-dispersal. General land-cover data, based on the classification scheme similar to the CORINE (COoRdination of Information on the Environment) database, could be used for estimating the RSAP and PPE, although some potential problems remain when the classification is too simplified and consolidated. © 2011 Elsevier B.V.","author":[{"dropping-particle":"","family":"Poska","given":"Anneli","non-dropping-particle":"","parse-names":false,"suffix":""},{"dropping-particle":"","family":"Meltsov","given":"Vivika","non-dropping-particle":"","parse-names":false,"suffix":""},{"dropping-particle":"","family":"Sugita","given":"Shinya","non-dropping-particle":"","parse-names":false,"suffix":""},{"dropping-particle":"","family":"Vassiljev","given":"Jüri","non-dropping-particle":"","parse-names":false,"suffix":""}],"container-title":"Review of Palaeobotany and Palynology","id":"ITEM-1","issue":"1-2","issued":{"date-parts":[["2011","9","1"]]},"page":"30-39","publisher":"Elsevier","title":"Relative pollen productivity estimates of major anemophilous taxa and relevant source area of pollen in a cultural landscape of the hemi-boreal forest zone (Estonia)","type":"article-journal","volume":"167"},"uris":["http://www.mendeley.com/documents/?uuid=b37bf352-d21e-38bc-892e-c2825606a864"]}],"mendeley":{"formattedCitation":"&lt;sup&gt;[93]&lt;/sup&gt;","manualFormatting":"[96]","plainTextFormattedCitation":"[93]","previouslyFormattedCitation":"(Poska et al., 2011)"},"properties":{"noteIndex":0},"schema":"https://github.com/citation-style-language/schema/raw/master/csl-citation.json"}</w:instrText>
      </w:r>
      <w:r>
        <w:rPr>
          <w:rStyle w:val="FootnoteReference"/>
          <w:rFonts w:cstheme="minorHAnsi"/>
          <w:color w:val="auto"/>
          <w:lang w:val="en-GB"/>
        </w:rPr>
        <w:fldChar w:fldCharType="separate"/>
      </w:r>
      <w:r>
        <w:rPr>
          <w:bCs/>
          <w:noProof/>
        </w:rPr>
        <w:t>[94]</w:t>
      </w:r>
      <w:r>
        <w:rPr>
          <w:rStyle w:val="FootnoteReference"/>
          <w:rFonts w:cstheme="minorHAnsi"/>
          <w:color w:val="auto"/>
          <w:lang w:val="en-GB"/>
        </w:rPr>
        <w:fldChar w:fldCharType="end"/>
      </w:r>
      <w:r>
        <w:rPr>
          <w:lang w:val="en-GB"/>
        </w:rPr>
        <w:t xml:space="preserve">; Finland </w:t>
      </w:r>
      <w:r>
        <w:rPr>
          <w:rStyle w:val="FootnoteReference"/>
          <w:rFonts w:cstheme="minorHAnsi"/>
          <w:color w:val="auto"/>
          <w:lang w:val="en-GB"/>
        </w:rPr>
        <w:fldChar w:fldCharType="begin" w:fldLock="1"/>
      </w:r>
      <w:r>
        <w:rPr>
          <w:lang w:val="en-GB"/>
        </w:rPr>
        <w:instrText>ADDIN CSL_CITATION {"citationItems":[{"id":"ITEM-1","itemData":{"DOI":"10.1016/J.REVPALBO.2007.04.004","ISSN":"0034-6667","abstract":"Pollen productivity estimates (PPE) are needed for producing quantitative reconstructions of the past landscapes by means of modelling. This study aims to provide estimates of relative pollen productivity for the two main tree species (Pinus sylvestris L. and Betula sp.), for Cyperaceae and Gramineae, and the dominant dwarf shrubs (Empetrum, Vaccinium sp.) of northern boreal forest vegetation in Finnish Lapland. A set of 24 moss samples were collected and their pollen content analysed, and detailed vegetation analyses were carried out within a 10.5 m radius around the samples. Vegetation further away, up to 10 km from the sites, was analysed from the Finnish Land Survey data. Vegetation proportions were calculated from the remotely sensed data using the program PolFlow, and distance weighting was applied using the program ERV_v6. The distance weighted vegetation data from the field survey and the Land Survey data were combined, and analysed with the pollen data using the ERV model. The resulting PPEs were evaluated by simulating pollen loadings with the POLLSCAPE model for an independent set of eight moss samples from the same area, using the obtained PPEs. The estimated pollen loadings and the observed pollen loadings were compared using paired samples t-tests. The PPEs obtained for the two major tree species are in keeping with expectations: PPE for Pinus is 8.4 (reference taxon Gramineae = 1) and for Betula 4.6. For Cyperaceae (0.002), Empetrum (0.07), and Vaccinium (0.01) the PPEs are very low and, according to paired samples t-test of the predicted and actual pollen loading, not reliable for Cyperaceae and Gramineae. The radius of the relevant source area of pollen (RSAP) is estimated to be ca. 1000 m. The pollen productivity estimates of the species, especially Pinus and Betula, are different in the northern boreal forest than in previously studied areas, such as southern Sweden. This has great implications for quantitative interpretations of fossil pollen records from the region. © 2007 Elsevier B.V. All rights reserved.","author":[{"dropping-particle":"","family":"Räsänen","given":"Satu","non-dropping-particle":"","parse-names":false,"suffix":""},{"dropping-particle":"","family":"Suutari","given":"Henna","non-dropping-particle":"","parse-names":false,"suffix":""},{"dropping-particle":"","family":"Nielsen","given":"Anne Birgitte","non-dropping-particle":"","parse-names":false,"suffix":""}],"container-title":"Review of Palaeobotany and Palynology","id":"ITEM-1","issue":"1-4","issued":{"date-parts":[["2007","9","1"]]},"page":"208-220","publisher":"Elsevier","title":"A step further towards quantitative reconstruction of past vegetation in Fennoscandian boreal forests: Pollen productivity estimates for six dominant taxa","type":"article-journal","volume":"146"},"uris":["http://www.mendeley.com/documents/?uuid=09bf762a-c393-3a1a-b7eb-b47c3b9db88a"]}],"mendeley":{"formattedCitation":"&lt;sup&gt;[89]&lt;/sup&gt;","manualFormatting":"[92]","plainTextFormattedCitation":"[89]","previouslyFormattedCitation":"(Räsänen et al., 2007)"},"properties":{"noteIndex":0},"schema":"https://github.com/citation-style-language/schema/raw/master/csl-citation.json"}</w:instrText>
      </w:r>
      <w:r>
        <w:rPr>
          <w:rStyle w:val="FootnoteReference"/>
          <w:rFonts w:cstheme="minorHAnsi"/>
          <w:color w:val="auto"/>
          <w:lang w:val="en-GB"/>
        </w:rPr>
        <w:fldChar w:fldCharType="separate"/>
      </w:r>
      <w:r>
        <w:rPr>
          <w:noProof/>
          <w:lang w:val="en-GB"/>
        </w:rPr>
        <w:t>[89]</w:t>
      </w:r>
      <w:r>
        <w:rPr>
          <w:rStyle w:val="FootnoteReference"/>
          <w:rFonts w:cstheme="minorHAnsi"/>
          <w:color w:val="auto"/>
          <w:lang w:val="en-GB"/>
        </w:rPr>
        <w:fldChar w:fldCharType="end"/>
      </w:r>
      <w:r>
        <w:rPr>
          <w:lang w:val="en-GB"/>
        </w:rPr>
        <w:t xml:space="preserve">; Germany, </w:t>
      </w:r>
      <w:r>
        <w:rPr>
          <w:rStyle w:val="FootnoteReference"/>
          <w:rFonts w:cstheme="minorHAnsi"/>
          <w:color w:val="auto"/>
          <w:lang w:val="en-GB"/>
        </w:rPr>
        <w:fldChar w:fldCharType="begin" w:fldLock="1"/>
      </w:r>
      <w:r>
        <w:rPr>
          <w:lang w:val="en-GB"/>
        </w:rPr>
        <w:instrText>ADDIN CSL_CITATION {"citationItems":[{"id":"ITEM-1","itemData":{"DOI":"10.1007/S00334-012-0373-Z/FIGURES/7","ISSN":"09396314","abstract":"Pollen productivity estimates (PPEs) are indispensable prerequisites for quantitative vegetation reconstructions. Estimates from different European regions show a large variability and it is uncertain whether this reflects regional differences in climate and soil or is brought about by different assessments of vegetation abundance. Forests represent a particular problem as they consist of several layers of vegetation and many tree species only start producing pollen after they have attained ages of several decades. Here we used detailed forest inventory data from north-eastern Germany to investigate the effect of flowering age and understory trees on PPEs. Pollen counts were obtained from 49 small to medium sized lakes chosen to represent the different forest types in the region. Surface samples from lakes within a closed forest of Fagus yielded disproportionate amounts of Fagus pollen, increasing its PPE and the variability of all other estimates. These samples were removed from further analysis but indicate a high trunk-space component that is not considered in the Prentice-Sugita pollen dispersal and deposition model. Results of the restricted dataset show important differences in PPEs based on the consideration of flowering age and understory position. The effect is largest for slow growing and/or late flowering trees like Fagus and Carpinus while it is minimal for species that flower early in their development like Betula and Alnus. The large relevant source area of pollen (RSAP) of 7 km obtained in this study is consistent with the landscape structure of the region. © 2012 The Author(s).","author":[{"dropping-particle":"","family":"Matthias","given":"Isabelle","non-dropping-particle":"","parse-names":false,"suffix":""},{"dropping-particle":"","family":"Nielsen","given":"Anne Birgitte","non-dropping-particle":"","parse-names":false,"suffix":""},{"dropping-particle":"","family":"Giesecke","given":"Thomas","non-dropping-particle":"","parse-names":false,"suffix":""}],"container-title":"Vegetation History and Archaeobotany","id":"ITEM-1","issue":"6","issued":{"date-parts":[["2012","10","10"]]},"page":"471-484","publisher":"Springer","title":"Evaluating the effect of flowering age and forest structure on pollen productivity estimates","type":"article-journal","volume":"21"},"uris":["http://www.mendeley.com/documents/?uuid=fa9a51b1-0e2a-35bb-a05f-9d32f230ea00"]}],"mendeley":{"formattedCitation":"&lt;sup&gt;[34]&lt;/sup&gt;","manualFormatting":"[69,88]","plainTextFormattedCitation":"[34]","previouslyFormattedCitation":"(Matthias et al., 2012)"},"properties":{"noteIndex":0},"schema":"https://github.com/citation-style-language/schema/raw/master/csl-citation.json"}</w:instrText>
      </w:r>
      <w:r>
        <w:rPr>
          <w:rStyle w:val="FootnoteReference"/>
          <w:rFonts w:cstheme="minorHAnsi"/>
          <w:color w:val="auto"/>
          <w:lang w:val="en-GB"/>
        </w:rPr>
        <w:fldChar w:fldCharType="separate"/>
      </w:r>
      <w:r>
        <w:rPr>
          <w:noProof/>
          <w:lang w:val="en-GB"/>
        </w:rPr>
        <w:t>[68,95]</w:t>
      </w:r>
      <w:r>
        <w:rPr>
          <w:rStyle w:val="FootnoteReference"/>
          <w:rFonts w:cstheme="minorHAnsi"/>
          <w:color w:val="auto"/>
          <w:lang w:val="en-GB"/>
        </w:rPr>
        <w:fldChar w:fldCharType="end"/>
      </w:r>
      <w:r>
        <w:rPr>
          <w:lang w:val="en-GB"/>
        </w:rPr>
        <w:t xml:space="preserve">; </w:t>
      </w:r>
      <w:r>
        <w:t xml:space="preserve">Norway, </w:t>
      </w:r>
      <w:r>
        <w:rPr>
          <w:rStyle w:val="FootnoteReference"/>
          <w:rFonts w:cstheme="minorHAnsi"/>
          <w:color w:val="auto"/>
        </w:rPr>
        <w:fldChar w:fldCharType="begin" w:fldLock="1"/>
      </w:r>
      <w:r>
        <w:instrText>ADDIN CSL_CITATION {"citationItems":[{"id":"ITEM-1","itemData":{"DOI":"10.1007/BF01373926","ISSN":"0939-6314","author":[{"dropping-particle":"","family":"Hjelle","given":"Kari Loe","non-dropping-particle":"","parse-names":false,"suffix":""}],"container-title":"Vegetation History and Archaeobotany","id":"ITEM-1","issue":"2","issued":{"date-parts":[["1998","6"]]},"page":"79-96","title":"Herb pollen representation in surface moss samples from mown meadows and pastures in western Norway","type":"article-journal","volume":"7"},"uris":["http://www.mendeley.com/documents/?uuid=3841d5d3-911f-394d-856a-cc4fb5769b3d"]}],"mendeley":{"formattedCitation":"&lt;sup&gt;[95]&lt;/sup&gt;","manualFormatting":"[97]","plainTextFormattedCitation":"[95]","previouslyFormattedCitation":"(Hjelle, 1998)"},"properties":{"noteIndex":0},"schema":"https://github.com/citation-style-language/schema/raw/master/csl-citation.json"}</w:instrText>
      </w:r>
      <w:r>
        <w:rPr>
          <w:rStyle w:val="FootnoteReference"/>
          <w:rFonts w:cstheme="minorHAnsi"/>
          <w:color w:val="auto"/>
        </w:rPr>
        <w:fldChar w:fldCharType="separate"/>
      </w:r>
      <w:r>
        <w:rPr>
          <w:bCs/>
          <w:noProof/>
        </w:rPr>
        <w:t>[96]</w:t>
      </w:r>
      <w:r>
        <w:rPr>
          <w:rStyle w:val="FootnoteReference"/>
          <w:rFonts w:cstheme="minorHAnsi"/>
          <w:color w:val="auto"/>
        </w:rPr>
        <w:fldChar w:fldCharType="end"/>
      </w:r>
      <w:r>
        <w:t xml:space="preserve">; Poland, </w:t>
      </w:r>
      <w:r>
        <w:rPr>
          <w:rStyle w:val="FootnoteReference"/>
          <w:rFonts w:cstheme="minorHAnsi"/>
          <w:color w:val="auto"/>
        </w:rPr>
        <w:fldChar w:fldCharType="begin" w:fldLock="1"/>
      </w:r>
      <w:r>
        <w:instrText>ADDIN CSL_CITATION {"citationItems":[{"id":"ITEM-1","itemData":{"DOI":"10.1177/0959683615596822","ISBN":"0959683615","ISSN":"14770911","abstract":"Pollen productivity estimates of individual plant taxa are necessary when determining changes of vegetation cover during the Holocene. To date, studies describing this parameter in lowland temperate Europe have been carried out in cultural landscapes showing low forest cover and dominated by human activities. However, these may be of limited use when applied to reconstruct past land cover, for instance, from pre-agricultural landscapes. The aim of this paper is to ascertain whether pollen productivity from the closed-canopy old-growth forest in the Białowieża National Park, Poland, where human impact has been minimal for nearly a century, is different from that calculated in much more open landscapes. We ask: how much does forest antiquity and structure influence the amount of pollen released from particular taxa? We implemented maximum likelihood estimation of relative pollen productivity for seven tree species and for Poaceae using 18 modern pollen assemblages and distance-weighted plant abundances. Our results demonstrate that the ratio of pollen productivity between high producers (Pinus sylvestris and Quercus robur) and low producers (Poaceae, Corylus avellana) is on an average six times greater in Białowieża than across other European cultural landscapes. Pollen from forest Poaceae and C. avellana is six times more under-represented in old-growth forest than hitherto estimated from cultural landscapes. This finding reinforces the idea that pollen productivity can vary in response to changes in the prevailing environmental settings and we present for the first time a quantification of this variability, likely induced by differences in light availability.","author":[{"dropping-particle":"","family":"Baker","given":"Ambroise G.","non-dropping-particle":"","parse-names":false,"suffix":""},{"dropping-particle":"","family":"Zimny","given":"Marcelina","non-dropping-particle":"","parse-names":false,"suffix":""},{"dropping-particle":"","family":"Keczyński","given":"Andrzej","non-dropping-particle":"","parse-names":false,"suffix":""},{"dropping-particle":"","family":"Bhagwat","given":"Shonil A.","non-dropping-particle":"","parse-names":false,"suffix":""},{"dropping-particle":"","family":"Willis","given":"Kathy J.","non-dropping-particle":"","parse-names":false,"suffix":""},{"dropping-particle":"","family":"Latałowa","given":"Małgorzata","non-dropping-particle":"","parse-names":false,"suffix":""}],"container-title":"Holocene","id":"ITEM-1","issue":"1","issued":{"date-parts":[["2016"]]},"page":"80-92","title":"Pollen productivity estimates from old-growth forest strongly differ from those obtained in cultural landscapes: Evidence from the Białowieża National Park, Poland","type":"article-journal","volume":"26"},"uris":["http://www.mendeley.com/documents/?uuid=cd604133-3e33-440c-b1d7-4a3882d1e9a5"]}],"mendeley":{"formattedCitation":"&lt;sup&gt;[96]&lt;/sup&gt;","manualFormatting":"[98]","plainTextFormattedCitation":"[96]","previouslyFormattedCitation":"(Baker et al., 2016)"},"properties":{"noteIndex":0},"schema":"https://github.com/citation-style-language/schema/raw/master/csl-citation.json"}</w:instrText>
      </w:r>
      <w:r>
        <w:rPr>
          <w:rStyle w:val="FootnoteReference"/>
          <w:rFonts w:cstheme="minorHAnsi"/>
          <w:color w:val="auto"/>
        </w:rPr>
        <w:fldChar w:fldCharType="separate"/>
      </w:r>
      <w:r>
        <w:rPr>
          <w:bCs/>
          <w:noProof/>
        </w:rPr>
        <w:t>[97]</w:t>
      </w:r>
      <w:r>
        <w:rPr>
          <w:rStyle w:val="FootnoteReference"/>
          <w:rFonts w:cstheme="minorHAnsi"/>
          <w:color w:val="auto"/>
        </w:rPr>
        <w:fldChar w:fldCharType="end"/>
      </w:r>
      <w:r>
        <w:t xml:space="preserve">; Romania, </w:t>
      </w:r>
      <w:r>
        <w:rPr>
          <w:rStyle w:val="FootnoteReference"/>
          <w:rFonts w:cstheme="minorHAnsi"/>
          <w:color w:val="auto"/>
        </w:rPr>
        <w:fldChar w:fldCharType="begin" w:fldLock="1"/>
      </w:r>
      <w:r>
        <w:instrText>ADDIN CSL_CITATION {"citationItems":[{"id":"ITEM-1","itemData":{"DOI":"10.1016/j.revpalbo.2019.02.007","ISSN":"00346667","abstract":"Estimates of relative pollen productivity (RPP) represent key input parameters for model-based quantitative reconstructions of past vegetation cover. In this study, we provide the first RPP estimates for 13 taxa from the forest steppe ecoregion in southeastern Romania (southeastern Europe). We used modern pollen assemblages from 26 points together with vegetation surveys and mapping, covering a 1.5 km radius around each sampling site. We have estimated the relevant source area of pollen (RSAP) and pollen productivity for 13 taxa relative to Poaceae using the ERV (Extended R-value model), sub-model 3, as this model shows the best goodness of fit. The estimated RSAP is about 100 m and falls within the range of RSAP estimates of moss pollsters and forest hollows from other RPP-related studies. Results show that Rubiaceae (7.97), Apiaceae (5.91), Artemisia (5.89) and Fraxinus (2.99) are high pollen producers compared to Poaceae, while Plantago lanceolata (0.58), Fabaceae (0.40), Acer (0.30), Rosaceae (0.29), Carpinus orientalis (0.24), Cerealia (0.22) and Asteraceae (0.16) are low pollen producers with lower RPPs than Poaceae. Quercus (1.10) has a pollen productivity close to that of Poaceae. The RPPs for Carpinus orientalis and Fabaceae are published here the first time for Europe. The high pollen producing plants include both entomophilous and anemophilous species, while the low pollen producers are mostly entomophilous species. Our results form an essential contribution to improving the accuracy of quantitative reconstruction of forest steppe ecoregion in Europe and generally in regions with a similar climate and vegetation setting.","author":[{"dropping-particle":"","family":"Grindean","given":"Roxana","non-dropping-particle":"","parse-names":false,"suffix":""},{"dropping-particle":"","family":"Nielsen","given":"Anne Birgitte","non-dropping-particle":"","parse-names":false,"suffix":""},{"dropping-particle":"","family":"Tanţău","given":"Ioan","non-dropping-particle":"","parse-names":false,"suffix":""},{"dropping-particle":"","family":"Feurdean","given":"Angelica","non-dropping-particle":"","parse-names":false,"suffix":""}],"container-title":"Review of Palaeobotany and Palynology","id":"ITEM-1","issued":{"date-parts":[["2019"]]},"page":"54-63","title":"Relative pollen productivity estimates in the forest steppe landscape of southeastern Romania","type":"article-journal","volume":"264"},"uris":["http://www.mendeley.com/documents/?uuid=a04ab3f8-2af2-4b36-9ffc-af3bb2cc5914"]}],"mendeley":{"formattedCitation":"&lt;sup&gt;[58]&lt;/sup&gt;","manualFormatting":"[90]","plainTextFormattedCitation":"[58]","previouslyFormattedCitation":"(Grindean et al., 2019)"},"properties":{"noteIndex":0},"schema":"https://github.com/citation-style-language/schema/raw/master/csl-citation.json"}</w:instrText>
      </w:r>
      <w:r>
        <w:rPr>
          <w:rStyle w:val="FootnoteReference"/>
          <w:rFonts w:cstheme="minorHAnsi"/>
          <w:color w:val="auto"/>
        </w:rPr>
        <w:fldChar w:fldCharType="separate"/>
      </w:r>
      <w:r>
        <w:rPr>
          <w:noProof/>
        </w:rPr>
        <w:t>[87]</w:t>
      </w:r>
      <w:r>
        <w:rPr>
          <w:rStyle w:val="FootnoteReference"/>
          <w:rFonts w:cstheme="minorHAnsi"/>
          <w:color w:val="auto"/>
        </w:rPr>
        <w:fldChar w:fldCharType="end"/>
      </w:r>
      <w:r>
        <w:t xml:space="preserve">; Sweden, </w:t>
      </w:r>
      <w:r>
        <w:rPr>
          <w:rStyle w:val="FootnoteReference"/>
          <w:rFonts w:cstheme="minorHAnsi"/>
          <w:color w:val="auto"/>
        </w:rPr>
        <w:fldChar w:fldCharType="begin" w:fldLock="1"/>
      </w:r>
      <w:r>
        <w:instrText>ADDIN CSL_CITATION {"citationItems":[{"id":"ITEM-1","itemData":{"DOI":"10.1177/0959683607086769","ISBN":"0959683607","ISSN":"09596836","abstract":"Successful reconstruction of vegetation from fossil pollen data in the arctic and alpine tundra, and at the forest-tundra ecotone, is hampered by low pollen production of the major taxa in these environments and the likely dominance of the background pollen component. New approaches to the quantification of vegetation from pollen data (the REVEALS and LOVE models) rely on quantification of background and local pollen by applying models of pollen dispersal and deposition to modern pollen- vegetation survey work. To date, research within this emerging area has focused on lowland environments. This paper presents pollen productivity estimates (PPEs) from the forest-tundra ecotone derived from west central Sweden, discusses the relevant source area of pollen (RSAP) in this environment and estimates the background pollen contribution. The results suggest that the RSAP for moss polsters at the forest-tundra ecotone is c. 500 m, and that PPEs for the major forest tundra ecotone taxa show significant differences compared with previous studies from southern Sweden. Proximity to range limits (controlled by climatic factors) appears to be the main factor causing generally lower pollen production; however, individual taxa respond in different ways, depending on differences in growth behaviour, reproductive strategy and the species and subspecies that represent the pollen taxa. The background pollen component was dominated by arboreal taxa, and contributed c. 60% of the total pollen loading. Graminoids dominated the local component. The PPEs presented here are to date the most appropriate parameters to use for quantification of vegetation at the tundra treeline; however, the data demonstrate that caution needs to be exercised with regards to selection of appropriate PPEs for accurate quantification of taxa at their ecological range. © 2008 SAGE Publications.","author":[{"dropping-particle":"","family":"Stedingk","given":"Henrik","non-dropping-particle":"Von","parse-names":false,"suffix":""},{"dropping-particle":"","family":"Fyfe","given":"Ralph M.","non-dropping-particle":"","parse-names":false,"suffix":""},{"dropping-particle":"","family":"Allard","given":"Anna","non-dropping-particle":"","parse-names":false,"suffix":""}],"container-title":"Holocene","id":"ITEM-1","issue":"2","issued":{"date-parts":[["2008"]]},"page":"323-332","title":"Pollen productivity estimates from the forest-tundra ecotone in west-central Sweden: Implications for vegetation reconstruction at the limits of the boreal forest","type":"article-journal","volume":"18"},"uris":["http://www.mendeley.com/documents/?uuid=f2cdaded-70d9-4e74-9625-4b80fe63a376"]}],"mendeley":{"formattedCitation":"&lt;sup&gt;[97]&lt;/sup&gt;","manualFormatting":"[76,99,100]","plainTextFormattedCitation":"[97]","previouslyFormattedCitation":"(Von Stedingk et al., 2008)"},"properties":{"noteIndex":0},"schema":"https://github.com/citation-style-language/schema/raw/master/csl-citation.json"}</w:instrText>
      </w:r>
      <w:r>
        <w:rPr>
          <w:rStyle w:val="FootnoteReference"/>
          <w:rFonts w:cstheme="minorHAnsi"/>
          <w:color w:val="auto"/>
        </w:rPr>
        <w:fldChar w:fldCharType="separate"/>
      </w:r>
      <w:r>
        <w:rPr>
          <w:bCs/>
          <w:noProof/>
        </w:rPr>
        <w:t>[75,98,99]</w:t>
      </w:r>
      <w:r>
        <w:rPr>
          <w:rStyle w:val="FootnoteReference"/>
          <w:rFonts w:cstheme="minorHAnsi"/>
          <w:color w:val="auto"/>
        </w:rPr>
        <w:fldChar w:fldCharType="end"/>
      </w:r>
      <w:r>
        <w:t xml:space="preserve">; and Switzerland, </w:t>
      </w:r>
      <w:r>
        <w:rPr>
          <w:rStyle w:val="FootnoteReference"/>
          <w:rFonts w:cstheme="minorHAnsi"/>
          <w:color w:val="auto"/>
        </w:rPr>
        <w:fldChar w:fldCharType="begin" w:fldLock="1"/>
      </w:r>
      <w:r>
        <w:instrText>ADDIN CSL_CITATION {"citationItems":[{"id":"ITEM-1","itemData":{"DOI":"10.1177/0959683607073279","ISSN":"0959-6836","abstract":"&lt;p&gt;We present the first step to quantitatively reconstruct vegetation cover in central Europe. Modern vegetation and pollen deposition were compared for 20 small to medium sized lakes and their catchments on the Swiss Plateau, a relatively flat region between the Jura Mountains and the Alps. To correct for the pollen dispersal bias in pollen assemblages, vegetation abundance was distance-weighted using three different approaches. The Relevant Source Area of Pollen (RSAP) and pollen productivity of 13 plant taxa were estimated using three different submodels of the Extended R-Value model (ERV-model). RSAP was 800 m regardless of the applied distance-weighting or ERV submodel. Pollen Productivity Estimates (PPE) varied from 10 to &amp;lt; 0.1 among pollen taxa and differed slightly between the models. Relative to grasses most trees were higher pollen producers and some were equal producers, whereas the herb taxa showed lower PPE. Generally, PPE from lowland Switzerland differ from those found in other European regions. Sampling strategies of vegetation and pollen samples are a likely cause for this variation. However, pollen productivity is also influenced by regionally different factors, such as climate, vegetation structure, geology and soil types. In addition, differences at genus or species level may occur between areas. Our comparison between the different regions in Europe shows that PPE of one region may not be directly applicable to other regions.&lt;/p&gt;","author":[{"dropping-particle":"","family":"Soepboer","given":"Welmoed","non-dropping-particle":"","parse-names":false,"suffix":""},{"dropping-particle":"","family":"Sugita","given":"Shinya","non-dropping-particle":"","parse-names":false,"suffix":""},{"dropping-particle":"","family":"Lotter","given":"André F.","non-dropping-particle":"","parse-names":false,"suffix":""},{"dropping-particle":"","family":"Leeuwen","given":"Jacqueline F.N.","non-dropping-particle":"van","parse-names":false,"suffix":""},{"dropping-particle":"","family":"Knaap","given":"Willem O.","non-dropping-particle":"van der","parse-names":false,"suffix":""}],"container-title":"The Holocene","id":"ITEM-1","issue":"1","issued":{"date-parts":[["2007","1","27"]]},"page":"65-77","title":"Pollen productivity estimates for quantitative reconstruction of vegetation cover on the Swiss Plateau","type":"article-journal","volume":"17"},"uris":["http://www.mendeley.com/documents/?uuid=a859adbe-4bfa-37a0-bcee-ded8d182464b"]}],"mendeley":{"formattedCitation":"&lt;sup&gt;[98]&lt;/sup&gt;","manualFormatting":"[101,102]","plainTextFormattedCitation":"[98]","previouslyFormattedCitation":"(Soepboer et al., 2007)"},"properties":{"noteIndex":0},"schema":"https://github.com/citation-style-language/schema/raw/master/csl-citation.json"}</w:instrText>
      </w:r>
      <w:r>
        <w:rPr>
          <w:rStyle w:val="FootnoteReference"/>
          <w:rFonts w:cstheme="minorHAnsi"/>
          <w:color w:val="auto"/>
        </w:rPr>
        <w:fldChar w:fldCharType="separate"/>
      </w:r>
      <w:r>
        <w:rPr>
          <w:bCs/>
          <w:noProof/>
        </w:rPr>
        <w:t>[100,101]</w:t>
      </w:r>
      <w:r>
        <w:rPr>
          <w:rStyle w:val="FootnoteReference"/>
          <w:rFonts w:cstheme="minorHAnsi"/>
          <w:color w:val="auto"/>
        </w:rPr>
        <w:fldChar w:fldCharType="end"/>
      </w:r>
      <w:r>
        <w:t>. Recently,</w:t>
      </w:r>
      <w:r>
        <w:rPr>
          <w:lang w:val="en-GB"/>
        </w:rPr>
        <w:t xml:space="preserve"> [31,87] studied </w:t>
      </w:r>
      <w:r>
        <w:t xml:space="preserve">the Mediterranean area. </w:t>
      </w:r>
      <w:r>
        <w:rPr>
          <w:lang w:val="en-GB"/>
        </w:rPr>
        <w:t xml:space="preserve">Almost all the studies applied the Gaussian Plume model of pollen dispersion and deposition, both for pollen samples from moss pollsters (Prentice’s bog </w:t>
      </w:r>
      <w:r>
        <w:rPr>
          <w:lang w:val="en-GB"/>
        </w:rPr>
        <w:lastRenderedPageBreak/>
        <w:t xml:space="preserve">model </w:t>
      </w:r>
      <w:r>
        <w:rPr>
          <w:rStyle w:val="FootnoteReference"/>
          <w:rFonts w:cstheme="minorHAnsi"/>
          <w:color w:val="auto"/>
          <w:lang w:val="en-GB"/>
        </w:rPr>
        <w:fldChar w:fldCharType="begin" w:fldLock="1"/>
      </w:r>
      <w:r>
        <w:rPr>
          <w:lang w:val="en-GB"/>
        </w:rPr>
        <w:instrText>ADDIN CSL_CITATION {"citationItems":[{"id":"ITEM-1","itemData":{"DOI":"10.2307/2531338","ISSN":"0006341X","author":[{"dropping-particle":"","family":"Prentice","given":"I. C.","non-dropping-particle":"","parse-names":false,"suffix":""},{"dropping-particle":"","family":"Parsons","given":"R. W.","non-dropping-particle":"","parse-names":false,"suffix":""}],"container-title":"Biometrics","id":"ITEM-1","issue":"4","issued":{"date-parts":[["1983","12"]]},"page":"1051","title":"Maximum Likelihood Linear Calibration of Pollen Spectra in Terms of Forest Composition","type":"article-journal","volume":"39"},"uris":["http://www.mendeley.com/documents/?uuid=bdf01d8c-3d58-3be8-9413-928c1fe41836"]}],"mendeley":{"formattedCitation":"&lt;sup&gt;[99]&lt;/sup&gt;","manualFormatting":"[45,89]","plainTextFormattedCitation":"[99]","previouslyFormattedCitation":"(I. C. Prentice &amp; Parsons, 1983)"},"properties":{"noteIndex":0},"schema":"https://github.com/citation-style-language/schema/raw/master/csl-citation.json"}</w:instrText>
      </w:r>
      <w:r>
        <w:rPr>
          <w:rStyle w:val="FootnoteReference"/>
          <w:rFonts w:cstheme="minorHAnsi"/>
          <w:color w:val="auto"/>
          <w:lang w:val="en-GB"/>
        </w:rPr>
        <w:fldChar w:fldCharType="separate"/>
      </w:r>
      <w:r>
        <w:rPr>
          <w:bCs/>
          <w:noProof/>
        </w:rPr>
        <w:t>[45,90]</w:t>
      </w:r>
      <w:r>
        <w:rPr>
          <w:rStyle w:val="FootnoteReference"/>
          <w:rFonts w:cstheme="minorHAnsi"/>
          <w:color w:val="auto"/>
          <w:lang w:val="en-GB"/>
        </w:rPr>
        <w:fldChar w:fldCharType="end"/>
      </w:r>
      <w:r>
        <w:rPr>
          <w:lang w:val="en-GB"/>
        </w:rPr>
        <w:t xml:space="preserve">) and lake sediments (Sugita’s lake model </w:t>
      </w:r>
      <w:r>
        <w:rPr>
          <w:rStyle w:val="FootnoteReference"/>
          <w:rFonts w:cstheme="minorHAnsi"/>
          <w:color w:val="auto"/>
          <w:lang w:val="en-GB"/>
        </w:rPr>
        <w:fldChar w:fldCharType="begin" w:fldLock="1"/>
      </w:r>
      <w:r>
        <w:rPr>
          <w:lang w:val="en-GB"/>
        </w:rPr>
        <w:instrText>ADDIN CSL_CITATION {"citationItems":[{"id":"ITEM-1","itemData":{"DOI":"10.1006/QRES.1993.1027","ISSN":"0033-5894","abstract":"A model of pollen deposition on the surface of an entire basin is developed to estimate pollen source area, and results are compared with those for a point at the center of a basin (I. C. Prentice, 1985, Quaternary Research 23, 76-86; 1988, \"Vegetation History,\" (pp. 17-42, Kluwer Academic). This model is more appropriate for approximating the source area of pollen in lake sediment, since mixing in lake water and focusing of sediment redistribute pollen originally deposited over the entire surface. In general, the pollen source radius for the entire basin surface is 10-30% smaller than the source radius for a point at the center; the difference in the source radius is more profound for heavier pollen types such as spruce and sugar maple than for lighter types such as oak and ragweed. The average pollen input to the entire surface is more strongly influenced by nearby pollen sources than pollen deposition at the center. The pollen record from a lake may therefore provide different spatial resolution than the record from a bog of similar radius. © 1993 by Academic Press, Inc.","author":[{"dropping-particle":"","family":"Sugita","given":"Shinya","non-dropping-particle":"","parse-names":false,"suffix":""}],"container-title":"Quaternary Research","id":"ITEM-1","issue":"2","issued":{"date-parts":[["1993","3","1"]]},"page":"239-244","publisher":"No longer published by Elsevier","title":"A Model of Pollen Source Area for an Entire Lake Surface","type":"article-journal","volume":"39"},"uris":["http://www.mendeley.com/documents/?uuid=2d14a995-9fb8-33e5-9afc-13c127b6eabb"]}],"mendeley":{"formattedCitation":"&lt;sup&gt;[41]&lt;/sup&gt;","manualFormatting":"[40]","plainTextFormattedCitation":"[41]","previouslyFormattedCitation":"(Sugita, 1993)"},"properties":{"noteIndex":0},"schema":"https://github.com/citation-style-language/schema/raw/master/csl-citation.json"}</w:instrText>
      </w:r>
      <w:r>
        <w:rPr>
          <w:rStyle w:val="FootnoteReference"/>
          <w:rFonts w:cstheme="minorHAnsi"/>
          <w:color w:val="auto"/>
          <w:lang w:val="en-GB"/>
        </w:rPr>
        <w:fldChar w:fldCharType="separate"/>
      </w:r>
      <w:r>
        <w:rPr>
          <w:noProof/>
          <w:lang w:val="en-GB"/>
        </w:rPr>
        <w:t>[40]</w:t>
      </w:r>
      <w:r>
        <w:rPr>
          <w:rStyle w:val="FootnoteReference"/>
          <w:rFonts w:cstheme="minorHAnsi"/>
          <w:color w:val="auto"/>
          <w:lang w:val="en-GB"/>
        </w:rPr>
        <w:fldChar w:fldCharType="end"/>
      </w:r>
      <w:r>
        <w:rPr>
          <w:lang w:val="en-GB"/>
        </w:rPr>
        <w:t xml:space="preserve">), except for the study by </w:t>
      </w:r>
      <w:r>
        <w:rPr>
          <w:rStyle w:val="FootnoteReference"/>
          <w:rFonts w:cstheme="minorHAnsi"/>
          <w:color w:val="auto"/>
          <w:lang w:val="en-GB"/>
        </w:rPr>
        <w:fldChar w:fldCharType="begin" w:fldLock="1"/>
      </w:r>
      <w:r>
        <w:rPr>
          <w:lang w:val="en-GB"/>
        </w:rPr>
        <w:instrText>ADDIN CSL_CITATION {"citationItems":[{"id":"ITEM-1","itemData":{"DOI":"10.1177/0959683612450194/ASSET/IMAGES/LARGE/10.1177_0959683612450194-FIG2.JPEG","ISSN":"09596836","abstract":"Past plant abundance may be reconstructed from pollen data if dispersal distances of pollen and pollen productivities of each taxon are known. Using surface sediment samples from small and medium sized, closed and near circular lakes from lowland Central Europe, we tested the validity of three pollen dispersal models by comparing empirical pollen data from each lake with simulated pollen data derived from applying various pollen dispersal models to vegetation data from rings situated up to 100 km from each site. Pollen assemblages simulated with a Lagrangian stochastic (LS) model best fit real pollen assemblages, simulations with the commonly used Prentice model on pollen dispersal underestimated the amount of pollen arriving from distances larger than 10 km and overestimated the differences in dispersal distances between lighter (Pinus) and heavier (Fagus, Picea) pollen grains. The LS model appeared to provide more appropriate simulations. Pollen productivity estimates (PPEs) calculated for the data set showed that the choice of the dispersal model has great impact on the results. If derived with the Prentice model, PPEs for Fagus and Picea are three times higher than with the LS model. Studies on pollen productivities thus need to consider the apparent limitations of the Prentice model. We suggest an alternative approach, which uses simulations instead of the extended R-value model, to calculate PPEs. The approach is flexible in the use of dispersal functions and produced consistent results for two independent data sets from small and medium sized lakes. © The Author(s) 2012.","author":[{"dropping-particle":"","family":"Theuerkauf","given":"Martin","non-dropping-particle":"","parse-names":false,"suffix":""},{"dropping-particle":"","family":"Kuparinen","given":"Anna","non-dropping-particle":"","parse-names":false,"suffix":""},{"dropping-particle":"","family":"Joosten","given":"Hans","non-dropping-particle":"","parse-names":false,"suffix":""}],"container-title":"Holocene","id":"ITEM-1","issue":"1","issued":{"date-parts":[["2013","1","16"]]},"page":"14-24","publisher":"SAGE PublicationsSage UK: London, England","title":"Pollen productivity estimates strongly depend on assumed pollen dispersal","type":"article-journal","volume":"23"},"uris":["http://www.mendeley.com/documents/?uuid=a85871e7-db70-3cf6-a9eb-3d57c4d3e950"]}],"mendeley":{"formattedCitation":"&lt;sup&gt;[94]&lt;/sup&gt;","manualFormatting":"[88]","plainTextFormattedCitation":"[94]","previouslyFormattedCitation":"(Theuerkauf et al., 2013)"},"properties":{"noteIndex":0},"schema":"https://github.com/citation-style-language/schema/raw/master/csl-citation.json"}</w:instrText>
      </w:r>
      <w:r>
        <w:rPr>
          <w:rStyle w:val="FootnoteReference"/>
          <w:rFonts w:cstheme="minorHAnsi"/>
          <w:color w:val="auto"/>
          <w:lang w:val="en-GB"/>
        </w:rPr>
        <w:fldChar w:fldCharType="separate"/>
      </w:r>
      <w:r>
        <w:rPr>
          <w:noProof/>
          <w:lang w:val="en-GB"/>
        </w:rPr>
        <w:t>[95]</w:t>
      </w:r>
      <w:r>
        <w:rPr>
          <w:rStyle w:val="FootnoteReference"/>
          <w:rFonts w:cstheme="minorHAnsi"/>
          <w:color w:val="auto"/>
          <w:lang w:val="en-GB"/>
        </w:rPr>
        <w:fldChar w:fldCharType="end"/>
      </w:r>
      <w:r>
        <w:rPr>
          <w:lang w:val="en-GB"/>
        </w:rPr>
        <w:t xml:space="preserve">, where RPP values were calculated using the </w:t>
      </w:r>
      <w:proofErr w:type="spellStart"/>
      <w:r>
        <w:rPr>
          <w:lang w:val="en-GB"/>
        </w:rPr>
        <w:t>Lagrangian</w:t>
      </w:r>
      <w:proofErr w:type="spellEnd"/>
      <w:r>
        <w:rPr>
          <w:lang w:val="en-GB"/>
        </w:rPr>
        <w:t xml:space="preserve"> stochastic model.</w:t>
      </w:r>
    </w:p>
    <w:p w14:paraId="361313F9" w14:textId="77777777" w:rsidR="004653D0" w:rsidRDefault="004653D0" w:rsidP="004653D0">
      <w:pPr>
        <w:pStyle w:val="MDPI31text"/>
      </w:pPr>
      <w:r>
        <w:rPr>
          <w:lang w:val="en-GB"/>
        </w:rPr>
        <w:t xml:space="preserve">Even though the REVEALS model assumes that RPP values are constant within the region of interest and through time </w:t>
      </w:r>
      <w:r>
        <w:rPr>
          <w:rStyle w:val="FootnoteReference"/>
          <w:rFonts w:cstheme="minorHAnsi"/>
          <w:color w:val="auto"/>
          <w:lang w:val="en-GB"/>
        </w:rPr>
        <w:fldChar w:fldCharType="begin" w:fldLock="1"/>
      </w:r>
      <w:r>
        <w:rPr>
          <w:lang w:val="en-GB"/>
        </w:rPr>
        <w:instrText>ADDIN CSL_CITATION {"citationItems":[{"id":"ITEM-1","itemData":{"DOI":"10.1177/0959683607075837","ISBN":"0959683607","ISSN":"09596836","abstract":"Quantitative reconstruction of past vegetation is one of the primary goals in Quaternary palynology and palacoecology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 4-105 km2, background pollen, one of the parameters crucial for vegetation reconstruction, can be estimated for smaller-sized sites, and incorporated into the Landscape Reconstruction Algorithm (LRA), a multistep framework for quantitative reconstruction of vegetation in smaller areas (≤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 © 2007 SAGE Publications.","author":[{"dropping-particle":"","family":"Sugita","given":"Shinya","non-dropping-particle":"","parse-names":false,"suffix":""}],"container-title":"Holocene","id":"ITEM-1","issue":"2","issued":{"date-parts":[["2007"]]},"page":"229-241","title":"Theory of quantitative reconstruction of vegetation I: Pollen from large sites REVEALS regional vegetation composition","type":"article-journal","volume":"17"},"uris":["http://www.mendeley.com/documents/?uuid=8844359a-85f2-4f77-9886-de6fdfdf9daa"]}],"mendeley":{"formattedCitation":"&lt;sup&gt;[24]&lt;/sup&gt;","manualFormatting":"[27]","plainTextFormattedCitation":"[24]","previouslyFormattedCitation":"(Sugita, 2007a)"},"properties":{"noteIndex":0},"schema":"https://github.com/citation-style-language/schema/raw/master/csl-citation.json"}</w:instrText>
      </w:r>
      <w:r>
        <w:rPr>
          <w:rStyle w:val="FootnoteReference"/>
          <w:rFonts w:cstheme="minorHAnsi"/>
          <w:color w:val="auto"/>
          <w:lang w:val="en-GB"/>
        </w:rPr>
        <w:fldChar w:fldCharType="separate"/>
      </w:r>
      <w:r>
        <w:rPr>
          <w:noProof/>
          <w:lang w:val="en-GB"/>
        </w:rPr>
        <w:t>[27]</w:t>
      </w:r>
      <w:r>
        <w:rPr>
          <w:rStyle w:val="FootnoteReference"/>
          <w:rFonts w:cstheme="minorHAnsi"/>
          <w:color w:val="auto"/>
          <w:lang w:val="en-GB"/>
        </w:rPr>
        <w:fldChar w:fldCharType="end"/>
      </w:r>
      <w:r>
        <w:rPr>
          <w:lang w:val="en-GB"/>
        </w:rPr>
        <w:t xml:space="preserve">, it has been suggested that RPPs may vary between regions, with the variation caused by environmental variability (climate), vegetation structure, or methodological design differences </w:t>
      </w:r>
      <w:r>
        <w:rPr>
          <w:rStyle w:val="FootnoteReference"/>
          <w:rFonts w:cstheme="minorHAnsi"/>
          <w:color w:val="auto"/>
          <w:lang w:val="en-GB"/>
        </w:rPr>
        <w:fldChar w:fldCharType="begin" w:fldLock="1"/>
      </w:r>
      <w:r>
        <w:rPr>
          <w:lang w:val="en-GB"/>
        </w:rPr>
        <w:instrText>ADDIN CSL_CITATION {"citationItems":[{"id":"ITEM-1","itemData":{"DOI":"10.1002/jqs.1126","ISSN":"02678179","author":[{"dropping-particle":"","family":"Hellman","given":"Sofie","non-dropping-particle":"","parse-names":false,"suffix":""},{"dropping-particle":"","family":"Gaillard","given":"Marie-José","non-dropping-particle":"","parse-names":false,"suffix":""},{"dropping-particle":"","family":"Broström","given":"Anna","non-dropping-particle":"","parse-names":false,"suffix":""},{"dropping-particle":"","family":"Sugita","given":"Shinya","non-dropping-particle":"","parse-names":false,"suffix":""}],"container-title":"Journal of Quaternary Science","id":"ITEM-1","issue":"1","issued":{"date-parts":[["2008","1"]]},"page":"21-42","title":"The REVEALS model, a new tool to estimate past regional plant abundance from pollen data in large lakes: validation in southern Sweden","type":"article-journal","volume":"23"},"uris":["http://www.mendeley.com/documents/?uuid=8c62a458-8a93-3a73-9cb9-fc4b0b8f4c16"]},{"id":"ITEM-2","itemData":{"DOI":"10.1016/j.revpalbo.2012.07.017","ISSN":"00346667","abstract":"REVEALS-based quantitative reconstruction of Holocene vegetation cover (expressed in plant functional types, PFTs) is used in the LANDCLIM project to assess the effect of human-induced land-cover change on past climate in NW Europe. Using the Czech Quaternary Pollen Database, this case study evaluates the extent to which selection of data and input parameters for the REVEALS model applications would affect reconstruction outcomes. The REVEALS estimates of PFTs (grid-cell based REVEALS PFT estimates, GB REVEALS PFT-s) are calculated for five time windows of the Holocene using fossil pollen records available in each 1°×1° grid cell of the Czech Republic. The input data and parameters selected for testing are: basin type and size, number of 14C dates used to establish the chronology of the pollen records, number of taxa, and pollen productivity estimates (PPE). We used the Spearman correlation coefficient to test the hypothesis that there is no association between GB REVEALS PFT-s using different data and parameter inputs. The results show that differences in the basin size and type, number of dates, number and type of taxa (entomophilous included or not), and PPE dataset do not affect the rank orders of the GB REVEALS PFT-s significantly, except for the cases when entomophilous taxa are included. It implies that, given careful selection of data and parameter and interpretation of results, REVEALS applications can use pollen records from lakes and bogs of different sizes together for reconstruction of past land cover at the regional to sub-continental spatial scales for purposes such as the study of past land cover-climate interactions. Our study also provides useful criteria to set up protocols for data compilation REVEALS applications of this kind. © 2012 Elsevier B.V.","author":[{"dropping-particle":"","family":"Mazier","given":"F.","non-dropping-particle":"","parse-names":false,"suffix":""},{"dropping-particle":"","family":"Gaillard","given":"M. J.","non-dropping-particle":"","parse-names":false,"suffix":""},{"dropping-particle":"","family":"Kuneš","given":"P.","non-dropping-particle":"","parse-names":false,"suffix":""},{"dropping-particle":"","family":"Sugita","given":"S.","non-dropping-particle":"","parse-names":false,"suffix":""},{"dropping-particle":"","family":"Trondman","given":"A. K.","non-dropping-particle":"","parse-names":false,"suffix":""},{"dropping-particle":"","family":"Broström","given":"A.","non-dropping-particle":"","parse-names":false,"suffix":""}],"container-title":"Review of Palaeobotany and Palynology","id":"ITEM-2","issued":{"date-parts":[["2012"]]},"page":"38-49","title":"Testing the effect of site selection and parameter setting on REVEALS-model estimates of plant abundance using the Czech Quaternary Palynological Database","type":"article-journal","volume":"187"},"uris":["http://www.mendeley.com/documents/?uuid=eb9dc5e8-934f-4d38-bbbb-4a9c9354df1e"]},{"id":"ITEM-3","itemData":{"DOI":"10.1016/j.earscirev.2020.103119","ISSN":"00128252","author":[{"dropping-particle":"","family":"Li","given":"Furong","non-dropping-particle":"","parse-names":false,"suffix":""},{"dropping-particle":"","family":"Gaillard","given":"Marie-José","non-dropping-particle":"","parse-names":false,"suffix":""},{"dropping-particle":"","family":"Cao","given":"Xianyong","non-dropping-particle":"","parse-names":false,"suffix":""},{"dropping-particle":"","family":"Herzschuh","given":"Ulrike","non-dropping-particle":"","parse-names":false,"suffix":""},{"dropping-particle":"","family":"Sugita","given":"Shinya","non-dropping-particle":"","parse-names":false,"suffix":""},{"dropping-particle":"","family":"Tarasov","given":"Pavel E.","non-dropping-particle":"","parse-names":false,"suffix":""},{"dropping-particle":"","family":"Wagner","given":"Mayke","non-dropping-particle":"","parse-names":false,"suffix":""},{"dropping-particle":"","family":"Xu","given":"Qinghai","non-dropping-particle":"","parse-names":false,"suffix":""},{"dropping-particle":"","family":"Ni","given":"Jian","non-dropping-particle":"","parse-names":false,"suffix":""},{"dropping-particle":"","family":"Wang","given":"Weiming","non-dropping-particle":"","parse-names":false,"suffix":""},{"dropping-particle":"","family":"Zhao","given":"Yan","non-dropping-particle":"","parse-names":false,"suffix":""},{"dropping-particle":"","family":"An","given":"Chengbang","non-dropping-particle":"","parse-names":false,"suffix":""},{"dropping-particle":"","family":"Beusen","given":"A.H.W.","non-dropping-particle":"","parse-names":false,"suffix":""},{"dropping-particle":"","family":"Chen","given":"Fahu","non-dropping-particle":"","parse-names":false,"suffix":""},{"dropping-particle":"","family":"Feng","given":"Zhaodong","non-dropping-particle":"","parse-names":false,"suffix":""},{"dropping-particle":"","family":"Goldewijk","given":"C.G.M. Klein","non-dropping-particle":"","parse-names":false,"suffix":""},{"dropping-particle":"","family":"Huang","given":"Xiaozhong","non-dropping-particle":"","parse-names":false,"suffix":""},{"dropping-particle":"","family":"Li","given":"Yuecong","non-dropping-particle":"","parse-names":false,"suffix":""},{"dropping-particle":"","family":"Li","given":"Yu","non-dropping-particle":"","parse-names":false,"suffix":""},{"dropping-particle":"","family":"Liu","given":"Hongyan","non-dropping-particle":"","parse-names":false,"suffix":""},{"dropping-particle":"","family":"Sun","given":"Aizhi","non-dropping-particle":"","parse-names":false,"suffix":""},{"dropping-particle":"","family":"Yao","given":"Yifeng","non-dropping-particle":"","parse-names":false,"suffix":""},{"dropping-particle":"","family":"Zheng","given":"Zhuo","non-dropping-particle":"","parse-names":false,"suffix":""},{"dropping-particle":"","family":"Jia","given":"Xin","non-dropping-particle":"","parse-names":false,"suffix":""}],"container-title":"Earth-Science Reviews","id":"ITEM-3","issued":{"date-parts":[["2020","4"]]},"page":"103119","title":"Towards quantification of Holocene anthropogenic land-cover change in temperate China: A review in the light of pollen-based REVEALS reconstructions of regional plant cover","type":"article-journal","volume":"203"},"uris":["http://www.mendeley.com/documents/?uuid=e2a67ac4-7caf-3af3-a221-597e7d5f741c"]},{"id":"ITEM-4","itemData":{"DOI":"10.5194/essd-12-3515-2020","ISSN":"18663516","abstract":"Relative pollen productivity (RPP) estimates are fractionate values, often in relation to Poaceae, that allow vegetation cover to be estimated from pollen counts with the help of models. RPP estimates are especially used in the scientific community in Europe and China, with a few studies in North America. Here we present a comprehensive compilation of available northern hemispheric RPP studies and their results arising from 51 publications with 60 sites and 131 taxa. This compilation allows scientists to identify data gaps in need of further RPP analyses but can also aid them in finding an RPP set for their study region. We also present a taxonomically harmonised, unified RPP dataset for the Northern Hemisphere and subsets for North America (including Greenland), Europe (including arctic Russia), and China, which we generated from the available studies. The unified dataset gives the mean RPP for 55 harmonised taxa as well as fall speeds, which are necessary to reconstruct vegetation cover from pollen counts and RPP values. Data are openly available at a hrefCombining double low line\"https://doi.org/10.1594/PANGAEA.922661\"https://doi.org/10.1594/PANGAEA.922661/a (Wieczorek and Herzschuh, 2020).","author":[{"dropping-particle":"","family":"Wieczorek","given":"Mareike","non-dropping-particle":"","parse-names":false,"suffix":""},{"dropping-particle":"","family":"Herzschuh","given":"Ulrike","non-dropping-particle":"","parse-names":false,"suffix":""}],"container-title":"Earth System Science Data","id":"ITEM-4","issue":"4","issued":{"date-parts":[["2020"]]},"page":"3515-3528","title":"Compilation of relative pollen productivity (RPP) estimates and taxonomically harmonised RPP datasets for single continents and Northern Hemisphere extratropics","type":"article-journal","volume":"12"},"uris":["http://www.mendeley.com/documents/?uuid=4e4a489d-0cec-4090-999b-8a58d2ccd794"]}],"mendeley":{"formattedCitation":"&lt;sup&gt;[25, 33, 73, 100]&lt;/sup&gt;","manualFormatting":"[28,36,72,103]","plainTextFormattedCitation":"[25, 33, 73, 100]","previouslyFormattedCitation":"(S. Hellman et al., 2008; Li et al., 2020; Mazier et al., 2012; Wieczorek &amp; Herzschuh, 2020)"},"properties":{"noteIndex":0},"schema":"https://github.com/citation-style-language/schema/raw/master/csl-citation.json"}</w:instrText>
      </w:r>
      <w:r>
        <w:rPr>
          <w:rStyle w:val="FootnoteReference"/>
          <w:rFonts w:cstheme="minorHAnsi"/>
          <w:color w:val="auto"/>
          <w:lang w:val="en-GB"/>
        </w:rPr>
        <w:fldChar w:fldCharType="separate"/>
      </w:r>
      <w:r>
        <w:rPr>
          <w:noProof/>
        </w:rPr>
        <w:t>[28,36,71,102]</w:t>
      </w:r>
      <w:r>
        <w:rPr>
          <w:rStyle w:val="FootnoteReference"/>
          <w:rFonts w:cstheme="minorHAnsi"/>
          <w:color w:val="auto"/>
          <w:lang w:val="en-GB"/>
        </w:rPr>
        <w:fldChar w:fldCharType="end"/>
      </w:r>
      <w:r>
        <w:t>.</w:t>
      </w:r>
    </w:p>
    <w:p w14:paraId="14F210B3" w14:textId="77777777" w:rsidR="004653D0" w:rsidRDefault="004653D0" w:rsidP="004653D0">
      <w:pPr>
        <w:pStyle w:val="MDPI31text"/>
        <w:rPr>
          <w:lang w:val="en-GB"/>
        </w:rPr>
      </w:pPr>
      <w:r>
        <w:rPr>
          <w:lang w:val="de-AT"/>
        </w:rPr>
        <w:t>In the case of multiple RPP values for one taxon in Europe, the mean was calculated to equalize within-taxon variabilities</w:t>
      </w:r>
      <w:r>
        <w:rPr>
          <w:lang w:val="en-GB"/>
        </w:rPr>
        <w:t xml:space="preserve">. In the synthesis, we seek to select and calculate mean values coming from boreal, temperate, and Mediterranean Europe without separating the datasets in the base of the regions. This is not straightforward to achieve because the borders of these regions shifted over the Holocene </w:t>
      </w:r>
      <w:r>
        <w:rPr>
          <w:rStyle w:val="FootnoteReference"/>
          <w:rFonts w:cstheme="minorHAnsi"/>
          <w:color w:val="auto"/>
          <w:lang w:val="en-GB"/>
        </w:rPr>
        <w:fldChar w:fldCharType="begin" w:fldLock="1"/>
      </w:r>
      <w:r>
        <w:rPr>
          <w:lang w:val="en-GB"/>
        </w:rPr>
        <w:instrText>ADDIN CSL_CITATION {"citationItems":[{"id":"ITEM-1","itemData":{"DOI":"10.5194/essd-14-1581-2022","ISSN":"1866-3516","abstract":"&lt;p&gt;&lt;![CDATA[Abstract. Quantitative reconstructions of past land cover are necessary to determine the processes involved in climate–human–land-cover interactions. We present the first temporally continuous and most spatially extensive pollen-based land-cover reconstruction for Europe over the Holocene (last 11 700 cal yr BP). We describe how vegetation cover has been quantified from pollen records at a 1</w:instrText>
      </w:r>
      <w:r>
        <w:rPr>
          <w:rFonts w:ascii="Cambria Math" w:hAnsi="Cambria Math" w:cs="Cambria Math"/>
          <w:lang w:val="en-GB"/>
        </w:rPr>
        <w:instrText>∘</w:instrText>
      </w:r>
      <w:r>
        <w:rPr>
          <w:rFonts w:cs="Palatino Linotype"/>
          <w:lang w:val="en-GB"/>
        </w:rPr>
        <w:instrText> × </w:instrText>
      </w:r>
      <w:r>
        <w:rPr>
          <w:lang w:val="en-GB"/>
        </w:rPr>
        <w:instrText>1</w:instrText>
      </w:r>
      <w:r>
        <w:rPr>
          <w:rFonts w:ascii="Cambria Math" w:hAnsi="Cambria Math" w:cs="Cambria Math"/>
          <w:lang w:val="en-GB"/>
        </w:rPr>
        <w:instrText>∘</w:instrText>
      </w:r>
      <w:r>
        <w:rPr>
          <w:lang w:val="en-GB"/>
        </w:rPr>
        <w:instrText xml:space="preserve"> spatial scale using the </w:instrText>
      </w:r>
      <w:r>
        <w:rPr>
          <w:rFonts w:cs="Palatino Linotype"/>
          <w:lang w:val="en-GB"/>
        </w:rPr>
        <w:instrText>“</w:instrText>
      </w:r>
      <w:r>
        <w:rPr>
          <w:lang w:val="en-GB"/>
        </w:rPr>
        <w:instrText>Regional Estimates of VEgetation Abundance from Large Sites</w:instrText>
      </w:r>
      <w:r>
        <w:rPr>
          <w:rFonts w:cs="Palatino Linotype"/>
          <w:lang w:val="en-GB"/>
        </w:rPr>
        <w:instrText>”</w:instrText>
      </w:r>
      <w:r>
        <w:rPr>
          <w:lang w:val="en-GB"/>
        </w:rPr>
        <w:instrText xml:space="preserve"> (REVEALS) model. REVEALS calculates estimates of past regional vegetation cover in proportions or percentages. REVEALS has been applied to 1128 pollen records across Europe and part of the eastern Mediterranean–Black Sea–Caspian corridor (30–75</w:instrText>
      </w:r>
      <w:r>
        <w:rPr>
          <w:rFonts w:ascii="Cambria Math" w:hAnsi="Cambria Math" w:cs="Cambria Math"/>
          <w:lang w:val="en-GB"/>
        </w:rPr>
        <w:instrText>∘</w:instrText>
      </w:r>
      <w:r>
        <w:rPr>
          <w:rFonts w:cs="Palatino Linotype"/>
          <w:lang w:val="en-GB"/>
        </w:rPr>
        <w:instrText> </w:instrText>
      </w:r>
      <w:r>
        <w:rPr>
          <w:lang w:val="en-GB"/>
        </w:rPr>
        <w:instrText>N, 25</w:instrText>
      </w:r>
      <w:r>
        <w:rPr>
          <w:rFonts w:ascii="Cambria Math" w:hAnsi="Cambria Math" w:cs="Cambria Math"/>
          <w:lang w:val="en-GB"/>
        </w:rPr>
        <w:instrText>∘</w:instrText>
      </w:r>
      <w:r>
        <w:rPr>
          <w:rFonts w:cs="Palatino Linotype"/>
          <w:lang w:val="en-GB"/>
        </w:rPr>
        <w:instrText> </w:instrText>
      </w:r>
      <w:r>
        <w:rPr>
          <w:lang w:val="en-GB"/>
        </w:rPr>
        <w:instrText>W</w:instrText>
      </w:r>
      <w:r>
        <w:rPr>
          <w:rFonts w:cs="Palatino Linotype"/>
          <w:lang w:val="en-GB"/>
        </w:rPr>
        <w:instrText>–</w:instrText>
      </w:r>
      <w:r>
        <w:rPr>
          <w:lang w:val="en-GB"/>
        </w:rPr>
        <w:instrText>50</w:instrText>
      </w:r>
      <w:r>
        <w:rPr>
          <w:rFonts w:ascii="Cambria Math" w:hAnsi="Cambria Math" w:cs="Cambria Math"/>
          <w:lang w:val="en-GB"/>
        </w:rPr>
        <w:instrText>∘</w:instrText>
      </w:r>
      <w:r>
        <w:rPr>
          <w:rFonts w:cs="Palatino Linotype"/>
          <w:lang w:val="en-GB"/>
        </w:rPr>
        <w:instrText> </w:instrText>
      </w:r>
      <w:r>
        <w:rPr>
          <w:lang w:val="en-GB"/>
        </w:rPr>
        <w:instrText>E) to reconstruct the percentage cover of 31 plant taxa assigned to 12 plant functional types (PFTs) and 3 land-cover types (LCTs). A new synthesis of relative pollen productivities (RPPs) for European plant taxa was performed for this reconstruction. It includes multiple RPP values (≥2 values) for 39 taxa and single values for 15 taxa (total of 54 taxa). To illustrate this, we present distribution maps for five taxa (Calluna vulgaris, Cerealia type (t)., Picea abies, deciduous Quercus t. and evergreen Quercus t.) and three land-cover types (open land, OL; evergreen trees, ETs; and summer-green trees, STs) for eight selected time windows. The reliability of the REVEALS reconstructions and issues related to the interpretation of the results in terms of landscape openness and human-induced vegetation change are discussed. This is followed by a review of the current use of this reconstruction and its future potential utility and development. REVEALS data quality are primarily determined by pollen count data (pollen count and sample, pollen identification, and chronology) and site type and number (lake or bog, large or small, one site vs. multiple sites) used for REVEALS analysis (for each grid cell). A large number of sites with high-quality pollen count data will produce more reliable land-cover estimates with lower standard errors compared to a low number of sites with lower-quality pollen count data. The REVEALS data presented here can be downloaded from https://doi.org/10.1594/PANGAEA.937075 (Fyfe et al., 2022).]]&gt;&lt;/p&gt;","author":[{"dropping-particle":"","family":"Githumbi","given":"Esther","non-dropping-particle":"","parse-names":false,"suffix":""},{"dropping-particle":"","family":"Fyfe","given":"Ralph","non-dropping-particle":"","parse-names":false,"suffix":""},{"dropping-particle":"","family":"Gaillard","given":"Marie-Jose","non-dropping-particle":"","parse-names":false,"suffix":""},{"dropping-particle":"","family":"Trondman","given":"Anna-Kari","non-dropping-particle":"","parse-names":false,"suffix":""},{"dropping-particle":"","family":"Mazier","given":"Florence","non-dropping-particle":"","parse-names":false,"suffix":""},{"dropping-particle":"","family":"Nielsen","given":"Anne-Birgitte","non-dropping-particle":"","parse-names":false,"suffix":""},{"dropping-particle":"","family":"Poska","given":"Anneli","non-dropping-particle":"","parse-names":false,"suffix":""},{"dropping-particle":"","family":"Sugita","given":"Shinya","non-dropping-particle":"","parse-names":false,"suffix":""},{"dropping-particle":"","family":"Woodbridge","given":"Jessie","non-dropping-particle":"","parse-names":false,"suffix":""},{"dropping-particle":"","family":"Azuara","given":"Julien","non-dropping-particle":"","parse-names":false,"suffix":""},{"dropping-particle":"","family":"Feurdean","given":"Angelica","non-dropping-particle":"","parse-names":false,"suffix":""},{"dropping-particle":"","family":"Grindean","given":"Roxana","non-dropping-particle":"","parse-names":false,"suffix":""},{"dropping-particle":"","family":"Lebreton","given":"Vincent","non-dropping-particle":"","parse-names":false,"suffix":""},{"dropping-particle":"","family":"Marquer","given":"Laurent","non-dropping-particle":"","parse-names":false,"suffix":""},{"dropping-particle":"","family":"Nebout-Combourieu","given":"Nathalie","non-dropping-particle":"","parse-names":false,"suffix":""},{"dropping-particle":"","family":"Stančikaitė","given":"Miglė","non-dropping-particle":"","parse-names":false,"suffix":""},{"dropping-particle":"","family":"Tanţău","given":"Ioan","non-dropping-particle":"","parse-names":false,"suffix":""},{"dropping-particle":"","family":"Tonkov","given":"Spassimir","non-dropping-particle":"","parse-names":false,"suffix":""},{"dropping-particle":"","family":"Shumilovskikh","given":"Lyudmila","non-dropping-particle":"","parse-names":false,"suffix":""}],"container-title":"Earth System Science Data","id":"ITEM-1","issue":"4","issued":{"date-parts":[["2022","4","8"]]},"page":"1581-1619","title":"European pollen-based REVEALS land-cover reconstructions for the Holocene: methodology, mapping and potentials","type":"article-journal","volume":"14"},"uris":["http://www.mendeley.com/documents/?uuid=a3aa2c66-dc24-3563-953d-fabb33741ce8"]}],"mendeley":{"formattedCitation":"&lt;sup&gt;[28]&lt;/sup&gt;","manualFormatting":"[31]","plainTextFormattedCitation":"[28]","previouslyFormattedCitation":"(Githumbi et al., 2022)"},"properties":{"noteIndex":0},"schema":"https://github.com/citation-style-language/schema/raw/master/csl-citation.json"}</w:instrText>
      </w:r>
      <w:r>
        <w:rPr>
          <w:rStyle w:val="FootnoteReference"/>
          <w:rFonts w:cstheme="minorHAnsi"/>
          <w:color w:val="auto"/>
          <w:lang w:val="en-GB"/>
        </w:rPr>
        <w:fldChar w:fldCharType="separate"/>
      </w:r>
      <w:r>
        <w:rPr>
          <w:noProof/>
          <w:lang w:val="en-GB"/>
        </w:rPr>
        <w:t>[31]</w:t>
      </w:r>
      <w:r>
        <w:rPr>
          <w:rStyle w:val="FootnoteReference"/>
          <w:rFonts w:cstheme="minorHAnsi"/>
          <w:color w:val="auto"/>
          <w:lang w:val="en-GB"/>
        </w:rPr>
        <w:fldChar w:fldCharType="end"/>
      </w:r>
      <w:r>
        <w:rPr>
          <w:lang w:val="en-GB"/>
        </w:rPr>
        <w:t>.</w:t>
      </w:r>
    </w:p>
    <w:p w14:paraId="25776351" w14:textId="77777777" w:rsidR="004653D0" w:rsidRDefault="004653D0" w:rsidP="004653D0">
      <w:pPr>
        <w:spacing w:line="240" w:lineRule="auto"/>
        <w:jc w:val="left"/>
        <w:rPr>
          <w:lang w:val="en-GB"/>
        </w:rPr>
        <w:sectPr w:rsidR="004653D0">
          <w:pgSz w:w="11906" w:h="16838"/>
          <w:pgMar w:top="1417" w:right="720" w:bottom="1077" w:left="720" w:header="1020" w:footer="340" w:gutter="0"/>
          <w:pgNumType w:start="1"/>
          <w:cols w:space="720"/>
          <w:bidi/>
          <w:docGrid w:type="lines" w:linePitch="326"/>
        </w:sectPr>
      </w:pPr>
    </w:p>
    <w:p w14:paraId="7029EE6B" w14:textId="77777777" w:rsidR="004653D0" w:rsidRDefault="004653D0" w:rsidP="004653D0">
      <w:pPr>
        <w:pStyle w:val="MDPI41tablecaption"/>
        <w:jc w:val="both"/>
        <w:rPr>
          <w:szCs w:val="18"/>
          <w:lang w:val="en-GB"/>
        </w:rPr>
      </w:pPr>
      <w:r>
        <w:rPr>
          <w:b/>
          <w:lang w:val="en-GB"/>
        </w:rPr>
        <w:lastRenderedPageBreak/>
        <w:t xml:space="preserve">Table A1. </w:t>
      </w:r>
      <w:r>
        <w:rPr>
          <w:rStyle w:val="rynqvb"/>
          <w:lang w:val="en"/>
        </w:rPr>
        <w:t xml:space="preserve">Available RPPs values for the selected taxa used to calculate the RPPs-means </w:t>
      </w:r>
      <w:r>
        <w:rPr>
          <w:lang w:val="en-GB"/>
        </w:rPr>
        <w:t>and their SDs</w:t>
      </w:r>
      <w:r>
        <w:rPr>
          <w:rStyle w:val="rynqvb"/>
          <w:lang w:val="en"/>
        </w:rPr>
        <w:t xml:space="preserve"> of the 31 and 46 taxa in the datasets (i.e., RPPs.st1, RPPs.st2, RPPs.st3). </w:t>
      </w:r>
      <w:r>
        <w:rPr>
          <w:lang w:val="en-GB"/>
        </w:rPr>
        <w:t xml:space="preserve">RPPs (with their standard deviations SDs) of 26 tree pollen taxa and 23 herbs, and small shrubs in 17 study areas. The type of surface samples and the ERV </w:t>
      </w:r>
      <w:proofErr w:type="spellStart"/>
      <w:r>
        <w:rPr>
          <w:lang w:val="en-GB"/>
        </w:rPr>
        <w:t>submodel</w:t>
      </w:r>
      <w:proofErr w:type="spellEnd"/>
      <w:r>
        <w:rPr>
          <w:lang w:val="en-GB"/>
        </w:rPr>
        <w:t xml:space="preserve"> used to calculate the original RPPs are indicated. The superscript numbers 1, 2, 3 indicate the values that were not included in the RPPs.st1, st2, and st3, respectively. If no superscript number, the value is included in all three datasets. Poaceae was selected as reference taxon. * RPPs from Germany </w:t>
      </w:r>
      <w:r>
        <w:rPr>
          <w:rStyle w:val="FootnoteReference"/>
          <w:rFonts w:cstheme="minorHAnsi"/>
          <w:color w:val="auto"/>
          <w:lang w:val="en-GB"/>
        </w:rPr>
        <w:fldChar w:fldCharType="begin" w:fldLock="1"/>
      </w:r>
      <w:r>
        <w:rPr>
          <w:lang w:val="en-GB"/>
        </w:rPr>
        <w:instrText>ADDIN CSL_CITATION {"citationItems":[{"id":"ITEM-1","itemData":{"DOI":"10.1007/S00334-012-0373-Z/FIGURES/7","ISSN":"09396314","abstract":"Pollen productivity estimates (PPEs) are indispensable prerequisites for quantitative vegetation reconstructions. Estimates from different European regions show a large variability and it is uncertain whether this reflects regional differences in climate and soil or is brought about by different assessments of vegetation abundance. Forests represent a particular problem as they consist of several layers of vegetation and many tree species only start producing pollen after they have attained ages of several decades. Here we used detailed forest inventory data from north-eastern Germany to investigate the effect of flowering age and understory trees on PPEs. Pollen counts were obtained from 49 small to medium sized lakes chosen to represent the different forest types in the region. Surface samples from lakes within a closed forest of Fagus yielded disproportionate amounts of Fagus pollen, increasing its PPE and the variability of all other estimates. These samples were removed from further analysis but indicate a high trunk-space component that is not considered in the Prentice-Sugita pollen dispersal and deposition model. Results of the restricted dataset show important differences in PPEs based on the consideration of flowering age and understory position. The effect is largest for slow growing and/or late flowering trees like Fagus and Carpinus while it is minimal for species that flower early in their development like Betula and Alnus. The large relevant source area of pollen (RSAP) of 7 km obtained in this study is consistent with the landscape structure of the region. © 2012 The Author(s).","author":[{"dropping-particle":"","family":"Matthias","given":"Isabelle","non-dropping-particle":"","parse-names":false,"suffix":""},{"dropping-particle":"","family":"Nielsen","given":"Anne Birgitte","non-dropping-particle":"","parse-names":false,"suffix":""},{"dropping-particle":"","family":"Giesecke","given":"Thomas","non-dropping-particle":"","parse-names":false,"suffix":""}],"container-title":"Vegetation History and Archaeobotany","id":"ITEM-1","issue":"6","issued":{"date-parts":[["2012","10","10"]]},"page":"471-484","publisher":"Springer","title":"Evaluating the effect of flowering age and forest structure on pollen productivity estimates","type":"article-journal","volume":"21"},"uris":["http://www.mendeley.com/documents/?uuid=fa9a51b1-0e2a-35bb-a05f-9d32f230ea00"]}],"mendeley":{"formattedCitation":"&lt;sup&gt;[34]&lt;/sup&gt;","manualFormatting":"[69]","plainTextFormattedCitation":"[34]","previouslyFormattedCitation":"(Matthias et al., 2012)"},"properties":{"noteIndex":0},"schema":"https://github.com/citation-style-language/schema/raw/master/csl-citation.json"}</w:instrText>
      </w:r>
      <w:r>
        <w:rPr>
          <w:rStyle w:val="FootnoteReference"/>
          <w:rFonts w:cstheme="minorHAnsi"/>
          <w:color w:val="auto"/>
          <w:lang w:val="en-GB"/>
        </w:rPr>
        <w:fldChar w:fldCharType="separate"/>
      </w:r>
      <w:r>
        <w:rPr>
          <w:noProof/>
          <w:lang w:val="en-GB"/>
        </w:rPr>
        <w:t>[68]</w:t>
      </w:r>
      <w:r>
        <w:rPr>
          <w:rStyle w:val="FootnoteReference"/>
          <w:rFonts w:cstheme="minorHAnsi"/>
          <w:color w:val="auto"/>
          <w:lang w:val="en-GB"/>
        </w:rPr>
        <w:fldChar w:fldCharType="end"/>
      </w:r>
      <w:r>
        <w:rPr>
          <w:lang w:val="en-GB"/>
        </w:rPr>
        <w:t xml:space="preserve">, reference taxon </w:t>
      </w:r>
      <w:r>
        <w:rPr>
          <w:i/>
          <w:lang w:val="en-GB"/>
        </w:rPr>
        <w:t>Pinus</w:t>
      </w:r>
      <w:r>
        <w:rPr>
          <w:lang w:val="en-GB"/>
        </w:rPr>
        <w:t xml:space="preserve">. RPPs converted to Poaceae as reference taxon. The RPP estimates selected in this case were obtained with a vegetation dataset including only the trees that had reached their flowering age. ** RPPs from Germany </w:t>
      </w:r>
      <w:r>
        <w:rPr>
          <w:rStyle w:val="FootnoteReference"/>
          <w:rFonts w:cstheme="minorHAnsi"/>
          <w:color w:val="auto"/>
          <w:lang w:val="en-GB"/>
        </w:rPr>
        <w:fldChar w:fldCharType="begin" w:fldLock="1"/>
      </w:r>
      <w:r>
        <w:rPr>
          <w:lang w:val="en-GB"/>
        </w:rPr>
        <w:instrText>ADDIN CSL_CITATION {"citationItems":[{"id":"ITEM-1","itemData":{"DOI":"10.1177/0959683612450194/ASSET/IMAGES/LARGE/10.1177_0959683612450194-FIG2.JPEG","ISSN":"09596836","abstract":"Past plant abundance may be reconstructed from pollen data if dispersal distances of pollen and pollen productivities of each taxon are known. Using surface sediment samples from small and medium sized, closed and near circular lakes from lowland Central Europe, we tested the validity of three pollen dispersal models by comparing empirical pollen data from each lake with simulated pollen data derived from applying various pollen dispersal models to vegetation data from rings situated up to 100 km from each site. Pollen assemblages simulated with a Lagrangian stochastic (LS) model best fit real pollen assemblages, simulations with the commonly used Prentice model on pollen dispersal underestimated the amount of pollen arriving from distances larger than 10 km and overestimated the differences in dispersal distances between lighter (Pinus) and heavier (Fagus, Picea) pollen grains. The LS model appeared to provide more appropriate simulations. Pollen productivity estimates (PPEs) calculated for the data set showed that the choice of the dispersal model has great impact on the results. If derived with the Prentice model, PPEs for Fagus and Picea are three times higher than with the LS model. Studies on pollen productivities thus need to consider the apparent limitations of the Prentice model. We suggest an alternative approach, which uses simulations instead of the extended R-value model, to calculate PPEs. The approach is flexible in the use of dispersal functions and produced consistent results for two independent data sets from small and medium sized lakes. © The Author(s) 2012.","author":[{"dropping-particle":"","family":"Theuerkauf","given":"Martin","non-dropping-particle":"","parse-names":false,"suffix":""},{"dropping-particle":"","family":"Kuparinen","given":"Anna","non-dropping-particle":"","parse-names":false,"suffix":""},{"dropping-particle":"","family":"Joosten","given":"Hans","non-dropping-particle":"","parse-names":false,"suffix":""}],"container-title":"Holocene","id":"ITEM-1","issue":"1","issued":{"date-parts":[["2013","1","16"]]},"page":"14-24","publisher":"SAGE PublicationsSage UK: London, England","title":"Pollen productivity estimates strongly depend on assumed pollen dispersal","type":"article-journal","volume":"23"},"uris":["http://www.mendeley.com/documents/?uuid=a85871e7-db70-3cf6-a9eb-3d57c4d3e950"]}],"mendeley":{"formattedCitation":"&lt;sup&gt;[94]&lt;/sup&gt;","manualFormatting":"[88]","plainTextFormattedCitation":"[94]","previouslyFormattedCitation":"(Theuerkauf et al., 2013)"},"properties":{"noteIndex":0},"schema":"https://github.com/citation-style-language/schema/raw/master/csl-citation.json"}</w:instrText>
      </w:r>
      <w:r>
        <w:rPr>
          <w:rStyle w:val="FootnoteReference"/>
          <w:rFonts w:cstheme="minorHAnsi"/>
          <w:color w:val="auto"/>
          <w:lang w:val="en-GB"/>
        </w:rPr>
        <w:fldChar w:fldCharType="separate"/>
      </w:r>
      <w:r>
        <w:rPr>
          <w:noProof/>
          <w:lang w:val="en-GB"/>
        </w:rPr>
        <w:t>[95]</w:t>
      </w:r>
      <w:r>
        <w:rPr>
          <w:rStyle w:val="FootnoteReference"/>
          <w:rFonts w:cstheme="minorHAnsi"/>
          <w:color w:val="auto"/>
          <w:lang w:val="en-GB"/>
        </w:rPr>
        <w:fldChar w:fldCharType="end"/>
      </w:r>
      <w:r>
        <w:rPr>
          <w:lang w:val="en-GB"/>
        </w:rPr>
        <w:t xml:space="preserve">; in the original publication, the ERV analysis was performed with the </w:t>
      </w:r>
      <w:proofErr w:type="spellStart"/>
      <w:r>
        <w:rPr>
          <w:lang w:val="en-GB"/>
        </w:rPr>
        <w:t>Lagrangian</w:t>
      </w:r>
      <w:proofErr w:type="spellEnd"/>
      <w:r>
        <w:rPr>
          <w:lang w:val="en-GB"/>
        </w:rPr>
        <w:t xml:space="preserve"> stochastic model (LSM) for the dispersal of pollen and with </w:t>
      </w:r>
      <w:r>
        <w:rPr>
          <w:i/>
          <w:lang w:val="en-GB"/>
        </w:rPr>
        <w:t>Pinus</w:t>
      </w:r>
      <w:r>
        <w:rPr>
          <w:lang w:val="en-GB"/>
        </w:rPr>
        <w:t xml:space="preserve"> as a reference taxon. In </w:t>
      </w:r>
      <w:proofErr w:type="spellStart"/>
      <w:r>
        <w:t>Githumbi</w:t>
      </w:r>
      <w:proofErr w:type="spellEnd"/>
      <w:r>
        <w:t xml:space="preserve"> et al. (2022)</w:t>
      </w:r>
      <w:r>
        <w:rPr>
          <w:lang w:val="en-GB"/>
        </w:rPr>
        <w:t xml:space="preserve">, Martin Theuerkauf redid the analysis with the Gaussian Plume model for the dispersal of pollen </w:t>
      </w:r>
      <w:r>
        <w:rPr>
          <w:rStyle w:val="FootnoteReference"/>
          <w:rFonts w:cstheme="minorHAnsi"/>
          <w:color w:val="auto"/>
          <w:lang w:val="en-GB"/>
        </w:rPr>
        <w:fldChar w:fldCharType="begin" w:fldLock="1"/>
      </w:r>
      <w:r>
        <w:rPr>
          <w:lang w:val="en-GB"/>
        </w:rPr>
        <w:instrText>ADDIN CSL_CITATION {"citationItems":[{"id":"ITEM-1","itemData":{"DOI":"10.2307/2531338","ISSN":"0006341X","author":[{"dropping-particle":"","family":"Prentice","given":"I. C.","non-dropping-particle":"","parse-names":false,"suffix":""},{"dropping-particle":"","family":"Parsons","given":"R. W.","non-dropping-particle":"","parse-names":false,"suffix":""}],"container-title":"Biometrics","id":"ITEM-1","issue":"4","issued":{"date-parts":[["1983","12"]]},"page":"1051","title":"Maximum Likelihood Linear Calibration of Pollen Spectra in Terms of Forest Composition","type":"article-journal","volume":"39"},"uris":["http://www.mendeley.com/documents/?uuid=bdf01d8c-3d58-3be8-9413-928c1fe41836"]}],"mendeley":{"formattedCitation":"&lt;sup&gt;[99]&lt;/sup&gt;","manualFormatting":"[45,89]","plainTextFormattedCitation":"[99]","previouslyFormattedCitation":"(I. C. Prentice &amp; Parsons, 1983)"},"properties":{"noteIndex":0},"schema":"https://github.com/citation-style-language/schema/raw/master/csl-citation.json"}</w:instrText>
      </w:r>
      <w:r>
        <w:rPr>
          <w:rStyle w:val="FootnoteReference"/>
          <w:rFonts w:cstheme="minorHAnsi"/>
          <w:color w:val="auto"/>
          <w:lang w:val="en-GB"/>
        </w:rPr>
        <w:fldChar w:fldCharType="separate"/>
      </w:r>
      <w:r>
        <w:rPr>
          <w:noProof/>
          <w:lang w:val="en-GB"/>
        </w:rPr>
        <w:t>[45,90]</w:t>
      </w:r>
      <w:r>
        <w:rPr>
          <w:rStyle w:val="FootnoteReference"/>
          <w:rFonts w:cstheme="minorHAnsi"/>
          <w:color w:val="auto"/>
          <w:lang w:val="en-GB"/>
        </w:rPr>
        <w:fldChar w:fldCharType="end"/>
      </w:r>
      <w:r>
        <w:rPr>
          <w:lang w:val="en-GB"/>
        </w:rPr>
        <w:t xml:space="preserve"> and with Poaceae as a </w:t>
      </w:r>
      <w:r>
        <w:t>reference taxon</w:t>
      </w:r>
      <w:r>
        <w:rPr>
          <w:lang w:val="en-GB"/>
        </w:rPr>
        <w:t>.</w:t>
      </w:r>
    </w:p>
    <w:tbl>
      <w:tblPr>
        <w:tblW w:w="5000" w:type="pct"/>
        <w:jc w:val="center"/>
        <w:tblCellMar>
          <w:left w:w="0" w:type="dxa"/>
          <w:right w:w="0" w:type="dxa"/>
        </w:tblCellMar>
        <w:tblLook w:val="04A0" w:firstRow="1" w:lastRow="0" w:firstColumn="1" w:lastColumn="0" w:noHBand="0" w:noVBand="1"/>
      </w:tblPr>
      <w:tblGrid>
        <w:gridCol w:w="4672"/>
        <w:gridCol w:w="831"/>
        <w:gridCol w:w="716"/>
        <w:gridCol w:w="716"/>
        <w:gridCol w:w="659"/>
        <w:gridCol w:w="562"/>
        <w:gridCol w:w="611"/>
        <w:gridCol w:w="886"/>
        <w:gridCol w:w="830"/>
        <w:gridCol w:w="611"/>
        <w:gridCol w:w="501"/>
        <w:gridCol w:w="943"/>
        <w:gridCol w:w="659"/>
        <w:gridCol w:w="773"/>
        <w:gridCol w:w="769"/>
        <w:gridCol w:w="659"/>
      </w:tblGrid>
      <w:tr w:rsidR="004653D0" w14:paraId="4D6496D7" w14:textId="77777777" w:rsidTr="004653D0">
        <w:trPr>
          <w:jc w:val="center"/>
        </w:trPr>
        <w:tc>
          <w:tcPr>
            <w:tcW w:w="1105" w:type="pct"/>
            <w:tcBorders>
              <w:top w:val="single" w:sz="8" w:space="0" w:color="auto"/>
              <w:left w:val="nil"/>
              <w:bottom w:val="nil"/>
              <w:right w:val="nil"/>
            </w:tcBorders>
            <w:shd w:val="clear" w:color="auto" w:fill="FFFFFF"/>
            <w:noWrap/>
            <w:vAlign w:val="center"/>
            <w:hideMark/>
          </w:tcPr>
          <w:p w14:paraId="13AC7077" w14:textId="77777777" w:rsidR="004653D0" w:rsidRDefault="004653D0">
            <w:pPr>
              <w:rPr>
                <w:szCs w:val="18"/>
                <w:lang w:val="en-GB"/>
              </w:rPr>
            </w:pPr>
          </w:p>
        </w:tc>
        <w:tc>
          <w:tcPr>
            <w:tcW w:w="2163" w:type="pct"/>
            <w:gridSpan w:val="8"/>
            <w:tcBorders>
              <w:top w:val="single" w:sz="8" w:space="0" w:color="auto"/>
              <w:left w:val="nil"/>
              <w:bottom w:val="nil"/>
              <w:right w:val="nil"/>
            </w:tcBorders>
            <w:shd w:val="clear" w:color="auto" w:fill="FFFFFF"/>
            <w:noWrap/>
            <w:vAlign w:val="center"/>
            <w:hideMark/>
          </w:tcPr>
          <w:p w14:paraId="596346CB"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 xml:space="preserve">Moss </w:t>
            </w:r>
            <w:proofErr w:type="spellStart"/>
            <w:r>
              <w:rPr>
                <w:rFonts w:eastAsia="Times New Roman" w:cs="Calibri"/>
                <w:b/>
                <w:noProof w:val="0"/>
                <w:sz w:val="14"/>
                <w:szCs w:val="14"/>
              </w:rPr>
              <w:t>Polster</w:t>
            </w:r>
            <w:proofErr w:type="spellEnd"/>
            <w:r>
              <w:rPr>
                <w:rFonts w:eastAsia="Times New Roman" w:cs="Calibri"/>
                <w:b/>
                <w:noProof w:val="0"/>
                <w:sz w:val="14"/>
                <w:szCs w:val="14"/>
              </w:rPr>
              <w:t xml:space="preserve"> Sites Used to Calculate RPPs</w:t>
            </w:r>
          </w:p>
        </w:tc>
        <w:tc>
          <w:tcPr>
            <w:tcW w:w="1273" w:type="pct"/>
            <w:gridSpan w:val="5"/>
            <w:tcBorders>
              <w:top w:val="single" w:sz="8" w:space="0" w:color="auto"/>
              <w:left w:val="nil"/>
              <w:bottom w:val="nil"/>
              <w:right w:val="nil"/>
            </w:tcBorders>
            <w:shd w:val="clear" w:color="auto" w:fill="FFFFFF"/>
            <w:noWrap/>
            <w:vAlign w:val="center"/>
            <w:hideMark/>
          </w:tcPr>
          <w:p w14:paraId="509FB11D"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Lake Sites Used to Calculate RPPs</w:t>
            </w:r>
          </w:p>
        </w:tc>
        <w:tc>
          <w:tcPr>
            <w:tcW w:w="253" w:type="pct"/>
            <w:tcBorders>
              <w:top w:val="single" w:sz="8" w:space="0" w:color="auto"/>
              <w:left w:val="nil"/>
              <w:bottom w:val="nil"/>
              <w:right w:val="nil"/>
            </w:tcBorders>
            <w:shd w:val="clear" w:color="auto" w:fill="FFFFFF"/>
            <w:noWrap/>
            <w:vAlign w:val="center"/>
            <w:hideMark/>
          </w:tcPr>
          <w:p w14:paraId="195A776F" w14:textId="77777777" w:rsidR="004653D0" w:rsidRDefault="004653D0">
            <w:pPr>
              <w:autoSpaceDE w:val="0"/>
              <w:autoSpaceDN w:val="0"/>
              <w:adjustRightInd w:val="0"/>
              <w:snapToGrid w:val="0"/>
              <w:spacing w:line="240" w:lineRule="auto"/>
              <w:jc w:val="left"/>
              <w:rPr>
                <w:rFonts w:eastAsia="Times New Roman" w:cs="Calibri"/>
                <w:b/>
                <w:noProof w:val="0"/>
                <w:sz w:val="14"/>
                <w:szCs w:val="14"/>
              </w:rPr>
            </w:pPr>
            <w:r>
              <w:rPr>
                <w:rFonts w:eastAsia="Times New Roman" w:cs="Calibri"/>
                <w:b/>
                <w:noProof w:val="0"/>
                <w:sz w:val="14"/>
                <w:szCs w:val="14"/>
              </w:rPr>
              <w:t xml:space="preserve"> </w:t>
            </w:r>
          </w:p>
        </w:tc>
        <w:tc>
          <w:tcPr>
            <w:tcW w:w="206" w:type="pct"/>
            <w:tcBorders>
              <w:top w:val="single" w:sz="8" w:space="0" w:color="auto"/>
              <w:left w:val="nil"/>
              <w:bottom w:val="single" w:sz="4" w:space="0" w:color="auto"/>
              <w:right w:val="nil"/>
            </w:tcBorders>
            <w:shd w:val="clear" w:color="auto" w:fill="FFFFFF"/>
            <w:noWrap/>
            <w:vAlign w:val="center"/>
            <w:hideMark/>
          </w:tcPr>
          <w:p w14:paraId="3EA4A541" w14:textId="77777777" w:rsidR="004653D0" w:rsidRDefault="004653D0">
            <w:pPr>
              <w:autoSpaceDE w:val="0"/>
              <w:autoSpaceDN w:val="0"/>
              <w:adjustRightInd w:val="0"/>
              <w:snapToGrid w:val="0"/>
              <w:spacing w:line="240" w:lineRule="auto"/>
              <w:jc w:val="left"/>
              <w:rPr>
                <w:rFonts w:eastAsia="Times New Roman" w:cs="Calibri"/>
                <w:b/>
                <w:noProof w:val="0"/>
                <w:sz w:val="14"/>
                <w:szCs w:val="14"/>
              </w:rPr>
            </w:pPr>
            <w:r>
              <w:rPr>
                <w:rFonts w:eastAsia="Times New Roman" w:cs="Calibri"/>
                <w:b/>
                <w:noProof w:val="0"/>
                <w:sz w:val="14"/>
                <w:szCs w:val="14"/>
              </w:rPr>
              <w:t xml:space="preserve"> </w:t>
            </w:r>
          </w:p>
        </w:tc>
      </w:tr>
      <w:tr w:rsidR="004653D0" w14:paraId="42FE3FB8" w14:textId="77777777" w:rsidTr="004653D0">
        <w:trPr>
          <w:jc w:val="center"/>
        </w:trPr>
        <w:tc>
          <w:tcPr>
            <w:tcW w:w="1105" w:type="pct"/>
            <w:tcBorders>
              <w:top w:val="single" w:sz="4" w:space="0" w:color="auto"/>
              <w:left w:val="nil"/>
              <w:bottom w:val="single" w:sz="4" w:space="0" w:color="auto"/>
              <w:right w:val="nil"/>
            </w:tcBorders>
            <w:shd w:val="clear" w:color="auto" w:fill="FFFFFF"/>
            <w:vAlign w:val="center"/>
            <w:hideMark/>
          </w:tcPr>
          <w:p w14:paraId="26FB82FC" w14:textId="77777777" w:rsidR="004653D0" w:rsidRDefault="004653D0">
            <w:pPr>
              <w:autoSpaceDE w:val="0"/>
              <w:autoSpaceDN w:val="0"/>
              <w:adjustRightInd w:val="0"/>
              <w:snapToGrid w:val="0"/>
              <w:spacing w:line="240" w:lineRule="auto"/>
              <w:ind w:left="284"/>
              <w:jc w:val="center"/>
              <w:rPr>
                <w:rFonts w:eastAsia="Times New Roman" w:cs="Calibri"/>
                <w:b/>
                <w:noProof w:val="0"/>
                <w:sz w:val="14"/>
                <w:szCs w:val="14"/>
              </w:rPr>
            </w:pPr>
            <w:r>
              <w:rPr>
                <w:rFonts w:eastAsia="Times New Roman" w:cs="Calibri"/>
                <w:b/>
                <w:noProof w:val="0"/>
                <w:sz w:val="14"/>
                <w:szCs w:val="14"/>
              </w:rPr>
              <w:t>Region</w:t>
            </w:r>
          </w:p>
        </w:tc>
        <w:tc>
          <w:tcPr>
            <w:tcW w:w="230" w:type="pct"/>
            <w:tcBorders>
              <w:top w:val="single" w:sz="4" w:space="0" w:color="auto"/>
              <w:left w:val="nil"/>
              <w:bottom w:val="single" w:sz="4" w:space="0" w:color="auto"/>
              <w:right w:val="nil"/>
            </w:tcBorders>
            <w:shd w:val="clear" w:color="auto" w:fill="FFFFFF"/>
            <w:vAlign w:val="center"/>
            <w:hideMark/>
          </w:tcPr>
          <w:p w14:paraId="19DCBEF6"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Finland [89]</w:t>
            </w:r>
          </w:p>
        </w:tc>
        <w:tc>
          <w:tcPr>
            <w:tcW w:w="276" w:type="pct"/>
            <w:tcBorders>
              <w:top w:val="single" w:sz="4" w:space="0" w:color="auto"/>
              <w:left w:val="nil"/>
              <w:bottom w:val="single" w:sz="4" w:space="0" w:color="auto"/>
              <w:right w:val="nil"/>
            </w:tcBorders>
            <w:shd w:val="clear" w:color="auto" w:fill="FFFFFF"/>
            <w:vAlign w:val="center"/>
            <w:hideMark/>
          </w:tcPr>
          <w:p w14:paraId="4496ACCC"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C Sweden [75]</w:t>
            </w:r>
          </w:p>
        </w:tc>
        <w:tc>
          <w:tcPr>
            <w:tcW w:w="276" w:type="pct"/>
            <w:tcBorders>
              <w:top w:val="single" w:sz="4" w:space="0" w:color="auto"/>
              <w:left w:val="nil"/>
              <w:bottom w:val="single" w:sz="4" w:space="0" w:color="auto"/>
              <w:right w:val="nil"/>
            </w:tcBorders>
            <w:shd w:val="clear" w:color="auto" w:fill="FFFFFF"/>
            <w:vAlign w:val="center"/>
            <w:hideMark/>
          </w:tcPr>
          <w:p w14:paraId="636FE83F"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S Sweden [98,99]</w:t>
            </w:r>
          </w:p>
        </w:tc>
        <w:tc>
          <w:tcPr>
            <w:tcW w:w="369" w:type="pct"/>
            <w:tcBorders>
              <w:top w:val="single" w:sz="4" w:space="0" w:color="auto"/>
              <w:left w:val="nil"/>
              <w:bottom w:val="single" w:sz="4" w:space="0" w:color="auto"/>
              <w:right w:val="nil"/>
            </w:tcBorders>
            <w:shd w:val="clear" w:color="auto" w:fill="FFFFFF"/>
            <w:vAlign w:val="center"/>
            <w:hideMark/>
          </w:tcPr>
          <w:p w14:paraId="572DA66E"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Norway [96]</w:t>
            </w:r>
          </w:p>
        </w:tc>
        <w:tc>
          <w:tcPr>
            <w:tcW w:w="230" w:type="pct"/>
            <w:tcBorders>
              <w:top w:val="single" w:sz="4" w:space="0" w:color="auto"/>
              <w:left w:val="nil"/>
              <w:bottom w:val="single" w:sz="4" w:space="0" w:color="auto"/>
              <w:right w:val="nil"/>
            </w:tcBorders>
            <w:shd w:val="clear" w:color="auto" w:fill="FFFFFF"/>
            <w:vAlign w:val="center"/>
            <w:hideMark/>
          </w:tcPr>
          <w:p w14:paraId="0D56B93C"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England [91]</w:t>
            </w:r>
          </w:p>
        </w:tc>
        <w:tc>
          <w:tcPr>
            <w:tcW w:w="230" w:type="pct"/>
            <w:tcBorders>
              <w:top w:val="single" w:sz="4" w:space="0" w:color="auto"/>
              <w:left w:val="nil"/>
              <w:bottom w:val="single" w:sz="4" w:space="0" w:color="auto"/>
              <w:right w:val="nil"/>
            </w:tcBorders>
            <w:shd w:val="clear" w:color="auto" w:fill="FFFFFF"/>
            <w:vAlign w:val="center"/>
            <w:hideMark/>
          </w:tcPr>
          <w:p w14:paraId="530CDC28"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Swiss Jura [100]</w:t>
            </w:r>
          </w:p>
        </w:tc>
        <w:tc>
          <w:tcPr>
            <w:tcW w:w="230" w:type="pct"/>
            <w:tcBorders>
              <w:top w:val="single" w:sz="4" w:space="0" w:color="auto"/>
              <w:left w:val="nil"/>
              <w:bottom w:val="single" w:sz="4" w:space="0" w:color="auto"/>
              <w:right w:val="nil"/>
            </w:tcBorders>
            <w:shd w:val="clear" w:color="auto" w:fill="FFFFFF"/>
            <w:vAlign w:val="center"/>
            <w:hideMark/>
          </w:tcPr>
          <w:p w14:paraId="2F66CE90"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C Bohemia (Czech Rep.) [92]</w:t>
            </w:r>
          </w:p>
        </w:tc>
        <w:tc>
          <w:tcPr>
            <w:tcW w:w="322" w:type="pct"/>
            <w:tcBorders>
              <w:top w:val="single" w:sz="4" w:space="0" w:color="auto"/>
              <w:left w:val="nil"/>
              <w:bottom w:val="single" w:sz="4" w:space="0" w:color="auto"/>
              <w:right w:val="nil"/>
            </w:tcBorders>
            <w:shd w:val="clear" w:color="auto" w:fill="FFFFFF"/>
            <w:vAlign w:val="center"/>
            <w:hideMark/>
          </w:tcPr>
          <w:p w14:paraId="160F3099"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proofErr w:type="spellStart"/>
            <w:r>
              <w:rPr>
                <w:rFonts w:eastAsia="Times New Roman" w:cs="Calibri"/>
                <w:b/>
                <w:noProof w:val="0"/>
                <w:sz w:val="14"/>
                <w:szCs w:val="14"/>
              </w:rPr>
              <w:t>Bialowieza</w:t>
            </w:r>
            <w:proofErr w:type="spellEnd"/>
            <w:r>
              <w:rPr>
                <w:rFonts w:eastAsia="Times New Roman" w:cs="Calibri"/>
                <w:b/>
                <w:noProof w:val="0"/>
                <w:sz w:val="14"/>
                <w:szCs w:val="14"/>
              </w:rPr>
              <w:t xml:space="preserve"> Forest (Poland) [97]</w:t>
            </w:r>
          </w:p>
        </w:tc>
        <w:tc>
          <w:tcPr>
            <w:tcW w:w="231" w:type="pct"/>
            <w:tcBorders>
              <w:top w:val="single" w:sz="4" w:space="0" w:color="auto"/>
              <w:left w:val="nil"/>
              <w:bottom w:val="single" w:sz="4" w:space="0" w:color="auto"/>
              <w:right w:val="nil"/>
            </w:tcBorders>
            <w:shd w:val="clear" w:color="auto" w:fill="FFFFFF"/>
            <w:vAlign w:val="center"/>
            <w:hideMark/>
          </w:tcPr>
          <w:p w14:paraId="5FC81F98"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Estonia [94]</w:t>
            </w:r>
          </w:p>
        </w:tc>
        <w:tc>
          <w:tcPr>
            <w:tcW w:w="230" w:type="pct"/>
            <w:tcBorders>
              <w:top w:val="single" w:sz="4" w:space="0" w:color="auto"/>
              <w:left w:val="nil"/>
              <w:bottom w:val="single" w:sz="4" w:space="0" w:color="auto"/>
              <w:right w:val="nil"/>
            </w:tcBorders>
            <w:shd w:val="clear" w:color="auto" w:fill="FFFFFF"/>
            <w:vAlign w:val="center"/>
            <w:hideMark/>
          </w:tcPr>
          <w:p w14:paraId="1B70E509"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Denmark [93]</w:t>
            </w:r>
          </w:p>
        </w:tc>
        <w:tc>
          <w:tcPr>
            <w:tcW w:w="368" w:type="pct"/>
            <w:tcBorders>
              <w:top w:val="single" w:sz="4" w:space="0" w:color="auto"/>
              <w:left w:val="nil"/>
              <w:bottom w:val="single" w:sz="4" w:space="0" w:color="auto"/>
              <w:right w:val="nil"/>
            </w:tcBorders>
            <w:shd w:val="clear" w:color="auto" w:fill="FFFFFF"/>
            <w:vAlign w:val="center"/>
            <w:hideMark/>
          </w:tcPr>
          <w:p w14:paraId="550F4370"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Swiss Plateau [101]</w:t>
            </w:r>
          </w:p>
        </w:tc>
        <w:tc>
          <w:tcPr>
            <w:tcW w:w="198" w:type="pct"/>
            <w:tcBorders>
              <w:top w:val="single" w:sz="4" w:space="0" w:color="auto"/>
              <w:left w:val="nil"/>
              <w:bottom w:val="single" w:sz="4" w:space="0" w:color="auto"/>
              <w:right w:val="nil"/>
            </w:tcBorders>
            <w:shd w:val="clear" w:color="auto" w:fill="FFFFFF"/>
            <w:vAlign w:val="center"/>
            <w:hideMark/>
          </w:tcPr>
          <w:p w14:paraId="459B103B"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Germany * [68]</w:t>
            </w:r>
          </w:p>
        </w:tc>
        <w:tc>
          <w:tcPr>
            <w:tcW w:w="246" w:type="pct"/>
            <w:tcBorders>
              <w:top w:val="single" w:sz="4" w:space="0" w:color="auto"/>
              <w:left w:val="nil"/>
              <w:bottom w:val="single" w:sz="4" w:space="0" w:color="auto"/>
              <w:right w:val="nil"/>
            </w:tcBorders>
            <w:shd w:val="clear" w:color="auto" w:fill="FFFFFF"/>
            <w:vAlign w:val="center"/>
            <w:hideMark/>
          </w:tcPr>
          <w:p w14:paraId="68CA7A87"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r>
              <w:rPr>
                <w:rFonts w:eastAsia="Times New Roman" w:cs="Calibri"/>
                <w:b/>
                <w:noProof w:val="0"/>
                <w:sz w:val="14"/>
                <w:szCs w:val="14"/>
              </w:rPr>
              <w:t>Germany ** [95]</w:t>
            </w:r>
          </w:p>
        </w:tc>
        <w:tc>
          <w:tcPr>
            <w:tcW w:w="253" w:type="pct"/>
            <w:tcBorders>
              <w:top w:val="single" w:sz="4" w:space="0" w:color="auto"/>
              <w:left w:val="nil"/>
              <w:bottom w:val="single" w:sz="4" w:space="0" w:color="auto"/>
              <w:right w:val="nil"/>
            </w:tcBorders>
            <w:shd w:val="clear" w:color="auto" w:fill="FFFFFF"/>
            <w:vAlign w:val="center"/>
            <w:hideMark/>
          </w:tcPr>
          <w:p w14:paraId="3ACB77BE" w14:textId="77777777" w:rsidR="004653D0" w:rsidRDefault="004653D0">
            <w:pPr>
              <w:autoSpaceDE w:val="0"/>
              <w:autoSpaceDN w:val="0"/>
              <w:adjustRightInd w:val="0"/>
              <w:snapToGrid w:val="0"/>
              <w:spacing w:line="240" w:lineRule="auto"/>
              <w:jc w:val="center"/>
              <w:rPr>
                <w:rFonts w:eastAsia="Times New Roman" w:cs="Calibri"/>
                <w:b/>
                <w:noProof w:val="0"/>
                <w:color w:val="auto"/>
                <w:sz w:val="14"/>
                <w:szCs w:val="14"/>
              </w:rPr>
            </w:pPr>
            <w:r>
              <w:rPr>
                <w:rFonts w:eastAsia="Times New Roman" w:cs="Calibri"/>
                <w:b/>
                <w:noProof w:val="0"/>
                <w:sz w:val="14"/>
                <w:szCs w:val="14"/>
              </w:rPr>
              <w:t>France Mediterranean [31]</w:t>
            </w:r>
          </w:p>
        </w:tc>
        <w:tc>
          <w:tcPr>
            <w:tcW w:w="206" w:type="pct"/>
            <w:tcBorders>
              <w:top w:val="nil"/>
              <w:left w:val="nil"/>
              <w:bottom w:val="single" w:sz="4" w:space="0" w:color="auto"/>
              <w:right w:val="nil"/>
            </w:tcBorders>
            <w:shd w:val="clear" w:color="auto" w:fill="FFFFFF"/>
            <w:vAlign w:val="center"/>
            <w:hideMark/>
          </w:tcPr>
          <w:p w14:paraId="2ABD80AD" w14:textId="77777777" w:rsidR="004653D0" w:rsidRDefault="004653D0">
            <w:pPr>
              <w:autoSpaceDE w:val="0"/>
              <w:autoSpaceDN w:val="0"/>
              <w:adjustRightInd w:val="0"/>
              <w:snapToGrid w:val="0"/>
              <w:spacing w:line="240" w:lineRule="auto"/>
              <w:jc w:val="center"/>
              <w:rPr>
                <w:rFonts w:eastAsia="Times New Roman" w:cs="Calibri"/>
                <w:b/>
                <w:noProof w:val="0"/>
                <w:sz w:val="14"/>
                <w:szCs w:val="14"/>
              </w:rPr>
            </w:pPr>
            <w:proofErr w:type="spellStart"/>
            <w:r>
              <w:rPr>
                <w:rFonts w:eastAsia="Times New Roman" w:cs="Calibri"/>
                <w:b/>
                <w:noProof w:val="0"/>
                <w:sz w:val="14"/>
                <w:szCs w:val="14"/>
              </w:rPr>
              <w:t>Roumania</w:t>
            </w:r>
            <w:proofErr w:type="spellEnd"/>
            <w:r>
              <w:rPr>
                <w:rFonts w:eastAsia="Times New Roman" w:cs="Calibri"/>
                <w:b/>
                <w:noProof w:val="0"/>
                <w:sz w:val="14"/>
                <w:szCs w:val="14"/>
              </w:rPr>
              <w:t xml:space="preserve"> [87]</w:t>
            </w:r>
          </w:p>
        </w:tc>
      </w:tr>
      <w:tr w:rsidR="004653D0" w14:paraId="0D985D67" w14:textId="77777777" w:rsidTr="004653D0">
        <w:trPr>
          <w:jc w:val="center"/>
        </w:trPr>
        <w:tc>
          <w:tcPr>
            <w:tcW w:w="1105" w:type="pct"/>
            <w:tcBorders>
              <w:top w:val="nil"/>
              <w:left w:val="nil"/>
              <w:bottom w:val="single" w:sz="4" w:space="0" w:color="auto"/>
              <w:right w:val="nil"/>
            </w:tcBorders>
            <w:shd w:val="clear" w:color="auto" w:fill="FFFFFF"/>
            <w:noWrap/>
            <w:vAlign w:val="center"/>
            <w:hideMark/>
          </w:tcPr>
          <w:p w14:paraId="2EDF4BA3" w14:textId="77777777" w:rsidR="004653D0" w:rsidRDefault="004653D0">
            <w:pPr>
              <w:autoSpaceDE w:val="0"/>
              <w:autoSpaceDN w:val="0"/>
              <w:adjustRightInd w:val="0"/>
              <w:snapToGrid w:val="0"/>
              <w:spacing w:line="240" w:lineRule="auto"/>
              <w:ind w:left="284"/>
              <w:jc w:val="left"/>
              <w:rPr>
                <w:rFonts w:eastAsia="Times New Roman" w:cs="Calibri"/>
                <w:noProof w:val="0"/>
                <w:sz w:val="14"/>
                <w:szCs w:val="14"/>
              </w:rPr>
            </w:pPr>
            <w:r>
              <w:rPr>
                <w:rFonts w:eastAsia="Times New Roman" w:cs="Calibri"/>
                <w:noProof w:val="0"/>
                <w:sz w:val="14"/>
                <w:szCs w:val="14"/>
              </w:rPr>
              <w:t xml:space="preserve">ERV </w:t>
            </w:r>
            <w:proofErr w:type="spellStart"/>
            <w:r>
              <w:rPr>
                <w:rFonts w:eastAsia="Times New Roman" w:cs="Calibri"/>
                <w:noProof w:val="0"/>
                <w:sz w:val="14"/>
                <w:szCs w:val="14"/>
              </w:rPr>
              <w:t>submodel</w:t>
            </w:r>
            <w:proofErr w:type="spellEnd"/>
          </w:p>
        </w:tc>
        <w:tc>
          <w:tcPr>
            <w:tcW w:w="230" w:type="pct"/>
            <w:tcBorders>
              <w:top w:val="nil"/>
              <w:left w:val="nil"/>
              <w:bottom w:val="single" w:sz="4" w:space="0" w:color="auto"/>
              <w:right w:val="nil"/>
            </w:tcBorders>
            <w:shd w:val="clear" w:color="auto" w:fill="FFFFFF"/>
            <w:noWrap/>
            <w:vAlign w:val="center"/>
            <w:hideMark/>
          </w:tcPr>
          <w:p w14:paraId="4765853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3</w:t>
            </w:r>
          </w:p>
        </w:tc>
        <w:tc>
          <w:tcPr>
            <w:tcW w:w="276" w:type="pct"/>
            <w:tcBorders>
              <w:top w:val="nil"/>
              <w:left w:val="nil"/>
              <w:bottom w:val="single" w:sz="4" w:space="0" w:color="auto"/>
              <w:right w:val="nil"/>
            </w:tcBorders>
            <w:shd w:val="clear" w:color="auto" w:fill="FFFFFF"/>
            <w:noWrap/>
            <w:vAlign w:val="center"/>
            <w:hideMark/>
          </w:tcPr>
          <w:p w14:paraId="1CB4FA2F"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3</w:t>
            </w:r>
          </w:p>
        </w:tc>
        <w:tc>
          <w:tcPr>
            <w:tcW w:w="276" w:type="pct"/>
            <w:tcBorders>
              <w:top w:val="nil"/>
              <w:left w:val="nil"/>
              <w:bottom w:val="single" w:sz="4" w:space="0" w:color="auto"/>
              <w:right w:val="nil"/>
            </w:tcBorders>
            <w:shd w:val="clear" w:color="auto" w:fill="FFFFFF"/>
            <w:noWrap/>
            <w:vAlign w:val="center"/>
            <w:hideMark/>
          </w:tcPr>
          <w:p w14:paraId="65EE9711"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3</w:t>
            </w:r>
          </w:p>
        </w:tc>
        <w:tc>
          <w:tcPr>
            <w:tcW w:w="369" w:type="pct"/>
            <w:tcBorders>
              <w:top w:val="nil"/>
              <w:left w:val="nil"/>
              <w:bottom w:val="single" w:sz="4" w:space="0" w:color="auto"/>
              <w:right w:val="nil"/>
            </w:tcBorders>
            <w:shd w:val="clear" w:color="auto" w:fill="FFFFFF"/>
            <w:noWrap/>
            <w:vAlign w:val="center"/>
            <w:hideMark/>
          </w:tcPr>
          <w:p w14:paraId="0D2657A6"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1</w:t>
            </w:r>
          </w:p>
        </w:tc>
        <w:tc>
          <w:tcPr>
            <w:tcW w:w="230" w:type="pct"/>
            <w:tcBorders>
              <w:top w:val="nil"/>
              <w:left w:val="nil"/>
              <w:bottom w:val="single" w:sz="4" w:space="0" w:color="auto"/>
              <w:right w:val="nil"/>
            </w:tcBorders>
            <w:shd w:val="clear" w:color="auto" w:fill="FFFFFF"/>
            <w:noWrap/>
            <w:vAlign w:val="center"/>
            <w:hideMark/>
          </w:tcPr>
          <w:p w14:paraId="12FD2112"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1</w:t>
            </w:r>
          </w:p>
        </w:tc>
        <w:tc>
          <w:tcPr>
            <w:tcW w:w="230" w:type="pct"/>
            <w:tcBorders>
              <w:top w:val="nil"/>
              <w:left w:val="nil"/>
              <w:bottom w:val="single" w:sz="4" w:space="0" w:color="auto"/>
              <w:right w:val="nil"/>
            </w:tcBorders>
            <w:shd w:val="clear" w:color="auto" w:fill="FFFFFF"/>
            <w:noWrap/>
            <w:vAlign w:val="center"/>
            <w:hideMark/>
          </w:tcPr>
          <w:p w14:paraId="13EA77FF"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1</w:t>
            </w:r>
          </w:p>
        </w:tc>
        <w:tc>
          <w:tcPr>
            <w:tcW w:w="230" w:type="pct"/>
            <w:tcBorders>
              <w:top w:val="nil"/>
              <w:left w:val="nil"/>
              <w:bottom w:val="single" w:sz="4" w:space="0" w:color="auto"/>
              <w:right w:val="nil"/>
            </w:tcBorders>
            <w:shd w:val="clear" w:color="auto" w:fill="FFFFFF"/>
            <w:noWrap/>
            <w:vAlign w:val="center"/>
            <w:hideMark/>
          </w:tcPr>
          <w:p w14:paraId="250A3DEA"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1</w:t>
            </w:r>
          </w:p>
        </w:tc>
        <w:tc>
          <w:tcPr>
            <w:tcW w:w="322" w:type="pct"/>
            <w:tcBorders>
              <w:top w:val="nil"/>
              <w:left w:val="nil"/>
              <w:bottom w:val="single" w:sz="4" w:space="0" w:color="auto"/>
              <w:right w:val="nil"/>
            </w:tcBorders>
            <w:shd w:val="clear" w:color="auto" w:fill="FFFFFF"/>
            <w:noWrap/>
            <w:vAlign w:val="center"/>
            <w:hideMark/>
          </w:tcPr>
          <w:p w14:paraId="14F61067"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3</w:t>
            </w:r>
          </w:p>
        </w:tc>
        <w:tc>
          <w:tcPr>
            <w:tcW w:w="231" w:type="pct"/>
            <w:tcBorders>
              <w:top w:val="nil"/>
              <w:left w:val="nil"/>
              <w:bottom w:val="single" w:sz="4" w:space="0" w:color="auto"/>
              <w:right w:val="nil"/>
            </w:tcBorders>
            <w:shd w:val="clear" w:color="auto" w:fill="FFFFFF"/>
            <w:noWrap/>
            <w:vAlign w:val="center"/>
            <w:hideMark/>
          </w:tcPr>
          <w:p w14:paraId="3EE0037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3</w:t>
            </w:r>
          </w:p>
        </w:tc>
        <w:tc>
          <w:tcPr>
            <w:tcW w:w="230" w:type="pct"/>
            <w:tcBorders>
              <w:top w:val="nil"/>
              <w:left w:val="nil"/>
              <w:bottom w:val="single" w:sz="4" w:space="0" w:color="auto"/>
              <w:right w:val="nil"/>
            </w:tcBorders>
            <w:shd w:val="clear" w:color="auto" w:fill="FFFFFF"/>
            <w:noWrap/>
            <w:vAlign w:val="center"/>
            <w:hideMark/>
          </w:tcPr>
          <w:p w14:paraId="32F15049"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1</w:t>
            </w:r>
          </w:p>
        </w:tc>
        <w:tc>
          <w:tcPr>
            <w:tcW w:w="368" w:type="pct"/>
            <w:tcBorders>
              <w:top w:val="nil"/>
              <w:left w:val="nil"/>
              <w:bottom w:val="single" w:sz="4" w:space="0" w:color="auto"/>
              <w:right w:val="nil"/>
            </w:tcBorders>
            <w:shd w:val="clear" w:color="auto" w:fill="FFFFFF"/>
            <w:noWrap/>
            <w:vAlign w:val="center"/>
            <w:hideMark/>
          </w:tcPr>
          <w:p w14:paraId="6EA1BD82"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3</w:t>
            </w:r>
          </w:p>
        </w:tc>
        <w:tc>
          <w:tcPr>
            <w:tcW w:w="198" w:type="pct"/>
            <w:tcBorders>
              <w:top w:val="nil"/>
              <w:left w:val="nil"/>
              <w:bottom w:val="single" w:sz="4" w:space="0" w:color="auto"/>
              <w:right w:val="nil"/>
            </w:tcBorders>
            <w:shd w:val="clear" w:color="auto" w:fill="FFFFFF"/>
            <w:noWrap/>
            <w:vAlign w:val="center"/>
            <w:hideMark/>
          </w:tcPr>
          <w:p w14:paraId="4DF01EE2"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 3</w:t>
            </w:r>
          </w:p>
        </w:tc>
        <w:tc>
          <w:tcPr>
            <w:tcW w:w="246" w:type="pct"/>
            <w:tcBorders>
              <w:top w:val="nil"/>
              <w:left w:val="nil"/>
              <w:bottom w:val="single" w:sz="4" w:space="0" w:color="auto"/>
              <w:right w:val="nil"/>
            </w:tcBorders>
            <w:shd w:val="clear" w:color="auto" w:fill="FFFFFF"/>
            <w:noWrap/>
            <w:vAlign w:val="center"/>
            <w:hideMark/>
          </w:tcPr>
          <w:p w14:paraId="0FDDAB48" w14:textId="77777777" w:rsidR="004653D0" w:rsidRDefault="004653D0">
            <w:pPr>
              <w:rPr>
                <w:rFonts w:eastAsia="Times New Roman" w:cs="Calibri"/>
                <w:noProof w:val="0"/>
                <w:sz w:val="14"/>
                <w:szCs w:val="14"/>
              </w:rPr>
            </w:pPr>
          </w:p>
        </w:tc>
        <w:tc>
          <w:tcPr>
            <w:tcW w:w="253" w:type="pct"/>
            <w:tcBorders>
              <w:top w:val="nil"/>
              <w:left w:val="nil"/>
              <w:bottom w:val="single" w:sz="4" w:space="0" w:color="auto"/>
              <w:right w:val="nil"/>
            </w:tcBorders>
            <w:shd w:val="clear" w:color="auto" w:fill="FFFFFF"/>
            <w:noWrap/>
            <w:vAlign w:val="center"/>
            <w:hideMark/>
          </w:tcPr>
          <w:p w14:paraId="4600A13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w:t>
            </w:r>
          </w:p>
        </w:tc>
        <w:tc>
          <w:tcPr>
            <w:tcW w:w="206" w:type="pct"/>
            <w:tcBorders>
              <w:top w:val="nil"/>
              <w:left w:val="nil"/>
              <w:bottom w:val="single" w:sz="4" w:space="0" w:color="auto"/>
              <w:right w:val="nil"/>
            </w:tcBorders>
            <w:shd w:val="clear" w:color="auto" w:fill="FFFFFF"/>
            <w:noWrap/>
            <w:vAlign w:val="center"/>
            <w:hideMark/>
          </w:tcPr>
          <w:p w14:paraId="21351CA3"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ERV</w:t>
            </w:r>
          </w:p>
        </w:tc>
      </w:tr>
      <w:tr w:rsidR="004653D0" w14:paraId="31F9E6A9" w14:textId="77777777" w:rsidTr="004653D0">
        <w:trPr>
          <w:jc w:val="center"/>
        </w:trPr>
        <w:tc>
          <w:tcPr>
            <w:tcW w:w="1105" w:type="pct"/>
            <w:shd w:val="clear" w:color="auto" w:fill="FFFFFF"/>
            <w:noWrap/>
            <w:vAlign w:val="center"/>
            <w:hideMark/>
          </w:tcPr>
          <w:p w14:paraId="2943F722" w14:textId="77777777" w:rsidR="004653D0" w:rsidRDefault="004653D0">
            <w:pPr>
              <w:autoSpaceDE w:val="0"/>
              <w:autoSpaceDN w:val="0"/>
              <w:adjustRightInd w:val="0"/>
              <w:snapToGrid w:val="0"/>
              <w:spacing w:line="240" w:lineRule="auto"/>
              <w:ind w:left="284"/>
              <w:jc w:val="left"/>
              <w:rPr>
                <w:rFonts w:eastAsia="Times New Roman" w:cs="Calibri"/>
                <w:noProof w:val="0"/>
                <w:sz w:val="14"/>
                <w:szCs w:val="14"/>
              </w:rPr>
            </w:pPr>
            <w:r>
              <w:rPr>
                <w:rFonts w:eastAsia="Times New Roman" w:cs="Calibri"/>
                <w:noProof w:val="0"/>
                <w:sz w:val="14"/>
                <w:szCs w:val="14"/>
              </w:rPr>
              <w:t>Poaceae (Reference taxa)</w:t>
            </w:r>
          </w:p>
        </w:tc>
        <w:tc>
          <w:tcPr>
            <w:tcW w:w="230" w:type="pct"/>
            <w:shd w:val="clear" w:color="auto" w:fill="FFFFFF"/>
            <w:noWrap/>
            <w:vAlign w:val="center"/>
            <w:hideMark/>
          </w:tcPr>
          <w:p w14:paraId="2F6CAE77"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276" w:type="pct"/>
            <w:shd w:val="clear" w:color="auto" w:fill="FFFFFF"/>
            <w:noWrap/>
            <w:vAlign w:val="center"/>
            <w:hideMark/>
          </w:tcPr>
          <w:p w14:paraId="776DE045"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276" w:type="pct"/>
            <w:shd w:val="clear" w:color="auto" w:fill="FFFFFF"/>
            <w:noWrap/>
            <w:vAlign w:val="center"/>
            <w:hideMark/>
          </w:tcPr>
          <w:p w14:paraId="4D41BD7D"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369" w:type="pct"/>
            <w:shd w:val="clear" w:color="auto" w:fill="FFFFFF"/>
            <w:noWrap/>
            <w:vAlign w:val="center"/>
            <w:hideMark/>
          </w:tcPr>
          <w:p w14:paraId="6E0F3927"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230" w:type="pct"/>
            <w:shd w:val="clear" w:color="auto" w:fill="FFFFFF"/>
            <w:noWrap/>
            <w:vAlign w:val="center"/>
            <w:hideMark/>
          </w:tcPr>
          <w:p w14:paraId="591077B7"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230" w:type="pct"/>
            <w:shd w:val="clear" w:color="auto" w:fill="FFFFFF"/>
            <w:noWrap/>
            <w:vAlign w:val="center"/>
            <w:hideMark/>
          </w:tcPr>
          <w:p w14:paraId="67CD8CB5"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230" w:type="pct"/>
            <w:shd w:val="clear" w:color="auto" w:fill="FFFFFF"/>
            <w:noWrap/>
            <w:vAlign w:val="center"/>
            <w:hideMark/>
          </w:tcPr>
          <w:p w14:paraId="539BE4CD"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322" w:type="pct"/>
            <w:shd w:val="clear" w:color="auto" w:fill="FFFFFF"/>
            <w:noWrap/>
            <w:vAlign w:val="center"/>
            <w:hideMark/>
          </w:tcPr>
          <w:p w14:paraId="1EA57FA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231" w:type="pct"/>
            <w:shd w:val="clear" w:color="auto" w:fill="FFFFFF"/>
            <w:noWrap/>
            <w:vAlign w:val="center"/>
            <w:hideMark/>
          </w:tcPr>
          <w:p w14:paraId="4E1E7106"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230" w:type="pct"/>
            <w:shd w:val="clear" w:color="auto" w:fill="FFFFFF"/>
            <w:noWrap/>
            <w:vAlign w:val="center"/>
            <w:hideMark/>
          </w:tcPr>
          <w:p w14:paraId="00E2C0BC"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368" w:type="pct"/>
            <w:shd w:val="clear" w:color="auto" w:fill="FFFFFF"/>
            <w:noWrap/>
            <w:vAlign w:val="center"/>
            <w:hideMark/>
          </w:tcPr>
          <w:p w14:paraId="16089FB3"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198" w:type="pct"/>
            <w:shd w:val="clear" w:color="auto" w:fill="FFFFFF"/>
            <w:noWrap/>
            <w:vAlign w:val="center"/>
            <w:hideMark/>
          </w:tcPr>
          <w:p w14:paraId="63E360B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246" w:type="pct"/>
            <w:shd w:val="clear" w:color="auto" w:fill="FFFFFF"/>
            <w:noWrap/>
            <w:vAlign w:val="center"/>
            <w:hideMark/>
          </w:tcPr>
          <w:p w14:paraId="2502CEF3"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253" w:type="pct"/>
            <w:shd w:val="clear" w:color="auto" w:fill="FFFFFF"/>
            <w:noWrap/>
            <w:vAlign w:val="center"/>
            <w:hideMark/>
          </w:tcPr>
          <w:p w14:paraId="77C9F65F"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c>
          <w:tcPr>
            <w:tcW w:w="206" w:type="pct"/>
            <w:shd w:val="clear" w:color="auto" w:fill="FFFFFF"/>
            <w:noWrap/>
            <w:vAlign w:val="center"/>
            <w:hideMark/>
          </w:tcPr>
          <w:p w14:paraId="19FDA043"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(0.00)</w:t>
            </w:r>
          </w:p>
        </w:tc>
      </w:tr>
      <w:tr w:rsidR="004653D0" w14:paraId="2F754AD0" w14:textId="77777777" w:rsidTr="004653D0">
        <w:trPr>
          <w:jc w:val="center"/>
        </w:trPr>
        <w:tc>
          <w:tcPr>
            <w:tcW w:w="1105" w:type="pct"/>
            <w:shd w:val="clear" w:color="auto" w:fill="BFBFBF"/>
            <w:noWrap/>
            <w:vAlign w:val="center"/>
            <w:hideMark/>
          </w:tcPr>
          <w:p w14:paraId="5B129D56" w14:textId="77777777" w:rsidR="004653D0" w:rsidRDefault="004653D0">
            <w:pPr>
              <w:autoSpaceDE w:val="0"/>
              <w:autoSpaceDN w:val="0"/>
              <w:adjustRightInd w:val="0"/>
              <w:snapToGrid w:val="0"/>
              <w:spacing w:line="240" w:lineRule="auto"/>
              <w:jc w:val="left"/>
              <w:rPr>
                <w:rFonts w:eastAsia="Times New Roman" w:cs="Calibri"/>
                <w:noProof w:val="0"/>
                <w:sz w:val="14"/>
                <w:szCs w:val="14"/>
              </w:rPr>
            </w:pPr>
            <w:r>
              <w:rPr>
                <w:rFonts w:eastAsia="Times New Roman" w:cs="Calibri"/>
                <w:noProof w:val="0"/>
                <w:sz w:val="14"/>
                <w:szCs w:val="14"/>
              </w:rPr>
              <w:t>Herb taxa</w:t>
            </w:r>
          </w:p>
        </w:tc>
        <w:tc>
          <w:tcPr>
            <w:tcW w:w="230" w:type="pct"/>
            <w:shd w:val="clear" w:color="auto" w:fill="BFBFBF"/>
            <w:noWrap/>
            <w:vAlign w:val="center"/>
            <w:hideMark/>
          </w:tcPr>
          <w:p w14:paraId="742AD211" w14:textId="77777777" w:rsidR="004653D0" w:rsidRDefault="004653D0">
            <w:pPr>
              <w:rPr>
                <w:rFonts w:eastAsia="Times New Roman" w:cs="Calibri"/>
                <w:noProof w:val="0"/>
                <w:sz w:val="14"/>
                <w:szCs w:val="14"/>
              </w:rPr>
            </w:pPr>
          </w:p>
        </w:tc>
        <w:tc>
          <w:tcPr>
            <w:tcW w:w="276" w:type="pct"/>
            <w:shd w:val="clear" w:color="auto" w:fill="BFBFBF"/>
            <w:noWrap/>
            <w:vAlign w:val="center"/>
            <w:hideMark/>
          </w:tcPr>
          <w:p w14:paraId="29C9D09C"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BFBFBF"/>
            <w:noWrap/>
            <w:vAlign w:val="center"/>
            <w:hideMark/>
          </w:tcPr>
          <w:p w14:paraId="3E54C305"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BFBFBF"/>
            <w:noWrap/>
            <w:vAlign w:val="center"/>
            <w:hideMark/>
          </w:tcPr>
          <w:p w14:paraId="54CA6231"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BFBFBF"/>
            <w:noWrap/>
            <w:vAlign w:val="center"/>
            <w:hideMark/>
          </w:tcPr>
          <w:p w14:paraId="7325E7A9"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BFBFBF"/>
            <w:noWrap/>
            <w:vAlign w:val="center"/>
            <w:hideMark/>
          </w:tcPr>
          <w:p w14:paraId="103533E3"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BFBFBF"/>
            <w:noWrap/>
            <w:vAlign w:val="center"/>
            <w:hideMark/>
          </w:tcPr>
          <w:p w14:paraId="641437BF"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BFBFBF"/>
            <w:noWrap/>
            <w:vAlign w:val="center"/>
            <w:hideMark/>
          </w:tcPr>
          <w:p w14:paraId="76AB81A3"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BFBFBF"/>
            <w:noWrap/>
            <w:vAlign w:val="center"/>
            <w:hideMark/>
          </w:tcPr>
          <w:p w14:paraId="2C992F9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BFBFBF"/>
            <w:noWrap/>
            <w:vAlign w:val="center"/>
            <w:hideMark/>
          </w:tcPr>
          <w:p w14:paraId="0BC3AAEC"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BFBFBF"/>
            <w:noWrap/>
            <w:vAlign w:val="center"/>
            <w:hideMark/>
          </w:tcPr>
          <w:p w14:paraId="6C80C4E5"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BFBFBF"/>
            <w:noWrap/>
            <w:vAlign w:val="center"/>
            <w:hideMark/>
          </w:tcPr>
          <w:p w14:paraId="230E88FE"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BFBFBF"/>
            <w:noWrap/>
            <w:vAlign w:val="center"/>
            <w:hideMark/>
          </w:tcPr>
          <w:p w14:paraId="7FAA3F3A"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BFBFBF"/>
            <w:noWrap/>
            <w:vAlign w:val="center"/>
            <w:hideMark/>
          </w:tcPr>
          <w:p w14:paraId="414894CC"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BFBFBF"/>
            <w:noWrap/>
            <w:vAlign w:val="center"/>
            <w:hideMark/>
          </w:tcPr>
          <w:p w14:paraId="18813259" w14:textId="77777777" w:rsidR="004653D0" w:rsidRDefault="004653D0">
            <w:pPr>
              <w:spacing w:line="240" w:lineRule="auto"/>
              <w:jc w:val="left"/>
              <w:rPr>
                <w:rFonts w:ascii="Calibri" w:hAnsi="Calibri" w:cs="Calibri"/>
                <w:noProof w:val="0"/>
                <w:color w:val="auto"/>
                <w:lang w:val="en-GB" w:eastAsia="en-GB"/>
              </w:rPr>
            </w:pPr>
          </w:p>
        </w:tc>
      </w:tr>
      <w:tr w:rsidR="004653D0" w14:paraId="48FD338D" w14:textId="77777777" w:rsidTr="004653D0">
        <w:trPr>
          <w:jc w:val="center"/>
        </w:trPr>
        <w:tc>
          <w:tcPr>
            <w:tcW w:w="1105" w:type="pct"/>
            <w:shd w:val="clear" w:color="auto" w:fill="FFFFFF"/>
            <w:noWrap/>
            <w:vAlign w:val="center"/>
            <w:hideMark/>
          </w:tcPr>
          <w:p w14:paraId="41C3D62B" w14:textId="77777777" w:rsidR="004653D0" w:rsidRDefault="004653D0">
            <w:pPr>
              <w:autoSpaceDE w:val="0"/>
              <w:autoSpaceDN w:val="0"/>
              <w:adjustRightInd w:val="0"/>
              <w:snapToGrid w:val="0"/>
              <w:spacing w:line="240" w:lineRule="auto"/>
              <w:ind w:left="284"/>
              <w:jc w:val="left"/>
              <w:rPr>
                <w:rFonts w:eastAsia="Times New Roman" w:cs="Calibri"/>
                <w:noProof w:val="0"/>
                <w:sz w:val="14"/>
                <w:szCs w:val="14"/>
              </w:rPr>
            </w:pPr>
            <w:proofErr w:type="spellStart"/>
            <w:r>
              <w:rPr>
                <w:rFonts w:eastAsia="Times New Roman" w:cs="Calibri"/>
                <w:noProof w:val="0"/>
                <w:sz w:val="14"/>
                <w:szCs w:val="14"/>
              </w:rPr>
              <w:t>Amaranthaceae</w:t>
            </w:r>
            <w:proofErr w:type="spellEnd"/>
            <w:r>
              <w:rPr>
                <w:rFonts w:eastAsia="Times New Roman" w:cs="Calibri"/>
                <w:noProof w:val="0"/>
                <w:sz w:val="14"/>
                <w:szCs w:val="14"/>
              </w:rPr>
              <w:t xml:space="preserve">/Chenopodiaceae (mainly </w:t>
            </w:r>
            <w:r>
              <w:rPr>
                <w:rFonts w:eastAsia="Times New Roman" w:cs="Calibri"/>
                <w:i/>
                <w:iCs/>
                <w:noProof w:val="0"/>
                <w:sz w:val="14"/>
                <w:szCs w:val="14"/>
              </w:rPr>
              <w:t xml:space="preserve">Amaranthus </w:t>
            </w:r>
            <w:proofErr w:type="spellStart"/>
            <w:r>
              <w:rPr>
                <w:rFonts w:eastAsia="Times New Roman" w:cs="Calibri"/>
                <w:i/>
                <w:iCs/>
                <w:noProof w:val="0"/>
                <w:sz w:val="14"/>
                <w:szCs w:val="14"/>
              </w:rPr>
              <w:t>retroflexus</w:t>
            </w:r>
            <w:proofErr w:type="spellEnd"/>
            <w:r>
              <w:rPr>
                <w:rFonts w:eastAsia="Times New Roman" w:cs="Calibri"/>
                <w:noProof w:val="0"/>
                <w:sz w:val="14"/>
                <w:szCs w:val="14"/>
              </w:rPr>
              <w:t xml:space="preserve"> and </w:t>
            </w:r>
            <w:r>
              <w:rPr>
                <w:rFonts w:eastAsia="Times New Roman" w:cs="Calibri"/>
                <w:i/>
                <w:iCs/>
                <w:noProof w:val="0"/>
                <w:sz w:val="14"/>
                <w:szCs w:val="14"/>
              </w:rPr>
              <w:t>Chenopodium album</w:t>
            </w:r>
            <w:r>
              <w:rPr>
                <w:rFonts w:eastAsia="Times New Roman" w:cs="Calibri"/>
                <w:noProof w:val="0"/>
                <w:sz w:val="14"/>
                <w:szCs w:val="14"/>
              </w:rPr>
              <w:t>)</w:t>
            </w:r>
          </w:p>
        </w:tc>
        <w:tc>
          <w:tcPr>
            <w:tcW w:w="230" w:type="pct"/>
            <w:shd w:val="clear" w:color="auto" w:fill="FFFFFF"/>
            <w:noWrap/>
            <w:vAlign w:val="center"/>
            <w:hideMark/>
          </w:tcPr>
          <w:p w14:paraId="10FC09D7" w14:textId="77777777" w:rsidR="004653D0" w:rsidRDefault="004653D0">
            <w:pPr>
              <w:rPr>
                <w:rFonts w:eastAsia="Times New Roman" w:cs="Calibri"/>
                <w:noProof w:val="0"/>
                <w:sz w:val="14"/>
                <w:szCs w:val="14"/>
              </w:rPr>
            </w:pPr>
          </w:p>
        </w:tc>
        <w:tc>
          <w:tcPr>
            <w:tcW w:w="276" w:type="pct"/>
            <w:shd w:val="clear" w:color="auto" w:fill="FFFFFF"/>
            <w:noWrap/>
            <w:vAlign w:val="center"/>
            <w:hideMark/>
          </w:tcPr>
          <w:p w14:paraId="301224E5"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431E29FA"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773D2BEA"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00CAB6E2"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BD6ADC7"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5D5958A"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4.28 (0.27)</w:t>
            </w:r>
          </w:p>
        </w:tc>
        <w:tc>
          <w:tcPr>
            <w:tcW w:w="322" w:type="pct"/>
            <w:shd w:val="clear" w:color="auto" w:fill="FFFFFF"/>
            <w:noWrap/>
            <w:vAlign w:val="center"/>
            <w:hideMark/>
          </w:tcPr>
          <w:p w14:paraId="1DD6CA3E" w14:textId="77777777" w:rsidR="004653D0" w:rsidRDefault="004653D0">
            <w:pPr>
              <w:rPr>
                <w:rFonts w:eastAsia="Times New Roman" w:cs="Calibri"/>
                <w:noProof w:val="0"/>
                <w:sz w:val="14"/>
                <w:szCs w:val="14"/>
              </w:rPr>
            </w:pPr>
          </w:p>
        </w:tc>
        <w:tc>
          <w:tcPr>
            <w:tcW w:w="231" w:type="pct"/>
            <w:shd w:val="clear" w:color="auto" w:fill="FFFFFF"/>
            <w:noWrap/>
            <w:vAlign w:val="center"/>
            <w:hideMark/>
          </w:tcPr>
          <w:p w14:paraId="541970C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F0894B3"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373D9462"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50724918"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4B6B0139"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631AC9F0"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15C1DB0D" w14:textId="77777777" w:rsidR="004653D0" w:rsidRDefault="004653D0">
            <w:pPr>
              <w:spacing w:line="240" w:lineRule="auto"/>
              <w:jc w:val="left"/>
              <w:rPr>
                <w:rFonts w:ascii="Calibri" w:hAnsi="Calibri" w:cs="Calibri"/>
                <w:noProof w:val="0"/>
                <w:color w:val="auto"/>
                <w:lang w:val="en-GB" w:eastAsia="en-GB"/>
              </w:rPr>
            </w:pPr>
          </w:p>
        </w:tc>
      </w:tr>
      <w:tr w:rsidR="004653D0" w14:paraId="01148489" w14:textId="77777777" w:rsidTr="004653D0">
        <w:trPr>
          <w:jc w:val="center"/>
        </w:trPr>
        <w:tc>
          <w:tcPr>
            <w:tcW w:w="1105" w:type="pct"/>
            <w:shd w:val="clear" w:color="auto" w:fill="FFFFFF"/>
            <w:noWrap/>
            <w:vAlign w:val="center"/>
            <w:hideMark/>
          </w:tcPr>
          <w:p w14:paraId="34AF7A0C" w14:textId="77777777" w:rsidR="004653D0" w:rsidRDefault="004653D0">
            <w:pPr>
              <w:autoSpaceDE w:val="0"/>
              <w:autoSpaceDN w:val="0"/>
              <w:adjustRightInd w:val="0"/>
              <w:snapToGrid w:val="0"/>
              <w:spacing w:line="240" w:lineRule="auto"/>
              <w:ind w:left="284"/>
              <w:jc w:val="left"/>
              <w:rPr>
                <w:rFonts w:eastAsia="Times New Roman" w:cs="Calibri"/>
                <w:noProof w:val="0"/>
                <w:sz w:val="14"/>
                <w:szCs w:val="14"/>
              </w:rPr>
            </w:pPr>
            <w:proofErr w:type="spellStart"/>
            <w:r>
              <w:rPr>
                <w:rFonts w:eastAsia="Times New Roman" w:cs="Calibri"/>
                <w:noProof w:val="0"/>
                <w:sz w:val="14"/>
                <w:szCs w:val="14"/>
              </w:rPr>
              <w:t>Apiaceae</w:t>
            </w:r>
            <w:proofErr w:type="spellEnd"/>
          </w:p>
        </w:tc>
        <w:tc>
          <w:tcPr>
            <w:tcW w:w="230" w:type="pct"/>
            <w:shd w:val="clear" w:color="auto" w:fill="FFFFFF"/>
            <w:noWrap/>
            <w:vAlign w:val="center"/>
            <w:hideMark/>
          </w:tcPr>
          <w:p w14:paraId="4AE9DF52" w14:textId="77777777" w:rsidR="004653D0" w:rsidRDefault="004653D0">
            <w:pPr>
              <w:rPr>
                <w:rFonts w:eastAsia="Times New Roman" w:cs="Calibri"/>
                <w:noProof w:val="0"/>
                <w:sz w:val="14"/>
                <w:szCs w:val="14"/>
              </w:rPr>
            </w:pPr>
          </w:p>
        </w:tc>
        <w:tc>
          <w:tcPr>
            <w:tcW w:w="276" w:type="pct"/>
            <w:shd w:val="clear" w:color="auto" w:fill="FFFFFF"/>
            <w:noWrap/>
            <w:vAlign w:val="center"/>
            <w:hideMark/>
          </w:tcPr>
          <w:p w14:paraId="09293924"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0D81C038"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45B7E947"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0.26 (0.009)</w:t>
            </w:r>
            <w:r>
              <w:rPr>
                <w:rFonts w:eastAsia="Times New Roman" w:cs="Calibri"/>
                <w:noProof w:val="0"/>
                <w:sz w:val="14"/>
                <w:szCs w:val="14"/>
                <w:vertAlign w:val="superscript"/>
              </w:rPr>
              <w:t>1,3</w:t>
            </w:r>
          </w:p>
        </w:tc>
        <w:tc>
          <w:tcPr>
            <w:tcW w:w="230" w:type="pct"/>
            <w:shd w:val="clear" w:color="auto" w:fill="FFFFFF"/>
            <w:noWrap/>
            <w:vAlign w:val="center"/>
            <w:hideMark/>
          </w:tcPr>
          <w:p w14:paraId="3B7D26D4"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4B476B4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0DEB81F3"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1EE5041F"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52DBDF9E"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81E9FBE"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29E312B8"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0751D664"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699A80FC"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67532866"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7C41BD9F"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5.91 (1.23) </w:t>
            </w:r>
            <w:r>
              <w:rPr>
                <w:rFonts w:eastAsia="Times New Roman" w:cs="Calibri"/>
                <w:noProof w:val="0"/>
                <w:sz w:val="14"/>
                <w:szCs w:val="14"/>
                <w:vertAlign w:val="superscript"/>
              </w:rPr>
              <w:t>1,3</w:t>
            </w:r>
          </w:p>
        </w:tc>
      </w:tr>
      <w:tr w:rsidR="004653D0" w14:paraId="40D9A78B" w14:textId="77777777" w:rsidTr="004653D0">
        <w:trPr>
          <w:jc w:val="center"/>
        </w:trPr>
        <w:tc>
          <w:tcPr>
            <w:tcW w:w="1105" w:type="pct"/>
            <w:shd w:val="clear" w:color="auto" w:fill="FFFFFF"/>
            <w:noWrap/>
            <w:vAlign w:val="center"/>
            <w:hideMark/>
          </w:tcPr>
          <w:p w14:paraId="0B2D3458"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Artemisia (</w:t>
            </w:r>
            <w:r>
              <w:rPr>
                <w:rFonts w:eastAsia="Times New Roman" w:cs="Calibri"/>
                <w:noProof w:val="0"/>
                <w:sz w:val="14"/>
                <w:szCs w:val="14"/>
              </w:rPr>
              <w:t xml:space="preserve">mainly </w:t>
            </w:r>
            <w:proofErr w:type="spellStart"/>
            <w:proofErr w:type="gramStart"/>
            <w:r>
              <w:rPr>
                <w:rFonts w:eastAsia="Times New Roman" w:cs="Calibri"/>
                <w:i/>
                <w:iCs/>
                <w:noProof w:val="0"/>
                <w:sz w:val="14"/>
                <w:szCs w:val="14"/>
              </w:rPr>
              <w:t>A.vulgaris</w:t>
            </w:r>
            <w:proofErr w:type="spellEnd"/>
            <w:proofErr w:type="gramEnd"/>
            <w:r>
              <w:rPr>
                <w:rFonts w:eastAsia="Times New Roman" w:cs="Calibri"/>
                <w:i/>
                <w:iCs/>
                <w:noProof w:val="0"/>
                <w:sz w:val="14"/>
                <w:szCs w:val="14"/>
              </w:rPr>
              <w:t>)</w:t>
            </w:r>
          </w:p>
        </w:tc>
        <w:tc>
          <w:tcPr>
            <w:tcW w:w="230" w:type="pct"/>
            <w:shd w:val="clear" w:color="auto" w:fill="FFFFFF"/>
            <w:noWrap/>
            <w:vAlign w:val="center"/>
            <w:hideMark/>
          </w:tcPr>
          <w:p w14:paraId="603DCCC4"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3DE55468"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21E3E9CF"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3F8D5D60"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D44080A"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5F52B25"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4984F72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2.77 (0.39) </w:t>
            </w:r>
            <w:r>
              <w:rPr>
                <w:rFonts w:eastAsia="Times New Roman" w:cs="Calibri"/>
                <w:noProof w:val="0"/>
                <w:sz w:val="14"/>
                <w:szCs w:val="14"/>
                <w:vertAlign w:val="superscript"/>
              </w:rPr>
              <w:t>3</w:t>
            </w:r>
          </w:p>
        </w:tc>
        <w:tc>
          <w:tcPr>
            <w:tcW w:w="322" w:type="pct"/>
            <w:shd w:val="clear" w:color="auto" w:fill="FFFFFF"/>
            <w:noWrap/>
            <w:vAlign w:val="center"/>
            <w:hideMark/>
          </w:tcPr>
          <w:p w14:paraId="0D0B0677" w14:textId="77777777" w:rsidR="004653D0" w:rsidRDefault="004653D0">
            <w:pPr>
              <w:rPr>
                <w:rFonts w:eastAsia="Times New Roman" w:cs="Calibri"/>
                <w:noProof w:val="0"/>
                <w:sz w:val="14"/>
                <w:szCs w:val="14"/>
              </w:rPr>
            </w:pPr>
          </w:p>
        </w:tc>
        <w:tc>
          <w:tcPr>
            <w:tcW w:w="231" w:type="pct"/>
            <w:shd w:val="clear" w:color="auto" w:fill="FFFFFF"/>
            <w:noWrap/>
            <w:vAlign w:val="center"/>
            <w:hideMark/>
          </w:tcPr>
          <w:p w14:paraId="7B03AE89"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3.48 (0.20) </w:t>
            </w:r>
            <w:r>
              <w:rPr>
                <w:rFonts w:eastAsia="Times New Roman" w:cs="Calibri"/>
                <w:noProof w:val="0"/>
                <w:sz w:val="14"/>
                <w:szCs w:val="14"/>
                <w:vertAlign w:val="superscript"/>
              </w:rPr>
              <w:t>1,2</w:t>
            </w:r>
          </w:p>
        </w:tc>
        <w:tc>
          <w:tcPr>
            <w:tcW w:w="230" w:type="pct"/>
            <w:shd w:val="clear" w:color="auto" w:fill="FFFFFF"/>
            <w:noWrap/>
            <w:vAlign w:val="center"/>
            <w:hideMark/>
          </w:tcPr>
          <w:p w14:paraId="574BBD85" w14:textId="77777777" w:rsidR="004653D0" w:rsidRDefault="004653D0">
            <w:pPr>
              <w:rPr>
                <w:rFonts w:eastAsia="Times New Roman" w:cs="Calibri"/>
                <w:noProof w:val="0"/>
                <w:sz w:val="14"/>
                <w:szCs w:val="14"/>
              </w:rPr>
            </w:pPr>
          </w:p>
        </w:tc>
        <w:tc>
          <w:tcPr>
            <w:tcW w:w="368" w:type="pct"/>
            <w:shd w:val="clear" w:color="auto" w:fill="FFFFFF"/>
            <w:noWrap/>
            <w:vAlign w:val="center"/>
            <w:hideMark/>
          </w:tcPr>
          <w:p w14:paraId="0FB28BFC"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4FB0EEE7"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51CA0223"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5.56 (0.020) </w:t>
            </w:r>
            <w:r>
              <w:rPr>
                <w:rFonts w:eastAsia="Times New Roman" w:cs="Calibri"/>
                <w:noProof w:val="0"/>
                <w:sz w:val="14"/>
                <w:szCs w:val="14"/>
                <w:vertAlign w:val="superscript"/>
              </w:rPr>
              <w:t>3</w:t>
            </w:r>
          </w:p>
        </w:tc>
        <w:tc>
          <w:tcPr>
            <w:tcW w:w="253" w:type="pct"/>
            <w:shd w:val="clear" w:color="auto" w:fill="FFFFFF"/>
            <w:noWrap/>
            <w:vAlign w:val="center"/>
            <w:hideMark/>
          </w:tcPr>
          <w:p w14:paraId="4DC0D9F9" w14:textId="77777777" w:rsidR="004653D0" w:rsidRDefault="004653D0">
            <w:pPr>
              <w:rPr>
                <w:rFonts w:eastAsia="Times New Roman" w:cs="Calibri"/>
                <w:noProof w:val="0"/>
                <w:sz w:val="14"/>
                <w:szCs w:val="14"/>
              </w:rPr>
            </w:pPr>
          </w:p>
        </w:tc>
        <w:tc>
          <w:tcPr>
            <w:tcW w:w="206" w:type="pct"/>
            <w:shd w:val="clear" w:color="auto" w:fill="FFFFFF"/>
            <w:noWrap/>
            <w:vAlign w:val="center"/>
            <w:hideMark/>
          </w:tcPr>
          <w:p w14:paraId="7A76F67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5.89 (3.16)</w:t>
            </w:r>
            <w:r>
              <w:rPr>
                <w:rFonts w:eastAsia="Times New Roman" w:cs="Calibri"/>
                <w:noProof w:val="0"/>
                <w:sz w:val="14"/>
                <w:szCs w:val="14"/>
                <w:vertAlign w:val="superscript"/>
              </w:rPr>
              <w:t>1,2,3</w:t>
            </w:r>
          </w:p>
        </w:tc>
      </w:tr>
      <w:tr w:rsidR="004653D0" w14:paraId="1F096340" w14:textId="77777777" w:rsidTr="004653D0">
        <w:trPr>
          <w:jc w:val="center"/>
        </w:trPr>
        <w:tc>
          <w:tcPr>
            <w:tcW w:w="1105" w:type="pct"/>
            <w:shd w:val="clear" w:color="auto" w:fill="FFFFFF"/>
            <w:noWrap/>
            <w:vAlign w:val="center"/>
            <w:hideMark/>
          </w:tcPr>
          <w:p w14:paraId="78FD4C72" w14:textId="77777777" w:rsidR="004653D0" w:rsidRDefault="004653D0">
            <w:pPr>
              <w:autoSpaceDE w:val="0"/>
              <w:autoSpaceDN w:val="0"/>
              <w:adjustRightInd w:val="0"/>
              <w:snapToGrid w:val="0"/>
              <w:spacing w:line="240" w:lineRule="auto"/>
              <w:ind w:left="284"/>
              <w:jc w:val="left"/>
              <w:rPr>
                <w:rFonts w:eastAsia="Times New Roman" w:cs="Calibri"/>
                <w:i/>
                <w:iCs/>
                <w:noProof w:val="0"/>
                <w:color w:val="auto"/>
                <w:sz w:val="14"/>
                <w:szCs w:val="14"/>
              </w:rPr>
            </w:pPr>
            <w:proofErr w:type="spellStart"/>
            <w:r>
              <w:rPr>
                <w:rFonts w:eastAsia="Times New Roman" w:cs="Calibri"/>
                <w:i/>
                <w:iCs/>
                <w:noProof w:val="0"/>
                <w:sz w:val="14"/>
                <w:szCs w:val="14"/>
              </w:rPr>
              <w:t>Calluna</w:t>
            </w:r>
            <w:proofErr w:type="spellEnd"/>
            <w:r>
              <w:rPr>
                <w:rFonts w:eastAsia="Times New Roman" w:cs="Calibri"/>
                <w:i/>
                <w:iCs/>
                <w:noProof w:val="0"/>
                <w:sz w:val="14"/>
                <w:szCs w:val="14"/>
              </w:rPr>
              <w:t xml:space="preserve"> vulgaris </w:t>
            </w:r>
          </w:p>
        </w:tc>
        <w:tc>
          <w:tcPr>
            <w:tcW w:w="230" w:type="pct"/>
            <w:shd w:val="clear" w:color="auto" w:fill="FFFFFF"/>
            <w:vAlign w:val="center"/>
            <w:hideMark/>
          </w:tcPr>
          <w:p w14:paraId="286AA029" w14:textId="77777777" w:rsidR="004653D0" w:rsidRDefault="004653D0">
            <w:pPr>
              <w:rPr>
                <w:rFonts w:eastAsia="Times New Roman" w:cs="Calibri"/>
                <w:i/>
                <w:iCs/>
                <w:noProof w:val="0"/>
                <w:color w:val="auto"/>
                <w:sz w:val="14"/>
                <w:szCs w:val="14"/>
              </w:rPr>
            </w:pPr>
          </w:p>
        </w:tc>
        <w:tc>
          <w:tcPr>
            <w:tcW w:w="276" w:type="pct"/>
            <w:shd w:val="clear" w:color="auto" w:fill="FFFFFF"/>
            <w:vAlign w:val="center"/>
            <w:hideMark/>
          </w:tcPr>
          <w:p w14:paraId="1D8F0A5B"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0.30 (0.03) </w:t>
            </w:r>
            <w:r>
              <w:rPr>
                <w:rFonts w:eastAsia="Times New Roman" w:cs="Calibri"/>
                <w:noProof w:val="0"/>
                <w:sz w:val="14"/>
                <w:szCs w:val="14"/>
                <w:vertAlign w:val="superscript"/>
              </w:rPr>
              <w:t>1,2</w:t>
            </w:r>
          </w:p>
        </w:tc>
        <w:tc>
          <w:tcPr>
            <w:tcW w:w="276" w:type="pct"/>
            <w:shd w:val="clear" w:color="auto" w:fill="FFFFFF"/>
            <w:noWrap/>
            <w:vAlign w:val="center"/>
            <w:hideMark/>
          </w:tcPr>
          <w:p w14:paraId="138D0726"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4.70 (0.69) </w:t>
            </w:r>
            <w:r>
              <w:rPr>
                <w:rFonts w:eastAsia="Times New Roman" w:cs="Calibri"/>
                <w:noProof w:val="0"/>
                <w:sz w:val="14"/>
                <w:szCs w:val="14"/>
                <w:vertAlign w:val="superscript"/>
              </w:rPr>
              <w:t>1,2,3</w:t>
            </w:r>
          </w:p>
        </w:tc>
        <w:tc>
          <w:tcPr>
            <w:tcW w:w="369" w:type="pct"/>
            <w:shd w:val="clear" w:color="auto" w:fill="FFFFFF"/>
            <w:vAlign w:val="center"/>
            <w:hideMark/>
          </w:tcPr>
          <w:p w14:paraId="2457F83A"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1.07 (0.03)</w:t>
            </w:r>
          </w:p>
        </w:tc>
        <w:tc>
          <w:tcPr>
            <w:tcW w:w="230" w:type="pct"/>
            <w:shd w:val="clear" w:color="auto" w:fill="FFFFFF"/>
            <w:noWrap/>
            <w:vAlign w:val="center"/>
            <w:hideMark/>
          </w:tcPr>
          <w:p w14:paraId="5DDA7E1E"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222535D1"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088E6281"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59659E97"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2A81FBBF"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7A38FA6"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1.10 (0.05)</w:t>
            </w:r>
          </w:p>
        </w:tc>
        <w:tc>
          <w:tcPr>
            <w:tcW w:w="368" w:type="pct"/>
            <w:shd w:val="clear" w:color="auto" w:fill="FFFFFF"/>
            <w:noWrap/>
            <w:vAlign w:val="center"/>
            <w:hideMark/>
          </w:tcPr>
          <w:p w14:paraId="38CAB529" w14:textId="77777777" w:rsidR="004653D0" w:rsidRDefault="004653D0">
            <w:pPr>
              <w:rPr>
                <w:rFonts w:eastAsia="Times New Roman" w:cs="Calibri"/>
                <w:noProof w:val="0"/>
                <w:sz w:val="14"/>
                <w:szCs w:val="14"/>
              </w:rPr>
            </w:pPr>
          </w:p>
        </w:tc>
        <w:tc>
          <w:tcPr>
            <w:tcW w:w="198" w:type="pct"/>
            <w:shd w:val="clear" w:color="auto" w:fill="FFFFFF"/>
            <w:noWrap/>
            <w:vAlign w:val="center"/>
            <w:hideMark/>
          </w:tcPr>
          <w:p w14:paraId="5394C846"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0DD4123B"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1BCC0B05"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7DCF9162" w14:textId="77777777" w:rsidR="004653D0" w:rsidRDefault="004653D0">
            <w:pPr>
              <w:spacing w:line="240" w:lineRule="auto"/>
              <w:jc w:val="left"/>
              <w:rPr>
                <w:rFonts w:ascii="Calibri" w:hAnsi="Calibri" w:cs="Calibri"/>
                <w:noProof w:val="0"/>
                <w:color w:val="auto"/>
                <w:lang w:val="en-GB" w:eastAsia="en-GB"/>
              </w:rPr>
            </w:pPr>
          </w:p>
        </w:tc>
      </w:tr>
      <w:tr w:rsidR="004653D0" w14:paraId="34913870" w14:textId="77777777" w:rsidTr="004653D0">
        <w:trPr>
          <w:jc w:val="center"/>
        </w:trPr>
        <w:tc>
          <w:tcPr>
            <w:tcW w:w="1105" w:type="pct"/>
            <w:shd w:val="clear" w:color="auto" w:fill="FFFFFF"/>
            <w:noWrap/>
            <w:vAlign w:val="center"/>
            <w:hideMark/>
          </w:tcPr>
          <w:p w14:paraId="46315176"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noProof w:val="0"/>
                <w:sz w:val="14"/>
                <w:szCs w:val="14"/>
              </w:rPr>
              <w:t>Cerealia t.</w:t>
            </w:r>
            <w:r>
              <w:rPr>
                <w:rFonts w:eastAsia="Times New Roman" w:cs="Calibri"/>
                <w:i/>
                <w:iCs/>
                <w:noProof w:val="0"/>
                <w:sz w:val="14"/>
                <w:szCs w:val="14"/>
              </w:rPr>
              <w:t xml:space="preserve"> (Secale </w:t>
            </w:r>
            <w:r>
              <w:rPr>
                <w:rFonts w:eastAsia="Times New Roman" w:cs="Calibri"/>
                <w:noProof w:val="0"/>
                <w:sz w:val="14"/>
                <w:szCs w:val="14"/>
              </w:rPr>
              <w:t>and</w:t>
            </w:r>
            <w:r>
              <w:rPr>
                <w:rFonts w:eastAsia="Times New Roman" w:cs="Calibri"/>
                <w:i/>
                <w:iCs/>
                <w:noProof w:val="0"/>
                <w:sz w:val="14"/>
                <w:szCs w:val="14"/>
              </w:rPr>
              <w:t xml:space="preserve"> </w:t>
            </w:r>
            <w:proofErr w:type="spellStart"/>
            <w:r>
              <w:rPr>
                <w:rFonts w:eastAsia="Times New Roman" w:cs="Calibri"/>
                <w:i/>
                <w:iCs/>
                <w:noProof w:val="0"/>
                <w:sz w:val="14"/>
                <w:szCs w:val="14"/>
              </w:rPr>
              <w:t>Zea</w:t>
            </w:r>
            <w:proofErr w:type="spellEnd"/>
            <w:r>
              <w:rPr>
                <w:rFonts w:eastAsia="Times New Roman" w:cs="Calibri"/>
                <w:i/>
                <w:iCs/>
                <w:noProof w:val="0"/>
                <w:sz w:val="14"/>
                <w:szCs w:val="14"/>
              </w:rPr>
              <w:t xml:space="preserve"> </w:t>
            </w:r>
            <w:r>
              <w:rPr>
                <w:rFonts w:eastAsia="Times New Roman" w:cs="Calibri"/>
                <w:noProof w:val="0"/>
                <w:sz w:val="14"/>
                <w:szCs w:val="14"/>
              </w:rPr>
              <w:t xml:space="preserve">excluded except in </w:t>
            </w:r>
            <w:proofErr w:type="spellStart"/>
            <w:r>
              <w:rPr>
                <w:rFonts w:eastAsia="Times New Roman" w:cs="Calibri"/>
                <w:noProof w:val="0"/>
                <w:sz w:val="14"/>
                <w:szCs w:val="14"/>
              </w:rPr>
              <w:t>Grindean</w:t>
            </w:r>
            <w:proofErr w:type="spellEnd"/>
            <w:r>
              <w:rPr>
                <w:rFonts w:eastAsia="Times New Roman" w:cs="Calibri"/>
                <w:noProof w:val="0"/>
                <w:sz w:val="14"/>
                <w:szCs w:val="14"/>
              </w:rPr>
              <w:t xml:space="preserve"> et al.</w:t>
            </w:r>
            <w:r>
              <w:rPr>
                <w:rFonts w:eastAsia="Times New Roman" w:cs="Calibri"/>
                <w:i/>
                <w:iCs/>
                <w:noProof w:val="0"/>
                <w:sz w:val="14"/>
                <w:szCs w:val="14"/>
              </w:rPr>
              <w:t xml:space="preserve"> 2019)</w:t>
            </w:r>
          </w:p>
        </w:tc>
        <w:tc>
          <w:tcPr>
            <w:tcW w:w="230" w:type="pct"/>
            <w:shd w:val="clear" w:color="auto" w:fill="FFFFFF"/>
            <w:noWrap/>
            <w:vAlign w:val="center"/>
            <w:hideMark/>
          </w:tcPr>
          <w:p w14:paraId="6D0EF315"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719056F3"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49649EE3"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3.20 (1.14)</w:t>
            </w:r>
          </w:p>
        </w:tc>
        <w:tc>
          <w:tcPr>
            <w:tcW w:w="369" w:type="pct"/>
            <w:shd w:val="clear" w:color="auto" w:fill="FFFFFF"/>
            <w:noWrap/>
            <w:vAlign w:val="center"/>
            <w:hideMark/>
          </w:tcPr>
          <w:p w14:paraId="343058FC"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3DD29250"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243EDF0"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30BF917"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0.0462 (0.0018) </w:t>
            </w:r>
            <w:r>
              <w:rPr>
                <w:rFonts w:eastAsia="Times New Roman" w:cs="Calibri"/>
                <w:noProof w:val="0"/>
                <w:sz w:val="14"/>
                <w:szCs w:val="14"/>
                <w:vertAlign w:val="superscript"/>
              </w:rPr>
              <w:t>1,2,3</w:t>
            </w:r>
          </w:p>
        </w:tc>
        <w:tc>
          <w:tcPr>
            <w:tcW w:w="322" w:type="pct"/>
            <w:shd w:val="clear" w:color="auto" w:fill="FFFFFF"/>
            <w:noWrap/>
            <w:vAlign w:val="center"/>
            <w:hideMark/>
          </w:tcPr>
          <w:p w14:paraId="4D5FA638" w14:textId="77777777" w:rsidR="004653D0" w:rsidRDefault="004653D0">
            <w:pPr>
              <w:rPr>
                <w:rFonts w:eastAsia="Times New Roman" w:cs="Calibri"/>
                <w:noProof w:val="0"/>
                <w:sz w:val="14"/>
                <w:szCs w:val="14"/>
              </w:rPr>
            </w:pPr>
          </w:p>
        </w:tc>
        <w:tc>
          <w:tcPr>
            <w:tcW w:w="231" w:type="pct"/>
            <w:shd w:val="clear" w:color="auto" w:fill="FFFFFF"/>
            <w:noWrap/>
            <w:vAlign w:val="center"/>
            <w:hideMark/>
          </w:tcPr>
          <w:p w14:paraId="69789B6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1.60 (0.07)</w:t>
            </w:r>
          </w:p>
        </w:tc>
        <w:tc>
          <w:tcPr>
            <w:tcW w:w="230" w:type="pct"/>
            <w:shd w:val="clear" w:color="auto" w:fill="FFFFFF"/>
            <w:noWrap/>
            <w:vAlign w:val="center"/>
            <w:hideMark/>
          </w:tcPr>
          <w:p w14:paraId="52EE3E7E"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0.75 (0.04)</w:t>
            </w:r>
          </w:p>
        </w:tc>
        <w:tc>
          <w:tcPr>
            <w:tcW w:w="368" w:type="pct"/>
            <w:shd w:val="clear" w:color="auto" w:fill="FFFFFF"/>
            <w:noWrap/>
            <w:vAlign w:val="center"/>
            <w:hideMark/>
          </w:tcPr>
          <w:p w14:paraId="18E04895"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0.00076 (0.0019) </w:t>
            </w:r>
            <w:r>
              <w:rPr>
                <w:rFonts w:eastAsia="Times New Roman" w:cs="Calibri"/>
                <w:noProof w:val="0"/>
                <w:sz w:val="14"/>
                <w:szCs w:val="14"/>
                <w:vertAlign w:val="superscript"/>
              </w:rPr>
              <w:t>1,2,3</w:t>
            </w:r>
          </w:p>
        </w:tc>
        <w:tc>
          <w:tcPr>
            <w:tcW w:w="198" w:type="pct"/>
            <w:shd w:val="clear" w:color="auto" w:fill="FFFFFF"/>
            <w:noWrap/>
            <w:vAlign w:val="center"/>
            <w:hideMark/>
          </w:tcPr>
          <w:p w14:paraId="6F4D49AD"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9.00 (1.92) </w:t>
            </w:r>
            <w:r>
              <w:rPr>
                <w:rFonts w:eastAsia="Times New Roman" w:cs="Calibri"/>
                <w:noProof w:val="0"/>
                <w:sz w:val="14"/>
                <w:szCs w:val="14"/>
                <w:vertAlign w:val="superscript"/>
              </w:rPr>
              <w:t>1,2,3</w:t>
            </w:r>
          </w:p>
        </w:tc>
        <w:tc>
          <w:tcPr>
            <w:tcW w:w="246" w:type="pct"/>
            <w:shd w:val="clear" w:color="auto" w:fill="FFFFFF"/>
            <w:noWrap/>
            <w:vAlign w:val="center"/>
            <w:hideMark/>
          </w:tcPr>
          <w:p w14:paraId="031071F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0.08 (0.001) </w:t>
            </w:r>
            <w:r>
              <w:rPr>
                <w:rFonts w:eastAsia="Times New Roman" w:cs="Calibri"/>
                <w:noProof w:val="0"/>
                <w:sz w:val="14"/>
                <w:szCs w:val="14"/>
                <w:vertAlign w:val="superscript"/>
              </w:rPr>
              <w:t>1,2,3</w:t>
            </w:r>
          </w:p>
        </w:tc>
        <w:tc>
          <w:tcPr>
            <w:tcW w:w="253" w:type="pct"/>
            <w:shd w:val="clear" w:color="auto" w:fill="FFFFFF"/>
            <w:noWrap/>
            <w:vAlign w:val="center"/>
            <w:hideMark/>
          </w:tcPr>
          <w:p w14:paraId="28F14EAD" w14:textId="77777777" w:rsidR="004653D0" w:rsidRDefault="004653D0">
            <w:pPr>
              <w:rPr>
                <w:rFonts w:eastAsia="Times New Roman" w:cs="Calibri"/>
                <w:noProof w:val="0"/>
                <w:sz w:val="14"/>
                <w:szCs w:val="14"/>
              </w:rPr>
            </w:pPr>
          </w:p>
        </w:tc>
        <w:tc>
          <w:tcPr>
            <w:tcW w:w="206" w:type="pct"/>
            <w:shd w:val="clear" w:color="auto" w:fill="FFFFFF"/>
            <w:noWrap/>
            <w:vAlign w:val="center"/>
            <w:hideMark/>
          </w:tcPr>
          <w:p w14:paraId="4C6407EF"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0.22 (0.12) </w:t>
            </w:r>
            <w:r>
              <w:rPr>
                <w:rFonts w:eastAsia="Times New Roman" w:cs="Calibri"/>
                <w:noProof w:val="0"/>
                <w:sz w:val="14"/>
                <w:szCs w:val="14"/>
                <w:vertAlign w:val="superscript"/>
              </w:rPr>
              <w:t>1,2,3</w:t>
            </w:r>
          </w:p>
        </w:tc>
      </w:tr>
      <w:tr w:rsidR="004653D0" w14:paraId="05ADF2EE" w14:textId="77777777" w:rsidTr="004653D0">
        <w:trPr>
          <w:jc w:val="center"/>
        </w:trPr>
        <w:tc>
          <w:tcPr>
            <w:tcW w:w="1105" w:type="pct"/>
            <w:shd w:val="clear" w:color="auto" w:fill="FFFFFF"/>
            <w:noWrap/>
            <w:vAlign w:val="center"/>
            <w:hideMark/>
          </w:tcPr>
          <w:p w14:paraId="422EE7A5" w14:textId="77777777" w:rsidR="004653D0" w:rsidRDefault="004653D0">
            <w:pPr>
              <w:autoSpaceDE w:val="0"/>
              <w:autoSpaceDN w:val="0"/>
              <w:adjustRightInd w:val="0"/>
              <w:snapToGrid w:val="0"/>
              <w:spacing w:line="240" w:lineRule="auto"/>
              <w:ind w:left="284"/>
              <w:jc w:val="left"/>
              <w:rPr>
                <w:rFonts w:eastAsia="Times New Roman" w:cs="Calibri"/>
                <w:noProof w:val="0"/>
                <w:sz w:val="14"/>
                <w:szCs w:val="14"/>
              </w:rPr>
            </w:pPr>
            <w:r>
              <w:rPr>
                <w:rFonts w:eastAsia="Times New Roman" w:cs="Calibri"/>
                <w:noProof w:val="0"/>
                <w:sz w:val="14"/>
                <w:szCs w:val="14"/>
              </w:rPr>
              <w:t xml:space="preserve">Comp. SF. </w:t>
            </w:r>
            <w:proofErr w:type="spellStart"/>
            <w:r>
              <w:rPr>
                <w:rFonts w:eastAsia="Times New Roman" w:cs="Calibri"/>
                <w:noProof w:val="0"/>
                <w:sz w:val="14"/>
                <w:szCs w:val="14"/>
              </w:rPr>
              <w:t>Cichorioideae</w:t>
            </w:r>
            <w:proofErr w:type="spellEnd"/>
            <w:r>
              <w:rPr>
                <w:rFonts w:eastAsia="Times New Roman" w:cs="Calibri"/>
                <w:noProof w:val="0"/>
                <w:sz w:val="14"/>
                <w:szCs w:val="14"/>
              </w:rPr>
              <w:t xml:space="preserve"> (Comp SF </w:t>
            </w:r>
            <w:proofErr w:type="spellStart"/>
            <w:r>
              <w:rPr>
                <w:rFonts w:eastAsia="Times New Roman" w:cs="Calibri"/>
                <w:noProof w:val="0"/>
                <w:sz w:val="14"/>
                <w:szCs w:val="14"/>
              </w:rPr>
              <w:t>Asteroideae</w:t>
            </w:r>
            <w:proofErr w:type="spellEnd"/>
            <w:r>
              <w:rPr>
                <w:rFonts w:eastAsia="Times New Roman" w:cs="Calibri"/>
                <w:noProof w:val="0"/>
                <w:sz w:val="14"/>
                <w:szCs w:val="14"/>
              </w:rPr>
              <w:t xml:space="preserve"> excluded except in </w:t>
            </w:r>
            <w:proofErr w:type="spellStart"/>
            <w:r>
              <w:rPr>
                <w:rFonts w:eastAsia="Times New Roman" w:cs="Calibri"/>
                <w:noProof w:val="0"/>
                <w:sz w:val="14"/>
                <w:szCs w:val="14"/>
              </w:rPr>
              <w:t>Grindean</w:t>
            </w:r>
            <w:proofErr w:type="spellEnd"/>
            <w:r>
              <w:rPr>
                <w:rFonts w:eastAsia="Times New Roman" w:cs="Calibri"/>
                <w:noProof w:val="0"/>
                <w:sz w:val="14"/>
                <w:szCs w:val="14"/>
              </w:rPr>
              <w:t xml:space="preserve"> et al. 2019)</w:t>
            </w:r>
          </w:p>
        </w:tc>
        <w:tc>
          <w:tcPr>
            <w:tcW w:w="230" w:type="pct"/>
            <w:shd w:val="clear" w:color="auto" w:fill="FFFFFF"/>
            <w:noWrap/>
            <w:vAlign w:val="center"/>
            <w:hideMark/>
          </w:tcPr>
          <w:p w14:paraId="1C797F4F" w14:textId="77777777" w:rsidR="004653D0" w:rsidRDefault="004653D0">
            <w:pPr>
              <w:rPr>
                <w:rFonts w:eastAsia="Times New Roman" w:cs="Calibri"/>
                <w:noProof w:val="0"/>
                <w:sz w:val="14"/>
                <w:szCs w:val="14"/>
              </w:rPr>
            </w:pPr>
          </w:p>
        </w:tc>
        <w:tc>
          <w:tcPr>
            <w:tcW w:w="276" w:type="pct"/>
            <w:shd w:val="clear" w:color="auto" w:fill="FFFFFF"/>
            <w:noWrap/>
            <w:vAlign w:val="center"/>
            <w:hideMark/>
          </w:tcPr>
          <w:p w14:paraId="7C15AF6B"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66F7A523"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0.24 (0.06)</w:t>
            </w:r>
            <w:r>
              <w:rPr>
                <w:rFonts w:eastAsia="Times New Roman" w:cs="Calibri"/>
                <w:noProof w:val="0"/>
                <w:sz w:val="14"/>
                <w:szCs w:val="14"/>
                <w:vertAlign w:val="superscript"/>
              </w:rPr>
              <w:t>1,3</w:t>
            </w:r>
          </w:p>
        </w:tc>
        <w:tc>
          <w:tcPr>
            <w:tcW w:w="369" w:type="pct"/>
            <w:shd w:val="clear" w:color="auto" w:fill="FFFFFF"/>
            <w:noWrap/>
            <w:vAlign w:val="center"/>
            <w:hideMark/>
          </w:tcPr>
          <w:p w14:paraId="458726ED"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0.06 (0.004)</w:t>
            </w:r>
            <w:r>
              <w:rPr>
                <w:rFonts w:eastAsia="Times New Roman" w:cs="Calibri"/>
                <w:noProof w:val="0"/>
                <w:sz w:val="14"/>
                <w:szCs w:val="14"/>
                <w:vertAlign w:val="superscript"/>
              </w:rPr>
              <w:t>1,3</w:t>
            </w:r>
          </w:p>
        </w:tc>
        <w:tc>
          <w:tcPr>
            <w:tcW w:w="230" w:type="pct"/>
            <w:shd w:val="clear" w:color="auto" w:fill="FFFFFF"/>
            <w:noWrap/>
            <w:vAlign w:val="center"/>
            <w:hideMark/>
          </w:tcPr>
          <w:p w14:paraId="6CED2B8F"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61AD0881"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462C2AEF"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2777E625"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3DC4F2AE"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479EE3DD"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35986948"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0.17 (0.03) </w:t>
            </w:r>
            <w:r>
              <w:rPr>
                <w:rFonts w:eastAsia="Times New Roman" w:cs="Calibri"/>
                <w:noProof w:val="0"/>
                <w:sz w:val="14"/>
                <w:szCs w:val="14"/>
                <w:vertAlign w:val="superscript"/>
              </w:rPr>
              <w:t>1,3</w:t>
            </w:r>
          </w:p>
        </w:tc>
        <w:tc>
          <w:tcPr>
            <w:tcW w:w="198" w:type="pct"/>
            <w:shd w:val="clear" w:color="auto" w:fill="FFFFFF"/>
            <w:noWrap/>
            <w:vAlign w:val="center"/>
            <w:hideMark/>
          </w:tcPr>
          <w:p w14:paraId="330BBA63" w14:textId="77777777" w:rsidR="004653D0" w:rsidRDefault="004653D0">
            <w:pPr>
              <w:rPr>
                <w:rFonts w:eastAsia="Times New Roman" w:cs="Calibri"/>
                <w:noProof w:val="0"/>
                <w:color w:val="auto"/>
                <w:sz w:val="14"/>
                <w:szCs w:val="14"/>
              </w:rPr>
            </w:pPr>
          </w:p>
        </w:tc>
        <w:tc>
          <w:tcPr>
            <w:tcW w:w="246" w:type="pct"/>
            <w:shd w:val="clear" w:color="auto" w:fill="FFFFFF"/>
            <w:noWrap/>
            <w:vAlign w:val="center"/>
            <w:hideMark/>
          </w:tcPr>
          <w:p w14:paraId="63FA2986"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0F17F76A"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1.161 (0.675) </w:t>
            </w:r>
            <w:r>
              <w:rPr>
                <w:rFonts w:eastAsia="Times New Roman" w:cs="Calibri"/>
                <w:noProof w:val="0"/>
                <w:sz w:val="14"/>
                <w:szCs w:val="14"/>
                <w:vertAlign w:val="superscript"/>
              </w:rPr>
              <w:t>1,3</w:t>
            </w:r>
          </w:p>
        </w:tc>
        <w:tc>
          <w:tcPr>
            <w:tcW w:w="206" w:type="pct"/>
            <w:shd w:val="clear" w:color="auto" w:fill="FFFFFF"/>
            <w:noWrap/>
            <w:vAlign w:val="center"/>
            <w:hideMark/>
          </w:tcPr>
          <w:p w14:paraId="257B490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0.16 (0.1) </w:t>
            </w:r>
            <w:r>
              <w:rPr>
                <w:rFonts w:eastAsia="Times New Roman" w:cs="Calibri"/>
                <w:noProof w:val="0"/>
                <w:sz w:val="14"/>
                <w:szCs w:val="14"/>
                <w:vertAlign w:val="superscript"/>
              </w:rPr>
              <w:t>1,3</w:t>
            </w:r>
          </w:p>
        </w:tc>
      </w:tr>
      <w:tr w:rsidR="004653D0" w14:paraId="552AB25A" w14:textId="77777777" w:rsidTr="004653D0">
        <w:trPr>
          <w:jc w:val="center"/>
        </w:trPr>
        <w:tc>
          <w:tcPr>
            <w:tcW w:w="1105" w:type="pct"/>
            <w:shd w:val="clear" w:color="auto" w:fill="FFFFFF"/>
            <w:noWrap/>
            <w:vAlign w:val="center"/>
            <w:hideMark/>
          </w:tcPr>
          <w:p w14:paraId="7D4D5652"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noProof w:val="0"/>
                <w:sz w:val="14"/>
                <w:szCs w:val="14"/>
              </w:rPr>
              <w:t xml:space="preserve">Comp. </w:t>
            </w:r>
            <w:r>
              <w:rPr>
                <w:rFonts w:eastAsia="Times New Roman" w:cs="Calibri"/>
                <w:i/>
                <w:iCs/>
                <w:noProof w:val="0"/>
                <w:sz w:val="14"/>
                <w:szCs w:val="14"/>
              </w:rPr>
              <w:t xml:space="preserve">Leucanthemum (Anthemis) </w:t>
            </w:r>
            <w:r>
              <w:rPr>
                <w:rFonts w:eastAsia="Times New Roman" w:cs="Calibri"/>
                <w:noProof w:val="0"/>
                <w:sz w:val="14"/>
                <w:szCs w:val="14"/>
              </w:rPr>
              <w:t>t</w:t>
            </w:r>
            <w:r>
              <w:rPr>
                <w:rFonts w:eastAsia="Times New Roman" w:cs="Calibri"/>
                <w:i/>
                <w:iCs/>
                <w:noProof w:val="0"/>
                <w:sz w:val="14"/>
                <w:szCs w:val="14"/>
              </w:rPr>
              <w:t xml:space="preserve">. (Achillea millefolium </w:t>
            </w:r>
            <w:r>
              <w:rPr>
                <w:rFonts w:eastAsia="Times New Roman" w:cs="Calibri"/>
                <w:iCs/>
                <w:noProof w:val="0"/>
                <w:sz w:val="14"/>
                <w:szCs w:val="14"/>
              </w:rPr>
              <w:t>and</w:t>
            </w:r>
            <w:r>
              <w:rPr>
                <w:rFonts w:eastAsia="Times New Roman" w:cs="Calibri"/>
                <w:i/>
                <w:iCs/>
                <w:noProof w:val="0"/>
                <w:sz w:val="14"/>
                <w:szCs w:val="14"/>
              </w:rPr>
              <w:t xml:space="preserve"> Leucanthemum vulgare)</w:t>
            </w:r>
          </w:p>
        </w:tc>
        <w:tc>
          <w:tcPr>
            <w:tcW w:w="230" w:type="pct"/>
            <w:shd w:val="clear" w:color="auto" w:fill="FFFFFF"/>
            <w:noWrap/>
            <w:vAlign w:val="center"/>
            <w:hideMark/>
          </w:tcPr>
          <w:p w14:paraId="1AF57B08"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567DA378"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2CF509F6"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4F8BF443"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0.10 (0.008)</w:t>
            </w:r>
            <w:r>
              <w:rPr>
                <w:rFonts w:eastAsia="Times New Roman" w:cs="Calibri"/>
                <w:noProof w:val="0"/>
                <w:sz w:val="14"/>
                <w:szCs w:val="14"/>
                <w:vertAlign w:val="superscript"/>
              </w:rPr>
              <w:t>1,3</w:t>
            </w:r>
          </w:p>
        </w:tc>
        <w:tc>
          <w:tcPr>
            <w:tcW w:w="230" w:type="pct"/>
            <w:shd w:val="clear" w:color="auto" w:fill="FFFFFF"/>
            <w:noWrap/>
            <w:vAlign w:val="center"/>
            <w:hideMark/>
          </w:tcPr>
          <w:p w14:paraId="47269CA2"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2F53DB14"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F085B24"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3E9D5BDB"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35D9A9FD"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A5B290C"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16429EE8"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14D6F357"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154207E8"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213604B5"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305F5ACA" w14:textId="77777777" w:rsidR="004653D0" w:rsidRDefault="004653D0">
            <w:pPr>
              <w:spacing w:line="240" w:lineRule="auto"/>
              <w:jc w:val="left"/>
              <w:rPr>
                <w:rFonts w:ascii="Calibri" w:hAnsi="Calibri" w:cs="Calibri"/>
                <w:noProof w:val="0"/>
                <w:color w:val="auto"/>
                <w:lang w:val="en-GB" w:eastAsia="en-GB"/>
              </w:rPr>
            </w:pPr>
          </w:p>
        </w:tc>
      </w:tr>
      <w:tr w:rsidR="004653D0" w14:paraId="09CB1435" w14:textId="77777777" w:rsidTr="004653D0">
        <w:trPr>
          <w:jc w:val="center"/>
        </w:trPr>
        <w:tc>
          <w:tcPr>
            <w:tcW w:w="1105" w:type="pct"/>
            <w:shd w:val="clear" w:color="auto" w:fill="FFFFFF"/>
            <w:noWrap/>
            <w:vAlign w:val="center"/>
            <w:hideMark/>
          </w:tcPr>
          <w:p w14:paraId="6208FEA9" w14:textId="77777777" w:rsidR="004653D0" w:rsidRDefault="004653D0">
            <w:pPr>
              <w:autoSpaceDE w:val="0"/>
              <w:autoSpaceDN w:val="0"/>
              <w:adjustRightInd w:val="0"/>
              <w:snapToGrid w:val="0"/>
              <w:spacing w:line="240" w:lineRule="auto"/>
              <w:ind w:left="284"/>
              <w:jc w:val="left"/>
              <w:rPr>
                <w:rFonts w:eastAsia="Times New Roman" w:cs="Calibri"/>
                <w:noProof w:val="0"/>
                <w:sz w:val="14"/>
                <w:szCs w:val="14"/>
              </w:rPr>
            </w:pPr>
            <w:r>
              <w:rPr>
                <w:rFonts w:eastAsia="Times New Roman" w:cs="Calibri"/>
                <w:noProof w:val="0"/>
                <w:sz w:val="14"/>
                <w:szCs w:val="14"/>
              </w:rPr>
              <w:t xml:space="preserve">Cyperaceae </w:t>
            </w:r>
          </w:p>
        </w:tc>
        <w:tc>
          <w:tcPr>
            <w:tcW w:w="230" w:type="pct"/>
            <w:shd w:val="clear" w:color="auto" w:fill="FFFFFF"/>
            <w:noWrap/>
            <w:vAlign w:val="center"/>
            <w:hideMark/>
          </w:tcPr>
          <w:p w14:paraId="0E1E7CAE"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0.002 (0.0022) </w:t>
            </w:r>
            <w:r>
              <w:rPr>
                <w:rFonts w:eastAsia="Times New Roman" w:cs="Calibri"/>
                <w:noProof w:val="0"/>
                <w:sz w:val="14"/>
                <w:szCs w:val="14"/>
                <w:vertAlign w:val="superscript"/>
              </w:rPr>
              <w:t>1,2,3</w:t>
            </w:r>
          </w:p>
        </w:tc>
        <w:tc>
          <w:tcPr>
            <w:tcW w:w="276" w:type="pct"/>
            <w:shd w:val="clear" w:color="auto" w:fill="FFFFFF"/>
            <w:noWrap/>
            <w:vAlign w:val="center"/>
            <w:hideMark/>
          </w:tcPr>
          <w:p w14:paraId="42A1C62C"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0.89 (0.03)</w:t>
            </w:r>
          </w:p>
        </w:tc>
        <w:tc>
          <w:tcPr>
            <w:tcW w:w="276" w:type="pct"/>
            <w:shd w:val="clear" w:color="auto" w:fill="FFFFFF"/>
            <w:noWrap/>
            <w:vAlign w:val="center"/>
            <w:hideMark/>
          </w:tcPr>
          <w:p w14:paraId="533C7135"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1.00 (0.16)</w:t>
            </w:r>
          </w:p>
        </w:tc>
        <w:tc>
          <w:tcPr>
            <w:tcW w:w="369" w:type="pct"/>
            <w:shd w:val="clear" w:color="auto" w:fill="FFFFFF"/>
            <w:noWrap/>
            <w:vAlign w:val="center"/>
            <w:hideMark/>
          </w:tcPr>
          <w:p w14:paraId="50CFD552"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0.29 (0.01) </w:t>
            </w:r>
            <w:r>
              <w:rPr>
                <w:rFonts w:eastAsia="Times New Roman" w:cs="Calibri"/>
                <w:noProof w:val="0"/>
                <w:sz w:val="14"/>
                <w:szCs w:val="14"/>
                <w:vertAlign w:val="superscript"/>
              </w:rPr>
              <w:t>1,2,3</w:t>
            </w:r>
          </w:p>
        </w:tc>
        <w:tc>
          <w:tcPr>
            <w:tcW w:w="230" w:type="pct"/>
            <w:shd w:val="clear" w:color="auto" w:fill="FFFFFF"/>
            <w:noWrap/>
            <w:vAlign w:val="center"/>
            <w:hideMark/>
          </w:tcPr>
          <w:p w14:paraId="5037872D"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7D49A1C2"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0.73 (0.08)</w:t>
            </w:r>
          </w:p>
        </w:tc>
        <w:tc>
          <w:tcPr>
            <w:tcW w:w="230" w:type="pct"/>
            <w:shd w:val="clear" w:color="auto" w:fill="FFFFFF"/>
            <w:noWrap/>
            <w:vAlign w:val="center"/>
            <w:hideMark/>
          </w:tcPr>
          <w:p w14:paraId="0CCF9C92" w14:textId="77777777" w:rsidR="004653D0" w:rsidRDefault="004653D0">
            <w:pPr>
              <w:rPr>
                <w:rFonts w:eastAsia="Times New Roman" w:cs="Calibri"/>
                <w:noProof w:val="0"/>
                <w:color w:val="auto"/>
                <w:sz w:val="14"/>
                <w:szCs w:val="14"/>
              </w:rPr>
            </w:pPr>
          </w:p>
        </w:tc>
        <w:tc>
          <w:tcPr>
            <w:tcW w:w="322" w:type="pct"/>
            <w:shd w:val="clear" w:color="auto" w:fill="FFFFFF"/>
            <w:noWrap/>
            <w:vAlign w:val="center"/>
            <w:hideMark/>
          </w:tcPr>
          <w:p w14:paraId="13B641B7"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vAlign w:val="center"/>
            <w:hideMark/>
          </w:tcPr>
          <w:p w14:paraId="5203D78E"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1.23 (0.09) </w:t>
            </w:r>
            <w:r>
              <w:rPr>
                <w:rFonts w:eastAsia="Times New Roman" w:cs="Calibri"/>
                <w:noProof w:val="0"/>
                <w:sz w:val="14"/>
                <w:szCs w:val="14"/>
                <w:vertAlign w:val="superscript"/>
              </w:rPr>
              <w:t>3</w:t>
            </w:r>
          </w:p>
        </w:tc>
        <w:tc>
          <w:tcPr>
            <w:tcW w:w="230" w:type="pct"/>
            <w:shd w:val="clear" w:color="auto" w:fill="FFFFFF"/>
            <w:noWrap/>
            <w:vAlign w:val="center"/>
            <w:hideMark/>
          </w:tcPr>
          <w:p w14:paraId="787146C3" w14:textId="77777777" w:rsidR="004653D0" w:rsidRDefault="004653D0">
            <w:pPr>
              <w:rPr>
                <w:rFonts w:eastAsia="Times New Roman" w:cs="Calibri"/>
                <w:noProof w:val="0"/>
                <w:color w:val="auto"/>
                <w:sz w:val="14"/>
                <w:szCs w:val="14"/>
              </w:rPr>
            </w:pPr>
          </w:p>
        </w:tc>
        <w:tc>
          <w:tcPr>
            <w:tcW w:w="368" w:type="pct"/>
            <w:shd w:val="clear" w:color="auto" w:fill="FFFFFF"/>
            <w:noWrap/>
            <w:vAlign w:val="center"/>
            <w:hideMark/>
          </w:tcPr>
          <w:p w14:paraId="2CB4A16D"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28A18C5E"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5892CDB6"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12EA979C"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4CC70301" w14:textId="77777777" w:rsidR="004653D0" w:rsidRDefault="004653D0">
            <w:pPr>
              <w:spacing w:line="240" w:lineRule="auto"/>
              <w:jc w:val="left"/>
              <w:rPr>
                <w:rFonts w:ascii="Calibri" w:hAnsi="Calibri" w:cs="Calibri"/>
                <w:noProof w:val="0"/>
                <w:color w:val="auto"/>
                <w:lang w:val="en-GB" w:eastAsia="en-GB"/>
              </w:rPr>
            </w:pPr>
          </w:p>
        </w:tc>
      </w:tr>
      <w:tr w:rsidR="004653D0" w14:paraId="7E94ECB6" w14:textId="77777777" w:rsidTr="004653D0">
        <w:trPr>
          <w:jc w:val="center"/>
        </w:trPr>
        <w:tc>
          <w:tcPr>
            <w:tcW w:w="1105" w:type="pct"/>
            <w:shd w:val="clear" w:color="auto" w:fill="FFFFFF"/>
            <w:noWrap/>
            <w:vAlign w:val="center"/>
            <w:hideMark/>
          </w:tcPr>
          <w:p w14:paraId="4ED2FCBC"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proofErr w:type="spellStart"/>
            <w:r>
              <w:rPr>
                <w:rFonts w:eastAsia="Times New Roman" w:cs="Calibri"/>
                <w:i/>
                <w:iCs/>
                <w:noProof w:val="0"/>
                <w:sz w:val="14"/>
                <w:szCs w:val="14"/>
              </w:rPr>
              <w:t>Empetrum</w:t>
            </w:r>
            <w:proofErr w:type="spellEnd"/>
            <w:r>
              <w:rPr>
                <w:rFonts w:eastAsia="Times New Roman" w:cs="Calibri"/>
                <w:i/>
                <w:iCs/>
                <w:noProof w:val="0"/>
                <w:sz w:val="14"/>
                <w:szCs w:val="14"/>
              </w:rPr>
              <w:t xml:space="preserve"> (</w:t>
            </w:r>
            <w:r>
              <w:rPr>
                <w:rFonts w:eastAsia="Times New Roman" w:cs="Calibri"/>
                <w:noProof w:val="0"/>
                <w:sz w:val="14"/>
                <w:szCs w:val="14"/>
              </w:rPr>
              <w:t>mainly</w:t>
            </w:r>
            <w:r>
              <w:rPr>
                <w:rFonts w:eastAsia="Times New Roman" w:cs="Calibri"/>
                <w:i/>
                <w:iCs/>
                <w:noProof w:val="0"/>
                <w:sz w:val="14"/>
                <w:szCs w:val="14"/>
              </w:rPr>
              <w:t xml:space="preserve"> E. nigrum s</w:t>
            </w:r>
          </w:p>
          <w:p w14:paraId="0F369D14"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proofErr w:type="spellStart"/>
            <w:r>
              <w:rPr>
                <w:rFonts w:eastAsia="Times New Roman" w:cs="Calibri"/>
                <w:i/>
                <w:iCs/>
                <w:noProof w:val="0"/>
                <w:sz w:val="14"/>
                <w:szCs w:val="14"/>
              </w:rPr>
              <w:t>ubsp</w:t>
            </w:r>
            <w:proofErr w:type="spellEnd"/>
            <w:r>
              <w:rPr>
                <w:rFonts w:eastAsia="Times New Roman" w:cs="Calibri"/>
                <w:i/>
                <w:iCs/>
                <w:noProof w:val="0"/>
                <w:sz w:val="14"/>
                <w:szCs w:val="14"/>
              </w:rPr>
              <w:t xml:space="preserve">. </w:t>
            </w:r>
            <w:proofErr w:type="spellStart"/>
            <w:r>
              <w:rPr>
                <w:rFonts w:eastAsia="Times New Roman" w:cs="Calibri"/>
                <w:i/>
                <w:iCs/>
                <w:noProof w:val="0"/>
                <w:sz w:val="14"/>
                <w:szCs w:val="14"/>
              </w:rPr>
              <w:t>hermaphroditum</w:t>
            </w:r>
            <w:proofErr w:type="spellEnd"/>
            <w:r>
              <w:rPr>
                <w:rFonts w:eastAsia="Times New Roman" w:cs="Calibri"/>
                <w:i/>
                <w:iCs/>
                <w:noProof w:val="0"/>
                <w:sz w:val="14"/>
                <w:szCs w:val="14"/>
              </w:rPr>
              <w:t>)</w:t>
            </w:r>
          </w:p>
        </w:tc>
        <w:tc>
          <w:tcPr>
            <w:tcW w:w="230" w:type="pct"/>
            <w:shd w:val="clear" w:color="auto" w:fill="FFFFFF"/>
            <w:vAlign w:val="center"/>
            <w:hideMark/>
          </w:tcPr>
          <w:p w14:paraId="3D34C781"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0.07 (0.06) </w:t>
            </w:r>
            <w:r>
              <w:rPr>
                <w:rFonts w:eastAsia="Times New Roman" w:cs="Calibri"/>
                <w:noProof w:val="0"/>
                <w:sz w:val="14"/>
                <w:szCs w:val="14"/>
                <w:vertAlign w:val="superscript"/>
              </w:rPr>
              <w:t>1,2,3</w:t>
            </w:r>
          </w:p>
        </w:tc>
        <w:tc>
          <w:tcPr>
            <w:tcW w:w="276" w:type="pct"/>
            <w:shd w:val="clear" w:color="auto" w:fill="FFFFFF"/>
            <w:noWrap/>
            <w:vAlign w:val="center"/>
            <w:hideMark/>
          </w:tcPr>
          <w:p w14:paraId="2CD68565"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0.11 (0.03)</w:t>
            </w:r>
            <w:r>
              <w:rPr>
                <w:rFonts w:eastAsia="Times New Roman" w:cs="Calibri"/>
                <w:noProof w:val="0"/>
                <w:sz w:val="14"/>
                <w:szCs w:val="14"/>
                <w:vertAlign w:val="superscript"/>
              </w:rPr>
              <w:t>1,3</w:t>
            </w:r>
          </w:p>
        </w:tc>
        <w:tc>
          <w:tcPr>
            <w:tcW w:w="276" w:type="pct"/>
            <w:shd w:val="clear" w:color="auto" w:fill="FFFFFF"/>
            <w:noWrap/>
            <w:vAlign w:val="center"/>
            <w:hideMark/>
          </w:tcPr>
          <w:p w14:paraId="3CC82BE3" w14:textId="77777777" w:rsidR="004653D0" w:rsidRDefault="004653D0">
            <w:pPr>
              <w:rPr>
                <w:rFonts w:eastAsia="Times New Roman" w:cs="Calibri"/>
                <w:noProof w:val="0"/>
                <w:color w:val="auto"/>
                <w:sz w:val="14"/>
                <w:szCs w:val="14"/>
              </w:rPr>
            </w:pPr>
          </w:p>
        </w:tc>
        <w:tc>
          <w:tcPr>
            <w:tcW w:w="369" w:type="pct"/>
            <w:shd w:val="clear" w:color="auto" w:fill="FFFFFF"/>
            <w:noWrap/>
            <w:vAlign w:val="center"/>
            <w:hideMark/>
          </w:tcPr>
          <w:p w14:paraId="66488625"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074F1BC0"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00E8543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BF3960C"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7AD042EB"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22A420CB"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0D8AC31F"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1F6C38A8"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15C647F2"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72C2CA41"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35D61A6C"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71C06FFB" w14:textId="77777777" w:rsidR="004653D0" w:rsidRDefault="004653D0">
            <w:pPr>
              <w:spacing w:line="240" w:lineRule="auto"/>
              <w:jc w:val="left"/>
              <w:rPr>
                <w:rFonts w:ascii="Calibri" w:hAnsi="Calibri" w:cs="Calibri"/>
                <w:noProof w:val="0"/>
                <w:color w:val="auto"/>
                <w:lang w:val="en-GB" w:eastAsia="en-GB"/>
              </w:rPr>
            </w:pPr>
          </w:p>
        </w:tc>
      </w:tr>
      <w:tr w:rsidR="004653D0" w14:paraId="45F33F41" w14:textId="77777777" w:rsidTr="004653D0">
        <w:trPr>
          <w:jc w:val="center"/>
        </w:trPr>
        <w:tc>
          <w:tcPr>
            <w:tcW w:w="1105" w:type="pct"/>
            <w:shd w:val="clear" w:color="auto" w:fill="FFFFFF"/>
            <w:vAlign w:val="center"/>
            <w:hideMark/>
          </w:tcPr>
          <w:p w14:paraId="3249FE20" w14:textId="77777777" w:rsidR="004653D0" w:rsidRDefault="004653D0">
            <w:pPr>
              <w:autoSpaceDE w:val="0"/>
              <w:autoSpaceDN w:val="0"/>
              <w:adjustRightInd w:val="0"/>
              <w:snapToGrid w:val="0"/>
              <w:spacing w:line="240" w:lineRule="auto"/>
              <w:ind w:left="284"/>
              <w:jc w:val="left"/>
              <w:rPr>
                <w:rFonts w:eastAsia="Times New Roman" w:cs="Calibri"/>
                <w:noProof w:val="0"/>
                <w:sz w:val="14"/>
                <w:szCs w:val="14"/>
              </w:rPr>
            </w:pPr>
            <w:r>
              <w:rPr>
                <w:rFonts w:eastAsia="Times New Roman" w:cs="Calibri"/>
                <w:noProof w:val="0"/>
                <w:sz w:val="14"/>
                <w:szCs w:val="14"/>
              </w:rPr>
              <w:t>Ericaceae (</w:t>
            </w:r>
            <w:proofErr w:type="spellStart"/>
            <w:r>
              <w:rPr>
                <w:rFonts w:eastAsia="Times New Roman" w:cs="Calibri"/>
                <w:i/>
                <w:iCs/>
                <w:noProof w:val="0"/>
                <w:sz w:val="14"/>
                <w:szCs w:val="14"/>
              </w:rPr>
              <w:t>Calluna</w:t>
            </w:r>
            <w:proofErr w:type="spellEnd"/>
            <w:r>
              <w:rPr>
                <w:rFonts w:eastAsia="Times New Roman" w:cs="Calibri"/>
                <w:noProof w:val="0"/>
                <w:sz w:val="14"/>
                <w:szCs w:val="14"/>
              </w:rPr>
              <w:t xml:space="preserve"> excluded, </w:t>
            </w:r>
            <w:r>
              <w:rPr>
                <w:rFonts w:eastAsia="Times New Roman" w:cs="Calibri"/>
                <w:i/>
                <w:iCs/>
                <w:noProof w:val="0"/>
                <w:sz w:val="14"/>
                <w:szCs w:val="14"/>
              </w:rPr>
              <w:t xml:space="preserve">Vaccinium </w:t>
            </w:r>
            <w:r>
              <w:rPr>
                <w:rFonts w:eastAsia="Times New Roman" w:cs="Calibri"/>
                <w:noProof w:val="0"/>
                <w:sz w:val="14"/>
                <w:szCs w:val="14"/>
              </w:rPr>
              <w:t xml:space="preserve">spp. dominant in NE and </w:t>
            </w:r>
            <w:r>
              <w:rPr>
                <w:rFonts w:eastAsia="Times New Roman" w:cs="Calibri"/>
                <w:i/>
                <w:iCs/>
                <w:noProof w:val="0"/>
                <w:sz w:val="14"/>
                <w:szCs w:val="14"/>
              </w:rPr>
              <w:t>Arbutus</w:t>
            </w:r>
            <w:r>
              <w:rPr>
                <w:rFonts w:eastAsia="Times New Roman" w:cs="Calibri"/>
                <w:noProof w:val="0"/>
                <w:sz w:val="14"/>
                <w:szCs w:val="14"/>
              </w:rPr>
              <w:t xml:space="preserve"> </w:t>
            </w:r>
            <w:r>
              <w:rPr>
                <w:rFonts w:eastAsia="Times New Roman" w:cs="Calibri"/>
                <w:i/>
                <w:iCs/>
                <w:noProof w:val="0"/>
                <w:sz w:val="14"/>
                <w:szCs w:val="14"/>
              </w:rPr>
              <w:t>unedo</w:t>
            </w:r>
            <w:r>
              <w:rPr>
                <w:rFonts w:eastAsia="Times New Roman" w:cs="Calibri"/>
                <w:noProof w:val="0"/>
                <w:sz w:val="14"/>
                <w:szCs w:val="14"/>
              </w:rPr>
              <w:t xml:space="preserve"> and </w:t>
            </w:r>
            <w:r>
              <w:rPr>
                <w:rFonts w:eastAsia="Times New Roman" w:cs="Calibri"/>
                <w:i/>
                <w:iCs/>
                <w:noProof w:val="0"/>
                <w:sz w:val="14"/>
                <w:szCs w:val="14"/>
              </w:rPr>
              <w:t>Erica</w:t>
            </w:r>
            <w:r>
              <w:rPr>
                <w:rFonts w:eastAsia="Times New Roman" w:cs="Calibri"/>
                <w:noProof w:val="0"/>
                <w:sz w:val="14"/>
                <w:szCs w:val="14"/>
              </w:rPr>
              <w:t xml:space="preserve"> </w:t>
            </w:r>
            <w:r>
              <w:rPr>
                <w:rFonts w:eastAsia="Times New Roman" w:cs="Calibri"/>
                <w:i/>
                <w:iCs/>
                <w:noProof w:val="0"/>
                <w:sz w:val="14"/>
                <w:szCs w:val="14"/>
              </w:rPr>
              <w:t>arborea</w:t>
            </w:r>
            <w:r>
              <w:rPr>
                <w:rFonts w:eastAsia="Times New Roman" w:cs="Calibri"/>
                <w:noProof w:val="0"/>
                <w:sz w:val="14"/>
                <w:szCs w:val="14"/>
              </w:rPr>
              <w:t xml:space="preserve"> dominant in SE)</w:t>
            </w:r>
          </w:p>
        </w:tc>
        <w:tc>
          <w:tcPr>
            <w:tcW w:w="230" w:type="pct"/>
            <w:shd w:val="clear" w:color="auto" w:fill="FFFFFF"/>
            <w:vAlign w:val="center"/>
            <w:hideMark/>
          </w:tcPr>
          <w:p w14:paraId="5BA6DCC7" w14:textId="77777777" w:rsidR="004653D0" w:rsidRDefault="004653D0">
            <w:pPr>
              <w:rPr>
                <w:rFonts w:eastAsia="Times New Roman" w:cs="Calibri"/>
                <w:noProof w:val="0"/>
                <w:sz w:val="14"/>
                <w:szCs w:val="14"/>
              </w:rPr>
            </w:pPr>
          </w:p>
        </w:tc>
        <w:tc>
          <w:tcPr>
            <w:tcW w:w="276" w:type="pct"/>
            <w:shd w:val="clear" w:color="auto" w:fill="FFFFFF"/>
            <w:vAlign w:val="center"/>
            <w:hideMark/>
          </w:tcPr>
          <w:p w14:paraId="2B709F40"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0.07 (0.04)</w:t>
            </w:r>
            <w:r>
              <w:rPr>
                <w:rFonts w:eastAsia="Times New Roman" w:cs="Calibri"/>
                <w:noProof w:val="0"/>
                <w:sz w:val="14"/>
                <w:szCs w:val="14"/>
                <w:vertAlign w:val="superscript"/>
              </w:rPr>
              <w:t>1,2</w:t>
            </w:r>
          </w:p>
        </w:tc>
        <w:tc>
          <w:tcPr>
            <w:tcW w:w="276" w:type="pct"/>
            <w:shd w:val="clear" w:color="auto" w:fill="FFFFFF"/>
            <w:vAlign w:val="center"/>
            <w:hideMark/>
          </w:tcPr>
          <w:p w14:paraId="1A9A35BD" w14:textId="77777777" w:rsidR="004653D0" w:rsidRDefault="004653D0">
            <w:pPr>
              <w:rPr>
                <w:rFonts w:eastAsia="Times New Roman" w:cs="Calibri"/>
                <w:noProof w:val="0"/>
                <w:sz w:val="14"/>
                <w:szCs w:val="14"/>
              </w:rPr>
            </w:pPr>
          </w:p>
        </w:tc>
        <w:tc>
          <w:tcPr>
            <w:tcW w:w="369" w:type="pct"/>
            <w:shd w:val="clear" w:color="auto" w:fill="FFFFFF"/>
            <w:vAlign w:val="center"/>
            <w:hideMark/>
          </w:tcPr>
          <w:p w14:paraId="290C652F"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vAlign w:val="center"/>
            <w:hideMark/>
          </w:tcPr>
          <w:p w14:paraId="5B928787"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vAlign w:val="center"/>
            <w:hideMark/>
          </w:tcPr>
          <w:p w14:paraId="1F661C83"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vAlign w:val="center"/>
            <w:hideMark/>
          </w:tcPr>
          <w:p w14:paraId="2B609898"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vAlign w:val="center"/>
            <w:hideMark/>
          </w:tcPr>
          <w:p w14:paraId="33CAD23E"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vAlign w:val="center"/>
            <w:hideMark/>
          </w:tcPr>
          <w:p w14:paraId="06F051E5"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vAlign w:val="center"/>
            <w:hideMark/>
          </w:tcPr>
          <w:p w14:paraId="4C82689A"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vAlign w:val="center"/>
            <w:hideMark/>
          </w:tcPr>
          <w:p w14:paraId="41F3AE71"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vAlign w:val="center"/>
            <w:hideMark/>
          </w:tcPr>
          <w:p w14:paraId="3C77FE5E"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vAlign w:val="center"/>
            <w:hideMark/>
          </w:tcPr>
          <w:p w14:paraId="62662367"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vAlign w:val="center"/>
            <w:hideMark/>
          </w:tcPr>
          <w:p w14:paraId="03691CA9"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4.265 (0.094) </w:t>
            </w:r>
            <w:r>
              <w:rPr>
                <w:rFonts w:eastAsia="Times New Roman" w:cs="Calibri"/>
                <w:noProof w:val="0"/>
                <w:sz w:val="14"/>
                <w:szCs w:val="14"/>
                <w:vertAlign w:val="superscript"/>
              </w:rPr>
              <w:t>3</w:t>
            </w:r>
          </w:p>
        </w:tc>
        <w:tc>
          <w:tcPr>
            <w:tcW w:w="206" w:type="pct"/>
            <w:shd w:val="clear" w:color="auto" w:fill="FFFFFF"/>
            <w:vAlign w:val="center"/>
            <w:hideMark/>
          </w:tcPr>
          <w:p w14:paraId="727D24A2" w14:textId="77777777" w:rsidR="004653D0" w:rsidRDefault="004653D0">
            <w:pPr>
              <w:rPr>
                <w:rFonts w:eastAsia="Times New Roman" w:cs="Calibri"/>
                <w:noProof w:val="0"/>
                <w:sz w:val="14"/>
                <w:szCs w:val="14"/>
              </w:rPr>
            </w:pPr>
          </w:p>
        </w:tc>
      </w:tr>
      <w:tr w:rsidR="004653D0" w14:paraId="40621E50" w14:textId="77777777" w:rsidTr="004653D0">
        <w:trPr>
          <w:jc w:val="center"/>
        </w:trPr>
        <w:tc>
          <w:tcPr>
            <w:tcW w:w="1105" w:type="pct"/>
            <w:shd w:val="clear" w:color="auto" w:fill="FFFFFF"/>
            <w:noWrap/>
            <w:vAlign w:val="center"/>
            <w:hideMark/>
          </w:tcPr>
          <w:p w14:paraId="1FCE89BD"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Filipendula (F. </w:t>
            </w:r>
            <w:proofErr w:type="spellStart"/>
            <w:r>
              <w:rPr>
                <w:rFonts w:eastAsia="Times New Roman" w:cs="Calibri"/>
                <w:i/>
                <w:iCs/>
                <w:noProof w:val="0"/>
                <w:sz w:val="14"/>
                <w:szCs w:val="14"/>
              </w:rPr>
              <w:t>ulmaria</w:t>
            </w:r>
            <w:proofErr w:type="spellEnd"/>
            <w:r>
              <w:rPr>
                <w:rFonts w:eastAsia="Times New Roman" w:cs="Calibri"/>
                <w:i/>
                <w:iCs/>
                <w:noProof w:val="0"/>
                <w:sz w:val="14"/>
                <w:szCs w:val="14"/>
              </w:rPr>
              <w:t>)</w:t>
            </w:r>
          </w:p>
        </w:tc>
        <w:tc>
          <w:tcPr>
            <w:tcW w:w="230" w:type="pct"/>
            <w:shd w:val="clear" w:color="auto" w:fill="FFFFFF"/>
            <w:noWrap/>
            <w:vAlign w:val="center"/>
            <w:hideMark/>
          </w:tcPr>
          <w:p w14:paraId="5186EB6E"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4002B7A6"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434C293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2.48 (0.82)</w:t>
            </w:r>
          </w:p>
        </w:tc>
        <w:tc>
          <w:tcPr>
            <w:tcW w:w="599" w:type="pct"/>
            <w:gridSpan w:val="2"/>
            <w:shd w:val="clear" w:color="auto" w:fill="FFFFFF"/>
            <w:noWrap/>
            <w:vAlign w:val="center"/>
            <w:hideMark/>
          </w:tcPr>
          <w:p w14:paraId="5BD692AD"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3.39 (missing, 0.00)</w:t>
            </w:r>
            <w:r>
              <w:rPr>
                <w:rFonts w:eastAsia="Times New Roman" w:cs="Calibri"/>
                <w:noProof w:val="0"/>
                <w:sz w:val="14"/>
                <w:szCs w:val="14"/>
                <w:vertAlign w:val="superscript"/>
              </w:rPr>
              <w:t xml:space="preserve"> 3</w:t>
            </w:r>
          </w:p>
        </w:tc>
        <w:tc>
          <w:tcPr>
            <w:tcW w:w="230" w:type="pct"/>
            <w:shd w:val="clear" w:color="auto" w:fill="FFFFFF"/>
            <w:noWrap/>
            <w:vAlign w:val="center"/>
            <w:hideMark/>
          </w:tcPr>
          <w:p w14:paraId="51C5D34F"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2D485D16"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4C27D13C"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2E92C623"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3.13 (0.24)</w:t>
            </w:r>
          </w:p>
        </w:tc>
        <w:tc>
          <w:tcPr>
            <w:tcW w:w="230" w:type="pct"/>
            <w:shd w:val="clear" w:color="auto" w:fill="FFFFFF"/>
            <w:noWrap/>
            <w:vAlign w:val="center"/>
            <w:hideMark/>
          </w:tcPr>
          <w:p w14:paraId="4FC7F04D" w14:textId="77777777" w:rsidR="004653D0" w:rsidRDefault="004653D0">
            <w:pPr>
              <w:rPr>
                <w:rFonts w:eastAsia="Times New Roman" w:cs="Calibri"/>
                <w:noProof w:val="0"/>
                <w:color w:val="auto"/>
                <w:sz w:val="14"/>
                <w:szCs w:val="14"/>
              </w:rPr>
            </w:pPr>
          </w:p>
        </w:tc>
        <w:tc>
          <w:tcPr>
            <w:tcW w:w="368" w:type="pct"/>
            <w:shd w:val="clear" w:color="auto" w:fill="FFFFFF"/>
            <w:noWrap/>
            <w:vAlign w:val="center"/>
            <w:hideMark/>
          </w:tcPr>
          <w:p w14:paraId="445A8DAB"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60F9AED6"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65B54026"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756AEE08"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223AAF41" w14:textId="77777777" w:rsidR="004653D0" w:rsidRDefault="004653D0">
            <w:pPr>
              <w:spacing w:line="240" w:lineRule="auto"/>
              <w:jc w:val="left"/>
              <w:rPr>
                <w:rFonts w:ascii="Calibri" w:hAnsi="Calibri" w:cs="Calibri"/>
                <w:noProof w:val="0"/>
                <w:color w:val="auto"/>
                <w:lang w:val="en-GB" w:eastAsia="en-GB"/>
              </w:rPr>
            </w:pPr>
          </w:p>
        </w:tc>
      </w:tr>
      <w:tr w:rsidR="004653D0" w14:paraId="4C326752" w14:textId="77777777" w:rsidTr="004653D0">
        <w:trPr>
          <w:jc w:val="center"/>
        </w:trPr>
        <w:tc>
          <w:tcPr>
            <w:tcW w:w="1105" w:type="pct"/>
            <w:shd w:val="clear" w:color="auto" w:fill="FFFFFF"/>
            <w:noWrap/>
            <w:vAlign w:val="center"/>
            <w:hideMark/>
          </w:tcPr>
          <w:p w14:paraId="0F31CAC4"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Plantago lanceolata </w:t>
            </w:r>
          </w:p>
        </w:tc>
        <w:tc>
          <w:tcPr>
            <w:tcW w:w="230" w:type="pct"/>
            <w:shd w:val="clear" w:color="auto" w:fill="FFFFFF"/>
            <w:noWrap/>
            <w:vAlign w:val="center"/>
            <w:hideMark/>
          </w:tcPr>
          <w:p w14:paraId="043C83AB"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2093EF05"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6645599F"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12.76 (1.83) </w:t>
            </w:r>
            <w:r>
              <w:rPr>
                <w:rFonts w:eastAsia="Times New Roman" w:cs="Calibri"/>
                <w:noProof w:val="0"/>
                <w:sz w:val="14"/>
                <w:szCs w:val="14"/>
                <w:vertAlign w:val="superscript"/>
              </w:rPr>
              <w:t>1,2,3</w:t>
            </w:r>
          </w:p>
        </w:tc>
        <w:tc>
          <w:tcPr>
            <w:tcW w:w="369" w:type="pct"/>
            <w:shd w:val="clear" w:color="auto" w:fill="FFFFFF"/>
            <w:vAlign w:val="center"/>
            <w:hideMark/>
          </w:tcPr>
          <w:p w14:paraId="0D8C1B8E"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1.99 (0.04)</w:t>
            </w:r>
          </w:p>
        </w:tc>
        <w:tc>
          <w:tcPr>
            <w:tcW w:w="230" w:type="pct"/>
            <w:shd w:val="clear" w:color="auto" w:fill="FFFFFF"/>
            <w:noWrap/>
            <w:vAlign w:val="center"/>
            <w:hideMark/>
          </w:tcPr>
          <w:p w14:paraId="5309D48D"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3B2C0761"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323EC22"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3.70 (0.77) </w:t>
            </w:r>
            <w:r>
              <w:rPr>
                <w:rFonts w:eastAsia="Times New Roman" w:cs="Calibri"/>
                <w:noProof w:val="0"/>
                <w:sz w:val="14"/>
                <w:szCs w:val="14"/>
                <w:vertAlign w:val="superscript"/>
              </w:rPr>
              <w:t>3</w:t>
            </w:r>
          </w:p>
        </w:tc>
        <w:tc>
          <w:tcPr>
            <w:tcW w:w="322" w:type="pct"/>
            <w:shd w:val="clear" w:color="auto" w:fill="FFFFFF"/>
            <w:noWrap/>
            <w:vAlign w:val="center"/>
            <w:hideMark/>
          </w:tcPr>
          <w:p w14:paraId="34268A4D" w14:textId="77777777" w:rsidR="004653D0" w:rsidRDefault="004653D0">
            <w:pPr>
              <w:rPr>
                <w:rFonts w:eastAsia="Times New Roman" w:cs="Calibri"/>
                <w:noProof w:val="0"/>
                <w:sz w:val="14"/>
                <w:szCs w:val="14"/>
              </w:rPr>
            </w:pPr>
          </w:p>
        </w:tc>
        <w:tc>
          <w:tcPr>
            <w:tcW w:w="231" w:type="pct"/>
            <w:shd w:val="clear" w:color="auto" w:fill="FFFFFF"/>
            <w:noWrap/>
            <w:vAlign w:val="center"/>
            <w:hideMark/>
          </w:tcPr>
          <w:p w14:paraId="45947D6B"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C9C5CB7"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0.90 (0.23)</w:t>
            </w:r>
          </w:p>
        </w:tc>
        <w:tc>
          <w:tcPr>
            <w:tcW w:w="368" w:type="pct"/>
            <w:shd w:val="clear" w:color="auto" w:fill="FFFFFF"/>
            <w:noWrap/>
            <w:vAlign w:val="center"/>
            <w:hideMark/>
          </w:tcPr>
          <w:p w14:paraId="459DD96F"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0.24 (0.15) </w:t>
            </w:r>
            <w:r>
              <w:rPr>
                <w:rFonts w:eastAsia="Times New Roman" w:cs="Calibri"/>
                <w:noProof w:val="0"/>
                <w:sz w:val="14"/>
                <w:szCs w:val="14"/>
                <w:vertAlign w:val="superscript"/>
              </w:rPr>
              <w:t>1,2</w:t>
            </w:r>
          </w:p>
        </w:tc>
        <w:tc>
          <w:tcPr>
            <w:tcW w:w="198" w:type="pct"/>
            <w:shd w:val="clear" w:color="auto" w:fill="FFFFFF"/>
            <w:noWrap/>
            <w:vAlign w:val="center"/>
            <w:hideMark/>
          </w:tcPr>
          <w:p w14:paraId="53AB4207" w14:textId="77777777" w:rsidR="004653D0" w:rsidRDefault="004653D0">
            <w:pPr>
              <w:rPr>
                <w:rFonts w:eastAsia="Times New Roman" w:cs="Calibri"/>
                <w:noProof w:val="0"/>
                <w:color w:val="auto"/>
                <w:sz w:val="14"/>
                <w:szCs w:val="14"/>
              </w:rPr>
            </w:pPr>
          </w:p>
        </w:tc>
        <w:tc>
          <w:tcPr>
            <w:tcW w:w="246" w:type="pct"/>
            <w:shd w:val="clear" w:color="auto" w:fill="FFFFFF"/>
            <w:noWrap/>
            <w:vAlign w:val="center"/>
            <w:hideMark/>
          </w:tcPr>
          <w:p w14:paraId="6C10E40D"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2.73 (0.043) </w:t>
            </w:r>
            <w:r>
              <w:rPr>
                <w:rFonts w:eastAsia="Times New Roman" w:cs="Calibri"/>
                <w:noProof w:val="0"/>
                <w:sz w:val="14"/>
                <w:szCs w:val="14"/>
                <w:vertAlign w:val="superscript"/>
              </w:rPr>
              <w:t>3</w:t>
            </w:r>
          </w:p>
        </w:tc>
        <w:tc>
          <w:tcPr>
            <w:tcW w:w="253" w:type="pct"/>
            <w:shd w:val="clear" w:color="auto" w:fill="FFFFFF"/>
            <w:noWrap/>
            <w:vAlign w:val="center"/>
            <w:hideMark/>
          </w:tcPr>
          <w:p w14:paraId="5F09BAEF" w14:textId="77777777" w:rsidR="004653D0" w:rsidRDefault="004653D0">
            <w:pPr>
              <w:rPr>
                <w:rFonts w:eastAsia="Times New Roman" w:cs="Calibri"/>
                <w:noProof w:val="0"/>
                <w:sz w:val="14"/>
                <w:szCs w:val="14"/>
              </w:rPr>
            </w:pPr>
          </w:p>
        </w:tc>
        <w:tc>
          <w:tcPr>
            <w:tcW w:w="206" w:type="pct"/>
            <w:shd w:val="clear" w:color="auto" w:fill="FFFFFF"/>
            <w:noWrap/>
            <w:vAlign w:val="center"/>
            <w:hideMark/>
          </w:tcPr>
          <w:p w14:paraId="1355588A"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0.58 (0.32) </w:t>
            </w:r>
            <w:r>
              <w:rPr>
                <w:rFonts w:eastAsia="Times New Roman" w:cs="Calibri"/>
                <w:noProof w:val="0"/>
                <w:sz w:val="14"/>
                <w:szCs w:val="14"/>
                <w:vertAlign w:val="superscript"/>
              </w:rPr>
              <w:t>1,2,3</w:t>
            </w:r>
          </w:p>
        </w:tc>
      </w:tr>
      <w:tr w:rsidR="004653D0" w14:paraId="5EEFF299" w14:textId="77777777" w:rsidTr="004653D0">
        <w:trPr>
          <w:jc w:val="center"/>
        </w:trPr>
        <w:tc>
          <w:tcPr>
            <w:tcW w:w="1105" w:type="pct"/>
            <w:shd w:val="clear" w:color="auto" w:fill="FFFFFF"/>
            <w:noWrap/>
            <w:vAlign w:val="center"/>
            <w:hideMark/>
          </w:tcPr>
          <w:p w14:paraId="44B28FAD"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Plantago media </w:t>
            </w:r>
          </w:p>
        </w:tc>
        <w:tc>
          <w:tcPr>
            <w:tcW w:w="230" w:type="pct"/>
            <w:shd w:val="clear" w:color="auto" w:fill="FFFFFF"/>
            <w:noWrap/>
            <w:vAlign w:val="center"/>
            <w:hideMark/>
          </w:tcPr>
          <w:p w14:paraId="113EC65A"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304C30C1"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75F72F95"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26E94E4F"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F6DE4D2"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vAlign w:val="center"/>
            <w:hideMark/>
          </w:tcPr>
          <w:p w14:paraId="15F02801"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1.27 (0.18) </w:t>
            </w:r>
            <w:r>
              <w:rPr>
                <w:rFonts w:eastAsia="Times New Roman" w:cs="Calibri"/>
                <w:noProof w:val="0"/>
                <w:sz w:val="14"/>
                <w:szCs w:val="14"/>
                <w:vertAlign w:val="superscript"/>
              </w:rPr>
              <w:t>1,3</w:t>
            </w:r>
          </w:p>
        </w:tc>
        <w:tc>
          <w:tcPr>
            <w:tcW w:w="230" w:type="pct"/>
            <w:shd w:val="clear" w:color="auto" w:fill="FFFFFF"/>
            <w:noWrap/>
            <w:vAlign w:val="center"/>
            <w:hideMark/>
          </w:tcPr>
          <w:p w14:paraId="393B6E6D" w14:textId="77777777" w:rsidR="004653D0" w:rsidRDefault="004653D0">
            <w:pPr>
              <w:rPr>
                <w:rFonts w:eastAsia="Times New Roman" w:cs="Calibri"/>
                <w:noProof w:val="0"/>
                <w:color w:val="auto"/>
                <w:sz w:val="14"/>
                <w:szCs w:val="14"/>
              </w:rPr>
            </w:pPr>
          </w:p>
        </w:tc>
        <w:tc>
          <w:tcPr>
            <w:tcW w:w="322" w:type="pct"/>
            <w:shd w:val="clear" w:color="auto" w:fill="FFFFFF"/>
            <w:noWrap/>
            <w:vAlign w:val="center"/>
            <w:hideMark/>
          </w:tcPr>
          <w:p w14:paraId="3808310D"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2D4E9751"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B0FBEDD"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661A0637"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0F6D5555"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706F6030"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7BCA081F"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10A682AD" w14:textId="77777777" w:rsidR="004653D0" w:rsidRDefault="004653D0">
            <w:pPr>
              <w:spacing w:line="240" w:lineRule="auto"/>
              <w:jc w:val="left"/>
              <w:rPr>
                <w:rFonts w:ascii="Calibri" w:hAnsi="Calibri" w:cs="Calibri"/>
                <w:noProof w:val="0"/>
                <w:color w:val="auto"/>
                <w:lang w:val="en-GB" w:eastAsia="en-GB"/>
              </w:rPr>
            </w:pPr>
          </w:p>
        </w:tc>
      </w:tr>
      <w:tr w:rsidR="004653D0" w14:paraId="7FE48118" w14:textId="77777777" w:rsidTr="004653D0">
        <w:trPr>
          <w:jc w:val="center"/>
        </w:trPr>
        <w:tc>
          <w:tcPr>
            <w:tcW w:w="1105" w:type="pct"/>
            <w:shd w:val="clear" w:color="auto" w:fill="FFFFFF"/>
            <w:noWrap/>
            <w:vAlign w:val="center"/>
            <w:hideMark/>
          </w:tcPr>
          <w:p w14:paraId="363AC9EC"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Plantago </w:t>
            </w:r>
            <w:proofErr w:type="spellStart"/>
            <w:r>
              <w:rPr>
                <w:rFonts w:eastAsia="Times New Roman" w:cs="Calibri"/>
                <w:i/>
                <w:iCs/>
                <w:noProof w:val="0"/>
                <w:sz w:val="14"/>
                <w:szCs w:val="14"/>
              </w:rPr>
              <w:t>montana</w:t>
            </w:r>
            <w:proofErr w:type="spellEnd"/>
            <w:r>
              <w:rPr>
                <w:rFonts w:eastAsia="Times New Roman" w:cs="Calibri"/>
                <w:i/>
                <w:iCs/>
                <w:noProof w:val="0"/>
                <w:sz w:val="14"/>
                <w:szCs w:val="14"/>
              </w:rPr>
              <w:t xml:space="preserve"> (Plantago </w:t>
            </w:r>
            <w:proofErr w:type="spellStart"/>
            <w:r>
              <w:rPr>
                <w:rFonts w:eastAsia="Times New Roman" w:cs="Calibri"/>
                <w:i/>
                <w:iCs/>
                <w:noProof w:val="0"/>
                <w:sz w:val="14"/>
                <w:szCs w:val="14"/>
              </w:rPr>
              <w:t>atrata</w:t>
            </w:r>
            <w:proofErr w:type="spellEnd"/>
            <w:r>
              <w:rPr>
                <w:rFonts w:eastAsia="Times New Roman" w:cs="Calibri"/>
                <w:i/>
                <w:iCs/>
                <w:noProof w:val="0"/>
                <w:sz w:val="14"/>
                <w:szCs w:val="14"/>
              </w:rPr>
              <w:t>)</w:t>
            </w:r>
          </w:p>
        </w:tc>
        <w:tc>
          <w:tcPr>
            <w:tcW w:w="230" w:type="pct"/>
            <w:shd w:val="clear" w:color="auto" w:fill="FFFFFF"/>
            <w:noWrap/>
            <w:vAlign w:val="center"/>
            <w:hideMark/>
          </w:tcPr>
          <w:p w14:paraId="0861439F"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166BD8EC"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426D8504"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7E94B587"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A04FC66"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vAlign w:val="center"/>
            <w:hideMark/>
          </w:tcPr>
          <w:p w14:paraId="1C538E61"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0.74 (0.13) </w:t>
            </w:r>
            <w:r>
              <w:rPr>
                <w:rFonts w:eastAsia="Times New Roman" w:cs="Calibri"/>
                <w:noProof w:val="0"/>
                <w:sz w:val="14"/>
                <w:szCs w:val="14"/>
                <w:vertAlign w:val="superscript"/>
              </w:rPr>
              <w:t>1,3</w:t>
            </w:r>
          </w:p>
        </w:tc>
        <w:tc>
          <w:tcPr>
            <w:tcW w:w="230" w:type="pct"/>
            <w:shd w:val="clear" w:color="auto" w:fill="FFFFFF"/>
            <w:noWrap/>
            <w:vAlign w:val="center"/>
            <w:hideMark/>
          </w:tcPr>
          <w:p w14:paraId="4C89D0FD" w14:textId="77777777" w:rsidR="004653D0" w:rsidRDefault="004653D0">
            <w:pPr>
              <w:rPr>
                <w:rFonts w:eastAsia="Times New Roman" w:cs="Calibri"/>
                <w:noProof w:val="0"/>
                <w:color w:val="auto"/>
                <w:sz w:val="14"/>
                <w:szCs w:val="14"/>
              </w:rPr>
            </w:pPr>
          </w:p>
        </w:tc>
        <w:tc>
          <w:tcPr>
            <w:tcW w:w="322" w:type="pct"/>
            <w:shd w:val="clear" w:color="auto" w:fill="FFFFFF"/>
            <w:noWrap/>
            <w:vAlign w:val="center"/>
            <w:hideMark/>
          </w:tcPr>
          <w:p w14:paraId="5E236B20"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0FD19613"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6771C82"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528D9D9D"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1DE46994"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5EB30890"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155C6630"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14C90C2B" w14:textId="77777777" w:rsidR="004653D0" w:rsidRDefault="004653D0">
            <w:pPr>
              <w:spacing w:line="240" w:lineRule="auto"/>
              <w:jc w:val="left"/>
              <w:rPr>
                <w:rFonts w:ascii="Calibri" w:hAnsi="Calibri" w:cs="Calibri"/>
                <w:noProof w:val="0"/>
                <w:color w:val="auto"/>
                <w:lang w:val="en-GB" w:eastAsia="en-GB"/>
              </w:rPr>
            </w:pPr>
          </w:p>
        </w:tc>
      </w:tr>
      <w:tr w:rsidR="004653D0" w14:paraId="153701FE" w14:textId="77777777" w:rsidTr="004653D0">
        <w:trPr>
          <w:jc w:val="center"/>
        </w:trPr>
        <w:tc>
          <w:tcPr>
            <w:tcW w:w="1105" w:type="pct"/>
            <w:shd w:val="clear" w:color="auto" w:fill="FFFFFF"/>
            <w:noWrap/>
            <w:vAlign w:val="center"/>
            <w:hideMark/>
          </w:tcPr>
          <w:p w14:paraId="7C396DC0"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lang w:val="fr-FR"/>
              </w:rPr>
            </w:pPr>
            <w:proofErr w:type="spellStart"/>
            <w:r>
              <w:rPr>
                <w:rFonts w:eastAsia="Times New Roman" w:cs="Calibri"/>
                <w:i/>
                <w:iCs/>
                <w:noProof w:val="0"/>
                <w:sz w:val="14"/>
                <w:szCs w:val="14"/>
                <w:lang w:val="fr-FR"/>
              </w:rPr>
              <w:lastRenderedPageBreak/>
              <w:t>Potentilla</w:t>
            </w:r>
            <w:proofErr w:type="spellEnd"/>
            <w:r>
              <w:rPr>
                <w:rFonts w:eastAsia="Times New Roman" w:cs="Calibri"/>
                <w:i/>
                <w:iCs/>
                <w:noProof w:val="0"/>
                <w:sz w:val="14"/>
                <w:szCs w:val="14"/>
                <w:lang w:val="fr-FR"/>
              </w:rPr>
              <w:t xml:space="preserve"> </w:t>
            </w:r>
            <w:r>
              <w:rPr>
                <w:rFonts w:eastAsia="Times New Roman" w:cs="Calibri"/>
                <w:iCs/>
                <w:noProof w:val="0"/>
                <w:sz w:val="14"/>
                <w:szCs w:val="14"/>
                <w:lang w:val="fr-FR"/>
              </w:rPr>
              <w:t>t.</w:t>
            </w:r>
            <w:r>
              <w:rPr>
                <w:rFonts w:eastAsia="Times New Roman" w:cs="Calibri"/>
                <w:i/>
                <w:iCs/>
                <w:noProof w:val="0"/>
                <w:sz w:val="14"/>
                <w:szCs w:val="14"/>
                <w:lang w:val="fr-FR"/>
              </w:rPr>
              <w:t xml:space="preserve"> (</w:t>
            </w:r>
            <w:proofErr w:type="spellStart"/>
            <w:r>
              <w:rPr>
                <w:rFonts w:eastAsia="Times New Roman" w:cs="Calibri"/>
                <w:i/>
                <w:iCs/>
                <w:noProof w:val="0"/>
                <w:sz w:val="14"/>
                <w:szCs w:val="14"/>
                <w:lang w:val="fr-FR"/>
              </w:rPr>
              <w:t>Potentilla</w:t>
            </w:r>
            <w:proofErr w:type="spellEnd"/>
            <w:r>
              <w:rPr>
                <w:rFonts w:eastAsia="Times New Roman" w:cs="Calibri"/>
                <w:i/>
                <w:iCs/>
                <w:noProof w:val="0"/>
                <w:sz w:val="14"/>
                <w:szCs w:val="14"/>
                <w:lang w:val="fr-FR"/>
              </w:rPr>
              <w:t xml:space="preserve"> </w:t>
            </w:r>
            <w:proofErr w:type="spellStart"/>
            <w:r>
              <w:rPr>
                <w:rFonts w:eastAsia="Times New Roman" w:cs="Calibri"/>
                <w:i/>
                <w:iCs/>
                <w:noProof w:val="0"/>
                <w:sz w:val="14"/>
                <w:szCs w:val="14"/>
                <w:lang w:val="fr-FR"/>
              </w:rPr>
              <w:t>spp</w:t>
            </w:r>
            <w:proofErr w:type="spellEnd"/>
            <w:r>
              <w:rPr>
                <w:rFonts w:eastAsia="Times New Roman" w:cs="Calibri"/>
                <w:i/>
                <w:iCs/>
                <w:noProof w:val="0"/>
                <w:sz w:val="14"/>
                <w:szCs w:val="14"/>
                <w:lang w:val="fr-FR"/>
              </w:rPr>
              <w:t xml:space="preserve"> dominant)</w:t>
            </w:r>
          </w:p>
        </w:tc>
        <w:tc>
          <w:tcPr>
            <w:tcW w:w="230" w:type="pct"/>
            <w:shd w:val="clear" w:color="auto" w:fill="FFFFFF"/>
            <w:noWrap/>
            <w:vAlign w:val="center"/>
            <w:hideMark/>
          </w:tcPr>
          <w:p w14:paraId="42345EA7" w14:textId="77777777" w:rsidR="004653D0" w:rsidRDefault="004653D0">
            <w:pPr>
              <w:rPr>
                <w:rFonts w:eastAsia="Times New Roman" w:cs="Calibri"/>
                <w:i/>
                <w:iCs/>
                <w:noProof w:val="0"/>
                <w:sz w:val="14"/>
                <w:szCs w:val="14"/>
                <w:lang w:val="fr-FR"/>
              </w:rPr>
            </w:pPr>
          </w:p>
        </w:tc>
        <w:tc>
          <w:tcPr>
            <w:tcW w:w="276" w:type="pct"/>
            <w:shd w:val="clear" w:color="auto" w:fill="FFFFFF"/>
            <w:noWrap/>
            <w:vAlign w:val="center"/>
            <w:hideMark/>
          </w:tcPr>
          <w:p w14:paraId="6E2008E7"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5E0276C2"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2.47 (0.38)</w:t>
            </w:r>
            <w:r>
              <w:rPr>
                <w:rFonts w:eastAsia="Times New Roman" w:cs="Calibri"/>
                <w:noProof w:val="0"/>
                <w:sz w:val="14"/>
                <w:szCs w:val="14"/>
                <w:vertAlign w:val="superscript"/>
              </w:rPr>
              <w:t>1,3</w:t>
            </w:r>
          </w:p>
        </w:tc>
        <w:tc>
          <w:tcPr>
            <w:tcW w:w="369" w:type="pct"/>
            <w:shd w:val="clear" w:color="auto" w:fill="FFFFFF"/>
            <w:noWrap/>
            <w:vAlign w:val="center"/>
            <w:hideMark/>
          </w:tcPr>
          <w:p w14:paraId="1F92DF99"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0.14 (0.005)</w:t>
            </w:r>
            <w:r>
              <w:rPr>
                <w:rFonts w:eastAsia="Times New Roman" w:cs="Calibri"/>
                <w:noProof w:val="0"/>
                <w:sz w:val="14"/>
                <w:szCs w:val="14"/>
                <w:vertAlign w:val="superscript"/>
              </w:rPr>
              <w:t>1,3</w:t>
            </w:r>
          </w:p>
        </w:tc>
        <w:tc>
          <w:tcPr>
            <w:tcW w:w="230" w:type="pct"/>
            <w:shd w:val="clear" w:color="auto" w:fill="FFFFFF"/>
            <w:noWrap/>
            <w:vAlign w:val="center"/>
            <w:hideMark/>
          </w:tcPr>
          <w:p w14:paraId="6098B25E"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5CFFAC6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0.96 (0.13) </w:t>
            </w:r>
            <w:r>
              <w:rPr>
                <w:rFonts w:eastAsia="Times New Roman" w:cs="Calibri"/>
                <w:noProof w:val="0"/>
                <w:sz w:val="14"/>
                <w:szCs w:val="14"/>
                <w:vertAlign w:val="superscript"/>
              </w:rPr>
              <w:t>1,3</w:t>
            </w:r>
          </w:p>
        </w:tc>
        <w:tc>
          <w:tcPr>
            <w:tcW w:w="230" w:type="pct"/>
            <w:shd w:val="clear" w:color="auto" w:fill="FFFFFF"/>
            <w:noWrap/>
            <w:vAlign w:val="center"/>
            <w:hideMark/>
          </w:tcPr>
          <w:p w14:paraId="578670C4" w14:textId="77777777" w:rsidR="004653D0" w:rsidRDefault="004653D0">
            <w:pPr>
              <w:rPr>
                <w:rFonts w:eastAsia="Times New Roman" w:cs="Calibri"/>
                <w:noProof w:val="0"/>
                <w:sz w:val="14"/>
                <w:szCs w:val="14"/>
              </w:rPr>
            </w:pPr>
          </w:p>
        </w:tc>
        <w:tc>
          <w:tcPr>
            <w:tcW w:w="322" w:type="pct"/>
            <w:shd w:val="clear" w:color="auto" w:fill="FFFFFF"/>
            <w:noWrap/>
            <w:vAlign w:val="center"/>
            <w:hideMark/>
          </w:tcPr>
          <w:p w14:paraId="5BA0FE9F"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4A54F76C"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8A4C606"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244D9B37"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504847F3"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7FFD0D3D"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29F1E6CE"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40303A3D" w14:textId="77777777" w:rsidR="004653D0" w:rsidRDefault="004653D0">
            <w:pPr>
              <w:spacing w:line="240" w:lineRule="auto"/>
              <w:jc w:val="left"/>
              <w:rPr>
                <w:rFonts w:ascii="Calibri" w:hAnsi="Calibri" w:cs="Calibri"/>
                <w:noProof w:val="0"/>
                <w:color w:val="auto"/>
                <w:lang w:val="en-GB" w:eastAsia="en-GB"/>
              </w:rPr>
            </w:pPr>
          </w:p>
        </w:tc>
      </w:tr>
      <w:tr w:rsidR="004653D0" w14:paraId="170B0DD2" w14:textId="77777777" w:rsidTr="004653D0">
        <w:trPr>
          <w:jc w:val="center"/>
        </w:trPr>
        <w:tc>
          <w:tcPr>
            <w:tcW w:w="1105" w:type="pct"/>
            <w:shd w:val="clear" w:color="auto" w:fill="FFFFFF"/>
            <w:noWrap/>
            <w:vAlign w:val="center"/>
            <w:hideMark/>
          </w:tcPr>
          <w:p w14:paraId="7A5419DA"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Ranunculus acris t. (R. acris, R. repens, Clematis </w:t>
            </w:r>
            <w:proofErr w:type="spellStart"/>
            <w:r>
              <w:rPr>
                <w:rFonts w:eastAsia="Times New Roman" w:cs="Calibri"/>
                <w:i/>
                <w:iCs/>
                <w:noProof w:val="0"/>
                <w:sz w:val="14"/>
                <w:szCs w:val="14"/>
              </w:rPr>
              <w:t>flammula</w:t>
            </w:r>
            <w:proofErr w:type="spellEnd"/>
            <w:r>
              <w:rPr>
                <w:rFonts w:eastAsia="Times New Roman" w:cs="Calibri"/>
                <w:i/>
                <w:iCs/>
                <w:noProof w:val="0"/>
                <w:sz w:val="14"/>
                <w:szCs w:val="14"/>
              </w:rPr>
              <w:t xml:space="preserve">, C. </w:t>
            </w:r>
            <w:proofErr w:type="spellStart"/>
            <w:r>
              <w:rPr>
                <w:rFonts w:eastAsia="Times New Roman" w:cs="Calibri"/>
                <w:i/>
                <w:iCs/>
                <w:noProof w:val="0"/>
                <w:sz w:val="14"/>
                <w:szCs w:val="14"/>
              </w:rPr>
              <w:t>vitalba</w:t>
            </w:r>
            <w:proofErr w:type="spellEnd"/>
            <w:r>
              <w:rPr>
                <w:rFonts w:eastAsia="Times New Roman" w:cs="Calibri"/>
                <w:i/>
                <w:iCs/>
                <w:noProof w:val="0"/>
                <w:sz w:val="14"/>
                <w:szCs w:val="14"/>
              </w:rPr>
              <w:t>)</w:t>
            </w:r>
          </w:p>
        </w:tc>
        <w:tc>
          <w:tcPr>
            <w:tcW w:w="230" w:type="pct"/>
            <w:shd w:val="clear" w:color="auto" w:fill="FFFFFF"/>
            <w:noWrap/>
            <w:vAlign w:val="center"/>
            <w:hideMark/>
          </w:tcPr>
          <w:p w14:paraId="0770C353"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0C01F5D6"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4240CC70"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3.85 (0.72)</w:t>
            </w:r>
            <w:r>
              <w:rPr>
                <w:rFonts w:eastAsia="Times New Roman" w:cs="Calibri"/>
                <w:noProof w:val="0"/>
                <w:sz w:val="14"/>
                <w:szCs w:val="14"/>
                <w:vertAlign w:val="superscript"/>
              </w:rPr>
              <w:t>1,3</w:t>
            </w:r>
          </w:p>
        </w:tc>
        <w:tc>
          <w:tcPr>
            <w:tcW w:w="369" w:type="pct"/>
            <w:shd w:val="clear" w:color="auto" w:fill="FFFFFF"/>
            <w:noWrap/>
            <w:vAlign w:val="center"/>
            <w:hideMark/>
          </w:tcPr>
          <w:p w14:paraId="4AEFB948"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0.07 (0.004)</w:t>
            </w:r>
            <w:r>
              <w:rPr>
                <w:rFonts w:eastAsia="Times New Roman" w:cs="Calibri"/>
                <w:noProof w:val="0"/>
                <w:sz w:val="14"/>
                <w:szCs w:val="14"/>
                <w:vertAlign w:val="superscript"/>
              </w:rPr>
              <w:t>1,3</w:t>
            </w:r>
          </w:p>
        </w:tc>
        <w:tc>
          <w:tcPr>
            <w:tcW w:w="230" w:type="pct"/>
            <w:shd w:val="clear" w:color="auto" w:fill="FFFFFF"/>
            <w:noWrap/>
            <w:vAlign w:val="center"/>
            <w:hideMark/>
          </w:tcPr>
          <w:p w14:paraId="69A3DBC4"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4E32DB86"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01C7E0C"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301C4816"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48063089"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080C89E"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579D2EDD"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441BA97B"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74419B50"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13F03EC8"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2.037 (0.335) </w:t>
            </w:r>
            <w:r>
              <w:rPr>
                <w:rFonts w:eastAsia="Times New Roman" w:cs="Calibri"/>
                <w:noProof w:val="0"/>
                <w:sz w:val="14"/>
                <w:szCs w:val="14"/>
                <w:vertAlign w:val="superscript"/>
              </w:rPr>
              <w:t>1,3</w:t>
            </w:r>
          </w:p>
        </w:tc>
        <w:tc>
          <w:tcPr>
            <w:tcW w:w="206" w:type="pct"/>
            <w:shd w:val="clear" w:color="auto" w:fill="FFFFFF"/>
            <w:noWrap/>
            <w:vAlign w:val="center"/>
            <w:hideMark/>
          </w:tcPr>
          <w:p w14:paraId="02A535BC" w14:textId="77777777" w:rsidR="004653D0" w:rsidRDefault="004653D0">
            <w:pPr>
              <w:rPr>
                <w:rFonts w:eastAsia="Times New Roman" w:cs="Calibri"/>
                <w:noProof w:val="0"/>
                <w:sz w:val="14"/>
                <w:szCs w:val="14"/>
              </w:rPr>
            </w:pPr>
          </w:p>
        </w:tc>
      </w:tr>
      <w:tr w:rsidR="004653D0" w14:paraId="4B35951E" w14:textId="77777777" w:rsidTr="004653D0">
        <w:trPr>
          <w:jc w:val="center"/>
        </w:trPr>
        <w:tc>
          <w:tcPr>
            <w:tcW w:w="1105" w:type="pct"/>
            <w:shd w:val="clear" w:color="auto" w:fill="FFFFFF"/>
            <w:noWrap/>
            <w:vAlign w:val="center"/>
            <w:hideMark/>
          </w:tcPr>
          <w:p w14:paraId="1E1DDE53" w14:textId="77777777" w:rsidR="004653D0" w:rsidRDefault="004653D0">
            <w:pPr>
              <w:autoSpaceDE w:val="0"/>
              <w:autoSpaceDN w:val="0"/>
              <w:adjustRightInd w:val="0"/>
              <w:snapToGrid w:val="0"/>
              <w:spacing w:line="240" w:lineRule="auto"/>
              <w:ind w:left="284"/>
              <w:jc w:val="left"/>
              <w:rPr>
                <w:rFonts w:eastAsia="Times New Roman" w:cs="Calibri"/>
                <w:noProof w:val="0"/>
                <w:sz w:val="14"/>
                <w:szCs w:val="14"/>
              </w:rPr>
            </w:pPr>
            <w:proofErr w:type="spellStart"/>
            <w:r>
              <w:rPr>
                <w:rFonts w:eastAsia="Times New Roman" w:cs="Calibri"/>
                <w:noProof w:val="0"/>
                <w:sz w:val="14"/>
                <w:szCs w:val="14"/>
              </w:rPr>
              <w:t>Rubiaceae</w:t>
            </w:r>
            <w:proofErr w:type="spellEnd"/>
            <w:r>
              <w:rPr>
                <w:rFonts w:eastAsia="Times New Roman" w:cs="Calibri"/>
                <w:noProof w:val="0"/>
                <w:sz w:val="14"/>
                <w:szCs w:val="14"/>
              </w:rPr>
              <w:t xml:space="preserve"> </w:t>
            </w:r>
            <w:r>
              <w:rPr>
                <w:rFonts w:eastAsia="Times New Roman" w:cs="Calibri"/>
                <w:i/>
                <w:iCs/>
                <w:noProof w:val="0"/>
                <w:sz w:val="14"/>
                <w:szCs w:val="14"/>
              </w:rPr>
              <w:t>(</w:t>
            </w:r>
            <w:proofErr w:type="spellStart"/>
            <w:r>
              <w:rPr>
                <w:rFonts w:eastAsia="Times New Roman" w:cs="Calibri"/>
                <w:i/>
                <w:iCs/>
                <w:noProof w:val="0"/>
                <w:sz w:val="14"/>
                <w:szCs w:val="14"/>
              </w:rPr>
              <w:t>Galium</w:t>
            </w:r>
            <w:proofErr w:type="spellEnd"/>
            <w:r>
              <w:rPr>
                <w:rFonts w:eastAsia="Times New Roman" w:cs="Calibri"/>
                <w:noProof w:val="0"/>
                <w:sz w:val="14"/>
                <w:szCs w:val="14"/>
              </w:rPr>
              <w:t xml:space="preserve"> spp. dominant)</w:t>
            </w:r>
          </w:p>
        </w:tc>
        <w:tc>
          <w:tcPr>
            <w:tcW w:w="230" w:type="pct"/>
            <w:shd w:val="clear" w:color="auto" w:fill="FFFFFF"/>
            <w:noWrap/>
            <w:vAlign w:val="center"/>
            <w:hideMark/>
          </w:tcPr>
          <w:p w14:paraId="7AE6E6FF" w14:textId="77777777" w:rsidR="004653D0" w:rsidRDefault="004653D0">
            <w:pPr>
              <w:rPr>
                <w:rFonts w:eastAsia="Times New Roman" w:cs="Calibri"/>
                <w:noProof w:val="0"/>
                <w:sz w:val="14"/>
                <w:szCs w:val="14"/>
              </w:rPr>
            </w:pPr>
          </w:p>
        </w:tc>
        <w:tc>
          <w:tcPr>
            <w:tcW w:w="276" w:type="pct"/>
            <w:shd w:val="clear" w:color="auto" w:fill="FFFFFF"/>
            <w:noWrap/>
            <w:vAlign w:val="center"/>
            <w:hideMark/>
          </w:tcPr>
          <w:p w14:paraId="0738C478"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27D5DE93"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3.95 (0.59)</w:t>
            </w:r>
            <w:r>
              <w:rPr>
                <w:rFonts w:eastAsia="Times New Roman" w:cs="Calibri"/>
                <w:noProof w:val="0"/>
                <w:sz w:val="14"/>
                <w:szCs w:val="14"/>
                <w:vertAlign w:val="superscript"/>
              </w:rPr>
              <w:t>1,3</w:t>
            </w:r>
          </w:p>
        </w:tc>
        <w:tc>
          <w:tcPr>
            <w:tcW w:w="369" w:type="pct"/>
            <w:shd w:val="clear" w:color="auto" w:fill="FFFFFF"/>
            <w:vAlign w:val="center"/>
            <w:hideMark/>
          </w:tcPr>
          <w:p w14:paraId="52C882F8"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0.42 (0.01)</w:t>
            </w:r>
            <w:r>
              <w:rPr>
                <w:rFonts w:eastAsia="Times New Roman" w:cs="Calibri"/>
                <w:noProof w:val="0"/>
                <w:sz w:val="14"/>
                <w:szCs w:val="14"/>
                <w:vertAlign w:val="superscript"/>
              </w:rPr>
              <w:t>1,3</w:t>
            </w:r>
          </w:p>
        </w:tc>
        <w:tc>
          <w:tcPr>
            <w:tcW w:w="230" w:type="pct"/>
            <w:shd w:val="clear" w:color="auto" w:fill="FFFFFF"/>
            <w:vAlign w:val="center"/>
            <w:hideMark/>
          </w:tcPr>
          <w:p w14:paraId="71554E90" w14:textId="77777777" w:rsidR="004653D0" w:rsidRDefault="004653D0">
            <w:pPr>
              <w:rPr>
                <w:rFonts w:eastAsia="Times New Roman" w:cs="Calibri"/>
                <w:noProof w:val="0"/>
                <w:color w:val="auto"/>
                <w:sz w:val="14"/>
                <w:szCs w:val="14"/>
              </w:rPr>
            </w:pPr>
          </w:p>
        </w:tc>
        <w:tc>
          <w:tcPr>
            <w:tcW w:w="230" w:type="pct"/>
            <w:shd w:val="clear" w:color="auto" w:fill="FFFFFF"/>
            <w:vAlign w:val="center"/>
            <w:hideMark/>
          </w:tcPr>
          <w:p w14:paraId="70B3EEC8"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3.47 (0.35) </w:t>
            </w:r>
            <w:r>
              <w:rPr>
                <w:rFonts w:eastAsia="Times New Roman" w:cs="Calibri"/>
                <w:noProof w:val="0"/>
                <w:sz w:val="14"/>
                <w:szCs w:val="14"/>
                <w:vertAlign w:val="superscript"/>
              </w:rPr>
              <w:t>1,3</w:t>
            </w:r>
          </w:p>
        </w:tc>
        <w:tc>
          <w:tcPr>
            <w:tcW w:w="230" w:type="pct"/>
            <w:shd w:val="clear" w:color="auto" w:fill="FFFFFF"/>
            <w:noWrap/>
            <w:vAlign w:val="center"/>
            <w:hideMark/>
          </w:tcPr>
          <w:p w14:paraId="41DC7441" w14:textId="77777777" w:rsidR="004653D0" w:rsidRDefault="004653D0">
            <w:pPr>
              <w:rPr>
                <w:rFonts w:eastAsia="Times New Roman" w:cs="Calibri"/>
                <w:noProof w:val="0"/>
                <w:color w:val="auto"/>
                <w:sz w:val="14"/>
                <w:szCs w:val="14"/>
              </w:rPr>
            </w:pPr>
          </w:p>
        </w:tc>
        <w:tc>
          <w:tcPr>
            <w:tcW w:w="322" w:type="pct"/>
            <w:shd w:val="clear" w:color="auto" w:fill="FFFFFF"/>
            <w:noWrap/>
            <w:vAlign w:val="center"/>
            <w:hideMark/>
          </w:tcPr>
          <w:p w14:paraId="4164B65B"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4FB4AB9B"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1283E63"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5FEE3713"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50C3CF4F"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02F4E9C3"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08B88C13"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2AE26B28"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7.97 (1.08) </w:t>
            </w:r>
            <w:r>
              <w:rPr>
                <w:rFonts w:eastAsia="Times New Roman" w:cs="Calibri"/>
                <w:noProof w:val="0"/>
                <w:sz w:val="14"/>
                <w:szCs w:val="14"/>
                <w:vertAlign w:val="superscript"/>
              </w:rPr>
              <w:t>1,3</w:t>
            </w:r>
          </w:p>
        </w:tc>
      </w:tr>
      <w:tr w:rsidR="004653D0" w14:paraId="1E7DA467" w14:textId="77777777" w:rsidTr="004653D0">
        <w:trPr>
          <w:jc w:val="center"/>
        </w:trPr>
        <w:tc>
          <w:tcPr>
            <w:tcW w:w="1105" w:type="pct"/>
            <w:shd w:val="clear" w:color="auto" w:fill="FFFFFF"/>
            <w:noWrap/>
            <w:vAlign w:val="center"/>
            <w:hideMark/>
          </w:tcPr>
          <w:p w14:paraId="61A6884F"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Rumex </w:t>
            </w:r>
            <w:proofErr w:type="spellStart"/>
            <w:r>
              <w:rPr>
                <w:rFonts w:eastAsia="Times New Roman" w:cs="Calibri"/>
                <w:i/>
                <w:iCs/>
                <w:noProof w:val="0"/>
                <w:sz w:val="14"/>
                <w:szCs w:val="14"/>
              </w:rPr>
              <w:t>acetosa</w:t>
            </w:r>
            <w:proofErr w:type="spellEnd"/>
            <w:r>
              <w:rPr>
                <w:rFonts w:eastAsia="Times New Roman" w:cs="Calibri"/>
                <w:i/>
                <w:iCs/>
                <w:noProof w:val="0"/>
                <w:sz w:val="14"/>
                <w:szCs w:val="14"/>
              </w:rPr>
              <w:t xml:space="preserve"> </w:t>
            </w:r>
            <w:r>
              <w:rPr>
                <w:rFonts w:eastAsia="Times New Roman" w:cs="Calibri"/>
                <w:noProof w:val="0"/>
                <w:sz w:val="14"/>
                <w:szCs w:val="14"/>
              </w:rPr>
              <w:t>t. (mainly</w:t>
            </w:r>
            <w:r>
              <w:rPr>
                <w:rFonts w:eastAsia="Times New Roman" w:cs="Calibri"/>
                <w:i/>
                <w:iCs/>
                <w:noProof w:val="0"/>
                <w:sz w:val="14"/>
                <w:szCs w:val="14"/>
              </w:rPr>
              <w:t xml:space="preserve"> R. </w:t>
            </w:r>
            <w:proofErr w:type="spellStart"/>
            <w:r>
              <w:rPr>
                <w:rFonts w:eastAsia="Times New Roman" w:cs="Calibri"/>
                <w:i/>
                <w:iCs/>
                <w:noProof w:val="0"/>
                <w:sz w:val="14"/>
                <w:szCs w:val="14"/>
              </w:rPr>
              <w:t>acetosa</w:t>
            </w:r>
            <w:proofErr w:type="spellEnd"/>
            <w:r>
              <w:rPr>
                <w:rFonts w:eastAsia="Times New Roman" w:cs="Calibri"/>
                <w:i/>
                <w:iCs/>
                <w:noProof w:val="0"/>
                <w:sz w:val="14"/>
                <w:szCs w:val="14"/>
              </w:rPr>
              <w:t xml:space="preserve"> </w:t>
            </w:r>
            <w:r>
              <w:rPr>
                <w:rFonts w:eastAsia="Times New Roman" w:cs="Calibri"/>
                <w:noProof w:val="0"/>
                <w:sz w:val="14"/>
                <w:szCs w:val="14"/>
              </w:rPr>
              <w:t>and</w:t>
            </w:r>
            <w:r>
              <w:rPr>
                <w:rFonts w:eastAsia="Times New Roman" w:cs="Calibri"/>
                <w:i/>
                <w:iCs/>
                <w:noProof w:val="0"/>
                <w:sz w:val="14"/>
                <w:szCs w:val="14"/>
              </w:rPr>
              <w:t xml:space="preserve"> R. acetosella)</w:t>
            </w:r>
          </w:p>
        </w:tc>
        <w:tc>
          <w:tcPr>
            <w:tcW w:w="230" w:type="pct"/>
            <w:shd w:val="clear" w:color="auto" w:fill="FFFFFF"/>
            <w:noWrap/>
            <w:vAlign w:val="center"/>
            <w:hideMark/>
          </w:tcPr>
          <w:p w14:paraId="4CC83024"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36EBAF11"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0AA7FECA"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4.74 (0.83)</w:t>
            </w:r>
          </w:p>
        </w:tc>
        <w:tc>
          <w:tcPr>
            <w:tcW w:w="369" w:type="pct"/>
            <w:shd w:val="clear" w:color="auto" w:fill="FFFFFF"/>
            <w:noWrap/>
            <w:vAlign w:val="center"/>
            <w:hideMark/>
          </w:tcPr>
          <w:p w14:paraId="69E6362A"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0.13 (0.004)</w:t>
            </w:r>
            <w:r>
              <w:rPr>
                <w:rFonts w:eastAsia="Times New Roman" w:cs="Calibri"/>
                <w:noProof w:val="0"/>
                <w:sz w:val="14"/>
                <w:szCs w:val="14"/>
                <w:vertAlign w:val="superscript"/>
              </w:rPr>
              <w:t>1,2</w:t>
            </w:r>
          </w:p>
        </w:tc>
        <w:tc>
          <w:tcPr>
            <w:tcW w:w="230" w:type="pct"/>
            <w:shd w:val="clear" w:color="auto" w:fill="FFFFFF"/>
            <w:noWrap/>
            <w:vAlign w:val="center"/>
            <w:hideMark/>
          </w:tcPr>
          <w:p w14:paraId="3FB8DE99"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3240584B"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987FE60"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21368D82"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44DF658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4946D9D0"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1.56 (0.09)</w:t>
            </w:r>
          </w:p>
        </w:tc>
        <w:tc>
          <w:tcPr>
            <w:tcW w:w="368" w:type="pct"/>
            <w:shd w:val="clear" w:color="auto" w:fill="FFFFFF"/>
            <w:noWrap/>
            <w:vAlign w:val="center"/>
            <w:hideMark/>
          </w:tcPr>
          <w:p w14:paraId="3E1EDE60" w14:textId="77777777" w:rsidR="004653D0" w:rsidRDefault="004653D0">
            <w:pPr>
              <w:rPr>
                <w:rFonts w:eastAsia="Times New Roman" w:cs="Calibri"/>
                <w:noProof w:val="0"/>
                <w:sz w:val="14"/>
                <w:szCs w:val="14"/>
              </w:rPr>
            </w:pPr>
          </w:p>
        </w:tc>
        <w:tc>
          <w:tcPr>
            <w:tcW w:w="198" w:type="pct"/>
            <w:shd w:val="clear" w:color="auto" w:fill="FFFFFF"/>
            <w:noWrap/>
            <w:vAlign w:val="center"/>
            <w:hideMark/>
          </w:tcPr>
          <w:p w14:paraId="4145CC3C"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2DB8FEF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2.76 (0.022) </w:t>
            </w:r>
            <w:r>
              <w:rPr>
                <w:rFonts w:eastAsia="Times New Roman" w:cs="Calibri"/>
                <w:noProof w:val="0"/>
                <w:sz w:val="14"/>
                <w:szCs w:val="14"/>
                <w:vertAlign w:val="superscript"/>
              </w:rPr>
              <w:t>3</w:t>
            </w:r>
          </w:p>
        </w:tc>
        <w:tc>
          <w:tcPr>
            <w:tcW w:w="253" w:type="pct"/>
            <w:shd w:val="clear" w:color="auto" w:fill="FFFFFF"/>
            <w:noWrap/>
            <w:vAlign w:val="center"/>
            <w:hideMark/>
          </w:tcPr>
          <w:p w14:paraId="2D19925C" w14:textId="77777777" w:rsidR="004653D0" w:rsidRDefault="004653D0">
            <w:pPr>
              <w:rPr>
                <w:rFonts w:eastAsia="Times New Roman" w:cs="Calibri"/>
                <w:noProof w:val="0"/>
                <w:sz w:val="14"/>
                <w:szCs w:val="14"/>
              </w:rPr>
            </w:pPr>
          </w:p>
        </w:tc>
        <w:tc>
          <w:tcPr>
            <w:tcW w:w="206" w:type="pct"/>
            <w:shd w:val="clear" w:color="auto" w:fill="FFFFFF"/>
            <w:noWrap/>
            <w:vAlign w:val="center"/>
            <w:hideMark/>
          </w:tcPr>
          <w:p w14:paraId="4910A458" w14:textId="77777777" w:rsidR="004653D0" w:rsidRDefault="004653D0">
            <w:pPr>
              <w:spacing w:line="240" w:lineRule="auto"/>
              <w:jc w:val="left"/>
              <w:rPr>
                <w:rFonts w:ascii="Calibri" w:hAnsi="Calibri" w:cs="Calibri"/>
                <w:noProof w:val="0"/>
                <w:color w:val="auto"/>
                <w:lang w:val="en-GB" w:eastAsia="en-GB"/>
              </w:rPr>
            </w:pPr>
          </w:p>
        </w:tc>
      </w:tr>
      <w:tr w:rsidR="004653D0" w14:paraId="5BA3F9EE" w14:textId="77777777" w:rsidTr="004653D0">
        <w:trPr>
          <w:jc w:val="center"/>
        </w:trPr>
        <w:tc>
          <w:tcPr>
            <w:tcW w:w="1105" w:type="pct"/>
            <w:shd w:val="clear" w:color="auto" w:fill="FFFFFF"/>
            <w:noWrap/>
            <w:vAlign w:val="center"/>
            <w:hideMark/>
          </w:tcPr>
          <w:p w14:paraId="5518D47D"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Secale </w:t>
            </w:r>
            <w:r>
              <w:rPr>
                <w:rFonts w:eastAsia="Times New Roman" w:cs="Calibri"/>
                <w:i/>
                <w:noProof w:val="0"/>
                <w:sz w:val="14"/>
                <w:szCs w:val="14"/>
              </w:rPr>
              <w:t>cereale</w:t>
            </w:r>
          </w:p>
        </w:tc>
        <w:tc>
          <w:tcPr>
            <w:tcW w:w="230" w:type="pct"/>
            <w:shd w:val="clear" w:color="auto" w:fill="FFFFFF"/>
            <w:noWrap/>
            <w:vAlign w:val="center"/>
            <w:hideMark/>
          </w:tcPr>
          <w:p w14:paraId="349CADC8"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79C39A7C"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600A762A"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3.02 (0.05)</w:t>
            </w:r>
          </w:p>
        </w:tc>
        <w:tc>
          <w:tcPr>
            <w:tcW w:w="369" w:type="pct"/>
            <w:shd w:val="clear" w:color="auto" w:fill="FFFFFF"/>
            <w:noWrap/>
            <w:vAlign w:val="center"/>
            <w:hideMark/>
          </w:tcPr>
          <w:p w14:paraId="0C64117D"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75FF8EEC"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81ADB82"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963FA18"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3B7E4BD4"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772FC713"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EF5138B"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1AFBAE37"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44572B0E"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4.08 (0.96) </w:t>
            </w:r>
            <w:r>
              <w:rPr>
                <w:rFonts w:eastAsia="Times New Roman" w:cs="Calibri"/>
                <w:noProof w:val="0"/>
                <w:sz w:val="14"/>
                <w:szCs w:val="14"/>
                <w:vertAlign w:val="superscript"/>
              </w:rPr>
              <w:t>3</w:t>
            </w:r>
          </w:p>
        </w:tc>
        <w:tc>
          <w:tcPr>
            <w:tcW w:w="246" w:type="pct"/>
            <w:shd w:val="clear" w:color="auto" w:fill="FFFFFF"/>
            <w:noWrap/>
            <w:vAlign w:val="center"/>
            <w:hideMark/>
          </w:tcPr>
          <w:p w14:paraId="5F1B7EF7"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4.87 (0.006) </w:t>
            </w:r>
            <w:r>
              <w:rPr>
                <w:rFonts w:eastAsia="Times New Roman" w:cs="Calibri"/>
                <w:noProof w:val="0"/>
                <w:sz w:val="14"/>
                <w:szCs w:val="14"/>
                <w:vertAlign w:val="superscript"/>
              </w:rPr>
              <w:t>3</w:t>
            </w:r>
          </w:p>
        </w:tc>
        <w:tc>
          <w:tcPr>
            <w:tcW w:w="253" w:type="pct"/>
            <w:shd w:val="clear" w:color="auto" w:fill="FFFFFF"/>
            <w:noWrap/>
            <w:vAlign w:val="center"/>
            <w:hideMark/>
          </w:tcPr>
          <w:p w14:paraId="3CE2C37D" w14:textId="77777777" w:rsidR="004653D0" w:rsidRDefault="004653D0">
            <w:pPr>
              <w:rPr>
                <w:rFonts w:eastAsia="Times New Roman" w:cs="Calibri"/>
                <w:noProof w:val="0"/>
                <w:sz w:val="14"/>
                <w:szCs w:val="14"/>
              </w:rPr>
            </w:pPr>
          </w:p>
        </w:tc>
        <w:tc>
          <w:tcPr>
            <w:tcW w:w="206" w:type="pct"/>
            <w:shd w:val="clear" w:color="auto" w:fill="FFFFFF"/>
            <w:noWrap/>
            <w:vAlign w:val="center"/>
            <w:hideMark/>
          </w:tcPr>
          <w:p w14:paraId="6272729E" w14:textId="77777777" w:rsidR="004653D0" w:rsidRDefault="004653D0">
            <w:pPr>
              <w:spacing w:line="240" w:lineRule="auto"/>
              <w:jc w:val="left"/>
              <w:rPr>
                <w:rFonts w:ascii="Calibri" w:hAnsi="Calibri" w:cs="Calibri"/>
                <w:noProof w:val="0"/>
                <w:color w:val="auto"/>
                <w:lang w:val="en-GB" w:eastAsia="en-GB"/>
              </w:rPr>
            </w:pPr>
          </w:p>
        </w:tc>
      </w:tr>
      <w:tr w:rsidR="004653D0" w14:paraId="04A02BB6" w14:textId="77777777" w:rsidTr="004653D0">
        <w:trPr>
          <w:jc w:val="center"/>
        </w:trPr>
        <w:tc>
          <w:tcPr>
            <w:tcW w:w="1105" w:type="pct"/>
            <w:shd w:val="clear" w:color="auto" w:fill="FFFFFF"/>
            <w:noWrap/>
            <w:vAlign w:val="center"/>
            <w:hideMark/>
          </w:tcPr>
          <w:p w14:paraId="3CB7F3D5"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Trollius (Trollius europaeus)</w:t>
            </w:r>
          </w:p>
        </w:tc>
        <w:tc>
          <w:tcPr>
            <w:tcW w:w="230" w:type="pct"/>
            <w:shd w:val="clear" w:color="auto" w:fill="FFFFFF"/>
            <w:noWrap/>
            <w:vAlign w:val="center"/>
            <w:hideMark/>
          </w:tcPr>
          <w:p w14:paraId="7811FA15"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64B3F14F"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663D634D"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5C17679F"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08EF3920"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C6F257D"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2.29 (0.36) </w:t>
            </w:r>
            <w:r>
              <w:rPr>
                <w:rFonts w:eastAsia="Times New Roman" w:cs="Calibri"/>
                <w:noProof w:val="0"/>
                <w:sz w:val="14"/>
                <w:szCs w:val="14"/>
                <w:vertAlign w:val="superscript"/>
              </w:rPr>
              <w:t>1,3</w:t>
            </w:r>
          </w:p>
        </w:tc>
        <w:tc>
          <w:tcPr>
            <w:tcW w:w="230" w:type="pct"/>
            <w:shd w:val="clear" w:color="auto" w:fill="FFFFFF"/>
            <w:noWrap/>
            <w:vAlign w:val="center"/>
            <w:hideMark/>
          </w:tcPr>
          <w:p w14:paraId="2EFE1456" w14:textId="77777777" w:rsidR="004653D0" w:rsidRDefault="004653D0">
            <w:pPr>
              <w:rPr>
                <w:rFonts w:eastAsia="Times New Roman" w:cs="Calibri"/>
                <w:noProof w:val="0"/>
                <w:color w:val="auto"/>
                <w:sz w:val="14"/>
                <w:szCs w:val="14"/>
              </w:rPr>
            </w:pPr>
          </w:p>
        </w:tc>
        <w:tc>
          <w:tcPr>
            <w:tcW w:w="322" w:type="pct"/>
            <w:shd w:val="clear" w:color="auto" w:fill="FFFFFF"/>
            <w:noWrap/>
            <w:vAlign w:val="center"/>
            <w:hideMark/>
          </w:tcPr>
          <w:p w14:paraId="645EFE9B"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2B5A7892"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48D040F8"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78595251"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15B7E0AB"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4A32C1AF"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183D2DF2"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7E184872" w14:textId="77777777" w:rsidR="004653D0" w:rsidRDefault="004653D0">
            <w:pPr>
              <w:spacing w:line="240" w:lineRule="auto"/>
              <w:jc w:val="left"/>
              <w:rPr>
                <w:rFonts w:ascii="Calibri" w:hAnsi="Calibri" w:cs="Calibri"/>
                <w:noProof w:val="0"/>
                <w:color w:val="auto"/>
                <w:lang w:val="en-GB" w:eastAsia="en-GB"/>
              </w:rPr>
            </w:pPr>
          </w:p>
        </w:tc>
      </w:tr>
      <w:tr w:rsidR="004653D0" w14:paraId="0ACE948B" w14:textId="77777777" w:rsidTr="004653D0">
        <w:trPr>
          <w:jc w:val="center"/>
        </w:trPr>
        <w:tc>
          <w:tcPr>
            <w:tcW w:w="1105" w:type="pct"/>
            <w:shd w:val="clear" w:color="auto" w:fill="FFFFFF"/>
            <w:noWrap/>
            <w:vAlign w:val="center"/>
            <w:hideMark/>
          </w:tcPr>
          <w:p w14:paraId="0FB9A6FC"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Urtica (</w:t>
            </w:r>
            <w:r>
              <w:rPr>
                <w:rFonts w:eastAsia="Times New Roman" w:cs="Calibri"/>
                <w:noProof w:val="0"/>
                <w:sz w:val="14"/>
                <w:szCs w:val="14"/>
              </w:rPr>
              <w:t xml:space="preserve">mainly </w:t>
            </w:r>
            <w:r>
              <w:rPr>
                <w:rFonts w:eastAsia="Times New Roman" w:cs="Calibri"/>
                <w:i/>
                <w:iCs/>
                <w:noProof w:val="0"/>
                <w:sz w:val="14"/>
                <w:szCs w:val="14"/>
              </w:rPr>
              <w:t>U. dioica)</w:t>
            </w:r>
          </w:p>
        </w:tc>
        <w:tc>
          <w:tcPr>
            <w:tcW w:w="230" w:type="pct"/>
            <w:shd w:val="clear" w:color="auto" w:fill="FFFFFF"/>
            <w:noWrap/>
            <w:vAlign w:val="center"/>
            <w:hideMark/>
          </w:tcPr>
          <w:p w14:paraId="6047B80F"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3A6CFF3A"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02881D81"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3AE091A4"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44007C3"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776A3C0"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D74C368"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10.52 (0.31) </w:t>
            </w:r>
            <w:r>
              <w:rPr>
                <w:rFonts w:eastAsia="Times New Roman" w:cs="Calibri"/>
                <w:noProof w:val="0"/>
                <w:sz w:val="14"/>
                <w:szCs w:val="14"/>
                <w:vertAlign w:val="superscript"/>
              </w:rPr>
              <w:t>1,3</w:t>
            </w:r>
          </w:p>
        </w:tc>
        <w:tc>
          <w:tcPr>
            <w:tcW w:w="322" w:type="pct"/>
            <w:shd w:val="clear" w:color="auto" w:fill="FFFFFF"/>
            <w:noWrap/>
            <w:vAlign w:val="center"/>
            <w:hideMark/>
          </w:tcPr>
          <w:p w14:paraId="637951A2" w14:textId="77777777" w:rsidR="004653D0" w:rsidRDefault="004653D0">
            <w:pPr>
              <w:rPr>
                <w:rFonts w:eastAsia="Times New Roman" w:cs="Calibri"/>
                <w:noProof w:val="0"/>
                <w:sz w:val="14"/>
                <w:szCs w:val="14"/>
              </w:rPr>
            </w:pPr>
          </w:p>
        </w:tc>
        <w:tc>
          <w:tcPr>
            <w:tcW w:w="231" w:type="pct"/>
            <w:shd w:val="clear" w:color="auto" w:fill="FFFFFF"/>
            <w:noWrap/>
            <w:vAlign w:val="center"/>
            <w:hideMark/>
          </w:tcPr>
          <w:p w14:paraId="403DA06C"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74030A5"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1496E284"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7B7C9ABF"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76498573"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7D91748D"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50313517" w14:textId="77777777" w:rsidR="004653D0" w:rsidRDefault="004653D0">
            <w:pPr>
              <w:spacing w:line="240" w:lineRule="auto"/>
              <w:jc w:val="left"/>
              <w:rPr>
                <w:rFonts w:ascii="Calibri" w:hAnsi="Calibri" w:cs="Calibri"/>
                <w:noProof w:val="0"/>
                <w:color w:val="auto"/>
                <w:lang w:val="en-GB" w:eastAsia="en-GB"/>
              </w:rPr>
            </w:pPr>
          </w:p>
        </w:tc>
      </w:tr>
      <w:tr w:rsidR="004653D0" w14:paraId="2482CE2B" w14:textId="77777777" w:rsidTr="004653D0">
        <w:trPr>
          <w:jc w:val="center"/>
        </w:trPr>
        <w:tc>
          <w:tcPr>
            <w:tcW w:w="1105" w:type="pct"/>
            <w:shd w:val="clear" w:color="auto" w:fill="FFFFFF"/>
            <w:noWrap/>
            <w:vAlign w:val="center"/>
            <w:hideMark/>
          </w:tcPr>
          <w:p w14:paraId="32253C2A"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Vaccinium (</w:t>
            </w:r>
            <w:proofErr w:type="spellStart"/>
            <w:r>
              <w:rPr>
                <w:rFonts w:eastAsia="Times New Roman" w:cs="Calibri"/>
                <w:i/>
                <w:iCs/>
                <w:noProof w:val="0"/>
                <w:sz w:val="14"/>
                <w:szCs w:val="14"/>
              </w:rPr>
              <w:t>Vaccinum</w:t>
            </w:r>
            <w:proofErr w:type="spellEnd"/>
            <w:r>
              <w:rPr>
                <w:rFonts w:eastAsia="Times New Roman" w:cs="Calibri"/>
                <w:i/>
                <w:iCs/>
                <w:noProof w:val="0"/>
                <w:sz w:val="14"/>
                <w:szCs w:val="14"/>
              </w:rPr>
              <w:t xml:space="preserve"> spp.)</w:t>
            </w:r>
          </w:p>
        </w:tc>
        <w:tc>
          <w:tcPr>
            <w:tcW w:w="230" w:type="pct"/>
            <w:shd w:val="clear" w:color="auto" w:fill="FFFFFF"/>
            <w:noWrap/>
            <w:vAlign w:val="center"/>
            <w:hideMark/>
          </w:tcPr>
          <w:p w14:paraId="5981DC6A"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0.01 (0.01) </w:t>
            </w:r>
            <w:r>
              <w:rPr>
                <w:rFonts w:eastAsia="Times New Roman" w:cs="Calibri"/>
                <w:noProof w:val="0"/>
                <w:sz w:val="14"/>
                <w:szCs w:val="14"/>
                <w:vertAlign w:val="superscript"/>
              </w:rPr>
              <w:t>1,2,3</w:t>
            </w:r>
          </w:p>
        </w:tc>
        <w:tc>
          <w:tcPr>
            <w:tcW w:w="276" w:type="pct"/>
            <w:shd w:val="clear" w:color="auto" w:fill="FFFFFF"/>
            <w:noWrap/>
            <w:vAlign w:val="center"/>
            <w:hideMark/>
          </w:tcPr>
          <w:p w14:paraId="65F1C172" w14:textId="77777777" w:rsidR="004653D0" w:rsidRDefault="004653D0">
            <w:pPr>
              <w:rPr>
                <w:rFonts w:eastAsia="Times New Roman" w:cs="Calibri"/>
                <w:noProof w:val="0"/>
                <w:sz w:val="14"/>
                <w:szCs w:val="14"/>
              </w:rPr>
            </w:pPr>
          </w:p>
        </w:tc>
        <w:tc>
          <w:tcPr>
            <w:tcW w:w="276" w:type="pct"/>
            <w:shd w:val="clear" w:color="auto" w:fill="FFFFFF"/>
            <w:noWrap/>
            <w:vAlign w:val="center"/>
            <w:hideMark/>
          </w:tcPr>
          <w:p w14:paraId="069724AF"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6F67011F"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DA30144"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174630C"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90898ED"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59DFA692"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74060D39"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73629E9"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63F2A031"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6DF85BC1"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6BE4E0CA"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469091F4"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333C1F20" w14:textId="77777777" w:rsidR="004653D0" w:rsidRDefault="004653D0">
            <w:pPr>
              <w:spacing w:line="240" w:lineRule="auto"/>
              <w:jc w:val="left"/>
              <w:rPr>
                <w:rFonts w:ascii="Calibri" w:hAnsi="Calibri" w:cs="Calibri"/>
                <w:noProof w:val="0"/>
                <w:color w:val="auto"/>
                <w:lang w:val="en-GB" w:eastAsia="en-GB"/>
              </w:rPr>
            </w:pPr>
          </w:p>
        </w:tc>
      </w:tr>
      <w:tr w:rsidR="004653D0" w14:paraId="7AB87775" w14:textId="77777777" w:rsidTr="004653D0">
        <w:trPr>
          <w:jc w:val="center"/>
        </w:trPr>
        <w:tc>
          <w:tcPr>
            <w:tcW w:w="1105" w:type="pct"/>
            <w:shd w:val="clear" w:color="auto" w:fill="BFBFBF"/>
            <w:noWrap/>
            <w:vAlign w:val="center"/>
            <w:hideMark/>
          </w:tcPr>
          <w:p w14:paraId="492BFC4C" w14:textId="77777777" w:rsidR="004653D0" w:rsidRDefault="004653D0">
            <w:pPr>
              <w:autoSpaceDE w:val="0"/>
              <w:autoSpaceDN w:val="0"/>
              <w:adjustRightInd w:val="0"/>
              <w:snapToGrid w:val="0"/>
              <w:spacing w:line="240" w:lineRule="auto"/>
              <w:jc w:val="left"/>
              <w:rPr>
                <w:rFonts w:eastAsia="Times New Roman" w:cs="Calibri"/>
                <w:noProof w:val="0"/>
                <w:sz w:val="14"/>
                <w:szCs w:val="14"/>
              </w:rPr>
            </w:pPr>
            <w:r>
              <w:rPr>
                <w:rFonts w:eastAsia="Times New Roman" w:cs="Calibri"/>
                <w:noProof w:val="0"/>
                <w:sz w:val="14"/>
                <w:szCs w:val="14"/>
              </w:rPr>
              <w:t>Tree taxa</w:t>
            </w:r>
          </w:p>
        </w:tc>
        <w:tc>
          <w:tcPr>
            <w:tcW w:w="230" w:type="pct"/>
            <w:shd w:val="clear" w:color="auto" w:fill="BFBFBF"/>
            <w:noWrap/>
            <w:vAlign w:val="center"/>
            <w:hideMark/>
          </w:tcPr>
          <w:p w14:paraId="377ABDAF" w14:textId="77777777" w:rsidR="004653D0" w:rsidRDefault="004653D0">
            <w:pPr>
              <w:rPr>
                <w:rFonts w:eastAsia="Times New Roman" w:cs="Calibri"/>
                <w:noProof w:val="0"/>
                <w:sz w:val="14"/>
                <w:szCs w:val="14"/>
              </w:rPr>
            </w:pPr>
          </w:p>
        </w:tc>
        <w:tc>
          <w:tcPr>
            <w:tcW w:w="276" w:type="pct"/>
            <w:shd w:val="clear" w:color="auto" w:fill="BFBFBF"/>
            <w:noWrap/>
            <w:vAlign w:val="center"/>
            <w:hideMark/>
          </w:tcPr>
          <w:p w14:paraId="7ACBC6C0"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BFBFBF"/>
            <w:noWrap/>
            <w:vAlign w:val="center"/>
            <w:hideMark/>
          </w:tcPr>
          <w:p w14:paraId="7694AE54"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BFBFBF"/>
            <w:noWrap/>
            <w:vAlign w:val="center"/>
            <w:hideMark/>
          </w:tcPr>
          <w:p w14:paraId="40F0D303"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BFBFBF"/>
            <w:noWrap/>
            <w:vAlign w:val="center"/>
            <w:hideMark/>
          </w:tcPr>
          <w:p w14:paraId="71DBF5B9"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BFBFBF"/>
            <w:noWrap/>
            <w:vAlign w:val="center"/>
            <w:hideMark/>
          </w:tcPr>
          <w:p w14:paraId="1E6EC00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BFBFBF"/>
            <w:noWrap/>
            <w:vAlign w:val="center"/>
            <w:hideMark/>
          </w:tcPr>
          <w:p w14:paraId="19C9B645"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BFBFBF"/>
            <w:noWrap/>
            <w:vAlign w:val="center"/>
            <w:hideMark/>
          </w:tcPr>
          <w:p w14:paraId="6A6233DB"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BFBFBF"/>
            <w:noWrap/>
            <w:vAlign w:val="center"/>
            <w:hideMark/>
          </w:tcPr>
          <w:p w14:paraId="546C3AA4"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BFBFBF"/>
            <w:noWrap/>
            <w:vAlign w:val="center"/>
            <w:hideMark/>
          </w:tcPr>
          <w:p w14:paraId="57127680"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BFBFBF"/>
            <w:noWrap/>
            <w:vAlign w:val="center"/>
            <w:hideMark/>
          </w:tcPr>
          <w:p w14:paraId="7A58ECEE"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BFBFBF"/>
            <w:noWrap/>
            <w:vAlign w:val="center"/>
            <w:hideMark/>
          </w:tcPr>
          <w:p w14:paraId="40865DE6"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BFBFBF"/>
            <w:noWrap/>
            <w:vAlign w:val="center"/>
            <w:hideMark/>
          </w:tcPr>
          <w:p w14:paraId="7DCD08B5"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BFBFBF"/>
            <w:noWrap/>
            <w:vAlign w:val="center"/>
            <w:hideMark/>
          </w:tcPr>
          <w:p w14:paraId="3DD404E2"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BFBFBF"/>
            <w:noWrap/>
            <w:vAlign w:val="center"/>
            <w:hideMark/>
          </w:tcPr>
          <w:p w14:paraId="09CC3922" w14:textId="77777777" w:rsidR="004653D0" w:rsidRDefault="004653D0">
            <w:pPr>
              <w:spacing w:line="240" w:lineRule="auto"/>
              <w:jc w:val="left"/>
              <w:rPr>
                <w:rFonts w:ascii="Calibri" w:hAnsi="Calibri" w:cs="Calibri"/>
                <w:noProof w:val="0"/>
                <w:color w:val="auto"/>
                <w:lang w:val="en-GB" w:eastAsia="en-GB"/>
              </w:rPr>
            </w:pPr>
          </w:p>
        </w:tc>
      </w:tr>
      <w:tr w:rsidR="004653D0" w14:paraId="60986393" w14:textId="77777777" w:rsidTr="004653D0">
        <w:trPr>
          <w:jc w:val="center"/>
        </w:trPr>
        <w:tc>
          <w:tcPr>
            <w:tcW w:w="1105" w:type="pct"/>
            <w:shd w:val="clear" w:color="auto" w:fill="FFFFFF"/>
            <w:noWrap/>
            <w:vAlign w:val="center"/>
            <w:hideMark/>
          </w:tcPr>
          <w:p w14:paraId="11CBC6DB"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Abies (A. alba)</w:t>
            </w:r>
          </w:p>
        </w:tc>
        <w:tc>
          <w:tcPr>
            <w:tcW w:w="230" w:type="pct"/>
            <w:shd w:val="clear" w:color="auto" w:fill="FFFFFF"/>
            <w:noWrap/>
            <w:vAlign w:val="center"/>
            <w:hideMark/>
          </w:tcPr>
          <w:p w14:paraId="51988311"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62E91644"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2308088B"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063C8E2C"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C26E102"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A92FE50"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3.83 (0.37)</w:t>
            </w:r>
          </w:p>
        </w:tc>
        <w:tc>
          <w:tcPr>
            <w:tcW w:w="230" w:type="pct"/>
            <w:shd w:val="clear" w:color="auto" w:fill="FFFFFF"/>
            <w:noWrap/>
            <w:vAlign w:val="center"/>
            <w:hideMark/>
          </w:tcPr>
          <w:p w14:paraId="5433352D" w14:textId="77777777" w:rsidR="004653D0" w:rsidRDefault="004653D0">
            <w:pPr>
              <w:rPr>
                <w:rFonts w:eastAsia="Times New Roman" w:cs="Calibri"/>
                <w:noProof w:val="0"/>
                <w:sz w:val="14"/>
                <w:szCs w:val="14"/>
              </w:rPr>
            </w:pPr>
          </w:p>
        </w:tc>
        <w:tc>
          <w:tcPr>
            <w:tcW w:w="322" w:type="pct"/>
            <w:shd w:val="clear" w:color="auto" w:fill="FFFFFF"/>
            <w:noWrap/>
            <w:vAlign w:val="center"/>
            <w:hideMark/>
          </w:tcPr>
          <w:p w14:paraId="4B8BF1B0"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52C3CDD2"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CBBC5CF"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0AA06BD9"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9.92 (2.86)</w:t>
            </w:r>
          </w:p>
        </w:tc>
        <w:tc>
          <w:tcPr>
            <w:tcW w:w="198" w:type="pct"/>
            <w:shd w:val="clear" w:color="auto" w:fill="FFFFFF"/>
            <w:noWrap/>
            <w:vAlign w:val="center"/>
            <w:hideMark/>
          </w:tcPr>
          <w:p w14:paraId="4756088C" w14:textId="77777777" w:rsidR="004653D0" w:rsidRDefault="004653D0">
            <w:pPr>
              <w:rPr>
                <w:rFonts w:eastAsia="Times New Roman" w:cs="Calibri"/>
                <w:noProof w:val="0"/>
                <w:sz w:val="14"/>
                <w:szCs w:val="14"/>
              </w:rPr>
            </w:pPr>
          </w:p>
        </w:tc>
        <w:tc>
          <w:tcPr>
            <w:tcW w:w="246" w:type="pct"/>
            <w:shd w:val="clear" w:color="auto" w:fill="FFFFFF"/>
            <w:noWrap/>
            <w:vAlign w:val="center"/>
            <w:hideMark/>
          </w:tcPr>
          <w:p w14:paraId="4A92BCD9"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7A63B070"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5D74B032" w14:textId="77777777" w:rsidR="004653D0" w:rsidRDefault="004653D0">
            <w:pPr>
              <w:spacing w:line="240" w:lineRule="auto"/>
              <w:jc w:val="left"/>
              <w:rPr>
                <w:rFonts w:ascii="Calibri" w:hAnsi="Calibri" w:cs="Calibri"/>
                <w:noProof w:val="0"/>
                <w:color w:val="auto"/>
                <w:lang w:val="en-GB" w:eastAsia="en-GB"/>
              </w:rPr>
            </w:pPr>
          </w:p>
        </w:tc>
      </w:tr>
      <w:tr w:rsidR="004653D0" w14:paraId="52F3EAAC" w14:textId="77777777" w:rsidTr="004653D0">
        <w:trPr>
          <w:jc w:val="center"/>
        </w:trPr>
        <w:tc>
          <w:tcPr>
            <w:tcW w:w="1105" w:type="pct"/>
            <w:shd w:val="clear" w:color="auto" w:fill="FFFFFF"/>
            <w:noWrap/>
            <w:vAlign w:val="center"/>
            <w:hideMark/>
          </w:tcPr>
          <w:p w14:paraId="5130F071"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lang w:val="fr-FR"/>
              </w:rPr>
            </w:pPr>
            <w:r>
              <w:rPr>
                <w:rFonts w:eastAsia="Times New Roman" w:cs="Calibri"/>
                <w:i/>
                <w:iCs/>
                <w:noProof w:val="0"/>
                <w:sz w:val="14"/>
                <w:szCs w:val="14"/>
                <w:lang w:val="fr-FR"/>
              </w:rPr>
              <w:t xml:space="preserve">Acer (A. </w:t>
            </w:r>
            <w:proofErr w:type="spellStart"/>
            <w:r>
              <w:rPr>
                <w:rFonts w:eastAsia="Times New Roman" w:cs="Calibri"/>
                <w:i/>
                <w:iCs/>
                <w:noProof w:val="0"/>
                <w:sz w:val="14"/>
                <w:szCs w:val="14"/>
                <w:lang w:val="fr-FR"/>
              </w:rPr>
              <w:t>spp</w:t>
            </w:r>
            <w:proofErr w:type="spellEnd"/>
            <w:r>
              <w:rPr>
                <w:rFonts w:eastAsia="Times New Roman" w:cs="Calibri"/>
                <w:i/>
                <w:iCs/>
                <w:noProof w:val="0"/>
                <w:sz w:val="14"/>
                <w:szCs w:val="14"/>
                <w:lang w:val="fr-FR"/>
              </w:rPr>
              <w:t xml:space="preserve">., A. </w:t>
            </w:r>
            <w:proofErr w:type="spellStart"/>
            <w:r>
              <w:rPr>
                <w:rFonts w:eastAsia="Times New Roman" w:cs="Calibri"/>
                <w:i/>
                <w:iCs/>
                <w:noProof w:val="0"/>
                <w:sz w:val="14"/>
                <w:szCs w:val="14"/>
                <w:lang w:val="fr-FR"/>
              </w:rPr>
              <w:t>platanoides</w:t>
            </w:r>
            <w:proofErr w:type="spellEnd"/>
            <w:r>
              <w:rPr>
                <w:rFonts w:eastAsia="Times New Roman" w:cs="Calibri"/>
                <w:i/>
                <w:iCs/>
                <w:noProof w:val="0"/>
                <w:sz w:val="14"/>
                <w:szCs w:val="14"/>
                <w:lang w:val="fr-FR"/>
              </w:rPr>
              <w:t xml:space="preserve">, A. </w:t>
            </w:r>
            <w:proofErr w:type="spellStart"/>
            <w:r>
              <w:rPr>
                <w:rFonts w:eastAsia="Times New Roman" w:cs="Calibri"/>
                <w:i/>
                <w:iCs/>
                <w:noProof w:val="0"/>
                <w:sz w:val="14"/>
                <w:szCs w:val="14"/>
                <w:lang w:val="fr-FR"/>
              </w:rPr>
              <w:t>pseudoplatanus</w:t>
            </w:r>
            <w:proofErr w:type="spellEnd"/>
            <w:r>
              <w:rPr>
                <w:rFonts w:eastAsia="Times New Roman" w:cs="Calibri"/>
                <w:i/>
                <w:iCs/>
                <w:noProof w:val="0"/>
                <w:sz w:val="14"/>
                <w:szCs w:val="14"/>
                <w:lang w:val="fr-FR"/>
              </w:rPr>
              <w:t xml:space="preserve">, A. </w:t>
            </w:r>
            <w:proofErr w:type="spellStart"/>
            <w:r>
              <w:rPr>
                <w:rFonts w:eastAsia="Times New Roman" w:cs="Calibri"/>
                <w:i/>
                <w:iCs/>
                <w:noProof w:val="0"/>
                <w:sz w:val="14"/>
                <w:szCs w:val="14"/>
                <w:lang w:val="fr-FR"/>
              </w:rPr>
              <w:t>tataricum</w:t>
            </w:r>
            <w:proofErr w:type="spellEnd"/>
            <w:r>
              <w:rPr>
                <w:rFonts w:eastAsia="Times New Roman" w:cs="Calibri"/>
                <w:i/>
                <w:iCs/>
                <w:noProof w:val="0"/>
                <w:sz w:val="14"/>
                <w:szCs w:val="14"/>
                <w:lang w:val="fr-FR"/>
              </w:rPr>
              <w:t xml:space="preserve">) </w:t>
            </w:r>
          </w:p>
        </w:tc>
        <w:tc>
          <w:tcPr>
            <w:tcW w:w="230" w:type="pct"/>
            <w:shd w:val="clear" w:color="auto" w:fill="FFFFFF"/>
            <w:noWrap/>
            <w:vAlign w:val="center"/>
            <w:hideMark/>
          </w:tcPr>
          <w:p w14:paraId="5D850A6C" w14:textId="77777777" w:rsidR="004653D0" w:rsidRDefault="004653D0">
            <w:pPr>
              <w:rPr>
                <w:rFonts w:eastAsia="Times New Roman" w:cs="Calibri"/>
                <w:i/>
                <w:iCs/>
                <w:noProof w:val="0"/>
                <w:sz w:val="14"/>
                <w:szCs w:val="14"/>
                <w:lang w:val="fr-FR"/>
              </w:rPr>
            </w:pPr>
          </w:p>
        </w:tc>
        <w:tc>
          <w:tcPr>
            <w:tcW w:w="276" w:type="pct"/>
            <w:shd w:val="clear" w:color="auto" w:fill="FFFFFF"/>
            <w:noWrap/>
            <w:vAlign w:val="center"/>
            <w:hideMark/>
          </w:tcPr>
          <w:p w14:paraId="53EDB63D"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6175164E"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1.27 (0.45)</w:t>
            </w:r>
            <w:r>
              <w:rPr>
                <w:rFonts w:eastAsia="Times New Roman" w:cs="Calibri"/>
                <w:noProof w:val="0"/>
                <w:sz w:val="14"/>
                <w:szCs w:val="14"/>
                <w:vertAlign w:val="superscript"/>
              </w:rPr>
              <w:t>1,3</w:t>
            </w:r>
          </w:p>
        </w:tc>
        <w:tc>
          <w:tcPr>
            <w:tcW w:w="369" w:type="pct"/>
            <w:shd w:val="clear" w:color="auto" w:fill="FFFFFF"/>
            <w:noWrap/>
            <w:vAlign w:val="center"/>
            <w:hideMark/>
          </w:tcPr>
          <w:p w14:paraId="63E58780"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778C192E"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4AEF830"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0.32 (0.10)</w:t>
            </w:r>
            <w:r>
              <w:rPr>
                <w:rFonts w:eastAsia="Times New Roman" w:cs="Calibri"/>
                <w:noProof w:val="0"/>
                <w:sz w:val="14"/>
                <w:szCs w:val="14"/>
                <w:vertAlign w:val="superscript"/>
              </w:rPr>
              <w:t>1,3</w:t>
            </w:r>
          </w:p>
        </w:tc>
        <w:tc>
          <w:tcPr>
            <w:tcW w:w="230" w:type="pct"/>
            <w:shd w:val="clear" w:color="auto" w:fill="FFFFFF"/>
            <w:noWrap/>
            <w:vAlign w:val="center"/>
            <w:hideMark/>
          </w:tcPr>
          <w:p w14:paraId="57743AA7" w14:textId="77777777" w:rsidR="004653D0" w:rsidRDefault="004653D0">
            <w:pPr>
              <w:rPr>
                <w:rFonts w:eastAsia="Times New Roman" w:cs="Calibri"/>
                <w:noProof w:val="0"/>
                <w:color w:val="auto"/>
                <w:sz w:val="14"/>
                <w:szCs w:val="14"/>
              </w:rPr>
            </w:pPr>
          </w:p>
        </w:tc>
        <w:tc>
          <w:tcPr>
            <w:tcW w:w="322" w:type="pct"/>
            <w:shd w:val="clear" w:color="auto" w:fill="FFFFFF"/>
            <w:noWrap/>
            <w:vAlign w:val="center"/>
            <w:hideMark/>
          </w:tcPr>
          <w:p w14:paraId="20FB041E"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58D9B881"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3882340"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08BD27CB"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5BAC4C8B"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7C015A5E"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5AF4BB3D"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79BFECFF"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0.3 (0.09) </w:t>
            </w:r>
            <w:r>
              <w:rPr>
                <w:rFonts w:eastAsia="Times New Roman" w:cs="Calibri"/>
                <w:noProof w:val="0"/>
                <w:sz w:val="14"/>
                <w:szCs w:val="14"/>
                <w:vertAlign w:val="superscript"/>
              </w:rPr>
              <w:t>1,3</w:t>
            </w:r>
          </w:p>
        </w:tc>
      </w:tr>
      <w:tr w:rsidR="004653D0" w14:paraId="39FE4047" w14:textId="77777777" w:rsidTr="004653D0">
        <w:trPr>
          <w:jc w:val="center"/>
        </w:trPr>
        <w:tc>
          <w:tcPr>
            <w:tcW w:w="1105" w:type="pct"/>
            <w:shd w:val="clear" w:color="auto" w:fill="FFFFFF"/>
            <w:noWrap/>
            <w:vAlign w:val="center"/>
            <w:hideMark/>
          </w:tcPr>
          <w:p w14:paraId="727EA205"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Alnus (A. spp.)</w:t>
            </w:r>
          </w:p>
        </w:tc>
        <w:tc>
          <w:tcPr>
            <w:tcW w:w="230" w:type="pct"/>
            <w:shd w:val="clear" w:color="auto" w:fill="FFFFFF"/>
            <w:noWrap/>
            <w:vAlign w:val="center"/>
            <w:hideMark/>
          </w:tcPr>
          <w:p w14:paraId="7F1A9C57"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3AEC9FA1"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22B4BE3B"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4.20 (0.14)</w:t>
            </w:r>
            <w:r>
              <w:rPr>
                <w:rFonts w:eastAsia="Times New Roman" w:cs="Calibri"/>
                <w:noProof w:val="0"/>
                <w:sz w:val="14"/>
                <w:szCs w:val="14"/>
                <w:vertAlign w:val="superscript"/>
              </w:rPr>
              <w:t>1,2</w:t>
            </w:r>
          </w:p>
        </w:tc>
        <w:tc>
          <w:tcPr>
            <w:tcW w:w="369" w:type="pct"/>
            <w:shd w:val="clear" w:color="auto" w:fill="FFFFFF"/>
            <w:noWrap/>
            <w:vAlign w:val="center"/>
            <w:hideMark/>
          </w:tcPr>
          <w:p w14:paraId="0AF28FA4"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167D2E85"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8.74 (0.35)</w:t>
            </w:r>
          </w:p>
        </w:tc>
        <w:tc>
          <w:tcPr>
            <w:tcW w:w="230" w:type="pct"/>
            <w:shd w:val="clear" w:color="auto" w:fill="FFFFFF"/>
            <w:noWrap/>
            <w:vAlign w:val="center"/>
            <w:hideMark/>
          </w:tcPr>
          <w:p w14:paraId="5B6E50AC"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3219C4B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2.56 (0.32) </w:t>
            </w:r>
            <w:r>
              <w:rPr>
                <w:rFonts w:eastAsia="Times New Roman" w:cs="Calibri"/>
                <w:noProof w:val="0"/>
                <w:sz w:val="14"/>
                <w:szCs w:val="14"/>
                <w:vertAlign w:val="superscript"/>
              </w:rPr>
              <w:t>1,2,3</w:t>
            </w:r>
          </w:p>
        </w:tc>
        <w:tc>
          <w:tcPr>
            <w:tcW w:w="322" w:type="pct"/>
            <w:shd w:val="clear" w:color="auto" w:fill="FFFFFF"/>
            <w:noWrap/>
            <w:vAlign w:val="center"/>
            <w:hideMark/>
          </w:tcPr>
          <w:p w14:paraId="219C0EA6"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15.95 (0.6622)</w:t>
            </w:r>
            <w:r>
              <w:rPr>
                <w:rFonts w:eastAsia="Times New Roman" w:cs="Calibri"/>
                <w:noProof w:val="0"/>
                <w:sz w:val="14"/>
                <w:szCs w:val="14"/>
                <w:vertAlign w:val="superscript"/>
              </w:rPr>
              <w:t>3</w:t>
            </w:r>
          </w:p>
        </w:tc>
        <w:tc>
          <w:tcPr>
            <w:tcW w:w="231" w:type="pct"/>
            <w:shd w:val="clear" w:color="auto" w:fill="FFFFFF"/>
            <w:noWrap/>
            <w:vAlign w:val="center"/>
            <w:hideMark/>
          </w:tcPr>
          <w:p w14:paraId="7AEAC74D"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13.93 (0.15)</w:t>
            </w:r>
          </w:p>
        </w:tc>
        <w:tc>
          <w:tcPr>
            <w:tcW w:w="230" w:type="pct"/>
            <w:shd w:val="clear" w:color="auto" w:fill="FFFFFF"/>
            <w:noWrap/>
            <w:vAlign w:val="center"/>
            <w:hideMark/>
          </w:tcPr>
          <w:p w14:paraId="1BECBC60" w14:textId="77777777" w:rsidR="004653D0" w:rsidRDefault="004653D0">
            <w:pPr>
              <w:rPr>
                <w:rFonts w:eastAsia="Times New Roman" w:cs="Calibri"/>
                <w:noProof w:val="0"/>
                <w:sz w:val="14"/>
                <w:szCs w:val="14"/>
              </w:rPr>
            </w:pPr>
          </w:p>
        </w:tc>
        <w:tc>
          <w:tcPr>
            <w:tcW w:w="368" w:type="pct"/>
            <w:shd w:val="clear" w:color="auto" w:fill="FFFFFF"/>
            <w:noWrap/>
            <w:vAlign w:val="center"/>
            <w:hideMark/>
          </w:tcPr>
          <w:p w14:paraId="64037BD3"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74B23C65"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15.51 (1.25) </w:t>
            </w:r>
            <w:r>
              <w:rPr>
                <w:rFonts w:eastAsia="Times New Roman" w:cs="Calibri"/>
                <w:noProof w:val="0"/>
                <w:sz w:val="14"/>
                <w:szCs w:val="14"/>
                <w:vertAlign w:val="superscript"/>
              </w:rPr>
              <w:t>3</w:t>
            </w:r>
          </w:p>
        </w:tc>
        <w:tc>
          <w:tcPr>
            <w:tcW w:w="246" w:type="pct"/>
            <w:shd w:val="clear" w:color="auto" w:fill="FFFFFF"/>
            <w:noWrap/>
            <w:vAlign w:val="center"/>
            <w:hideMark/>
          </w:tcPr>
          <w:p w14:paraId="74C3DA5C"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13.68 (0.049)</w:t>
            </w:r>
            <w:r>
              <w:rPr>
                <w:rFonts w:eastAsia="Times New Roman" w:cs="Calibri"/>
                <w:noProof w:val="0"/>
                <w:sz w:val="14"/>
                <w:szCs w:val="14"/>
                <w:vertAlign w:val="superscript"/>
              </w:rPr>
              <w:t>3</w:t>
            </w:r>
          </w:p>
        </w:tc>
        <w:tc>
          <w:tcPr>
            <w:tcW w:w="253" w:type="pct"/>
            <w:shd w:val="clear" w:color="auto" w:fill="FFFFFF"/>
            <w:noWrap/>
            <w:vAlign w:val="center"/>
            <w:hideMark/>
          </w:tcPr>
          <w:p w14:paraId="189CFC60" w14:textId="77777777" w:rsidR="004653D0" w:rsidRDefault="004653D0">
            <w:pPr>
              <w:rPr>
                <w:rFonts w:eastAsia="Times New Roman" w:cs="Calibri"/>
                <w:noProof w:val="0"/>
                <w:sz w:val="14"/>
                <w:szCs w:val="14"/>
              </w:rPr>
            </w:pPr>
          </w:p>
        </w:tc>
        <w:tc>
          <w:tcPr>
            <w:tcW w:w="206" w:type="pct"/>
            <w:shd w:val="clear" w:color="auto" w:fill="FFFFFF"/>
            <w:noWrap/>
            <w:vAlign w:val="center"/>
            <w:hideMark/>
          </w:tcPr>
          <w:p w14:paraId="598AB994" w14:textId="77777777" w:rsidR="004653D0" w:rsidRDefault="004653D0">
            <w:pPr>
              <w:spacing w:line="240" w:lineRule="auto"/>
              <w:jc w:val="left"/>
              <w:rPr>
                <w:rFonts w:ascii="Calibri" w:hAnsi="Calibri" w:cs="Calibri"/>
                <w:noProof w:val="0"/>
                <w:color w:val="auto"/>
                <w:lang w:val="en-GB" w:eastAsia="en-GB"/>
              </w:rPr>
            </w:pPr>
          </w:p>
        </w:tc>
      </w:tr>
      <w:tr w:rsidR="004653D0" w14:paraId="1B36D0BD" w14:textId="77777777" w:rsidTr="004653D0">
        <w:trPr>
          <w:jc w:val="center"/>
        </w:trPr>
        <w:tc>
          <w:tcPr>
            <w:tcW w:w="1105" w:type="pct"/>
            <w:shd w:val="clear" w:color="auto" w:fill="FFFFFF"/>
            <w:noWrap/>
            <w:vAlign w:val="center"/>
            <w:hideMark/>
          </w:tcPr>
          <w:p w14:paraId="69F4B1A4"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Betula (</w:t>
            </w:r>
            <w:r>
              <w:rPr>
                <w:rFonts w:eastAsia="Times New Roman" w:cs="Calibri"/>
                <w:noProof w:val="0"/>
                <w:sz w:val="14"/>
                <w:szCs w:val="14"/>
              </w:rPr>
              <w:t>mainly</w:t>
            </w:r>
            <w:r>
              <w:rPr>
                <w:rFonts w:eastAsia="Times New Roman" w:cs="Calibri"/>
                <w:i/>
                <w:iCs/>
                <w:noProof w:val="0"/>
                <w:sz w:val="14"/>
                <w:szCs w:val="14"/>
              </w:rPr>
              <w:t xml:space="preserve"> B. </w:t>
            </w:r>
            <w:proofErr w:type="spellStart"/>
            <w:r>
              <w:rPr>
                <w:rFonts w:eastAsia="Times New Roman" w:cs="Calibri"/>
                <w:i/>
                <w:iCs/>
                <w:noProof w:val="0"/>
                <w:sz w:val="14"/>
                <w:szCs w:val="14"/>
              </w:rPr>
              <w:t>pubescens</w:t>
            </w:r>
            <w:proofErr w:type="spellEnd"/>
            <w:r>
              <w:rPr>
                <w:rFonts w:eastAsia="Times New Roman" w:cs="Calibri"/>
                <w:i/>
                <w:iCs/>
                <w:noProof w:val="0"/>
                <w:sz w:val="14"/>
                <w:szCs w:val="14"/>
              </w:rPr>
              <w:t>, B. pendula)</w:t>
            </w:r>
          </w:p>
        </w:tc>
        <w:tc>
          <w:tcPr>
            <w:tcW w:w="230" w:type="pct"/>
            <w:shd w:val="clear" w:color="auto" w:fill="FFFFFF"/>
            <w:vAlign w:val="center"/>
            <w:hideMark/>
          </w:tcPr>
          <w:p w14:paraId="6B4FD637"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4.6 (0.70)</w:t>
            </w:r>
          </w:p>
        </w:tc>
        <w:tc>
          <w:tcPr>
            <w:tcW w:w="276" w:type="pct"/>
            <w:shd w:val="clear" w:color="auto" w:fill="FFFFFF"/>
            <w:vAlign w:val="center"/>
            <w:hideMark/>
          </w:tcPr>
          <w:p w14:paraId="70D9DC8F"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2.24 (0.20)</w:t>
            </w:r>
          </w:p>
        </w:tc>
        <w:tc>
          <w:tcPr>
            <w:tcW w:w="276" w:type="pct"/>
            <w:shd w:val="clear" w:color="auto" w:fill="FFFFFF"/>
            <w:noWrap/>
            <w:vAlign w:val="center"/>
            <w:hideMark/>
          </w:tcPr>
          <w:p w14:paraId="70EF5F65"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8.87 (0.13)</w:t>
            </w:r>
            <w:r>
              <w:rPr>
                <w:rFonts w:eastAsia="Times New Roman" w:cs="Calibri"/>
                <w:noProof w:val="0"/>
                <w:sz w:val="14"/>
                <w:szCs w:val="14"/>
                <w:vertAlign w:val="superscript"/>
              </w:rPr>
              <w:t>3</w:t>
            </w:r>
          </w:p>
        </w:tc>
        <w:tc>
          <w:tcPr>
            <w:tcW w:w="369" w:type="pct"/>
            <w:shd w:val="clear" w:color="auto" w:fill="FFFFFF"/>
            <w:noWrap/>
            <w:vAlign w:val="center"/>
            <w:hideMark/>
          </w:tcPr>
          <w:p w14:paraId="2A2B92DD"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64ADF4C9"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6.18 (0.35)</w:t>
            </w:r>
          </w:p>
        </w:tc>
        <w:tc>
          <w:tcPr>
            <w:tcW w:w="230" w:type="pct"/>
            <w:shd w:val="clear" w:color="auto" w:fill="FFFFFF"/>
            <w:noWrap/>
            <w:vAlign w:val="center"/>
            <w:hideMark/>
          </w:tcPr>
          <w:p w14:paraId="0094AE52"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62F03775"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348C8223"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13.94 (0.2293) </w:t>
            </w:r>
            <w:r>
              <w:rPr>
                <w:rFonts w:eastAsia="Times New Roman" w:cs="Calibri"/>
                <w:noProof w:val="0"/>
                <w:sz w:val="14"/>
                <w:szCs w:val="14"/>
                <w:vertAlign w:val="superscript"/>
              </w:rPr>
              <w:t>1,2,3</w:t>
            </w:r>
          </w:p>
        </w:tc>
        <w:tc>
          <w:tcPr>
            <w:tcW w:w="231" w:type="pct"/>
            <w:shd w:val="clear" w:color="auto" w:fill="FFFFFF"/>
            <w:vAlign w:val="center"/>
            <w:hideMark/>
          </w:tcPr>
          <w:p w14:paraId="0D69369C"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1.81 (0.02) </w:t>
            </w:r>
            <w:r>
              <w:rPr>
                <w:rFonts w:eastAsia="Times New Roman" w:cs="Calibri"/>
                <w:noProof w:val="0"/>
                <w:sz w:val="14"/>
                <w:szCs w:val="14"/>
                <w:vertAlign w:val="superscript"/>
              </w:rPr>
              <w:t>3</w:t>
            </w:r>
          </w:p>
        </w:tc>
        <w:tc>
          <w:tcPr>
            <w:tcW w:w="230" w:type="pct"/>
            <w:shd w:val="clear" w:color="auto" w:fill="FFFFFF"/>
            <w:vAlign w:val="center"/>
            <w:hideMark/>
          </w:tcPr>
          <w:p w14:paraId="1860B380" w14:textId="77777777" w:rsidR="004653D0" w:rsidRDefault="004653D0">
            <w:pPr>
              <w:rPr>
                <w:rFonts w:eastAsia="Times New Roman" w:cs="Calibri"/>
                <w:noProof w:val="0"/>
                <w:color w:val="auto"/>
                <w:sz w:val="14"/>
                <w:szCs w:val="14"/>
              </w:rPr>
            </w:pPr>
          </w:p>
        </w:tc>
        <w:tc>
          <w:tcPr>
            <w:tcW w:w="368" w:type="pct"/>
            <w:shd w:val="clear" w:color="auto" w:fill="FFFFFF"/>
            <w:noWrap/>
            <w:vAlign w:val="center"/>
            <w:hideMark/>
          </w:tcPr>
          <w:p w14:paraId="50D2EB26"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2.42 (0.39)</w:t>
            </w:r>
          </w:p>
        </w:tc>
        <w:tc>
          <w:tcPr>
            <w:tcW w:w="198" w:type="pct"/>
            <w:shd w:val="clear" w:color="auto" w:fill="FFFFFF"/>
            <w:noWrap/>
            <w:vAlign w:val="center"/>
            <w:hideMark/>
          </w:tcPr>
          <w:p w14:paraId="4693ECBE"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9.62 (1.92) </w:t>
            </w:r>
            <w:r>
              <w:rPr>
                <w:rFonts w:eastAsia="Times New Roman" w:cs="Calibri"/>
                <w:noProof w:val="0"/>
                <w:sz w:val="14"/>
                <w:szCs w:val="14"/>
                <w:vertAlign w:val="superscript"/>
              </w:rPr>
              <w:t>3</w:t>
            </w:r>
          </w:p>
        </w:tc>
        <w:tc>
          <w:tcPr>
            <w:tcW w:w="246" w:type="pct"/>
            <w:shd w:val="clear" w:color="auto" w:fill="FFFFFF"/>
            <w:noWrap/>
            <w:vAlign w:val="center"/>
            <w:hideMark/>
          </w:tcPr>
          <w:p w14:paraId="33EE09FE"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19.70 (0.117) </w:t>
            </w:r>
            <w:r>
              <w:rPr>
                <w:rFonts w:eastAsia="Times New Roman" w:cs="Calibri"/>
                <w:noProof w:val="0"/>
                <w:sz w:val="14"/>
                <w:szCs w:val="14"/>
                <w:vertAlign w:val="superscript"/>
              </w:rPr>
              <w:t>1,2,3</w:t>
            </w:r>
          </w:p>
        </w:tc>
        <w:tc>
          <w:tcPr>
            <w:tcW w:w="253" w:type="pct"/>
            <w:shd w:val="clear" w:color="auto" w:fill="FFFFFF"/>
            <w:noWrap/>
            <w:vAlign w:val="center"/>
            <w:hideMark/>
          </w:tcPr>
          <w:p w14:paraId="4E022E5D" w14:textId="77777777" w:rsidR="004653D0" w:rsidRDefault="004653D0">
            <w:pPr>
              <w:rPr>
                <w:rFonts w:eastAsia="Times New Roman" w:cs="Calibri"/>
                <w:noProof w:val="0"/>
                <w:sz w:val="14"/>
                <w:szCs w:val="14"/>
              </w:rPr>
            </w:pPr>
          </w:p>
        </w:tc>
        <w:tc>
          <w:tcPr>
            <w:tcW w:w="206" w:type="pct"/>
            <w:shd w:val="clear" w:color="auto" w:fill="FFFFFF"/>
            <w:noWrap/>
            <w:vAlign w:val="center"/>
            <w:hideMark/>
          </w:tcPr>
          <w:p w14:paraId="44B97E80" w14:textId="77777777" w:rsidR="004653D0" w:rsidRDefault="004653D0">
            <w:pPr>
              <w:spacing w:line="240" w:lineRule="auto"/>
              <w:jc w:val="left"/>
              <w:rPr>
                <w:rFonts w:ascii="Calibri" w:hAnsi="Calibri" w:cs="Calibri"/>
                <w:noProof w:val="0"/>
                <w:color w:val="auto"/>
                <w:lang w:val="en-GB" w:eastAsia="en-GB"/>
              </w:rPr>
            </w:pPr>
          </w:p>
        </w:tc>
      </w:tr>
      <w:tr w:rsidR="004653D0" w14:paraId="560AE5D6" w14:textId="77777777" w:rsidTr="004653D0">
        <w:trPr>
          <w:jc w:val="center"/>
        </w:trPr>
        <w:tc>
          <w:tcPr>
            <w:tcW w:w="1105" w:type="pct"/>
            <w:shd w:val="clear" w:color="auto" w:fill="FFFFFF"/>
            <w:noWrap/>
            <w:vAlign w:val="center"/>
            <w:hideMark/>
          </w:tcPr>
          <w:p w14:paraId="20F2AD24"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Buxus sempervirens </w:t>
            </w:r>
          </w:p>
        </w:tc>
        <w:tc>
          <w:tcPr>
            <w:tcW w:w="230" w:type="pct"/>
            <w:shd w:val="clear" w:color="auto" w:fill="FFFFFF"/>
            <w:vAlign w:val="center"/>
            <w:hideMark/>
          </w:tcPr>
          <w:p w14:paraId="18E906B0" w14:textId="77777777" w:rsidR="004653D0" w:rsidRDefault="004653D0">
            <w:pPr>
              <w:rPr>
                <w:rFonts w:eastAsia="Times New Roman" w:cs="Calibri"/>
                <w:i/>
                <w:iCs/>
                <w:noProof w:val="0"/>
                <w:sz w:val="14"/>
                <w:szCs w:val="14"/>
              </w:rPr>
            </w:pPr>
          </w:p>
        </w:tc>
        <w:tc>
          <w:tcPr>
            <w:tcW w:w="276" w:type="pct"/>
            <w:shd w:val="clear" w:color="auto" w:fill="FFFFFF"/>
            <w:vAlign w:val="center"/>
            <w:hideMark/>
          </w:tcPr>
          <w:p w14:paraId="3EB241CA"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5792B088"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318B3C8E"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459EE3AF"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B919114"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A77AAAC"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7BDB4C71"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vAlign w:val="center"/>
            <w:hideMark/>
          </w:tcPr>
          <w:p w14:paraId="27108197"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vAlign w:val="center"/>
            <w:hideMark/>
          </w:tcPr>
          <w:p w14:paraId="3F483F1E"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51AA43C1"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0BF6257F"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7D093F91"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66D893FC"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1.89 (0.068)</w:t>
            </w:r>
          </w:p>
        </w:tc>
        <w:tc>
          <w:tcPr>
            <w:tcW w:w="206" w:type="pct"/>
            <w:shd w:val="clear" w:color="auto" w:fill="FFFFFF"/>
            <w:noWrap/>
            <w:vAlign w:val="center"/>
            <w:hideMark/>
          </w:tcPr>
          <w:p w14:paraId="1DB2238F" w14:textId="77777777" w:rsidR="004653D0" w:rsidRDefault="004653D0">
            <w:pPr>
              <w:rPr>
                <w:rFonts w:eastAsia="Times New Roman" w:cs="Calibri"/>
                <w:noProof w:val="0"/>
                <w:sz w:val="14"/>
                <w:szCs w:val="14"/>
              </w:rPr>
            </w:pPr>
          </w:p>
        </w:tc>
      </w:tr>
      <w:tr w:rsidR="004653D0" w14:paraId="422BC008" w14:textId="77777777" w:rsidTr="004653D0">
        <w:trPr>
          <w:jc w:val="center"/>
        </w:trPr>
        <w:tc>
          <w:tcPr>
            <w:tcW w:w="1105" w:type="pct"/>
            <w:shd w:val="clear" w:color="auto" w:fill="FFFFFF"/>
            <w:noWrap/>
            <w:vAlign w:val="center"/>
            <w:hideMark/>
          </w:tcPr>
          <w:p w14:paraId="7B20281E"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Carpinus </w:t>
            </w:r>
            <w:proofErr w:type="spellStart"/>
            <w:r>
              <w:rPr>
                <w:rFonts w:eastAsia="Times New Roman" w:cs="Calibri"/>
                <w:i/>
                <w:iCs/>
                <w:noProof w:val="0"/>
                <w:sz w:val="14"/>
                <w:szCs w:val="14"/>
              </w:rPr>
              <w:t>betulus</w:t>
            </w:r>
            <w:proofErr w:type="spellEnd"/>
          </w:p>
        </w:tc>
        <w:tc>
          <w:tcPr>
            <w:tcW w:w="230" w:type="pct"/>
            <w:shd w:val="clear" w:color="auto" w:fill="FFFFFF"/>
            <w:noWrap/>
            <w:vAlign w:val="center"/>
            <w:hideMark/>
          </w:tcPr>
          <w:p w14:paraId="1BAFFDE3"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49ABB206"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5AD971BC"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2.53 (0.07)</w:t>
            </w:r>
            <w:r>
              <w:rPr>
                <w:rFonts w:eastAsia="Times New Roman" w:cs="Calibri"/>
                <w:noProof w:val="0"/>
                <w:sz w:val="14"/>
                <w:szCs w:val="14"/>
                <w:vertAlign w:val="superscript"/>
              </w:rPr>
              <w:t>1,2</w:t>
            </w:r>
          </w:p>
        </w:tc>
        <w:tc>
          <w:tcPr>
            <w:tcW w:w="369" w:type="pct"/>
            <w:shd w:val="clear" w:color="auto" w:fill="FFFFFF"/>
            <w:noWrap/>
            <w:vAlign w:val="center"/>
            <w:hideMark/>
          </w:tcPr>
          <w:p w14:paraId="62ED262A"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3EDE168A"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9137A95"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B5286CA"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1809B300"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4.48 (0.0301) </w:t>
            </w:r>
            <w:r>
              <w:rPr>
                <w:rFonts w:eastAsia="Times New Roman" w:cs="Calibri"/>
                <w:noProof w:val="0"/>
                <w:sz w:val="14"/>
                <w:szCs w:val="14"/>
                <w:vertAlign w:val="superscript"/>
              </w:rPr>
              <w:t>3</w:t>
            </w:r>
          </w:p>
        </w:tc>
        <w:tc>
          <w:tcPr>
            <w:tcW w:w="231" w:type="pct"/>
            <w:shd w:val="clear" w:color="auto" w:fill="FFFFFF"/>
            <w:noWrap/>
            <w:vAlign w:val="center"/>
            <w:hideMark/>
          </w:tcPr>
          <w:p w14:paraId="4724C2A5"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684BFDE5"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46581EBF"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4.56 (0.85)</w:t>
            </w:r>
          </w:p>
        </w:tc>
        <w:tc>
          <w:tcPr>
            <w:tcW w:w="198" w:type="pct"/>
            <w:shd w:val="clear" w:color="auto" w:fill="FFFFFF"/>
            <w:noWrap/>
            <w:vAlign w:val="center"/>
            <w:hideMark/>
          </w:tcPr>
          <w:p w14:paraId="3DA05616"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9.45 (0.51) </w:t>
            </w:r>
            <w:r>
              <w:rPr>
                <w:rFonts w:eastAsia="Times New Roman" w:cs="Calibri"/>
                <w:noProof w:val="0"/>
                <w:sz w:val="14"/>
                <w:szCs w:val="14"/>
                <w:vertAlign w:val="superscript"/>
              </w:rPr>
              <w:t>1,2,3</w:t>
            </w:r>
          </w:p>
        </w:tc>
        <w:tc>
          <w:tcPr>
            <w:tcW w:w="246" w:type="pct"/>
            <w:shd w:val="clear" w:color="auto" w:fill="FFFFFF"/>
            <w:noWrap/>
            <w:vAlign w:val="center"/>
            <w:hideMark/>
          </w:tcPr>
          <w:p w14:paraId="4B135585" w14:textId="77777777" w:rsidR="004653D0" w:rsidRDefault="004653D0">
            <w:pPr>
              <w:rPr>
                <w:rFonts w:eastAsia="Times New Roman" w:cs="Calibri"/>
                <w:noProof w:val="0"/>
                <w:color w:val="auto"/>
                <w:sz w:val="14"/>
                <w:szCs w:val="14"/>
              </w:rPr>
            </w:pPr>
          </w:p>
        </w:tc>
        <w:tc>
          <w:tcPr>
            <w:tcW w:w="253" w:type="pct"/>
            <w:shd w:val="clear" w:color="auto" w:fill="FFFFFF"/>
            <w:noWrap/>
            <w:vAlign w:val="center"/>
            <w:hideMark/>
          </w:tcPr>
          <w:p w14:paraId="3FC4ACC1"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77242EFE" w14:textId="77777777" w:rsidR="004653D0" w:rsidRDefault="004653D0">
            <w:pPr>
              <w:spacing w:line="240" w:lineRule="auto"/>
              <w:jc w:val="left"/>
              <w:rPr>
                <w:rFonts w:ascii="Calibri" w:hAnsi="Calibri" w:cs="Calibri"/>
                <w:noProof w:val="0"/>
                <w:color w:val="auto"/>
                <w:lang w:val="en-GB" w:eastAsia="en-GB"/>
              </w:rPr>
            </w:pPr>
          </w:p>
        </w:tc>
      </w:tr>
      <w:tr w:rsidR="004653D0" w14:paraId="03DDAC23" w14:textId="77777777" w:rsidTr="004653D0">
        <w:trPr>
          <w:jc w:val="center"/>
        </w:trPr>
        <w:tc>
          <w:tcPr>
            <w:tcW w:w="1105" w:type="pct"/>
            <w:shd w:val="clear" w:color="auto" w:fill="FFFFFF"/>
            <w:noWrap/>
            <w:vAlign w:val="center"/>
            <w:hideMark/>
          </w:tcPr>
          <w:p w14:paraId="2372D331"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Carpinus </w:t>
            </w:r>
            <w:proofErr w:type="spellStart"/>
            <w:r>
              <w:rPr>
                <w:rFonts w:eastAsia="Times New Roman" w:cs="Calibri"/>
                <w:i/>
                <w:iCs/>
                <w:noProof w:val="0"/>
                <w:sz w:val="14"/>
                <w:szCs w:val="14"/>
              </w:rPr>
              <w:t>orientalis</w:t>
            </w:r>
            <w:proofErr w:type="spellEnd"/>
            <w:r>
              <w:rPr>
                <w:rFonts w:eastAsia="Times New Roman" w:cs="Calibri"/>
                <w:i/>
                <w:iCs/>
                <w:noProof w:val="0"/>
                <w:sz w:val="14"/>
                <w:szCs w:val="14"/>
              </w:rPr>
              <w:t xml:space="preserve"> </w:t>
            </w:r>
          </w:p>
        </w:tc>
        <w:tc>
          <w:tcPr>
            <w:tcW w:w="230" w:type="pct"/>
            <w:shd w:val="clear" w:color="auto" w:fill="FFFFFF"/>
            <w:noWrap/>
            <w:vAlign w:val="center"/>
            <w:hideMark/>
          </w:tcPr>
          <w:p w14:paraId="071CC1F1"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7548E46F"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087064C6"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5AD6A983"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831FF85"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12497F7"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3E6A1F0"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21DF71C5"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141C568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E304938"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3D75AA75"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66191E6C"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6CB0FFDB"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5D54609B"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090AF17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0.24 (0.07)</w:t>
            </w:r>
          </w:p>
        </w:tc>
      </w:tr>
      <w:tr w:rsidR="004653D0" w14:paraId="1048D883" w14:textId="77777777" w:rsidTr="004653D0">
        <w:trPr>
          <w:jc w:val="center"/>
        </w:trPr>
        <w:tc>
          <w:tcPr>
            <w:tcW w:w="1105" w:type="pct"/>
            <w:shd w:val="clear" w:color="auto" w:fill="FFFFFF"/>
            <w:noWrap/>
            <w:vAlign w:val="center"/>
            <w:hideMark/>
          </w:tcPr>
          <w:p w14:paraId="6A2168A5"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Castanea sativa </w:t>
            </w:r>
          </w:p>
        </w:tc>
        <w:tc>
          <w:tcPr>
            <w:tcW w:w="230" w:type="pct"/>
            <w:shd w:val="clear" w:color="auto" w:fill="FFFFFF"/>
            <w:noWrap/>
            <w:vAlign w:val="center"/>
            <w:hideMark/>
          </w:tcPr>
          <w:p w14:paraId="1EB8690C"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23A2A271"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313E7B8E"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4516BA65"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3F99D4B"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A140F99"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EA75A1E"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1538FC34"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46301F6C"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F32457B"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06A051F5"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4F74E86A"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5304FE20"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019606BE"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3.258 (0.059)</w:t>
            </w:r>
          </w:p>
        </w:tc>
        <w:tc>
          <w:tcPr>
            <w:tcW w:w="206" w:type="pct"/>
            <w:shd w:val="clear" w:color="auto" w:fill="FFFFFF"/>
            <w:noWrap/>
            <w:vAlign w:val="center"/>
            <w:hideMark/>
          </w:tcPr>
          <w:p w14:paraId="738D56D3" w14:textId="77777777" w:rsidR="004653D0" w:rsidRDefault="004653D0">
            <w:pPr>
              <w:rPr>
                <w:rFonts w:eastAsia="Times New Roman" w:cs="Calibri"/>
                <w:noProof w:val="0"/>
                <w:sz w:val="14"/>
                <w:szCs w:val="14"/>
              </w:rPr>
            </w:pPr>
          </w:p>
        </w:tc>
      </w:tr>
      <w:tr w:rsidR="004653D0" w14:paraId="4E96F386" w14:textId="77777777" w:rsidTr="004653D0">
        <w:trPr>
          <w:jc w:val="center"/>
        </w:trPr>
        <w:tc>
          <w:tcPr>
            <w:tcW w:w="1105" w:type="pct"/>
            <w:shd w:val="clear" w:color="auto" w:fill="FFFFFF"/>
            <w:noWrap/>
            <w:vAlign w:val="center"/>
            <w:hideMark/>
          </w:tcPr>
          <w:p w14:paraId="55A6E258"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Corylus avellana</w:t>
            </w:r>
          </w:p>
        </w:tc>
        <w:tc>
          <w:tcPr>
            <w:tcW w:w="230" w:type="pct"/>
            <w:shd w:val="clear" w:color="auto" w:fill="FFFFFF"/>
            <w:noWrap/>
            <w:vAlign w:val="center"/>
            <w:hideMark/>
          </w:tcPr>
          <w:p w14:paraId="7E46321E"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65FD952B"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4C507E98"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1.40 (0.04)</w:t>
            </w:r>
          </w:p>
        </w:tc>
        <w:tc>
          <w:tcPr>
            <w:tcW w:w="369" w:type="pct"/>
            <w:shd w:val="clear" w:color="auto" w:fill="FFFFFF"/>
            <w:noWrap/>
            <w:vAlign w:val="center"/>
            <w:hideMark/>
          </w:tcPr>
          <w:p w14:paraId="47155D3E"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19A6ED11"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1.51 (0.06)</w:t>
            </w:r>
          </w:p>
        </w:tc>
        <w:tc>
          <w:tcPr>
            <w:tcW w:w="230" w:type="pct"/>
            <w:shd w:val="clear" w:color="auto" w:fill="FFFFFF"/>
            <w:noWrap/>
            <w:vAlign w:val="center"/>
            <w:hideMark/>
          </w:tcPr>
          <w:p w14:paraId="33E15AFA"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676BEC54"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3256459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1.35 (0.0512) </w:t>
            </w:r>
            <w:r>
              <w:rPr>
                <w:rFonts w:eastAsia="Times New Roman" w:cs="Calibri"/>
                <w:noProof w:val="0"/>
                <w:sz w:val="14"/>
                <w:szCs w:val="14"/>
                <w:vertAlign w:val="superscript"/>
              </w:rPr>
              <w:t>3</w:t>
            </w:r>
          </w:p>
        </w:tc>
        <w:tc>
          <w:tcPr>
            <w:tcW w:w="231" w:type="pct"/>
            <w:shd w:val="clear" w:color="auto" w:fill="FFFFFF"/>
            <w:noWrap/>
            <w:vAlign w:val="center"/>
            <w:hideMark/>
          </w:tcPr>
          <w:p w14:paraId="32B92526"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03D2F47B"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4EF9C5B6"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2.58 (0.39)</w:t>
            </w:r>
          </w:p>
        </w:tc>
        <w:tc>
          <w:tcPr>
            <w:tcW w:w="198" w:type="pct"/>
            <w:shd w:val="clear" w:color="auto" w:fill="FFFFFF"/>
            <w:noWrap/>
            <w:vAlign w:val="center"/>
            <w:hideMark/>
          </w:tcPr>
          <w:p w14:paraId="5F22A557" w14:textId="77777777" w:rsidR="004653D0" w:rsidRDefault="004653D0">
            <w:pPr>
              <w:rPr>
                <w:rFonts w:eastAsia="Times New Roman" w:cs="Calibri"/>
                <w:noProof w:val="0"/>
                <w:color w:val="auto"/>
                <w:sz w:val="14"/>
                <w:szCs w:val="14"/>
              </w:rPr>
            </w:pPr>
          </w:p>
        </w:tc>
        <w:tc>
          <w:tcPr>
            <w:tcW w:w="246" w:type="pct"/>
            <w:shd w:val="clear" w:color="auto" w:fill="FFFFFF"/>
            <w:noWrap/>
            <w:vAlign w:val="center"/>
            <w:hideMark/>
          </w:tcPr>
          <w:p w14:paraId="4F2DECB8"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2FDF4130"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3.44 (0.89) </w:t>
            </w:r>
            <w:r>
              <w:rPr>
                <w:rFonts w:eastAsia="Times New Roman" w:cs="Calibri"/>
                <w:noProof w:val="0"/>
                <w:sz w:val="14"/>
                <w:szCs w:val="14"/>
                <w:vertAlign w:val="superscript"/>
              </w:rPr>
              <w:t>1,2,3</w:t>
            </w:r>
          </w:p>
        </w:tc>
        <w:tc>
          <w:tcPr>
            <w:tcW w:w="206" w:type="pct"/>
            <w:shd w:val="clear" w:color="auto" w:fill="FFFFFF"/>
            <w:noWrap/>
            <w:vAlign w:val="center"/>
            <w:hideMark/>
          </w:tcPr>
          <w:p w14:paraId="22D488F5" w14:textId="77777777" w:rsidR="004653D0" w:rsidRDefault="004653D0">
            <w:pPr>
              <w:rPr>
                <w:rFonts w:eastAsia="Times New Roman" w:cs="Calibri"/>
                <w:noProof w:val="0"/>
                <w:sz w:val="14"/>
                <w:szCs w:val="14"/>
              </w:rPr>
            </w:pPr>
          </w:p>
        </w:tc>
      </w:tr>
      <w:tr w:rsidR="004653D0" w14:paraId="6C0B5E7A" w14:textId="77777777" w:rsidTr="004653D0">
        <w:trPr>
          <w:jc w:val="center"/>
        </w:trPr>
        <w:tc>
          <w:tcPr>
            <w:tcW w:w="1105" w:type="pct"/>
            <w:shd w:val="clear" w:color="auto" w:fill="FFFFFF"/>
            <w:noWrap/>
            <w:vAlign w:val="center"/>
            <w:hideMark/>
          </w:tcPr>
          <w:p w14:paraId="10093153"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Cs/>
                <w:noProof w:val="0"/>
                <w:sz w:val="14"/>
                <w:szCs w:val="14"/>
              </w:rPr>
              <w:t>Cupressaceae</w:t>
            </w:r>
            <w:r>
              <w:rPr>
                <w:rFonts w:eastAsia="Times New Roman" w:cs="Calibri"/>
                <w:i/>
                <w:iCs/>
                <w:noProof w:val="0"/>
                <w:sz w:val="14"/>
                <w:szCs w:val="14"/>
              </w:rPr>
              <w:t xml:space="preserve"> (Juniperus communis, J. </w:t>
            </w:r>
            <w:proofErr w:type="spellStart"/>
            <w:r>
              <w:rPr>
                <w:rFonts w:eastAsia="Times New Roman" w:cs="Calibri"/>
                <w:i/>
                <w:iCs/>
                <w:noProof w:val="0"/>
                <w:sz w:val="14"/>
                <w:szCs w:val="14"/>
              </w:rPr>
              <w:t>phoenicea</w:t>
            </w:r>
            <w:proofErr w:type="spellEnd"/>
            <w:r>
              <w:rPr>
                <w:rFonts w:eastAsia="Times New Roman" w:cs="Calibri"/>
                <w:i/>
                <w:iCs/>
                <w:noProof w:val="0"/>
                <w:sz w:val="14"/>
                <w:szCs w:val="14"/>
              </w:rPr>
              <w:t xml:space="preserve">, J. </w:t>
            </w:r>
            <w:proofErr w:type="spellStart"/>
            <w:r>
              <w:rPr>
                <w:rFonts w:eastAsia="Times New Roman" w:cs="Calibri"/>
                <w:i/>
                <w:iCs/>
                <w:noProof w:val="0"/>
                <w:sz w:val="14"/>
                <w:szCs w:val="14"/>
              </w:rPr>
              <w:t>oxycedrus</w:t>
            </w:r>
            <w:proofErr w:type="spellEnd"/>
            <w:r>
              <w:rPr>
                <w:rFonts w:eastAsia="Times New Roman" w:cs="Calibri"/>
                <w:i/>
                <w:iCs/>
                <w:noProof w:val="0"/>
                <w:sz w:val="14"/>
                <w:szCs w:val="14"/>
              </w:rPr>
              <w:t>)</w:t>
            </w:r>
          </w:p>
        </w:tc>
        <w:tc>
          <w:tcPr>
            <w:tcW w:w="230" w:type="pct"/>
            <w:shd w:val="clear" w:color="auto" w:fill="FFFFFF"/>
            <w:noWrap/>
            <w:vAlign w:val="center"/>
            <w:hideMark/>
          </w:tcPr>
          <w:p w14:paraId="4BB6083B"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2166996D"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7818A3D7"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6452669D"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48378A73"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5C72975"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48E3284"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2E34B098"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36678B5D"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D5A47F3"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4B8714F6"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183BF97C"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4FDED4E6"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329A6701"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1.618 (0.16) </w:t>
            </w:r>
            <w:r>
              <w:rPr>
                <w:rFonts w:eastAsia="Times New Roman" w:cs="Calibri"/>
                <w:noProof w:val="0"/>
                <w:sz w:val="14"/>
                <w:szCs w:val="14"/>
                <w:vertAlign w:val="superscript"/>
              </w:rPr>
              <w:t>1,2,3</w:t>
            </w:r>
          </w:p>
        </w:tc>
        <w:tc>
          <w:tcPr>
            <w:tcW w:w="206" w:type="pct"/>
            <w:shd w:val="clear" w:color="auto" w:fill="FFFFFF"/>
            <w:noWrap/>
            <w:vAlign w:val="center"/>
            <w:hideMark/>
          </w:tcPr>
          <w:p w14:paraId="686E56F8" w14:textId="77777777" w:rsidR="004653D0" w:rsidRDefault="004653D0">
            <w:pPr>
              <w:rPr>
                <w:rFonts w:eastAsia="Times New Roman" w:cs="Calibri"/>
                <w:noProof w:val="0"/>
                <w:sz w:val="14"/>
                <w:szCs w:val="14"/>
              </w:rPr>
            </w:pPr>
          </w:p>
        </w:tc>
      </w:tr>
      <w:tr w:rsidR="004653D0" w14:paraId="17BCCAD3" w14:textId="77777777" w:rsidTr="004653D0">
        <w:trPr>
          <w:jc w:val="center"/>
        </w:trPr>
        <w:tc>
          <w:tcPr>
            <w:tcW w:w="1105" w:type="pct"/>
            <w:shd w:val="clear" w:color="auto" w:fill="FFFFFF"/>
            <w:noWrap/>
            <w:vAlign w:val="center"/>
            <w:hideMark/>
          </w:tcPr>
          <w:p w14:paraId="0B346E3A"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lang w:val="fr-FR"/>
              </w:rPr>
            </w:pPr>
            <w:proofErr w:type="spellStart"/>
            <w:r>
              <w:rPr>
                <w:rFonts w:eastAsia="Times New Roman" w:cs="Calibri"/>
                <w:noProof w:val="0"/>
                <w:sz w:val="14"/>
                <w:szCs w:val="14"/>
                <w:lang w:val="fr-FR"/>
              </w:rPr>
              <w:t>Deciduous</w:t>
            </w:r>
            <w:proofErr w:type="spellEnd"/>
            <w:r>
              <w:rPr>
                <w:rFonts w:eastAsia="Times New Roman" w:cs="Calibri"/>
                <w:i/>
                <w:iCs/>
                <w:noProof w:val="0"/>
                <w:sz w:val="14"/>
                <w:szCs w:val="14"/>
                <w:lang w:val="fr-FR"/>
              </w:rPr>
              <w:t xml:space="preserve"> Quercus t. (</w:t>
            </w:r>
            <w:proofErr w:type="spellStart"/>
            <w:r>
              <w:rPr>
                <w:rFonts w:eastAsia="Times New Roman" w:cs="Calibri"/>
                <w:i/>
                <w:iCs/>
                <w:noProof w:val="0"/>
                <w:sz w:val="14"/>
                <w:szCs w:val="14"/>
                <w:lang w:val="fr-FR"/>
              </w:rPr>
              <w:t>Q.spp</w:t>
            </w:r>
            <w:proofErr w:type="spellEnd"/>
            <w:r>
              <w:rPr>
                <w:rFonts w:eastAsia="Times New Roman" w:cs="Calibri"/>
                <w:i/>
                <w:iCs/>
                <w:noProof w:val="0"/>
                <w:sz w:val="14"/>
                <w:szCs w:val="14"/>
                <w:lang w:val="fr-FR"/>
              </w:rPr>
              <w:t xml:space="preserve">., Q. </w:t>
            </w:r>
            <w:proofErr w:type="spellStart"/>
            <w:r>
              <w:rPr>
                <w:rFonts w:eastAsia="Times New Roman" w:cs="Calibri"/>
                <w:i/>
                <w:iCs/>
                <w:noProof w:val="0"/>
                <w:sz w:val="14"/>
                <w:szCs w:val="14"/>
                <w:lang w:val="fr-FR"/>
              </w:rPr>
              <w:t>petrae</w:t>
            </w:r>
            <w:proofErr w:type="spellEnd"/>
            <w:r>
              <w:rPr>
                <w:rFonts w:eastAsia="Times New Roman" w:cs="Calibri"/>
                <w:i/>
                <w:iCs/>
                <w:noProof w:val="0"/>
                <w:sz w:val="14"/>
                <w:szCs w:val="14"/>
                <w:lang w:val="fr-FR"/>
              </w:rPr>
              <w:t xml:space="preserve">, Q. </w:t>
            </w:r>
            <w:proofErr w:type="spellStart"/>
            <w:r>
              <w:rPr>
                <w:rFonts w:eastAsia="Times New Roman" w:cs="Calibri"/>
                <w:i/>
                <w:iCs/>
                <w:noProof w:val="0"/>
                <w:sz w:val="14"/>
                <w:szCs w:val="14"/>
                <w:lang w:val="fr-FR"/>
              </w:rPr>
              <w:t>rubra</w:t>
            </w:r>
            <w:proofErr w:type="spellEnd"/>
            <w:r>
              <w:rPr>
                <w:rFonts w:eastAsia="Times New Roman" w:cs="Calibri"/>
                <w:i/>
                <w:iCs/>
                <w:noProof w:val="0"/>
                <w:sz w:val="14"/>
                <w:szCs w:val="14"/>
                <w:lang w:val="fr-FR"/>
              </w:rPr>
              <w:t xml:space="preserve">, Q. </w:t>
            </w:r>
            <w:proofErr w:type="spellStart"/>
            <w:r>
              <w:rPr>
                <w:rFonts w:eastAsia="Times New Roman" w:cs="Calibri"/>
                <w:i/>
                <w:iCs/>
                <w:noProof w:val="0"/>
                <w:sz w:val="14"/>
                <w:szCs w:val="14"/>
                <w:lang w:val="fr-FR"/>
              </w:rPr>
              <w:t>cerris</w:t>
            </w:r>
            <w:proofErr w:type="spellEnd"/>
            <w:r>
              <w:rPr>
                <w:rFonts w:eastAsia="Times New Roman" w:cs="Calibri"/>
                <w:i/>
                <w:iCs/>
                <w:noProof w:val="0"/>
                <w:sz w:val="14"/>
                <w:szCs w:val="14"/>
                <w:lang w:val="fr-FR"/>
              </w:rPr>
              <w:t xml:space="preserve">, Q. </w:t>
            </w:r>
            <w:proofErr w:type="spellStart"/>
            <w:r>
              <w:rPr>
                <w:rFonts w:eastAsia="Times New Roman" w:cs="Calibri"/>
                <w:i/>
                <w:iCs/>
                <w:noProof w:val="0"/>
                <w:sz w:val="14"/>
                <w:szCs w:val="14"/>
                <w:lang w:val="fr-FR"/>
              </w:rPr>
              <w:t>pubescens</w:t>
            </w:r>
            <w:proofErr w:type="spellEnd"/>
            <w:r>
              <w:rPr>
                <w:rFonts w:eastAsia="Times New Roman" w:cs="Calibri"/>
                <w:i/>
                <w:iCs/>
                <w:noProof w:val="0"/>
                <w:sz w:val="14"/>
                <w:szCs w:val="14"/>
                <w:lang w:val="fr-FR"/>
              </w:rPr>
              <w:t>)</w:t>
            </w:r>
          </w:p>
        </w:tc>
        <w:tc>
          <w:tcPr>
            <w:tcW w:w="230" w:type="pct"/>
            <w:shd w:val="clear" w:color="auto" w:fill="FFFFFF"/>
            <w:noWrap/>
            <w:vAlign w:val="center"/>
            <w:hideMark/>
          </w:tcPr>
          <w:p w14:paraId="75755CF1" w14:textId="77777777" w:rsidR="004653D0" w:rsidRDefault="004653D0">
            <w:pPr>
              <w:rPr>
                <w:rFonts w:eastAsia="Times New Roman" w:cs="Calibri"/>
                <w:i/>
                <w:iCs/>
                <w:noProof w:val="0"/>
                <w:sz w:val="14"/>
                <w:szCs w:val="14"/>
                <w:lang w:val="fr-FR"/>
              </w:rPr>
            </w:pPr>
          </w:p>
        </w:tc>
        <w:tc>
          <w:tcPr>
            <w:tcW w:w="276" w:type="pct"/>
            <w:shd w:val="clear" w:color="auto" w:fill="FFFFFF"/>
            <w:noWrap/>
            <w:vAlign w:val="center"/>
            <w:hideMark/>
          </w:tcPr>
          <w:p w14:paraId="327B7A65"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46133D72"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7.53 (0.08)</w:t>
            </w:r>
          </w:p>
        </w:tc>
        <w:tc>
          <w:tcPr>
            <w:tcW w:w="369" w:type="pct"/>
            <w:shd w:val="clear" w:color="auto" w:fill="FFFFFF"/>
            <w:noWrap/>
            <w:vAlign w:val="center"/>
            <w:hideMark/>
          </w:tcPr>
          <w:p w14:paraId="6B292690"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24B94E96"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5.83 (0.00)</w:t>
            </w:r>
          </w:p>
        </w:tc>
        <w:tc>
          <w:tcPr>
            <w:tcW w:w="230" w:type="pct"/>
            <w:shd w:val="clear" w:color="auto" w:fill="FFFFFF"/>
            <w:noWrap/>
            <w:vAlign w:val="center"/>
            <w:hideMark/>
          </w:tcPr>
          <w:p w14:paraId="74089619"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08733379"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1.76 (0.20) </w:t>
            </w:r>
            <w:r>
              <w:rPr>
                <w:rFonts w:eastAsia="Times New Roman" w:cs="Calibri"/>
                <w:noProof w:val="0"/>
                <w:sz w:val="14"/>
                <w:szCs w:val="14"/>
                <w:vertAlign w:val="superscript"/>
              </w:rPr>
              <w:t>3</w:t>
            </w:r>
          </w:p>
        </w:tc>
        <w:tc>
          <w:tcPr>
            <w:tcW w:w="322" w:type="pct"/>
            <w:shd w:val="clear" w:color="auto" w:fill="FFFFFF"/>
            <w:noWrap/>
            <w:vAlign w:val="center"/>
            <w:hideMark/>
          </w:tcPr>
          <w:p w14:paraId="468A5C22"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18.47 (0.1032) </w:t>
            </w:r>
            <w:r>
              <w:rPr>
                <w:rFonts w:eastAsia="Times New Roman" w:cs="Calibri"/>
                <w:noProof w:val="0"/>
                <w:sz w:val="14"/>
                <w:szCs w:val="14"/>
                <w:vertAlign w:val="superscript"/>
              </w:rPr>
              <w:t>1,2,3</w:t>
            </w:r>
          </w:p>
        </w:tc>
        <w:tc>
          <w:tcPr>
            <w:tcW w:w="231" w:type="pct"/>
            <w:shd w:val="clear" w:color="auto" w:fill="FFFFFF"/>
            <w:vAlign w:val="center"/>
            <w:hideMark/>
          </w:tcPr>
          <w:p w14:paraId="44FD6083"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7.39 (0.20)</w:t>
            </w:r>
          </w:p>
        </w:tc>
        <w:tc>
          <w:tcPr>
            <w:tcW w:w="230" w:type="pct"/>
            <w:shd w:val="clear" w:color="auto" w:fill="FFFFFF"/>
            <w:vAlign w:val="center"/>
            <w:hideMark/>
          </w:tcPr>
          <w:p w14:paraId="476C6B77" w14:textId="77777777" w:rsidR="004653D0" w:rsidRDefault="004653D0">
            <w:pPr>
              <w:rPr>
                <w:rFonts w:eastAsia="Times New Roman" w:cs="Calibri"/>
                <w:noProof w:val="0"/>
                <w:color w:val="auto"/>
                <w:sz w:val="14"/>
                <w:szCs w:val="14"/>
              </w:rPr>
            </w:pPr>
          </w:p>
        </w:tc>
        <w:tc>
          <w:tcPr>
            <w:tcW w:w="368" w:type="pct"/>
            <w:shd w:val="clear" w:color="auto" w:fill="FFFFFF"/>
            <w:noWrap/>
            <w:vAlign w:val="center"/>
            <w:hideMark/>
          </w:tcPr>
          <w:p w14:paraId="256380F6"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2.56 (0.39)</w:t>
            </w:r>
          </w:p>
        </w:tc>
        <w:tc>
          <w:tcPr>
            <w:tcW w:w="198" w:type="pct"/>
            <w:shd w:val="clear" w:color="auto" w:fill="FFFFFF"/>
            <w:noWrap/>
            <w:vAlign w:val="center"/>
            <w:hideMark/>
          </w:tcPr>
          <w:p w14:paraId="755710D7"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2.15 (0.17) </w:t>
            </w:r>
            <w:r>
              <w:rPr>
                <w:rFonts w:eastAsia="Times New Roman" w:cs="Calibri"/>
                <w:noProof w:val="0"/>
                <w:sz w:val="14"/>
                <w:szCs w:val="14"/>
                <w:vertAlign w:val="superscript"/>
              </w:rPr>
              <w:t>3</w:t>
            </w:r>
          </w:p>
        </w:tc>
        <w:tc>
          <w:tcPr>
            <w:tcW w:w="246" w:type="pct"/>
            <w:shd w:val="clear" w:color="auto" w:fill="FFFFFF"/>
            <w:noWrap/>
            <w:vAlign w:val="center"/>
            <w:hideMark/>
          </w:tcPr>
          <w:p w14:paraId="282E0024"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17.85 (0.049) </w:t>
            </w:r>
            <w:r>
              <w:rPr>
                <w:rFonts w:eastAsia="Times New Roman" w:cs="Calibri"/>
                <w:noProof w:val="0"/>
                <w:sz w:val="14"/>
                <w:szCs w:val="14"/>
                <w:vertAlign w:val="superscript"/>
              </w:rPr>
              <w:t>1,2,3</w:t>
            </w:r>
          </w:p>
        </w:tc>
        <w:tc>
          <w:tcPr>
            <w:tcW w:w="253" w:type="pct"/>
            <w:shd w:val="clear" w:color="auto" w:fill="FFFFFF"/>
            <w:noWrap/>
            <w:vAlign w:val="center"/>
            <w:hideMark/>
          </w:tcPr>
          <w:p w14:paraId="07C83E9F" w14:textId="77777777" w:rsidR="004653D0" w:rsidRDefault="004653D0">
            <w:pPr>
              <w:rPr>
                <w:rFonts w:eastAsia="Times New Roman" w:cs="Calibri"/>
                <w:noProof w:val="0"/>
                <w:color w:val="auto"/>
                <w:sz w:val="14"/>
                <w:szCs w:val="14"/>
              </w:rPr>
            </w:pPr>
          </w:p>
        </w:tc>
        <w:tc>
          <w:tcPr>
            <w:tcW w:w="206" w:type="pct"/>
            <w:shd w:val="clear" w:color="auto" w:fill="FFFFFF"/>
            <w:noWrap/>
            <w:vAlign w:val="center"/>
            <w:hideMark/>
          </w:tcPr>
          <w:p w14:paraId="28170F90"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1.10 (0.35) </w:t>
            </w:r>
            <w:r>
              <w:rPr>
                <w:rFonts w:eastAsia="Times New Roman" w:cs="Calibri"/>
                <w:noProof w:val="0"/>
                <w:sz w:val="14"/>
                <w:szCs w:val="14"/>
                <w:vertAlign w:val="superscript"/>
              </w:rPr>
              <w:t>1,2,3</w:t>
            </w:r>
          </w:p>
        </w:tc>
      </w:tr>
      <w:tr w:rsidR="004653D0" w14:paraId="5FF8334D" w14:textId="77777777" w:rsidTr="004653D0">
        <w:trPr>
          <w:jc w:val="center"/>
        </w:trPr>
        <w:tc>
          <w:tcPr>
            <w:tcW w:w="1105" w:type="pct"/>
            <w:shd w:val="clear" w:color="auto" w:fill="FFFFFF"/>
            <w:noWrap/>
            <w:vAlign w:val="center"/>
            <w:hideMark/>
          </w:tcPr>
          <w:p w14:paraId="40BDCD61"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noProof w:val="0"/>
                <w:sz w:val="14"/>
                <w:szCs w:val="14"/>
              </w:rPr>
              <w:t xml:space="preserve">Evergreen </w:t>
            </w:r>
            <w:r>
              <w:rPr>
                <w:rFonts w:eastAsia="Times New Roman" w:cs="Calibri"/>
                <w:i/>
                <w:iCs/>
                <w:noProof w:val="0"/>
                <w:sz w:val="14"/>
                <w:szCs w:val="14"/>
              </w:rPr>
              <w:t xml:space="preserve">Quercus t. (Q. ilex, Q. </w:t>
            </w:r>
            <w:proofErr w:type="spellStart"/>
            <w:r>
              <w:rPr>
                <w:rFonts w:eastAsia="Times New Roman" w:cs="Calibri"/>
                <w:i/>
                <w:iCs/>
                <w:noProof w:val="0"/>
                <w:sz w:val="14"/>
                <w:szCs w:val="14"/>
              </w:rPr>
              <w:t>coccifera</w:t>
            </w:r>
            <w:proofErr w:type="spellEnd"/>
            <w:r>
              <w:rPr>
                <w:rFonts w:eastAsia="Times New Roman" w:cs="Calibri"/>
                <w:i/>
                <w:iCs/>
                <w:noProof w:val="0"/>
                <w:sz w:val="14"/>
                <w:szCs w:val="14"/>
              </w:rPr>
              <w:t>)</w:t>
            </w:r>
          </w:p>
        </w:tc>
        <w:tc>
          <w:tcPr>
            <w:tcW w:w="230" w:type="pct"/>
            <w:shd w:val="clear" w:color="auto" w:fill="FFFFFF"/>
            <w:noWrap/>
            <w:vAlign w:val="center"/>
            <w:hideMark/>
          </w:tcPr>
          <w:p w14:paraId="4C7CDC14"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6D13BCEF"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29441C94"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35092811"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B52E6E6"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670CD6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0851666"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6CB93E90"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vAlign w:val="center"/>
            <w:hideMark/>
          </w:tcPr>
          <w:p w14:paraId="19A20FA7"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vAlign w:val="center"/>
            <w:hideMark/>
          </w:tcPr>
          <w:p w14:paraId="793F3E86"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0A4E981D"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042E46B6"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7E5B741A"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15820E4C"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11.043 (0.261)</w:t>
            </w:r>
          </w:p>
        </w:tc>
        <w:tc>
          <w:tcPr>
            <w:tcW w:w="206" w:type="pct"/>
            <w:shd w:val="clear" w:color="auto" w:fill="FFFFFF"/>
            <w:noWrap/>
            <w:vAlign w:val="center"/>
            <w:hideMark/>
          </w:tcPr>
          <w:p w14:paraId="396B2F09" w14:textId="77777777" w:rsidR="004653D0" w:rsidRDefault="004653D0">
            <w:pPr>
              <w:rPr>
                <w:rFonts w:eastAsia="Times New Roman" w:cs="Calibri"/>
                <w:noProof w:val="0"/>
                <w:sz w:val="14"/>
                <w:szCs w:val="14"/>
              </w:rPr>
            </w:pPr>
          </w:p>
        </w:tc>
      </w:tr>
      <w:tr w:rsidR="004653D0" w14:paraId="2264E73D" w14:textId="77777777" w:rsidTr="004653D0">
        <w:trPr>
          <w:jc w:val="center"/>
        </w:trPr>
        <w:tc>
          <w:tcPr>
            <w:tcW w:w="1105" w:type="pct"/>
            <w:shd w:val="clear" w:color="auto" w:fill="FFFFFF"/>
            <w:noWrap/>
            <w:vAlign w:val="center"/>
            <w:hideMark/>
          </w:tcPr>
          <w:p w14:paraId="4FD4F24E" w14:textId="77777777" w:rsidR="004653D0" w:rsidRDefault="004653D0">
            <w:pPr>
              <w:autoSpaceDE w:val="0"/>
              <w:autoSpaceDN w:val="0"/>
              <w:adjustRightInd w:val="0"/>
              <w:snapToGrid w:val="0"/>
              <w:spacing w:line="240" w:lineRule="auto"/>
              <w:ind w:left="284"/>
              <w:jc w:val="left"/>
              <w:rPr>
                <w:rFonts w:eastAsia="Times New Roman" w:cs="Calibri"/>
                <w:noProof w:val="0"/>
                <w:sz w:val="14"/>
                <w:szCs w:val="14"/>
              </w:rPr>
            </w:pPr>
            <w:r>
              <w:rPr>
                <w:rFonts w:eastAsia="Times New Roman" w:cs="Calibri"/>
                <w:noProof w:val="0"/>
                <w:sz w:val="14"/>
                <w:szCs w:val="14"/>
              </w:rPr>
              <w:t xml:space="preserve">Fabaceae </w:t>
            </w:r>
          </w:p>
        </w:tc>
        <w:tc>
          <w:tcPr>
            <w:tcW w:w="230" w:type="pct"/>
            <w:shd w:val="clear" w:color="auto" w:fill="FFFFFF"/>
            <w:noWrap/>
            <w:vAlign w:val="center"/>
            <w:hideMark/>
          </w:tcPr>
          <w:p w14:paraId="3760724D" w14:textId="77777777" w:rsidR="004653D0" w:rsidRDefault="004653D0">
            <w:pPr>
              <w:rPr>
                <w:rFonts w:eastAsia="Times New Roman" w:cs="Calibri"/>
                <w:noProof w:val="0"/>
                <w:sz w:val="14"/>
                <w:szCs w:val="14"/>
              </w:rPr>
            </w:pPr>
          </w:p>
        </w:tc>
        <w:tc>
          <w:tcPr>
            <w:tcW w:w="276" w:type="pct"/>
            <w:shd w:val="clear" w:color="auto" w:fill="FFFFFF"/>
            <w:noWrap/>
            <w:vAlign w:val="center"/>
            <w:hideMark/>
          </w:tcPr>
          <w:p w14:paraId="0A0DD742"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5007A5F0"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5075D369"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33C3A36"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48920601"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4FD2CC8"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1FABB506"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194C5BC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169CEC4"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732DF723"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456EF3EC"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4C908877"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5FD00E00"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4BB60EDC"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0.4 (0.07) </w:t>
            </w:r>
            <w:r>
              <w:rPr>
                <w:rFonts w:eastAsia="Times New Roman" w:cs="Calibri"/>
                <w:noProof w:val="0"/>
                <w:sz w:val="14"/>
                <w:szCs w:val="14"/>
                <w:vertAlign w:val="superscript"/>
              </w:rPr>
              <w:t>1,3</w:t>
            </w:r>
          </w:p>
        </w:tc>
      </w:tr>
      <w:tr w:rsidR="004653D0" w14:paraId="13B596C3" w14:textId="77777777" w:rsidTr="004653D0">
        <w:trPr>
          <w:jc w:val="center"/>
        </w:trPr>
        <w:tc>
          <w:tcPr>
            <w:tcW w:w="1105" w:type="pct"/>
            <w:shd w:val="clear" w:color="auto" w:fill="FFFFFF"/>
            <w:noWrap/>
            <w:vAlign w:val="center"/>
            <w:hideMark/>
          </w:tcPr>
          <w:p w14:paraId="1407D66C"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Fagus (F. sylvatica)</w:t>
            </w:r>
          </w:p>
        </w:tc>
        <w:tc>
          <w:tcPr>
            <w:tcW w:w="230" w:type="pct"/>
            <w:shd w:val="clear" w:color="auto" w:fill="FFFFFF"/>
            <w:noWrap/>
            <w:vAlign w:val="center"/>
            <w:hideMark/>
          </w:tcPr>
          <w:p w14:paraId="0BB996C0"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69D8E8FD"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416F1650"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6.67 (0.17)</w:t>
            </w:r>
            <w:r>
              <w:rPr>
                <w:rFonts w:eastAsia="Times New Roman" w:cs="Calibri"/>
                <w:noProof w:val="0"/>
                <w:sz w:val="14"/>
                <w:szCs w:val="14"/>
                <w:vertAlign w:val="superscript"/>
              </w:rPr>
              <w:t>3</w:t>
            </w:r>
          </w:p>
        </w:tc>
        <w:tc>
          <w:tcPr>
            <w:tcW w:w="369" w:type="pct"/>
            <w:shd w:val="clear" w:color="auto" w:fill="FFFFFF"/>
            <w:noWrap/>
            <w:vAlign w:val="center"/>
            <w:hideMark/>
          </w:tcPr>
          <w:p w14:paraId="5DB7E42F"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72B9D934"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ECEA2F0"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1.20 (0.16) </w:t>
            </w:r>
            <w:r>
              <w:rPr>
                <w:rFonts w:eastAsia="Times New Roman" w:cs="Calibri"/>
                <w:noProof w:val="0"/>
                <w:sz w:val="14"/>
                <w:szCs w:val="14"/>
                <w:vertAlign w:val="superscript"/>
              </w:rPr>
              <w:t>1,2</w:t>
            </w:r>
          </w:p>
        </w:tc>
        <w:tc>
          <w:tcPr>
            <w:tcW w:w="230" w:type="pct"/>
            <w:shd w:val="clear" w:color="auto" w:fill="FFFFFF"/>
            <w:noWrap/>
            <w:vAlign w:val="center"/>
            <w:hideMark/>
          </w:tcPr>
          <w:p w14:paraId="384DC58D" w14:textId="77777777" w:rsidR="004653D0" w:rsidRDefault="004653D0">
            <w:pPr>
              <w:rPr>
                <w:rFonts w:eastAsia="Times New Roman" w:cs="Calibri"/>
                <w:noProof w:val="0"/>
                <w:sz w:val="14"/>
                <w:szCs w:val="14"/>
              </w:rPr>
            </w:pPr>
          </w:p>
        </w:tc>
        <w:tc>
          <w:tcPr>
            <w:tcW w:w="322" w:type="pct"/>
            <w:shd w:val="clear" w:color="auto" w:fill="FFFFFF"/>
            <w:noWrap/>
            <w:vAlign w:val="center"/>
            <w:hideMark/>
          </w:tcPr>
          <w:p w14:paraId="1AA08F70"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1CAB6DAB"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79AF283"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5.09 (0.22)</w:t>
            </w:r>
          </w:p>
        </w:tc>
        <w:tc>
          <w:tcPr>
            <w:tcW w:w="368" w:type="pct"/>
            <w:shd w:val="clear" w:color="auto" w:fill="FFFFFF"/>
            <w:noWrap/>
            <w:vAlign w:val="center"/>
            <w:hideMark/>
          </w:tcPr>
          <w:p w14:paraId="0E56910A"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0.76 (0.17)</w:t>
            </w:r>
            <w:r>
              <w:rPr>
                <w:rFonts w:eastAsia="Times New Roman" w:cs="Calibri"/>
                <w:noProof w:val="0"/>
                <w:sz w:val="14"/>
                <w:szCs w:val="14"/>
                <w:vertAlign w:val="superscript"/>
              </w:rPr>
              <w:t>1,2</w:t>
            </w:r>
          </w:p>
        </w:tc>
        <w:tc>
          <w:tcPr>
            <w:tcW w:w="198" w:type="pct"/>
            <w:shd w:val="clear" w:color="auto" w:fill="FFFFFF"/>
            <w:noWrap/>
            <w:vAlign w:val="center"/>
            <w:hideMark/>
          </w:tcPr>
          <w:p w14:paraId="2A06F371"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5.83 (0.45) </w:t>
            </w:r>
            <w:r>
              <w:rPr>
                <w:rFonts w:eastAsia="Times New Roman" w:cs="Calibri"/>
                <w:noProof w:val="0"/>
                <w:sz w:val="14"/>
                <w:szCs w:val="14"/>
                <w:vertAlign w:val="superscript"/>
              </w:rPr>
              <w:t>3</w:t>
            </w:r>
          </w:p>
        </w:tc>
        <w:tc>
          <w:tcPr>
            <w:tcW w:w="246" w:type="pct"/>
            <w:shd w:val="clear" w:color="auto" w:fill="FFFFFF"/>
            <w:noWrap/>
            <w:vAlign w:val="center"/>
            <w:hideMark/>
          </w:tcPr>
          <w:p w14:paraId="67B6027A"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9.63 (0.008) </w:t>
            </w:r>
            <w:r>
              <w:rPr>
                <w:rFonts w:eastAsia="Times New Roman" w:cs="Calibri"/>
                <w:noProof w:val="0"/>
                <w:sz w:val="14"/>
                <w:szCs w:val="14"/>
                <w:vertAlign w:val="superscript"/>
              </w:rPr>
              <w:t>1,2,3</w:t>
            </w:r>
          </w:p>
        </w:tc>
        <w:tc>
          <w:tcPr>
            <w:tcW w:w="253" w:type="pct"/>
            <w:shd w:val="clear" w:color="auto" w:fill="FFFFFF"/>
            <w:noWrap/>
            <w:vAlign w:val="center"/>
            <w:hideMark/>
          </w:tcPr>
          <w:p w14:paraId="4C89E6A6" w14:textId="77777777" w:rsidR="004653D0" w:rsidRDefault="004653D0">
            <w:pPr>
              <w:rPr>
                <w:rFonts w:eastAsia="Times New Roman" w:cs="Calibri"/>
                <w:noProof w:val="0"/>
                <w:color w:val="auto"/>
                <w:sz w:val="14"/>
                <w:szCs w:val="14"/>
              </w:rPr>
            </w:pPr>
          </w:p>
        </w:tc>
        <w:tc>
          <w:tcPr>
            <w:tcW w:w="206" w:type="pct"/>
            <w:shd w:val="clear" w:color="auto" w:fill="FFFFFF"/>
            <w:noWrap/>
            <w:vAlign w:val="center"/>
            <w:hideMark/>
          </w:tcPr>
          <w:p w14:paraId="61625076" w14:textId="77777777" w:rsidR="004653D0" w:rsidRDefault="004653D0">
            <w:pPr>
              <w:spacing w:line="240" w:lineRule="auto"/>
              <w:jc w:val="left"/>
              <w:rPr>
                <w:rFonts w:ascii="Calibri" w:hAnsi="Calibri" w:cs="Calibri"/>
                <w:noProof w:val="0"/>
                <w:color w:val="auto"/>
                <w:lang w:val="en-GB" w:eastAsia="en-GB"/>
              </w:rPr>
            </w:pPr>
          </w:p>
        </w:tc>
      </w:tr>
      <w:tr w:rsidR="004653D0" w14:paraId="48063030" w14:textId="77777777" w:rsidTr="004653D0">
        <w:trPr>
          <w:jc w:val="center"/>
        </w:trPr>
        <w:tc>
          <w:tcPr>
            <w:tcW w:w="1105" w:type="pct"/>
            <w:shd w:val="clear" w:color="auto" w:fill="FFFFFF"/>
            <w:noWrap/>
            <w:vAlign w:val="center"/>
            <w:hideMark/>
          </w:tcPr>
          <w:p w14:paraId="38656CCA"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Fraxinus (</w:t>
            </w:r>
            <w:proofErr w:type="spellStart"/>
            <w:proofErr w:type="gramStart"/>
            <w:r>
              <w:rPr>
                <w:rFonts w:eastAsia="Times New Roman" w:cs="Calibri"/>
                <w:i/>
                <w:iCs/>
                <w:noProof w:val="0"/>
                <w:sz w:val="14"/>
                <w:szCs w:val="14"/>
              </w:rPr>
              <w:t>F.excelsior</w:t>
            </w:r>
            <w:proofErr w:type="spellEnd"/>
            <w:proofErr w:type="gramEnd"/>
            <w:r>
              <w:rPr>
                <w:rFonts w:eastAsia="Times New Roman" w:cs="Calibri"/>
                <w:i/>
                <w:iCs/>
                <w:noProof w:val="0"/>
                <w:sz w:val="14"/>
                <w:szCs w:val="14"/>
              </w:rPr>
              <w:t xml:space="preserve"> </w:t>
            </w:r>
            <w:r>
              <w:rPr>
                <w:rFonts w:eastAsia="Times New Roman" w:cs="Calibri"/>
                <w:noProof w:val="0"/>
                <w:sz w:val="14"/>
                <w:szCs w:val="14"/>
              </w:rPr>
              <w:t>in NE</w:t>
            </w:r>
            <w:r>
              <w:rPr>
                <w:rFonts w:eastAsia="Times New Roman" w:cs="Calibri"/>
                <w:i/>
                <w:iCs/>
                <w:noProof w:val="0"/>
                <w:sz w:val="14"/>
                <w:szCs w:val="14"/>
              </w:rPr>
              <w:t xml:space="preserve">, </w:t>
            </w:r>
            <w:proofErr w:type="spellStart"/>
            <w:r>
              <w:rPr>
                <w:rFonts w:eastAsia="Times New Roman" w:cs="Calibri"/>
                <w:i/>
                <w:iCs/>
                <w:noProof w:val="0"/>
                <w:sz w:val="14"/>
                <w:szCs w:val="14"/>
              </w:rPr>
              <w:t>F.excelsior</w:t>
            </w:r>
            <w:proofErr w:type="spellEnd"/>
            <w:r>
              <w:rPr>
                <w:rFonts w:eastAsia="Times New Roman" w:cs="Calibri"/>
                <w:i/>
                <w:iCs/>
                <w:noProof w:val="0"/>
                <w:sz w:val="14"/>
                <w:szCs w:val="14"/>
              </w:rPr>
              <w:t xml:space="preserve"> </w:t>
            </w:r>
            <w:r>
              <w:rPr>
                <w:rFonts w:eastAsia="Times New Roman" w:cs="Calibri"/>
                <w:noProof w:val="0"/>
                <w:sz w:val="14"/>
                <w:szCs w:val="14"/>
              </w:rPr>
              <w:t>and</w:t>
            </w:r>
            <w:r>
              <w:rPr>
                <w:rFonts w:eastAsia="Times New Roman" w:cs="Calibri"/>
                <w:i/>
                <w:iCs/>
                <w:noProof w:val="0"/>
                <w:sz w:val="14"/>
                <w:szCs w:val="14"/>
              </w:rPr>
              <w:t xml:space="preserve"> </w:t>
            </w:r>
            <w:proofErr w:type="spellStart"/>
            <w:r>
              <w:rPr>
                <w:rFonts w:eastAsia="Times New Roman" w:cs="Calibri"/>
                <w:i/>
                <w:iCs/>
                <w:noProof w:val="0"/>
                <w:sz w:val="14"/>
                <w:szCs w:val="14"/>
              </w:rPr>
              <w:t>F.ornus</w:t>
            </w:r>
            <w:proofErr w:type="spellEnd"/>
            <w:r>
              <w:rPr>
                <w:rFonts w:eastAsia="Times New Roman" w:cs="Calibri"/>
                <w:i/>
                <w:iCs/>
                <w:noProof w:val="0"/>
                <w:sz w:val="14"/>
                <w:szCs w:val="14"/>
              </w:rPr>
              <w:t xml:space="preserve"> </w:t>
            </w:r>
            <w:r>
              <w:rPr>
                <w:rFonts w:eastAsia="Times New Roman" w:cs="Calibri"/>
                <w:noProof w:val="0"/>
                <w:sz w:val="14"/>
                <w:szCs w:val="14"/>
              </w:rPr>
              <w:t>in SE</w:t>
            </w:r>
            <w:r>
              <w:rPr>
                <w:rFonts w:eastAsia="Times New Roman" w:cs="Calibri"/>
                <w:i/>
                <w:iCs/>
                <w:noProof w:val="0"/>
                <w:sz w:val="14"/>
                <w:szCs w:val="14"/>
              </w:rPr>
              <w:t>)</w:t>
            </w:r>
          </w:p>
        </w:tc>
        <w:tc>
          <w:tcPr>
            <w:tcW w:w="230" w:type="pct"/>
            <w:shd w:val="clear" w:color="auto" w:fill="FFFFFF"/>
            <w:noWrap/>
            <w:vAlign w:val="center"/>
            <w:hideMark/>
          </w:tcPr>
          <w:p w14:paraId="260B52D5"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1B7579DE"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04D0EDE1"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0.67 (0.03)</w:t>
            </w:r>
          </w:p>
        </w:tc>
        <w:tc>
          <w:tcPr>
            <w:tcW w:w="369" w:type="pct"/>
            <w:shd w:val="clear" w:color="auto" w:fill="FFFFFF"/>
            <w:noWrap/>
            <w:vAlign w:val="center"/>
            <w:hideMark/>
          </w:tcPr>
          <w:p w14:paraId="5E427501"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368F7DE8"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0.70 (0.06) </w:t>
            </w:r>
            <w:r>
              <w:rPr>
                <w:rFonts w:eastAsia="Times New Roman" w:cs="Calibri"/>
                <w:noProof w:val="0"/>
                <w:sz w:val="14"/>
                <w:szCs w:val="14"/>
                <w:vertAlign w:val="superscript"/>
              </w:rPr>
              <w:t>3</w:t>
            </w:r>
          </w:p>
        </w:tc>
        <w:tc>
          <w:tcPr>
            <w:tcW w:w="230" w:type="pct"/>
            <w:shd w:val="clear" w:color="auto" w:fill="FFFFFF"/>
            <w:noWrap/>
            <w:vAlign w:val="center"/>
            <w:hideMark/>
          </w:tcPr>
          <w:p w14:paraId="39DDFF41"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14962F8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1.11 (0.09) </w:t>
            </w:r>
            <w:r>
              <w:rPr>
                <w:rFonts w:eastAsia="Times New Roman" w:cs="Calibri"/>
                <w:noProof w:val="0"/>
                <w:sz w:val="14"/>
                <w:szCs w:val="14"/>
                <w:vertAlign w:val="superscript"/>
              </w:rPr>
              <w:t>3</w:t>
            </w:r>
          </w:p>
        </w:tc>
        <w:tc>
          <w:tcPr>
            <w:tcW w:w="322" w:type="pct"/>
            <w:shd w:val="clear" w:color="auto" w:fill="FFFFFF"/>
            <w:noWrap/>
            <w:vAlign w:val="center"/>
            <w:hideMark/>
          </w:tcPr>
          <w:p w14:paraId="60A998B1" w14:textId="77777777" w:rsidR="004653D0" w:rsidRDefault="004653D0">
            <w:pPr>
              <w:rPr>
                <w:rFonts w:eastAsia="Times New Roman" w:cs="Calibri"/>
                <w:noProof w:val="0"/>
                <w:sz w:val="14"/>
                <w:szCs w:val="14"/>
              </w:rPr>
            </w:pPr>
          </w:p>
        </w:tc>
        <w:tc>
          <w:tcPr>
            <w:tcW w:w="231" w:type="pct"/>
            <w:shd w:val="clear" w:color="auto" w:fill="FFFFFF"/>
            <w:noWrap/>
            <w:vAlign w:val="center"/>
            <w:hideMark/>
          </w:tcPr>
          <w:p w14:paraId="6553B1EA"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6DD4243"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0143DF88"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1.39 (0.21)</w:t>
            </w:r>
          </w:p>
        </w:tc>
        <w:tc>
          <w:tcPr>
            <w:tcW w:w="198" w:type="pct"/>
            <w:shd w:val="clear" w:color="auto" w:fill="FFFFFF"/>
            <w:noWrap/>
            <w:vAlign w:val="center"/>
            <w:hideMark/>
          </w:tcPr>
          <w:p w14:paraId="23E31A0F"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6.74 (0.68) </w:t>
            </w:r>
            <w:r>
              <w:rPr>
                <w:rFonts w:eastAsia="Times New Roman" w:cs="Calibri"/>
                <w:noProof w:val="0"/>
                <w:sz w:val="14"/>
                <w:szCs w:val="14"/>
                <w:vertAlign w:val="superscript"/>
              </w:rPr>
              <w:t>1,2,3</w:t>
            </w:r>
          </w:p>
        </w:tc>
        <w:tc>
          <w:tcPr>
            <w:tcW w:w="246" w:type="pct"/>
            <w:shd w:val="clear" w:color="auto" w:fill="FFFFFF"/>
            <w:noWrap/>
            <w:vAlign w:val="center"/>
            <w:hideMark/>
          </w:tcPr>
          <w:p w14:paraId="5A6B6706"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1.35 (0.012) </w:t>
            </w:r>
            <w:r>
              <w:rPr>
                <w:rFonts w:eastAsia="Times New Roman" w:cs="Calibri"/>
                <w:noProof w:val="0"/>
                <w:sz w:val="14"/>
                <w:szCs w:val="14"/>
                <w:vertAlign w:val="superscript"/>
              </w:rPr>
              <w:t>3</w:t>
            </w:r>
          </w:p>
        </w:tc>
        <w:tc>
          <w:tcPr>
            <w:tcW w:w="253" w:type="pct"/>
            <w:shd w:val="clear" w:color="auto" w:fill="FFFFFF"/>
            <w:noWrap/>
            <w:vAlign w:val="center"/>
            <w:hideMark/>
          </w:tcPr>
          <w:p w14:paraId="655C31A6" w14:textId="77777777" w:rsidR="004653D0" w:rsidRDefault="004653D0">
            <w:pPr>
              <w:rPr>
                <w:rFonts w:eastAsia="Times New Roman" w:cs="Calibri"/>
                <w:noProof w:val="0"/>
                <w:color w:val="auto"/>
                <w:sz w:val="14"/>
                <w:szCs w:val="14"/>
              </w:rPr>
            </w:pPr>
          </w:p>
        </w:tc>
        <w:tc>
          <w:tcPr>
            <w:tcW w:w="206" w:type="pct"/>
            <w:shd w:val="clear" w:color="auto" w:fill="FFFFFF"/>
            <w:noWrap/>
            <w:vAlign w:val="center"/>
            <w:hideMark/>
          </w:tcPr>
          <w:p w14:paraId="1CE99502"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2.99 (0.88) </w:t>
            </w:r>
            <w:r>
              <w:rPr>
                <w:rFonts w:eastAsia="Times New Roman" w:cs="Calibri"/>
                <w:noProof w:val="0"/>
                <w:sz w:val="14"/>
                <w:szCs w:val="14"/>
                <w:vertAlign w:val="superscript"/>
              </w:rPr>
              <w:t>1,2,3</w:t>
            </w:r>
          </w:p>
        </w:tc>
      </w:tr>
      <w:tr w:rsidR="004653D0" w14:paraId="045BC3AD" w14:textId="77777777" w:rsidTr="004653D0">
        <w:trPr>
          <w:jc w:val="center"/>
        </w:trPr>
        <w:tc>
          <w:tcPr>
            <w:tcW w:w="1105" w:type="pct"/>
            <w:shd w:val="clear" w:color="auto" w:fill="FFFFFF"/>
            <w:noWrap/>
            <w:vAlign w:val="center"/>
            <w:hideMark/>
          </w:tcPr>
          <w:p w14:paraId="30737FB3"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Juniperus (J. communis)</w:t>
            </w:r>
          </w:p>
        </w:tc>
        <w:tc>
          <w:tcPr>
            <w:tcW w:w="230" w:type="pct"/>
            <w:shd w:val="clear" w:color="auto" w:fill="FFFFFF"/>
            <w:noWrap/>
            <w:vAlign w:val="center"/>
            <w:hideMark/>
          </w:tcPr>
          <w:p w14:paraId="59F6BCD5"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69B72A2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0.11 (0.45)</w:t>
            </w:r>
            <w:r>
              <w:rPr>
                <w:rFonts w:eastAsia="Times New Roman" w:cs="Calibri"/>
                <w:noProof w:val="0"/>
                <w:sz w:val="14"/>
                <w:szCs w:val="14"/>
                <w:vertAlign w:val="superscript"/>
              </w:rPr>
              <w:t>1,2,3</w:t>
            </w:r>
          </w:p>
        </w:tc>
        <w:tc>
          <w:tcPr>
            <w:tcW w:w="276" w:type="pct"/>
            <w:shd w:val="clear" w:color="auto" w:fill="FFFFFF"/>
            <w:noWrap/>
            <w:vAlign w:val="center"/>
            <w:hideMark/>
          </w:tcPr>
          <w:p w14:paraId="32D997F4"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2.07 (0.04)</w:t>
            </w:r>
          </w:p>
        </w:tc>
        <w:tc>
          <w:tcPr>
            <w:tcW w:w="369" w:type="pct"/>
            <w:shd w:val="clear" w:color="auto" w:fill="FFFFFF"/>
            <w:noWrap/>
            <w:vAlign w:val="center"/>
            <w:hideMark/>
          </w:tcPr>
          <w:p w14:paraId="60A7276F"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07A0A53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8EF0B4B"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45910DB1"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68C72A25"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3BA8CE65"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602C352"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430BF755"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3D1C49DA"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0149FF19"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0ECC1FD4"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47EDAEE8" w14:textId="77777777" w:rsidR="004653D0" w:rsidRDefault="004653D0">
            <w:pPr>
              <w:spacing w:line="240" w:lineRule="auto"/>
              <w:jc w:val="left"/>
              <w:rPr>
                <w:rFonts w:ascii="Calibri" w:hAnsi="Calibri" w:cs="Calibri"/>
                <w:noProof w:val="0"/>
                <w:color w:val="auto"/>
                <w:lang w:val="en-GB" w:eastAsia="en-GB"/>
              </w:rPr>
            </w:pPr>
          </w:p>
        </w:tc>
      </w:tr>
      <w:tr w:rsidR="004653D0" w14:paraId="54C6BDA0" w14:textId="77777777" w:rsidTr="004653D0">
        <w:trPr>
          <w:jc w:val="center"/>
        </w:trPr>
        <w:tc>
          <w:tcPr>
            <w:tcW w:w="1105" w:type="pct"/>
            <w:shd w:val="clear" w:color="auto" w:fill="FFFFFF"/>
            <w:noWrap/>
            <w:vAlign w:val="center"/>
            <w:hideMark/>
          </w:tcPr>
          <w:p w14:paraId="4F6E8748"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Larix/</w:t>
            </w:r>
            <w:proofErr w:type="spellStart"/>
            <w:r>
              <w:rPr>
                <w:rFonts w:eastAsia="Times New Roman" w:cs="Calibri"/>
                <w:i/>
                <w:iCs/>
                <w:noProof w:val="0"/>
                <w:sz w:val="14"/>
                <w:szCs w:val="14"/>
              </w:rPr>
              <w:t>Pseudotsuga</w:t>
            </w:r>
            <w:proofErr w:type="spellEnd"/>
          </w:p>
        </w:tc>
        <w:tc>
          <w:tcPr>
            <w:tcW w:w="230" w:type="pct"/>
            <w:shd w:val="clear" w:color="auto" w:fill="FFFFFF"/>
            <w:noWrap/>
            <w:vAlign w:val="center"/>
            <w:hideMark/>
          </w:tcPr>
          <w:p w14:paraId="5E48C147"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282B9EC1"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2C762369"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4B39500E"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0C10BEA"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38F30040"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D5D74FC"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655DCA4D"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5A26D53F"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ECFB398"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2129A2AA"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5552226E"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8.77 (1.81) </w:t>
            </w:r>
            <w:r>
              <w:rPr>
                <w:rFonts w:eastAsia="Times New Roman" w:cs="Calibri"/>
                <w:noProof w:val="0"/>
                <w:sz w:val="14"/>
                <w:szCs w:val="14"/>
                <w:vertAlign w:val="superscript"/>
              </w:rPr>
              <w:t>1,2,3</w:t>
            </w:r>
          </w:p>
        </w:tc>
        <w:tc>
          <w:tcPr>
            <w:tcW w:w="246" w:type="pct"/>
            <w:shd w:val="clear" w:color="auto" w:fill="FFFFFF"/>
            <w:noWrap/>
            <w:vAlign w:val="center"/>
            <w:hideMark/>
          </w:tcPr>
          <w:p w14:paraId="4AFFCB86" w14:textId="77777777" w:rsidR="004653D0" w:rsidRDefault="004653D0">
            <w:pPr>
              <w:rPr>
                <w:rFonts w:eastAsia="Times New Roman" w:cs="Calibri"/>
                <w:noProof w:val="0"/>
                <w:color w:val="auto"/>
                <w:sz w:val="14"/>
                <w:szCs w:val="14"/>
              </w:rPr>
            </w:pPr>
          </w:p>
        </w:tc>
        <w:tc>
          <w:tcPr>
            <w:tcW w:w="253" w:type="pct"/>
            <w:shd w:val="clear" w:color="auto" w:fill="FFFFFF"/>
            <w:noWrap/>
            <w:vAlign w:val="center"/>
            <w:hideMark/>
          </w:tcPr>
          <w:p w14:paraId="522FAD4B"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0A17F961" w14:textId="77777777" w:rsidR="004653D0" w:rsidRDefault="004653D0">
            <w:pPr>
              <w:spacing w:line="240" w:lineRule="auto"/>
              <w:jc w:val="left"/>
              <w:rPr>
                <w:rFonts w:ascii="Calibri" w:hAnsi="Calibri" w:cs="Calibri"/>
                <w:noProof w:val="0"/>
                <w:color w:val="auto"/>
                <w:lang w:val="en-GB" w:eastAsia="en-GB"/>
              </w:rPr>
            </w:pPr>
          </w:p>
        </w:tc>
      </w:tr>
      <w:tr w:rsidR="004653D0" w14:paraId="68845A21" w14:textId="77777777" w:rsidTr="004653D0">
        <w:trPr>
          <w:jc w:val="center"/>
        </w:trPr>
        <w:tc>
          <w:tcPr>
            <w:tcW w:w="1105" w:type="pct"/>
            <w:shd w:val="clear" w:color="auto" w:fill="FFFFFF"/>
            <w:noWrap/>
            <w:vAlign w:val="center"/>
            <w:hideMark/>
          </w:tcPr>
          <w:p w14:paraId="67659696"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proofErr w:type="spellStart"/>
            <w:r>
              <w:rPr>
                <w:rFonts w:eastAsia="Times New Roman" w:cs="Calibri"/>
                <w:i/>
                <w:iCs/>
                <w:noProof w:val="0"/>
                <w:sz w:val="14"/>
                <w:szCs w:val="14"/>
              </w:rPr>
              <w:t>Phillyrea</w:t>
            </w:r>
            <w:proofErr w:type="spellEnd"/>
            <w:r>
              <w:rPr>
                <w:rFonts w:eastAsia="Times New Roman" w:cs="Calibri"/>
                <w:i/>
                <w:iCs/>
                <w:noProof w:val="0"/>
                <w:sz w:val="14"/>
                <w:szCs w:val="14"/>
              </w:rPr>
              <w:t xml:space="preserve"> (P. angustifolia, </w:t>
            </w:r>
            <w:proofErr w:type="spellStart"/>
            <w:proofErr w:type="gramStart"/>
            <w:r>
              <w:rPr>
                <w:rFonts w:eastAsia="Times New Roman" w:cs="Calibri"/>
                <w:i/>
                <w:iCs/>
                <w:noProof w:val="0"/>
                <w:sz w:val="14"/>
                <w:szCs w:val="14"/>
              </w:rPr>
              <w:t>P.latifolia</w:t>
            </w:r>
            <w:proofErr w:type="spellEnd"/>
            <w:proofErr w:type="gramEnd"/>
            <w:r>
              <w:rPr>
                <w:rFonts w:eastAsia="Times New Roman" w:cs="Calibri"/>
                <w:i/>
                <w:iCs/>
                <w:noProof w:val="0"/>
                <w:sz w:val="14"/>
                <w:szCs w:val="14"/>
              </w:rPr>
              <w:t>, P. media)</w:t>
            </w:r>
          </w:p>
        </w:tc>
        <w:tc>
          <w:tcPr>
            <w:tcW w:w="230" w:type="pct"/>
            <w:shd w:val="clear" w:color="auto" w:fill="FFFFFF"/>
            <w:noWrap/>
            <w:vAlign w:val="center"/>
            <w:hideMark/>
          </w:tcPr>
          <w:p w14:paraId="3F4EF52C"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53207C6A"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2051C9C6"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7CB66D8B"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D956BAC"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850A130"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844AA71"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7D4BA27D"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59A595E9"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4074F944"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628B7593"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1B2A7A5F"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47A54C8D"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2B76A659"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0.512 (0.075)</w:t>
            </w:r>
          </w:p>
        </w:tc>
        <w:tc>
          <w:tcPr>
            <w:tcW w:w="206" w:type="pct"/>
            <w:shd w:val="clear" w:color="auto" w:fill="FFFFFF"/>
            <w:noWrap/>
            <w:vAlign w:val="center"/>
            <w:hideMark/>
          </w:tcPr>
          <w:p w14:paraId="01D8781B" w14:textId="77777777" w:rsidR="004653D0" w:rsidRDefault="004653D0">
            <w:pPr>
              <w:rPr>
                <w:rFonts w:eastAsia="Times New Roman" w:cs="Calibri"/>
                <w:noProof w:val="0"/>
                <w:sz w:val="14"/>
                <w:szCs w:val="14"/>
              </w:rPr>
            </w:pPr>
          </w:p>
        </w:tc>
      </w:tr>
      <w:tr w:rsidR="004653D0" w14:paraId="66FC260D" w14:textId="77777777" w:rsidTr="004653D0">
        <w:trPr>
          <w:jc w:val="center"/>
        </w:trPr>
        <w:tc>
          <w:tcPr>
            <w:tcW w:w="1105" w:type="pct"/>
            <w:shd w:val="clear" w:color="auto" w:fill="FFFFFF"/>
            <w:noWrap/>
            <w:vAlign w:val="center"/>
            <w:hideMark/>
          </w:tcPr>
          <w:p w14:paraId="38829848"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proofErr w:type="spellStart"/>
            <w:r>
              <w:rPr>
                <w:rFonts w:eastAsia="Times New Roman" w:cs="Calibri"/>
                <w:i/>
                <w:iCs/>
                <w:noProof w:val="0"/>
                <w:sz w:val="14"/>
                <w:szCs w:val="14"/>
              </w:rPr>
              <w:lastRenderedPageBreak/>
              <w:t>Picea</w:t>
            </w:r>
            <w:proofErr w:type="spellEnd"/>
            <w:r>
              <w:rPr>
                <w:rFonts w:eastAsia="Times New Roman" w:cs="Calibri"/>
                <w:i/>
                <w:iCs/>
                <w:noProof w:val="0"/>
                <w:sz w:val="14"/>
                <w:szCs w:val="14"/>
              </w:rPr>
              <w:t xml:space="preserve"> (</w:t>
            </w:r>
            <w:r>
              <w:rPr>
                <w:rFonts w:eastAsia="Times New Roman" w:cs="Calibri"/>
                <w:noProof w:val="0"/>
                <w:sz w:val="14"/>
                <w:szCs w:val="14"/>
              </w:rPr>
              <w:t>mainly</w:t>
            </w:r>
            <w:r>
              <w:rPr>
                <w:rFonts w:eastAsia="Times New Roman" w:cs="Calibri"/>
                <w:i/>
                <w:iCs/>
                <w:noProof w:val="0"/>
                <w:sz w:val="14"/>
                <w:szCs w:val="14"/>
              </w:rPr>
              <w:t xml:space="preserve"> P. </w:t>
            </w:r>
            <w:proofErr w:type="spellStart"/>
            <w:r>
              <w:rPr>
                <w:rFonts w:eastAsia="Times New Roman" w:cs="Calibri"/>
                <w:i/>
                <w:iCs/>
                <w:noProof w:val="0"/>
                <w:sz w:val="14"/>
                <w:szCs w:val="14"/>
              </w:rPr>
              <w:t>abies</w:t>
            </w:r>
            <w:proofErr w:type="spellEnd"/>
            <w:r>
              <w:rPr>
                <w:rFonts w:eastAsia="Times New Roman" w:cs="Calibri"/>
                <w:i/>
                <w:iCs/>
                <w:noProof w:val="0"/>
                <w:sz w:val="14"/>
                <w:szCs w:val="14"/>
              </w:rPr>
              <w:t>)</w:t>
            </w:r>
          </w:p>
        </w:tc>
        <w:tc>
          <w:tcPr>
            <w:tcW w:w="230" w:type="pct"/>
            <w:shd w:val="clear" w:color="auto" w:fill="FFFFFF"/>
            <w:noWrap/>
            <w:vAlign w:val="center"/>
            <w:hideMark/>
          </w:tcPr>
          <w:p w14:paraId="0518C90B" w14:textId="77777777" w:rsidR="004653D0" w:rsidRDefault="004653D0">
            <w:pPr>
              <w:rPr>
                <w:rFonts w:eastAsia="Times New Roman" w:cs="Calibri"/>
                <w:i/>
                <w:iCs/>
                <w:noProof w:val="0"/>
                <w:sz w:val="14"/>
                <w:szCs w:val="14"/>
              </w:rPr>
            </w:pPr>
          </w:p>
        </w:tc>
        <w:tc>
          <w:tcPr>
            <w:tcW w:w="276" w:type="pct"/>
            <w:shd w:val="clear" w:color="auto" w:fill="FFFFFF"/>
            <w:vAlign w:val="center"/>
            <w:hideMark/>
          </w:tcPr>
          <w:p w14:paraId="22E55808"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2.78 (0.21)</w:t>
            </w:r>
          </w:p>
        </w:tc>
        <w:tc>
          <w:tcPr>
            <w:tcW w:w="645" w:type="pct"/>
            <w:gridSpan w:val="2"/>
            <w:shd w:val="clear" w:color="auto" w:fill="FFFFFF"/>
            <w:noWrap/>
            <w:vAlign w:val="center"/>
            <w:hideMark/>
          </w:tcPr>
          <w:p w14:paraId="536EE4C0"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1.76 (missing, 0.00)</w:t>
            </w:r>
            <w:r>
              <w:rPr>
                <w:rFonts w:eastAsia="Times New Roman" w:cs="Calibri"/>
                <w:noProof w:val="0"/>
                <w:sz w:val="14"/>
                <w:szCs w:val="14"/>
                <w:vertAlign w:val="superscript"/>
              </w:rPr>
              <w:t>1,2</w:t>
            </w:r>
          </w:p>
        </w:tc>
        <w:tc>
          <w:tcPr>
            <w:tcW w:w="230" w:type="pct"/>
            <w:shd w:val="clear" w:color="auto" w:fill="FFFFFF"/>
            <w:noWrap/>
            <w:vAlign w:val="center"/>
            <w:hideMark/>
          </w:tcPr>
          <w:p w14:paraId="604A7C47" w14:textId="77777777" w:rsidR="004653D0" w:rsidRDefault="004653D0">
            <w:pPr>
              <w:rPr>
                <w:rFonts w:eastAsia="Times New Roman" w:cs="Calibri"/>
                <w:noProof w:val="0"/>
                <w:color w:val="auto"/>
                <w:sz w:val="14"/>
                <w:szCs w:val="14"/>
              </w:rPr>
            </w:pPr>
          </w:p>
        </w:tc>
        <w:tc>
          <w:tcPr>
            <w:tcW w:w="230" w:type="pct"/>
            <w:shd w:val="clear" w:color="auto" w:fill="FFFFFF"/>
            <w:vAlign w:val="center"/>
            <w:hideMark/>
          </w:tcPr>
          <w:p w14:paraId="248EAA87"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8.43 (0.30)</w:t>
            </w:r>
            <w:r>
              <w:rPr>
                <w:rFonts w:eastAsia="Times New Roman" w:cs="Calibri"/>
                <w:noProof w:val="0"/>
                <w:sz w:val="14"/>
                <w:szCs w:val="14"/>
                <w:vertAlign w:val="superscript"/>
              </w:rPr>
              <w:t xml:space="preserve"> 3</w:t>
            </w:r>
          </w:p>
        </w:tc>
        <w:tc>
          <w:tcPr>
            <w:tcW w:w="230" w:type="pct"/>
            <w:shd w:val="clear" w:color="auto" w:fill="FFFFFF"/>
            <w:noWrap/>
            <w:vAlign w:val="center"/>
            <w:hideMark/>
          </w:tcPr>
          <w:p w14:paraId="1030C4C1" w14:textId="77777777" w:rsidR="004653D0" w:rsidRDefault="004653D0">
            <w:pPr>
              <w:rPr>
                <w:rFonts w:eastAsia="Times New Roman" w:cs="Calibri"/>
                <w:noProof w:val="0"/>
                <w:color w:val="auto"/>
                <w:sz w:val="14"/>
                <w:szCs w:val="14"/>
              </w:rPr>
            </w:pPr>
          </w:p>
        </w:tc>
        <w:tc>
          <w:tcPr>
            <w:tcW w:w="322" w:type="pct"/>
            <w:shd w:val="clear" w:color="auto" w:fill="FFFFFF"/>
            <w:noWrap/>
            <w:vAlign w:val="center"/>
            <w:hideMark/>
          </w:tcPr>
          <w:p w14:paraId="39F8CD12"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vAlign w:val="center"/>
            <w:hideMark/>
          </w:tcPr>
          <w:p w14:paraId="18E004C8"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4.73 (0.13)</w:t>
            </w:r>
          </w:p>
        </w:tc>
        <w:tc>
          <w:tcPr>
            <w:tcW w:w="230" w:type="pct"/>
            <w:shd w:val="clear" w:color="auto" w:fill="FFFFFF"/>
            <w:vAlign w:val="center"/>
            <w:hideMark/>
          </w:tcPr>
          <w:p w14:paraId="65242CF1"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1.19 (0.42) </w:t>
            </w:r>
            <w:r>
              <w:rPr>
                <w:rFonts w:eastAsia="Times New Roman" w:cs="Calibri"/>
                <w:noProof w:val="0"/>
                <w:sz w:val="14"/>
                <w:szCs w:val="14"/>
                <w:vertAlign w:val="superscript"/>
              </w:rPr>
              <w:t>1,2</w:t>
            </w:r>
          </w:p>
        </w:tc>
        <w:tc>
          <w:tcPr>
            <w:tcW w:w="368" w:type="pct"/>
            <w:shd w:val="clear" w:color="auto" w:fill="FFFFFF"/>
            <w:noWrap/>
            <w:vAlign w:val="center"/>
            <w:hideMark/>
          </w:tcPr>
          <w:p w14:paraId="37DD13E9"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0.57 (0.16) </w:t>
            </w:r>
            <w:r>
              <w:rPr>
                <w:rFonts w:eastAsia="Times New Roman" w:cs="Calibri"/>
                <w:noProof w:val="0"/>
                <w:sz w:val="14"/>
                <w:szCs w:val="14"/>
                <w:vertAlign w:val="superscript"/>
              </w:rPr>
              <w:t>1,2,3</w:t>
            </w:r>
          </w:p>
        </w:tc>
        <w:tc>
          <w:tcPr>
            <w:tcW w:w="198" w:type="pct"/>
            <w:shd w:val="clear" w:color="auto" w:fill="FFFFFF"/>
            <w:noWrap/>
            <w:vAlign w:val="center"/>
            <w:hideMark/>
          </w:tcPr>
          <w:p w14:paraId="37519CE0"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1.58 (0.28) </w:t>
            </w:r>
            <w:r>
              <w:rPr>
                <w:rFonts w:eastAsia="Times New Roman" w:cs="Calibri"/>
                <w:noProof w:val="0"/>
                <w:sz w:val="14"/>
                <w:szCs w:val="14"/>
                <w:vertAlign w:val="superscript"/>
              </w:rPr>
              <w:t>1,2,3</w:t>
            </w:r>
          </w:p>
        </w:tc>
        <w:tc>
          <w:tcPr>
            <w:tcW w:w="246" w:type="pct"/>
            <w:shd w:val="clear" w:color="auto" w:fill="FFFFFF"/>
            <w:noWrap/>
            <w:vAlign w:val="center"/>
            <w:hideMark/>
          </w:tcPr>
          <w:p w14:paraId="50FBFEF0"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5.81 (0.007) </w:t>
            </w:r>
            <w:r>
              <w:rPr>
                <w:rFonts w:eastAsia="Times New Roman" w:cs="Calibri"/>
                <w:noProof w:val="0"/>
                <w:sz w:val="14"/>
                <w:szCs w:val="14"/>
                <w:vertAlign w:val="superscript"/>
              </w:rPr>
              <w:t>3</w:t>
            </w:r>
          </w:p>
        </w:tc>
        <w:tc>
          <w:tcPr>
            <w:tcW w:w="253" w:type="pct"/>
            <w:shd w:val="clear" w:color="auto" w:fill="FFFFFF"/>
            <w:noWrap/>
            <w:vAlign w:val="center"/>
            <w:hideMark/>
          </w:tcPr>
          <w:p w14:paraId="6E70148D" w14:textId="77777777" w:rsidR="004653D0" w:rsidRDefault="004653D0">
            <w:pPr>
              <w:rPr>
                <w:rFonts w:eastAsia="Times New Roman" w:cs="Calibri"/>
                <w:noProof w:val="0"/>
                <w:color w:val="auto"/>
                <w:sz w:val="14"/>
                <w:szCs w:val="14"/>
              </w:rPr>
            </w:pPr>
          </w:p>
        </w:tc>
        <w:tc>
          <w:tcPr>
            <w:tcW w:w="206" w:type="pct"/>
            <w:shd w:val="clear" w:color="auto" w:fill="FFFFFF"/>
            <w:noWrap/>
            <w:vAlign w:val="center"/>
            <w:hideMark/>
          </w:tcPr>
          <w:p w14:paraId="5CD15D7B" w14:textId="77777777" w:rsidR="004653D0" w:rsidRDefault="004653D0">
            <w:pPr>
              <w:spacing w:line="240" w:lineRule="auto"/>
              <w:jc w:val="left"/>
              <w:rPr>
                <w:rFonts w:ascii="Calibri" w:hAnsi="Calibri" w:cs="Calibri"/>
                <w:noProof w:val="0"/>
                <w:color w:val="auto"/>
                <w:lang w:val="en-GB" w:eastAsia="en-GB"/>
              </w:rPr>
            </w:pPr>
          </w:p>
        </w:tc>
      </w:tr>
      <w:tr w:rsidR="004653D0" w14:paraId="0982703F" w14:textId="77777777" w:rsidTr="004653D0">
        <w:trPr>
          <w:jc w:val="center"/>
        </w:trPr>
        <w:tc>
          <w:tcPr>
            <w:tcW w:w="1105" w:type="pct"/>
            <w:shd w:val="clear" w:color="auto" w:fill="FFFFFF"/>
            <w:noWrap/>
            <w:vAlign w:val="center"/>
            <w:hideMark/>
          </w:tcPr>
          <w:p w14:paraId="724CAFEA"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Pinus </w:t>
            </w:r>
            <w:r>
              <w:rPr>
                <w:rFonts w:eastAsia="Times New Roman" w:cs="Calibri"/>
                <w:noProof w:val="0"/>
                <w:sz w:val="14"/>
                <w:szCs w:val="14"/>
              </w:rPr>
              <w:t>(mainly</w:t>
            </w:r>
            <w:r>
              <w:rPr>
                <w:rFonts w:eastAsia="Times New Roman" w:cs="Calibri"/>
                <w:i/>
                <w:iCs/>
                <w:noProof w:val="0"/>
                <w:sz w:val="14"/>
                <w:szCs w:val="14"/>
              </w:rPr>
              <w:t xml:space="preserve"> P. sylvestris)</w:t>
            </w:r>
          </w:p>
        </w:tc>
        <w:tc>
          <w:tcPr>
            <w:tcW w:w="230" w:type="pct"/>
            <w:shd w:val="clear" w:color="auto" w:fill="FFFFFF"/>
            <w:noWrap/>
            <w:vAlign w:val="center"/>
            <w:hideMark/>
          </w:tcPr>
          <w:p w14:paraId="03059321"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8.40 (1.34)</w:t>
            </w:r>
          </w:p>
        </w:tc>
        <w:tc>
          <w:tcPr>
            <w:tcW w:w="276" w:type="pct"/>
            <w:shd w:val="clear" w:color="auto" w:fill="FFFFFF"/>
            <w:noWrap/>
            <w:vAlign w:val="center"/>
            <w:hideMark/>
          </w:tcPr>
          <w:p w14:paraId="07EA1ADB"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21.58 (2.87) </w:t>
            </w:r>
            <w:r>
              <w:rPr>
                <w:rFonts w:eastAsia="Times New Roman" w:cs="Calibri"/>
                <w:noProof w:val="0"/>
                <w:sz w:val="14"/>
                <w:szCs w:val="14"/>
                <w:vertAlign w:val="superscript"/>
              </w:rPr>
              <w:t>1,2,3</w:t>
            </w:r>
          </w:p>
        </w:tc>
        <w:tc>
          <w:tcPr>
            <w:tcW w:w="645" w:type="pct"/>
            <w:gridSpan w:val="2"/>
            <w:shd w:val="clear" w:color="auto" w:fill="FFFFFF"/>
            <w:noWrap/>
            <w:vAlign w:val="center"/>
            <w:hideMark/>
          </w:tcPr>
          <w:p w14:paraId="3B14EA13"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5.66 (missing, 0.00)</w:t>
            </w:r>
          </w:p>
        </w:tc>
        <w:tc>
          <w:tcPr>
            <w:tcW w:w="230" w:type="pct"/>
            <w:shd w:val="clear" w:color="auto" w:fill="FFFFFF"/>
            <w:noWrap/>
            <w:vAlign w:val="center"/>
            <w:hideMark/>
          </w:tcPr>
          <w:p w14:paraId="2C64B34F"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2E3FB524"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D14FEF1"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6.17 (0.41) </w:t>
            </w:r>
            <w:r>
              <w:rPr>
                <w:rFonts w:eastAsia="Times New Roman" w:cs="Calibri"/>
                <w:noProof w:val="0"/>
                <w:sz w:val="14"/>
                <w:szCs w:val="14"/>
                <w:vertAlign w:val="superscript"/>
              </w:rPr>
              <w:t>3</w:t>
            </w:r>
          </w:p>
        </w:tc>
        <w:tc>
          <w:tcPr>
            <w:tcW w:w="322" w:type="pct"/>
            <w:shd w:val="clear" w:color="auto" w:fill="FFFFFF"/>
            <w:noWrap/>
            <w:vAlign w:val="center"/>
            <w:hideMark/>
          </w:tcPr>
          <w:p w14:paraId="09854DBA"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23.12 (0.2388) </w:t>
            </w:r>
            <w:r>
              <w:rPr>
                <w:rFonts w:eastAsia="Times New Roman" w:cs="Calibri"/>
                <w:noProof w:val="0"/>
                <w:sz w:val="14"/>
                <w:szCs w:val="14"/>
                <w:vertAlign w:val="superscript"/>
              </w:rPr>
              <w:t>1,2,3</w:t>
            </w:r>
          </w:p>
        </w:tc>
        <w:tc>
          <w:tcPr>
            <w:tcW w:w="231" w:type="pct"/>
            <w:shd w:val="clear" w:color="auto" w:fill="FFFFFF"/>
            <w:vAlign w:val="center"/>
            <w:hideMark/>
          </w:tcPr>
          <w:p w14:paraId="5A039ACE"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5.07 (0.06)</w:t>
            </w:r>
          </w:p>
        </w:tc>
        <w:tc>
          <w:tcPr>
            <w:tcW w:w="230" w:type="pct"/>
            <w:shd w:val="clear" w:color="auto" w:fill="FFFFFF"/>
            <w:vAlign w:val="center"/>
            <w:hideMark/>
          </w:tcPr>
          <w:p w14:paraId="5756C08E" w14:textId="77777777" w:rsidR="004653D0" w:rsidRDefault="004653D0">
            <w:pPr>
              <w:rPr>
                <w:rFonts w:eastAsia="Times New Roman" w:cs="Calibri"/>
                <w:noProof w:val="0"/>
                <w:color w:val="auto"/>
                <w:sz w:val="14"/>
                <w:szCs w:val="14"/>
              </w:rPr>
            </w:pPr>
          </w:p>
        </w:tc>
        <w:tc>
          <w:tcPr>
            <w:tcW w:w="368" w:type="pct"/>
            <w:shd w:val="clear" w:color="auto" w:fill="FFFFFF"/>
            <w:noWrap/>
            <w:vAlign w:val="center"/>
            <w:hideMark/>
          </w:tcPr>
          <w:p w14:paraId="3625DAC2"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1.35 (0.45) </w:t>
            </w:r>
            <w:r>
              <w:rPr>
                <w:rFonts w:eastAsia="Times New Roman" w:cs="Calibri"/>
                <w:noProof w:val="0"/>
                <w:sz w:val="14"/>
                <w:szCs w:val="14"/>
                <w:vertAlign w:val="superscript"/>
              </w:rPr>
              <w:t>1,2,3</w:t>
            </w:r>
          </w:p>
        </w:tc>
        <w:tc>
          <w:tcPr>
            <w:tcW w:w="198" w:type="pct"/>
            <w:shd w:val="clear" w:color="auto" w:fill="FFFFFF"/>
            <w:noWrap/>
            <w:vAlign w:val="center"/>
            <w:hideMark/>
          </w:tcPr>
          <w:p w14:paraId="65460FC7"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5.66 (0.00) </w:t>
            </w:r>
            <w:r>
              <w:rPr>
                <w:rFonts w:eastAsia="Times New Roman" w:cs="Calibri"/>
                <w:noProof w:val="0"/>
                <w:sz w:val="14"/>
                <w:szCs w:val="14"/>
                <w:vertAlign w:val="superscript"/>
              </w:rPr>
              <w:t>3</w:t>
            </w:r>
          </w:p>
        </w:tc>
        <w:tc>
          <w:tcPr>
            <w:tcW w:w="246" w:type="pct"/>
            <w:shd w:val="clear" w:color="auto" w:fill="FFFFFF"/>
            <w:noWrap/>
            <w:vAlign w:val="center"/>
            <w:hideMark/>
          </w:tcPr>
          <w:p w14:paraId="4BD83430"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5.39 (0.222) </w:t>
            </w:r>
            <w:r>
              <w:rPr>
                <w:rFonts w:eastAsia="Times New Roman" w:cs="Calibri"/>
                <w:noProof w:val="0"/>
                <w:sz w:val="14"/>
                <w:szCs w:val="14"/>
                <w:vertAlign w:val="superscript"/>
              </w:rPr>
              <w:t>3</w:t>
            </w:r>
          </w:p>
        </w:tc>
        <w:tc>
          <w:tcPr>
            <w:tcW w:w="253" w:type="pct"/>
            <w:shd w:val="clear" w:color="auto" w:fill="FFFFFF"/>
            <w:noWrap/>
            <w:vAlign w:val="center"/>
            <w:hideMark/>
          </w:tcPr>
          <w:p w14:paraId="4056E8AF" w14:textId="77777777" w:rsidR="004653D0" w:rsidRDefault="004653D0">
            <w:pPr>
              <w:rPr>
                <w:rFonts w:eastAsia="Times New Roman" w:cs="Calibri"/>
                <w:noProof w:val="0"/>
                <w:color w:val="auto"/>
                <w:sz w:val="14"/>
                <w:szCs w:val="14"/>
              </w:rPr>
            </w:pPr>
          </w:p>
        </w:tc>
        <w:tc>
          <w:tcPr>
            <w:tcW w:w="206" w:type="pct"/>
            <w:shd w:val="clear" w:color="auto" w:fill="FFFFFF"/>
            <w:noWrap/>
            <w:vAlign w:val="center"/>
            <w:hideMark/>
          </w:tcPr>
          <w:p w14:paraId="612953D8" w14:textId="77777777" w:rsidR="004653D0" w:rsidRDefault="004653D0">
            <w:pPr>
              <w:spacing w:line="240" w:lineRule="auto"/>
              <w:jc w:val="left"/>
              <w:rPr>
                <w:rFonts w:ascii="Calibri" w:hAnsi="Calibri" w:cs="Calibri"/>
                <w:noProof w:val="0"/>
                <w:color w:val="auto"/>
                <w:lang w:val="en-GB" w:eastAsia="en-GB"/>
              </w:rPr>
            </w:pPr>
          </w:p>
        </w:tc>
      </w:tr>
      <w:tr w:rsidR="004653D0" w14:paraId="66A1A1BE" w14:textId="77777777" w:rsidTr="004653D0">
        <w:trPr>
          <w:jc w:val="center"/>
        </w:trPr>
        <w:tc>
          <w:tcPr>
            <w:tcW w:w="1105" w:type="pct"/>
            <w:shd w:val="clear" w:color="auto" w:fill="FFFFFF"/>
            <w:noWrap/>
            <w:vAlign w:val="center"/>
            <w:hideMark/>
          </w:tcPr>
          <w:p w14:paraId="6C18CE24"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Pistacia (P. lentiscus, P. </w:t>
            </w:r>
            <w:proofErr w:type="spellStart"/>
            <w:r>
              <w:rPr>
                <w:rFonts w:eastAsia="Times New Roman" w:cs="Calibri"/>
                <w:i/>
                <w:iCs/>
                <w:noProof w:val="0"/>
                <w:sz w:val="14"/>
                <w:szCs w:val="14"/>
              </w:rPr>
              <w:t>therebinthus</w:t>
            </w:r>
            <w:proofErr w:type="spellEnd"/>
            <w:r>
              <w:rPr>
                <w:rFonts w:eastAsia="Times New Roman" w:cs="Calibri"/>
                <w:i/>
                <w:iCs/>
                <w:noProof w:val="0"/>
                <w:sz w:val="14"/>
                <w:szCs w:val="14"/>
              </w:rPr>
              <w:t>)</w:t>
            </w:r>
          </w:p>
        </w:tc>
        <w:tc>
          <w:tcPr>
            <w:tcW w:w="230" w:type="pct"/>
            <w:shd w:val="clear" w:color="auto" w:fill="FFFFFF"/>
            <w:vAlign w:val="center"/>
            <w:hideMark/>
          </w:tcPr>
          <w:p w14:paraId="0EA93032"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0BAA9E0C"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2B7DE876"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184BAFE4"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AA77A12"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7602DFE0"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7537E52"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09220A00"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vAlign w:val="center"/>
            <w:hideMark/>
          </w:tcPr>
          <w:p w14:paraId="79E65F4A"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vAlign w:val="center"/>
            <w:hideMark/>
          </w:tcPr>
          <w:p w14:paraId="15E28A0E"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2ED6EB6B"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0612216B"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0098CC88"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00EB3BE7"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0.755 (0.201)</w:t>
            </w:r>
          </w:p>
        </w:tc>
        <w:tc>
          <w:tcPr>
            <w:tcW w:w="206" w:type="pct"/>
            <w:shd w:val="clear" w:color="auto" w:fill="FFFFFF"/>
            <w:noWrap/>
            <w:vAlign w:val="center"/>
            <w:hideMark/>
          </w:tcPr>
          <w:p w14:paraId="5B65ACC3" w14:textId="77777777" w:rsidR="004653D0" w:rsidRDefault="004653D0">
            <w:pPr>
              <w:rPr>
                <w:rFonts w:eastAsia="Times New Roman" w:cs="Calibri"/>
                <w:noProof w:val="0"/>
                <w:sz w:val="14"/>
                <w:szCs w:val="14"/>
              </w:rPr>
            </w:pPr>
          </w:p>
        </w:tc>
      </w:tr>
      <w:tr w:rsidR="004653D0" w14:paraId="2951C4FF" w14:textId="77777777" w:rsidTr="004653D0">
        <w:trPr>
          <w:jc w:val="center"/>
        </w:trPr>
        <w:tc>
          <w:tcPr>
            <w:tcW w:w="1105" w:type="pct"/>
            <w:shd w:val="clear" w:color="auto" w:fill="FFFFFF"/>
            <w:noWrap/>
            <w:vAlign w:val="center"/>
            <w:hideMark/>
          </w:tcPr>
          <w:p w14:paraId="61C6F301"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Populus (</w:t>
            </w:r>
            <w:proofErr w:type="spellStart"/>
            <w:proofErr w:type="gramStart"/>
            <w:r>
              <w:rPr>
                <w:rFonts w:eastAsia="Times New Roman" w:cs="Calibri"/>
                <w:i/>
                <w:iCs/>
                <w:noProof w:val="0"/>
                <w:sz w:val="14"/>
                <w:szCs w:val="14"/>
              </w:rPr>
              <w:t>P.alba</w:t>
            </w:r>
            <w:proofErr w:type="spellEnd"/>
            <w:proofErr w:type="gramEnd"/>
            <w:r>
              <w:rPr>
                <w:rFonts w:eastAsia="Times New Roman" w:cs="Calibri"/>
                <w:i/>
                <w:iCs/>
                <w:noProof w:val="0"/>
                <w:sz w:val="14"/>
                <w:szCs w:val="14"/>
              </w:rPr>
              <w:t>)</w:t>
            </w:r>
          </w:p>
        </w:tc>
        <w:tc>
          <w:tcPr>
            <w:tcW w:w="230" w:type="pct"/>
            <w:shd w:val="clear" w:color="auto" w:fill="FFFFFF"/>
            <w:noWrap/>
            <w:vAlign w:val="center"/>
            <w:hideMark/>
          </w:tcPr>
          <w:p w14:paraId="2865464E"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5046E91D"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4B69E203"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38107D2F"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B9F43B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7F5ED44"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09C3AA0"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5481B556"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0F167A57"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C6003C4"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3A7D5DD4"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76856FF2"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2.66 (1.25) </w:t>
            </w:r>
            <w:r>
              <w:rPr>
                <w:rFonts w:eastAsia="Times New Roman" w:cs="Calibri"/>
                <w:noProof w:val="0"/>
                <w:sz w:val="14"/>
                <w:szCs w:val="14"/>
                <w:vertAlign w:val="superscript"/>
              </w:rPr>
              <w:t>1,3</w:t>
            </w:r>
          </w:p>
        </w:tc>
        <w:tc>
          <w:tcPr>
            <w:tcW w:w="246" w:type="pct"/>
            <w:shd w:val="clear" w:color="auto" w:fill="FFFFFF"/>
            <w:noWrap/>
            <w:vAlign w:val="center"/>
            <w:hideMark/>
          </w:tcPr>
          <w:p w14:paraId="78248043" w14:textId="77777777" w:rsidR="004653D0" w:rsidRDefault="004653D0">
            <w:pPr>
              <w:rPr>
                <w:rFonts w:eastAsia="Times New Roman" w:cs="Calibri"/>
                <w:noProof w:val="0"/>
                <w:color w:val="auto"/>
                <w:sz w:val="14"/>
                <w:szCs w:val="14"/>
              </w:rPr>
            </w:pPr>
          </w:p>
        </w:tc>
        <w:tc>
          <w:tcPr>
            <w:tcW w:w="253" w:type="pct"/>
            <w:shd w:val="clear" w:color="auto" w:fill="FFFFFF"/>
            <w:noWrap/>
            <w:vAlign w:val="center"/>
            <w:hideMark/>
          </w:tcPr>
          <w:p w14:paraId="2B59732B"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21A3F098" w14:textId="77777777" w:rsidR="004653D0" w:rsidRDefault="004653D0">
            <w:pPr>
              <w:spacing w:line="240" w:lineRule="auto"/>
              <w:jc w:val="left"/>
              <w:rPr>
                <w:rFonts w:ascii="Calibri" w:hAnsi="Calibri" w:cs="Calibri"/>
                <w:noProof w:val="0"/>
                <w:color w:val="auto"/>
                <w:lang w:val="en-GB" w:eastAsia="en-GB"/>
              </w:rPr>
            </w:pPr>
          </w:p>
        </w:tc>
      </w:tr>
      <w:tr w:rsidR="004653D0" w14:paraId="3F3DD8EB" w14:textId="77777777" w:rsidTr="004653D0">
        <w:trPr>
          <w:jc w:val="center"/>
        </w:trPr>
        <w:tc>
          <w:tcPr>
            <w:tcW w:w="1105" w:type="pct"/>
            <w:shd w:val="clear" w:color="auto" w:fill="FFFFFF"/>
            <w:noWrap/>
            <w:vAlign w:val="center"/>
            <w:hideMark/>
          </w:tcPr>
          <w:p w14:paraId="40FF32F1"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 xml:space="preserve">Salix </w:t>
            </w:r>
            <w:r>
              <w:rPr>
                <w:rFonts w:eastAsia="Times New Roman" w:cs="Calibri"/>
                <w:noProof w:val="0"/>
                <w:sz w:val="14"/>
                <w:szCs w:val="14"/>
              </w:rPr>
              <w:t>(</w:t>
            </w:r>
            <w:r>
              <w:rPr>
                <w:rFonts w:eastAsia="Times New Roman" w:cs="Calibri"/>
                <w:i/>
                <w:iCs/>
                <w:noProof w:val="0"/>
                <w:sz w:val="14"/>
                <w:szCs w:val="14"/>
              </w:rPr>
              <w:t>S.</w:t>
            </w:r>
            <w:r>
              <w:rPr>
                <w:rFonts w:eastAsia="Times New Roman" w:cs="Calibri"/>
                <w:noProof w:val="0"/>
                <w:sz w:val="14"/>
                <w:szCs w:val="14"/>
              </w:rPr>
              <w:t xml:space="preserve"> spp.)</w:t>
            </w:r>
          </w:p>
        </w:tc>
        <w:tc>
          <w:tcPr>
            <w:tcW w:w="230" w:type="pct"/>
            <w:shd w:val="clear" w:color="auto" w:fill="FFFFFF"/>
            <w:noWrap/>
            <w:vAlign w:val="center"/>
            <w:hideMark/>
          </w:tcPr>
          <w:p w14:paraId="19522C42"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00789840"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0.09 (0.03)</w:t>
            </w:r>
          </w:p>
        </w:tc>
        <w:tc>
          <w:tcPr>
            <w:tcW w:w="276" w:type="pct"/>
            <w:shd w:val="clear" w:color="auto" w:fill="FFFFFF"/>
            <w:noWrap/>
            <w:vAlign w:val="center"/>
            <w:hideMark/>
          </w:tcPr>
          <w:p w14:paraId="2D759289"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1.27 (0.31)</w:t>
            </w:r>
          </w:p>
        </w:tc>
        <w:tc>
          <w:tcPr>
            <w:tcW w:w="369" w:type="pct"/>
            <w:shd w:val="clear" w:color="auto" w:fill="FFFFFF"/>
            <w:noWrap/>
            <w:vAlign w:val="center"/>
            <w:hideMark/>
          </w:tcPr>
          <w:p w14:paraId="12836FF5"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576AD558"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1.05 (0.17)</w:t>
            </w:r>
          </w:p>
        </w:tc>
        <w:tc>
          <w:tcPr>
            <w:tcW w:w="230" w:type="pct"/>
            <w:shd w:val="clear" w:color="auto" w:fill="FFFFFF"/>
            <w:noWrap/>
            <w:vAlign w:val="center"/>
            <w:hideMark/>
          </w:tcPr>
          <w:p w14:paraId="3887702A"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3EE6DFAA"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1.19 (0.12) </w:t>
            </w:r>
            <w:r>
              <w:rPr>
                <w:rFonts w:eastAsia="Times New Roman" w:cs="Calibri"/>
                <w:noProof w:val="0"/>
                <w:sz w:val="14"/>
                <w:szCs w:val="14"/>
                <w:vertAlign w:val="superscript"/>
              </w:rPr>
              <w:t>3</w:t>
            </w:r>
          </w:p>
        </w:tc>
        <w:tc>
          <w:tcPr>
            <w:tcW w:w="322" w:type="pct"/>
            <w:shd w:val="clear" w:color="auto" w:fill="FFFFFF"/>
            <w:noWrap/>
            <w:vAlign w:val="center"/>
            <w:hideMark/>
          </w:tcPr>
          <w:p w14:paraId="3A1F3F85" w14:textId="77777777" w:rsidR="004653D0" w:rsidRDefault="004653D0">
            <w:pPr>
              <w:rPr>
                <w:rFonts w:eastAsia="Times New Roman" w:cs="Calibri"/>
                <w:noProof w:val="0"/>
                <w:sz w:val="14"/>
                <w:szCs w:val="14"/>
              </w:rPr>
            </w:pPr>
          </w:p>
        </w:tc>
        <w:tc>
          <w:tcPr>
            <w:tcW w:w="231" w:type="pct"/>
            <w:shd w:val="clear" w:color="auto" w:fill="FFFFFF"/>
            <w:noWrap/>
            <w:vAlign w:val="center"/>
            <w:hideMark/>
          </w:tcPr>
          <w:p w14:paraId="5BD4A516"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2.31 (0.08)</w:t>
            </w:r>
          </w:p>
        </w:tc>
        <w:tc>
          <w:tcPr>
            <w:tcW w:w="230" w:type="pct"/>
            <w:shd w:val="clear" w:color="auto" w:fill="FFFFFF"/>
            <w:noWrap/>
            <w:vAlign w:val="center"/>
            <w:hideMark/>
          </w:tcPr>
          <w:p w14:paraId="07CE19AF" w14:textId="77777777" w:rsidR="004653D0" w:rsidRDefault="004653D0">
            <w:pPr>
              <w:rPr>
                <w:rFonts w:eastAsia="Times New Roman" w:cs="Calibri"/>
                <w:noProof w:val="0"/>
                <w:sz w:val="14"/>
                <w:szCs w:val="14"/>
              </w:rPr>
            </w:pPr>
          </w:p>
        </w:tc>
        <w:tc>
          <w:tcPr>
            <w:tcW w:w="368" w:type="pct"/>
            <w:shd w:val="clear" w:color="auto" w:fill="FFFFFF"/>
            <w:noWrap/>
            <w:vAlign w:val="center"/>
            <w:hideMark/>
          </w:tcPr>
          <w:p w14:paraId="08BBF624"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2DDE72F5"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49ECFD77"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23C49D9E"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48DF72A4" w14:textId="77777777" w:rsidR="004653D0" w:rsidRDefault="004653D0">
            <w:pPr>
              <w:spacing w:line="240" w:lineRule="auto"/>
              <w:jc w:val="left"/>
              <w:rPr>
                <w:rFonts w:ascii="Calibri" w:hAnsi="Calibri" w:cs="Calibri"/>
                <w:noProof w:val="0"/>
                <w:color w:val="auto"/>
                <w:lang w:val="en-GB" w:eastAsia="en-GB"/>
              </w:rPr>
            </w:pPr>
          </w:p>
        </w:tc>
      </w:tr>
      <w:tr w:rsidR="004653D0" w14:paraId="70D1D07A" w14:textId="77777777" w:rsidTr="004653D0">
        <w:trPr>
          <w:jc w:val="center"/>
        </w:trPr>
        <w:tc>
          <w:tcPr>
            <w:tcW w:w="1105" w:type="pct"/>
            <w:shd w:val="clear" w:color="auto" w:fill="FFFFFF"/>
            <w:noWrap/>
            <w:vAlign w:val="center"/>
            <w:hideMark/>
          </w:tcPr>
          <w:p w14:paraId="42B772F5"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Sambucus nigra</w:t>
            </w:r>
            <w:r>
              <w:rPr>
                <w:rFonts w:eastAsia="Times New Roman" w:cs="Calibri"/>
                <w:noProof w:val="0"/>
                <w:sz w:val="14"/>
                <w:szCs w:val="14"/>
              </w:rPr>
              <w:t xml:space="preserve"> t.</w:t>
            </w:r>
            <w:r>
              <w:rPr>
                <w:rFonts w:eastAsia="Times New Roman" w:cs="Calibri"/>
                <w:i/>
                <w:iCs/>
                <w:noProof w:val="0"/>
                <w:sz w:val="14"/>
                <w:szCs w:val="14"/>
              </w:rPr>
              <w:t xml:space="preserve"> (</w:t>
            </w:r>
            <w:r>
              <w:rPr>
                <w:rFonts w:eastAsia="Times New Roman" w:cs="Calibri"/>
                <w:noProof w:val="0"/>
                <w:sz w:val="14"/>
                <w:szCs w:val="14"/>
              </w:rPr>
              <w:t xml:space="preserve">mainly </w:t>
            </w:r>
            <w:r>
              <w:rPr>
                <w:rFonts w:eastAsia="Times New Roman" w:cs="Calibri"/>
                <w:i/>
                <w:iCs/>
                <w:noProof w:val="0"/>
                <w:sz w:val="14"/>
                <w:szCs w:val="14"/>
              </w:rPr>
              <w:t>S. nigra)</w:t>
            </w:r>
          </w:p>
        </w:tc>
        <w:tc>
          <w:tcPr>
            <w:tcW w:w="230" w:type="pct"/>
            <w:shd w:val="clear" w:color="auto" w:fill="FFFFFF"/>
            <w:noWrap/>
            <w:vAlign w:val="center"/>
            <w:hideMark/>
          </w:tcPr>
          <w:p w14:paraId="12C1F4B4"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35D54CBF"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52EE0D6F" w14:textId="77777777" w:rsidR="004653D0" w:rsidRDefault="004653D0">
            <w:pPr>
              <w:spacing w:line="240" w:lineRule="auto"/>
              <w:jc w:val="left"/>
              <w:rPr>
                <w:rFonts w:ascii="Calibri" w:hAnsi="Calibri" w:cs="Calibri"/>
                <w:noProof w:val="0"/>
                <w:color w:val="auto"/>
                <w:lang w:val="en-GB" w:eastAsia="en-GB"/>
              </w:rPr>
            </w:pPr>
          </w:p>
        </w:tc>
        <w:tc>
          <w:tcPr>
            <w:tcW w:w="369" w:type="pct"/>
            <w:shd w:val="clear" w:color="auto" w:fill="FFFFFF"/>
            <w:noWrap/>
            <w:vAlign w:val="center"/>
            <w:hideMark/>
          </w:tcPr>
          <w:p w14:paraId="11863132"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641A04C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53660A5"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2267AAD"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1.30 (0.12) </w:t>
            </w:r>
            <w:r>
              <w:rPr>
                <w:rFonts w:eastAsia="Times New Roman" w:cs="Calibri"/>
                <w:noProof w:val="0"/>
                <w:sz w:val="14"/>
                <w:szCs w:val="14"/>
                <w:vertAlign w:val="superscript"/>
              </w:rPr>
              <w:t>1,3</w:t>
            </w:r>
          </w:p>
        </w:tc>
        <w:tc>
          <w:tcPr>
            <w:tcW w:w="322" w:type="pct"/>
            <w:shd w:val="clear" w:color="auto" w:fill="FFFFFF"/>
            <w:noWrap/>
            <w:vAlign w:val="center"/>
            <w:hideMark/>
          </w:tcPr>
          <w:p w14:paraId="393D056E" w14:textId="77777777" w:rsidR="004653D0" w:rsidRDefault="004653D0">
            <w:pPr>
              <w:rPr>
                <w:rFonts w:eastAsia="Times New Roman" w:cs="Calibri"/>
                <w:noProof w:val="0"/>
                <w:sz w:val="14"/>
                <w:szCs w:val="14"/>
              </w:rPr>
            </w:pPr>
          </w:p>
        </w:tc>
        <w:tc>
          <w:tcPr>
            <w:tcW w:w="231" w:type="pct"/>
            <w:shd w:val="clear" w:color="auto" w:fill="FFFFFF"/>
            <w:noWrap/>
            <w:vAlign w:val="center"/>
            <w:hideMark/>
          </w:tcPr>
          <w:p w14:paraId="75062AD8"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08A6912A"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791BB2EC"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36AC108E"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0203E524" w14:textId="77777777" w:rsidR="004653D0" w:rsidRDefault="004653D0">
            <w:pPr>
              <w:spacing w:line="240" w:lineRule="auto"/>
              <w:jc w:val="left"/>
              <w:rPr>
                <w:rFonts w:ascii="Calibri" w:hAnsi="Calibri" w:cs="Calibri"/>
                <w:noProof w:val="0"/>
                <w:color w:val="auto"/>
                <w:lang w:val="en-GB" w:eastAsia="en-GB"/>
              </w:rPr>
            </w:pPr>
          </w:p>
        </w:tc>
        <w:tc>
          <w:tcPr>
            <w:tcW w:w="253" w:type="pct"/>
            <w:shd w:val="clear" w:color="auto" w:fill="FFFFFF"/>
            <w:noWrap/>
            <w:vAlign w:val="center"/>
            <w:hideMark/>
          </w:tcPr>
          <w:p w14:paraId="6A7A497A" w14:textId="77777777" w:rsidR="004653D0" w:rsidRDefault="004653D0">
            <w:pPr>
              <w:spacing w:line="240" w:lineRule="auto"/>
              <w:jc w:val="left"/>
              <w:rPr>
                <w:rFonts w:ascii="Calibri" w:hAnsi="Calibri" w:cs="Calibri"/>
                <w:noProof w:val="0"/>
                <w:color w:val="auto"/>
                <w:lang w:val="en-GB" w:eastAsia="en-GB"/>
              </w:rPr>
            </w:pPr>
          </w:p>
        </w:tc>
        <w:tc>
          <w:tcPr>
            <w:tcW w:w="206" w:type="pct"/>
            <w:shd w:val="clear" w:color="auto" w:fill="FFFFFF"/>
            <w:noWrap/>
            <w:vAlign w:val="center"/>
            <w:hideMark/>
          </w:tcPr>
          <w:p w14:paraId="7061BE63" w14:textId="77777777" w:rsidR="004653D0" w:rsidRDefault="004653D0">
            <w:pPr>
              <w:spacing w:line="240" w:lineRule="auto"/>
              <w:jc w:val="left"/>
              <w:rPr>
                <w:rFonts w:ascii="Calibri" w:hAnsi="Calibri" w:cs="Calibri"/>
                <w:noProof w:val="0"/>
                <w:color w:val="auto"/>
                <w:lang w:val="en-GB" w:eastAsia="en-GB"/>
              </w:rPr>
            </w:pPr>
          </w:p>
        </w:tc>
      </w:tr>
      <w:tr w:rsidR="004653D0" w14:paraId="45780937" w14:textId="77777777" w:rsidTr="004653D0">
        <w:trPr>
          <w:jc w:val="center"/>
        </w:trPr>
        <w:tc>
          <w:tcPr>
            <w:tcW w:w="1105" w:type="pct"/>
            <w:shd w:val="clear" w:color="auto" w:fill="FFFFFF"/>
            <w:noWrap/>
            <w:vAlign w:val="center"/>
            <w:hideMark/>
          </w:tcPr>
          <w:p w14:paraId="3C37C38B"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Tilia (</w:t>
            </w:r>
            <w:r>
              <w:rPr>
                <w:rFonts w:eastAsia="Times New Roman" w:cs="Calibri"/>
                <w:noProof w:val="0"/>
                <w:sz w:val="14"/>
                <w:szCs w:val="14"/>
              </w:rPr>
              <w:t xml:space="preserve">mainly </w:t>
            </w:r>
            <w:r>
              <w:rPr>
                <w:rFonts w:eastAsia="Times New Roman" w:cs="Calibri"/>
                <w:i/>
                <w:iCs/>
                <w:noProof w:val="0"/>
                <w:sz w:val="14"/>
                <w:szCs w:val="14"/>
              </w:rPr>
              <w:t>T. cordata)</w:t>
            </w:r>
          </w:p>
        </w:tc>
        <w:tc>
          <w:tcPr>
            <w:tcW w:w="230" w:type="pct"/>
            <w:shd w:val="clear" w:color="auto" w:fill="FFFFFF"/>
            <w:noWrap/>
            <w:vAlign w:val="center"/>
            <w:hideMark/>
          </w:tcPr>
          <w:p w14:paraId="425582A3"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65818A91"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35ADD756"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0.80 (0.03)</w:t>
            </w:r>
          </w:p>
        </w:tc>
        <w:tc>
          <w:tcPr>
            <w:tcW w:w="369" w:type="pct"/>
            <w:shd w:val="clear" w:color="auto" w:fill="FFFFFF"/>
            <w:noWrap/>
            <w:vAlign w:val="center"/>
            <w:hideMark/>
          </w:tcPr>
          <w:p w14:paraId="692ABEFA"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27ED7AA0"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C8624FD"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145E816"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1.36 (0.26) </w:t>
            </w:r>
            <w:r>
              <w:rPr>
                <w:rFonts w:eastAsia="Times New Roman" w:cs="Calibri"/>
                <w:noProof w:val="0"/>
                <w:sz w:val="14"/>
                <w:szCs w:val="14"/>
                <w:vertAlign w:val="superscript"/>
              </w:rPr>
              <w:t>3</w:t>
            </w:r>
          </w:p>
        </w:tc>
        <w:tc>
          <w:tcPr>
            <w:tcW w:w="322" w:type="pct"/>
            <w:shd w:val="clear" w:color="auto" w:fill="FFFFFF"/>
            <w:noWrap/>
            <w:vAlign w:val="center"/>
            <w:hideMark/>
          </w:tcPr>
          <w:p w14:paraId="11E5563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0.98 (0.0263) </w:t>
            </w:r>
            <w:r>
              <w:rPr>
                <w:rFonts w:eastAsia="Times New Roman" w:cs="Calibri"/>
                <w:noProof w:val="0"/>
                <w:sz w:val="14"/>
                <w:szCs w:val="14"/>
                <w:vertAlign w:val="superscript"/>
              </w:rPr>
              <w:t>1,2,3</w:t>
            </w:r>
          </w:p>
        </w:tc>
        <w:tc>
          <w:tcPr>
            <w:tcW w:w="231" w:type="pct"/>
            <w:shd w:val="clear" w:color="auto" w:fill="FFFFFF"/>
            <w:noWrap/>
            <w:vAlign w:val="center"/>
            <w:hideMark/>
          </w:tcPr>
          <w:p w14:paraId="2629DECA" w14:textId="77777777" w:rsidR="004653D0" w:rsidRDefault="004653D0">
            <w:pPr>
              <w:rPr>
                <w:rFonts w:eastAsia="Times New Roman" w:cs="Calibri"/>
                <w:noProof w:val="0"/>
                <w:sz w:val="14"/>
                <w:szCs w:val="14"/>
              </w:rPr>
            </w:pPr>
          </w:p>
        </w:tc>
        <w:tc>
          <w:tcPr>
            <w:tcW w:w="230" w:type="pct"/>
            <w:shd w:val="clear" w:color="auto" w:fill="FFFFFF"/>
            <w:noWrap/>
            <w:vAlign w:val="center"/>
            <w:hideMark/>
          </w:tcPr>
          <w:p w14:paraId="2F54BE8E"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611F18E3"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010AAB5D"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1.47 (0.23) </w:t>
            </w:r>
            <w:r>
              <w:rPr>
                <w:rFonts w:eastAsia="Times New Roman" w:cs="Calibri"/>
                <w:noProof w:val="0"/>
                <w:sz w:val="14"/>
                <w:szCs w:val="14"/>
                <w:vertAlign w:val="superscript"/>
              </w:rPr>
              <w:t>3</w:t>
            </w:r>
          </w:p>
        </w:tc>
        <w:tc>
          <w:tcPr>
            <w:tcW w:w="246" w:type="pct"/>
            <w:shd w:val="clear" w:color="auto" w:fill="FFFFFF"/>
            <w:noWrap/>
            <w:vAlign w:val="center"/>
            <w:hideMark/>
          </w:tcPr>
          <w:p w14:paraId="115CBBAC"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 xml:space="preserve">12.38 (0.101) </w:t>
            </w:r>
            <w:r>
              <w:rPr>
                <w:rFonts w:eastAsia="Times New Roman" w:cs="Calibri"/>
                <w:noProof w:val="0"/>
                <w:sz w:val="14"/>
                <w:szCs w:val="14"/>
                <w:vertAlign w:val="superscript"/>
              </w:rPr>
              <w:t>1,2,3</w:t>
            </w:r>
          </w:p>
        </w:tc>
        <w:tc>
          <w:tcPr>
            <w:tcW w:w="253" w:type="pct"/>
            <w:shd w:val="clear" w:color="auto" w:fill="FFFFFF"/>
            <w:noWrap/>
            <w:vAlign w:val="center"/>
            <w:hideMark/>
          </w:tcPr>
          <w:p w14:paraId="2D986165" w14:textId="77777777" w:rsidR="004653D0" w:rsidRDefault="004653D0">
            <w:pPr>
              <w:rPr>
                <w:rFonts w:eastAsia="Times New Roman" w:cs="Calibri"/>
                <w:noProof w:val="0"/>
                <w:color w:val="auto"/>
                <w:sz w:val="14"/>
                <w:szCs w:val="14"/>
              </w:rPr>
            </w:pPr>
          </w:p>
        </w:tc>
        <w:tc>
          <w:tcPr>
            <w:tcW w:w="206" w:type="pct"/>
            <w:shd w:val="clear" w:color="auto" w:fill="FFFFFF"/>
            <w:noWrap/>
            <w:vAlign w:val="center"/>
            <w:hideMark/>
          </w:tcPr>
          <w:p w14:paraId="49DD2F9A" w14:textId="77777777" w:rsidR="004653D0" w:rsidRDefault="004653D0">
            <w:pPr>
              <w:spacing w:line="240" w:lineRule="auto"/>
              <w:jc w:val="left"/>
              <w:rPr>
                <w:rFonts w:ascii="Calibri" w:hAnsi="Calibri" w:cs="Calibri"/>
                <w:noProof w:val="0"/>
                <w:color w:val="auto"/>
                <w:lang w:val="en-GB" w:eastAsia="en-GB"/>
              </w:rPr>
            </w:pPr>
          </w:p>
        </w:tc>
      </w:tr>
      <w:tr w:rsidR="004653D0" w14:paraId="4F892BC7" w14:textId="77777777" w:rsidTr="004653D0">
        <w:trPr>
          <w:jc w:val="center"/>
        </w:trPr>
        <w:tc>
          <w:tcPr>
            <w:tcW w:w="1105" w:type="pct"/>
            <w:shd w:val="clear" w:color="auto" w:fill="FFFFFF"/>
            <w:noWrap/>
            <w:vAlign w:val="center"/>
            <w:hideMark/>
          </w:tcPr>
          <w:p w14:paraId="2906521B" w14:textId="77777777" w:rsidR="004653D0" w:rsidRDefault="004653D0">
            <w:pPr>
              <w:autoSpaceDE w:val="0"/>
              <w:autoSpaceDN w:val="0"/>
              <w:adjustRightInd w:val="0"/>
              <w:snapToGrid w:val="0"/>
              <w:spacing w:line="240" w:lineRule="auto"/>
              <w:ind w:left="284"/>
              <w:jc w:val="left"/>
              <w:rPr>
                <w:rFonts w:eastAsia="Times New Roman" w:cs="Calibri"/>
                <w:i/>
                <w:iCs/>
                <w:noProof w:val="0"/>
                <w:sz w:val="14"/>
                <w:szCs w:val="14"/>
              </w:rPr>
            </w:pPr>
            <w:r>
              <w:rPr>
                <w:rFonts w:eastAsia="Times New Roman" w:cs="Calibri"/>
                <w:i/>
                <w:iCs/>
                <w:noProof w:val="0"/>
                <w:sz w:val="14"/>
                <w:szCs w:val="14"/>
              </w:rPr>
              <w:t>Ulmus (</w:t>
            </w:r>
            <w:r>
              <w:rPr>
                <w:rFonts w:eastAsia="Times New Roman" w:cs="Calibri"/>
                <w:noProof w:val="0"/>
                <w:sz w:val="14"/>
                <w:szCs w:val="14"/>
              </w:rPr>
              <w:t xml:space="preserve">mainly </w:t>
            </w:r>
            <w:r>
              <w:rPr>
                <w:rFonts w:eastAsia="Times New Roman" w:cs="Calibri"/>
                <w:i/>
                <w:iCs/>
                <w:noProof w:val="0"/>
                <w:sz w:val="14"/>
                <w:szCs w:val="14"/>
              </w:rPr>
              <w:t>U. glabra)</w:t>
            </w:r>
          </w:p>
        </w:tc>
        <w:tc>
          <w:tcPr>
            <w:tcW w:w="230" w:type="pct"/>
            <w:shd w:val="clear" w:color="auto" w:fill="FFFFFF"/>
            <w:noWrap/>
            <w:vAlign w:val="center"/>
            <w:hideMark/>
          </w:tcPr>
          <w:p w14:paraId="7288A874" w14:textId="77777777" w:rsidR="004653D0" w:rsidRDefault="004653D0">
            <w:pPr>
              <w:rPr>
                <w:rFonts w:eastAsia="Times New Roman" w:cs="Calibri"/>
                <w:i/>
                <w:iCs/>
                <w:noProof w:val="0"/>
                <w:sz w:val="14"/>
                <w:szCs w:val="14"/>
              </w:rPr>
            </w:pPr>
          </w:p>
        </w:tc>
        <w:tc>
          <w:tcPr>
            <w:tcW w:w="276" w:type="pct"/>
            <w:shd w:val="clear" w:color="auto" w:fill="FFFFFF"/>
            <w:noWrap/>
            <w:vAlign w:val="center"/>
            <w:hideMark/>
          </w:tcPr>
          <w:p w14:paraId="7FB35163" w14:textId="77777777" w:rsidR="004653D0" w:rsidRDefault="004653D0">
            <w:pPr>
              <w:spacing w:line="240" w:lineRule="auto"/>
              <w:jc w:val="left"/>
              <w:rPr>
                <w:rFonts w:ascii="Calibri" w:hAnsi="Calibri" w:cs="Calibri"/>
                <w:noProof w:val="0"/>
                <w:color w:val="auto"/>
                <w:lang w:val="en-GB" w:eastAsia="en-GB"/>
              </w:rPr>
            </w:pPr>
          </w:p>
        </w:tc>
        <w:tc>
          <w:tcPr>
            <w:tcW w:w="276" w:type="pct"/>
            <w:shd w:val="clear" w:color="auto" w:fill="FFFFFF"/>
            <w:noWrap/>
            <w:vAlign w:val="center"/>
            <w:hideMark/>
          </w:tcPr>
          <w:p w14:paraId="1D464EDC" w14:textId="77777777" w:rsidR="004653D0" w:rsidRDefault="004653D0">
            <w:pPr>
              <w:autoSpaceDE w:val="0"/>
              <w:autoSpaceDN w:val="0"/>
              <w:adjustRightInd w:val="0"/>
              <w:snapToGrid w:val="0"/>
              <w:spacing w:line="240" w:lineRule="auto"/>
              <w:jc w:val="center"/>
              <w:rPr>
                <w:rFonts w:eastAsia="Times New Roman" w:cs="Calibri"/>
                <w:noProof w:val="0"/>
                <w:color w:val="auto"/>
                <w:sz w:val="14"/>
                <w:szCs w:val="14"/>
              </w:rPr>
            </w:pPr>
            <w:r>
              <w:rPr>
                <w:rFonts w:eastAsia="Times New Roman" w:cs="Calibri"/>
                <w:noProof w:val="0"/>
                <w:sz w:val="14"/>
                <w:szCs w:val="14"/>
              </w:rPr>
              <w:t>1.27 (0.05)</w:t>
            </w:r>
          </w:p>
        </w:tc>
        <w:tc>
          <w:tcPr>
            <w:tcW w:w="369" w:type="pct"/>
            <w:shd w:val="clear" w:color="auto" w:fill="FFFFFF"/>
            <w:noWrap/>
            <w:vAlign w:val="center"/>
            <w:hideMark/>
          </w:tcPr>
          <w:p w14:paraId="2D4C0632" w14:textId="77777777" w:rsidR="004653D0" w:rsidRDefault="004653D0">
            <w:pPr>
              <w:rPr>
                <w:rFonts w:eastAsia="Times New Roman" w:cs="Calibri"/>
                <w:noProof w:val="0"/>
                <w:color w:val="auto"/>
                <w:sz w:val="14"/>
                <w:szCs w:val="14"/>
              </w:rPr>
            </w:pPr>
          </w:p>
        </w:tc>
        <w:tc>
          <w:tcPr>
            <w:tcW w:w="230" w:type="pct"/>
            <w:shd w:val="clear" w:color="auto" w:fill="FFFFFF"/>
            <w:noWrap/>
            <w:vAlign w:val="center"/>
            <w:hideMark/>
          </w:tcPr>
          <w:p w14:paraId="58966F73"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1E3E6CF7"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5BE6FF91" w14:textId="77777777" w:rsidR="004653D0" w:rsidRDefault="004653D0">
            <w:pPr>
              <w:spacing w:line="240" w:lineRule="auto"/>
              <w:jc w:val="left"/>
              <w:rPr>
                <w:rFonts w:ascii="Calibri" w:hAnsi="Calibri" w:cs="Calibri"/>
                <w:noProof w:val="0"/>
                <w:color w:val="auto"/>
                <w:lang w:val="en-GB" w:eastAsia="en-GB"/>
              </w:rPr>
            </w:pPr>
          </w:p>
        </w:tc>
        <w:tc>
          <w:tcPr>
            <w:tcW w:w="322" w:type="pct"/>
            <w:shd w:val="clear" w:color="auto" w:fill="FFFFFF"/>
            <w:noWrap/>
            <w:vAlign w:val="center"/>
            <w:hideMark/>
          </w:tcPr>
          <w:p w14:paraId="47E75496" w14:textId="77777777" w:rsidR="004653D0" w:rsidRDefault="004653D0">
            <w:pPr>
              <w:spacing w:line="240" w:lineRule="auto"/>
              <w:jc w:val="left"/>
              <w:rPr>
                <w:rFonts w:ascii="Calibri" w:hAnsi="Calibri" w:cs="Calibri"/>
                <w:noProof w:val="0"/>
                <w:color w:val="auto"/>
                <w:lang w:val="en-GB" w:eastAsia="en-GB"/>
              </w:rPr>
            </w:pPr>
          </w:p>
        </w:tc>
        <w:tc>
          <w:tcPr>
            <w:tcW w:w="231" w:type="pct"/>
            <w:shd w:val="clear" w:color="auto" w:fill="FFFFFF"/>
            <w:noWrap/>
            <w:vAlign w:val="center"/>
            <w:hideMark/>
          </w:tcPr>
          <w:p w14:paraId="10A4E273" w14:textId="77777777" w:rsidR="004653D0" w:rsidRDefault="004653D0">
            <w:pPr>
              <w:spacing w:line="240" w:lineRule="auto"/>
              <w:jc w:val="left"/>
              <w:rPr>
                <w:rFonts w:ascii="Calibri" w:hAnsi="Calibri" w:cs="Calibri"/>
                <w:noProof w:val="0"/>
                <w:color w:val="auto"/>
                <w:lang w:val="en-GB" w:eastAsia="en-GB"/>
              </w:rPr>
            </w:pPr>
          </w:p>
        </w:tc>
        <w:tc>
          <w:tcPr>
            <w:tcW w:w="230" w:type="pct"/>
            <w:shd w:val="clear" w:color="auto" w:fill="FFFFFF"/>
            <w:noWrap/>
            <w:vAlign w:val="center"/>
            <w:hideMark/>
          </w:tcPr>
          <w:p w14:paraId="20901518" w14:textId="77777777" w:rsidR="004653D0" w:rsidRDefault="004653D0">
            <w:pPr>
              <w:spacing w:line="240" w:lineRule="auto"/>
              <w:jc w:val="left"/>
              <w:rPr>
                <w:rFonts w:ascii="Calibri" w:hAnsi="Calibri" w:cs="Calibri"/>
                <w:noProof w:val="0"/>
                <w:color w:val="auto"/>
                <w:lang w:val="en-GB" w:eastAsia="en-GB"/>
              </w:rPr>
            </w:pPr>
          </w:p>
        </w:tc>
        <w:tc>
          <w:tcPr>
            <w:tcW w:w="368" w:type="pct"/>
            <w:shd w:val="clear" w:color="auto" w:fill="FFFFFF"/>
            <w:noWrap/>
            <w:vAlign w:val="center"/>
            <w:hideMark/>
          </w:tcPr>
          <w:p w14:paraId="5285FFDA" w14:textId="77777777" w:rsidR="004653D0" w:rsidRDefault="004653D0">
            <w:pPr>
              <w:spacing w:line="240" w:lineRule="auto"/>
              <w:jc w:val="left"/>
              <w:rPr>
                <w:rFonts w:ascii="Calibri" w:hAnsi="Calibri" w:cs="Calibri"/>
                <w:noProof w:val="0"/>
                <w:color w:val="auto"/>
                <w:lang w:val="en-GB" w:eastAsia="en-GB"/>
              </w:rPr>
            </w:pPr>
          </w:p>
        </w:tc>
        <w:tc>
          <w:tcPr>
            <w:tcW w:w="198" w:type="pct"/>
            <w:shd w:val="clear" w:color="auto" w:fill="FFFFFF"/>
            <w:noWrap/>
            <w:vAlign w:val="center"/>
            <w:hideMark/>
          </w:tcPr>
          <w:p w14:paraId="79B528A1" w14:textId="77777777" w:rsidR="004653D0" w:rsidRDefault="004653D0">
            <w:pPr>
              <w:spacing w:line="240" w:lineRule="auto"/>
              <w:jc w:val="left"/>
              <w:rPr>
                <w:rFonts w:ascii="Calibri" w:hAnsi="Calibri" w:cs="Calibri"/>
                <w:noProof w:val="0"/>
                <w:color w:val="auto"/>
                <w:lang w:val="en-GB" w:eastAsia="en-GB"/>
              </w:rPr>
            </w:pPr>
          </w:p>
        </w:tc>
        <w:tc>
          <w:tcPr>
            <w:tcW w:w="246" w:type="pct"/>
            <w:shd w:val="clear" w:color="auto" w:fill="FFFFFF"/>
            <w:noWrap/>
            <w:vAlign w:val="center"/>
            <w:hideMark/>
          </w:tcPr>
          <w:p w14:paraId="35E4B1E8"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 xml:space="preserve">11.51 (0.101) </w:t>
            </w:r>
            <w:r>
              <w:rPr>
                <w:rFonts w:eastAsia="Times New Roman" w:cs="Calibri"/>
                <w:noProof w:val="0"/>
                <w:sz w:val="14"/>
                <w:szCs w:val="14"/>
                <w:vertAlign w:val="superscript"/>
              </w:rPr>
              <w:t>1,2,3</w:t>
            </w:r>
          </w:p>
        </w:tc>
        <w:tc>
          <w:tcPr>
            <w:tcW w:w="253" w:type="pct"/>
            <w:shd w:val="clear" w:color="auto" w:fill="FFFFFF"/>
            <w:noWrap/>
            <w:vAlign w:val="center"/>
            <w:hideMark/>
          </w:tcPr>
          <w:p w14:paraId="2189F038" w14:textId="77777777" w:rsidR="004653D0" w:rsidRDefault="004653D0">
            <w:pPr>
              <w:rPr>
                <w:rFonts w:eastAsia="Times New Roman" w:cs="Calibri"/>
                <w:noProof w:val="0"/>
                <w:sz w:val="14"/>
                <w:szCs w:val="14"/>
              </w:rPr>
            </w:pPr>
          </w:p>
        </w:tc>
        <w:tc>
          <w:tcPr>
            <w:tcW w:w="206" w:type="pct"/>
            <w:shd w:val="clear" w:color="auto" w:fill="FFFFFF"/>
            <w:noWrap/>
            <w:vAlign w:val="center"/>
            <w:hideMark/>
          </w:tcPr>
          <w:p w14:paraId="43D14D24" w14:textId="77777777" w:rsidR="004653D0" w:rsidRDefault="004653D0">
            <w:pPr>
              <w:spacing w:line="240" w:lineRule="auto"/>
              <w:jc w:val="left"/>
              <w:rPr>
                <w:rFonts w:ascii="Calibri" w:hAnsi="Calibri" w:cs="Calibri"/>
                <w:noProof w:val="0"/>
                <w:color w:val="auto"/>
                <w:lang w:val="en-GB" w:eastAsia="en-GB"/>
              </w:rPr>
            </w:pPr>
          </w:p>
        </w:tc>
      </w:tr>
      <w:tr w:rsidR="004653D0" w14:paraId="0297645F" w14:textId="77777777" w:rsidTr="004653D0">
        <w:trPr>
          <w:jc w:val="center"/>
        </w:trPr>
        <w:tc>
          <w:tcPr>
            <w:tcW w:w="1105" w:type="pct"/>
            <w:tcBorders>
              <w:top w:val="nil"/>
              <w:left w:val="nil"/>
              <w:bottom w:val="single" w:sz="8" w:space="0" w:color="auto"/>
              <w:right w:val="nil"/>
            </w:tcBorders>
            <w:shd w:val="clear" w:color="auto" w:fill="FFFFFF"/>
            <w:noWrap/>
            <w:vAlign w:val="center"/>
            <w:hideMark/>
          </w:tcPr>
          <w:p w14:paraId="5C6158FE" w14:textId="77777777" w:rsidR="004653D0" w:rsidRDefault="004653D0">
            <w:pPr>
              <w:autoSpaceDE w:val="0"/>
              <w:autoSpaceDN w:val="0"/>
              <w:adjustRightInd w:val="0"/>
              <w:snapToGrid w:val="0"/>
              <w:spacing w:line="240" w:lineRule="auto"/>
              <w:ind w:left="284"/>
              <w:jc w:val="left"/>
              <w:rPr>
                <w:rFonts w:eastAsia="Times New Roman" w:cs="Calibri"/>
                <w:noProof w:val="0"/>
                <w:sz w:val="14"/>
                <w:szCs w:val="14"/>
              </w:rPr>
            </w:pPr>
            <w:r>
              <w:rPr>
                <w:rFonts w:eastAsia="Times New Roman" w:cs="Calibri"/>
                <w:noProof w:val="0"/>
                <w:sz w:val="14"/>
                <w:szCs w:val="14"/>
              </w:rPr>
              <w:t>Number of taxa</w:t>
            </w:r>
          </w:p>
        </w:tc>
        <w:tc>
          <w:tcPr>
            <w:tcW w:w="230" w:type="pct"/>
            <w:tcBorders>
              <w:top w:val="nil"/>
              <w:left w:val="nil"/>
              <w:bottom w:val="single" w:sz="8" w:space="0" w:color="auto"/>
              <w:right w:val="nil"/>
            </w:tcBorders>
            <w:shd w:val="clear" w:color="auto" w:fill="FFFFFF"/>
            <w:noWrap/>
            <w:vAlign w:val="center"/>
            <w:hideMark/>
          </w:tcPr>
          <w:p w14:paraId="1D9FF11A"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5</w:t>
            </w:r>
          </w:p>
        </w:tc>
        <w:tc>
          <w:tcPr>
            <w:tcW w:w="276" w:type="pct"/>
            <w:tcBorders>
              <w:top w:val="nil"/>
              <w:left w:val="nil"/>
              <w:bottom w:val="single" w:sz="8" w:space="0" w:color="auto"/>
              <w:right w:val="nil"/>
            </w:tcBorders>
            <w:shd w:val="clear" w:color="auto" w:fill="FFFFFF"/>
            <w:noWrap/>
            <w:vAlign w:val="center"/>
            <w:hideMark/>
          </w:tcPr>
          <w:p w14:paraId="1BF12A58"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9</w:t>
            </w:r>
          </w:p>
        </w:tc>
        <w:tc>
          <w:tcPr>
            <w:tcW w:w="276" w:type="pct"/>
            <w:tcBorders>
              <w:top w:val="nil"/>
              <w:left w:val="nil"/>
              <w:bottom w:val="single" w:sz="8" w:space="0" w:color="auto"/>
              <w:right w:val="nil"/>
            </w:tcBorders>
            <w:shd w:val="clear" w:color="auto" w:fill="FFFFFF"/>
            <w:noWrap/>
            <w:vAlign w:val="center"/>
            <w:hideMark/>
          </w:tcPr>
          <w:p w14:paraId="0DF238C8"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25</w:t>
            </w:r>
          </w:p>
        </w:tc>
        <w:tc>
          <w:tcPr>
            <w:tcW w:w="369" w:type="pct"/>
            <w:tcBorders>
              <w:top w:val="nil"/>
              <w:left w:val="nil"/>
              <w:bottom w:val="single" w:sz="8" w:space="0" w:color="auto"/>
              <w:right w:val="nil"/>
            </w:tcBorders>
            <w:shd w:val="clear" w:color="auto" w:fill="FFFFFF"/>
            <w:noWrap/>
            <w:vAlign w:val="center"/>
            <w:hideMark/>
          </w:tcPr>
          <w:p w14:paraId="2078F6B9"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11</w:t>
            </w:r>
          </w:p>
        </w:tc>
        <w:tc>
          <w:tcPr>
            <w:tcW w:w="230" w:type="pct"/>
            <w:tcBorders>
              <w:top w:val="nil"/>
              <w:left w:val="nil"/>
              <w:bottom w:val="single" w:sz="8" w:space="0" w:color="auto"/>
              <w:right w:val="nil"/>
            </w:tcBorders>
            <w:shd w:val="clear" w:color="auto" w:fill="FFFFFF"/>
            <w:noWrap/>
            <w:vAlign w:val="center"/>
            <w:hideMark/>
          </w:tcPr>
          <w:p w14:paraId="5B9DD52C"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6</w:t>
            </w:r>
          </w:p>
        </w:tc>
        <w:tc>
          <w:tcPr>
            <w:tcW w:w="230" w:type="pct"/>
            <w:tcBorders>
              <w:top w:val="nil"/>
              <w:left w:val="nil"/>
              <w:bottom w:val="single" w:sz="8" w:space="0" w:color="auto"/>
              <w:right w:val="nil"/>
            </w:tcBorders>
            <w:shd w:val="clear" w:color="auto" w:fill="FFFFFF"/>
            <w:noWrap/>
            <w:vAlign w:val="center"/>
            <w:hideMark/>
          </w:tcPr>
          <w:p w14:paraId="5107DB2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w:t>
            </w:r>
          </w:p>
        </w:tc>
        <w:tc>
          <w:tcPr>
            <w:tcW w:w="230" w:type="pct"/>
            <w:tcBorders>
              <w:top w:val="nil"/>
              <w:left w:val="nil"/>
              <w:bottom w:val="single" w:sz="8" w:space="0" w:color="auto"/>
              <w:right w:val="nil"/>
            </w:tcBorders>
            <w:shd w:val="clear" w:color="auto" w:fill="FFFFFF"/>
            <w:noWrap/>
            <w:vAlign w:val="center"/>
            <w:hideMark/>
          </w:tcPr>
          <w:p w14:paraId="356ECBF8"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11</w:t>
            </w:r>
          </w:p>
        </w:tc>
        <w:tc>
          <w:tcPr>
            <w:tcW w:w="322" w:type="pct"/>
            <w:tcBorders>
              <w:top w:val="nil"/>
              <w:left w:val="nil"/>
              <w:bottom w:val="single" w:sz="8" w:space="0" w:color="auto"/>
              <w:right w:val="nil"/>
            </w:tcBorders>
            <w:shd w:val="clear" w:color="auto" w:fill="FFFFFF"/>
            <w:noWrap/>
            <w:vAlign w:val="center"/>
            <w:hideMark/>
          </w:tcPr>
          <w:p w14:paraId="7693C567"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7</w:t>
            </w:r>
          </w:p>
        </w:tc>
        <w:tc>
          <w:tcPr>
            <w:tcW w:w="231" w:type="pct"/>
            <w:tcBorders>
              <w:top w:val="nil"/>
              <w:left w:val="nil"/>
              <w:bottom w:val="single" w:sz="8" w:space="0" w:color="auto"/>
              <w:right w:val="nil"/>
            </w:tcBorders>
            <w:shd w:val="clear" w:color="auto" w:fill="FFFFFF"/>
            <w:noWrap/>
            <w:vAlign w:val="center"/>
            <w:hideMark/>
          </w:tcPr>
          <w:p w14:paraId="1E08F83B"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w:t>
            </w:r>
          </w:p>
        </w:tc>
        <w:tc>
          <w:tcPr>
            <w:tcW w:w="230" w:type="pct"/>
            <w:tcBorders>
              <w:top w:val="nil"/>
              <w:left w:val="nil"/>
              <w:bottom w:val="single" w:sz="8" w:space="0" w:color="auto"/>
              <w:right w:val="nil"/>
            </w:tcBorders>
            <w:shd w:val="clear" w:color="auto" w:fill="FFFFFF"/>
            <w:noWrap/>
            <w:vAlign w:val="center"/>
            <w:hideMark/>
          </w:tcPr>
          <w:p w14:paraId="5927B3FE"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6</w:t>
            </w:r>
          </w:p>
        </w:tc>
        <w:tc>
          <w:tcPr>
            <w:tcW w:w="368" w:type="pct"/>
            <w:tcBorders>
              <w:top w:val="nil"/>
              <w:left w:val="nil"/>
              <w:bottom w:val="single" w:sz="8" w:space="0" w:color="auto"/>
              <w:right w:val="nil"/>
            </w:tcBorders>
            <w:shd w:val="clear" w:color="auto" w:fill="FFFFFF"/>
            <w:noWrap/>
            <w:vAlign w:val="center"/>
            <w:hideMark/>
          </w:tcPr>
          <w:p w14:paraId="6330F8D4"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12</w:t>
            </w:r>
          </w:p>
        </w:tc>
        <w:tc>
          <w:tcPr>
            <w:tcW w:w="198" w:type="pct"/>
            <w:tcBorders>
              <w:top w:val="nil"/>
              <w:left w:val="nil"/>
              <w:bottom w:val="single" w:sz="8" w:space="0" w:color="auto"/>
              <w:right w:val="nil"/>
            </w:tcBorders>
            <w:shd w:val="clear" w:color="auto" w:fill="FFFFFF"/>
            <w:noWrap/>
            <w:vAlign w:val="center"/>
            <w:hideMark/>
          </w:tcPr>
          <w:p w14:paraId="68C6C9E2"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13</w:t>
            </w:r>
          </w:p>
        </w:tc>
        <w:tc>
          <w:tcPr>
            <w:tcW w:w="246" w:type="pct"/>
            <w:tcBorders>
              <w:top w:val="nil"/>
              <w:left w:val="nil"/>
              <w:bottom w:val="single" w:sz="8" w:space="0" w:color="auto"/>
              <w:right w:val="nil"/>
            </w:tcBorders>
            <w:shd w:val="clear" w:color="auto" w:fill="FFFFFF"/>
            <w:noWrap/>
            <w:vAlign w:val="center"/>
            <w:hideMark/>
          </w:tcPr>
          <w:p w14:paraId="2D3BE062"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14</w:t>
            </w:r>
          </w:p>
        </w:tc>
        <w:tc>
          <w:tcPr>
            <w:tcW w:w="253" w:type="pct"/>
            <w:tcBorders>
              <w:top w:val="nil"/>
              <w:left w:val="nil"/>
              <w:bottom w:val="single" w:sz="8" w:space="0" w:color="auto"/>
              <w:right w:val="nil"/>
            </w:tcBorders>
            <w:shd w:val="clear" w:color="auto" w:fill="FFFFFF"/>
            <w:noWrap/>
            <w:vAlign w:val="center"/>
            <w:hideMark/>
          </w:tcPr>
          <w:p w14:paraId="6D1BDE0D"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10</w:t>
            </w:r>
          </w:p>
        </w:tc>
        <w:tc>
          <w:tcPr>
            <w:tcW w:w="206" w:type="pct"/>
            <w:tcBorders>
              <w:top w:val="nil"/>
              <w:left w:val="nil"/>
              <w:bottom w:val="single" w:sz="8" w:space="0" w:color="auto"/>
              <w:right w:val="nil"/>
            </w:tcBorders>
            <w:shd w:val="clear" w:color="auto" w:fill="FFFFFF"/>
            <w:noWrap/>
            <w:vAlign w:val="center"/>
            <w:hideMark/>
          </w:tcPr>
          <w:p w14:paraId="61227961" w14:textId="77777777" w:rsidR="004653D0" w:rsidRDefault="004653D0">
            <w:pPr>
              <w:autoSpaceDE w:val="0"/>
              <w:autoSpaceDN w:val="0"/>
              <w:adjustRightInd w:val="0"/>
              <w:snapToGrid w:val="0"/>
              <w:spacing w:line="240" w:lineRule="auto"/>
              <w:jc w:val="center"/>
              <w:rPr>
                <w:rFonts w:eastAsia="Times New Roman" w:cs="Calibri"/>
                <w:noProof w:val="0"/>
                <w:sz w:val="14"/>
                <w:szCs w:val="14"/>
              </w:rPr>
            </w:pPr>
            <w:r>
              <w:rPr>
                <w:rFonts w:eastAsia="Times New Roman" w:cs="Calibri"/>
                <w:noProof w:val="0"/>
                <w:sz w:val="14"/>
                <w:szCs w:val="14"/>
              </w:rPr>
              <w:t>11</w:t>
            </w:r>
          </w:p>
        </w:tc>
      </w:tr>
    </w:tbl>
    <w:p w14:paraId="04F233BB" w14:textId="77777777" w:rsidR="004653D0" w:rsidRDefault="004653D0" w:rsidP="004653D0">
      <w:pPr>
        <w:spacing w:line="240" w:lineRule="auto"/>
        <w:jc w:val="left"/>
        <w:rPr>
          <w:rFonts w:eastAsia="Times New Roman"/>
          <w:noProof w:val="0"/>
          <w:snapToGrid w:val="0"/>
          <w:szCs w:val="22"/>
          <w:lang w:val="en-GB" w:eastAsia="de-DE" w:bidi="en-US"/>
        </w:rPr>
        <w:sectPr w:rsidR="004653D0">
          <w:pgSz w:w="16838" w:h="11906" w:orient="landscape"/>
          <w:pgMar w:top="1417" w:right="720" w:bottom="1077" w:left="720" w:header="1020" w:footer="340" w:gutter="0"/>
          <w:pgNumType w:start="21"/>
          <w:cols w:space="720"/>
          <w:bidi/>
          <w:docGrid w:type="linesAndChars" w:linePitch="326"/>
        </w:sectPr>
      </w:pPr>
    </w:p>
    <w:p w14:paraId="5AB74EA6" w14:textId="77777777" w:rsidR="004653D0" w:rsidRDefault="004653D0" w:rsidP="004653D0">
      <w:pPr>
        <w:pStyle w:val="MDPI21heading1"/>
        <w:rPr>
          <w:lang w:val="en-GB"/>
        </w:rPr>
      </w:pPr>
      <w:r>
        <w:rPr>
          <w:lang w:val="en-GB"/>
        </w:rPr>
        <w:lastRenderedPageBreak/>
        <w:t>Appendix C</w:t>
      </w:r>
    </w:p>
    <w:p w14:paraId="45510C3D" w14:textId="77777777" w:rsidR="004653D0" w:rsidRDefault="004653D0" w:rsidP="004653D0">
      <w:pPr>
        <w:pStyle w:val="MDPI31text"/>
        <w:rPr>
          <w:rFonts w:cstheme="minorHAnsi"/>
          <w:color w:val="auto"/>
          <w:lang w:val="en-GB"/>
        </w:rPr>
      </w:pPr>
      <w:r>
        <w:rPr>
          <w:color w:val="auto"/>
        </w:rPr>
        <w:t>Major axis (MA) as a regression method</w:t>
      </w:r>
      <w:r>
        <w:rPr>
          <w:color w:val="auto"/>
          <w:lang w:val="en-GB"/>
        </w:rPr>
        <w:t xml:space="preserve"> was used </w:t>
      </w:r>
      <w:r>
        <w:rPr>
          <w:color w:val="auto"/>
        </w:rPr>
        <w:t xml:space="preserve">to explore the bivariate relationship between two pairs of variables </w:t>
      </w:r>
      <w:r>
        <w:rPr>
          <w:color w:val="auto"/>
          <w:lang w:val="en-GB"/>
        </w:rPr>
        <w:fldChar w:fldCharType="begin" w:fldLock="1"/>
      </w:r>
      <w:r>
        <w:rPr>
          <w:color w:val="auto"/>
          <w:lang w:val="en-GB"/>
        </w:rPr>
        <w:instrText>ADDIN CSL_CITATION {"citationItems":[{"id":"ITEM-1","itemData":{"id":"ITEM-1","issued":{"date-parts":[["0"]]},"title":"Legendre, P. and Legendre, L. (1998) Numerical ecology. 2nd English Edition, Elsevier, Amsterdam.","type":"article-journal"},"uris":["http://www.mendeley.com/documents/?uuid=1b73e4c4-e46a-4ddf-b0a7-b4a53dc68e1d"]},{"id":"ITEM-2","itemData":{"DOI":"10.1002/9781118445112.stat07912","ISBN":"9781118445112","abstract":"Abstract The theoretical underpinnings of standard least-squares (LS) regression analysis are based on the assumption that the independent variable (often thought of as x) is measured without error as a design variable. The dependent variable (often labeled y) is modeled as having uncertainty or error. Both independent and dependent measurements may have multiple sources of error. Thus, the underlying least-squares regression assumptions can be violated. Reduced major axis (RMA) regression is specifically formulated to handle errors in both the x and y variables. It is an alternative to least squares and demonstrates the importance of understanding the assumptions underlying statistical procedures.","author":[{"dropping-particle":"V.","family":"Harper","given":"William","non-dropping-particle":"","parse-names":false,"suffix":""}],"container-title":"Wiley StatsRef: Statistics Reference Online","id":"ITEM-2","issued":{"date-parts":[["2016"]]},"page":"1-6","title":"Reduced Major Axis Regression","type":"article-journal"},"uris":["http://www.mendeley.com/documents/?uuid=61b3acb4-8af8-4399-9a5e-b173ee932e18"]}],"mendeley":{"formattedCitation":"&lt;sup&gt;[63, 64]&lt;/sup&gt;","manualFormatting":"[61,62]","plainTextFormattedCitation":"[63, 64]","previouslyFormattedCitation":"(Harper, 2016; &lt;i&gt;Legendre, P. and Legendre, L. (1998) Numerical Ecology. 2nd English Edition, Elsevier, Amsterdam.&lt;/i&gt;, n.d.)"},"properties":{"noteIndex":0},"schema":"https://github.com/citation-style-language/schema/raw/master/csl-citation.json"}</w:instrText>
      </w:r>
      <w:r>
        <w:rPr>
          <w:color w:val="auto"/>
          <w:lang w:val="en-GB"/>
        </w:rPr>
        <w:fldChar w:fldCharType="separate"/>
      </w:r>
      <w:r>
        <w:rPr>
          <w:noProof/>
          <w:color w:val="auto"/>
          <w:lang w:val="en-GB"/>
        </w:rPr>
        <w:t>[60,61]</w:t>
      </w:r>
      <w:r>
        <w:rPr>
          <w:color w:val="auto"/>
          <w:lang w:val="en-GB"/>
        </w:rPr>
        <w:fldChar w:fldCharType="end"/>
      </w:r>
      <w:r>
        <w:rPr>
          <w:color w:val="auto"/>
        </w:rPr>
        <w:t xml:space="preserve">, or data series: among </w:t>
      </w:r>
      <w:r>
        <w:rPr>
          <w:color w:val="auto"/>
          <w:lang w:val="en-GB"/>
        </w:rPr>
        <w:t xml:space="preserve">different RPP-means datasets, </w:t>
      </w:r>
      <w:proofErr w:type="spellStart"/>
      <w:r>
        <w:rPr>
          <w:color w:val="auto"/>
          <w:lang w:val="en-GB"/>
        </w:rPr>
        <w:t>RPPs.sts</w:t>
      </w:r>
      <w:proofErr w:type="spellEnd"/>
      <w:r>
        <w:rPr>
          <w:color w:val="auto"/>
          <w:lang w:val="en-GB"/>
        </w:rPr>
        <w:t>, over the Holocene (RPPs.st2 vs. RPPs.st1 and RPPs.st3 vs. RPPs.st1) and between modern vegetation and REVEALS results</w:t>
      </w:r>
      <w:r>
        <w:rPr>
          <w:color w:val="auto"/>
        </w:rPr>
        <w:t xml:space="preserve">. </w:t>
      </w:r>
      <w:r>
        <w:rPr>
          <w:color w:val="auto"/>
          <w:lang w:val="en-GB"/>
        </w:rPr>
        <w:t xml:space="preserve">When both independent and dependent variables are subject to error, the least-squares regression </w:t>
      </w:r>
      <w:r>
        <w:rPr>
          <w:rStyle w:val="FootnoteReference"/>
          <w:rFonts w:cstheme="minorHAnsi"/>
          <w:color w:val="auto"/>
          <w:lang w:val="en-GB"/>
        </w:rPr>
        <w:fldChar w:fldCharType="begin" w:fldLock="1"/>
      </w:r>
      <w:r>
        <w:rPr>
          <w:color w:val="auto"/>
          <w:lang w:val="en-GB"/>
        </w:rPr>
        <w:instrText>ADDIN CSL_CITATION {"citationItems":[{"id":"ITEM-1","itemData":{"DOI":"10.1007/978-1-4612-4380-9_20","abstract":"A great deal of use has undoubtedly been made of least squares regression methods in circumstances in which they are known to be inapplicable. In particular, they have often been employed for the analysis of time series and similar data in which successive...","author":[{"dropping-particle":"","family":"Durbin","given":"J.","non-dropping-particle":"","parse-names":false,"suffix":""},{"dropping-particle":"","family":"Watson","given":"G. S.","non-dropping-particle":"","parse-names":false,"suffix":""}],"id":"ITEM-1","issued":{"date-parts":[["1992"]]},"page":"237-259","publisher":"Springer, New York, NY","title":"Testing for Serial Correlation in Least Squares Regression. I","type":"article-journal"},"uris":["http://www.mendeley.com/documents/?uuid=7dd90928-b795-375e-910f-0d620f69e3d8"]}],"mendeley":{"formattedCitation":"&lt;sup&gt;[101]&lt;/sup&gt;","manualFormatting":"[104]","plainTextFormattedCitation":"[101]","previouslyFormattedCitation":"(Durbin &amp; Watson, 1992)"},"properties":{"noteIndex":0},"schema":"https://github.com/citation-style-language/schema/raw/master/csl-citation.json"}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[103]</w:t>
      </w:r>
      <w:r>
        <w:rPr>
          <w:rStyle w:val="FootnoteReference"/>
          <w:rFonts w:cstheme="minorHAnsi"/>
          <w:color w:val="auto"/>
          <w:lang w:val="en-GB"/>
        </w:rPr>
        <w:fldChar w:fldCharType="end"/>
      </w:r>
      <w:r>
        <w:rPr>
          <w:color w:val="auto"/>
          <w:lang w:val="en-GB"/>
        </w:rPr>
        <w:t xml:space="preserve"> assumptions are violated. </w:t>
      </w:r>
      <w:r>
        <w:rPr>
          <w:color w:val="auto"/>
          <w:lang w:val="en-GB"/>
        </w:rPr>
        <w:fldChar w:fldCharType="begin" w:fldLock="1"/>
      </w:r>
      <w:r>
        <w:rPr>
          <w:color w:val="auto"/>
          <w:lang w:val="en-GB"/>
        </w:rPr>
        <w:instrText>ADDIN CSL_CITATION {"citationItems":[{"id":"ITEM-1","itemData":{"container-title":"Numerical ecology. Elsevier","id":"ITEM-1","issued":{"date-parts":[["2012"]]},"title":"Legendre, P., &amp; Legendre, L.","type":"article-journal"},"uris":["http://www.mendeley.com/documents/?uuid=b7cbc412-9800-4a95-91f4-fc1ce42a1af4"]}],"mendeley":{"formattedCitation":"&lt;sup&gt;[102]&lt;/sup&gt;","manualFormatting":"[105]","plainTextFormattedCitation":"[102]","previouslyFormattedCitation":"(“Legendre, P., &amp; Legendre, L.,” 2012)"},"properties":{"noteIndex":0},"schema":"https://github.com/citation-style-language/schema/raw/master/csl-citation.json"}</w:instrText>
      </w:r>
      <w:r>
        <w:rPr>
          <w:color w:val="auto"/>
          <w:lang w:val="en-GB"/>
        </w:rPr>
        <w:fldChar w:fldCharType="separate"/>
      </w:r>
      <w:r>
        <w:rPr>
          <w:noProof/>
          <w:color w:val="auto"/>
          <w:lang w:val="en-GB"/>
        </w:rPr>
        <w:t>[104]</w:t>
      </w:r>
      <w:r>
        <w:rPr>
          <w:color w:val="auto"/>
          <w:lang w:val="en-GB"/>
        </w:rPr>
        <w:fldChar w:fldCharType="end"/>
      </w:r>
      <w:r>
        <w:rPr>
          <w:color w:val="auto"/>
          <w:lang w:val="en-GB"/>
        </w:rPr>
        <w:t xml:space="preserve"> recommend using MA if both variables are expressed in the same physical units and with heterogeneous variables to compare the slopes of the relationships between the same two variables measured under different conditions (e.g., at two or more sampling sites). MA slopes are fitted by minimizing the sums of squares of errors in X and Y dimensions simultaneously, and they show the proportional relationships between variables (here, data series), i.e., how one variable scales against another. MA regressions were performed using Major Axis Tests and Routines (SMATR) software version 3.6.1 in R </w:t>
      </w:r>
      <w:r>
        <w:rPr>
          <w:rStyle w:val="FootnoteReference"/>
          <w:rFonts w:cstheme="minorHAnsi"/>
          <w:color w:val="auto"/>
          <w:lang w:val="en-GB"/>
        </w:rPr>
        <w:fldChar w:fldCharType="begin" w:fldLock="1"/>
      </w:r>
      <w:r>
        <w:rPr>
          <w:color w:val="auto"/>
          <w:lang w:val="en-GB"/>
        </w:rPr>
        <w:instrText>ADDIN CSL_CITATION {"citationItems":[{"id":"ITEM-1","itemData":{"author":[{"dropping-particle":"","family":"Warton","given":"David I.","non-dropping-particle":"","parse-names":false,"suffix":""},{"dropping-particle":"","family":"Wright","given":"I J","non-dropping-particle":"","parse-names":false,"suffix":""}],"id":"ITEM-1","issue":"61","issued":{"date-parts":[["2005"]]},"title":"Methods of inference for bivariate line fitting methods for allometry","type":"article-journal"},"uris":["http://www.mendeley.com/documents/?uuid=80b4f1b4-28c7-405b-934a-d7a56ac41a3f"]},{"id":"ITEM-2","itemData":{"DOI":"10.1111/j.2041-210X.2011.00153.x","ISSN":"2041210X","abstract":"1.The Standardised Major Axis Tests and Routines (SMATR) software provides tools for estimation and inference about allometric lines, currently widely used in ecology and evolution. 2.This paper describes some significant improvements to the functionality of the package, now available on R in smatr version 3. 3.New inclusions in the package include sma and ma functions that accept formula input and perform the key inference tasks; multiple comparisons; graphical methods for visualising data and checking (S)MA assumptions; robust (S)MA estimation and inference tools. © 2011 The Authors. Methods in Ecology and Evolution © 2011 British Ecological Society.","author":[{"dropping-particle":"","family":"Warton","given":"David I.","non-dropping-particle":"","parse-names":false,"suffix":""},{"dropping-particle":"","family":"Duursma","given":"Remko A.","non-dropping-particle":"","parse-names":false,"suffix":""},{"dropping-particle":"","family":"Falster","given":"Daniel S.","non-dropping-particle":"","parse-names":false,"suffix":""},{"dropping-particle":"","family":"Taskinen","given":"Sara","non-dropping-particle":"","parse-names":false,"suffix":""}],"container-title":"Methods in Ecology and Evolution","id":"ITEM-2","issue":"2","issued":{"date-parts":[["2012"]]},"page":"257-259","title":"smatr 3- an R package for estimation and inference about allometric lines","type":"article-journal","volume":"3"},"uris":["http://www.mendeley.com/documents/?uuid=c0eb5830-0169-456a-b20f-e2dd01fedd24"]}],"mendeley":{"formattedCitation":"&lt;sup&gt;[103, 104]&lt;/sup&gt;","manualFormatting":"[106,107]","plainTextFormattedCitation":"[103, 104]","previouslyFormattedCitation":"(Warton et al., 2012; Warton &amp; Wright, 2005)"},"properties":{"noteIndex":0},"schema":"https://github.com/citation-style-language/schema/raw/master/csl-citation.json"}</w:instrText>
      </w:r>
      <w:r>
        <w:rPr>
          <w:rStyle w:val="FootnoteReference"/>
          <w:rFonts w:cstheme="minorHAnsi"/>
          <w:color w:val="auto"/>
          <w:lang w:val="en-GB"/>
        </w:rPr>
        <w:fldChar w:fldCharType="separate"/>
      </w:r>
      <w:r>
        <w:rPr>
          <w:bCs/>
          <w:noProof/>
          <w:color w:val="auto"/>
        </w:rPr>
        <w:t>[105,106]</w:t>
      </w:r>
      <w:r>
        <w:rPr>
          <w:rStyle w:val="FootnoteReference"/>
          <w:rFonts w:cstheme="minorHAnsi"/>
          <w:color w:val="auto"/>
          <w:lang w:val="en-GB"/>
        </w:rPr>
        <w:fldChar w:fldCharType="end"/>
      </w:r>
      <w:r>
        <w:rPr>
          <w:color w:val="auto"/>
          <w:lang w:val="en-GB"/>
        </w:rPr>
        <w:t>. MA allows obtaining results values as (1) the slope that gives a useful quantity interpreted as the estimated change in the expected value of Y for a given value of X if, by fitting a regression line, the slope is significantly different from zero, there is an association between y and x. (2) R</w:t>
      </w:r>
      <w:r>
        <w:rPr>
          <w:color w:val="auto"/>
          <w:vertAlign w:val="superscript"/>
          <w:lang w:val="en-GB"/>
        </w:rPr>
        <w:t>2</w:t>
      </w:r>
      <w:r>
        <w:rPr>
          <w:color w:val="auto"/>
          <w:lang w:val="en-GB"/>
        </w:rPr>
        <w:t xml:space="preserve"> indicates the </w:t>
      </w:r>
      <w:r>
        <w:rPr>
          <w:bCs/>
          <w:color w:val="auto"/>
          <w:lang w:val="en-GB"/>
        </w:rPr>
        <w:t>proportion of explained variation</w:t>
      </w:r>
      <w:r>
        <w:rPr>
          <w:color w:val="auto"/>
          <w:lang w:val="en-GB"/>
        </w:rPr>
        <w:t xml:space="preserve">; that is, the variation in y that is explained by the variation in x, describing how strongly are Y and X associated. </w:t>
      </w:r>
      <w:r>
        <w:rPr>
          <w:color w:val="auto"/>
        </w:rPr>
        <w:t xml:space="preserve">(3) </w:t>
      </w:r>
      <w:r>
        <w:rPr>
          <w:color w:val="auto"/>
          <w:lang w:val="en-GB"/>
        </w:rPr>
        <w:t xml:space="preserve">r (i.e., Pearson correlation coefficient) that could be positive or negative, indicating the degree of correlation between the two variables </w:t>
      </w:r>
      <w:r>
        <w:rPr>
          <w:rStyle w:val="FootnoteReference"/>
          <w:rFonts w:cstheme="minorHAnsi"/>
          <w:color w:val="auto"/>
          <w:lang w:val="en-GB"/>
        </w:rPr>
        <w:fldChar w:fldCharType="begin" w:fldLock="1"/>
      </w:r>
      <w:r>
        <w:rPr>
          <w:color w:val="auto"/>
          <w:lang w:val="en-GB"/>
        </w:rPr>
        <w:instrText>ADDIN CSL_CITATION {"citationItems":[{"id":"ITEM-1","itemData":{"author":[{"dropping-particle":"","family":"Warton","given":"David I.","non-dropping-particle":"","parse-names":false,"suffix":""},{"dropping-particle":"","family":"Wright","given":"I J","non-dropping-particle":"","parse-names":false,"suffix":""}],"id":"ITEM-1","issue":"61","issued":{"date-parts":[["2005"]]},"title":"Methods of inference for bivariate line fitting methods for allometry","type":"article-journal"},"uris":["http://www.mendeley.com/documents/?uuid=80b4f1b4-28c7-405b-934a-d7a56ac41a3f"]}],"mendeley":{"formattedCitation":"&lt;sup&gt;[103]&lt;/sup&gt;","manualFormatting":"[106]","plainTextFormattedCitation":"[103]","previouslyFormattedCitation":"(Warton &amp; Wright, 2005)"},"properties":{"noteIndex":0},"schema":"https://github.com/citation-style-language/schema/raw/master/csl-citation.json"}</w:instrText>
      </w:r>
      <w:r>
        <w:rPr>
          <w:rStyle w:val="FootnoteReference"/>
          <w:rFonts w:cstheme="minorHAnsi"/>
          <w:color w:val="auto"/>
          <w:lang w:val="en-GB"/>
        </w:rPr>
        <w:fldChar w:fldCharType="separate"/>
      </w:r>
      <w:r>
        <w:rPr>
          <w:noProof/>
          <w:color w:val="auto"/>
          <w:lang w:val="en-GB"/>
        </w:rPr>
        <w:t>[105]</w:t>
      </w:r>
      <w:r>
        <w:rPr>
          <w:rStyle w:val="FootnoteReference"/>
          <w:rFonts w:cstheme="minorHAnsi"/>
          <w:color w:val="auto"/>
          <w:lang w:val="en-GB"/>
        </w:rPr>
        <w:fldChar w:fldCharType="end"/>
      </w:r>
      <w:r>
        <w:rPr>
          <w:rFonts w:cstheme="minorHAnsi"/>
          <w:color w:val="auto"/>
          <w:lang w:val="en-GB"/>
        </w:rPr>
        <w:t>.</w:t>
      </w:r>
    </w:p>
    <w:p w14:paraId="514F57D3" w14:textId="77777777" w:rsidR="004653D0" w:rsidRDefault="004653D0" w:rsidP="004653D0">
      <w:pPr>
        <w:pStyle w:val="MDPI21heading1"/>
        <w:ind w:left="0"/>
        <w:rPr>
          <w:lang w:val="sv-SE"/>
        </w:rPr>
      </w:pPr>
      <w:r>
        <w:rPr>
          <w:lang w:val="sv-SE"/>
        </w:rPr>
        <w:t>References</w:t>
      </w:r>
    </w:p>
    <w:p w14:paraId="6BE9276C"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GB"/>
        </w:rPr>
      </w:pPr>
      <w:r>
        <w:rPr>
          <w:rFonts w:ascii="Palatino Linotype" w:hAnsi="Palatino Linotype" w:cs="Calibri"/>
          <w:sz w:val="18"/>
          <w:szCs w:val="18"/>
          <w:lang w:val="sv-SE"/>
        </w:rPr>
        <w:t xml:space="preserve">Díaz, S.M.; Settele, J.; Brondízio, E.; Ngo, H.; Guèze, M.; Agard, J.; Arneth, A.; Balvanera, P.; Brauman, K.; Butchart, S.; et al. </w:t>
      </w:r>
      <w:r>
        <w:rPr>
          <w:rFonts w:ascii="Palatino Linotype" w:hAnsi="Palatino Linotype" w:cs="Calibri"/>
          <w:i/>
          <w:sz w:val="18"/>
          <w:szCs w:val="18"/>
          <w:lang w:val="en-GB"/>
        </w:rPr>
        <w:t>The global Assessment Report on Biodiversity and Ecosystem Services: Summary for Policy Makers</w:t>
      </w:r>
      <w:r>
        <w:rPr>
          <w:rFonts w:ascii="Palatino Linotype" w:hAnsi="Palatino Linotype" w:cs="Calibri"/>
          <w:sz w:val="18"/>
          <w:szCs w:val="18"/>
          <w:lang w:val="en-GB"/>
        </w:rPr>
        <w:t>; IPBES Secretariat: Bonn, Germany, 2019; 1148p. https://doi.org/10.5281/zenodo.3831673.</w:t>
      </w:r>
    </w:p>
    <w:p w14:paraId="6A9A380B"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GB"/>
        </w:rPr>
        <w:t>Pörtner</w:t>
      </w:r>
      <w:proofErr w:type="spellEnd"/>
      <w:r>
        <w:rPr>
          <w:rFonts w:ascii="Palatino Linotype" w:hAnsi="Palatino Linotype" w:cs="Calibri"/>
          <w:sz w:val="18"/>
          <w:szCs w:val="18"/>
          <w:lang w:val="en-GB"/>
        </w:rPr>
        <w:t xml:space="preserve">, H.O.; Scholes, R.J.; </w:t>
      </w:r>
      <w:proofErr w:type="spellStart"/>
      <w:r>
        <w:rPr>
          <w:rFonts w:ascii="Palatino Linotype" w:hAnsi="Palatino Linotype" w:cs="Calibri"/>
          <w:sz w:val="18"/>
          <w:szCs w:val="18"/>
          <w:lang w:val="en-GB"/>
        </w:rPr>
        <w:t>Agard</w:t>
      </w:r>
      <w:proofErr w:type="spellEnd"/>
      <w:r>
        <w:rPr>
          <w:rFonts w:ascii="Palatino Linotype" w:hAnsi="Palatino Linotype" w:cs="Calibri"/>
          <w:sz w:val="18"/>
          <w:szCs w:val="18"/>
          <w:lang w:val="en-GB"/>
        </w:rPr>
        <w:t xml:space="preserve">, J.; Archer, E.; </w:t>
      </w:r>
      <w:proofErr w:type="spellStart"/>
      <w:r>
        <w:rPr>
          <w:rFonts w:ascii="Palatino Linotype" w:hAnsi="Palatino Linotype" w:cs="Calibri"/>
          <w:sz w:val="18"/>
          <w:szCs w:val="18"/>
          <w:lang w:val="en-GB"/>
        </w:rPr>
        <w:t>Arneth</w:t>
      </w:r>
      <w:proofErr w:type="spellEnd"/>
      <w:r>
        <w:rPr>
          <w:rFonts w:ascii="Palatino Linotype" w:hAnsi="Palatino Linotype" w:cs="Calibri"/>
          <w:sz w:val="18"/>
          <w:szCs w:val="18"/>
          <w:lang w:val="en-GB"/>
        </w:rPr>
        <w:t xml:space="preserve">, A.; Bai, X.; Barnes, D.; Burrows, M.; Chan, L.; Cheung, W.L.; et al. </w:t>
      </w:r>
      <w:r>
        <w:rPr>
          <w:rFonts w:ascii="Palatino Linotype" w:hAnsi="Palatino Linotype" w:cs="Calibri"/>
          <w:i/>
          <w:sz w:val="18"/>
          <w:szCs w:val="18"/>
          <w:lang w:val="en-GB"/>
        </w:rPr>
        <w:t>Scientific Outcome of the IPBES-IPCC Co-Sponsored Workshop on Biodiversity and Climate Change</w:t>
      </w:r>
      <w:r>
        <w:rPr>
          <w:rFonts w:ascii="Palatino Linotype" w:hAnsi="Palatino Linotype" w:cs="Calibri"/>
          <w:sz w:val="18"/>
          <w:szCs w:val="18"/>
          <w:lang w:val="en-GB"/>
        </w:rPr>
        <w:t xml:space="preserve">; (Secretariat of the Intergovernmental Science-Policy Platform for Biodiversity and Ecosystem Services; IPBES Secretariat: Bonn, Germany, 2021; </w:t>
      </w:r>
      <w:r>
        <w:rPr>
          <w:rFonts w:ascii="Palatino Linotype" w:hAnsi="Palatino Linotype" w:cs="Calibri"/>
          <w:sz w:val="18"/>
          <w:szCs w:val="18"/>
          <w:lang w:val="en-US"/>
        </w:rPr>
        <w:t>https://doi.org/</w:t>
      </w:r>
      <w:r>
        <w:rPr>
          <w:rFonts w:ascii="Palatino Linotype" w:hAnsi="Palatino Linotype" w:cs="Calibri"/>
          <w:sz w:val="18"/>
          <w:szCs w:val="18"/>
          <w:lang w:val="en-GB"/>
        </w:rPr>
        <w:t>10.5281/ZENODO.5031995.</w:t>
      </w:r>
    </w:p>
    <w:p w14:paraId="3964E7B8"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Marquer</w:t>
      </w:r>
      <w:proofErr w:type="spellEnd"/>
      <w:r>
        <w:rPr>
          <w:rFonts w:ascii="Palatino Linotype" w:hAnsi="Palatino Linotype" w:cs="Calibri"/>
          <w:sz w:val="18"/>
          <w:szCs w:val="18"/>
          <w:lang w:val="en-US"/>
        </w:rPr>
        <w:t xml:space="preserve">, L.; Gaillard, M.J.; Sugita, S.; </w:t>
      </w:r>
      <w:proofErr w:type="spellStart"/>
      <w:r>
        <w:rPr>
          <w:rFonts w:ascii="Palatino Linotype" w:hAnsi="Palatino Linotype" w:cs="Calibri"/>
          <w:sz w:val="18"/>
          <w:szCs w:val="18"/>
          <w:lang w:val="en-US"/>
        </w:rPr>
        <w:t>Poska</w:t>
      </w:r>
      <w:proofErr w:type="spellEnd"/>
      <w:r>
        <w:rPr>
          <w:rFonts w:ascii="Palatino Linotype" w:hAnsi="Palatino Linotype" w:cs="Calibri"/>
          <w:sz w:val="18"/>
          <w:szCs w:val="18"/>
          <w:lang w:val="en-US"/>
        </w:rPr>
        <w:t xml:space="preserve">, A.; </w:t>
      </w:r>
      <w:proofErr w:type="spellStart"/>
      <w:r>
        <w:rPr>
          <w:rFonts w:ascii="Palatino Linotype" w:hAnsi="Palatino Linotype" w:cs="Calibri"/>
          <w:sz w:val="18"/>
          <w:szCs w:val="18"/>
          <w:lang w:val="en-US"/>
        </w:rPr>
        <w:t>Trondman</w:t>
      </w:r>
      <w:proofErr w:type="spellEnd"/>
      <w:r>
        <w:rPr>
          <w:rFonts w:ascii="Palatino Linotype" w:hAnsi="Palatino Linotype" w:cs="Calibri"/>
          <w:sz w:val="18"/>
          <w:szCs w:val="18"/>
          <w:lang w:val="en-US"/>
        </w:rPr>
        <w:t xml:space="preserve">, A.K.; </w:t>
      </w:r>
      <w:proofErr w:type="spellStart"/>
      <w:r>
        <w:rPr>
          <w:rFonts w:ascii="Palatino Linotype" w:hAnsi="Palatino Linotype" w:cs="Calibri"/>
          <w:sz w:val="18"/>
          <w:szCs w:val="18"/>
          <w:lang w:val="en-US"/>
        </w:rPr>
        <w:t>Mazier</w:t>
      </w:r>
      <w:proofErr w:type="spellEnd"/>
      <w:r>
        <w:rPr>
          <w:rFonts w:ascii="Palatino Linotype" w:hAnsi="Palatino Linotype" w:cs="Calibri"/>
          <w:sz w:val="18"/>
          <w:szCs w:val="18"/>
          <w:lang w:val="en-US"/>
        </w:rPr>
        <w:t xml:space="preserve">, F.; Nielsen, A.B.; Fyfe, R.M.; </w:t>
      </w:r>
      <w:proofErr w:type="spellStart"/>
      <w:r>
        <w:rPr>
          <w:rFonts w:ascii="Palatino Linotype" w:hAnsi="Palatino Linotype" w:cs="Calibri"/>
          <w:sz w:val="18"/>
          <w:szCs w:val="18"/>
          <w:lang w:val="en-US"/>
        </w:rPr>
        <w:t>Jönsson</w:t>
      </w:r>
      <w:proofErr w:type="spellEnd"/>
      <w:r>
        <w:rPr>
          <w:rFonts w:ascii="Palatino Linotype" w:hAnsi="Palatino Linotype" w:cs="Calibri"/>
          <w:sz w:val="18"/>
          <w:szCs w:val="18"/>
          <w:lang w:val="en-US"/>
        </w:rPr>
        <w:t xml:space="preserve">, A.M.; Smith, B.; et al. Quantifying the Effects of Land Use and Climate on Holocene Vegetation in Europe. </w:t>
      </w:r>
      <w:r>
        <w:rPr>
          <w:rFonts w:ascii="Palatino Linotype" w:hAnsi="Palatino Linotype" w:cs="Calibri"/>
          <w:i/>
          <w:iCs/>
          <w:sz w:val="18"/>
          <w:szCs w:val="18"/>
          <w:lang w:val="en-US"/>
        </w:rPr>
        <w:t>Quat. Sci. Rev.</w:t>
      </w:r>
      <w:r>
        <w:rPr>
          <w:rFonts w:ascii="Palatino Linotype" w:hAnsi="Palatino Linotype" w:cs="Calibri"/>
          <w:sz w:val="18"/>
          <w:szCs w:val="18"/>
          <w:lang w:val="en-US"/>
        </w:rPr>
        <w:t xml:space="preserve"> </w:t>
      </w:r>
      <w:r>
        <w:rPr>
          <w:rFonts w:ascii="Palatino Linotype" w:hAnsi="Palatino Linotype" w:cs="Calibri"/>
          <w:b/>
          <w:sz w:val="18"/>
          <w:szCs w:val="18"/>
          <w:lang w:val="en-US"/>
        </w:rPr>
        <w:t>2017</w:t>
      </w:r>
      <w:r>
        <w:rPr>
          <w:rFonts w:ascii="Palatino Linotype" w:hAnsi="Palatino Linotype" w:cs="Calibri"/>
          <w:sz w:val="18"/>
          <w:szCs w:val="18"/>
          <w:lang w:val="en-US"/>
        </w:rPr>
        <w:t xml:space="preserve">, </w:t>
      </w:r>
      <w:r>
        <w:rPr>
          <w:rFonts w:ascii="Palatino Linotype" w:hAnsi="Palatino Linotype" w:cs="Calibri"/>
          <w:i/>
          <w:sz w:val="18"/>
          <w:szCs w:val="18"/>
          <w:lang w:val="en-US"/>
        </w:rPr>
        <w:t>171</w:t>
      </w:r>
      <w:r>
        <w:rPr>
          <w:rFonts w:ascii="Palatino Linotype" w:hAnsi="Palatino Linotype" w:cs="Calibri"/>
          <w:sz w:val="18"/>
          <w:szCs w:val="18"/>
          <w:lang w:val="en-US"/>
        </w:rPr>
        <w:t>, 20–37. https://doi.org/10.1016/j.quascirev.2017.07.001.</w:t>
      </w:r>
    </w:p>
    <w:p w14:paraId="6F1A62FF"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lang w:val="en-US"/>
        </w:rPr>
        <w:t>Poska</w:t>
      </w:r>
      <w:proofErr w:type="spellEnd"/>
      <w:r>
        <w:rPr>
          <w:rFonts w:ascii="Palatino Linotype" w:hAnsi="Palatino Linotype" w:cs="Calibri"/>
          <w:sz w:val="18"/>
          <w:szCs w:val="18"/>
          <w:lang w:val="en-US"/>
        </w:rPr>
        <w:t xml:space="preserve">, A.; </w:t>
      </w:r>
      <w:proofErr w:type="spellStart"/>
      <w:r>
        <w:rPr>
          <w:rFonts w:ascii="Palatino Linotype" w:hAnsi="Palatino Linotype" w:cs="Calibri"/>
          <w:sz w:val="18"/>
          <w:szCs w:val="18"/>
          <w:lang w:val="en-US"/>
        </w:rPr>
        <w:t>Väli</w:t>
      </w:r>
      <w:proofErr w:type="spellEnd"/>
      <w:r>
        <w:rPr>
          <w:rFonts w:ascii="Palatino Linotype" w:hAnsi="Palatino Linotype" w:cs="Calibri"/>
          <w:sz w:val="18"/>
          <w:szCs w:val="18"/>
          <w:lang w:val="en-US"/>
        </w:rPr>
        <w:t xml:space="preserve">, V.; </w:t>
      </w:r>
      <w:proofErr w:type="spellStart"/>
      <w:r>
        <w:rPr>
          <w:rFonts w:ascii="Palatino Linotype" w:hAnsi="Palatino Linotype" w:cs="Calibri"/>
          <w:sz w:val="18"/>
          <w:szCs w:val="18"/>
          <w:lang w:val="en-US"/>
        </w:rPr>
        <w:t>Vassiljev</w:t>
      </w:r>
      <w:proofErr w:type="spellEnd"/>
      <w:r>
        <w:rPr>
          <w:rFonts w:ascii="Palatino Linotype" w:hAnsi="Palatino Linotype" w:cs="Calibri"/>
          <w:sz w:val="18"/>
          <w:szCs w:val="18"/>
          <w:lang w:val="en-US"/>
        </w:rPr>
        <w:t xml:space="preserve">, J.; </w:t>
      </w:r>
      <w:proofErr w:type="spellStart"/>
      <w:r>
        <w:rPr>
          <w:rFonts w:ascii="Palatino Linotype" w:hAnsi="Palatino Linotype" w:cs="Calibri"/>
          <w:sz w:val="18"/>
          <w:szCs w:val="18"/>
          <w:lang w:val="en-US"/>
        </w:rPr>
        <w:t>Alliksaar</w:t>
      </w:r>
      <w:proofErr w:type="spellEnd"/>
      <w:r>
        <w:rPr>
          <w:rFonts w:ascii="Palatino Linotype" w:hAnsi="Palatino Linotype" w:cs="Calibri"/>
          <w:sz w:val="18"/>
          <w:szCs w:val="18"/>
          <w:lang w:val="en-US"/>
        </w:rPr>
        <w:t xml:space="preserve">, T.; </w:t>
      </w:r>
      <w:proofErr w:type="spellStart"/>
      <w:r>
        <w:rPr>
          <w:rFonts w:ascii="Palatino Linotype" w:hAnsi="Palatino Linotype" w:cs="Calibri"/>
          <w:sz w:val="18"/>
          <w:szCs w:val="18"/>
          <w:lang w:val="en-US"/>
        </w:rPr>
        <w:t>Saarse</w:t>
      </w:r>
      <w:proofErr w:type="spellEnd"/>
      <w:r>
        <w:rPr>
          <w:rFonts w:ascii="Palatino Linotype" w:hAnsi="Palatino Linotype" w:cs="Calibri"/>
          <w:sz w:val="18"/>
          <w:szCs w:val="18"/>
          <w:lang w:val="en-US"/>
        </w:rPr>
        <w:t xml:space="preserve">, L. Timing and Drivers of Local to Regional Scale Land-Cover Changes in the </w:t>
      </w:r>
      <w:proofErr w:type="spellStart"/>
      <w:r>
        <w:rPr>
          <w:rFonts w:ascii="Palatino Linotype" w:hAnsi="Palatino Linotype" w:cs="Calibri"/>
          <w:sz w:val="18"/>
          <w:szCs w:val="18"/>
          <w:lang w:val="en-US"/>
        </w:rPr>
        <w:t>Hemiboreal</w:t>
      </w:r>
      <w:proofErr w:type="spellEnd"/>
      <w:r>
        <w:rPr>
          <w:rFonts w:ascii="Palatino Linotype" w:hAnsi="Palatino Linotype" w:cs="Calibri"/>
          <w:sz w:val="18"/>
          <w:szCs w:val="18"/>
          <w:lang w:val="en-US"/>
        </w:rPr>
        <w:t xml:space="preserve"> Forest Zone during the Holocene: A Pollen-Based Study from South Estonia. </w:t>
      </w:r>
      <w:r>
        <w:rPr>
          <w:rFonts w:ascii="Palatino Linotype" w:hAnsi="Palatino Linotype" w:cs="Calibri"/>
          <w:i/>
          <w:iCs/>
          <w:sz w:val="18"/>
          <w:szCs w:val="18"/>
        </w:rPr>
        <w:t xml:space="preserve">Quat. </w:t>
      </w:r>
      <w:proofErr w:type="spellStart"/>
      <w:r>
        <w:rPr>
          <w:rFonts w:ascii="Palatino Linotype" w:hAnsi="Palatino Linotype" w:cs="Calibri"/>
          <w:i/>
          <w:iCs/>
          <w:sz w:val="18"/>
          <w:szCs w:val="18"/>
        </w:rPr>
        <w:t>Sci</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Rev</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bCs/>
          <w:sz w:val="18"/>
          <w:szCs w:val="18"/>
        </w:rPr>
        <w:t>2022</w:t>
      </w:r>
      <w:r>
        <w:rPr>
          <w:rFonts w:ascii="Palatino Linotype" w:hAnsi="Palatino Linotype" w:cs="Calibri"/>
          <w:sz w:val="18"/>
          <w:szCs w:val="18"/>
        </w:rPr>
        <w:t xml:space="preserve">, </w:t>
      </w:r>
      <w:r>
        <w:rPr>
          <w:rFonts w:ascii="Palatino Linotype" w:hAnsi="Palatino Linotype" w:cs="Calibri"/>
          <w:i/>
          <w:sz w:val="18"/>
          <w:szCs w:val="18"/>
        </w:rPr>
        <w:t>277</w:t>
      </w:r>
      <w:r>
        <w:rPr>
          <w:rFonts w:ascii="Palatino Linotype" w:hAnsi="Palatino Linotype" w:cs="Calibri"/>
          <w:sz w:val="18"/>
          <w:szCs w:val="18"/>
        </w:rPr>
        <w:t>, 107351. https://doi.org/10.1016/j.quascirev.2021.107351.</w:t>
      </w:r>
    </w:p>
    <w:p w14:paraId="6254B2B7"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Tinner, W.; Hofstetter, S.; </w:t>
      </w:r>
      <w:proofErr w:type="spellStart"/>
      <w:r>
        <w:rPr>
          <w:rFonts w:ascii="Palatino Linotype" w:hAnsi="Palatino Linotype" w:cs="Calibri"/>
          <w:sz w:val="18"/>
          <w:szCs w:val="18"/>
          <w:lang w:val="en-US"/>
        </w:rPr>
        <w:t>Zeugin</w:t>
      </w:r>
      <w:proofErr w:type="spellEnd"/>
      <w:r>
        <w:rPr>
          <w:rFonts w:ascii="Palatino Linotype" w:hAnsi="Palatino Linotype" w:cs="Calibri"/>
          <w:sz w:val="18"/>
          <w:szCs w:val="18"/>
          <w:lang w:val="en-US"/>
        </w:rPr>
        <w:t xml:space="preserve">, F.; </w:t>
      </w:r>
      <w:proofErr w:type="spellStart"/>
      <w:r>
        <w:rPr>
          <w:rFonts w:ascii="Palatino Linotype" w:hAnsi="Palatino Linotype" w:cs="Calibri"/>
          <w:sz w:val="18"/>
          <w:szCs w:val="18"/>
          <w:lang w:val="en-US"/>
        </w:rPr>
        <w:t>Conedera</w:t>
      </w:r>
      <w:proofErr w:type="spellEnd"/>
      <w:r>
        <w:rPr>
          <w:rFonts w:ascii="Palatino Linotype" w:hAnsi="Palatino Linotype" w:cs="Calibri"/>
          <w:sz w:val="18"/>
          <w:szCs w:val="18"/>
          <w:lang w:val="en-US"/>
        </w:rPr>
        <w:t xml:space="preserve">, M.; Wohlgemuth, T.; Zimmermann, L.; </w:t>
      </w:r>
      <w:proofErr w:type="spellStart"/>
      <w:r>
        <w:rPr>
          <w:rFonts w:ascii="Palatino Linotype" w:hAnsi="Palatino Linotype" w:cs="Calibri"/>
          <w:sz w:val="18"/>
          <w:szCs w:val="18"/>
          <w:lang w:val="en-US"/>
        </w:rPr>
        <w:t>Zweifel</w:t>
      </w:r>
      <w:proofErr w:type="spellEnd"/>
      <w:r>
        <w:rPr>
          <w:rFonts w:ascii="Palatino Linotype" w:hAnsi="Palatino Linotype" w:cs="Calibri"/>
          <w:sz w:val="18"/>
          <w:szCs w:val="18"/>
          <w:lang w:val="en-US"/>
        </w:rPr>
        <w:t xml:space="preserve">, R. Long-Distance Transport of Macroscopic Charcoal by an Intensive Crown Fire in the Swiss Alps—Implications for Fire History Reconstruction. </w:t>
      </w:r>
      <w:proofErr w:type="spellStart"/>
      <w:r>
        <w:rPr>
          <w:rFonts w:ascii="Palatino Linotype" w:hAnsi="Palatino Linotype" w:cs="Calibri"/>
          <w:i/>
          <w:iCs/>
          <w:sz w:val="18"/>
          <w:szCs w:val="18"/>
        </w:rPr>
        <w:t>Holocene</w:t>
      </w:r>
      <w:proofErr w:type="spellEnd"/>
      <w:r>
        <w:rPr>
          <w:rFonts w:ascii="Palatino Linotype" w:hAnsi="Palatino Linotype" w:cs="Calibri"/>
          <w:sz w:val="18"/>
          <w:szCs w:val="18"/>
        </w:rPr>
        <w:t xml:space="preserve"> </w:t>
      </w:r>
      <w:r>
        <w:rPr>
          <w:rFonts w:ascii="Palatino Linotype" w:hAnsi="Palatino Linotype" w:cs="Calibri"/>
          <w:b/>
          <w:bCs/>
          <w:sz w:val="18"/>
          <w:szCs w:val="18"/>
        </w:rPr>
        <w:t>2006</w:t>
      </w:r>
      <w:r>
        <w:rPr>
          <w:rFonts w:ascii="Palatino Linotype" w:hAnsi="Palatino Linotype" w:cs="Calibri"/>
          <w:bCs/>
          <w:sz w:val="18"/>
          <w:szCs w:val="18"/>
        </w:rPr>
        <w:t xml:space="preserve">, </w:t>
      </w:r>
      <w:r>
        <w:rPr>
          <w:rFonts w:ascii="Palatino Linotype" w:hAnsi="Palatino Linotype" w:cs="Calibri"/>
          <w:bCs/>
          <w:i/>
          <w:sz w:val="18"/>
          <w:szCs w:val="18"/>
        </w:rPr>
        <w:t>16</w:t>
      </w:r>
      <w:r>
        <w:rPr>
          <w:rFonts w:ascii="Palatino Linotype" w:hAnsi="Palatino Linotype" w:cs="Calibri"/>
          <w:bCs/>
          <w:sz w:val="18"/>
          <w:szCs w:val="18"/>
        </w:rPr>
        <w:t>, 287–202</w:t>
      </w:r>
      <w:r>
        <w:rPr>
          <w:rFonts w:ascii="Palatino Linotype" w:hAnsi="Palatino Linotype" w:cs="Calibri"/>
          <w:sz w:val="18"/>
          <w:szCs w:val="18"/>
        </w:rPr>
        <w:t>.</w:t>
      </w:r>
    </w:p>
    <w:p w14:paraId="66590DD7"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sv-SE"/>
        </w:rPr>
      </w:pPr>
      <w:proofErr w:type="spellStart"/>
      <w:r>
        <w:rPr>
          <w:rFonts w:ascii="Palatino Linotype" w:hAnsi="Palatino Linotype" w:cs="Calibri"/>
          <w:sz w:val="18"/>
          <w:szCs w:val="18"/>
          <w:lang w:val="en-US"/>
        </w:rPr>
        <w:t>Kalis</w:t>
      </w:r>
      <w:proofErr w:type="spellEnd"/>
      <w:r>
        <w:rPr>
          <w:rFonts w:ascii="Palatino Linotype" w:hAnsi="Palatino Linotype" w:cs="Calibri"/>
          <w:sz w:val="18"/>
          <w:szCs w:val="18"/>
          <w:lang w:val="en-US"/>
        </w:rPr>
        <w:t xml:space="preserve">, A.J.; </w:t>
      </w:r>
      <w:proofErr w:type="spellStart"/>
      <w:r>
        <w:rPr>
          <w:rFonts w:ascii="Palatino Linotype" w:hAnsi="Palatino Linotype" w:cs="Calibri"/>
          <w:sz w:val="18"/>
          <w:szCs w:val="18"/>
          <w:lang w:val="en-US"/>
        </w:rPr>
        <w:t>Merkt</w:t>
      </w:r>
      <w:proofErr w:type="spellEnd"/>
      <w:r>
        <w:rPr>
          <w:rFonts w:ascii="Palatino Linotype" w:hAnsi="Palatino Linotype" w:cs="Calibri"/>
          <w:sz w:val="18"/>
          <w:szCs w:val="18"/>
          <w:lang w:val="en-US"/>
        </w:rPr>
        <w:t xml:space="preserve">, J.; Wunderlich, J. Environmental Changes during the Holocene Climatic Optimum in Central Europe—Human Impact and Natural Causes. </w:t>
      </w:r>
      <w:r>
        <w:rPr>
          <w:rFonts w:ascii="Palatino Linotype" w:hAnsi="Palatino Linotype" w:cs="Calibri"/>
          <w:i/>
          <w:iCs/>
          <w:sz w:val="18"/>
          <w:szCs w:val="18"/>
          <w:lang w:val="sv-SE"/>
        </w:rPr>
        <w:t>Quat. Sci. Rev.</w:t>
      </w:r>
      <w:r>
        <w:rPr>
          <w:rFonts w:ascii="Palatino Linotype" w:hAnsi="Palatino Linotype" w:cs="Calibri"/>
          <w:sz w:val="18"/>
          <w:szCs w:val="18"/>
          <w:lang w:val="sv-SE"/>
        </w:rPr>
        <w:t xml:space="preserve"> </w:t>
      </w:r>
      <w:r>
        <w:rPr>
          <w:rFonts w:ascii="Palatino Linotype" w:hAnsi="Palatino Linotype" w:cs="Calibri"/>
          <w:b/>
          <w:bCs/>
          <w:sz w:val="18"/>
          <w:szCs w:val="18"/>
          <w:lang w:val="sv-SE"/>
        </w:rPr>
        <w:t>2003</w:t>
      </w:r>
      <w:r>
        <w:rPr>
          <w:rFonts w:ascii="Palatino Linotype" w:hAnsi="Palatino Linotype" w:cs="Calibri"/>
          <w:bCs/>
          <w:sz w:val="18"/>
          <w:szCs w:val="18"/>
          <w:lang w:val="sv-SE"/>
        </w:rPr>
        <w:t xml:space="preserve">, </w:t>
      </w:r>
      <w:r>
        <w:rPr>
          <w:rFonts w:ascii="Palatino Linotype" w:hAnsi="Palatino Linotype" w:cs="Calibri"/>
          <w:bCs/>
          <w:i/>
          <w:sz w:val="18"/>
          <w:szCs w:val="18"/>
          <w:lang w:val="sv-SE"/>
        </w:rPr>
        <w:t>22</w:t>
      </w:r>
      <w:r>
        <w:rPr>
          <w:rFonts w:ascii="Palatino Linotype" w:hAnsi="Palatino Linotype" w:cs="Calibri"/>
          <w:bCs/>
          <w:sz w:val="18"/>
          <w:szCs w:val="18"/>
          <w:lang w:val="sv-SE"/>
        </w:rPr>
        <w:t>, 33–79</w:t>
      </w:r>
      <w:r>
        <w:rPr>
          <w:rFonts w:ascii="Palatino Linotype" w:hAnsi="Palatino Linotype" w:cs="Calibri"/>
          <w:sz w:val="18"/>
          <w:szCs w:val="18"/>
          <w:lang w:val="sv-SE"/>
        </w:rPr>
        <w:t>. https://doi.org/10.1016/S0277-3791(02)00181-6.</w:t>
      </w:r>
    </w:p>
    <w:p w14:paraId="0174D883"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sv-SE"/>
        </w:rPr>
        <w:t xml:space="preserve">Roberts, N.; Fyfe, R.M.; Woodbridge, J.; Gaillard, M.-J.; Davis, B.A.S.; Kaplan, J.O.; Marquer, L.; Mazier, F.; Nielsen, A.B.; Sugita, S.; et al. </w:t>
      </w:r>
      <w:r>
        <w:rPr>
          <w:rFonts w:ascii="Palatino Linotype" w:hAnsi="Palatino Linotype" w:cs="Calibri"/>
          <w:sz w:val="18"/>
          <w:szCs w:val="18"/>
          <w:lang w:val="en-US"/>
        </w:rPr>
        <w:t xml:space="preserve">Europe’s Lost Forests: A Pollen-Based Synthesis for the Last 11,000 Years. </w:t>
      </w:r>
      <w:proofErr w:type="spellStart"/>
      <w:r>
        <w:rPr>
          <w:rFonts w:ascii="Palatino Linotype" w:hAnsi="Palatino Linotype" w:cs="Calibri"/>
          <w:i/>
          <w:sz w:val="18"/>
          <w:szCs w:val="18"/>
        </w:rPr>
        <w:t>Sci</w:t>
      </w:r>
      <w:proofErr w:type="spellEnd"/>
      <w:r>
        <w:rPr>
          <w:rFonts w:ascii="Palatino Linotype" w:hAnsi="Palatino Linotype" w:cs="Calibri"/>
          <w:i/>
          <w:sz w:val="18"/>
          <w:szCs w:val="18"/>
        </w:rPr>
        <w:t xml:space="preserve">. Rep. </w:t>
      </w:r>
      <w:r>
        <w:rPr>
          <w:rFonts w:ascii="Palatino Linotype" w:hAnsi="Palatino Linotype"/>
          <w:b/>
          <w:iCs/>
          <w:sz w:val="18"/>
          <w:szCs w:val="18"/>
        </w:rPr>
        <w:t>2018</w:t>
      </w:r>
      <w:r>
        <w:rPr>
          <w:rFonts w:ascii="Palatino Linotype" w:hAnsi="Palatino Linotype"/>
          <w:iCs/>
          <w:sz w:val="18"/>
          <w:szCs w:val="18"/>
        </w:rPr>
        <w:t xml:space="preserve">, </w:t>
      </w:r>
      <w:r>
        <w:rPr>
          <w:rFonts w:ascii="Palatino Linotype" w:hAnsi="Palatino Linotype"/>
          <w:i/>
          <w:iCs/>
          <w:sz w:val="18"/>
          <w:szCs w:val="18"/>
        </w:rPr>
        <w:t>8</w:t>
      </w:r>
      <w:r>
        <w:rPr>
          <w:rFonts w:ascii="Palatino Linotype" w:hAnsi="Palatino Linotype"/>
          <w:iCs/>
          <w:sz w:val="18"/>
          <w:szCs w:val="18"/>
        </w:rPr>
        <w:t>, 716</w:t>
      </w:r>
      <w:r>
        <w:rPr>
          <w:rFonts w:ascii="Palatino Linotype" w:hAnsi="Palatino Linotype" w:cs="Calibri"/>
          <w:sz w:val="18"/>
          <w:szCs w:val="18"/>
        </w:rPr>
        <w:t>. https://doi.org/10.1038/s41598-017-18646-7.</w:t>
      </w:r>
    </w:p>
    <w:p w14:paraId="7AA2C02D"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rPr>
        <w:t xml:space="preserve">Ellis, </w:t>
      </w:r>
      <w:proofErr w:type="gramStart"/>
      <w:r>
        <w:rPr>
          <w:rFonts w:ascii="Palatino Linotype" w:hAnsi="Palatino Linotype" w:cs="Calibri"/>
          <w:sz w:val="18"/>
          <w:szCs w:val="18"/>
        </w:rPr>
        <w:t>E.C.;</w:t>
      </w:r>
      <w:proofErr w:type="gramEnd"/>
      <w:r>
        <w:rPr>
          <w:rFonts w:ascii="Palatino Linotype" w:hAnsi="Palatino Linotype" w:cs="Calibri"/>
          <w:sz w:val="18"/>
          <w:szCs w:val="18"/>
        </w:rPr>
        <w:t xml:space="preserve"> Gauthier, N.; </w:t>
      </w:r>
      <w:proofErr w:type="spellStart"/>
      <w:r>
        <w:rPr>
          <w:rFonts w:ascii="Palatino Linotype" w:hAnsi="Palatino Linotype" w:cs="Calibri"/>
          <w:sz w:val="18"/>
          <w:szCs w:val="18"/>
        </w:rPr>
        <w:t>Goldewijk</w:t>
      </w:r>
      <w:proofErr w:type="spellEnd"/>
      <w:r>
        <w:rPr>
          <w:rFonts w:ascii="Palatino Linotype" w:hAnsi="Palatino Linotype" w:cs="Calibri"/>
          <w:sz w:val="18"/>
          <w:szCs w:val="18"/>
        </w:rPr>
        <w:t xml:space="preserve">, K.K.; Bird, R.B.; Boivin, N.; </w:t>
      </w:r>
      <w:proofErr w:type="spellStart"/>
      <w:r>
        <w:rPr>
          <w:rFonts w:ascii="Palatino Linotype" w:hAnsi="Palatino Linotype" w:cs="Calibri"/>
          <w:sz w:val="18"/>
          <w:szCs w:val="18"/>
        </w:rPr>
        <w:t>Díaz</w:t>
      </w:r>
      <w:proofErr w:type="spellEnd"/>
      <w:r>
        <w:rPr>
          <w:rFonts w:ascii="Palatino Linotype" w:hAnsi="Palatino Linotype" w:cs="Calibri"/>
          <w:sz w:val="18"/>
          <w:szCs w:val="18"/>
        </w:rPr>
        <w:t xml:space="preserve">, S.; Fuller, D.Q.; Gill, J.L.; Kaplan, J.O.; Kingston, N.; et al. </w:t>
      </w:r>
      <w:r>
        <w:rPr>
          <w:rFonts w:ascii="Palatino Linotype" w:hAnsi="Palatino Linotype" w:cs="Calibri"/>
          <w:sz w:val="18"/>
          <w:szCs w:val="18"/>
          <w:lang w:val="en-US"/>
        </w:rPr>
        <w:t xml:space="preserve">People Have Shaped Most of Terrestrial Nature for at Least 12,000 Years. </w:t>
      </w:r>
      <w:r>
        <w:rPr>
          <w:rFonts w:ascii="Palatino Linotype" w:hAnsi="Palatino Linotype" w:cs="Calibri"/>
          <w:i/>
          <w:iCs/>
          <w:sz w:val="18"/>
          <w:szCs w:val="18"/>
        </w:rPr>
        <w:t xml:space="preserve">Proc. </w:t>
      </w:r>
      <w:proofErr w:type="spellStart"/>
      <w:r>
        <w:rPr>
          <w:rFonts w:ascii="Palatino Linotype" w:hAnsi="Palatino Linotype" w:cs="Calibri"/>
          <w:i/>
          <w:iCs/>
          <w:sz w:val="18"/>
          <w:szCs w:val="18"/>
        </w:rPr>
        <w:t>Natl</w:t>
      </w:r>
      <w:proofErr w:type="spellEnd"/>
      <w:r>
        <w:rPr>
          <w:rFonts w:ascii="Palatino Linotype" w:hAnsi="Palatino Linotype" w:cs="Calibri"/>
          <w:i/>
          <w:iCs/>
          <w:sz w:val="18"/>
          <w:szCs w:val="18"/>
        </w:rPr>
        <w:t xml:space="preserve">. Acad. </w:t>
      </w:r>
      <w:proofErr w:type="spellStart"/>
      <w:r>
        <w:rPr>
          <w:rFonts w:ascii="Palatino Linotype" w:hAnsi="Palatino Linotype" w:cs="Calibri"/>
          <w:i/>
          <w:iCs/>
          <w:sz w:val="18"/>
          <w:szCs w:val="18"/>
        </w:rPr>
        <w:t>Sci</w:t>
      </w:r>
      <w:proofErr w:type="spellEnd"/>
      <w:r>
        <w:rPr>
          <w:rFonts w:ascii="Palatino Linotype" w:hAnsi="Palatino Linotype" w:cs="Calibri"/>
          <w:i/>
          <w:iCs/>
          <w:sz w:val="18"/>
          <w:szCs w:val="18"/>
        </w:rPr>
        <w:t>. USA</w:t>
      </w:r>
      <w:r>
        <w:rPr>
          <w:rFonts w:ascii="Palatino Linotype" w:hAnsi="Palatino Linotype" w:cs="Calibri"/>
          <w:sz w:val="18"/>
          <w:szCs w:val="18"/>
        </w:rPr>
        <w:t xml:space="preserve"> </w:t>
      </w:r>
      <w:r>
        <w:rPr>
          <w:rFonts w:ascii="Palatino Linotype" w:hAnsi="Palatino Linotype" w:cs="Calibri"/>
          <w:b/>
          <w:sz w:val="18"/>
          <w:szCs w:val="18"/>
        </w:rPr>
        <w:t>2021</w:t>
      </w:r>
      <w:r>
        <w:rPr>
          <w:rFonts w:ascii="Palatino Linotype" w:hAnsi="Palatino Linotype" w:cs="Calibri"/>
          <w:bCs/>
          <w:sz w:val="18"/>
          <w:szCs w:val="18"/>
        </w:rPr>
        <w:t xml:space="preserve">, </w:t>
      </w:r>
      <w:r>
        <w:rPr>
          <w:rFonts w:ascii="Palatino Linotype" w:hAnsi="Palatino Linotype" w:cs="Calibri"/>
          <w:bCs/>
          <w:i/>
          <w:sz w:val="18"/>
          <w:szCs w:val="18"/>
        </w:rPr>
        <w:t>118</w:t>
      </w:r>
      <w:r>
        <w:rPr>
          <w:rFonts w:ascii="Palatino Linotype" w:hAnsi="Palatino Linotype" w:cs="Calibri"/>
          <w:bCs/>
          <w:sz w:val="18"/>
          <w:szCs w:val="18"/>
        </w:rPr>
        <w:t>, e2023483118</w:t>
      </w:r>
      <w:r>
        <w:rPr>
          <w:rFonts w:ascii="Palatino Linotype" w:hAnsi="Palatino Linotype" w:cs="Calibri"/>
          <w:sz w:val="18"/>
          <w:szCs w:val="18"/>
        </w:rPr>
        <w:t>. https://doi.org/10.1073/pnas.2023483118.</w:t>
      </w:r>
    </w:p>
    <w:p w14:paraId="50B36D18"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rPr>
        <w:t>Mottl</w:t>
      </w:r>
      <w:proofErr w:type="spellEnd"/>
      <w:r>
        <w:rPr>
          <w:rFonts w:ascii="Palatino Linotype" w:hAnsi="Palatino Linotype" w:cs="Calibri"/>
          <w:sz w:val="18"/>
          <w:szCs w:val="18"/>
        </w:rPr>
        <w:t xml:space="preserve">, </w:t>
      </w:r>
      <w:proofErr w:type="gramStart"/>
      <w:r>
        <w:rPr>
          <w:rFonts w:ascii="Palatino Linotype" w:hAnsi="Palatino Linotype" w:cs="Calibri"/>
          <w:sz w:val="18"/>
          <w:szCs w:val="18"/>
        </w:rPr>
        <w:t>O.;</w:t>
      </w:r>
      <w:proofErr w:type="gramEnd"/>
      <w:r>
        <w:rPr>
          <w:rFonts w:ascii="Palatino Linotype" w:hAnsi="Palatino Linotype" w:cs="Calibri"/>
          <w:sz w:val="18"/>
          <w:szCs w:val="18"/>
        </w:rPr>
        <w:t xml:space="preserve"> </w:t>
      </w:r>
      <w:proofErr w:type="spellStart"/>
      <w:r>
        <w:rPr>
          <w:rFonts w:ascii="Palatino Linotype" w:hAnsi="Palatino Linotype" w:cs="Calibri"/>
          <w:sz w:val="18"/>
          <w:szCs w:val="18"/>
        </w:rPr>
        <w:t>Flantua</w:t>
      </w:r>
      <w:proofErr w:type="spellEnd"/>
      <w:r>
        <w:rPr>
          <w:rFonts w:ascii="Palatino Linotype" w:hAnsi="Palatino Linotype" w:cs="Calibri"/>
          <w:sz w:val="18"/>
          <w:szCs w:val="18"/>
        </w:rPr>
        <w:t xml:space="preserve">, S.G.A.; </w:t>
      </w:r>
      <w:proofErr w:type="spellStart"/>
      <w:r>
        <w:rPr>
          <w:rFonts w:ascii="Palatino Linotype" w:hAnsi="Palatino Linotype" w:cs="Calibri"/>
          <w:sz w:val="18"/>
          <w:szCs w:val="18"/>
        </w:rPr>
        <w:t>Bhatta</w:t>
      </w:r>
      <w:proofErr w:type="spellEnd"/>
      <w:r>
        <w:rPr>
          <w:rFonts w:ascii="Palatino Linotype" w:hAnsi="Palatino Linotype" w:cs="Calibri"/>
          <w:sz w:val="18"/>
          <w:szCs w:val="18"/>
        </w:rPr>
        <w:t xml:space="preserve">, K.P.; </w:t>
      </w:r>
      <w:proofErr w:type="spellStart"/>
      <w:r>
        <w:rPr>
          <w:rFonts w:ascii="Palatino Linotype" w:hAnsi="Palatino Linotype" w:cs="Calibri"/>
          <w:sz w:val="18"/>
          <w:szCs w:val="18"/>
        </w:rPr>
        <w:t>Felde</w:t>
      </w:r>
      <w:proofErr w:type="spellEnd"/>
      <w:r>
        <w:rPr>
          <w:rFonts w:ascii="Palatino Linotype" w:hAnsi="Palatino Linotype" w:cs="Calibri"/>
          <w:sz w:val="18"/>
          <w:szCs w:val="18"/>
        </w:rPr>
        <w:t xml:space="preserve">, V.A.; </w:t>
      </w:r>
      <w:proofErr w:type="spellStart"/>
      <w:r>
        <w:rPr>
          <w:rFonts w:ascii="Palatino Linotype" w:hAnsi="Palatino Linotype" w:cs="Calibri"/>
          <w:sz w:val="18"/>
          <w:szCs w:val="18"/>
        </w:rPr>
        <w:t>Giesecke</w:t>
      </w:r>
      <w:proofErr w:type="spellEnd"/>
      <w:r>
        <w:rPr>
          <w:rFonts w:ascii="Palatino Linotype" w:hAnsi="Palatino Linotype" w:cs="Calibri"/>
          <w:sz w:val="18"/>
          <w:szCs w:val="18"/>
        </w:rPr>
        <w:t xml:space="preserve">, T.; Goring, S.; Grimm, E.C.; </w:t>
      </w:r>
      <w:proofErr w:type="spellStart"/>
      <w:r>
        <w:rPr>
          <w:rFonts w:ascii="Palatino Linotype" w:hAnsi="Palatino Linotype" w:cs="Calibri"/>
          <w:sz w:val="18"/>
          <w:szCs w:val="18"/>
        </w:rPr>
        <w:t>Haberle</w:t>
      </w:r>
      <w:proofErr w:type="spellEnd"/>
      <w:r>
        <w:rPr>
          <w:rFonts w:ascii="Palatino Linotype" w:hAnsi="Palatino Linotype" w:cs="Calibri"/>
          <w:sz w:val="18"/>
          <w:szCs w:val="18"/>
        </w:rPr>
        <w:t xml:space="preserve">, S.; </w:t>
      </w:r>
      <w:proofErr w:type="spellStart"/>
      <w:r>
        <w:rPr>
          <w:rFonts w:ascii="Palatino Linotype" w:hAnsi="Palatino Linotype" w:cs="Calibri"/>
          <w:sz w:val="18"/>
          <w:szCs w:val="18"/>
        </w:rPr>
        <w:t>Hooghiemstra</w:t>
      </w:r>
      <w:proofErr w:type="spellEnd"/>
      <w:r>
        <w:rPr>
          <w:rFonts w:ascii="Palatino Linotype" w:hAnsi="Palatino Linotype" w:cs="Calibri"/>
          <w:sz w:val="18"/>
          <w:szCs w:val="18"/>
        </w:rPr>
        <w:t xml:space="preserve">, H.; Ivory, S.; et al. </w:t>
      </w:r>
      <w:r>
        <w:rPr>
          <w:rFonts w:ascii="Palatino Linotype" w:hAnsi="Palatino Linotype" w:cs="Calibri"/>
          <w:sz w:val="18"/>
          <w:szCs w:val="18"/>
          <w:lang w:val="en-US"/>
        </w:rPr>
        <w:t xml:space="preserve">Erratum: Global Acceleration in Rates of Vegetation Change over the Past 18,000 Years </w:t>
      </w:r>
      <w:r>
        <w:rPr>
          <w:rFonts w:ascii="Palatino Linotype" w:hAnsi="Palatino Linotype" w:cs="Calibri"/>
          <w:i/>
          <w:iCs/>
          <w:sz w:val="18"/>
          <w:szCs w:val="18"/>
          <w:lang w:val="en-US"/>
        </w:rPr>
        <w:t xml:space="preserve">Science </w:t>
      </w:r>
      <w:r>
        <w:rPr>
          <w:rFonts w:ascii="Palatino Linotype" w:hAnsi="Palatino Linotype" w:cs="Calibri"/>
          <w:b/>
          <w:sz w:val="18"/>
          <w:szCs w:val="18"/>
          <w:lang w:val="en-US"/>
        </w:rPr>
        <w:t>2021</w:t>
      </w:r>
      <w:r>
        <w:rPr>
          <w:rFonts w:ascii="Palatino Linotype" w:hAnsi="Palatino Linotype" w:cs="Calibri"/>
          <w:sz w:val="18"/>
          <w:szCs w:val="18"/>
          <w:lang w:val="en-US"/>
        </w:rPr>
        <w:t xml:space="preserve">, </w:t>
      </w:r>
      <w:r>
        <w:rPr>
          <w:rFonts w:ascii="Palatino Linotype" w:hAnsi="Palatino Linotype" w:cs="Calibri"/>
          <w:i/>
          <w:sz w:val="18"/>
          <w:szCs w:val="18"/>
          <w:lang w:val="en-US"/>
        </w:rPr>
        <w:t>373</w:t>
      </w:r>
      <w:r>
        <w:rPr>
          <w:rFonts w:ascii="Palatino Linotype" w:hAnsi="Palatino Linotype" w:cs="Calibri"/>
          <w:sz w:val="18"/>
          <w:szCs w:val="18"/>
          <w:lang w:val="en-US"/>
        </w:rPr>
        <w:t>, 860–864. https://doi.org/10.1126/science.abk2221.</w:t>
      </w:r>
    </w:p>
    <w:p w14:paraId="0E6D0292"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lastRenderedPageBreak/>
        <w:t xml:space="preserve">Williams, N.S.G.; </w:t>
      </w:r>
      <w:proofErr w:type="spellStart"/>
      <w:r>
        <w:rPr>
          <w:rFonts w:ascii="Palatino Linotype" w:hAnsi="Palatino Linotype" w:cs="Calibri"/>
          <w:sz w:val="18"/>
          <w:szCs w:val="18"/>
          <w:lang w:val="en-US"/>
        </w:rPr>
        <w:t>Hahs</w:t>
      </w:r>
      <w:proofErr w:type="spellEnd"/>
      <w:r>
        <w:rPr>
          <w:rFonts w:ascii="Palatino Linotype" w:hAnsi="Palatino Linotype" w:cs="Calibri"/>
          <w:sz w:val="18"/>
          <w:szCs w:val="18"/>
          <w:lang w:val="en-US"/>
        </w:rPr>
        <w:t xml:space="preserve">, A.K.; </w:t>
      </w:r>
      <w:proofErr w:type="spellStart"/>
      <w:r>
        <w:rPr>
          <w:rFonts w:ascii="Palatino Linotype" w:hAnsi="Palatino Linotype" w:cs="Calibri"/>
          <w:sz w:val="18"/>
          <w:szCs w:val="18"/>
          <w:lang w:val="en-US"/>
        </w:rPr>
        <w:t>Vesk</w:t>
      </w:r>
      <w:proofErr w:type="spellEnd"/>
      <w:r>
        <w:rPr>
          <w:rFonts w:ascii="Palatino Linotype" w:hAnsi="Palatino Linotype" w:cs="Calibri"/>
          <w:sz w:val="18"/>
          <w:szCs w:val="18"/>
          <w:lang w:val="en-US"/>
        </w:rPr>
        <w:t xml:space="preserve">, P.A. </w:t>
      </w:r>
      <w:proofErr w:type="spellStart"/>
      <w:r>
        <w:rPr>
          <w:rFonts w:ascii="Palatino Linotype" w:hAnsi="Palatino Linotype" w:cs="Calibri"/>
          <w:sz w:val="18"/>
          <w:szCs w:val="18"/>
          <w:lang w:val="en-US"/>
        </w:rPr>
        <w:t>Urbanisation</w:t>
      </w:r>
      <w:proofErr w:type="spellEnd"/>
      <w:r>
        <w:rPr>
          <w:rFonts w:ascii="Palatino Linotype" w:hAnsi="Palatino Linotype" w:cs="Calibri"/>
          <w:sz w:val="18"/>
          <w:szCs w:val="18"/>
          <w:lang w:val="en-US"/>
        </w:rPr>
        <w:t xml:space="preserve">, Plant </w:t>
      </w:r>
      <w:proofErr w:type="gramStart"/>
      <w:r>
        <w:rPr>
          <w:rFonts w:ascii="Palatino Linotype" w:hAnsi="Palatino Linotype" w:cs="Calibri"/>
          <w:sz w:val="18"/>
          <w:szCs w:val="18"/>
          <w:lang w:val="en-US"/>
        </w:rPr>
        <w:t>Traits</w:t>
      </w:r>
      <w:proofErr w:type="gramEnd"/>
      <w:r>
        <w:rPr>
          <w:rFonts w:ascii="Palatino Linotype" w:hAnsi="Palatino Linotype" w:cs="Calibri"/>
          <w:sz w:val="18"/>
          <w:szCs w:val="18"/>
          <w:lang w:val="en-US"/>
        </w:rPr>
        <w:t xml:space="preserve"> and the Composition of Urban Floras. </w:t>
      </w:r>
      <w:proofErr w:type="spellStart"/>
      <w:r>
        <w:rPr>
          <w:rFonts w:ascii="Palatino Linotype" w:hAnsi="Palatino Linotype" w:cs="Calibri"/>
          <w:i/>
          <w:iCs/>
          <w:sz w:val="18"/>
          <w:szCs w:val="18"/>
          <w:lang w:val="en-US"/>
        </w:rPr>
        <w:t>Perspect</w:t>
      </w:r>
      <w:proofErr w:type="spellEnd"/>
      <w:r>
        <w:rPr>
          <w:rFonts w:ascii="Palatino Linotype" w:hAnsi="Palatino Linotype" w:cs="Calibri"/>
          <w:i/>
          <w:iCs/>
          <w:sz w:val="18"/>
          <w:szCs w:val="18"/>
          <w:lang w:val="en-US"/>
        </w:rPr>
        <w:t xml:space="preserve">. Plant Ecol. </w:t>
      </w:r>
      <w:proofErr w:type="spellStart"/>
      <w:r>
        <w:rPr>
          <w:rFonts w:ascii="Palatino Linotype" w:hAnsi="Palatino Linotype" w:cs="Calibri"/>
          <w:i/>
          <w:iCs/>
          <w:sz w:val="18"/>
          <w:szCs w:val="18"/>
          <w:lang w:val="en-US"/>
        </w:rPr>
        <w:t>Evol</w:t>
      </w:r>
      <w:proofErr w:type="spellEnd"/>
      <w:r>
        <w:rPr>
          <w:rFonts w:ascii="Palatino Linotype" w:hAnsi="Palatino Linotype" w:cs="Calibri"/>
          <w:i/>
          <w:iCs/>
          <w:sz w:val="18"/>
          <w:szCs w:val="18"/>
          <w:lang w:val="en-US"/>
        </w:rPr>
        <w:t>. Syst.</w:t>
      </w:r>
      <w:r>
        <w:rPr>
          <w:rFonts w:ascii="Palatino Linotype" w:hAnsi="Palatino Linotype" w:cs="Calibri"/>
          <w:sz w:val="18"/>
          <w:szCs w:val="18"/>
          <w:lang w:val="en-US"/>
        </w:rPr>
        <w:t xml:space="preserve"> </w:t>
      </w:r>
      <w:r>
        <w:rPr>
          <w:rFonts w:ascii="Palatino Linotype" w:hAnsi="Palatino Linotype" w:cs="Calibri"/>
          <w:b/>
          <w:sz w:val="18"/>
          <w:szCs w:val="18"/>
          <w:lang w:val="en-US"/>
        </w:rPr>
        <w:t>2015</w:t>
      </w:r>
      <w:r>
        <w:rPr>
          <w:rFonts w:ascii="Palatino Linotype" w:hAnsi="Palatino Linotype" w:cs="Calibri"/>
          <w:sz w:val="18"/>
          <w:szCs w:val="18"/>
          <w:lang w:val="en-US"/>
        </w:rPr>
        <w:t xml:space="preserve">, </w:t>
      </w:r>
      <w:r>
        <w:rPr>
          <w:rFonts w:ascii="Palatino Linotype" w:hAnsi="Palatino Linotype" w:cs="Calibri"/>
          <w:i/>
          <w:sz w:val="18"/>
          <w:szCs w:val="18"/>
          <w:lang w:val="en-US"/>
        </w:rPr>
        <w:t>17</w:t>
      </w:r>
      <w:r>
        <w:rPr>
          <w:rFonts w:ascii="Palatino Linotype" w:hAnsi="Palatino Linotype" w:cs="Calibri"/>
          <w:sz w:val="18"/>
          <w:szCs w:val="18"/>
          <w:lang w:val="en-US"/>
        </w:rPr>
        <w:t>, 78–86. https://doi.org/10.1016/j.ppees.2014.10.002.</w:t>
      </w:r>
    </w:p>
    <w:p w14:paraId="07084E25"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Fyfe, R.M.; Woodbridge, J.; Roberts, C.N. Trajectories of Change in Mediterranean Holocene Vegetation through Classification of Pollen Data. </w:t>
      </w:r>
      <w:r>
        <w:rPr>
          <w:rFonts w:ascii="Palatino Linotype" w:hAnsi="Palatino Linotype" w:cs="Calibri"/>
          <w:i/>
          <w:iCs/>
          <w:sz w:val="18"/>
          <w:szCs w:val="18"/>
          <w:lang w:val="en-US"/>
        </w:rPr>
        <w:t xml:space="preserve">Veg. </w:t>
      </w:r>
      <w:r>
        <w:rPr>
          <w:rFonts w:ascii="Palatino Linotype" w:hAnsi="Palatino Linotype" w:cs="Calibri"/>
          <w:i/>
          <w:iCs/>
          <w:sz w:val="18"/>
          <w:szCs w:val="18"/>
        </w:rPr>
        <w:t xml:space="preserve">Hist. </w:t>
      </w:r>
      <w:proofErr w:type="spellStart"/>
      <w:r>
        <w:rPr>
          <w:rFonts w:ascii="Palatino Linotype" w:hAnsi="Palatino Linotype" w:cs="Calibri"/>
          <w:i/>
          <w:iCs/>
          <w:sz w:val="18"/>
          <w:szCs w:val="18"/>
        </w:rPr>
        <w:t>Archaeobot</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sz w:val="18"/>
          <w:szCs w:val="18"/>
        </w:rPr>
        <w:t>2018</w:t>
      </w:r>
      <w:r>
        <w:rPr>
          <w:rFonts w:ascii="Palatino Linotype" w:hAnsi="Palatino Linotype" w:cs="Calibri"/>
          <w:sz w:val="18"/>
          <w:szCs w:val="18"/>
        </w:rPr>
        <w:t xml:space="preserve">, </w:t>
      </w:r>
      <w:r>
        <w:rPr>
          <w:rFonts w:ascii="Palatino Linotype" w:hAnsi="Palatino Linotype" w:cs="Calibri"/>
          <w:i/>
          <w:sz w:val="18"/>
          <w:szCs w:val="18"/>
        </w:rPr>
        <w:t>27</w:t>
      </w:r>
      <w:r>
        <w:rPr>
          <w:rFonts w:ascii="Palatino Linotype" w:hAnsi="Palatino Linotype" w:cs="Calibri"/>
          <w:sz w:val="18"/>
          <w:szCs w:val="18"/>
        </w:rPr>
        <w:t>, 351–364. https://doi.org/10.1007/s00334-017-0657-4.</w:t>
      </w:r>
    </w:p>
    <w:p w14:paraId="64AA9045"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Ellis, E.C.; </w:t>
      </w:r>
      <w:proofErr w:type="spellStart"/>
      <w:r>
        <w:rPr>
          <w:rFonts w:ascii="Palatino Linotype" w:hAnsi="Palatino Linotype" w:cs="Calibri"/>
          <w:sz w:val="18"/>
          <w:szCs w:val="18"/>
          <w:lang w:val="en-US"/>
        </w:rPr>
        <w:t>Goldewijk</w:t>
      </w:r>
      <w:proofErr w:type="spellEnd"/>
      <w:r>
        <w:rPr>
          <w:rFonts w:ascii="Palatino Linotype" w:hAnsi="Palatino Linotype" w:cs="Calibri"/>
          <w:sz w:val="18"/>
          <w:szCs w:val="18"/>
          <w:lang w:val="en-US"/>
        </w:rPr>
        <w:t xml:space="preserve">, K.K.; Siebert, S.; Lightman, D.; </w:t>
      </w:r>
      <w:proofErr w:type="spellStart"/>
      <w:r>
        <w:rPr>
          <w:rFonts w:ascii="Palatino Linotype" w:hAnsi="Palatino Linotype" w:cs="Calibri"/>
          <w:sz w:val="18"/>
          <w:szCs w:val="18"/>
          <w:lang w:val="en-US"/>
        </w:rPr>
        <w:t>Ramankutty</w:t>
      </w:r>
      <w:proofErr w:type="spellEnd"/>
      <w:r>
        <w:rPr>
          <w:rFonts w:ascii="Palatino Linotype" w:hAnsi="Palatino Linotype" w:cs="Calibri"/>
          <w:sz w:val="18"/>
          <w:szCs w:val="18"/>
          <w:lang w:val="en-US"/>
        </w:rPr>
        <w:t xml:space="preserve">, N. Anthropogenic Transformation of the Biomes, 1700 to 2000. </w:t>
      </w:r>
      <w:proofErr w:type="spellStart"/>
      <w:r>
        <w:rPr>
          <w:rFonts w:ascii="Palatino Linotype" w:hAnsi="Palatino Linotype" w:cs="Calibri"/>
          <w:i/>
          <w:iCs/>
          <w:sz w:val="18"/>
          <w:szCs w:val="18"/>
        </w:rPr>
        <w:t>Glob</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Ecol</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Biogeogr</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sz w:val="18"/>
          <w:szCs w:val="18"/>
        </w:rPr>
        <w:t>2010</w:t>
      </w:r>
      <w:r>
        <w:rPr>
          <w:rFonts w:ascii="Palatino Linotype" w:hAnsi="Palatino Linotype" w:cs="Calibri"/>
          <w:sz w:val="18"/>
          <w:szCs w:val="18"/>
        </w:rPr>
        <w:t xml:space="preserve">, </w:t>
      </w:r>
      <w:r>
        <w:rPr>
          <w:rFonts w:ascii="Palatino Linotype" w:hAnsi="Palatino Linotype" w:cs="Calibri"/>
          <w:i/>
          <w:sz w:val="18"/>
          <w:szCs w:val="18"/>
        </w:rPr>
        <w:t>19</w:t>
      </w:r>
      <w:r>
        <w:rPr>
          <w:rFonts w:ascii="Palatino Linotype" w:hAnsi="Palatino Linotype" w:cs="Calibri"/>
          <w:sz w:val="18"/>
          <w:szCs w:val="18"/>
        </w:rPr>
        <w:t>, 589–606. https://doi.org/10.1111/j.1466-8238.2010.00540.x.</w:t>
      </w:r>
    </w:p>
    <w:p w14:paraId="7E6D950F"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lang w:val="en-US"/>
        </w:rPr>
        <w:t>Froyd</w:t>
      </w:r>
      <w:proofErr w:type="spellEnd"/>
      <w:r>
        <w:rPr>
          <w:rFonts w:ascii="Palatino Linotype" w:hAnsi="Palatino Linotype" w:cs="Calibri"/>
          <w:sz w:val="18"/>
          <w:szCs w:val="18"/>
          <w:lang w:val="en-US"/>
        </w:rPr>
        <w:t xml:space="preserve">, C.A.; Willis, K.J. Emerging Issues in Biodiversity &amp; Conservation Management: The Need for a Palaeoecological Perspective. </w:t>
      </w:r>
      <w:r>
        <w:rPr>
          <w:rFonts w:ascii="Palatino Linotype" w:hAnsi="Palatino Linotype" w:cs="Calibri"/>
          <w:i/>
          <w:iCs/>
          <w:sz w:val="18"/>
          <w:szCs w:val="18"/>
        </w:rPr>
        <w:t xml:space="preserve">Quat. </w:t>
      </w:r>
      <w:proofErr w:type="spellStart"/>
      <w:r>
        <w:rPr>
          <w:rFonts w:ascii="Palatino Linotype" w:hAnsi="Palatino Linotype" w:cs="Calibri"/>
          <w:i/>
          <w:iCs/>
          <w:sz w:val="18"/>
          <w:szCs w:val="18"/>
        </w:rPr>
        <w:t>Sci</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Rev</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bCs/>
          <w:sz w:val="18"/>
          <w:szCs w:val="18"/>
        </w:rPr>
        <w:t>2008</w:t>
      </w:r>
      <w:r>
        <w:rPr>
          <w:rFonts w:ascii="Palatino Linotype" w:hAnsi="Palatino Linotype" w:cs="Calibri"/>
          <w:bCs/>
          <w:sz w:val="18"/>
          <w:szCs w:val="18"/>
        </w:rPr>
        <w:t xml:space="preserve">, </w:t>
      </w:r>
      <w:r>
        <w:rPr>
          <w:rFonts w:ascii="Palatino Linotype" w:hAnsi="Palatino Linotype" w:cs="Calibri"/>
          <w:bCs/>
          <w:i/>
          <w:sz w:val="18"/>
          <w:szCs w:val="18"/>
        </w:rPr>
        <w:t>27</w:t>
      </w:r>
      <w:r>
        <w:rPr>
          <w:rFonts w:ascii="Palatino Linotype" w:hAnsi="Palatino Linotype" w:cs="Calibri"/>
          <w:bCs/>
          <w:sz w:val="18"/>
          <w:szCs w:val="18"/>
        </w:rPr>
        <w:t>, 1723–1732</w:t>
      </w:r>
      <w:r>
        <w:rPr>
          <w:rFonts w:ascii="Palatino Linotype" w:hAnsi="Palatino Linotype" w:cs="Calibri"/>
          <w:sz w:val="18"/>
          <w:szCs w:val="18"/>
        </w:rPr>
        <w:t>. https://doi.org/10.1016/j.quascirev.2008.06.006.</w:t>
      </w:r>
    </w:p>
    <w:p w14:paraId="4CFC532A"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Willis, K.J.; Bailey, R.M.; Bhagwat, S.A.; Birks, H.J.B. Biodiversity Baselines, Thresholds and Resilience: Testing Predictions and Assumptions Using Palaeoecological Data. </w:t>
      </w:r>
      <w:r>
        <w:rPr>
          <w:rFonts w:ascii="Palatino Linotype" w:hAnsi="Palatino Linotype" w:cs="Calibri"/>
          <w:i/>
          <w:iCs/>
          <w:sz w:val="18"/>
          <w:szCs w:val="18"/>
        </w:rPr>
        <w:t xml:space="preserve">Trends </w:t>
      </w:r>
      <w:proofErr w:type="spellStart"/>
      <w:r>
        <w:rPr>
          <w:rFonts w:ascii="Palatino Linotype" w:hAnsi="Palatino Linotype" w:cs="Calibri"/>
          <w:i/>
          <w:iCs/>
          <w:sz w:val="18"/>
          <w:szCs w:val="18"/>
        </w:rPr>
        <w:t>Ecol</w:t>
      </w:r>
      <w:proofErr w:type="spellEnd"/>
      <w:r>
        <w:rPr>
          <w:rFonts w:ascii="Palatino Linotype" w:hAnsi="Palatino Linotype" w:cs="Calibri"/>
          <w:i/>
          <w:iCs/>
          <w:sz w:val="18"/>
          <w:szCs w:val="18"/>
        </w:rPr>
        <w:t>. Evol.</w:t>
      </w:r>
      <w:r>
        <w:rPr>
          <w:rFonts w:ascii="Palatino Linotype" w:hAnsi="Palatino Linotype" w:cs="Calibri"/>
          <w:sz w:val="18"/>
          <w:szCs w:val="18"/>
        </w:rPr>
        <w:t xml:space="preserve"> </w:t>
      </w:r>
      <w:r>
        <w:rPr>
          <w:rFonts w:ascii="Palatino Linotype" w:hAnsi="Palatino Linotype" w:cs="Calibri"/>
          <w:b/>
          <w:sz w:val="18"/>
          <w:szCs w:val="18"/>
        </w:rPr>
        <w:t>2010</w:t>
      </w:r>
      <w:r>
        <w:rPr>
          <w:rFonts w:ascii="Palatino Linotype" w:hAnsi="Palatino Linotype" w:cs="Calibri"/>
          <w:sz w:val="18"/>
          <w:szCs w:val="18"/>
        </w:rPr>
        <w:t xml:space="preserve">, </w:t>
      </w:r>
      <w:r>
        <w:rPr>
          <w:rFonts w:ascii="Palatino Linotype" w:hAnsi="Palatino Linotype" w:cs="Calibri"/>
          <w:i/>
          <w:sz w:val="18"/>
          <w:szCs w:val="18"/>
        </w:rPr>
        <w:t>25</w:t>
      </w:r>
      <w:r>
        <w:rPr>
          <w:rFonts w:ascii="Palatino Linotype" w:hAnsi="Palatino Linotype" w:cs="Calibri"/>
          <w:sz w:val="18"/>
          <w:szCs w:val="18"/>
        </w:rPr>
        <w:t>, 583–591. https://doi.org/10.1016/j.tree.2010.07.006.</w:t>
      </w:r>
    </w:p>
    <w:p w14:paraId="070F4FB2"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lang w:val="en-US"/>
        </w:rPr>
        <w:t>Fredh</w:t>
      </w:r>
      <w:proofErr w:type="spellEnd"/>
      <w:r>
        <w:rPr>
          <w:rFonts w:ascii="Palatino Linotype" w:hAnsi="Palatino Linotype" w:cs="Calibri"/>
          <w:sz w:val="18"/>
          <w:szCs w:val="18"/>
          <w:lang w:val="en-US"/>
        </w:rPr>
        <w:t xml:space="preserve">, D.; </w:t>
      </w:r>
      <w:proofErr w:type="spellStart"/>
      <w:r>
        <w:rPr>
          <w:rFonts w:ascii="Palatino Linotype" w:hAnsi="Palatino Linotype" w:cs="Calibri"/>
          <w:sz w:val="18"/>
          <w:szCs w:val="18"/>
          <w:lang w:val="en-US"/>
        </w:rPr>
        <w:t>Broström</w:t>
      </w:r>
      <w:proofErr w:type="spellEnd"/>
      <w:r>
        <w:rPr>
          <w:rFonts w:ascii="Palatino Linotype" w:hAnsi="Palatino Linotype" w:cs="Calibri"/>
          <w:sz w:val="18"/>
          <w:szCs w:val="18"/>
          <w:lang w:val="en-US"/>
        </w:rPr>
        <w:t xml:space="preserve">, A.; </w:t>
      </w:r>
      <w:proofErr w:type="spellStart"/>
      <w:r>
        <w:rPr>
          <w:rFonts w:ascii="Palatino Linotype" w:hAnsi="Palatino Linotype" w:cs="Calibri"/>
          <w:sz w:val="18"/>
          <w:szCs w:val="18"/>
          <w:lang w:val="en-US"/>
        </w:rPr>
        <w:t>Rundgren</w:t>
      </w:r>
      <w:proofErr w:type="spellEnd"/>
      <w:r>
        <w:rPr>
          <w:rFonts w:ascii="Palatino Linotype" w:hAnsi="Palatino Linotype" w:cs="Calibri"/>
          <w:sz w:val="18"/>
          <w:szCs w:val="18"/>
          <w:lang w:val="en-US"/>
        </w:rPr>
        <w:t xml:space="preserve">, M.; </w:t>
      </w:r>
      <w:proofErr w:type="spellStart"/>
      <w:r>
        <w:rPr>
          <w:rFonts w:ascii="Palatino Linotype" w:hAnsi="Palatino Linotype" w:cs="Calibri"/>
          <w:sz w:val="18"/>
          <w:szCs w:val="18"/>
          <w:lang w:val="en-US"/>
        </w:rPr>
        <w:t>Lagerås</w:t>
      </w:r>
      <w:proofErr w:type="spellEnd"/>
      <w:r>
        <w:rPr>
          <w:rFonts w:ascii="Palatino Linotype" w:hAnsi="Palatino Linotype" w:cs="Calibri"/>
          <w:sz w:val="18"/>
          <w:szCs w:val="18"/>
          <w:lang w:val="en-US"/>
        </w:rPr>
        <w:t xml:space="preserve">, P.; </w:t>
      </w:r>
      <w:proofErr w:type="spellStart"/>
      <w:r>
        <w:rPr>
          <w:rFonts w:ascii="Palatino Linotype" w:hAnsi="Palatino Linotype" w:cs="Calibri"/>
          <w:sz w:val="18"/>
          <w:szCs w:val="18"/>
          <w:lang w:val="en-US"/>
        </w:rPr>
        <w:t>Mazier</w:t>
      </w:r>
      <w:proofErr w:type="spellEnd"/>
      <w:r>
        <w:rPr>
          <w:rFonts w:ascii="Palatino Linotype" w:hAnsi="Palatino Linotype" w:cs="Calibri"/>
          <w:sz w:val="18"/>
          <w:szCs w:val="18"/>
          <w:lang w:val="en-US"/>
        </w:rPr>
        <w:t xml:space="preserve">, F.; </w:t>
      </w:r>
      <w:proofErr w:type="spellStart"/>
      <w:r>
        <w:rPr>
          <w:rFonts w:ascii="Palatino Linotype" w:hAnsi="Palatino Linotype" w:cs="Calibri"/>
          <w:sz w:val="18"/>
          <w:szCs w:val="18"/>
          <w:lang w:val="en-US"/>
        </w:rPr>
        <w:t>Zillén</w:t>
      </w:r>
      <w:proofErr w:type="spellEnd"/>
      <w:r>
        <w:rPr>
          <w:rFonts w:ascii="Palatino Linotype" w:hAnsi="Palatino Linotype" w:cs="Calibri"/>
          <w:sz w:val="18"/>
          <w:szCs w:val="18"/>
          <w:lang w:val="en-US"/>
        </w:rPr>
        <w:t xml:space="preserve">, L. The Impact of Land-Use Change on Floristic Diversity at Regional Scale in Southern Sweden 600 BC-AD 2008. </w:t>
      </w:r>
      <w:proofErr w:type="spellStart"/>
      <w:r>
        <w:rPr>
          <w:rFonts w:ascii="Palatino Linotype" w:hAnsi="Palatino Linotype" w:cs="Calibri"/>
          <w:i/>
          <w:iCs/>
          <w:sz w:val="18"/>
          <w:szCs w:val="18"/>
        </w:rPr>
        <w:t>Biogeosciences</w:t>
      </w:r>
      <w:proofErr w:type="spellEnd"/>
      <w:r>
        <w:rPr>
          <w:rFonts w:ascii="Palatino Linotype" w:hAnsi="Palatino Linotype" w:cs="Calibri"/>
          <w:sz w:val="18"/>
          <w:szCs w:val="18"/>
        </w:rPr>
        <w:t xml:space="preserve"> </w:t>
      </w:r>
      <w:r>
        <w:rPr>
          <w:rFonts w:ascii="Palatino Linotype" w:hAnsi="Palatino Linotype" w:cs="Calibri"/>
          <w:b/>
          <w:sz w:val="18"/>
          <w:szCs w:val="18"/>
        </w:rPr>
        <w:t>2013</w:t>
      </w:r>
      <w:r>
        <w:rPr>
          <w:rFonts w:ascii="Palatino Linotype" w:hAnsi="Palatino Linotype" w:cs="Calibri"/>
          <w:sz w:val="18"/>
          <w:szCs w:val="18"/>
        </w:rPr>
        <w:t xml:space="preserve">, </w:t>
      </w:r>
      <w:r>
        <w:rPr>
          <w:rFonts w:ascii="Palatino Linotype" w:hAnsi="Palatino Linotype" w:cs="Calibri"/>
          <w:i/>
          <w:sz w:val="18"/>
          <w:szCs w:val="18"/>
        </w:rPr>
        <w:t>10</w:t>
      </w:r>
      <w:r>
        <w:rPr>
          <w:rFonts w:ascii="Palatino Linotype" w:hAnsi="Palatino Linotype" w:cs="Calibri"/>
          <w:sz w:val="18"/>
          <w:szCs w:val="18"/>
        </w:rPr>
        <w:t>, 3159–3173. https://doi.org/10.5194/bg-10-3159-2013.</w:t>
      </w:r>
    </w:p>
    <w:p w14:paraId="7171268B"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Andersen, T.; Carstensen, J.; Hernández-García, E.; Duarte, C.M. Ecological Thresholds and Regime Shifts: Approaches to Identification. </w:t>
      </w:r>
      <w:r>
        <w:rPr>
          <w:rFonts w:ascii="Palatino Linotype" w:hAnsi="Palatino Linotype" w:cs="Calibri"/>
          <w:i/>
          <w:iCs/>
          <w:sz w:val="18"/>
          <w:szCs w:val="18"/>
        </w:rPr>
        <w:t xml:space="preserve">Trends </w:t>
      </w:r>
      <w:proofErr w:type="spellStart"/>
      <w:r>
        <w:rPr>
          <w:rFonts w:ascii="Palatino Linotype" w:hAnsi="Palatino Linotype" w:cs="Calibri"/>
          <w:i/>
          <w:iCs/>
          <w:sz w:val="18"/>
          <w:szCs w:val="18"/>
        </w:rPr>
        <w:t>Ecol</w:t>
      </w:r>
      <w:proofErr w:type="spellEnd"/>
      <w:r>
        <w:rPr>
          <w:rFonts w:ascii="Palatino Linotype" w:hAnsi="Palatino Linotype" w:cs="Calibri"/>
          <w:i/>
          <w:iCs/>
          <w:sz w:val="18"/>
          <w:szCs w:val="18"/>
        </w:rPr>
        <w:t>. Evol.</w:t>
      </w:r>
      <w:r>
        <w:rPr>
          <w:rFonts w:ascii="Palatino Linotype" w:hAnsi="Palatino Linotype" w:cs="Calibri"/>
          <w:sz w:val="18"/>
          <w:szCs w:val="18"/>
        </w:rPr>
        <w:t xml:space="preserve"> </w:t>
      </w:r>
      <w:r>
        <w:rPr>
          <w:rFonts w:ascii="Palatino Linotype" w:hAnsi="Palatino Linotype" w:cs="Calibri"/>
          <w:b/>
          <w:sz w:val="18"/>
          <w:szCs w:val="18"/>
        </w:rPr>
        <w:t>2009</w:t>
      </w:r>
      <w:r>
        <w:rPr>
          <w:rFonts w:ascii="Palatino Linotype" w:hAnsi="Palatino Linotype" w:cs="Calibri"/>
          <w:sz w:val="18"/>
          <w:szCs w:val="18"/>
        </w:rPr>
        <w:t xml:space="preserve">, </w:t>
      </w:r>
      <w:r>
        <w:rPr>
          <w:rFonts w:ascii="Palatino Linotype" w:hAnsi="Palatino Linotype" w:cs="Calibri"/>
          <w:i/>
          <w:sz w:val="18"/>
          <w:szCs w:val="18"/>
        </w:rPr>
        <w:t>24</w:t>
      </w:r>
      <w:r>
        <w:rPr>
          <w:rFonts w:ascii="Palatino Linotype" w:hAnsi="Palatino Linotype" w:cs="Calibri"/>
          <w:sz w:val="18"/>
          <w:szCs w:val="18"/>
        </w:rPr>
        <w:t>, 49–57. https://doi.org/10.1016/j.tree.2008.07.014.</w:t>
      </w:r>
    </w:p>
    <w:p w14:paraId="1CE09C42"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Birks, H.J.B.; </w:t>
      </w:r>
      <w:proofErr w:type="spellStart"/>
      <w:r>
        <w:rPr>
          <w:rFonts w:ascii="Palatino Linotype" w:hAnsi="Palatino Linotype" w:cs="Calibri"/>
          <w:sz w:val="18"/>
          <w:szCs w:val="18"/>
          <w:lang w:val="en-US"/>
        </w:rPr>
        <w:t>Felde</w:t>
      </w:r>
      <w:proofErr w:type="spellEnd"/>
      <w:r>
        <w:rPr>
          <w:rFonts w:ascii="Palatino Linotype" w:hAnsi="Palatino Linotype" w:cs="Calibri"/>
          <w:sz w:val="18"/>
          <w:szCs w:val="18"/>
          <w:lang w:val="en-US"/>
        </w:rPr>
        <w:t xml:space="preserve">, V.A.; Seddon, A.W.R. Biodiversity Trends within the Holocene. </w:t>
      </w:r>
      <w:proofErr w:type="spellStart"/>
      <w:r>
        <w:rPr>
          <w:rFonts w:ascii="Palatino Linotype" w:hAnsi="Palatino Linotype" w:cs="Calibri"/>
          <w:i/>
          <w:iCs/>
          <w:sz w:val="18"/>
          <w:szCs w:val="18"/>
        </w:rPr>
        <w:t>Holocene</w:t>
      </w:r>
      <w:proofErr w:type="spellEnd"/>
      <w:r>
        <w:rPr>
          <w:rFonts w:ascii="Palatino Linotype" w:hAnsi="Palatino Linotype" w:cs="Calibri"/>
          <w:sz w:val="18"/>
          <w:szCs w:val="18"/>
        </w:rPr>
        <w:t xml:space="preserve"> </w:t>
      </w:r>
      <w:r>
        <w:rPr>
          <w:rFonts w:ascii="Palatino Linotype" w:hAnsi="Palatino Linotype" w:cs="Calibri"/>
          <w:b/>
          <w:bCs/>
          <w:sz w:val="18"/>
          <w:szCs w:val="18"/>
        </w:rPr>
        <w:t>2016</w:t>
      </w:r>
      <w:r>
        <w:rPr>
          <w:rFonts w:ascii="Palatino Linotype" w:hAnsi="Palatino Linotype" w:cs="Calibri"/>
          <w:bCs/>
          <w:sz w:val="18"/>
          <w:szCs w:val="18"/>
        </w:rPr>
        <w:t xml:space="preserve">, </w:t>
      </w:r>
      <w:r>
        <w:rPr>
          <w:rFonts w:ascii="Palatino Linotype" w:hAnsi="Palatino Linotype" w:cs="Calibri"/>
          <w:bCs/>
          <w:i/>
          <w:sz w:val="18"/>
          <w:szCs w:val="18"/>
        </w:rPr>
        <w:t>26</w:t>
      </w:r>
      <w:r>
        <w:rPr>
          <w:rFonts w:ascii="Palatino Linotype" w:hAnsi="Palatino Linotype" w:cs="Calibri"/>
          <w:bCs/>
          <w:sz w:val="18"/>
          <w:szCs w:val="18"/>
        </w:rPr>
        <w:t>, 994–1001</w:t>
      </w:r>
      <w:r>
        <w:rPr>
          <w:rFonts w:ascii="Palatino Linotype" w:hAnsi="Palatino Linotype" w:cs="Calibri"/>
          <w:sz w:val="18"/>
          <w:szCs w:val="18"/>
        </w:rPr>
        <w:t>. https://doi.org/10.1177/0959683615622568.</w:t>
      </w:r>
    </w:p>
    <w:p w14:paraId="6FD749E5"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Woodbridge, J.; Fyfe, R.; Smith, D.; Pelling, R.; de </w:t>
      </w:r>
      <w:proofErr w:type="spellStart"/>
      <w:r>
        <w:rPr>
          <w:rFonts w:ascii="Palatino Linotype" w:hAnsi="Palatino Linotype" w:cs="Calibri"/>
          <w:sz w:val="18"/>
          <w:szCs w:val="18"/>
          <w:lang w:val="en-US"/>
        </w:rPr>
        <w:t>Vareilles</w:t>
      </w:r>
      <w:proofErr w:type="spellEnd"/>
      <w:r>
        <w:rPr>
          <w:rFonts w:ascii="Palatino Linotype" w:hAnsi="Palatino Linotype" w:cs="Calibri"/>
          <w:sz w:val="18"/>
          <w:szCs w:val="18"/>
          <w:lang w:val="en-US"/>
        </w:rPr>
        <w:t xml:space="preserve">, A.; Batchelor, R.; Bevan, A.; Davies, A.L. What Drives Biodiversity Patterns? Using Long-Term Multidisciplinary Data to Discern Centennial-Scale Change. </w:t>
      </w:r>
      <w:r>
        <w:rPr>
          <w:rFonts w:ascii="Palatino Linotype" w:hAnsi="Palatino Linotype" w:cs="Calibri"/>
          <w:i/>
          <w:iCs/>
          <w:sz w:val="18"/>
          <w:szCs w:val="18"/>
        </w:rPr>
        <w:t xml:space="preserve">J. </w:t>
      </w:r>
      <w:proofErr w:type="spellStart"/>
      <w:r>
        <w:rPr>
          <w:rFonts w:ascii="Palatino Linotype" w:hAnsi="Palatino Linotype" w:cs="Calibri"/>
          <w:i/>
          <w:iCs/>
          <w:sz w:val="18"/>
          <w:szCs w:val="18"/>
        </w:rPr>
        <w:t>Ecol</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sz w:val="18"/>
          <w:szCs w:val="18"/>
        </w:rPr>
        <w:t>2021</w:t>
      </w:r>
      <w:r>
        <w:rPr>
          <w:rFonts w:ascii="Palatino Linotype" w:hAnsi="Palatino Linotype" w:cs="Calibri"/>
          <w:sz w:val="18"/>
          <w:szCs w:val="18"/>
        </w:rPr>
        <w:t xml:space="preserve">, </w:t>
      </w:r>
      <w:r>
        <w:rPr>
          <w:rFonts w:ascii="Palatino Linotype" w:hAnsi="Palatino Linotype" w:cs="Calibri"/>
          <w:i/>
          <w:sz w:val="18"/>
          <w:szCs w:val="18"/>
        </w:rPr>
        <w:t>109</w:t>
      </w:r>
      <w:r>
        <w:rPr>
          <w:rFonts w:ascii="Palatino Linotype" w:hAnsi="Palatino Linotype" w:cs="Calibri"/>
          <w:sz w:val="18"/>
          <w:szCs w:val="18"/>
        </w:rPr>
        <w:t>, 1396–1410. https://doi.org/10.1111/1365-2745.13565.</w:t>
      </w:r>
    </w:p>
    <w:p w14:paraId="313ABFB1"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Klein </w:t>
      </w:r>
      <w:proofErr w:type="spellStart"/>
      <w:r>
        <w:rPr>
          <w:rFonts w:ascii="Palatino Linotype" w:hAnsi="Palatino Linotype" w:cs="Calibri"/>
          <w:sz w:val="18"/>
          <w:szCs w:val="18"/>
          <w:lang w:val="en-US"/>
        </w:rPr>
        <w:t>Goldewijk</w:t>
      </w:r>
      <w:proofErr w:type="spellEnd"/>
      <w:r>
        <w:rPr>
          <w:rFonts w:ascii="Palatino Linotype" w:hAnsi="Palatino Linotype" w:cs="Calibri"/>
          <w:sz w:val="18"/>
          <w:szCs w:val="18"/>
          <w:lang w:val="en-US"/>
        </w:rPr>
        <w:t xml:space="preserve">, K.; </w:t>
      </w:r>
      <w:proofErr w:type="spellStart"/>
      <w:r>
        <w:rPr>
          <w:rFonts w:ascii="Palatino Linotype" w:hAnsi="Palatino Linotype" w:cs="Calibri"/>
          <w:sz w:val="18"/>
          <w:szCs w:val="18"/>
          <w:lang w:val="en-US"/>
        </w:rPr>
        <w:t>Beusen</w:t>
      </w:r>
      <w:proofErr w:type="spellEnd"/>
      <w:r>
        <w:rPr>
          <w:rFonts w:ascii="Palatino Linotype" w:hAnsi="Palatino Linotype" w:cs="Calibri"/>
          <w:sz w:val="18"/>
          <w:szCs w:val="18"/>
          <w:lang w:val="en-US"/>
        </w:rPr>
        <w:t xml:space="preserve">, A.; </w:t>
      </w:r>
      <w:proofErr w:type="spellStart"/>
      <w:r>
        <w:rPr>
          <w:rFonts w:ascii="Palatino Linotype" w:hAnsi="Palatino Linotype" w:cs="Calibri"/>
          <w:sz w:val="18"/>
          <w:szCs w:val="18"/>
          <w:lang w:val="en-US"/>
        </w:rPr>
        <w:t>Doelman</w:t>
      </w:r>
      <w:proofErr w:type="spellEnd"/>
      <w:r>
        <w:rPr>
          <w:rFonts w:ascii="Palatino Linotype" w:hAnsi="Palatino Linotype" w:cs="Calibri"/>
          <w:sz w:val="18"/>
          <w:szCs w:val="18"/>
          <w:lang w:val="en-US"/>
        </w:rPr>
        <w:t xml:space="preserve">, J.; </w:t>
      </w:r>
      <w:proofErr w:type="spellStart"/>
      <w:r>
        <w:rPr>
          <w:rFonts w:ascii="Palatino Linotype" w:hAnsi="Palatino Linotype" w:cs="Calibri"/>
          <w:sz w:val="18"/>
          <w:szCs w:val="18"/>
          <w:lang w:val="en-US"/>
        </w:rPr>
        <w:t>Stehfest</w:t>
      </w:r>
      <w:proofErr w:type="spellEnd"/>
      <w:r>
        <w:rPr>
          <w:rFonts w:ascii="Palatino Linotype" w:hAnsi="Palatino Linotype" w:cs="Calibri"/>
          <w:sz w:val="18"/>
          <w:szCs w:val="18"/>
          <w:lang w:val="en-US"/>
        </w:rPr>
        <w:t xml:space="preserve">, E. Anthropogenic Land Use Estimates for the Holocene—HYDE 3.2. </w:t>
      </w:r>
      <w:proofErr w:type="spellStart"/>
      <w:r>
        <w:rPr>
          <w:rFonts w:ascii="Palatino Linotype" w:hAnsi="Palatino Linotype" w:cs="Calibri"/>
          <w:i/>
          <w:iCs/>
          <w:sz w:val="18"/>
          <w:szCs w:val="18"/>
        </w:rPr>
        <w:t>Earth</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Syst</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Sci</w:t>
      </w:r>
      <w:proofErr w:type="spellEnd"/>
      <w:r>
        <w:rPr>
          <w:rFonts w:ascii="Palatino Linotype" w:hAnsi="Palatino Linotype" w:cs="Calibri"/>
          <w:i/>
          <w:iCs/>
          <w:sz w:val="18"/>
          <w:szCs w:val="18"/>
        </w:rPr>
        <w:t>. Data</w:t>
      </w:r>
      <w:r>
        <w:rPr>
          <w:rFonts w:ascii="Palatino Linotype" w:hAnsi="Palatino Linotype" w:cs="Calibri"/>
          <w:sz w:val="18"/>
          <w:szCs w:val="18"/>
        </w:rPr>
        <w:t xml:space="preserve"> </w:t>
      </w:r>
      <w:r>
        <w:rPr>
          <w:rFonts w:ascii="Palatino Linotype" w:hAnsi="Palatino Linotype" w:cs="Calibri"/>
          <w:b/>
          <w:sz w:val="18"/>
          <w:szCs w:val="18"/>
        </w:rPr>
        <w:t>2017</w:t>
      </w:r>
      <w:r>
        <w:rPr>
          <w:rFonts w:ascii="Palatino Linotype" w:hAnsi="Palatino Linotype" w:cs="Calibri"/>
          <w:sz w:val="18"/>
          <w:szCs w:val="18"/>
        </w:rPr>
        <w:t xml:space="preserve">, </w:t>
      </w:r>
      <w:r>
        <w:rPr>
          <w:rFonts w:ascii="Palatino Linotype" w:hAnsi="Palatino Linotype" w:cs="Calibri"/>
          <w:i/>
          <w:sz w:val="18"/>
          <w:szCs w:val="18"/>
        </w:rPr>
        <w:t>9</w:t>
      </w:r>
      <w:r>
        <w:rPr>
          <w:rFonts w:ascii="Palatino Linotype" w:hAnsi="Palatino Linotype" w:cs="Calibri"/>
          <w:sz w:val="18"/>
          <w:szCs w:val="18"/>
        </w:rPr>
        <w:t>, 927–953. https://doi.org/10.5194/essd-9-927-2017.</w:t>
      </w:r>
    </w:p>
    <w:p w14:paraId="35D8B98D"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Kaplan, J.O.; </w:t>
      </w:r>
      <w:proofErr w:type="spellStart"/>
      <w:r>
        <w:rPr>
          <w:rFonts w:ascii="Palatino Linotype" w:hAnsi="Palatino Linotype" w:cs="Calibri"/>
          <w:sz w:val="18"/>
          <w:szCs w:val="18"/>
          <w:lang w:val="en-US"/>
        </w:rPr>
        <w:t>Krumhardt</w:t>
      </w:r>
      <w:proofErr w:type="spellEnd"/>
      <w:r>
        <w:rPr>
          <w:rFonts w:ascii="Palatino Linotype" w:hAnsi="Palatino Linotype" w:cs="Calibri"/>
          <w:sz w:val="18"/>
          <w:szCs w:val="18"/>
          <w:lang w:val="en-US"/>
        </w:rPr>
        <w:t xml:space="preserve">, K.M.; Ellis, E.C.; </w:t>
      </w:r>
      <w:proofErr w:type="spellStart"/>
      <w:r>
        <w:rPr>
          <w:rFonts w:ascii="Palatino Linotype" w:hAnsi="Palatino Linotype" w:cs="Calibri"/>
          <w:sz w:val="18"/>
          <w:szCs w:val="18"/>
          <w:lang w:val="en-US"/>
        </w:rPr>
        <w:t>Ruddiman</w:t>
      </w:r>
      <w:proofErr w:type="spellEnd"/>
      <w:r>
        <w:rPr>
          <w:rFonts w:ascii="Palatino Linotype" w:hAnsi="Palatino Linotype" w:cs="Calibri"/>
          <w:sz w:val="18"/>
          <w:szCs w:val="18"/>
          <w:lang w:val="en-US"/>
        </w:rPr>
        <w:t xml:space="preserve">, W.F.; </w:t>
      </w:r>
      <w:proofErr w:type="spellStart"/>
      <w:r>
        <w:rPr>
          <w:rFonts w:ascii="Palatino Linotype" w:hAnsi="Palatino Linotype" w:cs="Calibri"/>
          <w:sz w:val="18"/>
          <w:szCs w:val="18"/>
          <w:lang w:val="en-US"/>
        </w:rPr>
        <w:t>Lemmen</w:t>
      </w:r>
      <w:proofErr w:type="spellEnd"/>
      <w:r>
        <w:rPr>
          <w:rFonts w:ascii="Palatino Linotype" w:hAnsi="Palatino Linotype" w:cs="Calibri"/>
          <w:sz w:val="18"/>
          <w:szCs w:val="18"/>
          <w:lang w:val="en-US"/>
        </w:rPr>
        <w:t xml:space="preserve">, C.; </w:t>
      </w:r>
      <w:proofErr w:type="spellStart"/>
      <w:r>
        <w:rPr>
          <w:rFonts w:ascii="Palatino Linotype" w:hAnsi="Palatino Linotype" w:cs="Calibri"/>
          <w:sz w:val="18"/>
          <w:szCs w:val="18"/>
          <w:lang w:val="en-US"/>
        </w:rPr>
        <w:t>Goldewijk</w:t>
      </w:r>
      <w:proofErr w:type="spellEnd"/>
      <w:r>
        <w:rPr>
          <w:rFonts w:ascii="Palatino Linotype" w:hAnsi="Palatino Linotype" w:cs="Calibri"/>
          <w:sz w:val="18"/>
          <w:szCs w:val="18"/>
          <w:lang w:val="en-US"/>
        </w:rPr>
        <w:t xml:space="preserve">, K.K. Holocene Carbon Emissions as a Result of Anthropogenic Land Cover Change. </w:t>
      </w:r>
      <w:proofErr w:type="spellStart"/>
      <w:r>
        <w:rPr>
          <w:rFonts w:ascii="Palatino Linotype" w:hAnsi="Palatino Linotype"/>
          <w:i/>
          <w:iCs/>
          <w:sz w:val="18"/>
          <w:szCs w:val="18"/>
        </w:rPr>
        <w:t>Holocene</w:t>
      </w:r>
      <w:proofErr w:type="spellEnd"/>
      <w:r>
        <w:rPr>
          <w:rFonts w:ascii="Palatino Linotype" w:hAnsi="Palatino Linotype"/>
          <w:i/>
          <w:iCs/>
          <w:sz w:val="18"/>
          <w:szCs w:val="18"/>
        </w:rPr>
        <w:t xml:space="preserve"> </w:t>
      </w:r>
      <w:r>
        <w:rPr>
          <w:rFonts w:ascii="Palatino Linotype" w:hAnsi="Palatino Linotype" w:cs="Calibri"/>
          <w:b/>
          <w:sz w:val="18"/>
          <w:szCs w:val="18"/>
        </w:rPr>
        <w:t>2010</w:t>
      </w:r>
      <w:r>
        <w:rPr>
          <w:rFonts w:ascii="Palatino Linotype" w:hAnsi="Palatino Linotype" w:cs="Calibri"/>
          <w:sz w:val="18"/>
          <w:szCs w:val="18"/>
        </w:rPr>
        <w:t xml:space="preserve">, </w:t>
      </w:r>
      <w:r>
        <w:rPr>
          <w:rFonts w:ascii="Palatino Linotype" w:hAnsi="Palatino Linotype" w:cs="Calibri"/>
          <w:i/>
          <w:sz w:val="18"/>
          <w:szCs w:val="18"/>
        </w:rPr>
        <w:t>21</w:t>
      </w:r>
      <w:r>
        <w:rPr>
          <w:rFonts w:ascii="Palatino Linotype" w:hAnsi="Palatino Linotype" w:cs="Calibri"/>
          <w:sz w:val="18"/>
          <w:szCs w:val="18"/>
        </w:rPr>
        <w:t>, 775–791. https://doi.org/10.1177/0959683610386983.</w:t>
      </w:r>
    </w:p>
    <w:p w14:paraId="56531E4D"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sv-SE"/>
        </w:rPr>
      </w:pPr>
      <w:r>
        <w:rPr>
          <w:rFonts w:ascii="Palatino Linotype" w:hAnsi="Palatino Linotype" w:cs="Calibri"/>
          <w:sz w:val="18"/>
          <w:szCs w:val="18"/>
          <w:lang w:val="en-US"/>
        </w:rPr>
        <w:t xml:space="preserve">Hibbard, K.; </w:t>
      </w:r>
      <w:proofErr w:type="spellStart"/>
      <w:r>
        <w:rPr>
          <w:rFonts w:ascii="Palatino Linotype" w:hAnsi="Palatino Linotype" w:cs="Calibri"/>
          <w:sz w:val="18"/>
          <w:szCs w:val="18"/>
          <w:lang w:val="en-US"/>
        </w:rPr>
        <w:t>Janetos</w:t>
      </w:r>
      <w:proofErr w:type="spellEnd"/>
      <w:r>
        <w:rPr>
          <w:rFonts w:ascii="Palatino Linotype" w:hAnsi="Palatino Linotype" w:cs="Calibri"/>
          <w:sz w:val="18"/>
          <w:szCs w:val="18"/>
          <w:lang w:val="en-US"/>
        </w:rPr>
        <w:t xml:space="preserve">, A.; van Vuuren, D.P.; </w:t>
      </w:r>
      <w:proofErr w:type="spellStart"/>
      <w:r>
        <w:rPr>
          <w:rFonts w:ascii="Palatino Linotype" w:hAnsi="Palatino Linotype" w:cs="Calibri"/>
          <w:sz w:val="18"/>
          <w:szCs w:val="18"/>
          <w:lang w:val="en-US"/>
        </w:rPr>
        <w:t>Pongratz</w:t>
      </w:r>
      <w:proofErr w:type="spellEnd"/>
      <w:r>
        <w:rPr>
          <w:rFonts w:ascii="Palatino Linotype" w:hAnsi="Palatino Linotype" w:cs="Calibri"/>
          <w:sz w:val="18"/>
          <w:szCs w:val="18"/>
          <w:lang w:val="en-US"/>
        </w:rPr>
        <w:t xml:space="preserve">, J.; Rose, S.K.; Betts, R.; Herold, M.; </w:t>
      </w:r>
      <w:proofErr w:type="spellStart"/>
      <w:r>
        <w:rPr>
          <w:rFonts w:ascii="Palatino Linotype" w:hAnsi="Palatino Linotype" w:cs="Calibri"/>
          <w:sz w:val="18"/>
          <w:szCs w:val="18"/>
          <w:lang w:val="en-US"/>
        </w:rPr>
        <w:t>Feddema</w:t>
      </w:r>
      <w:proofErr w:type="spellEnd"/>
      <w:r>
        <w:rPr>
          <w:rFonts w:ascii="Palatino Linotype" w:hAnsi="Palatino Linotype" w:cs="Calibri"/>
          <w:sz w:val="18"/>
          <w:szCs w:val="18"/>
          <w:lang w:val="en-US"/>
        </w:rPr>
        <w:t xml:space="preserve">, J.J. Research Priorities in Land Use and Land-Cover Change for the Earth System and Integrated Assessment Modelling. </w:t>
      </w:r>
      <w:r>
        <w:rPr>
          <w:rFonts w:ascii="Palatino Linotype" w:hAnsi="Palatino Linotype" w:cs="Calibri"/>
          <w:i/>
          <w:iCs/>
          <w:sz w:val="18"/>
          <w:szCs w:val="18"/>
          <w:lang w:val="sv-SE"/>
        </w:rPr>
        <w:t>Int. J. Climatol.</w:t>
      </w:r>
      <w:r>
        <w:rPr>
          <w:rFonts w:ascii="Palatino Linotype" w:hAnsi="Palatino Linotype" w:cs="Calibri"/>
          <w:sz w:val="18"/>
          <w:szCs w:val="18"/>
          <w:lang w:val="sv-SE"/>
        </w:rPr>
        <w:t xml:space="preserve"> </w:t>
      </w:r>
      <w:r>
        <w:rPr>
          <w:rFonts w:ascii="Palatino Linotype" w:hAnsi="Palatino Linotype" w:cs="Calibri"/>
          <w:b/>
          <w:bCs/>
          <w:sz w:val="18"/>
          <w:szCs w:val="18"/>
          <w:lang w:val="sv-SE"/>
        </w:rPr>
        <w:t>2010</w:t>
      </w:r>
      <w:r>
        <w:rPr>
          <w:rFonts w:ascii="Palatino Linotype" w:hAnsi="Palatino Linotype" w:cs="Calibri"/>
          <w:bCs/>
          <w:sz w:val="18"/>
          <w:szCs w:val="18"/>
          <w:lang w:val="sv-SE"/>
        </w:rPr>
        <w:t xml:space="preserve">, </w:t>
      </w:r>
      <w:r>
        <w:rPr>
          <w:rFonts w:ascii="Palatino Linotype" w:hAnsi="Palatino Linotype" w:cs="Calibri"/>
          <w:bCs/>
          <w:i/>
          <w:sz w:val="18"/>
          <w:szCs w:val="18"/>
          <w:lang w:val="sv-SE"/>
        </w:rPr>
        <w:t>30</w:t>
      </w:r>
      <w:r>
        <w:rPr>
          <w:rFonts w:ascii="Palatino Linotype" w:hAnsi="Palatino Linotype" w:cs="Calibri"/>
          <w:bCs/>
          <w:sz w:val="18"/>
          <w:szCs w:val="18"/>
          <w:lang w:val="sv-SE"/>
        </w:rPr>
        <w:t>, 2118–2128</w:t>
      </w:r>
      <w:r>
        <w:rPr>
          <w:rFonts w:ascii="Palatino Linotype" w:hAnsi="Palatino Linotype" w:cs="Calibri"/>
          <w:sz w:val="18"/>
          <w:szCs w:val="18"/>
          <w:lang w:val="sv-SE"/>
        </w:rPr>
        <w:t>. https://doi.org/10.1002/joc.2150.</w:t>
      </w:r>
    </w:p>
    <w:p w14:paraId="4DBE6622"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sv-SE"/>
        </w:rPr>
        <w:t xml:space="preserve">Gaillard, M.-J.; Sugita, S.; Mazier, F.; Trondman, A.-K.; Broström, A.; Hickler, T.; Kaplan, J.O.; Kjellström, E.; Kokfelt, U.; Kuneš, P.; et al. </w:t>
      </w:r>
      <w:r>
        <w:rPr>
          <w:rFonts w:ascii="Palatino Linotype" w:hAnsi="Palatino Linotype" w:cs="Calibri"/>
          <w:sz w:val="18"/>
          <w:szCs w:val="18"/>
          <w:lang w:val="en-US"/>
        </w:rPr>
        <w:t xml:space="preserve">Holocene Land-Cover Reconstructions for Studies on Land Cover-Climate Feedbacks. </w:t>
      </w:r>
      <w:r>
        <w:rPr>
          <w:rFonts w:ascii="Palatino Linotype" w:hAnsi="Palatino Linotype" w:cs="Calibri"/>
          <w:i/>
          <w:iCs/>
          <w:sz w:val="18"/>
          <w:szCs w:val="18"/>
        </w:rPr>
        <w:t>Clim. Past</w:t>
      </w:r>
      <w:r>
        <w:rPr>
          <w:rFonts w:ascii="Palatino Linotype" w:hAnsi="Palatino Linotype" w:cs="Calibri"/>
          <w:sz w:val="18"/>
          <w:szCs w:val="18"/>
        </w:rPr>
        <w:t xml:space="preserve"> </w:t>
      </w:r>
      <w:r>
        <w:rPr>
          <w:rFonts w:ascii="Palatino Linotype" w:hAnsi="Palatino Linotype" w:cs="Calibri"/>
          <w:b/>
          <w:sz w:val="18"/>
          <w:szCs w:val="18"/>
        </w:rPr>
        <w:t>2010</w:t>
      </w:r>
      <w:r>
        <w:rPr>
          <w:rFonts w:ascii="Palatino Linotype" w:hAnsi="Palatino Linotype" w:cs="Calibri"/>
          <w:sz w:val="18"/>
          <w:szCs w:val="18"/>
        </w:rPr>
        <w:t xml:space="preserve">, </w:t>
      </w:r>
      <w:r>
        <w:rPr>
          <w:rFonts w:ascii="Palatino Linotype" w:hAnsi="Palatino Linotype" w:cs="Calibri"/>
          <w:i/>
          <w:sz w:val="18"/>
          <w:szCs w:val="18"/>
        </w:rPr>
        <w:t>6</w:t>
      </w:r>
      <w:r>
        <w:rPr>
          <w:rFonts w:ascii="Palatino Linotype" w:hAnsi="Palatino Linotype" w:cs="Calibri"/>
          <w:sz w:val="18"/>
          <w:szCs w:val="18"/>
        </w:rPr>
        <w:t>, 483–499. https://doi.org/10.5194/cp-6-483-2010.</w:t>
      </w:r>
    </w:p>
    <w:p w14:paraId="1C61115A"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Willis, K.J.; Birks, H.J.B. What Is Natural? The Need for a Long-Term Perspective in Biodiversity Conservation. </w:t>
      </w:r>
      <w:r>
        <w:rPr>
          <w:rFonts w:ascii="Palatino Linotype" w:hAnsi="Palatino Linotype" w:cs="Calibri"/>
          <w:i/>
          <w:iCs/>
          <w:sz w:val="18"/>
          <w:szCs w:val="18"/>
        </w:rPr>
        <w:t xml:space="preserve">Science </w:t>
      </w:r>
      <w:r>
        <w:rPr>
          <w:rFonts w:ascii="Palatino Linotype" w:hAnsi="Palatino Linotype" w:cs="Calibri"/>
          <w:b/>
          <w:sz w:val="18"/>
          <w:szCs w:val="18"/>
        </w:rPr>
        <w:t>2006</w:t>
      </w:r>
      <w:r>
        <w:rPr>
          <w:rFonts w:ascii="Palatino Linotype" w:hAnsi="Palatino Linotype" w:cs="Calibri"/>
          <w:sz w:val="18"/>
          <w:szCs w:val="18"/>
        </w:rPr>
        <w:t xml:space="preserve">, </w:t>
      </w:r>
      <w:r>
        <w:rPr>
          <w:rFonts w:ascii="Palatino Linotype" w:hAnsi="Palatino Linotype" w:cs="Calibri"/>
          <w:i/>
          <w:sz w:val="18"/>
          <w:szCs w:val="18"/>
        </w:rPr>
        <w:t>314</w:t>
      </w:r>
      <w:r>
        <w:rPr>
          <w:rFonts w:ascii="Palatino Linotype" w:hAnsi="Palatino Linotype" w:cs="Calibri"/>
          <w:sz w:val="18"/>
          <w:szCs w:val="18"/>
        </w:rPr>
        <w:t>, 1261–1265. https://doi.org/10.1126/science.1122667.</w:t>
      </w:r>
    </w:p>
    <w:p w14:paraId="52E36BDB"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Birks, H.J.B.; Willis, K.J. Alpines, Trees, and Refugia in Europe. </w:t>
      </w:r>
      <w:r>
        <w:rPr>
          <w:rFonts w:ascii="Palatino Linotype" w:hAnsi="Palatino Linotype" w:cs="Calibri"/>
          <w:i/>
          <w:iCs/>
          <w:sz w:val="18"/>
          <w:szCs w:val="18"/>
        </w:rPr>
        <w:t xml:space="preserve">Plant </w:t>
      </w:r>
      <w:proofErr w:type="spellStart"/>
      <w:r>
        <w:rPr>
          <w:rFonts w:ascii="Palatino Linotype" w:hAnsi="Palatino Linotype" w:cs="Calibri"/>
          <w:i/>
          <w:iCs/>
          <w:sz w:val="18"/>
          <w:szCs w:val="18"/>
        </w:rPr>
        <w:t>Ecol</w:t>
      </w:r>
      <w:proofErr w:type="spellEnd"/>
      <w:r>
        <w:rPr>
          <w:rFonts w:ascii="Palatino Linotype" w:hAnsi="Palatino Linotype" w:cs="Calibri"/>
          <w:i/>
          <w:iCs/>
          <w:sz w:val="18"/>
          <w:szCs w:val="18"/>
        </w:rPr>
        <w:t>. Divers.</w:t>
      </w:r>
      <w:r>
        <w:rPr>
          <w:rFonts w:ascii="Palatino Linotype" w:hAnsi="Palatino Linotype" w:cs="Calibri"/>
          <w:sz w:val="18"/>
          <w:szCs w:val="18"/>
        </w:rPr>
        <w:t xml:space="preserve"> </w:t>
      </w:r>
      <w:r>
        <w:rPr>
          <w:rFonts w:ascii="Palatino Linotype" w:hAnsi="Palatino Linotype" w:cs="Calibri"/>
          <w:b/>
          <w:sz w:val="18"/>
          <w:szCs w:val="18"/>
        </w:rPr>
        <w:t>2008</w:t>
      </w:r>
      <w:r>
        <w:rPr>
          <w:rFonts w:ascii="Palatino Linotype" w:hAnsi="Palatino Linotype" w:cs="Calibri"/>
          <w:sz w:val="18"/>
          <w:szCs w:val="18"/>
        </w:rPr>
        <w:t xml:space="preserve">, </w:t>
      </w:r>
      <w:r>
        <w:rPr>
          <w:rFonts w:ascii="Palatino Linotype" w:hAnsi="Palatino Linotype" w:cs="Calibri"/>
          <w:i/>
          <w:sz w:val="18"/>
          <w:szCs w:val="18"/>
        </w:rPr>
        <w:t>1</w:t>
      </w:r>
      <w:r>
        <w:rPr>
          <w:rFonts w:ascii="Palatino Linotype" w:hAnsi="Palatino Linotype" w:cs="Calibri"/>
          <w:sz w:val="18"/>
          <w:szCs w:val="18"/>
        </w:rPr>
        <w:t>, 147–160. https://doi.org/10.1080/17550870802349146.</w:t>
      </w:r>
    </w:p>
    <w:p w14:paraId="79AD994E"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Gaillard, M.-J.; </w:t>
      </w:r>
      <w:r>
        <w:rPr>
          <w:rFonts w:ascii="Palatino Linotype" w:hAnsi="Palatino Linotype"/>
          <w:sz w:val="18"/>
          <w:szCs w:val="18"/>
          <w:lang w:val="en-US"/>
        </w:rPr>
        <w:t>Berglund, B.E.; Birks, H.J.B.</w:t>
      </w:r>
      <w:r>
        <w:rPr>
          <w:rFonts w:ascii="Palatino Linotype" w:hAnsi="Palatino Linotype" w:cs="Calibri"/>
          <w:sz w:val="18"/>
          <w:szCs w:val="18"/>
          <w:lang w:val="en-US"/>
        </w:rPr>
        <w:t xml:space="preserve">; Edwards, K.J.; </w:t>
      </w:r>
      <w:proofErr w:type="spellStart"/>
      <w:r>
        <w:rPr>
          <w:rFonts w:ascii="Palatino Linotype" w:hAnsi="Palatino Linotype" w:cs="Calibri"/>
          <w:sz w:val="18"/>
          <w:szCs w:val="18"/>
          <w:lang w:val="en-US"/>
        </w:rPr>
        <w:t>Bittmann</w:t>
      </w:r>
      <w:proofErr w:type="spellEnd"/>
      <w:r>
        <w:rPr>
          <w:rFonts w:ascii="Palatino Linotype" w:hAnsi="Palatino Linotype" w:cs="Calibri"/>
          <w:sz w:val="18"/>
          <w:szCs w:val="18"/>
          <w:lang w:val="en-US"/>
        </w:rPr>
        <w:t xml:space="preserve">, F. “Think Horizontally, Act Vertically”: The Centenary (1916–2016) of Pollen Analysis and the Legacy of Lennart von Post. </w:t>
      </w:r>
      <w:r>
        <w:rPr>
          <w:rFonts w:ascii="Palatino Linotype" w:hAnsi="Palatino Linotype" w:cs="Calibri"/>
          <w:i/>
          <w:iCs/>
          <w:sz w:val="18"/>
          <w:szCs w:val="18"/>
          <w:lang w:val="en-US"/>
        </w:rPr>
        <w:t xml:space="preserve">Veg. </w:t>
      </w:r>
      <w:r>
        <w:rPr>
          <w:rFonts w:ascii="Palatino Linotype" w:hAnsi="Palatino Linotype" w:cs="Calibri"/>
          <w:i/>
          <w:iCs/>
          <w:sz w:val="18"/>
          <w:szCs w:val="18"/>
        </w:rPr>
        <w:t xml:space="preserve">Hist. </w:t>
      </w:r>
      <w:proofErr w:type="spellStart"/>
      <w:r>
        <w:rPr>
          <w:rFonts w:ascii="Palatino Linotype" w:hAnsi="Palatino Linotype" w:cs="Calibri"/>
          <w:i/>
          <w:iCs/>
          <w:sz w:val="18"/>
          <w:szCs w:val="18"/>
        </w:rPr>
        <w:t>Archaeobot</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bCs/>
          <w:sz w:val="18"/>
          <w:szCs w:val="18"/>
        </w:rPr>
        <w:t>2018</w:t>
      </w:r>
      <w:r>
        <w:rPr>
          <w:rFonts w:ascii="Palatino Linotype" w:hAnsi="Palatino Linotype" w:cs="Calibri"/>
          <w:bCs/>
          <w:sz w:val="18"/>
          <w:szCs w:val="18"/>
        </w:rPr>
        <w:t xml:space="preserve">, </w:t>
      </w:r>
      <w:r>
        <w:rPr>
          <w:rFonts w:ascii="Palatino Linotype" w:hAnsi="Palatino Linotype" w:cs="Calibri"/>
          <w:bCs/>
          <w:i/>
          <w:sz w:val="18"/>
          <w:szCs w:val="18"/>
        </w:rPr>
        <w:t>27</w:t>
      </w:r>
      <w:r>
        <w:rPr>
          <w:rFonts w:ascii="Palatino Linotype" w:hAnsi="Palatino Linotype" w:cs="Calibri"/>
          <w:bCs/>
          <w:sz w:val="18"/>
          <w:szCs w:val="18"/>
        </w:rPr>
        <w:t>, 267–269</w:t>
      </w:r>
      <w:r>
        <w:rPr>
          <w:rFonts w:ascii="Palatino Linotype" w:hAnsi="Palatino Linotype" w:cs="Calibri"/>
          <w:sz w:val="18"/>
          <w:szCs w:val="18"/>
        </w:rPr>
        <w:t>. https://doi.org/10.1007/s00334-017-0656-5.</w:t>
      </w:r>
    </w:p>
    <w:p w14:paraId="13DF42FE"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Prentice, I.C.; Prentice, I.; Webb, T. Pollen Percentages, Tree </w:t>
      </w:r>
      <w:proofErr w:type="gramStart"/>
      <w:r>
        <w:rPr>
          <w:rFonts w:ascii="Palatino Linotype" w:hAnsi="Palatino Linotype" w:cs="Calibri"/>
          <w:sz w:val="18"/>
          <w:szCs w:val="18"/>
          <w:lang w:val="en-US"/>
        </w:rPr>
        <w:t>Abundances</w:t>
      </w:r>
      <w:proofErr w:type="gramEnd"/>
      <w:r>
        <w:rPr>
          <w:rFonts w:ascii="Palatino Linotype" w:hAnsi="Palatino Linotype" w:cs="Calibri"/>
          <w:sz w:val="18"/>
          <w:szCs w:val="18"/>
          <w:lang w:val="en-US"/>
        </w:rPr>
        <w:t xml:space="preserve"> and the </w:t>
      </w:r>
      <w:proofErr w:type="spellStart"/>
      <w:r>
        <w:rPr>
          <w:rFonts w:ascii="Palatino Linotype" w:hAnsi="Palatino Linotype" w:cs="Calibri"/>
          <w:sz w:val="18"/>
          <w:szCs w:val="18"/>
          <w:lang w:val="en-US"/>
        </w:rPr>
        <w:t>Fagerlind</w:t>
      </w:r>
      <w:proofErr w:type="spellEnd"/>
      <w:r>
        <w:rPr>
          <w:rFonts w:ascii="Palatino Linotype" w:hAnsi="Palatino Linotype" w:cs="Calibri"/>
          <w:sz w:val="18"/>
          <w:szCs w:val="18"/>
          <w:lang w:val="en-US"/>
        </w:rPr>
        <w:t xml:space="preserve"> Effect. </w:t>
      </w:r>
      <w:r>
        <w:rPr>
          <w:rFonts w:ascii="Palatino Linotype" w:hAnsi="Palatino Linotype" w:cs="Calibri"/>
          <w:i/>
          <w:iCs/>
          <w:sz w:val="18"/>
          <w:szCs w:val="18"/>
          <w:lang w:val="en-US"/>
        </w:rPr>
        <w:t xml:space="preserve">J. Quat. Sci. </w:t>
      </w:r>
      <w:r>
        <w:rPr>
          <w:rFonts w:ascii="Palatino Linotype" w:hAnsi="Palatino Linotype" w:cs="Calibri"/>
          <w:b/>
          <w:bCs/>
          <w:sz w:val="18"/>
          <w:szCs w:val="18"/>
          <w:lang w:val="en-US"/>
        </w:rPr>
        <w:t>1986</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1</w:t>
      </w:r>
      <w:r>
        <w:rPr>
          <w:rFonts w:ascii="Palatino Linotype" w:hAnsi="Palatino Linotype" w:cs="Calibri"/>
          <w:bCs/>
          <w:sz w:val="18"/>
          <w:szCs w:val="18"/>
          <w:lang w:val="en-US"/>
        </w:rPr>
        <w:t>, 35–43</w:t>
      </w:r>
      <w:r>
        <w:rPr>
          <w:rFonts w:ascii="Palatino Linotype" w:hAnsi="Palatino Linotype" w:cs="Calibri"/>
          <w:sz w:val="18"/>
          <w:szCs w:val="18"/>
          <w:lang w:val="en-US"/>
        </w:rPr>
        <w:t>. https://doi.org/10.1002/jqs.3390010105.</w:t>
      </w:r>
    </w:p>
    <w:p w14:paraId="7719D546"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Sugita, S. Theory of Quantitative Reconstruction of Vegetation I: Pollen from Large Sites REVEALS Regional Vegetation Composition. </w:t>
      </w:r>
      <w:proofErr w:type="spellStart"/>
      <w:r>
        <w:rPr>
          <w:rFonts w:ascii="Palatino Linotype" w:hAnsi="Palatino Linotype" w:cs="Calibri"/>
          <w:i/>
          <w:iCs/>
          <w:sz w:val="18"/>
          <w:szCs w:val="18"/>
        </w:rPr>
        <w:t>Holocene</w:t>
      </w:r>
      <w:proofErr w:type="spellEnd"/>
      <w:r>
        <w:rPr>
          <w:rFonts w:ascii="Palatino Linotype" w:hAnsi="Palatino Linotype" w:cs="Calibri"/>
          <w:sz w:val="18"/>
          <w:szCs w:val="18"/>
        </w:rPr>
        <w:t xml:space="preserve"> </w:t>
      </w:r>
      <w:r>
        <w:rPr>
          <w:rFonts w:ascii="Palatino Linotype" w:hAnsi="Palatino Linotype" w:cs="Calibri"/>
          <w:b/>
          <w:bCs/>
          <w:sz w:val="18"/>
          <w:szCs w:val="18"/>
        </w:rPr>
        <w:t>2007</w:t>
      </w:r>
      <w:r>
        <w:rPr>
          <w:rFonts w:ascii="Palatino Linotype" w:hAnsi="Palatino Linotype" w:cs="Calibri"/>
          <w:bCs/>
          <w:sz w:val="18"/>
          <w:szCs w:val="18"/>
        </w:rPr>
        <w:t xml:space="preserve">, </w:t>
      </w:r>
      <w:r>
        <w:rPr>
          <w:rFonts w:ascii="Palatino Linotype" w:hAnsi="Palatino Linotype" w:cs="Calibri"/>
          <w:bCs/>
          <w:i/>
          <w:sz w:val="18"/>
          <w:szCs w:val="18"/>
        </w:rPr>
        <w:t>17</w:t>
      </w:r>
      <w:r>
        <w:rPr>
          <w:rFonts w:ascii="Palatino Linotype" w:hAnsi="Palatino Linotype" w:cs="Calibri"/>
          <w:bCs/>
          <w:sz w:val="18"/>
          <w:szCs w:val="18"/>
        </w:rPr>
        <w:t>, 229–241</w:t>
      </w:r>
      <w:r>
        <w:rPr>
          <w:rFonts w:ascii="Palatino Linotype" w:hAnsi="Palatino Linotype" w:cs="Calibri"/>
          <w:sz w:val="18"/>
          <w:szCs w:val="18"/>
        </w:rPr>
        <w:t>. https://doi.org/10.1177/0959683607075837.</w:t>
      </w:r>
    </w:p>
    <w:p w14:paraId="3517D7D1"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lang w:val="en-US"/>
        </w:rPr>
        <w:t>Mazier</w:t>
      </w:r>
      <w:proofErr w:type="spellEnd"/>
      <w:r>
        <w:rPr>
          <w:rFonts w:ascii="Palatino Linotype" w:hAnsi="Palatino Linotype" w:cs="Calibri"/>
          <w:sz w:val="18"/>
          <w:szCs w:val="18"/>
          <w:lang w:val="en-US"/>
        </w:rPr>
        <w:t xml:space="preserve">, F.; Gaillard, M.J.; </w:t>
      </w:r>
      <w:proofErr w:type="spellStart"/>
      <w:r>
        <w:rPr>
          <w:rFonts w:ascii="Palatino Linotype" w:hAnsi="Palatino Linotype" w:cs="Calibri"/>
          <w:sz w:val="18"/>
          <w:szCs w:val="18"/>
          <w:lang w:val="en-US"/>
        </w:rPr>
        <w:t>Kuneš</w:t>
      </w:r>
      <w:proofErr w:type="spellEnd"/>
      <w:r>
        <w:rPr>
          <w:rFonts w:ascii="Palatino Linotype" w:hAnsi="Palatino Linotype" w:cs="Calibri"/>
          <w:sz w:val="18"/>
          <w:szCs w:val="18"/>
          <w:lang w:val="en-US"/>
        </w:rPr>
        <w:t xml:space="preserve">, P.; Sugita, S.; </w:t>
      </w:r>
      <w:proofErr w:type="spellStart"/>
      <w:r>
        <w:rPr>
          <w:rFonts w:ascii="Palatino Linotype" w:hAnsi="Palatino Linotype" w:cs="Calibri"/>
          <w:sz w:val="18"/>
          <w:szCs w:val="18"/>
          <w:lang w:val="en-US"/>
        </w:rPr>
        <w:t>Trondman</w:t>
      </w:r>
      <w:proofErr w:type="spellEnd"/>
      <w:r>
        <w:rPr>
          <w:rFonts w:ascii="Palatino Linotype" w:hAnsi="Palatino Linotype" w:cs="Calibri"/>
          <w:sz w:val="18"/>
          <w:szCs w:val="18"/>
          <w:lang w:val="en-US"/>
        </w:rPr>
        <w:t xml:space="preserve">, A.K.; </w:t>
      </w:r>
      <w:proofErr w:type="spellStart"/>
      <w:r>
        <w:rPr>
          <w:rFonts w:ascii="Palatino Linotype" w:hAnsi="Palatino Linotype" w:cs="Calibri"/>
          <w:sz w:val="18"/>
          <w:szCs w:val="18"/>
          <w:lang w:val="en-US"/>
        </w:rPr>
        <w:t>Broström</w:t>
      </w:r>
      <w:proofErr w:type="spellEnd"/>
      <w:r>
        <w:rPr>
          <w:rFonts w:ascii="Palatino Linotype" w:hAnsi="Palatino Linotype" w:cs="Calibri"/>
          <w:sz w:val="18"/>
          <w:szCs w:val="18"/>
          <w:lang w:val="en-US"/>
        </w:rPr>
        <w:t xml:space="preserve">, A. Testing the Effect of Site Selection and Parameter Setting on REVEALS-Model Estimates of Plant Abundance Using the Czech Quaternary Palynological Database. </w:t>
      </w:r>
      <w:proofErr w:type="spellStart"/>
      <w:r>
        <w:rPr>
          <w:rFonts w:ascii="Palatino Linotype" w:hAnsi="Palatino Linotype" w:cs="Calibri"/>
          <w:i/>
          <w:iCs/>
          <w:sz w:val="18"/>
          <w:szCs w:val="18"/>
        </w:rPr>
        <w:t>Rev</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Palaeobot</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Palynol</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sz w:val="18"/>
          <w:szCs w:val="18"/>
        </w:rPr>
        <w:t>2012</w:t>
      </w:r>
      <w:r>
        <w:rPr>
          <w:rFonts w:ascii="Palatino Linotype" w:hAnsi="Palatino Linotype" w:cs="Calibri"/>
          <w:sz w:val="18"/>
          <w:szCs w:val="18"/>
        </w:rPr>
        <w:t xml:space="preserve">, </w:t>
      </w:r>
      <w:r>
        <w:rPr>
          <w:rFonts w:ascii="Palatino Linotype" w:hAnsi="Palatino Linotype" w:cs="Calibri"/>
          <w:i/>
          <w:sz w:val="18"/>
          <w:szCs w:val="18"/>
        </w:rPr>
        <w:t>187</w:t>
      </w:r>
      <w:r>
        <w:rPr>
          <w:rFonts w:ascii="Palatino Linotype" w:hAnsi="Palatino Linotype" w:cs="Calibri"/>
          <w:sz w:val="18"/>
          <w:szCs w:val="18"/>
        </w:rPr>
        <w:t>, 38–49. https://doi.org/10.1016/j.revpalbo.2012.07.017.</w:t>
      </w:r>
    </w:p>
    <w:p w14:paraId="6EBF2A4A"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rPr>
        <w:t>Fyfe</w:t>
      </w:r>
      <w:proofErr w:type="spellEnd"/>
      <w:r>
        <w:rPr>
          <w:rFonts w:ascii="Palatino Linotype" w:hAnsi="Palatino Linotype" w:cs="Calibri"/>
          <w:sz w:val="18"/>
          <w:szCs w:val="18"/>
        </w:rPr>
        <w:t xml:space="preserve">, </w:t>
      </w:r>
      <w:proofErr w:type="gramStart"/>
      <w:r>
        <w:rPr>
          <w:rFonts w:ascii="Palatino Linotype" w:hAnsi="Palatino Linotype" w:cs="Calibri"/>
          <w:sz w:val="18"/>
          <w:szCs w:val="18"/>
        </w:rPr>
        <w:t>R.M.;</w:t>
      </w:r>
      <w:proofErr w:type="gramEnd"/>
      <w:r>
        <w:rPr>
          <w:rFonts w:ascii="Palatino Linotype" w:hAnsi="Palatino Linotype" w:cs="Calibri"/>
          <w:sz w:val="18"/>
          <w:szCs w:val="18"/>
        </w:rPr>
        <w:t xml:space="preserve"> </w:t>
      </w:r>
      <w:proofErr w:type="spellStart"/>
      <w:r>
        <w:rPr>
          <w:rFonts w:ascii="Palatino Linotype" w:hAnsi="Palatino Linotype" w:cs="Calibri"/>
          <w:sz w:val="18"/>
          <w:szCs w:val="18"/>
        </w:rPr>
        <w:t>Twiddle</w:t>
      </w:r>
      <w:proofErr w:type="spellEnd"/>
      <w:r>
        <w:rPr>
          <w:rFonts w:ascii="Palatino Linotype" w:hAnsi="Palatino Linotype" w:cs="Calibri"/>
          <w:sz w:val="18"/>
          <w:szCs w:val="18"/>
        </w:rPr>
        <w:t xml:space="preserve">, C.; </w:t>
      </w:r>
      <w:proofErr w:type="spellStart"/>
      <w:r>
        <w:rPr>
          <w:rFonts w:ascii="Palatino Linotype" w:hAnsi="Palatino Linotype" w:cs="Calibri"/>
          <w:sz w:val="18"/>
          <w:szCs w:val="18"/>
        </w:rPr>
        <w:t>Sugita</w:t>
      </w:r>
      <w:proofErr w:type="spellEnd"/>
      <w:r>
        <w:rPr>
          <w:rFonts w:ascii="Palatino Linotype" w:hAnsi="Palatino Linotype" w:cs="Calibri"/>
          <w:sz w:val="18"/>
          <w:szCs w:val="18"/>
        </w:rPr>
        <w:t xml:space="preserve">, S.; Gaillard, M.J.; </w:t>
      </w:r>
      <w:proofErr w:type="spellStart"/>
      <w:r>
        <w:rPr>
          <w:rFonts w:ascii="Palatino Linotype" w:hAnsi="Palatino Linotype" w:cs="Calibri"/>
          <w:sz w:val="18"/>
          <w:szCs w:val="18"/>
        </w:rPr>
        <w:t>Barratt</w:t>
      </w:r>
      <w:proofErr w:type="spellEnd"/>
      <w:r>
        <w:rPr>
          <w:rFonts w:ascii="Palatino Linotype" w:hAnsi="Palatino Linotype" w:cs="Calibri"/>
          <w:sz w:val="18"/>
          <w:szCs w:val="18"/>
        </w:rPr>
        <w:t xml:space="preserve">, P.; </w:t>
      </w:r>
      <w:proofErr w:type="spellStart"/>
      <w:r>
        <w:rPr>
          <w:rFonts w:ascii="Palatino Linotype" w:hAnsi="Palatino Linotype" w:cs="Calibri"/>
          <w:sz w:val="18"/>
          <w:szCs w:val="18"/>
        </w:rPr>
        <w:t>Caseldine</w:t>
      </w:r>
      <w:proofErr w:type="spellEnd"/>
      <w:r>
        <w:rPr>
          <w:rFonts w:ascii="Palatino Linotype" w:hAnsi="Palatino Linotype" w:cs="Calibri"/>
          <w:sz w:val="18"/>
          <w:szCs w:val="18"/>
        </w:rPr>
        <w:t xml:space="preserve">, C.J.; Dodson, J.; Edwards, K.J.; Farrell, M.; </w:t>
      </w:r>
      <w:proofErr w:type="spellStart"/>
      <w:r>
        <w:rPr>
          <w:rFonts w:ascii="Palatino Linotype" w:hAnsi="Palatino Linotype" w:cs="Calibri"/>
          <w:sz w:val="18"/>
          <w:szCs w:val="18"/>
        </w:rPr>
        <w:t>Froyd</w:t>
      </w:r>
      <w:proofErr w:type="spellEnd"/>
      <w:r>
        <w:rPr>
          <w:rFonts w:ascii="Palatino Linotype" w:hAnsi="Palatino Linotype" w:cs="Calibri"/>
          <w:sz w:val="18"/>
          <w:szCs w:val="18"/>
        </w:rPr>
        <w:t xml:space="preserve">, C.; et al. </w:t>
      </w:r>
      <w:r>
        <w:rPr>
          <w:rFonts w:ascii="Palatino Linotype" w:hAnsi="Palatino Linotype" w:cs="Calibri"/>
          <w:sz w:val="18"/>
          <w:szCs w:val="18"/>
          <w:lang w:val="en-US"/>
        </w:rPr>
        <w:t xml:space="preserve">The Holocene Vegetation Cover of Britain and Ireland: Overcoming Problems of Scale and Discerning Patterns of Openness. </w:t>
      </w:r>
      <w:r>
        <w:rPr>
          <w:rFonts w:ascii="Palatino Linotype" w:hAnsi="Palatino Linotype" w:cs="Calibri"/>
          <w:i/>
          <w:iCs/>
          <w:sz w:val="18"/>
          <w:szCs w:val="18"/>
        </w:rPr>
        <w:t xml:space="preserve">Quat. </w:t>
      </w:r>
      <w:proofErr w:type="spellStart"/>
      <w:r>
        <w:rPr>
          <w:rFonts w:ascii="Palatino Linotype" w:hAnsi="Palatino Linotype" w:cs="Calibri"/>
          <w:i/>
          <w:iCs/>
          <w:sz w:val="18"/>
          <w:szCs w:val="18"/>
        </w:rPr>
        <w:t>Sci</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Rev</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sz w:val="18"/>
          <w:szCs w:val="18"/>
        </w:rPr>
        <w:t>2013</w:t>
      </w:r>
      <w:r>
        <w:rPr>
          <w:rFonts w:ascii="Palatino Linotype" w:hAnsi="Palatino Linotype" w:cs="Calibri"/>
          <w:sz w:val="18"/>
          <w:szCs w:val="18"/>
        </w:rPr>
        <w:t xml:space="preserve">, </w:t>
      </w:r>
      <w:r>
        <w:rPr>
          <w:rFonts w:ascii="Palatino Linotype" w:hAnsi="Palatino Linotype" w:cs="Calibri"/>
          <w:i/>
          <w:sz w:val="18"/>
          <w:szCs w:val="18"/>
        </w:rPr>
        <w:t>73</w:t>
      </w:r>
      <w:r>
        <w:rPr>
          <w:rFonts w:ascii="Palatino Linotype" w:hAnsi="Palatino Linotype" w:cs="Calibri"/>
          <w:sz w:val="18"/>
          <w:szCs w:val="18"/>
        </w:rPr>
        <w:t>, 132–148. https://doi.org/10.1016/J.QUASCIREV.2013.05.014.</w:t>
      </w:r>
    </w:p>
    <w:p w14:paraId="36C65005"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sv-SE"/>
        </w:rPr>
      </w:pPr>
      <w:proofErr w:type="spellStart"/>
      <w:r>
        <w:rPr>
          <w:rFonts w:ascii="Palatino Linotype" w:hAnsi="Palatino Linotype" w:cs="Calibri"/>
          <w:sz w:val="18"/>
          <w:szCs w:val="18"/>
          <w:lang w:val="en-GB"/>
        </w:rPr>
        <w:t>Trondman</w:t>
      </w:r>
      <w:proofErr w:type="spellEnd"/>
      <w:r>
        <w:rPr>
          <w:rFonts w:ascii="Palatino Linotype" w:hAnsi="Palatino Linotype" w:cs="Calibri"/>
          <w:sz w:val="18"/>
          <w:szCs w:val="18"/>
          <w:lang w:val="en-GB"/>
        </w:rPr>
        <w:t xml:space="preserve">, A.K.; Gaillard, M.J.; Sugita, S.; </w:t>
      </w:r>
      <w:proofErr w:type="spellStart"/>
      <w:r>
        <w:rPr>
          <w:rFonts w:ascii="Palatino Linotype" w:hAnsi="Palatino Linotype" w:cs="Calibri"/>
          <w:sz w:val="18"/>
          <w:szCs w:val="18"/>
          <w:lang w:val="en-GB"/>
        </w:rPr>
        <w:t>Björkman</w:t>
      </w:r>
      <w:proofErr w:type="spellEnd"/>
      <w:r>
        <w:rPr>
          <w:rFonts w:ascii="Palatino Linotype" w:hAnsi="Palatino Linotype" w:cs="Calibri"/>
          <w:sz w:val="18"/>
          <w:szCs w:val="18"/>
          <w:lang w:val="en-GB"/>
        </w:rPr>
        <w:t xml:space="preserve">, L.; </w:t>
      </w:r>
      <w:proofErr w:type="spellStart"/>
      <w:r>
        <w:rPr>
          <w:rFonts w:ascii="Palatino Linotype" w:hAnsi="Palatino Linotype" w:cs="Calibri"/>
          <w:sz w:val="18"/>
          <w:szCs w:val="18"/>
          <w:lang w:val="en-GB"/>
        </w:rPr>
        <w:t>Greisman</w:t>
      </w:r>
      <w:proofErr w:type="spellEnd"/>
      <w:r>
        <w:rPr>
          <w:rFonts w:ascii="Palatino Linotype" w:hAnsi="Palatino Linotype" w:cs="Calibri"/>
          <w:sz w:val="18"/>
          <w:szCs w:val="18"/>
          <w:lang w:val="en-GB"/>
        </w:rPr>
        <w:t xml:space="preserve">, A.; </w:t>
      </w:r>
      <w:proofErr w:type="spellStart"/>
      <w:r>
        <w:rPr>
          <w:rFonts w:ascii="Palatino Linotype" w:hAnsi="Palatino Linotype" w:cs="Calibri"/>
          <w:sz w:val="18"/>
          <w:szCs w:val="18"/>
          <w:lang w:val="en-GB"/>
        </w:rPr>
        <w:t>Hultberg</w:t>
      </w:r>
      <w:proofErr w:type="spellEnd"/>
      <w:r>
        <w:rPr>
          <w:rFonts w:ascii="Palatino Linotype" w:hAnsi="Palatino Linotype" w:cs="Calibri"/>
          <w:sz w:val="18"/>
          <w:szCs w:val="18"/>
          <w:lang w:val="en-GB"/>
        </w:rPr>
        <w:t xml:space="preserve">, T.; </w:t>
      </w:r>
      <w:proofErr w:type="spellStart"/>
      <w:r>
        <w:rPr>
          <w:rFonts w:ascii="Palatino Linotype" w:hAnsi="Palatino Linotype" w:cs="Calibri"/>
          <w:sz w:val="18"/>
          <w:szCs w:val="18"/>
          <w:lang w:val="en-GB"/>
        </w:rPr>
        <w:t>Lagerås</w:t>
      </w:r>
      <w:proofErr w:type="spellEnd"/>
      <w:r>
        <w:rPr>
          <w:rFonts w:ascii="Palatino Linotype" w:hAnsi="Palatino Linotype" w:cs="Calibri"/>
          <w:sz w:val="18"/>
          <w:szCs w:val="18"/>
          <w:lang w:val="en-GB"/>
        </w:rPr>
        <w:t xml:space="preserve">, P.; </w:t>
      </w:r>
      <w:proofErr w:type="spellStart"/>
      <w:r>
        <w:rPr>
          <w:rFonts w:ascii="Palatino Linotype" w:hAnsi="Palatino Linotype" w:cs="Calibri"/>
          <w:sz w:val="18"/>
          <w:szCs w:val="18"/>
          <w:lang w:val="en-GB"/>
        </w:rPr>
        <w:t>Lindbladh</w:t>
      </w:r>
      <w:proofErr w:type="spellEnd"/>
      <w:r>
        <w:rPr>
          <w:rFonts w:ascii="Palatino Linotype" w:hAnsi="Palatino Linotype" w:cs="Calibri"/>
          <w:sz w:val="18"/>
          <w:szCs w:val="18"/>
          <w:lang w:val="en-GB"/>
        </w:rPr>
        <w:t xml:space="preserve">, M.; </w:t>
      </w:r>
      <w:proofErr w:type="spellStart"/>
      <w:r>
        <w:rPr>
          <w:rFonts w:ascii="Palatino Linotype" w:hAnsi="Palatino Linotype" w:cs="Calibri"/>
          <w:sz w:val="18"/>
          <w:szCs w:val="18"/>
          <w:lang w:val="en-GB"/>
        </w:rPr>
        <w:t>Mazier</w:t>
      </w:r>
      <w:proofErr w:type="spellEnd"/>
      <w:r>
        <w:rPr>
          <w:rFonts w:ascii="Palatino Linotype" w:hAnsi="Palatino Linotype" w:cs="Calibri"/>
          <w:sz w:val="18"/>
          <w:szCs w:val="18"/>
          <w:lang w:val="en-GB"/>
        </w:rPr>
        <w:t xml:space="preserve">, F. Are pollen records from small sites appropriate for REVEALS model-based quantitative reconstructions of past regional vegetation? An empirical test in southern Sweden. Vegetation history and </w:t>
      </w:r>
      <w:proofErr w:type="spellStart"/>
      <w:r>
        <w:rPr>
          <w:rFonts w:ascii="Palatino Linotype" w:hAnsi="Palatino Linotype" w:cs="Calibri"/>
          <w:sz w:val="18"/>
          <w:szCs w:val="18"/>
          <w:lang w:val="en-GB"/>
        </w:rPr>
        <w:t>archaeobotany</w:t>
      </w:r>
      <w:proofErr w:type="spellEnd"/>
      <w:r>
        <w:rPr>
          <w:rFonts w:ascii="Palatino Linotype" w:hAnsi="Palatino Linotype" w:cs="Calibri"/>
          <w:sz w:val="18"/>
          <w:szCs w:val="18"/>
          <w:lang w:val="en-GB"/>
        </w:rPr>
        <w:t xml:space="preserve">. </w:t>
      </w:r>
      <w:r>
        <w:rPr>
          <w:rFonts w:ascii="Palatino Linotype" w:hAnsi="Palatino Linotype" w:cs="Calibri"/>
          <w:i/>
          <w:sz w:val="18"/>
          <w:szCs w:val="18"/>
          <w:lang w:val="sv-SE"/>
        </w:rPr>
        <w:t xml:space="preserve">Veg. Hist. Archaeobot. </w:t>
      </w:r>
      <w:r>
        <w:rPr>
          <w:rFonts w:ascii="Palatino Linotype" w:hAnsi="Palatino Linotype" w:cs="Calibri"/>
          <w:b/>
          <w:sz w:val="18"/>
          <w:szCs w:val="18"/>
          <w:lang w:val="sv-SE"/>
        </w:rPr>
        <w:t>2016</w:t>
      </w:r>
      <w:r>
        <w:rPr>
          <w:rFonts w:ascii="Palatino Linotype" w:hAnsi="Palatino Linotype" w:cs="Calibri"/>
          <w:sz w:val="18"/>
          <w:szCs w:val="18"/>
          <w:lang w:val="sv-SE"/>
        </w:rPr>
        <w:t xml:space="preserve">, </w:t>
      </w:r>
      <w:r>
        <w:rPr>
          <w:rFonts w:ascii="Palatino Linotype" w:hAnsi="Palatino Linotype" w:cs="Calibri"/>
          <w:i/>
          <w:sz w:val="18"/>
          <w:szCs w:val="18"/>
          <w:lang w:val="sv-SE"/>
        </w:rPr>
        <w:t>25</w:t>
      </w:r>
      <w:r>
        <w:rPr>
          <w:rFonts w:ascii="Palatino Linotype" w:hAnsi="Palatino Linotype" w:cs="Calibri"/>
          <w:sz w:val="18"/>
          <w:szCs w:val="18"/>
          <w:lang w:val="sv-SE"/>
        </w:rPr>
        <w:t>, 131–151.</w:t>
      </w:r>
    </w:p>
    <w:p w14:paraId="70F8A276"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sv-SE"/>
        </w:rPr>
      </w:pPr>
      <w:r>
        <w:rPr>
          <w:rFonts w:ascii="Palatino Linotype" w:hAnsi="Palatino Linotype" w:cs="Calibri"/>
          <w:sz w:val="18"/>
          <w:szCs w:val="18"/>
          <w:lang w:val="sv-SE"/>
        </w:rPr>
        <w:t xml:space="preserve">Githumbi, E.; Fyfe, R.; Gaillard, M.-J.; Trondman, A.-K.; Mazier, F.; Nielsen, A.-B.; Poska, A.; Sugita, S.; Woodbridge, J.; Azuara, J.; et al. </w:t>
      </w:r>
      <w:r>
        <w:rPr>
          <w:rFonts w:ascii="Palatino Linotype" w:hAnsi="Palatino Linotype" w:cs="Calibri"/>
          <w:sz w:val="18"/>
          <w:szCs w:val="18"/>
          <w:lang w:val="en-US"/>
        </w:rPr>
        <w:t xml:space="preserve">European Pollen-Based REVEALS Land-Cover Reconstructions for the </w:t>
      </w:r>
      <w:r>
        <w:rPr>
          <w:rFonts w:ascii="Palatino Linotype" w:hAnsi="Palatino Linotype" w:cs="Calibri"/>
          <w:sz w:val="18"/>
          <w:szCs w:val="18"/>
          <w:lang w:val="en-US"/>
        </w:rPr>
        <w:lastRenderedPageBreak/>
        <w:t xml:space="preserve">Holocene: Methodology, Mapping and Potentials. </w:t>
      </w:r>
      <w:r>
        <w:rPr>
          <w:rFonts w:ascii="Palatino Linotype" w:hAnsi="Palatino Linotype" w:cs="Calibri"/>
          <w:i/>
          <w:iCs/>
          <w:sz w:val="18"/>
          <w:szCs w:val="18"/>
          <w:lang w:val="sv-SE"/>
        </w:rPr>
        <w:t>Earth Syst. Sci. Data</w:t>
      </w:r>
      <w:r>
        <w:rPr>
          <w:rFonts w:ascii="Palatino Linotype" w:hAnsi="Palatino Linotype" w:cs="Calibri"/>
          <w:sz w:val="18"/>
          <w:szCs w:val="18"/>
          <w:lang w:val="sv-SE"/>
        </w:rPr>
        <w:t xml:space="preserve"> </w:t>
      </w:r>
      <w:r>
        <w:rPr>
          <w:rFonts w:ascii="Palatino Linotype" w:hAnsi="Palatino Linotype" w:cs="Calibri"/>
          <w:b/>
          <w:sz w:val="18"/>
          <w:szCs w:val="18"/>
          <w:lang w:val="sv-SE"/>
        </w:rPr>
        <w:t>2022</w:t>
      </w:r>
      <w:r>
        <w:rPr>
          <w:rFonts w:ascii="Palatino Linotype" w:hAnsi="Palatino Linotype" w:cs="Calibri"/>
          <w:sz w:val="18"/>
          <w:szCs w:val="18"/>
          <w:lang w:val="sv-SE"/>
        </w:rPr>
        <w:t xml:space="preserve">, </w:t>
      </w:r>
      <w:r>
        <w:rPr>
          <w:rFonts w:ascii="Palatino Linotype" w:hAnsi="Palatino Linotype" w:cs="Calibri"/>
          <w:i/>
          <w:sz w:val="18"/>
          <w:szCs w:val="18"/>
          <w:lang w:val="sv-SE"/>
        </w:rPr>
        <w:t>14</w:t>
      </w:r>
      <w:r>
        <w:rPr>
          <w:rFonts w:ascii="Palatino Linotype" w:hAnsi="Palatino Linotype" w:cs="Calibri"/>
          <w:sz w:val="18"/>
          <w:szCs w:val="18"/>
          <w:lang w:val="sv-SE"/>
        </w:rPr>
        <w:t>, 1581–1619. https://doi.org/10.5194/essd-14-1581-2022.</w:t>
      </w:r>
    </w:p>
    <w:p w14:paraId="0D7D701F"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sv-SE"/>
        </w:rPr>
        <w:t xml:space="preserve">Strandberg, G.; Lindström, J.; Poska, A.; Zhang, Q.; Fyfe, R.; Githumbi, E.; Kjellström, E.; Mazier, F.; Nielsen, A.B.; Sugita, S.; et al. </w:t>
      </w:r>
      <w:r>
        <w:rPr>
          <w:rFonts w:ascii="Palatino Linotype" w:hAnsi="Palatino Linotype" w:cs="Calibri"/>
          <w:sz w:val="18"/>
          <w:szCs w:val="18"/>
          <w:lang w:val="en-US"/>
        </w:rPr>
        <w:t xml:space="preserve">Mid-Holocene European Climate Revisited: New High-Resolution Regional Climate Model Simulations Using Pollen-Based Land-Cover. </w:t>
      </w:r>
      <w:r>
        <w:rPr>
          <w:rFonts w:ascii="Palatino Linotype" w:hAnsi="Palatino Linotype"/>
          <w:i/>
          <w:iCs/>
          <w:sz w:val="18"/>
          <w:szCs w:val="18"/>
        </w:rPr>
        <w:t xml:space="preserve">Quat. </w:t>
      </w:r>
      <w:proofErr w:type="spellStart"/>
      <w:r>
        <w:rPr>
          <w:rFonts w:ascii="Palatino Linotype" w:hAnsi="Palatino Linotype"/>
          <w:i/>
          <w:iCs/>
          <w:sz w:val="18"/>
          <w:szCs w:val="18"/>
        </w:rPr>
        <w:t>Sci</w:t>
      </w:r>
      <w:proofErr w:type="spellEnd"/>
      <w:r>
        <w:rPr>
          <w:rFonts w:ascii="Palatino Linotype" w:hAnsi="Palatino Linotype"/>
          <w:i/>
          <w:iCs/>
          <w:sz w:val="18"/>
          <w:szCs w:val="18"/>
        </w:rPr>
        <w:t xml:space="preserve">. </w:t>
      </w:r>
      <w:proofErr w:type="spellStart"/>
      <w:r>
        <w:rPr>
          <w:rFonts w:ascii="Palatino Linotype" w:hAnsi="Palatino Linotype"/>
          <w:i/>
          <w:iCs/>
          <w:sz w:val="18"/>
          <w:szCs w:val="18"/>
        </w:rPr>
        <w:t>Rev</w:t>
      </w:r>
      <w:proofErr w:type="spellEnd"/>
      <w:r>
        <w:rPr>
          <w:rFonts w:ascii="Palatino Linotype" w:hAnsi="Palatino Linotype"/>
          <w:i/>
          <w:iCs/>
          <w:sz w:val="18"/>
          <w:szCs w:val="18"/>
        </w:rPr>
        <w:t>.</w:t>
      </w:r>
      <w:r>
        <w:rPr>
          <w:rFonts w:ascii="Palatino Linotype" w:hAnsi="Palatino Linotype"/>
          <w:sz w:val="18"/>
          <w:szCs w:val="18"/>
        </w:rPr>
        <w:t xml:space="preserve"> </w:t>
      </w:r>
      <w:r>
        <w:rPr>
          <w:rFonts w:ascii="Palatino Linotype" w:hAnsi="Palatino Linotype"/>
          <w:b/>
          <w:bCs/>
          <w:sz w:val="18"/>
          <w:szCs w:val="18"/>
        </w:rPr>
        <w:t>2022</w:t>
      </w:r>
      <w:r>
        <w:rPr>
          <w:rFonts w:ascii="Palatino Linotype" w:hAnsi="Palatino Linotype"/>
          <w:sz w:val="18"/>
          <w:szCs w:val="18"/>
        </w:rPr>
        <w:t xml:space="preserve">, </w:t>
      </w:r>
      <w:r>
        <w:rPr>
          <w:rFonts w:ascii="Palatino Linotype" w:hAnsi="Palatino Linotype"/>
          <w:i/>
          <w:sz w:val="18"/>
          <w:szCs w:val="18"/>
        </w:rPr>
        <w:t>281</w:t>
      </w:r>
      <w:r>
        <w:rPr>
          <w:rFonts w:ascii="Palatino Linotype" w:hAnsi="Palatino Linotype"/>
          <w:sz w:val="18"/>
          <w:szCs w:val="18"/>
        </w:rPr>
        <w:t>, 107431</w:t>
      </w:r>
      <w:r>
        <w:rPr>
          <w:rFonts w:ascii="Palatino Linotype" w:hAnsi="Palatino Linotype" w:cs="Calibri"/>
          <w:sz w:val="18"/>
          <w:szCs w:val="18"/>
        </w:rPr>
        <w:t>. https://doi.org/10.1016/J.QUASCIREV.2022.107431.</w:t>
      </w:r>
    </w:p>
    <w:p w14:paraId="2043146E"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sv-SE"/>
        </w:rPr>
      </w:pPr>
      <w:proofErr w:type="spellStart"/>
      <w:r>
        <w:rPr>
          <w:rFonts w:ascii="Palatino Linotype" w:hAnsi="Palatino Linotype" w:cs="Calibri"/>
          <w:sz w:val="18"/>
          <w:szCs w:val="18"/>
        </w:rPr>
        <w:t>Trondman</w:t>
      </w:r>
      <w:proofErr w:type="spellEnd"/>
      <w:r>
        <w:rPr>
          <w:rFonts w:ascii="Palatino Linotype" w:hAnsi="Palatino Linotype" w:cs="Calibri"/>
          <w:sz w:val="18"/>
          <w:szCs w:val="18"/>
        </w:rPr>
        <w:t xml:space="preserve">, </w:t>
      </w:r>
      <w:proofErr w:type="gramStart"/>
      <w:r>
        <w:rPr>
          <w:rFonts w:ascii="Palatino Linotype" w:hAnsi="Palatino Linotype" w:cs="Calibri"/>
          <w:sz w:val="18"/>
          <w:szCs w:val="18"/>
        </w:rPr>
        <w:t>A.K.;</w:t>
      </w:r>
      <w:proofErr w:type="gramEnd"/>
      <w:r>
        <w:rPr>
          <w:rFonts w:ascii="Palatino Linotype" w:hAnsi="Palatino Linotype" w:cs="Calibri"/>
          <w:sz w:val="18"/>
          <w:szCs w:val="18"/>
        </w:rPr>
        <w:t xml:space="preserve"> Gaillard, M.J.; </w:t>
      </w:r>
      <w:proofErr w:type="spellStart"/>
      <w:r>
        <w:rPr>
          <w:rFonts w:ascii="Palatino Linotype" w:hAnsi="Palatino Linotype" w:cs="Calibri"/>
          <w:sz w:val="18"/>
          <w:szCs w:val="18"/>
        </w:rPr>
        <w:t>Mazier</w:t>
      </w:r>
      <w:proofErr w:type="spellEnd"/>
      <w:r>
        <w:rPr>
          <w:rFonts w:ascii="Palatino Linotype" w:hAnsi="Palatino Linotype" w:cs="Calibri"/>
          <w:sz w:val="18"/>
          <w:szCs w:val="18"/>
        </w:rPr>
        <w:t xml:space="preserve">, F.; </w:t>
      </w:r>
      <w:proofErr w:type="spellStart"/>
      <w:r>
        <w:rPr>
          <w:rFonts w:ascii="Palatino Linotype" w:hAnsi="Palatino Linotype" w:cs="Calibri"/>
          <w:sz w:val="18"/>
          <w:szCs w:val="18"/>
        </w:rPr>
        <w:t>Sugita</w:t>
      </w:r>
      <w:proofErr w:type="spellEnd"/>
      <w:r>
        <w:rPr>
          <w:rFonts w:ascii="Palatino Linotype" w:hAnsi="Palatino Linotype" w:cs="Calibri"/>
          <w:sz w:val="18"/>
          <w:szCs w:val="18"/>
        </w:rPr>
        <w:t xml:space="preserve">, S.; </w:t>
      </w:r>
      <w:proofErr w:type="spellStart"/>
      <w:r>
        <w:rPr>
          <w:rFonts w:ascii="Palatino Linotype" w:hAnsi="Palatino Linotype" w:cs="Calibri"/>
          <w:sz w:val="18"/>
          <w:szCs w:val="18"/>
        </w:rPr>
        <w:t>Fyfe</w:t>
      </w:r>
      <w:proofErr w:type="spellEnd"/>
      <w:r>
        <w:rPr>
          <w:rFonts w:ascii="Palatino Linotype" w:hAnsi="Palatino Linotype" w:cs="Calibri"/>
          <w:sz w:val="18"/>
          <w:szCs w:val="18"/>
        </w:rPr>
        <w:t xml:space="preserve">, R.; Nielsen, A.B.; </w:t>
      </w:r>
      <w:proofErr w:type="spellStart"/>
      <w:r>
        <w:rPr>
          <w:rFonts w:ascii="Palatino Linotype" w:hAnsi="Palatino Linotype" w:cs="Calibri"/>
          <w:sz w:val="18"/>
          <w:szCs w:val="18"/>
        </w:rPr>
        <w:t>Twiddle</w:t>
      </w:r>
      <w:proofErr w:type="spellEnd"/>
      <w:r>
        <w:rPr>
          <w:rFonts w:ascii="Palatino Linotype" w:hAnsi="Palatino Linotype" w:cs="Calibri"/>
          <w:sz w:val="18"/>
          <w:szCs w:val="18"/>
        </w:rPr>
        <w:t xml:space="preserve">, C.; </w:t>
      </w:r>
      <w:proofErr w:type="spellStart"/>
      <w:r>
        <w:rPr>
          <w:rFonts w:ascii="Palatino Linotype" w:hAnsi="Palatino Linotype" w:cs="Calibri"/>
          <w:sz w:val="18"/>
          <w:szCs w:val="18"/>
        </w:rPr>
        <w:t>Barratt</w:t>
      </w:r>
      <w:proofErr w:type="spellEnd"/>
      <w:r>
        <w:rPr>
          <w:rFonts w:ascii="Palatino Linotype" w:hAnsi="Palatino Linotype" w:cs="Calibri"/>
          <w:sz w:val="18"/>
          <w:szCs w:val="18"/>
        </w:rPr>
        <w:t xml:space="preserve">, P.; Birks, H.J.B.; </w:t>
      </w:r>
      <w:proofErr w:type="spellStart"/>
      <w:r>
        <w:rPr>
          <w:rFonts w:ascii="Palatino Linotype" w:hAnsi="Palatino Linotype" w:cs="Calibri"/>
          <w:sz w:val="18"/>
          <w:szCs w:val="18"/>
        </w:rPr>
        <w:t>Bjune</w:t>
      </w:r>
      <w:proofErr w:type="spellEnd"/>
      <w:r>
        <w:rPr>
          <w:rFonts w:ascii="Palatino Linotype" w:hAnsi="Palatino Linotype" w:cs="Calibri"/>
          <w:sz w:val="18"/>
          <w:szCs w:val="18"/>
        </w:rPr>
        <w:t xml:space="preserve">, A.E.; et al. </w:t>
      </w:r>
      <w:r>
        <w:rPr>
          <w:rFonts w:ascii="Palatino Linotype" w:hAnsi="Palatino Linotype" w:cs="Calibri"/>
          <w:sz w:val="18"/>
          <w:szCs w:val="18"/>
          <w:lang w:val="en-US"/>
        </w:rPr>
        <w:t xml:space="preserve">Pollen-Based Quantitative Reconstructions of Holocene Regional Vegetation Cover (Plant-Functional Types and Land-Cover Types) in Europe Suitable for Climate Modelling. </w:t>
      </w:r>
      <w:r>
        <w:rPr>
          <w:rFonts w:ascii="Palatino Linotype" w:hAnsi="Palatino Linotype" w:cs="Calibri"/>
          <w:i/>
          <w:iCs/>
          <w:sz w:val="18"/>
          <w:szCs w:val="18"/>
          <w:lang w:val="sv-SE"/>
        </w:rPr>
        <w:t>Glob. Chang. Biol.</w:t>
      </w:r>
      <w:r>
        <w:rPr>
          <w:rFonts w:ascii="Palatino Linotype" w:hAnsi="Palatino Linotype" w:cs="Calibri"/>
          <w:sz w:val="18"/>
          <w:szCs w:val="18"/>
          <w:lang w:val="sv-SE"/>
        </w:rPr>
        <w:t xml:space="preserve"> </w:t>
      </w:r>
      <w:r>
        <w:rPr>
          <w:rFonts w:ascii="Palatino Linotype" w:hAnsi="Palatino Linotype" w:cs="Calibri"/>
          <w:b/>
          <w:sz w:val="18"/>
          <w:szCs w:val="18"/>
          <w:lang w:val="sv-SE"/>
        </w:rPr>
        <w:t>2015</w:t>
      </w:r>
      <w:r>
        <w:rPr>
          <w:rFonts w:ascii="Palatino Linotype" w:hAnsi="Palatino Linotype" w:cs="Calibri"/>
          <w:sz w:val="18"/>
          <w:szCs w:val="18"/>
          <w:lang w:val="sv-SE"/>
        </w:rPr>
        <w:t xml:space="preserve">, </w:t>
      </w:r>
      <w:r>
        <w:rPr>
          <w:rFonts w:ascii="Palatino Linotype" w:hAnsi="Palatino Linotype" w:cs="Calibri"/>
          <w:i/>
          <w:sz w:val="18"/>
          <w:szCs w:val="18"/>
          <w:lang w:val="sv-SE"/>
        </w:rPr>
        <w:t>21</w:t>
      </w:r>
      <w:r>
        <w:rPr>
          <w:rFonts w:ascii="Palatino Linotype" w:hAnsi="Palatino Linotype" w:cs="Calibri"/>
          <w:sz w:val="18"/>
          <w:szCs w:val="18"/>
          <w:lang w:val="sv-SE"/>
        </w:rPr>
        <w:t>, 676–697. https://doi.org/10.1111/gcb.12737.</w:t>
      </w:r>
    </w:p>
    <w:p w14:paraId="48737828"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sv-SE"/>
        </w:rPr>
        <w:t xml:space="preserve">Li, F.; Gaillard, M.-J.; Cao, X.; Herzschuh, U.; Sugita, S.; Ni, J.; Zhao, Y.; An, C.; Huang, X.; Li, Y.; et al. </w:t>
      </w:r>
      <w:r>
        <w:rPr>
          <w:rFonts w:ascii="Palatino Linotype" w:hAnsi="Palatino Linotype" w:cs="Calibri"/>
          <w:sz w:val="18"/>
          <w:szCs w:val="18"/>
          <w:lang w:val="en-US"/>
        </w:rPr>
        <w:t xml:space="preserve">Gridded pollen-based Holocene regional plant cover in temperate and northern subtropical China suitable for climate modeling. </w:t>
      </w:r>
      <w:r>
        <w:rPr>
          <w:rFonts w:ascii="Palatino Linotype" w:hAnsi="Palatino Linotype"/>
          <w:i/>
          <w:iCs/>
          <w:sz w:val="18"/>
          <w:szCs w:val="18"/>
          <w:lang w:val="en-US"/>
        </w:rPr>
        <w:t>Earth Syst. Sci. Data</w:t>
      </w:r>
      <w:r>
        <w:rPr>
          <w:rFonts w:ascii="Palatino Linotype" w:hAnsi="Palatino Linotype"/>
          <w:sz w:val="18"/>
          <w:szCs w:val="18"/>
          <w:lang w:val="en-US"/>
        </w:rPr>
        <w:t xml:space="preserve"> </w:t>
      </w:r>
      <w:r>
        <w:rPr>
          <w:rFonts w:ascii="Palatino Linotype" w:hAnsi="Palatino Linotype"/>
          <w:b/>
          <w:sz w:val="18"/>
          <w:szCs w:val="18"/>
          <w:lang w:val="en-US"/>
        </w:rPr>
        <w:t>2023</w:t>
      </w:r>
      <w:r>
        <w:rPr>
          <w:rFonts w:ascii="Palatino Linotype" w:hAnsi="Palatino Linotype"/>
          <w:sz w:val="18"/>
          <w:szCs w:val="18"/>
          <w:lang w:val="en-US"/>
        </w:rPr>
        <w:t xml:space="preserve">, </w:t>
      </w:r>
      <w:r>
        <w:rPr>
          <w:rFonts w:ascii="Palatino Linotype" w:hAnsi="Palatino Linotype"/>
          <w:i/>
          <w:sz w:val="18"/>
          <w:szCs w:val="18"/>
          <w:lang w:val="en-US"/>
        </w:rPr>
        <w:t>15</w:t>
      </w:r>
      <w:r>
        <w:rPr>
          <w:rFonts w:ascii="Palatino Linotype" w:hAnsi="Palatino Linotype"/>
          <w:sz w:val="18"/>
          <w:szCs w:val="18"/>
          <w:lang w:val="en-US"/>
        </w:rPr>
        <w:t>, 95–112.</w:t>
      </w:r>
      <w:r>
        <w:rPr>
          <w:rFonts w:ascii="Palatino Linotype" w:hAnsi="Palatino Linotype" w:cs="Calibri"/>
          <w:sz w:val="18"/>
          <w:szCs w:val="18"/>
          <w:lang w:val="en-US"/>
        </w:rPr>
        <w:t xml:space="preserve"> Available online: https://essd.copernicus.org/preprints/essd-2022-148/ (accessed 1 December 2022).</w:t>
      </w:r>
    </w:p>
    <w:p w14:paraId="10D57937"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sv-SE"/>
        </w:rPr>
        <w:t xml:space="preserve">Broström, A.; Nielsen, A.B.; Gaillard, M.-J.; Hjelle, K.; Mazier, F.; Binney, H.; Bunting, J.; Fyfe, R.; Meltsov, V.; Poska, A.; et al. </w:t>
      </w:r>
      <w:r>
        <w:rPr>
          <w:rFonts w:ascii="Palatino Linotype" w:hAnsi="Palatino Linotype" w:cs="Calibri"/>
          <w:sz w:val="18"/>
          <w:szCs w:val="18"/>
          <w:lang w:val="en-US"/>
        </w:rPr>
        <w:t xml:space="preserve">Pollen Productivity Estimates of Key European Plant Taxa for Quantitative Reconstruction of Past Vegetation: A Review. </w:t>
      </w:r>
      <w:proofErr w:type="spellStart"/>
      <w:r>
        <w:rPr>
          <w:rFonts w:ascii="Palatino Linotype" w:hAnsi="Palatino Linotype" w:cs="Calibri"/>
          <w:i/>
          <w:iCs/>
          <w:sz w:val="18"/>
          <w:szCs w:val="18"/>
        </w:rPr>
        <w:t>Veg</w:t>
      </w:r>
      <w:proofErr w:type="spellEnd"/>
      <w:r>
        <w:rPr>
          <w:rFonts w:ascii="Palatino Linotype" w:hAnsi="Palatino Linotype" w:cs="Calibri"/>
          <w:i/>
          <w:iCs/>
          <w:sz w:val="18"/>
          <w:szCs w:val="18"/>
        </w:rPr>
        <w:t xml:space="preserve">. Hist. </w:t>
      </w:r>
      <w:proofErr w:type="spellStart"/>
      <w:r>
        <w:rPr>
          <w:rFonts w:ascii="Palatino Linotype" w:hAnsi="Palatino Linotype" w:cs="Calibri"/>
          <w:i/>
          <w:iCs/>
          <w:sz w:val="18"/>
          <w:szCs w:val="18"/>
        </w:rPr>
        <w:t>Archaeobot</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sz w:val="18"/>
          <w:szCs w:val="18"/>
        </w:rPr>
        <w:t>2008</w:t>
      </w:r>
      <w:r>
        <w:rPr>
          <w:rFonts w:ascii="Palatino Linotype" w:hAnsi="Palatino Linotype" w:cs="Calibri"/>
          <w:sz w:val="18"/>
          <w:szCs w:val="18"/>
        </w:rPr>
        <w:t xml:space="preserve">, </w:t>
      </w:r>
      <w:r>
        <w:rPr>
          <w:rFonts w:ascii="Palatino Linotype" w:hAnsi="Palatino Linotype" w:cs="Calibri"/>
          <w:i/>
          <w:sz w:val="18"/>
          <w:szCs w:val="18"/>
        </w:rPr>
        <w:t>17</w:t>
      </w:r>
      <w:r>
        <w:rPr>
          <w:rFonts w:ascii="Palatino Linotype" w:hAnsi="Palatino Linotype" w:cs="Calibri"/>
          <w:sz w:val="18"/>
          <w:szCs w:val="18"/>
        </w:rPr>
        <w:t>, 461–478. https://doi.org/10.1007/s00334-008-0148-8.</w:t>
      </w:r>
    </w:p>
    <w:p w14:paraId="6897EEEC"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lang w:val="en-US"/>
        </w:rPr>
        <w:t>Wieczorek</w:t>
      </w:r>
      <w:proofErr w:type="spellEnd"/>
      <w:r>
        <w:rPr>
          <w:rFonts w:ascii="Palatino Linotype" w:hAnsi="Palatino Linotype" w:cs="Calibri"/>
          <w:sz w:val="18"/>
          <w:szCs w:val="18"/>
          <w:lang w:val="en-US"/>
        </w:rPr>
        <w:t xml:space="preserve">, M.; </w:t>
      </w:r>
      <w:proofErr w:type="spellStart"/>
      <w:r>
        <w:rPr>
          <w:rFonts w:ascii="Palatino Linotype" w:hAnsi="Palatino Linotype" w:cs="Calibri"/>
          <w:sz w:val="18"/>
          <w:szCs w:val="18"/>
          <w:lang w:val="en-US"/>
        </w:rPr>
        <w:t>Herzschuh</w:t>
      </w:r>
      <w:proofErr w:type="spellEnd"/>
      <w:r>
        <w:rPr>
          <w:rFonts w:ascii="Palatino Linotype" w:hAnsi="Palatino Linotype" w:cs="Calibri"/>
          <w:sz w:val="18"/>
          <w:szCs w:val="18"/>
          <w:lang w:val="en-US"/>
        </w:rPr>
        <w:t xml:space="preserve">, U. Compilation of Relative Pollen Productivity (RPP) Estimates and Taxonomically </w:t>
      </w:r>
      <w:proofErr w:type="spellStart"/>
      <w:r>
        <w:rPr>
          <w:rFonts w:ascii="Palatino Linotype" w:hAnsi="Palatino Linotype" w:cs="Calibri"/>
          <w:sz w:val="18"/>
          <w:szCs w:val="18"/>
          <w:lang w:val="en-US"/>
        </w:rPr>
        <w:t>Harmonised</w:t>
      </w:r>
      <w:proofErr w:type="spellEnd"/>
      <w:r>
        <w:rPr>
          <w:rFonts w:ascii="Palatino Linotype" w:hAnsi="Palatino Linotype" w:cs="Calibri"/>
          <w:sz w:val="18"/>
          <w:szCs w:val="18"/>
          <w:lang w:val="en-US"/>
        </w:rPr>
        <w:t xml:space="preserve"> RPP Datasets for Single Continents and Northern Hemisphere </w:t>
      </w:r>
      <w:proofErr w:type="spellStart"/>
      <w:r>
        <w:rPr>
          <w:rFonts w:ascii="Palatino Linotype" w:hAnsi="Palatino Linotype" w:cs="Calibri"/>
          <w:sz w:val="18"/>
          <w:szCs w:val="18"/>
          <w:lang w:val="en-US"/>
        </w:rPr>
        <w:t>Extratropics</w:t>
      </w:r>
      <w:proofErr w:type="spellEnd"/>
      <w:r>
        <w:rPr>
          <w:rFonts w:ascii="Palatino Linotype" w:hAnsi="Palatino Linotype" w:cs="Calibri"/>
          <w:sz w:val="18"/>
          <w:szCs w:val="18"/>
          <w:lang w:val="en-US"/>
        </w:rPr>
        <w:t xml:space="preserve">. </w:t>
      </w:r>
      <w:proofErr w:type="spellStart"/>
      <w:r>
        <w:rPr>
          <w:rFonts w:ascii="Palatino Linotype" w:hAnsi="Palatino Linotype" w:cs="Calibri"/>
          <w:i/>
          <w:iCs/>
          <w:sz w:val="18"/>
          <w:szCs w:val="18"/>
        </w:rPr>
        <w:t>Earth</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Syst</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Sci</w:t>
      </w:r>
      <w:proofErr w:type="spellEnd"/>
      <w:r>
        <w:rPr>
          <w:rFonts w:ascii="Palatino Linotype" w:hAnsi="Palatino Linotype" w:cs="Calibri"/>
          <w:i/>
          <w:iCs/>
          <w:sz w:val="18"/>
          <w:szCs w:val="18"/>
        </w:rPr>
        <w:t>. Data</w:t>
      </w:r>
      <w:r>
        <w:rPr>
          <w:rFonts w:ascii="Palatino Linotype" w:hAnsi="Palatino Linotype" w:cs="Calibri"/>
          <w:sz w:val="18"/>
          <w:szCs w:val="18"/>
        </w:rPr>
        <w:t xml:space="preserve"> </w:t>
      </w:r>
      <w:r>
        <w:rPr>
          <w:rFonts w:ascii="Palatino Linotype" w:hAnsi="Palatino Linotype" w:cs="Calibri"/>
          <w:b/>
          <w:sz w:val="18"/>
          <w:szCs w:val="18"/>
        </w:rPr>
        <w:t>2020</w:t>
      </w:r>
      <w:r>
        <w:rPr>
          <w:rFonts w:ascii="Palatino Linotype" w:hAnsi="Palatino Linotype" w:cs="Calibri"/>
          <w:sz w:val="18"/>
          <w:szCs w:val="18"/>
        </w:rPr>
        <w:t xml:space="preserve">, </w:t>
      </w:r>
      <w:r>
        <w:rPr>
          <w:rFonts w:ascii="Palatino Linotype" w:hAnsi="Palatino Linotype" w:cs="Calibri"/>
          <w:i/>
          <w:sz w:val="18"/>
          <w:szCs w:val="18"/>
        </w:rPr>
        <w:t>12</w:t>
      </w:r>
      <w:r>
        <w:rPr>
          <w:rFonts w:ascii="Palatino Linotype" w:hAnsi="Palatino Linotype" w:cs="Calibri"/>
          <w:sz w:val="18"/>
          <w:szCs w:val="18"/>
        </w:rPr>
        <w:t>, 3515–3528. https://doi.org/10.5194/essd-12-3515-2020.</w:t>
      </w:r>
    </w:p>
    <w:p w14:paraId="27B5B990"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Golam, S. A. Pollen </w:t>
      </w:r>
      <w:proofErr w:type="gramStart"/>
      <w:r>
        <w:rPr>
          <w:rFonts w:ascii="Palatino Linotype" w:hAnsi="Palatino Linotype" w:cs="Calibri"/>
          <w:sz w:val="18"/>
          <w:szCs w:val="18"/>
          <w:lang w:val="en-US"/>
        </w:rPr>
        <w:t>Morphology</w:t>
      </w:r>
      <w:proofErr w:type="gramEnd"/>
      <w:r>
        <w:rPr>
          <w:rFonts w:ascii="Palatino Linotype" w:hAnsi="Palatino Linotype" w:cs="Calibri"/>
          <w:sz w:val="18"/>
          <w:szCs w:val="18"/>
          <w:lang w:val="en-US"/>
        </w:rPr>
        <w:t xml:space="preserve"> and Its Systematic Significance in the Ericaceae. Doctoral Dissertation, Hokkaido University, Sapporo, Japan, 2007. https://doi.org/10.14943/DOCTORAL.K8187.</w:t>
      </w:r>
    </w:p>
    <w:p w14:paraId="019C9D63"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Davis, M.B. On the Theory of Pollen Analysis. </w:t>
      </w:r>
      <w:r>
        <w:rPr>
          <w:rFonts w:ascii="Palatino Linotype" w:hAnsi="Palatino Linotype" w:cs="Calibri"/>
          <w:i/>
          <w:iCs/>
          <w:sz w:val="18"/>
          <w:szCs w:val="18"/>
          <w:lang w:val="en-US"/>
        </w:rPr>
        <w:t>Am. J. Sci.</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1963</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261</w:t>
      </w:r>
      <w:r>
        <w:rPr>
          <w:rFonts w:ascii="Palatino Linotype" w:hAnsi="Palatino Linotype" w:cs="Calibri"/>
          <w:bCs/>
          <w:sz w:val="18"/>
          <w:szCs w:val="18"/>
          <w:lang w:val="en-US"/>
        </w:rPr>
        <w:t>, 897–912</w:t>
      </w:r>
      <w:r>
        <w:rPr>
          <w:rFonts w:ascii="Palatino Linotype" w:hAnsi="Palatino Linotype" w:cs="Calibri"/>
          <w:sz w:val="18"/>
          <w:szCs w:val="18"/>
          <w:lang w:val="en-US"/>
        </w:rPr>
        <w:t>. https://doi.org/10.2475/ajs.261.10.897.</w:t>
      </w:r>
    </w:p>
    <w:p w14:paraId="704E8ACC"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Sugita, S.; Parshall, T.; </w:t>
      </w:r>
      <w:proofErr w:type="spellStart"/>
      <w:r>
        <w:rPr>
          <w:rFonts w:ascii="Palatino Linotype" w:hAnsi="Palatino Linotype" w:cs="Calibri"/>
          <w:sz w:val="18"/>
          <w:szCs w:val="18"/>
          <w:lang w:val="en-US"/>
        </w:rPr>
        <w:t>Calcote</w:t>
      </w:r>
      <w:proofErr w:type="spellEnd"/>
      <w:r>
        <w:rPr>
          <w:rFonts w:ascii="Palatino Linotype" w:hAnsi="Palatino Linotype" w:cs="Calibri"/>
          <w:sz w:val="18"/>
          <w:szCs w:val="18"/>
          <w:lang w:val="en-US"/>
        </w:rPr>
        <w:t xml:space="preserve">, R.; Walker, K. Testing the Landscape Reconstruction Algorithm for Spatially Explicit Reconstruction of Vegetation in Northern </w:t>
      </w:r>
      <w:proofErr w:type="gramStart"/>
      <w:r>
        <w:rPr>
          <w:rFonts w:ascii="Palatino Linotype" w:hAnsi="Palatino Linotype" w:cs="Calibri"/>
          <w:sz w:val="18"/>
          <w:szCs w:val="18"/>
          <w:lang w:val="en-US"/>
        </w:rPr>
        <w:t>Michigan</w:t>
      </w:r>
      <w:proofErr w:type="gramEnd"/>
      <w:r>
        <w:rPr>
          <w:rFonts w:ascii="Palatino Linotype" w:hAnsi="Palatino Linotype" w:cs="Calibri"/>
          <w:sz w:val="18"/>
          <w:szCs w:val="18"/>
          <w:lang w:val="en-US"/>
        </w:rPr>
        <w:t xml:space="preserve"> and Wisconsin. </w:t>
      </w:r>
      <w:r>
        <w:rPr>
          <w:rFonts w:ascii="Palatino Linotype" w:hAnsi="Palatino Linotype" w:cs="Calibri"/>
          <w:i/>
          <w:iCs/>
          <w:sz w:val="18"/>
          <w:szCs w:val="18"/>
          <w:lang w:val="en-US"/>
        </w:rPr>
        <w:t>Quat. Res.</w:t>
      </w:r>
      <w:r>
        <w:rPr>
          <w:rFonts w:ascii="Palatino Linotype" w:hAnsi="Palatino Linotype" w:cs="Calibri"/>
          <w:sz w:val="18"/>
          <w:szCs w:val="18"/>
          <w:lang w:val="en-US"/>
        </w:rPr>
        <w:t xml:space="preserve"> </w:t>
      </w:r>
      <w:r>
        <w:rPr>
          <w:rFonts w:ascii="Palatino Linotype" w:hAnsi="Palatino Linotype" w:cs="Calibri"/>
          <w:b/>
          <w:sz w:val="18"/>
          <w:szCs w:val="18"/>
          <w:lang w:val="en-US"/>
        </w:rPr>
        <w:t>2010</w:t>
      </w:r>
      <w:r>
        <w:rPr>
          <w:rFonts w:ascii="Palatino Linotype" w:hAnsi="Palatino Linotype" w:cs="Calibri"/>
          <w:sz w:val="18"/>
          <w:szCs w:val="18"/>
          <w:lang w:val="en-US"/>
        </w:rPr>
        <w:t xml:space="preserve">, </w:t>
      </w:r>
      <w:r>
        <w:rPr>
          <w:rFonts w:ascii="Palatino Linotype" w:hAnsi="Palatino Linotype" w:cs="Calibri"/>
          <w:i/>
          <w:sz w:val="18"/>
          <w:szCs w:val="18"/>
          <w:lang w:val="en-US"/>
        </w:rPr>
        <w:t>74</w:t>
      </w:r>
      <w:r>
        <w:rPr>
          <w:rFonts w:ascii="Palatino Linotype" w:hAnsi="Palatino Linotype" w:cs="Calibri"/>
          <w:sz w:val="18"/>
          <w:szCs w:val="18"/>
          <w:lang w:val="en-US"/>
        </w:rPr>
        <w:t>, 289–300. https://doi.org/10.1016/J.YQRES.2010.07.008.</w:t>
      </w:r>
    </w:p>
    <w:p w14:paraId="102F97EB"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Sugita, S. A Model of Pollen Source Area for an Entire Lake Surface. </w:t>
      </w:r>
      <w:r>
        <w:rPr>
          <w:rFonts w:ascii="Palatino Linotype" w:hAnsi="Palatino Linotype" w:cs="Calibri"/>
          <w:i/>
          <w:iCs/>
          <w:sz w:val="18"/>
          <w:szCs w:val="18"/>
        </w:rPr>
        <w:t xml:space="preserve">Quat. </w:t>
      </w:r>
      <w:proofErr w:type="spellStart"/>
      <w:r>
        <w:rPr>
          <w:rFonts w:ascii="Palatino Linotype" w:hAnsi="Palatino Linotype" w:cs="Calibri"/>
          <w:i/>
          <w:iCs/>
          <w:sz w:val="18"/>
          <w:szCs w:val="18"/>
        </w:rPr>
        <w:t>Res</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bCs/>
          <w:sz w:val="18"/>
          <w:szCs w:val="18"/>
        </w:rPr>
        <w:t>1993</w:t>
      </w:r>
      <w:r>
        <w:rPr>
          <w:rFonts w:ascii="Palatino Linotype" w:hAnsi="Palatino Linotype" w:cs="Calibri"/>
          <w:bCs/>
          <w:sz w:val="18"/>
          <w:szCs w:val="18"/>
        </w:rPr>
        <w:t xml:space="preserve">, </w:t>
      </w:r>
      <w:r>
        <w:rPr>
          <w:rFonts w:ascii="Palatino Linotype" w:hAnsi="Palatino Linotype" w:cs="Calibri"/>
          <w:bCs/>
          <w:i/>
          <w:sz w:val="18"/>
          <w:szCs w:val="18"/>
        </w:rPr>
        <w:t>39</w:t>
      </w:r>
      <w:r>
        <w:rPr>
          <w:rFonts w:ascii="Palatino Linotype" w:hAnsi="Palatino Linotype" w:cs="Calibri"/>
          <w:bCs/>
          <w:sz w:val="18"/>
          <w:szCs w:val="18"/>
        </w:rPr>
        <w:t>, 239–244</w:t>
      </w:r>
      <w:r>
        <w:rPr>
          <w:rFonts w:ascii="Palatino Linotype" w:hAnsi="Palatino Linotype" w:cs="Calibri"/>
          <w:sz w:val="18"/>
          <w:szCs w:val="18"/>
        </w:rPr>
        <w:t>. https://doi.org/10.1006/QRES.1993.1027.</w:t>
      </w:r>
    </w:p>
    <w:p w14:paraId="0CE3CF4B"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sz w:val="18"/>
          <w:szCs w:val="18"/>
          <w:lang w:val="en-US"/>
        </w:rPr>
      </w:pPr>
      <w:r>
        <w:rPr>
          <w:rFonts w:ascii="Palatino Linotype" w:hAnsi="Palatino Linotype" w:cs="Calibri"/>
          <w:sz w:val="18"/>
          <w:szCs w:val="18"/>
          <w:lang w:val="en-US"/>
        </w:rPr>
        <w:t xml:space="preserve">Sutton, </w:t>
      </w:r>
      <w:r>
        <w:rPr>
          <w:rFonts w:ascii="Palatino Linotype" w:hAnsi="Palatino Linotype"/>
          <w:sz w:val="18"/>
          <w:szCs w:val="18"/>
          <w:lang w:val="en-US"/>
        </w:rPr>
        <w:t xml:space="preserve">O.G. </w:t>
      </w:r>
      <w:r>
        <w:rPr>
          <w:rFonts w:ascii="Palatino Linotype" w:hAnsi="Palatino Linotype"/>
          <w:i/>
          <w:iCs/>
          <w:sz w:val="18"/>
          <w:szCs w:val="18"/>
          <w:lang w:val="en-US"/>
        </w:rPr>
        <w:t>Micrometeorology</w:t>
      </w:r>
      <w:r>
        <w:rPr>
          <w:rFonts w:ascii="Palatino Linotype" w:hAnsi="Palatino Linotype"/>
          <w:sz w:val="18"/>
          <w:szCs w:val="18"/>
          <w:lang w:val="en-US"/>
        </w:rPr>
        <w:t>; McGraw-Hill: New York, NY, USA, 1953.</w:t>
      </w:r>
    </w:p>
    <w:p w14:paraId="1A941736"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Sugita, S. Pollen Representation of Vegetation in Quaternary Sediments: Theory and Method in Patchy Vegetation. </w:t>
      </w:r>
      <w:r>
        <w:rPr>
          <w:rFonts w:ascii="Palatino Linotype" w:hAnsi="Palatino Linotype" w:cs="Calibri"/>
          <w:i/>
          <w:iCs/>
          <w:sz w:val="18"/>
          <w:szCs w:val="18"/>
          <w:lang w:val="en-US"/>
        </w:rPr>
        <w:t>J. Ecol.</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1994</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82</w:t>
      </w:r>
      <w:r>
        <w:rPr>
          <w:rFonts w:ascii="Palatino Linotype" w:hAnsi="Palatino Linotype" w:cs="Calibri"/>
          <w:bCs/>
          <w:sz w:val="18"/>
          <w:szCs w:val="18"/>
          <w:lang w:val="en-US"/>
        </w:rPr>
        <w:t>, 881–897</w:t>
      </w:r>
      <w:r>
        <w:rPr>
          <w:rFonts w:ascii="Palatino Linotype" w:hAnsi="Palatino Linotype" w:cs="Calibri"/>
          <w:sz w:val="18"/>
          <w:szCs w:val="18"/>
          <w:lang w:val="en-US"/>
        </w:rPr>
        <w:t>. https://doi.org/10.2307/2261452.</w:t>
      </w:r>
    </w:p>
    <w:p w14:paraId="3E4B377A"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Prentice, C. Records of Vegetation in </w:t>
      </w:r>
      <w:proofErr w:type="gramStart"/>
      <w:r>
        <w:rPr>
          <w:rFonts w:ascii="Palatino Linotype" w:hAnsi="Palatino Linotype" w:cs="Calibri"/>
          <w:sz w:val="18"/>
          <w:szCs w:val="18"/>
          <w:lang w:val="en-US"/>
        </w:rPr>
        <w:t>Time</w:t>
      </w:r>
      <w:proofErr w:type="gramEnd"/>
      <w:r>
        <w:rPr>
          <w:rFonts w:ascii="Palatino Linotype" w:hAnsi="Palatino Linotype" w:cs="Calibri"/>
          <w:sz w:val="18"/>
          <w:szCs w:val="18"/>
          <w:lang w:val="en-US"/>
        </w:rPr>
        <w:t xml:space="preserve"> and Space: The Principles of Pollen Analysis. In </w:t>
      </w:r>
      <w:r>
        <w:rPr>
          <w:rFonts w:ascii="Palatino Linotype" w:hAnsi="Palatino Linotype" w:cs="Calibri"/>
          <w:i/>
          <w:iCs/>
          <w:sz w:val="18"/>
          <w:szCs w:val="18"/>
          <w:lang w:val="en-US"/>
        </w:rPr>
        <w:t>Vegetation History</w:t>
      </w:r>
      <w:r>
        <w:rPr>
          <w:rFonts w:ascii="Palatino Linotype" w:hAnsi="Palatino Linotype" w:cs="Calibri"/>
          <w:sz w:val="18"/>
          <w:szCs w:val="18"/>
          <w:lang w:val="en-US"/>
        </w:rPr>
        <w:t>; Springer Netherlands: Dordrecht, The Netherlands, 1988; pp 17–42. https://doi.org/10.1007/978-94-009-3081-0_2.</w:t>
      </w:r>
    </w:p>
    <w:p w14:paraId="669C1A63"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Prentice, I.C. Pollen Representation, Source Area, and Basin Size: Toward a Unified Theory of Pollen Analysis. </w:t>
      </w:r>
      <w:r>
        <w:rPr>
          <w:rFonts w:ascii="Palatino Linotype" w:hAnsi="Palatino Linotype" w:cs="Calibri"/>
          <w:i/>
          <w:iCs/>
          <w:sz w:val="18"/>
          <w:szCs w:val="18"/>
          <w:lang w:val="en-US"/>
        </w:rPr>
        <w:t>Quat. Res.</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1985</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23</w:t>
      </w:r>
      <w:r>
        <w:rPr>
          <w:rFonts w:ascii="Palatino Linotype" w:hAnsi="Palatino Linotype" w:cs="Calibri"/>
          <w:bCs/>
          <w:sz w:val="18"/>
          <w:szCs w:val="18"/>
          <w:lang w:val="en-US"/>
        </w:rPr>
        <w:t>, 76–86</w:t>
      </w:r>
      <w:r>
        <w:rPr>
          <w:rFonts w:ascii="Palatino Linotype" w:hAnsi="Palatino Linotype" w:cs="Calibri"/>
          <w:sz w:val="18"/>
          <w:szCs w:val="18"/>
          <w:lang w:val="en-US"/>
        </w:rPr>
        <w:t xml:space="preserve">. </w:t>
      </w:r>
      <w:r>
        <w:rPr>
          <w:rFonts w:ascii="Palatino Linotype" w:hAnsi="Palatino Linotype" w:cs="Calibri"/>
          <w:sz w:val="18"/>
          <w:szCs w:val="18"/>
        </w:rPr>
        <w:t>https://doi.org/10.1016/0033-5894(85)90073-0.</w:t>
      </w:r>
    </w:p>
    <w:p w14:paraId="0DAD245B"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Parsons, R. W. and Prentice, I. C.: Statistical approaches to R-values and the pollen—Vegetation relationship. </w:t>
      </w:r>
      <w:r>
        <w:rPr>
          <w:rFonts w:ascii="Palatino Linotype" w:hAnsi="Palatino Linotype" w:cs="Calibri"/>
          <w:i/>
          <w:sz w:val="18"/>
          <w:szCs w:val="18"/>
          <w:lang w:val="en-US"/>
        </w:rPr>
        <w:t xml:space="preserve">Rev. </w:t>
      </w:r>
      <w:proofErr w:type="spellStart"/>
      <w:r>
        <w:rPr>
          <w:rFonts w:ascii="Palatino Linotype" w:hAnsi="Palatino Linotype" w:cs="Calibri"/>
          <w:i/>
          <w:sz w:val="18"/>
          <w:szCs w:val="18"/>
          <w:lang w:val="en-US"/>
        </w:rPr>
        <w:t>Palaeobot</w:t>
      </w:r>
      <w:proofErr w:type="spellEnd"/>
      <w:r>
        <w:rPr>
          <w:rFonts w:ascii="Palatino Linotype" w:hAnsi="Palatino Linotype" w:cs="Calibri"/>
          <w:i/>
          <w:sz w:val="18"/>
          <w:szCs w:val="18"/>
          <w:lang w:val="en-US"/>
        </w:rPr>
        <w:t xml:space="preserve">. </w:t>
      </w:r>
      <w:proofErr w:type="spellStart"/>
      <w:r>
        <w:rPr>
          <w:rFonts w:ascii="Palatino Linotype" w:hAnsi="Palatino Linotype" w:cs="Calibri"/>
          <w:i/>
          <w:sz w:val="18"/>
          <w:szCs w:val="18"/>
          <w:lang w:val="en-US"/>
        </w:rPr>
        <w:t>Palynol</w:t>
      </w:r>
      <w:proofErr w:type="spellEnd"/>
      <w:r>
        <w:rPr>
          <w:rFonts w:ascii="Palatino Linotype" w:hAnsi="Palatino Linotype" w:cs="Calibri"/>
          <w:i/>
          <w:sz w:val="18"/>
          <w:szCs w:val="18"/>
          <w:lang w:val="en-US"/>
        </w:rPr>
        <w:t xml:space="preserve">. </w:t>
      </w:r>
      <w:r>
        <w:rPr>
          <w:rFonts w:ascii="Palatino Linotype" w:hAnsi="Palatino Linotype" w:cs="Calibri"/>
          <w:b/>
          <w:sz w:val="18"/>
          <w:szCs w:val="18"/>
          <w:lang w:val="en-US"/>
        </w:rPr>
        <w:t>1981</w:t>
      </w:r>
      <w:r>
        <w:rPr>
          <w:rFonts w:ascii="Palatino Linotype" w:hAnsi="Palatino Linotype" w:cs="Calibri"/>
          <w:sz w:val="18"/>
          <w:szCs w:val="18"/>
          <w:lang w:val="en-US"/>
        </w:rPr>
        <w:t>, 32, 127–152, https://doi.org/10.1016/0034-6667(81)90001- 4.</w:t>
      </w:r>
    </w:p>
    <w:p w14:paraId="4658691C"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Kuparinen</w:t>
      </w:r>
      <w:proofErr w:type="spellEnd"/>
      <w:r>
        <w:rPr>
          <w:rFonts w:ascii="Palatino Linotype" w:hAnsi="Palatino Linotype" w:cs="Calibri"/>
          <w:sz w:val="18"/>
          <w:szCs w:val="18"/>
          <w:lang w:val="en-US"/>
        </w:rPr>
        <w:t xml:space="preserve">, A.; Markkanen, T.; </w:t>
      </w:r>
      <w:proofErr w:type="spellStart"/>
      <w:r>
        <w:rPr>
          <w:rFonts w:ascii="Palatino Linotype" w:hAnsi="Palatino Linotype" w:cs="Calibri"/>
          <w:sz w:val="18"/>
          <w:szCs w:val="18"/>
          <w:lang w:val="en-US"/>
        </w:rPr>
        <w:t>Riikonen</w:t>
      </w:r>
      <w:proofErr w:type="spellEnd"/>
      <w:r>
        <w:rPr>
          <w:rFonts w:ascii="Palatino Linotype" w:hAnsi="Palatino Linotype" w:cs="Calibri"/>
          <w:sz w:val="18"/>
          <w:szCs w:val="18"/>
          <w:lang w:val="en-US"/>
        </w:rPr>
        <w:t xml:space="preserve">, H.; </w:t>
      </w:r>
      <w:proofErr w:type="spellStart"/>
      <w:r>
        <w:rPr>
          <w:rFonts w:ascii="Palatino Linotype" w:hAnsi="Palatino Linotype" w:cs="Calibri"/>
          <w:sz w:val="18"/>
          <w:szCs w:val="18"/>
          <w:lang w:val="en-US"/>
        </w:rPr>
        <w:t>Vesala</w:t>
      </w:r>
      <w:proofErr w:type="spellEnd"/>
      <w:r>
        <w:rPr>
          <w:rFonts w:ascii="Palatino Linotype" w:hAnsi="Palatino Linotype" w:cs="Calibri"/>
          <w:sz w:val="18"/>
          <w:szCs w:val="18"/>
          <w:lang w:val="en-US"/>
        </w:rPr>
        <w:t xml:space="preserve">, T. Modeling Air-Mediated Dispersal of Spores, </w:t>
      </w:r>
      <w:proofErr w:type="gramStart"/>
      <w:r>
        <w:rPr>
          <w:rFonts w:ascii="Palatino Linotype" w:hAnsi="Palatino Linotype" w:cs="Calibri"/>
          <w:sz w:val="18"/>
          <w:szCs w:val="18"/>
          <w:lang w:val="en-US"/>
        </w:rPr>
        <w:t>Pollen</w:t>
      </w:r>
      <w:proofErr w:type="gramEnd"/>
      <w:r>
        <w:rPr>
          <w:rFonts w:ascii="Palatino Linotype" w:hAnsi="Palatino Linotype" w:cs="Calibri"/>
          <w:sz w:val="18"/>
          <w:szCs w:val="18"/>
          <w:lang w:val="en-US"/>
        </w:rPr>
        <w:t xml:space="preserve"> and Seeds in Forested Areas. </w:t>
      </w:r>
      <w:r>
        <w:rPr>
          <w:rFonts w:ascii="Palatino Linotype" w:hAnsi="Palatino Linotype" w:cs="Calibri"/>
          <w:i/>
          <w:iCs/>
          <w:sz w:val="18"/>
          <w:szCs w:val="18"/>
          <w:lang w:val="en-US"/>
        </w:rPr>
        <w:t>Ecol. Modell.</w:t>
      </w:r>
      <w:r>
        <w:rPr>
          <w:rFonts w:ascii="Palatino Linotype" w:hAnsi="Palatino Linotype" w:cs="Calibri"/>
          <w:sz w:val="18"/>
          <w:szCs w:val="18"/>
          <w:lang w:val="en-US"/>
        </w:rPr>
        <w:t xml:space="preserve"> </w:t>
      </w:r>
      <w:r>
        <w:rPr>
          <w:rFonts w:ascii="Palatino Linotype" w:hAnsi="Palatino Linotype" w:cs="Calibri"/>
          <w:b/>
          <w:sz w:val="18"/>
          <w:szCs w:val="18"/>
          <w:lang w:val="en-US"/>
        </w:rPr>
        <w:t>2007</w:t>
      </w:r>
      <w:r>
        <w:rPr>
          <w:rFonts w:ascii="Palatino Linotype" w:hAnsi="Palatino Linotype" w:cs="Calibri"/>
          <w:sz w:val="18"/>
          <w:szCs w:val="18"/>
          <w:lang w:val="en-US"/>
        </w:rPr>
        <w:t xml:space="preserve">, </w:t>
      </w:r>
      <w:r>
        <w:rPr>
          <w:rFonts w:ascii="Palatino Linotype" w:hAnsi="Palatino Linotype" w:cs="Calibri"/>
          <w:i/>
          <w:sz w:val="18"/>
          <w:szCs w:val="18"/>
          <w:lang w:val="en-US"/>
        </w:rPr>
        <w:t>208</w:t>
      </w:r>
      <w:r>
        <w:rPr>
          <w:rFonts w:ascii="Palatino Linotype" w:hAnsi="Palatino Linotype" w:cs="Calibri"/>
          <w:sz w:val="18"/>
          <w:szCs w:val="18"/>
          <w:lang w:val="en-US"/>
        </w:rPr>
        <w:t>, 177–188. https://doi.org/10.1016/j.ecolmodel.2007.05.023.</w:t>
      </w:r>
    </w:p>
    <w:p w14:paraId="48C53DE6"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Theuerkauf, M.; Joosten, H. Younger Dryas Cold Stage Vegetation Patterns of Central Europe-Climate, Soil and Relief Controls. </w:t>
      </w:r>
      <w:r>
        <w:rPr>
          <w:rFonts w:ascii="Palatino Linotype" w:hAnsi="Palatino Linotype" w:cs="Calibri"/>
          <w:i/>
          <w:iCs/>
          <w:sz w:val="18"/>
          <w:szCs w:val="18"/>
          <w:lang w:val="en-US"/>
        </w:rPr>
        <w:t>Boreas</w:t>
      </w:r>
      <w:r>
        <w:rPr>
          <w:rFonts w:ascii="Palatino Linotype" w:hAnsi="Palatino Linotype" w:cs="Calibri"/>
          <w:sz w:val="18"/>
          <w:szCs w:val="18"/>
          <w:lang w:val="en-US"/>
        </w:rPr>
        <w:t xml:space="preserve"> </w:t>
      </w:r>
      <w:r>
        <w:rPr>
          <w:rFonts w:ascii="Palatino Linotype" w:hAnsi="Palatino Linotype"/>
          <w:b/>
          <w:bCs/>
          <w:sz w:val="18"/>
          <w:szCs w:val="18"/>
          <w:lang w:val="en-US"/>
        </w:rPr>
        <w:t>2012</w:t>
      </w:r>
      <w:r>
        <w:rPr>
          <w:rFonts w:ascii="Palatino Linotype" w:hAnsi="Palatino Linotype"/>
          <w:sz w:val="18"/>
          <w:szCs w:val="18"/>
          <w:lang w:val="en-US"/>
        </w:rPr>
        <w:t xml:space="preserve">, </w:t>
      </w:r>
      <w:r>
        <w:rPr>
          <w:rFonts w:ascii="Palatino Linotype" w:hAnsi="Palatino Linotype"/>
          <w:i/>
          <w:sz w:val="18"/>
          <w:szCs w:val="18"/>
          <w:lang w:val="en-US"/>
        </w:rPr>
        <w:t>41</w:t>
      </w:r>
      <w:r>
        <w:rPr>
          <w:rFonts w:ascii="Palatino Linotype" w:hAnsi="Palatino Linotype"/>
          <w:sz w:val="18"/>
          <w:szCs w:val="18"/>
          <w:lang w:val="en-US"/>
        </w:rPr>
        <w:t>, 391–407</w:t>
      </w:r>
      <w:r>
        <w:rPr>
          <w:rFonts w:ascii="Palatino Linotype" w:hAnsi="Palatino Linotype" w:cs="Calibri"/>
          <w:sz w:val="18"/>
          <w:szCs w:val="18"/>
          <w:lang w:val="en-US"/>
        </w:rPr>
        <w:t>. https://doi.org/10.1111/j.1502-3885.2011.00240.x.</w:t>
      </w:r>
    </w:p>
    <w:p w14:paraId="51E47B84"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Theuerkauf, M.; </w:t>
      </w:r>
      <w:proofErr w:type="spellStart"/>
      <w:r>
        <w:rPr>
          <w:rFonts w:ascii="Palatino Linotype" w:hAnsi="Palatino Linotype" w:cs="Calibri"/>
          <w:sz w:val="18"/>
          <w:szCs w:val="18"/>
          <w:lang w:val="en-US"/>
        </w:rPr>
        <w:t>Couwenberg</w:t>
      </w:r>
      <w:proofErr w:type="spellEnd"/>
      <w:r>
        <w:rPr>
          <w:rFonts w:ascii="Palatino Linotype" w:hAnsi="Palatino Linotype" w:cs="Calibri"/>
          <w:sz w:val="18"/>
          <w:szCs w:val="18"/>
          <w:lang w:val="en-US"/>
        </w:rPr>
        <w:t xml:space="preserve">, J.; </w:t>
      </w:r>
      <w:proofErr w:type="spellStart"/>
      <w:r>
        <w:rPr>
          <w:rFonts w:ascii="Palatino Linotype" w:hAnsi="Palatino Linotype" w:cs="Calibri"/>
          <w:sz w:val="18"/>
          <w:szCs w:val="18"/>
          <w:lang w:val="en-US"/>
        </w:rPr>
        <w:t>Kuparinen</w:t>
      </w:r>
      <w:proofErr w:type="spellEnd"/>
      <w:r>
        <w:rPr>
          <w:rFonts w:ascii="Palatino Linotype" w:hAnsi="Palatino Linotype" w:cs="Calibri"/>
          <w:sz w:val="18"/>
          <w:szCs w:val="18"/>
          <w:lang w:val="en-US"/>
        </w:rPr>
        <w:t xml:space="preserve">, A.; </w:t>
      </w:r>
      <w:proofErr w:type="spellStart"/>
      <w:r>
        <w:rPr>
          <w:rFonts w:ascii="Palatino Linotype" w:hAnsi="Palatino Linotype" w:cs="Calibri"/>
          <w:sz w:val="18"/>
          <w:szCs w:val="18"/>
          <w:lang w:val="en-US"/>
        </w:rPr>
        <w:t>Liebscher</w:t>
      </w:r>
      <w:proofErr w:type="spellEnd"/>
      <w:r>
        <w:rPr>
          <w:rFonts w:ascii="Palatino Linotype" w:hAnsi="Palatino Linotype" w:cs="Calibri"/>
          <w:sz w:val="18"/>
          <w:szCs w:val="18"/>
          <w:lang w:val="en-US"/>
        </w:rPr>
        <w:t xml:space="preserve">, V. A Matter of Dispersal: </w:t>
      </w:r>
      <w:proofErr w:type="spellStart"/>
      <w:r>
        <w:rPr>
          <w:rFonts w:ascii="Palatino Linotype" w:hAnsi="Palatino Linotype" w:cs="Calibri"/>
          <w:sz w:val="18"/>
          <w:szCs w:val="18"/>
          <w:lang w:val="en-US"/>
        </w:rPr>
        <w:t>REVEALSinR</w:t>
      </w:r>
      <w:proofErr w:type="spellEnd"/>
      <w:r>
        <w:rPr>
          <w:rFonts w:ascii="Palatino Linotype" w:hAnsi="Palatino Linotype" w:cs="Calibri"/>
          <w:sz w:val="18"/>
          <w:szCs w:val="18"/>
          <w:lang w:val="en-US"/>
        </w:rPr>
        <w:t xml:space="preserve"> Introduces State-of-the-Art Dispersal Models to Quantitative Vegetation Reconstruction. </w:t>
      </w:r>
      <w:r>
        <w:rPr>
          <w:rFonts w:ascii="Palatino Linotype" w:hAnsi="Palatino Linotype" w:cs="Calibri"/>
          <w:i/>
          <w:iCs/>
          <w:sz w:val="18"/>
          <w:szCs w:val="18"/>
          <w:lang w:val="en-US"/>
        </w:rPr>
        <w:t xml:space="preserve">Veg. Hist. </w:t>
      </w:r>
      <w:proofErr w:type="spellStart"/>
      <w:r>
        <w:rPr>
          <w:rFonts w:ascii="Palatino Linotype" w:hAnsi="Palatino Linotype" w:cs="Calibri"/>
          <w:i/>
          <w:iCs/>
          <w:sz w:val="18"/>
          <w:szCs w:val="18"/>
          <w:lang w:val="en-US"/>
        </w:rPr>
        <w:t>Archaeobot</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2016</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25</w:t>
      </w:r>
      <w:r>
        <w:rPr>
          <w:rFonts w:ascii="Palatino Linotype" w:hAnsi="Palatino Linotype" w:cs="Calibri"/>
          <w:bCs/>
          <w:sz w:val="18"/>
          <w:szCs w:val="18"/>
          <w:lang w:val="en-US"/>
        </w:rPr>
        <w:t>, 541–553</w:t>
      </w:r>
      <w:r>
        <w:rPr>
          <w:rFonts w:ascii="Palatino Linotype" w:hAnsi="Palatino Linotype" w:cs="Calibri"/>
          <w:sz w:val="18"/>
          <w:szCs w:val="18"/>
          <w:lang w:val="en-US"/>
        </w:rPr>
        <w:t>. https://doi.org/10.1007/S00334-016-0572-0.</w:t>
      </w:r>
    </w:p>
    <w:p w14:paraId="4563646C"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rPr>
        <w:t xml:space="preserve">Marquer, </w:t>
      </w:r>
      <w:proofErr w:type="gramStart"/>
      <w:r>
        <w:rPr>
          <w:rFonts w:ascii="Palatino Linotype" w:hAnsi="Palatino Linotype" w:cs="Calibri"/>
          <w:sz w:val="18"/>
          <w:szCs w:val="18"/>
        </w:rPr>
        <w:t>L.;</w:t>
      </w:r>
      <w:proofErr w:type="gramEnd"/>
      <w:r>
        <w:rPr>
          <w:rFonts w:ascii="Palatino Linotype" w:hAnsi="Palatino Linotype" w:cs="Calibri"/>
          <w:sz w:val="18"/>
          <w:szCs w:val="18"/>
        </w:rPr>
        <w:t xml:space="preserve"> </w:t>
      </w:r>
      <w:proofErr w:type="spellStart"/>
      <w:r>
        <w:rPr>
          <w:rFonts w:ascii="Palatino Linotype" w:hAnsi="Palatino Linotype" w:cs="Calibri"/>
          <w:sz w:val="18"/>
          <w:szCs w:val="18"/>
        </w:rPr>
        <w:t>Mazier</w:t>
      </w:r>
      <w:proofErr w:type="spellEnd"/>
      <w:r>
        <w:rPr>
          <w:rFonts w:ascii="Palatino Linotype" w:hAnsi="Palatino Linotype" w:cs="Calibri"/>
          <w:sz w:val="18"/>
          <w:szCs w:val="18"/>
        </w:rPr>
        <w:t xml:space="preserve">, F.; </w:t>
      </w:r>
      <w:proofErr w:type="spellStart"/>
      <w:r>
        <w:rPr>
          <w:rFonts w:ascii="Palatino Linotype" w:hAnsi="Palatino Linotype" w:cs="Calibri"/>
          <w:sz w:val="18"/>
          <w:szCs w:val="18"/>
        </w:rPr>
        <w:t>Sugita</w:t>
      </w:r>
      <w:proofErr w:type="spellEnd"/>
      <w:r>
        <w:rPr>
          <w:rFonts w:ascii="Palatino Linotype" w:hAnsi="Palatino Linotype" w:cs="Calibri"/>
          <w:sz w:val="18"/>
          <w:szCs w:val="18"/>
        </w:rPr>
        <w:t xml:space="preserve">, S.; Galop, D.; Houet, T.; Faure, E.; Gaillard, M.J.; </w:t>
      </w:r>
      <w:proofErr w:type="spellStart"/>
      <w:r>
        <w:rPr>
          <w:rFonts w:ascii="Palatino Linotype" w:hAnsi="Palatino Linotype" w:cs="Calibri"/>
          <w:sz w:val="18"/>
          <w:szCs w:val="18"/>
        </w:rPr>
        <w:t>Haunold</w:t>
      </w:r>
      <w:proofErr w:type="spellEnd"/>
      <w:r>
        <w:rPr>
          <w:rFonts w:ascii="Palatino Linotype" w:hAnsi="Palatino Linotype" w:cs="Calibri"/>
          <w:sz w:val="18"/>
          <w:szCs w:val="18"/>
        </w:rPr>
        <w:t xml:space="preserve">, S.; de </w:t>
      </w:r>
      <w:proofErr w:type="spellStart"/>
      <w:r>
        <w:rPr>
          <w:rFonts w:ascii="Palatino Linotype" w:hAnsi="Palatino Linotype" w:cs="Calibri"/>
          <w:sz w:val="18"/>
          <w:szCs w:val="18"/>
        </w:rPr>
        <w:t>Munnik</w:t>
      </w:r>
      <w:proofErr w:type="spellEnd"/>
      <w:r>
        <w:rPr>
          <w:rFonts w:ascii="Palatino Linotype" w:hAnsi="Palatino Linotype" w:cs="Calibri"/>
          <w:sz w:val="18"/>
          <w:szCs w:val="18"/>
        </w:rPr>
        <w:t xml:space="preserve">, N.; Simonneau, A.; et al. </w:t>
      </w:r>
      <w:r>
        <w:rPr>
          <w:rFonts w:ascii="Palatino Linotype" w:hAnsi="Palatino Linotype" w:cs="Calibri"/>
          <w:sz w:val="18"/>
          <w:szCs w:val="18"/>
          <w:lang w:val="en-US"/>
        </w:rPr>
        <w:t xml:space="preserve">Pollen-Based Reconstruction of Holocene Land-Cover in Mountain Regions: Evaluation of the Landscape Reconstruction Algorithm in the </w:t>
      </w:r>
      <w:proofErr w:type="spellStart"/>
      <w:r>
        <w:rPr>
          <w:rFonts w:ascii="Palatino Linotype" w:hAnsi="Palatino Linotype" w:cs="Calibri"/>
          <w:sz w:val="18"/>
          <w:szCs w:val="18"/>
          <w:lang w:val="en-US"/>
        </w:rPr>
        <w:t>Vicdessos</w:t>
      </w:r>
      <w:proofErr w:type="spellEnd"/>
      <w:r>
        <w:rPr>
          <w:rFonts w:ascii="Palatino Linotype" w:hAnsi="Palatino Linotype" w:cs="Calibri"/>
          <w:sz w:val="18"/>
          <w:szCs w:val="18"/>
          <w:lang w:val="en-US"/>
        </w:rPr>
        <w:t xml:space="preserve"> Valley, Northern Pyrenees, France. </w:t>
      </w:r>
      <w:r>
        <w:rPr>
          <w:rFonts w:ascii="Palatino Linotype" w:hAnsi="Palatino Linotype" w:cs="Calibri"/>
          <w:i/>
          <w:iCs/>
          <w:sz w:val="18"/>
          <w:szCs w:val="18"/>
        </w:rPr>
        <w:t xml:space="preserve">Quat. </w:t>
      </w:r>
      <w:proofErr w:type="spellStart"/>
      <w:r>
        <w:rPr>
          <w:rFonts w:ascii="Palatino Linotype" w:hAnsi="Palatino Linotype" w:cs="Calibri"/>
          <w:i/>
          <w:iCs/>
          <w:sz w:val="18"/>
          <w:szCs w:val="18"/>
        </w:rPr>
        <w:t>Sci</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Rev</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bCs/>
          <w:sz w:val="18"/>
          <w:szCs w:val="18"/>
        </w:rPr>
        <w:t>2020</w:t>
      </w:r>
      <w:r>
        <w:rPr>
          <w:rFonts w:ascii="Palatino Linotype" w:hAnsi="Palatino Linotype" w:cs="Calibri"/>
          <w:bCs/>
          <w:sz w:val="18"/>
          <w:szCs w:val="18"/>
        </w:rPr>
        <w:t xml:space="preserve">, </w:t>
      </w:r>
      <w:r>
        <w:rPr>
          <w:rFonts w:ascii="Palatino Linotype" w:hAnsi="Palatino Linotype" w:cs="Calibri"/>
          <w:bCs/>
          <w:i/>
          <w:sz w:val="18"/>
          <w:szCs w:val="18"/>
        </w:rPr>
        <w:t>228</w:t>
      </w:r>
      <w:r>
        <w:rPr>
          <w:rFonts w:ascii="Palatino Linotype" w:hAnsi="Palatino Linotype" w:cs="Calibri"/>
          <w:bCs/>
          <w:sz w:val="18"/>
          <w:szCs w:val="18"/>
        </w:rPr>
        <w:t>, 106049</w:t>
      </w:r>
      <w:r>
        <w:rPr>
          <w:rFonts w:ascii="Palatino Linotype" w:hAnsi="Palatino Linotype" w:cs="Calibri"/>
          <w:sz w:val="18"/>
          <w:szCs w:val="18"/>
        </w:rPr>
        <w:t>. https://doi.org/10.1016/j.quascirev.2019.106049.</w:t>
      </w:r>
    </w:p>
    <w:p w14:paraId="11106B8A"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rPr>
        <w:t>Fyfe</w:t>
      </w:r>
      <w:proofErr w:type="spellEnd"/>
      <w:r>
        <w:rPr>
          <w:rFonts w:ascii="Palatino Linotype" w:hAnsi="Palatino Linotype" w:cs="Calibri"/>
          <w:sz w:val="18"/>
          <w:szCs w:val="18"/>
        </w:rPr>
        <w:t xml:space="preserve">, </w:t>
      </w:r>
      <w:proofErr w:type="gramStart"/>
      <w:r>
        <w:rPr>
          <w:rFonts w:ascii="Palatino Linotype" w:hAnsi="Palatino Linotype" w:cs="Calibri"/>
          <w:sz w:val="18"/>
          <w:szCs w:val="18"/>
        </w:rPr>
        <w:t>R.M.;</w:t>
      </w:r>
      <w:proofErr w:type="gramEnd"/>
      <w:r>
        <w:rPr>
          <w:rFonts w:ascii="Palatino Linotype" w:hAnsi="Palatino Linotype" w:cs="Calibri"/>
          <w:sz w:val="18"/>
          <w:szCs w:val="18"/>
        </w:rPr>
        <w:t xml:space="preserve"> de Beaulieu, J.-L.; </w:t>
      </w:r>
      <w:proofErr w:type="spellStart"/>
      <w:r>
        <w:rPr>
          <w:rFonts w:ascii="Palatino Linotype" w:hAnsi="Palatino Linotype" w:cs="Calibri"/>
          <w:sz w:val="18"/>
          <w:szCs w:val="18"/>
        </w:rPr>
        <w:t>Binney</w:t>
      </w:r>
      <w:proofErr w:type="spellEnd"/>
      <w:r>
        <w:rPr>
          <w:rFonts w:ascii="Palatino Linotype" w:hAnsi="Palatino Linotype" w:cs="Calibri"/>
          <w:sz w:val="18"/>
          <w:szCs w:val="18"/>
        </w:rPr>
        <w:t xml:space="preserve">, H.; Bradshaw, R.H.W.; Brewer, S.; Le </w:t>
      </w:r>
      <w:proofErr w:type="spellStart"/>
      <w:r>
        <w:rPr>
          <w:rFonts w:ascii="Palatino Linotype" w:hAnsi="Palatino Linotype" w:cs="Calibri"/>
          <w:sz w:val="18"/>
          <w:szCs w:val="18"/>
        </w:rPr>
        <w:t>Flao</w:t>
      </w:r>
      <w:proofErr w:type="spellEnd"/>
      <w:r>
        <w:rPr>
          <w:rFonts w:ascii="Palatino Linotype" w:hAnsi="Palatino Linotype" w:cs="Calibri"/>
          <w:sz w:val="18"/>
          <w:szCs w:val="18"/>
        </w:rPr>
        <w:t xml:space="preserve">, A.; </w:t>
      </w:r>
      <w:proofErr w:type="spellStart"/>
      <w:r>
        <w:rPr>
          <w:rFonts w:ascii="Palatino Linotype" w:hAnsi="Palatino Linotype" w:cs="Calibri"/>
          <w:sz w:val="18"/>
          <w:szCs w:val="18"/>
        </w:rPr>
        <w:t>Finsinger</w:t>
      </w:r>
      <w:proofErr w:type="spellEnd"/>
      <w:r>
        <w:rPr>
          <w:rFonts w:ascii="Palatino Linotype" w:hAnsi="Palatino Linotype" w:cs="Calibri"/>
          <w:sz w:val="18"/>
          <w:szCs w:val="18"/>
        </w:rPr>
        <w:t xml:space="preserve">, W.; Gaillard, M.-J.; </w:t>
      </w:r>
      <w:proofErr w:type="spellStart"/>
      <w:r>
        <w:rPr>
          <w:rFonts w:ascii="Palatino Linotype" w:hAnsi="Palatino Linotype" w:cs="Calibri"/>
          <w:sz w:val="18"/>
          <w:szCs w:val="18"/>
        </w:rPr>
        <w:t>Giesecke</w:t>
      </w:r>
      <w:proofErr w:type="spellEnd"/>
      <w:r>
        <w:rPr>
          <w:rFonts w:ascii="Palatino Linotype" w:hAnsi="Palatino Linotype" w:cs="Calibri"/>
          <w:sz w:val="18"/>
          <w:szCs w:val="18"/>
        </w:rPr>
        <w:t xml:space="preserve">, T.; Gil-Romera, G.; et al. </w:t>
      </w:r>
      <w:r>
        <w:rPr>
          <w:rFonts w:ascii="Palatino Linotype" w:hAnsi="Palatino Linotype" w:cs="Calibri"/>
          <w:sz w:val="18"/>
          <w:szCs w:val="18"/>
          <w:lang w:val="en-US"/>
        </w:rPr>
        <w:t xml:space="preserve">The European Pollen Database: Past Efforts and Current Activities. </w:t>
      </w:r>
      <w:r>
        <w:rPr>
          <w:rFonts w:ascii="Palatino Linotype" w:hAnsi="Palatino Linotype" w:cs="Calibri"/>
          <w:i/>
          <w:iCs/>
          <w:sz w:val="18"/>
          <w:szCs w:val="18"/>
          <w:lang w:val="en-US"/>
        </w:rPr>
        <w:t xml:space="preserve">Veg. Hist. </w:t>
      </w:r>
      <w:proofErr w:type="spellStart"/>
      <w:r>
        <w:rPr>
          <w:rFonts w:ascii="Palatino Linotype" w:hAnsi="Palatino Linotype" w:cs="Calibri"/>
          <w:i/>
          <w:iCs/>
          <w:sz w:val="18"/>
          <w:szCs w:val="18"/>
        </w:rPr>
        <w:t>Archaeobot</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sz w:val="18"/>
          <w:szCs w:val="18"/>
        </w:rPr>
        <w:t>2009</w:t>
      </w:r>
      <w:r>
        <w:rPr>
          <w:rFonts w:ascii="Palatino Linotype" w:hAnsi="Palatino Linotype" w:cs="Calibri"/>
          <w:sz w:val="18"/>
          <w:szCs w:val="18"/>
        </w:rPr>
        <w:t xml:space="preserve">, </w:t>
      </w:r>
      <w:r>
        <w:rPr>
          <w:rFonts w:ascii="Palatino Linotype" w:hAnsi="Palatino Linotype" w:cs="Calibri"/>
          <w:i/>
          <w:sz w:val="18"/>
          <w:szCs w:val="18"/>
        </w:rPr>
        <w:t>18</w:t>
      </w:r>
      <w:r>
        <w:rPr>
          <w:rFonts w:ascii="Palatino Linotype" w:hAnsi="Palatino Linotype" w:cs="Calibri"/>
          <w:sz w:val="18"/>
          <w:szCs w:val="18"/>
        </w:rPr>
        <w:t>, 417–424. https://doi.org/10.1007/s00334-009-0215-9.</w:t>
      </w:r>
    </w:p>
    <w:p w14:paraId="3DFA3A9D"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rPr>
        <w:t>Giesecke</w:t>
      </w:r>
      <w:proofErr w:type="spellEnd"/>
      <w:r>
        <w:rPr>
          <w:rFonts w:ascii="Palatino Linotype" w:hAnsi="Palatino Linotype" w:cs="Calibri"/>
          <w:sz w:val="18"/>
          <w:szCs w:val="18"/>
        </w:rPr>
        <w:t xml:space="preserve">, </w:t>
      </w:r>
      <w:proofErr w:type="gramStart"/>
      <w:r>
        <w:rPr>
          <w:rFonts w:ascii="Palatino Linotype" w:hAnsi="Palatino Linotype" w:cs="Calibri"/>
          <w:sz w:val="18"/>
          <w:szCs w:val="18"/>
        </w:rPr>
        <w:t>T.;</w:t>
      </w:r>
      <w:proofErr w:type="gramEnd"/>
      <w:r>
        <w:rPr>
          <w:rFonts w:ascii="Palatino Linotype" w:hAnsi="Palatino Linotype" w:cs="Calibri"/>
          <w:sz w:val="18"/>
          <w:szCs w:val="18"/>
        </w:rPr>
        <w:t xml:space="preserve"> Davis, B.; Brewer, S.; </w:t>
      </w:r>
      <w:proofErr w:type="spellStart"/>
      <w:r>
        <w:rPr>
          <w:rFonts w:ascii="Palatino Linotype" w:hAnsi="Palatino Linotype" w:cs="Calibri"/>
          <w:sz w:val="18"/>
          <w:szCs w:val="18"/>
        </w:rPr>
        <w:t>Finsinger</w:t>
      </w:r>
      <w:proofErr w:type="spellEnd"/>
      <w:r>
        <w:rPr>
          <w:rFonts w:ascii="Palatino Linotype" w:hAnsi="Palatino Linotype" w:cs="Calibri"/>
          <w:sz w:val="18"/>
          <w:szCs w:val="18"/>
        </w:rPr>
        <w:t xml:space="preserve">, W.; Wolters, S.; </w:t>
      </w:r>
      <w:proofErr w:type="spellStart"/>
      <w:r>
        <w:rPr>
          <w:rFonts w:ascii="Palatino Linotype" w:hAnsi="Palatino Linotype" w:cs="Calibri"/>
          <w:sz w:val="18"/>
          <w:szCs w:val="18"/>
        </w:rPr>
        <w:t>Blaauw</w:t>
      </w:r>
      <w:proofErr w:type="spellEnd"/>
      <w:r>
        <w:rPr>
          <w:rFonts w:ascii="Palatino Linotype" w:hAnsi="Palatino Linotype" w:cs="Calibri"/>
          <w:sz w:val="18"/>
          <w:szCs w:val="18"/>
        </w:rPr>
        <w:t xml:space="preserve">, M.; De Beaulieu, J.-L.; </w:t>
      </w:r>
      <w:proofErr w:type="spellStart"/>
      <w:r>
        <w:rPr>
          <w:rFonts w:ascii="Palatino Linotype" w:hAnsi="Palatino Linotype" w:cs="Calibri"/>
          <w:sz w:val="18"/>
          <w:szCs w:val="18"/>
        </w:rPr>
        <w:t>Binney</w:t>
      </w:r>
      <w:proofErr w:type="spellEnd"/>
      <w:r>
        <w:rPr>
          <w:rFonts w:ascii="Palatino Linotype" w:hAnsi="Palatino Linotype" w:cs="Calibri"/>
          <w:sz w:val="18"/>
          <w:szCs w:val="18"/>
        </w:rPr>
        <w:t xml:space="preserve">, H.; </w:t>
      </w:r>
      <w:proofErr w:type="spellStart"/>
      <w:r>
        <w:rPr>
          <w:rFonts w:ascii="Palatino Linotype" w:hAnsi="Palatino Linotype" w:cs="Calibri"/>
          <w:sz w:val="18"/>
          <w:szCs w:val="18"/>
        </w:rPr>
        <w:t>Fyfe</w:t>
      </w:r>
      <w:proofErr w:type="spellEnd"/>
      <w:r>
        <w:rPr>
          <w:rFonts w:ascii="Palatino Linotype" w:hAnsi="Palatino Linotype" w:cs="Calibri"/>
          <w:sz w:val="18"/>
          <w:szCs w:val="18"/>
        </w:rPr>
        <w:t xml:space="preserve">, R.M.; Gaillard, M.-J.; et al. </w:t>
      </w:r>
      <w:r>
        <w:rPr>
          <w:rFonts w:ascii="Palatino Linotype" w:hAnsi="Palatino Linotype" w:cs="Calibri"/>
          <w:sz w:val="18"/>
          <w:szCs w:val="18"/>
          <w:lang w:val="en-US"/>
        </w:rPr>
        <w:t>Towards Mapping the Late Quaternary Vegetation Change of Europe.</w:t>
      </w:r>
      <w:r>
        <w:rPr>
          <w:rFonts w:ascii="Palatino Linotype" w:hAnsi="Palatino Linotype"/>
          <w:i/>
          <w:iCs/>
          <w:sz w:val="18"/>
          <w:szCs w:val="18"/>
          <w:lang w:val="en-US"/>
        </w:rPr>
        <w:t xml:space="preserve"> Veg. Hist. </w:t>
      </w:r>
      <w:proofErr w:type="spellStart"/>
      <w:r>
        <w:rPr>
          <w:rFonts w:ascii="Palatino Linotype" w:hAnsi="Palatino Linotype"/>
          <w:i/>
          <w:iCs/>
          <w:sz w:val="18"/>
          <w:szCs w:val="18"/>
        </w:rPr>
        <w:t>Archaeobot</w:t>
      </w:r>
      <w:proofErr w:type="spellEnd"/>
      <w:r>
        <w:rPr>
          <w:rFonts w:ascii="Palatino Linotype" w:hAnsi="Palatino Linotype"/>
          <w:i/>
          <w:iCs/>
          <w:sz w:val="18"/>
          <w:szCs w:val="18"/>
        </w:rPr>
        <w:t>.</w:t>
      </w:r>
      <w:r>
        <w:rPr>
          <w:rFonts w:ascii="Palatino Linotype" w:hAnsi="Palatino Linotype" w:cs="Calibri"/>
          <w:sz w:val="18"/>
          <w:szCs w:val="18"/>
        </w:rPr>
        <w:t xml:space="preserve"> </w:t>
      </w:r>
      <w:r>
        <w:rPr>
          <w:rFonts w:ascii="Palatino Linotype" w:hAnsi="Palatino Linotype" w:cs="Calibri"/>
          <w:b/>
          <w:bCs/>
          <w:sz w:val="18"/>
          <w:szCs w:val="18"/>
        </w:rPr>
        <w:t>2014</w:t>
      </w:r>
      <w:r>
        <w:rPr>
          <w:rFonts w:ascii="Palatino Linotype" w:hAnsi="Palatino Linotype" w:cs="Calibri"/>
          <w:bCs/>
          <w:sz w:val="18"/>
          <w:szCs w:val="18"/>
        </w:rPr>
        <w:t xml:space="preserve">, </w:t>
      </w:r>
      <w:r>
        <w:rPr>
          <w:rFonts w:ascii="Palatino Linotype" w:hAnsi="Palatino Linotype" w:cs="Calibri"/>
          <w:bCs/>
          <w:i/>
          <w:sz w:val="18"/>
          <w:szCs w:val="18"/>
        </w:rPr>
        <w:t>23</w:t>
      </w:r>
      <w:r>
        <w:rPr>
          <w:rFonts w:ascii="Palatino Linotype" w:hAnsi="Palatino Linotype" w:cs="Calibri"/>
          <w:bCs/>
          <w:sz w:val="18"/>
          <w:szCs w:val="18"/>
        </w:rPr>
        <w:t>, 75–86</w:t>
      </w:r>
      <w:r>
        <w:rPr>
          <w:rFonts w:ascii="Palatino Linotype" w:hAnsi="Palatino Linotype" w:cs="Calibri"/>
          <w:sz w:val="18"/>
          <w:szCs w:val="18"/>
        </w:rPr>
        <w:t>. https://doi.org/10.1007/s00334-012-0390-y.</w:t>
      </w:r>
    </w:p>
    <w:p w14:paraId="43A77CB1"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rPr>
        <w:t>Kuneš</w:t>
      </w:r>
      <w:proofErr w:type="spellEnd"/>
      <w:r>
        <w:rPr>
          <w:rFonts w:ascii="Palatino Linotype" w:hAnsi="Palatino Linotype" w:cs="Calibri"/>
          <w:sz w:val="18"/>
          <w:szCs w:val="18"/>
        </w:rPr>
        <w:t xml:space="preserve">, </w:t>
      </w:r>
      <w:proofErr w:type="gramStart"/>
      <w:r>
        <w:rPr>
          <w:rFonts w:ascii="Palatino Linotype" w:hAnsi="Palatino Linotype" w:cs="Calibri"/>
          <w:sz w:val="18"/>
          <w:szCs w:val="18"/>
        </w:rPr>
        <w:t>P;</w:t>
      </w:r>
      <w:proofErr w:type="gramEnd"/>
      <w:r>
        <w:rPr>
          <w:rFonts w:ascii="Palatino Linotype" w:hAnsi="Palatino Linotype" w:cs="Calibri"/>
          <w:sz w:val="18"/>
          <w:szCs w:val="18"/>
        </w:rPr>
        <w:t xml:space="preserve"> </w:t>
      </w:r>
      <w:proofErr w:type="spellStart"/>
      <w:r>
        <w:rPr>
          <w:rFonts w:ascii="Palatino Linotype" w:hAnsi="Palatino Linotype" w:cs="Calibri"/>
          <w:sz w:val="18"/>
          <w:szCs w:val="18"/>
        </w:rPr>
        <w:t>Abrahám</w:t>
      </w:r>
      <w:proofErr w:type="spellEnd"/>
      <w:r>
        <w:rPr>
          <w:rFonts w:ascii="Palatino Linotype" w:hAnsi="Palatino Linotype" w:cs="Calibri"/>
          <w:sz w:val="18"/>
          <w:szCs w:val="18"/>
        </w:rPr>
        <w:t xml:space="preserve">, V.; </w:t>
      </w:r>
      <w:proofErr w:type="spellStart"/>
      <w:r>
        <w:rPr>
          <w:rFonts w:ascii="Palatino Linotype" w:hAnsi="Palatino Linotype" w:cs="Calibri"/>
          <w:sz w:val="18"/>
          <w:szCs w:val="18"/>
        </w:rPr>
        <w:t>Kovářík</w:t>
      </w:r>
      <w:proofErr w:type="spellEnd"/>
      <w:r>
        <w:rPr>
          <w:rFonts w:ascii="Palatino Linotype" w:hAnsi="Palatino Linotype" w:cs="Calibri"/>
          <w:sz w:val="18"/>
          <w:szCs w:val="18"/>
        </w:rPr>
        <w:t xml:space="preserve">, O.; </w:t>
      </w:r>
      <w:proofErr w:type="spellStart"/>
      <w:r>
        <w:rPr>
          <w:rFonts w:ascii="Palatino Linotype" w:hAnsi="Palatino Linotype" w:cs="Calibri"/>
          <w:sz w:val="18"/>
          <w:szCs w:val="18"/>
        </w:rPr>
        <w:t>Kopecký</w:t>
      </w:r>
      <w:proofErr w:type="spellEnd"/>
      <w:r>
        <w:rPr>
          <w:rFonts w:ascii="Palatino Linotype" w:hAnsi="Palatino Linotype" w:cs="Calibri"/>
          <w:sz w:val="18"/>
          <w:szCs w:val="18"/>
        </w:rPr>
        <w:t xml:space="preserve">, M.; </w:t>
      </w:r>
      <w:proofErr w:type="spellStart"/>
      <w:r>
        <w:rPr>
          <w:rFonts w:ascii="Palatino Linotype" w:hAnsi="Palatino Linotype" w:cs="Calibri"/>
          <w:sz w:val="18"/>
          <w:szCs w:val="18"/>
        </w:rPr>
        <w:t>Břízová</w:t>
      </w:r>
      <w:proofErr w:type="spellEnd"/>
      <w:r>
        <w:rPr>
          <w:rFonts w:ascii="Palatino Linotype" w:hAnsi="Palatino Linotype" w:cs="Calibri"/>
          <w:sz w:val="18"/>
          <w:szCs w:val="18"/>
        </w:rPr>
        <w:t xml:space="preserve">; E; </w:t>
      </w:r>
      <w:proofErr w:type="spellStart"/>
      <w:r>
        <w:rPr>
          <w:rFonts w:ascii="Palatino Linotype" w:hAnsi="Palatino Linotype" w:cs="Calibri"/>
          <w:sz w:val="18"/>
          <w:szCs w:val="18"/>
        </w:rPr>
        <w:t>Dudová</w:t>
      </w:r>
      <w:proofErr w:type="spellEnd"/>
      <w:r>
        <w:rPr>
          <w:rFonts w:ascii="Palatino Linotype" w:hAnsi="Palatino Linotype" w:cs="Calibri"/>
          <w:sz w:val="18"/>
          <w:szCs w:val="18"/>
        </w:rPr>
        <w:t xml:space="preserve">, L; </w:t>
      </w:r>
      <w:proofErr w:type="spellStart"/>
      <w:r>
        <w:rPr>
          <w:rFonts w:ascii="Palatino Linotype" w:hAnsi="Palatino Linotype" w:cs="Calibri"/>
          <w:sz w:val="18"/>
          <w:szCs w:val="18"/>
        </w:rPr>
        <w:t>Jankovská</w:t>
      </w:r>
      <w:proofErr w:type="spellEnd"/>
      <w:r>
        <w:rPr>
          <w:rFonts w:ascii="Palatino Linotype" w:hAnsi="Palatino Linotype" w:cs="Calibri"/>
          <w:sz w:val="18"/>
          <w:szCs w:val="18"/>
        </w:rPr>
        <w:t xml:space="preserve">, V; </w:t>
      </w:r>
      <w:proofErr w:type="spellStart"/>
      <w:r>
        <w:rPr>
          <w:rFonts w:ascii="Palatino Linotype" w:hAnsi="Palatino Linotype" w:cs="Calibri"/>
          <w:sz w:val="18"/>
          <w:szCs w:val="18"/>
        </w:rPr>
        <w:t>Knipping</w:t>
      </w:r>
      <w:proofErr w:type="spellEnd"/>
      <w:r>
        <w:rPr>
          <w:rFonts w:ascii="Palatino Linotype" w:hAnsi="Palatino Linotype" w:cs="Calibri"/>
          <w:sz w:val="18"/>
          <w:szCs w:val="18"/>
        </w:rPr>
        <w:t xml:space="preserve">, M.; </w:t>
      </w:r>
      <w:proofErr w:type="spellStart"/>
      <w:r>
        <w:rPr>
          <w:rFonts w:ascii="Palatino Linotype" w:hAnsi="Palatino Linotype" w:cs="Calibri"/>
          <w:sz w:val="18"/>
          <w:szCs w:val="18"/>
        </w:rPr>
        <w:t>Kozáková</w:t>
      </w:r>
      <w:proofErr w:type="spellEnd"/>
      <w:r>
        <w:rPr>
          <w:rFonts w:ascii="Palatino Linotype" w:hAnsi="Palatino Linotype" w:cs="Calibri"/>
          <w:sz w:val="18"/>
          <w:szCs w:val="18"/>
        </w:rPr>
        <w:t xml:space="preserve">, R; </w:t>
      </w:r>
      <w:proofErr w:type="spellStart"/>
      <w:r>
        <w:rPr>
          <w:rFonts w:ascii="Palatino Linotype" w:hAnsi="Palatino Linotype" w:cs="Calibri"/>
          <w:sz w:val="18"/>
          <w:szCs w:val="18"/>
        </w:rPr>
        <w:t>Nováková</w:t>
      </w:r>
      <w:proofErr w:type="spellEnd"/>
      <w:r>
        <w:rPr>
          <w:rFonts w:ascii="Palatino Linotype" w:hAnsi="Palatino Linotype" w:cs="Calibri"/>
          <w:sz w:val="18"/>
          <w:szCs w:val="18"/>
        </w:rPr>
        <w:t xml:space="preserve">, K.; et al. </w:t>
      </w:r>
      <w:r>
        <w:rPr>
          <w:rFonts w:ascii="Palatino Linotype" w:hAnsi="Palatino Linotype" w:cs="Calibri"/>
          <w:sz w:val="18"/>
          <w:szCs w:val="18"/>
          <w:lang w:val="en-US"/>
        </w:rPr>
        <w:t xml:space="preserve">Czech Quaternary Palynological Database-PALYCZ: Review and Basic Statistics of the Data. </w:t>
      </w:r>
      <w:proofErr w:type="spellStart"/>
      <w:r>
        <w:rPr>
          <w:rFonts w:ascii="Palatino Linotype" w:hAnsi="Palatino Linotype" w:cs="Calibri"/>
          <w:i/>
          <w:iCs/>
          <w:sz w:val="18"/>
          <w:szCs w:val="18"/>
          <w:lang w:val="en-US"/>
        </w:rPr>
        <w:t>Preslia</w:t>
      </w:r>
      <w:proofErr w:type="spellEnd"/>
      <w:r>
        <w:rPr>
          <w:rFonts w:ascii="Palatino Linotype" w:hAnsi="Palatino Linotype" w:cs="Calibri"/>
          <w:sz w:val="18"/>
          <w:szCs w:val="18"/>
          <w:lang w:val="en-US"/>
        </w:rPr>
        <w:t xml:space="preserve"> </w:t>
      </w:r>
      <w:proofErr w:type="spellStart"/>
      <w:r>
        <w:rPr>
          <w:rFonts w:ascii="Palatino Linotype" w:hAnsi="Palatino Linotype" w:cs="Calibri"/>
          <w:sz w:val="18"/>
          <w:szCs w:val="18"/>
          <w:lang w:val="en-US"/>
        </w:rPr>
        <w:t>Česká</w:t>
      </w:r>
      <w:proofErr w:type="spellEnd"/>
      <w:r>
        <w:rPr>
          <w:rFonts w:ascii="Palatino Linotype" w:hAnsi="Palatino Linotype" w:cs="Calibri"/>
          <w:sz w:val="18"/>
          <w:szCs w:val="18"/>
          <w:lang w:val="en-US"/>
        </w:rPr>
        <w:t xml:space="preserve"> </w:t>
      </w:r>
      <w:proofErr w:type="spellStart"/>
      <w:r>
        <w:rPr>
          <w:rFonts w:ascii="Palatino Linotype" w:hAnsi="Palatino Linotype" w:cs="Calibri"/>
          <w:sz w:val="18"/>
          <w:szCs w:val="18"/>
          <w:lang w:val="en-US"/>
        </w:rPr>
        <w:t>Kvartérní</w:t>
      </w:r>
      <w:proofErr w:type="spellEnd"/>
      <w:r>
        <w:rPr>
          <w:rFonts w:ascii="Palatino Linotype" w:hAnsi="Palatino Linotype" w:cs="Calibri"/>
          <w:sz w:val="18"/>
          <w:szCs w:val="18"/>
          <w:lang w:val="en-US"/>
        </w:rPr>
        <w:t xml:space="preserve"> </w:t>
      </w:r>
      <w:proofErr w:type="spellStart"/>
      <w:r>
        <w:rPr>
          <w:rFonts w:ascii="Palatino Linotype" w:hAnsi="Palatino Linotype" w:cs="Calibri"/>
          <w:sz w:val="18"/>
          <w:szCs w:val="18"/>
          <w:lang w:val="en-US"/>
        </w:rPr>
        <w:t>Pylová</w:t>
      </w:r>
      <w:proofErr w:type="spellEnd"/>
      <w:r>
        <w:rPr>
          <w:rFonts w:ascii="Palatino Linotype" w:hAnsi="Palatino Linotype" w:cs="Calibri"/>
          <w:sz w:val="18"/>
          <w:szCs w:val="18"/>
          <w:lang w:val="en-US"/>
        </w:rPr>
        <w:t xml:space="preserve"> </w:t>
      </w:r>
      <w:proofErr w:type="spellStart"/>
      <w:r>
        <w:rPr>
          <w:rFonts w:ascii="Palatino Linotype" w:hAnsi="Palatino Linotype" w:cs="Calibri"/>
          <w:sz w:val="18"/>
          <w:szCs w:val="18"/>
          <w:lang w:val="en-US"/>
        </w:rPr>
        <w:t>Databáze</w:t>
      </w:r>
      <w:proofErr w:type="spellEnd"/>
      <w:r>
        <w:rPr>
          <w:rFonts w:ascii="Palatino Linotype" w:hAnsi="Palatino Linotype" w:cs="Calibri"/>
          <w:sz w:val="18"/>
          <w:szCs w:val="18"/>
          <w:lang w:val="en-US"/>
        </w:rPr>
        <w:t xml:space="preserve">-PALYCZ: </w:t>
      </w:r>
      <w:proofErr w:type="spellStart"/>
      <w:r>
        <w:rPr>
          <w:rFonts w:ascii="Palatino Linotype" w:hAnsi="Palatino Linotype" w:cs="Calibri"/>
          <w:sz w:val="18"/>
          <w:szCs w:val="18"/>
          <w:lang w:val="en-US"/>
        </w:rPr>
        <w:t>Přehled</w:t>
      </w:r>
      <w:proofErr w:type="spellEnd"/>
      <w:r>
        <w:rPr>
          <w:rFonts w:ascii="Palatino Linotype" w:hAnsi="Palatino Linotype" w:cs="Calibri"/>
          <w:sz w:val="18"/>
          <w:szCs w:val="18"/>
          <w:lang w:val="en-US"/>
        </w:rPr>
        <w:t xml:space="preserve"> a </w:t>
      </w:r>
      <w:proofErr w:type="spellStart"/>
      <w:r>
        <w:rPr>
          <w:rFonts w:ascii="Palatino Linotype" w:hAnsi="Palatino Linotype" w:cs="Calibri"/>
          <w:sz w:val="18"/>
          <w:szCs w:val="18"/>
          <w:lang w:val="en-US"/>
        </w:rPr>
        <w:t>Základní</w:t>
      </w:r>
      <w:proofErr w:type="spellEnd"/>
      <w:r>
        <w:rPr>
          <w:rFonts w:ascii="Palatino Linotype" w:hAnsi="Palatino Linotype" w:cs="Calibri"/>
          <w:sz w:val="18"/>
          <w:szCs w:val="18"/>
          <w:lang w:val="en-US"/>
        </w:rPr>
        <w:t xml:space="preserve"> </w:t>
      </w:r>
      <w:proofErr w:type="spellStart"/>
      <w:r>
        <w:rPr>
          <w:rFonts w:ascii="Palatino Linotype" w:hAnsi="Palatino Linotype" w:cs="Calibri"/>
          <w:sz w:val="18"/>
          <w:szCs w:val="18"/>
          <w:lang w:val="en-US"/>
        </w:rPr>
        <w:t>Statistika</w:t>
      </w:r>
      <w:proofErr w:type="spellEnd"/>
      <w:r>
        <w:rPr>
          <w:rFonts w:ascii="Palatino Linotype" w:hAnsi="Palatino Linotype" w:cs="Calibri"/>
          <w:sz w:val="18"/>
          <w:szCs w:val="18"/>
          <w:lang w:val="en-US"/>
        </w:rPr>
        <w:t xml:space="preserve">. </w:t>
      </w:r>
      <w:proofErr w:type="spellStart"/>
      <w:r>
        <w:rPr>
          <w:rFonts w:ascii="Palatino Linotype" w:hAnsi="Palatino Linotype" w:cs="Calibri"/>
          <w:i/>
          <w:iCs/>
          <w:sz w:val="18"/>
          <w:szCs w:val="18"/>
        </w:rPr>
        <w:t>Preslia</w:t>
      </w:r>
      <w:proofErr w:type="spellEnd"/>
      <w:r>
        <w:rPr>
          <w:rFonts w:ascii="Palatino Linotype" w:hAnsi="Palatino Linotype" w:cs="Calibri"/>
          <w:sz w:val="18"/>
          <w:szCs w:val="18"/>
        </w:rPr>
        <w:t xml:space="preserve"> </w:t>
      </w:r>
      <w:r>
        <w:rPr>
          <w:rFonts w:ascii="Palatino Linotype" w:hAnsi="Palatino Linotype" w:cs="Calibri"/>
          <w:b/>
          <w:bCs/>
          <w:sz w:val="18"/>
          <w:szCs w:val="18"/>
        </w:rPr>
        <w:t>2009</w:t>
      </w:r>
      <w:r>
        <w:rPr>
          <w:rFonts w:ascii="Palatino Linotype" w:hAnsi="Palatino Linotype" w:cs="Calibri"/>
          <w:bCs/>
          <w:sz w:val="18"/>
          <w:szCs w:val="18"/>
        </w:rPr>
        <w:t xml:space="preserve">, </w:t>
      </w:r>
      <w:r>
        <w:rPr>
          <w:rFonts w:ascii="Palatino Linotype" w:hAnsi="Palatino Linotype" w:cs="Calibri"/>
          <w:bCs/>
          <w:i/>
          <w:sz w:val="18"/>
          <w:szCs w:val="18"/>
        </w:rPr>
        <w:t>81</w:t>
      </w:r>
      <w:r>
        <w:rPr>
          <w:rFonts w:ascii="Palatino Linotype" w:hAnsi="Palatino Linotype" w:cs="Calibri"/>
          <w:bCs/>
          <w:sz w:val="18"/>
          <w:szCs w:val="18"/>
        </w:rPr>
        <w:t>, 209–238</w:t>
      </w:r>
      <w:r>
        <w:rPr>
          <w:rFonts w:ascii="Palatino Linotype" w:hAnsi="Palatino Linotype" w:cs="Calibri"/>
          <w:sz w:val="18"/>
          <w:szCs w:val="18"/>
        </w:rPr>
        <w:t>.</w:t>
      </w:r>
    </w:p>
    <w:p w14:paraId="0B675C1C"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rPr>
        <w:lastRenderedPageBreak/>
        <w:t>Lerigoleur</w:t>
      </w:r>
      <w:proofErr w:type="spellEnd"/>
      <w:r>
        <w:rPr>
          <w:rFonts w:ascii="Palatino Linotype" w:hAnsi="Palatino Linotype" w:cs="Calibri"/>
          <w:sz w:val="18"/>
          <w:szCs w:val="18"/>
        </w:rPr>
        <w:t xml:space="preserve">, </w:t>
      </w:r>
      <w:proofErr w:type="gramStart"/>
      <w:r>
        <w:rPr>
          <w:rFonts w:ascii="Palatino Linotype" w:hAnsi="Palatino Linotype" w:cs="Calibri"/>
          <w:sz w:val="18"/>
          <w:szCs w:val="18"/>
        </w:rPr>
        <w:t>E.;</w:t>
      </w:r>
      <w:proofErr w:type="gramEnd"/>
      <w:r>
        <w:rPr>
          <w:rFonts w:ascii="Palatino Linotype" w:hAnsi="Palatino Linotype" w:cs="Calibri"/>
          <w:sz w:val="18"/>
          <w:szCs w:val="18"/>
        </w:rPr>
        <w:t xml:space="preserve"> </w:t>
      </w:r>
      <w:proofErr w:type="spellStart"/>
      <w:r>
        <w:rPr>
          <w:rFonts w:ascii="Palatino Linotype" w:hAnsi="Palatino Linotype" w:cs="Calibri"/>
          <w:sz w:val="18"/>
          <w:szCs w:val="18"/>
        </w:rPr>
        <w:t>Mazier</w:t>
      </w:r>
      <w:proofErr w:type="spellEnd"/>
      <w:r>
        <w:rPr>
          <w:rFonts w:ascii="Palatino Linotype" w:hAnsi="Palatino Linotype" w:cs="Calibri"/>
          <w:sz w:val="18"/>
          <w:szCs w:val="18"/>
        </w:rPr>
        <w:t xml:space="preserve">, F.; </w:t>
      </w:r>
      <w:proofErr w:type="spellStart"/>
      <w:r>
        <w:rPr>
          <w:rFonts w:ascii="Palatino Linotype" w:hAnsi="Palatino Linotype" w:cs="Calibri"/>
          <w:sz w:val="18"/>
          <w:szCs w:val="18"/>
        </w:rPr>
        <w:t>Jégou</w:t>
      </w:r>
      <w:proofErr w:type="spellEnd"/>
      <w:r>
        <w:rPr>
          <w:rFonts w:ascii="Palatino Linotype" w:hAnsi="Palatino Linotype" w:cs="Calibri"/>
          <w:sz w:val="18"/>
          <w:szCs w:val="18"/>
        </w:rPr>
        <w:t>, L.; Perret, M.; Galop, D. PALEOPYR</w:t>
      </w:r>
      <w:r>
        <w:rPr>
          <w:rFonts w:ascii="Times New Roman" w:hAnsi="Times New Roman" w:cs="Times New Roman"/>
          <w:sz w:val="18"/>
          <w:szCs w:val="18"/>
        </w:rPr>
        <w:t> </w:t>
      </w:r>
      <w:r>
        <w:rPr>
          <w:rFonts w:ascii="Palatino Linotype" w:hAnsi="Palatino Linotype" w:cs="Calibri"/>
          <w:sz w:val="18"/>
          <w:szCs w:val="18"/>
        </w:rPr>
        <w:t>: Un Syst</w:t>
      </w:r>
      <w:r>
        <w:rPr>
          <w:rFonts w:ascii="Palatino Linotype" w:hAnsi="Palatino Linotype" w:cs="Palatino Linotype"/>
          <w:sz w:val="18"/>
          <w:szCs w:val="18"/>
        </w:rPr>
        <w:t>è</w:t>
      </w:r>
      <w:r>
        <w:rPr>
          <w:rFonts w:ascii="Palatino Linotype" w:hAnsi="Palatino Linotype" w:cs="Calibri"/>
          <w:sz w:val="18"/>
          <w:szCs w:val="18"/>
        </w:rPr>
        <w:t>me d</w:t>
      </w:r>
      <w:r>
        <w:rPr>
          <w:rFonts w:ascii="Palatino Linotype" w:hAnsi="Palatino Linotype" w:cs="Palatino Linotype"/>
          <w:sz w:val="18"/>
          <w:szCs w:val="18"/>
        </w:rPr>
        <w:t>’</w:t>
      </w:r>
      <w:r>
        <w:rPr>
          <w:rFonts w:ascii="Palatino Linotype" w:hAnsi="Palatino Linotype" w:cs="Calibri"/>
          <w:sz w:val="18"/>
          <w:szCs w:val="18"/>
        </w:rPr>
        <w:t xml:space="preserve">information Pour Les Données </w:t>
      </w:r>
      <w:proofErr w:type="spellStart"/>
      <w:r>
        <w:rPr>
          <w:rFonts w:ascii="Palatino Linotype" w:hAnsi="Palatino Linotype" w:cs="Calibri"/>
          <w:sz w:val="18"/>
          <w:szCs w:val="18"/>
        </w:rPr>
        <w:t>Paléoenvironnementales</w:t>
      </w:r>
      <w:proofErr w:type="spellEnd"/>
      <w:r>
        <w:rPr>
          <w:rFonts w:ascii="Palatino Linotype" w:hAnsi="Palatino Linotype" w:cs="Calibri"/>
          <w:sz w:val="18"/>
          <w:szCs w:val="18"/>
        </w:rPr>
        <w:t xml:space="preserve"> Nord-Pyrénéennes. </w:t>
      </w:r>
      <w:proofErr w:type="spellStart"/>
      <w:r>
        <w:rPr>
          <w:rFonts w:ascii="Palatino Linotype" w:hAnsi="Palatino Linotype"/>
          <w:i/>
          <w:iCs/>
          <w:sz w:val="18"/>
          <w:szCs w:val="18"/>
        </w:rPr>
        <w:t>Ingéniérie</w:t>
      </w:r>
      <w:proofErr w:type="spellEnd"/>
      <w:r>
        <w:rPr>
          <w:rFonts w:ascii="Palatino Linotype" w:hAnsi="Palatino Linotype"/>
          <w:i/>
          <w:iCs/>
          <w:sz w:val="18"/>
          <w:szCs w:val="18"/>
        </w:rPr>
        <w:t xml:space="preserve"> Des Systèmes D'information </w:t>
      </w:r>
      <w:r>
        <w:rPr>
          <w:rFonts w:ascii="Palatino Linotype" w:hAnsi="Palatino Linotype"/>
          <w:b/>
          <w:bCs/>
          <w:sz w:val="18"/>
          <w:szCs w:val="18"/>
        </w:rPr>
        <w:t>2015</w:t>
      </w:r>
      <w:r>
        <w:rPr>
          <w:rFonts w:ascii="Palatino Linotype" w:hAnsi="Palatino Linotype"/>
          <w:bCs/>
          <w:sz w:val="18"/>
          <w:szCs w:val="18"/>
        </w:rPr>
        <w:t xml:space="preserve">, </w:t>
      </w:r>
      <w:r>
        <w:rPr>
          <w:rFonts w:ascii="Palatino Linotype" w:hAnsi="Palatino Linotype"/>
          <w:bCs/>
          <w:i/>
          <w:sz w:val="18"/>
          <w:szCs w:val="18"/>
        </w:rPr>
        <w:t>20</w:t>
      </w:r>
      <w:r>
        <w:rPr>
          <w:rFonts w:ascii="Palatino Linotype" w:hAnsi="Palatino Linotype"/>
          <w:bCs/>
          <w:sz w:val="18"/>
          <w:szCs w:val="18"/>
        </w:rPr>
        <w:t>, 63–87</w:t>
      </w:r>
      <w:r>
        <w:rPr>
          <w:rFonts w:ascii="Palatino Linotype" w:hAnsi="Palatino Linotype"/>
          <w:sz w:val="18"/>
          <w:szCs w:val="18"/>
        </w:rPr>
        <w:t xml:space="preserve">. </w:t>
      </w:r>
      <w:r>
        <w:rPr>
          <w:rFonts w:ascii="Palatino Linotype" w:hAnsi="Palatino Linotype" w:cs="Calibri"/>
          <w:sz w:val="18"/>
          <w:szCs w:val="18"/>
        </w:rPr>
        <w:t>https://doi.org/10.3166/ISI.20.3.63-87.</w:t>
      </w:r>
    </w:p>
    <w:p w14:paraId="17454E6E"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rPr>
        <w:t>Marinova</w:t>
      </w:r>
      <w:proofErr w:type="spellEnd"/>
      <w:r>
        <w:rPr>
          <w:rFonts w:ascii="Palatino Linotype" w:hAnsi="Palatino Linotype" w:cs="Calibri"/>
          <w:sz w:val="18"/>
          <w:szCs w:val="18"/>
        </w:rPr>
        <w:t xml:space="preserve">, </w:t>
      </w:r>
      <w:proofErr w:type="gramStart"/>
      <w:r>
        <w:rPr>
          <w:rFonts w:ascii="Palatino Linotype" w:hAnsi="Palatino Linotype" w:cs="Calibri"/>
          <w:sz w:val="18"/>
          <w:szCs w:val="18"/>
        </w:rPr>
        <w:t>E.;</w:t>
      </w:r>
      <w:proofErr w:type="gramEnd"/>
      <w:r>
        <w:rPr>
          <w:rFonts w:ascii="Palatino Linotype" w:hAnsi="Palatino Linotype" w:cs="Calibri"/>
          <w:sz w:val="18"/>
          <w:szCs w:val="18"/>
        </w:rPr>
        <w:t xml:space="preserve"> Harrison, S.P.; Bragg, F.; Connor, S.; De </w:t>
      </w:r>
      <w:proofErr w:type="spellStart"/>
      <w:r>
        <w:rPr>
          <w:rFonts w:ascii="Palatino Linotype" w:hAnsi="Palatino Linotype" w:cs="Calibri"/>
          <w:sz w:val="18"/>
          <w:szCs w:val="18"/>
        </w:rPr>
        <w:t>Laet</w:t>
      </w:r>
      <w:proofErr w:type="spellEnd"/>
      <w:r>
        <w:rPr>
          <w:rFonts w:ascii="Palatino Linotype" w:hAnsi="Palatino Linotype" w:cs="Calibri"/>
          <w:sz w:val="18"/>
          <w:szCs w:val="18"/>
        </w:rPr>
        <w:t xml:space="preserve">, V.; Leroy, S.A.; </w:t>
      </w:r>
      <w:proofErr w:type="spellStart"/>
      <w:r>
        <w:rPr>
          <w:rFonts w:ascii="Palatino Linotype" w:hAnsi="Palatino Linotype" w:cs="Calibri"/>
          <w:sz w:val="18"/>
          <w:szCs w:val="18"/>
        </w:rPr>
        <w:t>Mudie</w:t>
      </w:r>
      <w:proofErr w:type="spellEnd"/>
      <w:r>
        <w:rPr>
          <w:rFonts w:ascii="Palatino Linotype" w:hAnsi="Palatino Linotype" w:cs="Calibri"/>
          <w:sz w:val="18"/>
          <w:szCs w:val="18"/>
        </w:rPr>
        <w:t xml:space="preserve">, P.; </w:t>
      </w:r>
      <w:proofErr w:type="spellStart"/>
      <w:r>
        <w:rPr>
          <w:rFonts w:ascii="Palatino Linotype" w:hAnsi="Palatino Linotype" w:cs="Calibri"/>
          <w:sz w:val="18"/>
          <w:szCs w:val="18"/>
        </w:rPr>
        <w:t>Atanassova</w:t>
      </w:r>
      <w:proofErr w:type="spellEnd"/>
      <w:r>
        <w:rPr>
          <w:rFonts w:ascii="Palatino Linotype" w:hAnsi="Palatino Linotype" w:cs="Calibri"/>
          <w:sz w:val="18"/>
          <w:szCs w:val="18"/>
        </w:rPr>
        <w:t xml:space="preserve">, J.; </w:t>
      </w:r>
      <w:proofErr w:type="spellStart"/>
      <w:r>
        <w:rPr>
          <w:rFonts w:ascii="Palatino Linotype" w:hAnsi="Palatino Linotype" w:cs="Calibri"/>
          <w:sz w:val="18"/>
          <w:szCs w:val="18"/>
        </w:rPr>
        <w:t>Bozilova</w:t>
      </w:r>
      <w:proofErr w:type="spellEnd"/>
      <w:r>
        <w:rPr>
          <w:rFonts w:ascii="Palatino Linotype" w:hAnsi="Palatino Linotype" w:cs="Calibri"/>
          <w:sz w:val="18"/>
          <w:szCs w:val="18"/>
        </w:rPr>
        <w:t>, E.; Caner, H.; et al</w:t>
      </w:r>
      <w:r>
        <w:rPr>
          <w:rFonts w:ascii="Palatino Linotype" w:hAnsi="Palatino Linotype" w:cs="Calibri"/>
          <w:sz w:val="18"/>
          <w:szCs w:val="18"/>
          <w:lang w:val="sv-SE"/>
        </w:rPr>
        <w:t xml:space="preserve">. </w:t>
      </w:r>
      <w:r>
        <w:rPr>
          <w:rFonts w:ascii="Palatino Linotype" w:hAnsi="Palatino Linotype" w:cs="Calibri"/>
          <w:sz w:val="18"/>
          <w:szCs w:val="18"/>
          <w:lang w:val="en-US"/>
        </w:rPr>
        <w:t xml:space="preserve">Pollen-derived biomes in the eastern Mediterranean–Black Sea–Caspian-corridor. </w:t>
      </w:r>
      <w:r>
        <w:rPr>
          <w:rFonts w:ascii="Palatino Linotype" w:hAnsi="Palatino Linotype" w:cs="Calibri"/>
          <w:i/>
          <w:sz w:val="18"/>
          <w:szCs w:val="18"/>
          <w:lang w:val="en-US"/>
        </w:rPr>
        <w:t xml:space="preserve">J. </w:t>
      </w:r>
      <w:proofErr w:type="spellStart"/>
      <w:r>
        <w:rPr>
          <w:rFonts w:ascii="Palatino Linotype" w:hAnsi="Palatino Linotype" w:cs="Calibri"/>
          <w:i/>
          <w:sz w:val="18"/>
          <w:szCs w:val="18"/>
          <w:lang w:val="en-US"/>
        </w:rPr>
        <w:t>Biogeogr</w:t>
      </w:r>
      <w:proofErr w:type="spellEnd"/>
      <w:r>
        <w:rPr>
          <w:rFonts w:ascii="Palatino Linotype" w:hAnsi="Palatino Linotype" w:cs="Calibri"/>
          <w:i/>
          <w:sz w:val="18"/>
          <w:szCs w:val="18"/>
          <w:lang w:val="en-US"/>
        </w:rPr>
        <w:t xml:space="preserve">. </w:t>
      </w:r>
      <w:r>
        <w:rPr>
          <w:rFonts w:ascii="Palatino Linotype" w:hAnsi="Palatino Linotype" w:cs="Calibri"/>
          <w:b/>
          <w:sz w:val="18"/>
          <w:szCs w:val="18"/>
          <w:lang w:val="en-US"/>
        </w:rPr>
        <w:t>2018</w:t>
      </w:r>
      <w:r>
        <w:rPr>
          <w:rFonts w:ascii="Palatino Linotype" w:hAnsi="Palatino Linotype" w:cs="Calibri"/>
          <w:sz w:val="18"/>
          <w:szCs w:val="18"/>
          <w:lang w:val="en-US"/>
        </w:rPr>
        <w:t xml:space="preserve">, </w:t>
      </w:r>
      <w:r>
        <w:rPr>
          <w:rFonts w:ascii="Palatino Linotype" w:hAnsi="Palatino Linotype" w:cs="Calibri"/>
          <w:i/>
          <w:sz w:val="18"/>
          <w:szCs w:val="18"/>
          <w:lang w:val="en-US"/>
        </w:rPr>
        <w:t>45</w:t>
      </w:r>
      <w:r>
        <w:rPr>
          <w:rFonts w:ascii="Palatino Linotype" w:hAnsi="Palatino Linotype" w:cs="Calibri"/>
          <w:sz w:val="18"/>
          <w:szCs w:val="18"/>
          <w:lang w:val="en-US"/>
        </w:rPr>
        <w:t>, 484-499.</w:t>
      </w:r>
    </w:p>
    <w:p w14:paraId="58DE8489"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Goring, S.; Dawson, A.; Simpson, G.L.; Ram, K.; Graham, R.W.; Grimm, E.C.; Williams, J.W. Neotoma: A Programmatic Interface to the Neotoma </w:t>
      </w:r>
      <w:proofErr w:type="spellStart"/>
      <w:r>
        <w:rPr>
          <w:rFonts w:ascii="Palatino Linotype" w:hAnsi="Palatino Linotype" w:cs="Calibri"/>
          <w:sz w:val="18"/>
          <w:szCs w:val="18"/>
          <w:lang w:val="en-US"/>
        </w:rPr>
        <w:t>Paleoecological</w:t>
      </w:r>
      <w:proofErr w:type="spellEnd"/>
      <w:r>
        <w:rPr>
          <w:rFonts w:ascii="Palatino Linotype" w:hAnsi="Palatino Linotype" w:cs="Calibri"/>
          <w:sz w:val="18"/>
          <w:szCs w:val="18"/>
          <w:lang w:val="en-US"/>
        </w:rPr>
        <w:t xml:space="preserve"> Database. </w:t>
      </w:r>
      <w:r>
        <w:rPr>
          <w:rFonts w:ascii="Palatino Linotype" w:hAnsi="Palatino Linotype" w:cs="Calibri"/>
          <w:i/>
          <w:iCs/>
          <w:sz w:val="18"/>
          <w:szCs w:val="18"/>
          <w:lang w:val="en-US"/>
        </w:rPr>
        <w:t>Open Quat.</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2015</w:t>
      </w:r>
      <w:r>
        <w:rPr>
          <w:rFonts w:ascii="Palatino Linotype" w:hAnsi="Palatino Linotype" w:cs="Calibri"/>
          <w:sz w:val="18"/>
          <w:szCs w:val="18"/>
          <w:lang w:val="en-US"/>
        </w:rPr>
        <w:t xml:space="preserve">, </w:t>
      </w:r>
      <w:r>
        <w:rPr>
          <w:rFonts w:ascii="Palatino Linotype" w:hAnsi="Palatino Linotype" w:cs="Calibri"/>
          <w:i/>
          <w:sz w:val="18"/>
          <w:szCs w:val="18"/>
          <w:lang w:val="en-US"/>
        </w:rPr>
        <w:t>1</w:t>
      </w:r>
      <w:r>
        <w:rPr>
          <w:rFonts w:ascii="Palatino Linotype" w:hAnsi="Palatino Linotype" w:cs="Calibri"/>
          <w:sz w:val="18"/>
          <w:szCs w:val="18"/>
          <w:lang w:val="en-US"/>
        </w:rPr>
        <w:t>, 2. https://doi.org/10.5334/OQ.AB/METRICS/.</w:t>
      </w:r>
    </w:p>
    <w:p w14:paraId="6B8F6CE9"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sv-SE"/>
        </w:rPr>
      </w:pPr>
      <w:proofErr w:type="spellStart"/>
      <w:r>
        <w:rPr>
          <w:rFonts w:ascii="Palatino Linotype" w:hAnsi="Palatino Linotype" w:cs="Calibri"/>
          <w:sz w:val="18"/>
          <w:szCs w:val="18"/>
          <w:lang w:val="en-US"/>
        </w:rPr>
        <w:t>Blaauw</w:t>
      </w:r>
      <w:proofErr w:type="spellEnd"/>
      <w:r>
        <w:rPr>
          <w:rFonts w:ascii="Palatino Linotype" w:hAnsi="Palatino Linotype" w:cs="Calibri"/>
          <w:sz w:val="18"/>
          <w:szCs w:val="18"/>
          <w:lang w:val="en-US"/>
        </w:rPr>
        <w:t xml:space="preserve">, M. </w:t>
      </w:r>
      <w:proofErr w:type="gramStart"/>
      <w:r>
        <w:rPr>
          <w:rFonts w:ascii="Palatino Linotype" w:hAnsi="Palatino Linotype" w:cs="Calibri"/>
          <w:sz w:val="18"/>
          <w:szCs w:val="18"/>
          <w:lang w:val="en-US"/>
        </w:rPr>
        <w:t>Methods</w:t>
      </w:r>
      <w:proofErr w:type="gramEnd"/>
      <w:r>
        <w:rPr>
          <w:rFonts w:ascii="Palatino Linotype" w:hAnsi="Palatino Linotype" w:cs="Calibri"/>
          <w:sz w:val="18"/>
          <w:szCs w:val="18"/>
          <w:lang w:val="en-US"/>
        </w:rPr>
        <w:t xml:space="preserve"> and Code for “classical” Age-Modelling of Radiocarbon Sequences. </w:t>
      </w:r>
      <w:r>
        <w:rPr>
          <w:rFonts w:ascii="Palatino Linotype" w:hAnsi="Palatino Linotype" w:cs="Calibri"/>
          <w:i/>
          <w:iCs/>
          <w:sz w:val="18"/>
          <w:szCs w:val="18"/>
          <w:lang w:val="sv-SE"/>
        </w:rPr>
        <w:t>Quat. Geochronol.</w:t>
      </w:r>
      <w:r>
        <w:rPr>
          <w:rFonts w:ascii="Palatino Linotype" w:hAnsi="Palatino Linotype" w:cs="Calibri"/>
          <w:sz w:val="18"/>
          <w:szCs w:val="18"/>
          <w:lang w:val="sv-SE"/>
        </w:rPr>
        <w:t xml:space="preserve"> </w:t>
      </w:r>
      <w:r>
        <w:rPr>
          <w:rFonts w:ascii="Palatino Linotype" w:hAnsi="Palatino Linotype" w:cs="Calibri"/>
          <w:b/>
          <w:sz w:val="18"/>
          <w:szCs w:val="18"/>
          <w:lang w:val="sv-SE"/>
        </w:rPr>
        <w:t>2010</w:t>
      </w:r>
      <w:r>
        <w:rPr>
          <w:rFonts w:ascii="Palatino Linotype" w:hAnsi="Palatino Linotype" w:cs="Calibri"/>
          <w:sz w:val="18"/>
          <w:szCs w:val="18"/>
          <w:lang w:val="sv-SE"/>
        </w:rPr>
        <w:t xml:space="preserve">, </w:t>
      </w:r>
      <w:r>
        <w:rPr>
          <w:rFonts w:ascii="Palatino Linotype" w:hAnsi="Palatino Linotype" w:cs="Calibri"/>
          <w:i/>
          <w:sz w:val="18"/>
          <w:szCs w:val="18"/>
          <w:lang w:val="sv-SE"/>
        </w:rPr>
        <w:t>5</w:t>
      </w:r>
      <w:r>
        <w:rPr>
          <w:rFonts w:ascii="Palatino Linotype" w:hAnsi="Palatino Linotype" w:cs="Calibri"/>
          <w:sz w:val="18"/>
          <w:szCs w:val="18"/>
          <w:lang w:val="sv-SE"/>
        </w:rPr>
        <w:t>, 512–518. https://doi.org/10.1016/j.quageo.2010.01.002.</w:t>
      </w:r>
    </w:p>
    <w:p w14:paraId="78520B1F"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sv-SE"/>
        </w:rPr>
        <w:t xml:space="preserve">Hansen, M.C.; Potapov, P.V.; Moore, R.; Hancher, M.; Turubanova, S.A.; Tyukavina, A.; Thau, D.; Stehman, S.V.; Goetz, S.J.; Loveland, T.R.; et al. </w:t>
      </w:r>
      <w:r>
        <w:rPr>
          <w:rFonts w:ascii="Palatino Linotype" w:hAnsi="Palatino Linotype" w:cs="Calibri"/>
          <w:sz w:val="18"/>
          <w:szCs w:val="18"/>
          <w:lang w:val="en-US"/>
        </w:rPr>
        <w:t xml:space="preserve">High-Resolution Global Maps of 21st-Century Forest Cover Change. </w:t>
      </w:r>
      <w:r>
        <w:rPr>
          <w:rFonts w:ascii="Palatino Linotype" w:hAnsi="Palatino Linotype" w:cs="Calibri"/>
          <w:i/>
          <w:iCs/>
          <w:sz w:val="18"/>
          <w:szCs w:val="18"/>
        </w:rPr>
        <w:t xml:space="preserve">Science </w:t>
      </w:r>
      <w:r>
        <w:rPr>
          <w:rFonts w:ascii="Palatino Linotype" w:hAnsi="Palatino Linotype" w:cs="Calibri"/>
          <w:b/>
          <w:sz w:val="18"/>
          <w:szCs w:val="18"/>
        </w:rPr>
        <w:t>2013</w:t>
      </w:r>
      <w:r>
        <w:rPr>
          <w:rFonts w:ascii="Palatino Linotype" w:hAnsi="Palatino Linotype" w:cs="Calibri"/>
          <w:sz w:val="18"/>
          <w:szCs w:val="18"/>
        </w:rPr>
        <w:t xml:space="preserve">, </w:t>
      </w:r>
      <w:r>
        <w:rPr>
          <w:rFonts w:ascii="Palatino Linotype" w:hAnsi="Palatino Linotype" w:cs="Calibri"/>
          <w:i/>
          <w:sz w:val="18"/>
          <w:szCs w:val="18"/>
        </w:rPr>
        <w:t>342</w:t>
      </w:r>
      <w:r>
        <w:rPr>
          <w:rFonts w:ascii="Palatino Linotype" w:hAnsi="Palatino Linotype" w:cs="Calibri"/>
          <w:sz w:val="18"/>
          <w:szCs w:val="18"/>
        </w:rPr>
        <w:t>, 850–853. https://doi.org/10.1126/science.1244693.</w:t>
      </w:r>
    </w:p>
    <w:p w14:paraId="7E81946D"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Abraham, V.; </w:t>
      </w:r>
      <w:proofErr w:type="spellStart"/>
      <w:r>
        <w:rPr>
          <w:rFonts w:ascii="Palatino Linotype" w:hAnsi="Palatino Linotype" w:cs="Calibri"/>
          <w:sz w:val="18"/>
          <w:szCs w:val="18"/>
          <w:lang w:val="en-US"/>
        </w:rPr>
        <w:t>Oušková</w:t>
      </w:r>
      <w:proofErr w:type="spellEnd"/>
      <w:r>
        <w:rPr>
          <w:rFonts w:ascii="Palatino Linotype" w:hAnsi="Palatino Linotype" w:cs="Calibri"/>
          <w:sz w:val="18"/>
          <w:szCs w:val="18"/>
          <w:lang w:val="en-US"/>
        </w:rPr>
        <w:t xml:space="preserve">, V.; </w:t>
      </w:r>
      <w:proofErr w:type="spellStart"/>
      <w:r>
        <w:rPr>
          <w:rFonts w:ascii="Palatino Linotype" w:hAnsi="Palatino Linotype" w:cs="Calibri"/>
          <w:sz w:val="18"/>
          <w:szCs w:val="18"/>
          <w:lang w:val="en-US"/>
        </w:rPr>
        <w:t>Kuneš</w:t>
      </w:r>
      <w:proofErr w:type="spellEnd"/>
      <w:r>
        <w:rPr>
          <w:rFonts w:ascii="Palatino Linotype" w:hAnsi="Palatino Linotype" w:cs="Calibri"/>
          <w:sz w:val="18"/>
          <w:szCs w:val="18"/>
          <w:lang w:val="en-US"/>
        </w:rPr>
        <w:t xml:space="preserve">, P. Present-Day Vegetation Helps Quantifying Past Land Cover in Selected Regions of the Czech Republic. </w:t>
      </w:r>
      <w:proofErr w:type="spellStart"/>
      <w:r>
        <w:rPr>
          <w:rFonts w:ascii="Palatino Linotype" w:hAnsi="Palatino Linotype" w:cs="Calibri"/>
          <w:i/>
          <w:iCs/>
          <w:sz w:val="18"/>
          <w:szCs w:val="18"/>
          <w:lang w:val="en-US"/>
        </w:rPr>
        <w:t>PLoS</w:t>
      </w:r>
      <w:proofErr w:type="spellEnd"/>
      <w:r>
        <w:rPr>
          <w:rFonts w:ascii="Palatino Linotype" w:hAnsi="Palatino Linotype" w:cs="Calibri"/>
          <w:i/>
          <w:iCs/>
          <w:sz w:val="18"/>
          <w:szCs w:val="18"/>
          <w:lang w:val="en-US"/>
        </w:rPr>
        <w:t xml:space="preserve"> One</w:t>
      </w:r>
      <w:r>
        <w:rPr>
          <w:rFonts w:ascii="Palatino Linotype" w:hAnsi="Palatino Linotype" w:cs="Calibri"/>
          <w:sz w:val="18"/>
          <w:szCs w:val="18"/>
          <w:lang w:val="en-US"/>
        </w:rPr>
        <w:t xml:space="preserve"> </w:t>
      </w:r>
      <w:r>
        <w:rPr>
          <w:rFonts w:ascii="Palatino Linotype" w:hAnsi="Palatino Linotype" w:cs="Calibri"/>
          <w:b/>
          <w:sz w:val="18"/>
          <w:szCs w:val="18"/>
          <w:lang w:val="en-US"/>
        </w:rPr>
        <w:t>2014</w:t>
      </w:r>
      <w:r>
        <w:rPr>
          <w:rFonts w:ascii="Palatino Linotype" w:hAnsi="Palatino Linotype" w:cs="Calibri"/>
          <w:sz w:val="18"/>
          <w:szCs w:val="18"/>
          <w:lang w:val="en-US"/>
        </w:rPr>
        <w:t xml:space="preserve">, </w:t>
      </w:r>
      <w:r>
        <w:rPr>
          <w:rFonts w:ascii="Palatino Linotype" w:hAnsi="Palatino Linotype" w:cs="Calibri"/>
          <w:i/>
          <w:sz w:val="18"/>
          <w:szCs w:val="18"/>
          <w:lang w:val="en-US"/>
        </w:rPr>
        <w:t>9</w:t>
      </w:r>
      <w:r>
        <w:rPr>
          <w:rFonts w:ascii="Palatino Linotype" w:hAnsi="Palatino Linotype" w:cs="Calibri"/>
          <w:sz w:val="18"/>
          <w:szCs w:val="18"/>
          <w:lang w:val="en-US"/>
        </w:rPr>
        <w:t>, e100117. https://doi.org/10.1371/journal.pone.0100117.</w:t>
      </w:r>
    </w:p>
    <w:p w14:paraId="4C2816A7"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Stuart, A.; Ord, J.K. </w:t>
      </w:r>
      <w:r>
        <w:rPr>
          <w:rFonts w:ascii="Palatino Linotype" w:hAnsi="Palatino Linotype" w:cs="Calibri"/>
          <w:i/>
          <w:sz w:val="18"/>
          <w:szCs w:val="18"/>
          <w:lang w:val="en-US"/>
        </w:rPr>
        <w:t xml:space="preserve">Kendall’s Advanced Theory of Statistics, </w:t>
      </w:r>
      <w:proofErr w:type="spellStart"/>
      <w:r>
        <w:rPr>
          <w:rFonts w:ascii="Palatino Linotype" w:hAnsi="Palatino Linotype" w:cs="Calibri"/>
          <w:i/>
          <w:sz w:val="18"/>
          <w:szCs w:val="18"/>
          <w:lang w:val="en-US"/>
        </w:rPr>
        <w:t>Distrib</w:t>
      </w:r>
      <w:proofErr w:type="spellEnd"/>
      <w:r>
        <w:rPr>
          <w:rFonts w:ascii="Palatino Linotype" w:hAnsi="Palatino Linotype" w:cs="Calibri"/>
          <w:i/>
          <w:sz w:val="18"/>
          <w:szCs w:val="18"/>
          <w:lang w:val="en-US"/>
        </w:rPr>
        <w:t>. Theory, 1</w:t>
      </w:r>
      <w:r>
        <w:rPr>
          <w:rFonts w:ascii="Palatino Linotype" w:hAnsi="Palatino Linotype" w:cs="Calibri"/>
          <w:sz w:val="18"/>
          <w:szCs w:val="18"/>
          <w:lang w:val="en-US"/>
        </w:rPr>
        <w:t xml:space="preserve">; Scientific Research Publishing: 1994. Available online: https://ci.nii.ac.jp/naid/10004597057 (accessed on 2 July 2021). </w:t>
      </w:r>
    </w:p>
    <w:p w14:paraId="38F9E4A7"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Legendre, P.; Legendre, L. </w:t>
      </w:r>
      <w:r>
        <w:rPr>
          <w:rFonts w:ascii="Palatino Linotype" w:hAnsi="Palatino Linotype" w:cs="Calibri"/>
          <w:i/>
          <w:iCs/>
          <w:sz w:val="18"/>
          <w:szCs w:val="18"/>
          <w:lang w:val="en-US"/>
        </w:rPr>
        <w:t>Numerical Ecology</w:t>
      </w:r>
      <w:r>
        <w:rPr>
          <w:rFonts w:ascii="Palatino Linotype" w:hAnsi="Palatino Linotype" w:cs="Calibri"/>
          <w:iCs/>
          <w:sz w:val="18"/>
          <w:szCs w:val="18"/>
          <w:lang w:val="en-US"/>
        </w:rPr>
        <w:t xml:space="preserve">, 2nd </w:t>
      </w:r>
      <w:r>
        <w:rPr>
          <w:rFonts w:ascii="Palatino Linotype" w:hAnsi="Palatino Linotype" w:cs="Calibri"/>
          <w:sz w:val="18"/>
          <w:szCs w:val="18"/>
          <w:lang w:val="en-US"/>
        </w:rPr>
        <w:t>ed.; Elsevier: Amsterdam, The Netherlands, 1998.</w:t>
      </w:r>
    </w:p>
    <w:p w14:paraId="65C5A84B"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Harper, W.V. Reduced Major Axis Regression. </w:t>
      </w:r>
      <w:r>
        <w:rPr>
          <w:rFonts w:ascii="Palatino Linotype" w:hAnsi="Palatino Linotype" w:cstheme="minorHAnsi"/>
          <w:i/>
          <w:iCs/>
          <w:sz w:val="18"/>
          <w:szCs w:val="18"/>
          <w:lang w:val="en-US"/>
        </w:rPr>
        <w:t xml:space="preserve">Wiley </w:t>
      </w:r>
      <w:proofErr w:type="spellStart"/>
      <w:r>
        <w:rPr>
          <w:rFonts w:ascii="Palatino Linotype" w:hAnsi="Palatino Linotype" w:cstheme="minorHAnsi"/>
          <w:i/>
          <w:iCs/>
          <w:sz w:val="18"/>
          <w:szCs w:val="18"/>
          <w:lang w:val="en-US"/>
        </w:rPr>
        <w:t>StatsRef</w:t>
      </w:r>
      <w:proofErr w:type="spellEnd"/>
      <w:r>
        <w:rPr>
          <w:rFonts w:ascii="Palatino Linotype" w:hAnsi="Palatino Linotype" w:cstheme="minorHAnsi"/>
          <w:i/>
          <w:iCs/>
          <w:sz w:val="18"/>
          <w:szCs w:val="18"/>
          <w:lang w:val="en-US"/>
        </w:rPr>
        <w:t xml:space="preserve"> Stat. Ref. Online </w:t>
      </w:r>
      <w:r>
        <w:rPr>
          <w:rFonts w:ascii="Palatino Linotype" w:hAnsi="Palatino Linotype" w:cstheme="minorHAnsi"/>
          <w:b/>
          <w:bCs/>
          <w:sz w:val="18"/>
          <w:szCs w:val="18"/>
          <w:lang w:val="en-US"/>
        </w:rPr>
        <w:t>2016</w:t>
      </w:r>
      <w:r>
        <w:rPr>
          <w:rFonts w:ascii="Palatino Linotype" w:hAnsi="Palatino Linotype" w:cs="Calibri"/>
          <w:sz w:val="18"/>
          <w:szCs w:val="18"/>
          <w:lang w:val="en-US"/>
        </w:rPr>
        <w:t>, 1–6. https://doi.org/10.1002/9781118445112.stat07912.</w:t>
      </w:r>
    </w:p>
    <w:p w14:paraId="6AD625FA"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Woodbridge, J.; Fyfe, R.M.; Roberts, N. A Comparison of Remotely Sensed and Pollen-Based Approaches to Mapping Europe’s Land Cover. </w:t>
      </w:r>
      <w:r>
        <w:rPr>
          <w:rFonts w:ascii="Palatino Linotype" w:hAnsi="Palatino Linotype" w:cs="Calibri"/>
          <w:i/>
          <w:iCs/>
          <w:sz w:val="18"/>
          <w:szCs w:val="18"/>
          <w:lang w:val="en-US"/>
        </w:rPr>
        <w:t xml:space="preserve">J. </w:t>
      </w:r>
      <w:proofErr w:type="spellStart"/>
      <w:r>
        <w:rPr>
          <w:rFonts w:ascii="Palatino Linotype" w:hAnsi="Palatino Linotype" w:cs="Calibri"/>
          <w:i/>
          <w:iCs/>
          <w:sz w:val="18"/>
          <w:szCs w:val="18"/>
          <w:lang w:val="en-US"/>
        </w:rPr>
        <w:t>Biogeogr</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2014</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41</w:t>
      </w:r>
      <w:r>
        <w:rPr>
          <w:rFonts w:ascii="Palatino Linotype" w:hAnsi="Palatino Linotype" w:cs="Calibri"/>
          <w:bCs/>
          <w:sz w:val="18"/>
          <w:szCs w:val="18"/>
          <w:lang w:val="en-US"/>
        </w:rPr>
        <w:t>, 2080–2092</w:t>
      </w:r>
      <w:r>
        <w:rPr>
          <w:rFonts w:ascii="Palatino Linotype" w:hAnsi="Palatino Linotype" w:cs="Calibri"/>
          <w:sz w:val="18"/>
          <w:szCs w:val="18"/>
          <w:lang w:val="en-US"/>
        </w:rPr>
        <w:t>. https://doi.org/10.1111/JBI.12353.</w:t>
      </w:r>
    </w:p>
    <w:p w14:paraId="347BD4C4"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Bossard</w:t>
      </w:r>
      <w:proofErr w:type="spellEnd"/>
      <w:r>
        <w:rPr>
          <w:rFonts w:ascii="Palatino Linotype" w:hAnsi="Palatino Linotype" w:cs="Calibri"/>
          <w:sz w:val="18"/>
          <w:szCs w:val="18"/>
          <w:lang w:val="en-US"/>
        </w:rPr>
        <w:t xml:space="preserve">, M. </w:t>
      </w:r>
      <w:r>
        <w:rPr>
          <w:rFonts w:ascii="Palatino Linotype" w:hAnsi="Palatino Linotype" w:cs="Calibri"/>
          <w:i/>
          <w:iCs/>
          <w:sz w:val="18"/>
          <w:szCs w:val="18"/>
          <w:lang w:val="en-US"/>
        </w:rPr>
        <w:t>CLC2006 Technical Guidelines</w:t>
      </w:r>
      <w:r>
        <w:rPr>
          <w:rFonts w:ascii="Palatino Linotype" w:hAnsi="Palatino Linotype" w:cs="Calibri"/>
          <w:sz w:val="18"/>
          <w:szCs w:val="18"/>
          <w:lang w:val="en-US"/>
        </w:rPr>
        <w:t>; European Environment Agency: Copenhagen, Denmark, 2007.</w:t>
      </w:r>
    </w:p>
    <w:p w14:paraId="0D9E413E"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Kinnebrew</w:t>
      </w:r>
      <w:proofErr w:type="spellEnd"/>
      <w:r>
        <w:rPr>
          <w:rFonts w:ascii="Palatino Linotype" w:hAnsi="Palatino Linotype" w:cs="Calibri"/>
          <w:sz w:val="18"/>
          <w:szCs w:val="18"/>
          <w:lang w:val="en-US"/>
        </w:rPr>
        <w:t>, E.; Ochoa-Brito, J.I.; French, M.; Mills-</w:t>
      </w:r>
      <w:proofErr w:type="spellStart"/>
      <w:r>
        <w:rPr>
          <w:rFonts w:ascii="Palatino Linotype" w:hAnsi="Palatino Linotype" w:cs="Calibri"/>
          <w:sz w:val="18"/>
          <w:szCs w:val="18"/>
          <w:lang w:val="en-US"/>
        </w:rPr>
        <w:t>Novoa</w:t>
      </w:r>
      <w:proofErr w:type="spellEnd"/>
      <w:r>
        <w:rPr>
          <w:rFonts w:ascii="Palatino Linotype" w:hAnsi="Palatino Linotype" w:cs="Calibri"/>
          <w:sz w:val="18"/>
          <w:szCs w:val="18"/>
          <w:lang w:val="en-US"/>
        </w:rPr>
        <w:t xml:space="preserve">, M.; Shoffner, E.; Siegel, K. Biases and Limitations of Global Forest Change and Author-Generated Land Cover Maps in Detecting Deforestation in the Amazon. </w:t>
      </w:r>
      <w:proofErr w:type="spellStart"/>
      <w:r>
        <w:rPr>
          <w:rFonts w:ascii="Palatino Linotype" w:hAnsi="Palatino Linotype" w:cs="Calibri"/>
          <w:i/>
          <w:iCs/>
          <w:sz w:val="18"/>
          <w:szCs w:val="18"/>
          <w:lang w:val="en-US"/>
        </w:rPr>
        <w:t>PLoS</w:t>
      </w:r>
      <w:proofErr w:type="spellEnd"/>
      <w:r>
        <w:rPr>
          <w:rFonts w:ascii="Palatino Linotype" w:hAnsi="Palatino Linotype" w:cs="Calibri"/>
          <w:i/>
          <w:iCs/>
          <w:sz w:val="18"/>
          <w:szCs w:val="18"/>
          <w:lang w:val="en-US"/>
        </w:rPr>
        <w:t xml:space="preserve"> ONE</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2022</w:t>
      </w:r>
      <w:r>
        <w:rPr>
          <w:rFonts w:ascii="Palatino Linotype" w:hAnsi="Palatino Linotype" w:cs="Calibri"/>
          <w:sz w:val="18"/>
          <w:szCs w:val="18"/>
          <w:lang w:val="en-US"/>
        </w:rPr>
        <w:t xml:space="preserve">, </w:t>
      </w:r>
      <w:r>
        <w:rPr>
          <w:rFonts w:ascii="Palatino Linotype" w:hAnsi="Palatino Linotype" w:cs="Calibri"/>
          <w:i/>
          <w:sz w:val="18"/>
          <w:szCs w:val="18"/>
          <w:lang w:val="en-US"/>
        </w:rPr>
        <w:t>17</w:t>
      </w:r>
      <w:r>
        <w:rPr>
          <w:rFonts w:ascii="Palatino Linotype" w:hAnsi="Palatino Linotype" w:cs="Calibri"/>
          <w:sz w:val="18"/>
          <w:szCs w:val="18"/>
          <w:lang w:val="en-US"/>
        </w:rPr>
        <w:t>, e0268970. https://doi.org/10.1371/journal.pone.0268970.</w:t>
      </w:r>
    </w:p>
    <w:p w14:paraId="0B39996E"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Cunningham, D.; Cunningham, P.; Fagan, M.E. Identifying Biases in Global Tree Cover Products: A Case Study in Costa Rica. </w:t>
      </w:r>
      <w:r>
        <w:rPr>
          <w:rFonts w:ascii="Palatino Linotype" w:hAnsi="Palatino Linotype" w:cs="Calibri"/>
          <w:i/>
          <w:iCs/>
          <w:sz w:val="18"/>
          <w:szCs w:val="18"/>
          <w:lang w:val="en-US"/>
        </w:rPr>
        <w:t>Forests</w:t>
      </w:r>
      <w:r>
        <w:rPr>
          <w:rFonts w:ascii="Palatino Linotype" w:hAnsi="Palatino Linotype" w:cs="Calibri"/>
          <w:sz w:val="18"/>
          <w:szCs w:val="18"/>
          <w:lang w:val="en-US"/>
        </w:rPr>
        <w:t xml:space="preserve"> </w:t>
      </w:r>
      <w:r>
        <w:rPr>
          <w:rFonts w:ascii="Palatino Linotype" w:hAnsi="Palatino Linotype"/>
          <w:b/>
          <w:bCs/>
          <w:sz w:val="18"/>
          <w:szCs w:val="18"/>
          <w:lang w:val="en-US"/>
        </w:rPr>
        <w:t>2019</w:t>
      </w:r>
      <w:r>
        <w:rPr>
          <w:rFonts w:ascii="Palatino Linotype" w:hAnsi="Palatino Linotype"/>
          <w:bCs/>
          <w:sz w:val="18"/>
          <w:szCs w:val="18"/>
          <w:lang w:val="en-US"/>
        </w:rPr>
        <w:t xml:space="preserve">, </w:t>
      </w:r>
      <w:r>
        <w:rPr>
          <w:rFonts w:ascii="Palatino Linotype" w:hAnsi="Palatino Linotype"/>
          <w:bCs/>
          <w:i/>
          <w:sz w:val="18"/>
          <w:szCs w:val="18"/>
          <w:lang w:val="en-US"/>
        </w:rPr>
        <w:t>10</w:t>
      </w:r>
      <w:r>
        <w:rPr>
          <w:rFonts w:ascii="Palatino Linotype" w:hAnsi="Palatino Linotype"/>
          <w:bCs/>
          <w:sz w:val="18"/>
          <w:szCs w:val="18"/>
          <w:lang w:val="en-US"/>
        </w:rPr>
        <w:t>, 853</w:t>
      </w:r>
      <w:r>
        <w:rPr>
          <w:rFonts w:ascii="Palatino Linotype" w:hAnsi="Palatino Linotype" w:cs="Calibri"/>
          <w:sz w:val="18"/>
          <w:szCs w:val="18"/>
          <w:lang w:val="en-US"/>
        </w:rPr>
        <w:t>. https://doi.org/10.3390/f10100853.</w:t>
      </w:r>
    </w:p>
    <w:p w14:paraId="3BBFC363"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lang w:val="en-US"/>
        </w:rPr>
        <w:t>Tropek</w:t>
      </w:r>
      <w:proofErr w:type="spellEnd"/>
      <w:r>
        <w:rPr>
          <w:rFonts w:ascii="Palatino Linotype" w:hAnsi="Palatino Linotype" w:cs="Calibri"/>
          <w:sz w:val="18"/>
          <w:szCs w:val="18"/>
          <w:lang w:val="en-US"/>
        </w:rPr>
        <w:t xml:space="preserve">, R.; </w:t>
      </w:r>
      <w:proofErr w:type="spellStart"/>
      <w:r>
        <w:rPr>
          <w:rFonts w:ascii="Palatino Linotype" w:hAnsi="Palatino Linotype" w:cs="Calibri"/>
          <w:sz w:val="18"/>
          <w:szCs w:val="18"/>
          <w:lang w:val="en-US"/>
        </w:rPr>
        <w:t>Sedláček</w:t>
      </w:r>
      <w:proofErr w:type="spellEnd"/>
      <w:r>
        <w:rPr>
          <w:rFonts w:ascii="Palatino Linotype" w:hAnsi="Palatino Linotype" w:cs="Calibri"/>
          <w:sz w:val="18"/>
          <w:szCs w:val="18"/>
          <w:lang w:val="en-US"/>
        </w:rPr>
        <w:t xml:space="preserve">, O.; Beck, J.; Keil, P.; </w:t>
      </w:r>
      <w:proofErr w:type="spellStart"/>
      <w:r>
        <w:rPr>
          <w:rFonts w:ascii="Palatino Linotype" w:hAnsi="Palatino Linotype" w:cs="Calibri"/>
          <w:sz w:val="18"/>
          <w:szCs w:val="18"/>
          <w:lang w:val="en-US"/>
        </w:rPr>
        <w:t>Musilová</w:t>
      </w:r>
      <w:proofErr w:type="spellEnd"/>
      <w:r>
        <w:rPr>
          <w:rFonts w:ascii="Palatino Linotype" w:hAnsi="Palatino Linotype" w:cs="Calibri"/>
          <w:sz w:val="18"/>
          <w:szCs w:val="18"/>
          <w:lang w:val="en-US"/>
        </w:rPr>
        <w:t xml:space="preserve">, Z.; </w:t>
      </w:r>
      <w:proofErr w:type="spellStart"/>
      <w:r>
        <w:rPr>
          <w:rFonts w:ascii="Palatino Linotype" w:hAnsi="Palatino Linotype" w:cs="Calibri"/>
          <w:sz w:val="18"/>
          <w:szCs w:val="18"/>
          <w:lang w:val="en-US"/>
        </w:rPr>
        <w:t>Šímová</w:t>
      </w:r>
      <w:proofErr w:type="spellEnd"/>
      <w:r>
        <w:rPr>
          <w:rFonts w:ascii="Palatino Linotype" w:hAnsi="Palatino Linotype" w:cs="Calibri"/>
          <w:sz w:val="18"/>
          <w:szCs w:val="18"/>
          <w:lang w:val="en-US"/>
        </w:rPr>
        <w:t xml:space="preserve">, I.; Storch, D. Comment on “High-Resolution Global Maps of 21st-Century Forest Cover Change”. </w:t>
      </w:r>
      <w:r>
        <w:rPr>
          <w:rFonts w:ascii="Palatino Linotype" w:hAnsi="Palatino Linotype" w:cs="Calibri"/>
          <w:i/>
          <w:iCs/>
          <w:sz w:val="18"/>
          <w:szCs w:val="18"/>
        </w:rPr>
        <w:t xml:space="preserve">Science </w:t>
      </w:r>
      <w:r>
        <w:rPr>
          <w:rFonts w:ascii="Palatino Linotype" w:hAnsi="Palatino Linotype" w:cs="Calibri"/>
          <w:b/>
          <w:bCs/>
          <w:sz w:val="18"/>
          <w:szCs w:val="18"/>
        </w:rPr>
        <w:t>2014</w:t>
      </w:r>
      <w:r>
        <w:rPr>
          <w:rFonts w:ascii="Palatino Linotype" w:hAnsi="Palatino Linotype" w:cs="Calibri"/>
          <w:sz w:val="18"/>
          <w:szCs w:val="18"/>
        </w:rPr>
        <w:t xml:space="preserve">, </w:t>
      </w:r>
      <w:r>
        <w:rPr>
          <w:rFonts w:ascii="Palatino Linotype" w:hAnsi="Palatino Linotype" w:cs="Calibri"/>
          <w:i/>
          <w:sz w:val="18"/>
          <w:szCs w:val="18"/>
        </w:rPr>
        <w:t>344</w:t>
      </w:r>
      <w:r>
        <w:rPr>
          <w:rFonts w:ascii="Palatino Linotype" w:hAnsi="Palatino Linotype" w:cs="Calibri"/>
          <w:sz w:val="18"/>
          <w:szCs w:val="18"/>
        </w:rPr>
        <w:t>, 850–853. https://doi.org/10.1126/science.1248753.</w:t>
      </w:r>
    </w:p>
    <w:p w14:paraId="46B7902B"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Banskota</w:t>
      </w:r>
      <w:proofErr w:type="spellEnd"/>
      <w:r>
        <w:rPr>
          <w:rFonts w:ascii="Palatino Linotype" w:hAnsi="Palatino Linotype" w:cs="Calibri"/>
          <w:sz w:val="18"/>
          <w:szCs w:val="18"/>
          <w:lang w:val="en-US"/>
        </w:rPr>
        <w:t xml:space="preserve">, A.; </w:t>
      </w:r>
      <w:proofErr w:type="spellStart"/>
      <w:r>
        <w:rPr>
          <w:rFonts w:ascii="Palatino Linotype" w:hAnsi="Palatino Linotype" w:cs="Calibri"/>
          <w:sz w:val="18"/>
          <w:szCs w:val="18"/>
          <w:lang w:val="en-US"/>
        </w:rPr>
        <w:t>Kayastha</w:t>
      </w:r>
      <w:proofErr w:type="spellEnd"/>
      <w:r>
        <w:rPr>
          <w:rFonts w:ascii="Palatino Linotype" w:hAnsi="Palatino Linotype" w:cs="Calibri"/>
          <w:sz w:val="18"/>
          <w:szCs w:val="18"/>
          <w:lang w:val="en-US"/>
        </w:rPr>
        <w:t xml:space="preserve">, N.; </w:t>
      </w:r>
      <w:proofErr w:type="spellStart"/>
      <w:r>
        <w:rPr>
          <w:rFonts w:ascii="Palatino Linotype" w:hAnsi="Palatino Linotype" w:cs="Calibri"/>
          <w:sz w:val="18"/>
          <w:szCs w:val="18"/>
          <w:lang w:val="en-US"/>
        </w:rPr>
        <w:t>Falkowski</w:t>
      </w:r>
      <w:proofErr w:type="spellEnd"/>
      <w:r>
        <w:rPr>
          <w:rFonts w:ascii="Palatino Linotype" w:hAnsi="Palatino Linotype" w:cs="Calibri"/>
          <w:sz w:val="18"/>
          <w:szCs w:val="18"/>
          <w:lang w:val="en-US"/>
        </w:rPr>
        <w:t xml:space="preserve">, M.J.; </w:t>
      </w:r>
      <w:proofErr w:type="spellStart"/>
      <w:r>
        <w:rPr>
          <w:rFonts w:ascii="Palatino Linotype" w:hAnsi="Palatino Linotype" w:cs="Calibri"/>
          <w:sz w:val="18"/>
          <w:szCs w:val="18"/>
          <w:lang w:val="en-US"/>
        </w:rPr>
        <w:t>Wulder</w:t>
      </w:r>
      <w:proofErr w:type="spellEnd"/>
      <w:r>
        <w:rPr>
          <w:rFonts w:ascii="Palatino Linotype" w:hAnsi="Palatino Linotype" w:cs="Calibri"/>
          <w:sz w:val="18"/>
          <w:szCs w:val="18"/>
          <w:lang w:val="en-US"/>
        </w:rPr>
        <w:t xml:space="preserve">, M.A.; Froese, R.E.; White, J.C. Forest Monitoring Using Landsat Time Series Data: A Review. </w:t>
      </w:r>
      <w:r>
        <w:rPr>
          <w:rFonts w:ascii="Palatino Linotype" w:hAnsi="Palatino Linotype" w:cs="Calibri"/>
          <w:i/>
          <w:iCs/>
          <w:sz w:val="18"/>
          <w:szCs w:val="18"/>
          <w:lang w:val="en-US"/>
        </w:rPr>
        <w:t>Can. J. Remote Sens.</w:t>
      </w:r>
      <w:r>
        <w:rPr>
          <w:rFonts w:ascii="Palatino Linotype" w:hAnsi="Palatino Linotype" w:cs="Calibri"/>
          <w:sz w:val="18"/>
          <w:szCs w:val="18"/>
          <w:lang w:val="en-US"/>
        </w:rPr>
        <w:t xml:space="preserve"> </w:t>
      </w:r>
      <w:r>
        <w:rPr>
          <w:rFonts w:ascii="Palatino Linotype" w:hAnsi="Palatino Linotype" w:cs="Calibri"/>
          <w:b/>
          <w:sz w:val="18"/>
          <w:szCs w:val="18"/>
          <w:lang w:val="en-US"/>
        </w:rPr>
        <w:t>2014</w:t>
      </w:r>
      <w:r>
        <w:rPr>
          <w:rFonts w:ascii="Palatino Linotype" w:hAnsi="Palatino Linotype" w:cs="Calibri"/>
          <w:sz w:val="18"/>
          <w:szCs w:val="18"/>
          <w:lang w:val="en-US"/>
        </w:rPr>
        <w:t xml:space="preserve">, </w:t>
      </w:r>
      <w:r>
        <w:rPr>
          <w:rFonts w:ascii="Palatino Linotype" w:hAnsi="Palatino Linotype" w:cs="Calibri"/>
          <w:i/>
          <w:sz w:val="18"/>
          <w:szCs w:val="18"/>
          <w:lang w:val="en-US"/>
        </w:rPr>
        <w:t>40</w:t>
      </w:r>
      <w:r>
        <w:rPr>
          <w:rFonts w:ascii="Palatino Linotype" w:hAnsi="Palatino Linotype" w:cs="Calibri"/>
          <w:sz w:val="18"/>
          <w:szCs w:val="18"/>
          <w:lang w:val="en-US"/>
        </w:rPr>
        <w:t>, 362–384. https://doi.org/10.1080/07038992.2014.987376.</w:t>
      </w:r>
    </w:p>
    <w:p w14:paraId="0B22AE58"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Matthias, I.; Nielsen, A.B.; </w:t>
      </w:r>
      <w:proofErr w:type="spellStart"/>
      <w:r>
        <w:rPr>
          <w:rFonts w:ascii="Palatino Linotype" w:hAnsi="Palatino Linotype" w:cs="Calibri"/>
          <w:sz w:val="18"/>
          <w:szCs w:val="18"/>
          <w:lang w:val="en-US"/>
        </w:rPr>
        <w:t>Giesecke</w:t>
      </w:r>
      <w:proofErr w:type="spellEnd"/>
      <w:r>
        <w:rPr>
          <w:rFonts w:ascii="Palatino Linotype" w:hAnsi="Palatino Linotype" w:cs="Calibri"/>
          <w:sz w:val="18"/>
          <w:szCs w:val="18"/>
          <w:lang w:val="en-US"/>
        </w:rPr>
        <w:t xml:space="preserve">, T. Evaluating the Effect of Flowering Age and Forest Structure on Pollen Productivity Estimates. </w:t>
      </w:r>
      <w:r>
        <w:rPr>
          <w:rFonts w:ascii="Palatino Linotype" w:hAnsi="Palatino Linotype" w:cs="Calibri"/>
          <w:i/>
          <w:iCs/>
          <w:sz w:val="18"/>
          <w:szCs w:val="18"/>
          <w:lang w:val="en-US"/>
        </w:rPr>
        <w:t xml:space="preserve">Veg. Hist. </w:t>
      </w:r>
      <w:proofErr w:type="spellStart"/>
      <w:r>
        <w:rPr>
          <w:rFonts w:ascii="Palatino Linotype" w:hAnsi="Palatino Linotype" w:cs="Calibri"/>
          <w:i/>
          <w:iCs/>
          <w:sz w:val="18"/>
          <w:szCs w:val="18"/>
          <w:lang w:val="en-US"/>
        </w:rPr>
        <w:t>Archaeobot</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sz w:val="18"/>
          <w:szCs w:val="18"/>
          <w:lang w:val="en-US"/>
        </w:rPr>
        <w:t>2012</w:t>
      </w:r>
      <w:r>
        <w:rPr>
          <w:rFonts w:ascii="Palatino Linotype" w:hAnsi="Palatino Linotype" w:cs="Calibri"/>
          <w:sz w:val="18"/>
          <w:szCs w:val="18"/>
          <w:lang w:val="en-US"/>
        </w:rPr>
        <w:t xml:space="preserve">, </w:t>
      </w:r>
      <w:r>
        <w:rPr>
          <w:rFonts w:ascii="Palatino Linotype" w:hAnsi="Palatino Linotype" w:cs="Calibri"/>
          <w:i/>
          <w:sz w:val="18"/>
          <w:szCs w:val="18"/>
          <w:lang w:val="en-US"/>
        </w:rPr>
        <w:t>21</w:t>
      </w:r>
      <w:r>
        <w:rPr>
          <w:rFonts w:ascii="Palatino Linotype" w:hAnsi="Palatino Linotype" w:cs="Calibri"/>
          <w:sz w:val="18"/>
          <w:szCs w:val="18"/>
          <w:lang w:val="en-US"/>
        </w:rPr>
        <w:t>, 471–484. https://doi.org/10.1007/S00334-012-0373-Z/FIGURES/7.</w:t>
      </w:r>
    </w:p>
    <w:p w14:paraId="4C872EF3"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Coomes</w:t>
      </w:r>
      <w:proofErr w:type="spellEnd"/>
      <w:r>
        <w:rPr>
          <w:rFonts w:ascii="Palatino Linotype" w:hAnsi="Palatino Linotype" w:cs="Calibri"/>
          <w:sz w:val="18"/>
          <w:szCs w:val="18"/>
          <w:lang w:val="en-US"/>
        </w:rPr>
        <w:t xml:space="preserve">, D.A.; Allen, R.B. Effects of Size, Competition and Altitude on Tree Growth. </w:t>
      </w:r>
      <w:r>
        <w:rPr>
          <w:rFonts w:ascii="Palatino Linotype" w:hAnsi="Palatino Linotype" w:cs="Calibri"/>
          <w:i/>
          <w:iCs/>
          <w:sz w:val="18"/>
          <w:szCs w:val="18"/>
          <w:lang w:val="en-US"/>
        </w:rPr>
        <w:t>J. Ecol.</w:t>
      </w:r>
      <w:r>
        <w:rPr>
          <w:rFonts w:ascii="Palatino Linotype" w:hAnsi="Palatino Linotype" w:cs="Calibri"/>
          <w:sz w:val="18"/>
          <w:szCs w:val="18"/>
          <w:lang w:val="en-US"/>
        </w:rPr>
        <w:t xml:space="preserve"> </w:t>
      </w:r>
      <w:r>
        <w:rPr>
          <w:rFonts w:ascii="Palatino Linotype" w:hAnsi="Palatino Linotype" w:cs="Calibri"/>
          <w:b/>
          <w:sz w:val="18"/>
          <w:szCs w:val="18"/>
          <w:lang w:val="en-US"/>
        </w:rPr>
        <w:t>2007</w:t>
      </w:r>
      <w:r>
        <w:rPr>
          <w:rFonts w:ascii="Palatino Linotype" w:hAnsi="Palatino Linotype" w:cs="Calibri"/>
          <w:sz w:val="18"/>
          <w:szCs w:val="18"/>
          <w:lang w:val="en-US"/>
        </w:rPr>
        <w:t xml:space="preserve">, </w:t>
      </w:r>
      <w:r>
        <w:rPr>
          <w:rFonts w:ascii="Palatino Linotype" w:hAnsi="Palatino Linotype" w:cs="Calibri"/>
          <w:i/>
          <w:sz w:val="18"/>
          <w:szCs w:val="18"/>
          <w:lang w:val="en-US"/>
        </w:rPr>
        <w:t>95</w:t>
      </w:r>
      <w:r>
        <w:rPr>
          <w:rFonts w:ascii="Palatino Linotype" w:hAnsi="Palatino Linotype" w:cs="Calibri"/>
          <w:sz w:val="18"/>
          <w:szCs w:val="18"/>
          <w:lang w:val="en-US"/>
        </w:rPr>
        <w:t>, 1084–1097. https://doi.org/10.1111/J.1365-2745.2007.01280.X.</w:t>
      </w:r>
    </w:p>
    <w:p w14:paraId="7920F6F7"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Katz, D.S.W.; Morris, J.R.; Batterman, S.A. Pollen Production for 13 Urban North American Tree Species: Allometric Equations for Tree Trunk Diameter and Crown Area. </w:t>
      </w:r>
      <w:proofErr w:type="spellStart"/>
      <w:r>
        <w:rPr>
          <w:rFonts w:ascii="Palatino Linotype" w:hAnsi="Palatino Linotype" w:cs="Calibri"/>
          <w:i/>
          <w:iCs/>
          <w:sz w:val="18"/>
          <w:szCs w:val="18"/>
          <w:lang w:val="en-US"/>
        </w:rPr>
        <w:t>Aerobiologia</w:t>
      </w:r>
      <w:proofErr w:type="spellEnd"/>
      <w:r>
        <w:rPr>
          <w:rFonts w:ascii="Palatino Linotype" w:hAnsi="Palatino Linotype" w:cs="Calibri"/>
          <w:sz w:val="18"/>
          <w:szCs w:val="18"/>
          <w:lang w:val="en-US"/>
        </w:rPr>
        <w:t xml:space="preserve"> </w:t>
      </w:r>
      <w:r>
        <w:rPr>
          <w:rFonts w:ascii="Palatino Linotype" w:hAnsi="Palatino Linotype" w:cs="Calibri"/>
          <w:b/>
          <w:sz w:val="18"/>
          <w:szCs w:val="18"/>
          <w:lang w:val="en-US"/>
        </w:rPr>
        <w:t>2020</w:t>
      </w:r>
      <w:r>
        <w:rPr>
          <w:rFonts w:ascii="Palatino Linotype" w:hAnsi="Palatino Linotype" w:cs="Calibri"/>
          <w:sz w:val="18"/>
          <w:szCs w:val="18"/>
          <w:lang w:val="en-US"/>
        </w:rPr>
        <w:t xml:space="preserve">, </w:t>
      </w:r>
      <w:r>
        <w:rPr>
          <w:rFonts w:ascii="Palatino Linotype" w:hAnsi="Palatino Linotype" w:cs="Calibri"/>
          <w:i/>
          <w:sz w:val="18"/>
          <w:szCs w:val="18"/>
          <w:lang w:val="en-US"/>
        </w:rPr>
        <w:t>36</w:t>
      </w:r>
      <w:r>
        <w:rPr>
          <w:rFonts w:ascii="Palatino Linotype" w:hAnsi="Palatino Linotype" w:cs="Calibri"/>
          <w:sz w:val="18"/>
          <w:szCs w:val="18"/>
          <w:lang w:val="en-US"/>
        </w:rPr>
        <w:t>, 401–415. https://doi.org/10.1007/s10453-020-09638-8.</w:t>
      </w:r>
    </w:p>
    <w:p w14:paraId="00AF6802"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Hellman, S.E.V.; Gaillard, M.; </w:t>
      </w:r>
      <w:proofErr w:type="spellStart"/>
      <w:r>
        <w:rPr>
          <w:rFonts w:ascii="Palatino Linotype" w:hAnsi="Palatino Linotype" w:cs="Calibri"/>
          <w:sz w:val="18"/>
          <w:szCs w:val="18"/>
          <w:lang w:val="en-US"/>
        </w:rPr>
        <w:t>Broström</w:t>
      </w:r>
      <w:proofErr w:type="spellEnd"/>
      <w:r>
        <w:rPr>
          <w:rFonts w:ascii="Palatino Linotype" w:hAnsi="Palatino Linotype" w:cs="Calibri"/>
          <w:sz w:val="18"/>
          <w:szCs w:val="18"/>
          <w:lang w:val="en-US"/>
        </w:rPr>
        <w:t xml:space="preserve">, A.; Sugita, S. Effects of the Sampling Design and Selection of Parameter Values on Pollen-Based Quantitative Reconstructions of Regional Vegetation: A Case Study in Southern Sweden Using the REVEALS Model. </w:t>
      </w:r>
      <w:r>
        <w:rPr>
          <w:rFonts w:ascii="Palatino Linotype" w:hAnsi="Palatino Linotype" w:cs="Calibri"/>
          <w:i/>
          <w:iCs/>
          <w:sz w:val="18"/>
          <w:szCs w:val="18"/>
          <w:lang w:val="en-US"/>
        </w:rPr>
        <w:t xml:space="preserve">Veg. Hist. </w:t>
      </w:r>
      <w:proofErr w:type="spellStart"/>
      <w:r>
        <w:rPr>
          <w:rFonts w:ascii="Palatino Linotype" w:hAnsi="Palatino Linotype" w:cs="Calibri"/>
          <w:i/>
          <w:iCs/>
          <w:sz w:val="18"/>
          <w:szCs w:val="18"/>
          <w:lang w:val="en-US"/>
        </w:rPr>
        <w:t>Archaeobot</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sz w:val="18"/>
          <w:szCs w:val="18"/>
          <w:lang w:val="en-US"/>
        </w:rPr>
        <w:t>2008</w:t>
      </w:r>
      <w:r>
        <w:rPr>
          <w:rFonts w:ascii="Palatino Linotype" w:hAnsi="Palatino Linotype" w:cs="Calibri"/>
          <w:sz w:val="18"/>
          <w:szCs w:val="18"/>
          <w:lang w:val="en-US"/>
        </w:rPr>
        <w:t xml:space="preserve">, </w:t>
      </w:r>
      <w:r>
        <w:rPr>
          <w:rFonts w:ascii="Palatino Linotype" w:hAnsi="Palatino Linotype" w:cs="Calibri"/>
          <w:i/>
          <w:sz w:val="18"/>
          <w:szCs w:val="18"/>
          <w:lang w:val="en-US"/>
        </w:rPr>
        <w:t>17</w:t>
      </w:r>
      <w:r>
        <w:rPr>
          <w:rFonts w:ascii="Palatino Linotype" w:hAnsi="Palatino Linotype" w:cs="Calibri"/>
          <w:sz w:val="18"/>
          <w:szCs w:val="18"/>
          <w:lang w:val="en-US"/>
        </w:rPr>
        <w:t>, 445–459. https://doi.org/10.1007/s00334-008-0149-7.</w:t>
      </w:r>
    </w:p>
    <w:p w14:paraId="6435B505"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Hellman, S.; Gaillard, M.-J.; </w:t>
      </w:r>
      <w:proofErr w:type="spellStart"/>
      <w:r>
        <w:rPr>
          <w:rFonts w:ascii="Palatino Linotype" w:hAnsi="Palatino Linotype" w:cs="Calibri"/>
          <w:sz w:val="18"/>
          <w:szCs w:val="18"/>
          <w:lang w:val="en-US"/>
        </w:rPr>
        <w:t>Broström</w:t>
      </w:r>
      <w:proofErr w:type="spellEnd"/>
      <w:r>
        <w:rPr>
          <w:rFonts w:ascii="Palatino Linotype" w:hAnsi="Palatino Linotype" w:cs="Calibri"/>
          <w:sz w:val="18"/>
          <w:szCs w:val="18"/>
          <w:lang w:val="en-US"/>
        </w:rPr>
        <w:t xml:space="preserve">, A.; Sugita, S. The REVEALS Model, a New Tool to Estimate Past Regional Plant Abundance from Pollen Data in Large Lakes: Validation in Southern Sweden. </w:t>
      </w:r>
      <w:r>
        <w:rPr>
          <w:rFonts w:ascii="Palatino Linotype" w:hAnsi="Palatino Linotype" w:cs="Calibri"/>
          <w:i/>
          <w:iCs/>
          <w:sz w:val="18"/>
          <w:szCs w:val="18"/>
          <w:lang w:val="en-US"/>
        </w:rPr>
        <w:t>J. Quat. Sci.</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2008</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23</w:t>
      </w:r>
      <w:r>
        <w:rPr>
          <w:rFonts w:ascii="Palatino Linotype" w:hAnsi="Palatino Linotype" w:cs="Calibri"/>
          <w:bCs/>
          <w:sz w:val="18"/>
          <w:szCs w:val="18"/>
          <w:lang w:val="en-US"/>
        </w:rPr>
        <w:t>, 21–42</w:t>
      </w:r>
      <w:r>
        <w:rPr>
          <w:rFonts w:ascii="Palatino Linotype" w:hAnsi="Palatino Linotype" w:cs="Calibri"/>
          <w:sz w:val="18"/>
          <w:szCs w:val="18"/>
          <w:lang w:val="en-US"/>
        </w:rPr>
        <w:t>. https://doi.org/10.1002/jqs.1126.</w:t>
      </w:r>
    </w:p>
    <w:p w14:paraId="7B6E65AB"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Bunting, M.J.; Farrell, M.; </w:t>
      </w:r>
      <w:proofErr w:type="spellStart"/>
      <w:r>
        <w:rPr>
          <w:rFonts w:ascii="Palatino Linotype" w:hAnsi="Palatino Linotype" w:cs="Calibri"/>
          <w:sz w:val="18"/>
          <w:szCs w:val="18"/>
          <w:lang w:val="en-US"/>
        </w:rPr>
        <w:t>Broström</w:t>
      </w:r>
      <w:proofErr w:type="spellEnd"/>
      <w:r>
        <w:rPr>
          <w:rFonts w:ascii="Palatino Linotype" w:hAnsi="Palatino Linotype" w:cs="Calibri"/>
          <w:sz w:val="18"/>
          <w:szCs w:val="18"/>
          <w:lang w:val="en-US"/>
        </w:rPr>
        <w:t xml:space="preserve">, A.; </w:t>
      </w:r>
      <w:proofErr w:type="spellStart"/>
      <w:r>
        <w:rPr>
          <w:rFonts w:ascii="Palatino Linotype" w:hAnsi="Palatino Linotype" w:cs="Calibri"/>
          <w:sz w:val="18"/>
          <w:szCs w:val="18"/>
          <w:lang w:val="en-US"/>
        </w:rPr>
        <w:t>Hjelle</w:t>
      </w:r>
      <w:proofErr w:type="spellEnd"/>
      <w:r>
        <w:rPr>
          <w:rFonts w:ascii="Palatino Linotype" w:hAnsi="Palatino Linotype" w:cs="Calibri"/>
          <w:sz w:val="18"/>
          <w:szCs w:val="18"/>
          <w:lang w:val="en-US"/>
        </w:rPr>
        <w:t xml:space="preserve">, K.L.; </w:t>
      </w:r>
      <w:proofErr w:type="spellStart"/>
      <w:r>
        <w:rPr>
          <w:rFonts w:ascii="Palatino Linotype" w:hAnsi="Palatino Linotype" w:cs="Calibri"/>
          <w:sz w:val="18"/>
          <w:szCs w:val="18"/>
          <w:lang w:val="en-US"/>
        </w:rPr>
        <w:t>Mazier</w:t>
      </w:r>
      <w:proofErr w:type="spellEnd"/>
      <w:r>
        <w:rPr>
          <w:rFonts w:ascii="Palatino Linotype" w:hAnsi="Palatino Linotype" w:cs="Calibri"/>
          <w:sz w:val="18"/>
          <w:szCs w:val="18"/>
          <w:lang w:val="en-US"/>
        </w:rPr>
        <w:t xml:space="preserve">, F.; Middleton, R.; Nielsen, A.B.; Rushton, E.; Shaw, H.; Twiddle, C.L. Palynological Perspectives on Vegetation Survey: A Critical Step for Model-Based Reconstruction of Quaternary Land Cover. </w:t>
      </w:r>
      <w:r>
        <w:rPr>
          <w:rFonts w:ascii="Palatino Linotype" w:hAnsi="Palatino Linotype" w:cs="Calibri"/>
          <w:i/>
          <w:iCs/>
          <w:sz w:val="18"/>
          <w:szCs w:val="18"/>
        </w:rPr>
        <w:t xml:space="preserve">Quat. </w:t>
      </w:r>
      <w:proofErr w:type="spellStart"/>
      <w:r>
        <w:rPr>
          <w:rFonts w:ascii="Palatino Linotype" w:hAnsi="Palatino Linotype" w:cs="Calibri"/>
          <w:i/>
          <w:iCs/>
          <w:sz w:val="18"/>
          <w:szCs w:val="18"/>
        </w:rPr>
        <w:t>Sci</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Rev</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sz w:val="18"/>
          <w:szCs w:val="18"/>
        </w:rPr>
        <w:t>2013</w:t>
      </w:r>
      <w:r>
        <w:rPr>
          <w:rFonts w:ascii="Palatino Linotype" w:hAnsi="Palatino Linotype" w:cs="Calibri"/>
          <w:sz w:val="18"/>
          <w:szCs w:val="18"/>
        </w:rPr>
        <w:t xml:space="preserve">, </w:t>
      </w:r>
      <w:r>
        <w:rPr>
          <w:rFonts w:ascii="Palatino Linotype" w:hAnsi="Palatino Linotype" w:cs="Calibri"/>
          <w:i/>
          <w:sz w:val="18"/>
          <w:szCs w:val="18"/>
        </w:rPr>
        <w:t>82</w:t>
      </w:r>
      <w:r>
        <w:rPr>
          <w:rFonts w:ascii="Palatino Linotype" w:hAnsi="Palatino Linotype" w:cs="Calibri"/>
          <w:sz w:val="18"/>
          <w:szCs w:val="18"/>
        </w:rPr>
        <w:t>, 41–55. https://doi.org/10.1016/j.quascirev.2013.10.006.</w:t>
      </w:r>
    </w:p>
    <w:p w14:paraId="553F4928"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Bunting, M.J.; </w:t>
      </w:r>
      <w:proofErr w:type="spellStart"/>
      <w:r>
        <w:rPr>
          <w:rFonts w:ascii="Palatino Linotype" w:hAnsi="Palatino Linotype" w:cs="Calibri"/>
          <w:sz w:val="18"/>
          <w:szCs w:val="18"/>
          <w:lang w:val="en-US"/>
        </w:rPr>
        <w:t>Hjelle</w:t>
      </w:r>
      <w:proofErr w:type="spellEnd"/>
      <w:r>
        <w:rPr>
          <w:rFonts w:ascii="Palatino Linotype" w:hAnsi="Palatino Linotype" w:cs="Calibri"/>
          <w:sz w:val="18"/>
          <w:szCs w:val="18"/>
          <w:lang w:val="en-US"/>
        </w:rPr>
        <w:t xml:space="preserve">, K.L. Effect of Vegetation Data Collection Strategies on Estimates of Relevant Source Area of Pollen (RSAP) and Relative Pollen Productivity Estimates (Relative PPE) for Non-Arboreal Taxa. </w:t>
      </w:r>
      <w:r>
        <w:rPr>
          <w:rFonts w:ascii="Palatino Linotype" w:hAnsi="Palatino Linotype" w:cs="Calibri"/>
          <w:i/>
          <w:iCs/>
          <w:sz w:val="18"/>
          <w:szCs w:val="18"/>
          <w:lang w:val="en-US"/>
        </w:rPr>
        <w:t xml:space="preserve">Veg. Hist. </w:t>
      </w:r>
      <w:proofErr w:type="spellStart"/>
      <w:r>
        <w:rPr>
          <w:rFonts w:ascii="Palatino Linotype" w:hAnsi="Palatino Linotype" w:cs="Calibri"/>
          <w:i/>
          <w:iCs/>
          <w:sz w:val="18"/>
          <w:szCs w:val="18"/>
          <w:lang w:val="en-US"/>
        </w:rPr>
        <w:t>Archaeobot</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sz w:val="18"/>
          <w:szCs w:val="18"/>
          <w:lang w:val="en-US"/>
        </w:rPr>
        <w:t>2010</w:t>
      </w:r>
      <w:r>
        <w:rPr>
          <w:rFonts w:ascii="Palatino Linotype" w:hAnsi="Palatino Linotype" w:cs="Calibri"/>
          <w:sz w:val="18"/>
          <w:szCs w:val="18"/>
          <w:lang w:val="en-US"/>
        </w:rPr>
        <w:t xml:space="preserve">, </w:t>
      </w:r>
      <w:r>
        <w:rPr>
          <w:rFonts w:ascii="Palatino Linotype" w:hAnsi="Palatino Linotype" w:cs="Calibri"/>
          <w:i/>
          <w:sz w:val="18"/>
          <w:szCs w:val="18"/>
          <w:lang w:val="en-US"/>
        </w:rPr>
        <w:t>19</w:t>
      </w:r>
      <w:r>
        <w:rPr>
          <w:rFonts w:ascii="Palatino Linotype" w:hAnsi="Palatino Linotype" w:cs="Calibri"/>
          <w:sz w:val="18"/>
          <w:szCs w:val="18"/>
          <w:lang w:val="en-US"/>
        </w:rPr>
        <w:t>, 365–374. https://doi.org/10.1007/s00334-010-0246-2.</w:t>
      </w:r>
    </w:p>
    <w:p w14:paraId="77E65D11"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Von </w:t>
      </w:r>
      <w:proofErr w:type="spellStart"/>
      <w:r>
        <w:rPr>
          <w:rFonts w:ascii="Palatino Linotype" w:hAnsi="Palatino Linotype" w:cs="Calibri"/>
          <w:sz w:val="18"/>
          <w:szCs w:val="18"/>
          <w:lang w:val="en-US"/>
        </w:rPr>
        <w:t>Stedingk</w:t>
      </w:r>
      <w:proofErr w:type="spellEnd"/>
      <w:r>
        <w:rPr>
          <w:rFonts w:ascii="Palatino Linotype" w:hAnsi="Palatino Linotype" w:cs="Calibri"/>
          <w:sz w:val="18"/>
          <w:szCs w:val="18"/>
          <w:lang w:val="en-US"/>
        </w:rPr>
        <w:t xml:space="preserve">, H.; Fyfe, R.M.; Allard, A. Pollen Productivity Estimates from the Forest-Tundra Ecotone in West-Central Sweden: Implications for Vegetation Reconstruction at the Limits of the Boreal Forest. </w:t>
      </w:r>
      <w:proofErr w:type="spellStart"/>
      <w:r>
        <w:rPr>
          <w:rFonts w:ascii="Palatino Linotype" w:hAnsi="Palatino Linotype" w:cs="Calibri"/>
          <w:i/>
          <w:iCs/>
          <w:sz w:val="18"/>
          <w:szCs w:val="18"/>
        </w:rPr>
        <w:t>Holocene</w:t>
      </w:r>
      <w:proofErr w:type="spellEnd"/>
      <w:r>
        <w:rPr>
          <w:rFonts w:ascii="Palatino Linotype" w:hAnsi="Palatino Linotype" w:cs="Calibri"/>
          <w:sz w:val="18"/>
          <w:szCs w:val="18"/>
        </w:rPr>
        <w:t xml:space="preserve"> </w:t>
      </w:r>
      <w:r>
        <w:rPr>
          <w:rFonts w:ascii="Palatino Linotype" w:hAnsi="Palatino Linotype" w:cs="Calibri"/>
          <w:b/>
          <w:sz w:val="18"/>
          <w:szCs w:val="18"/>
        </w:rPr>
        <w:t>2008</w:t>
      </w:r>
      <w:r>
        <w:rPr>
          <w:rFonts w:ascii="Palatino Linotype" w:hAnsi="Palatino Linotype" w:cs="Calibri"/>
          <w:sz w:val="18"/>
          <w:szCs w:val="18"/>
        </w:rPr>
        <w:t xml:space="preserve">, </w:t>
      </w:r>
      <w:r>
        <w:rPr>
          <w:rFonts w:ascii="Palatino Linotype" w:hAnsi="Palatino Linotype" w:cs="Calibri"/>
          <w:i/>
          <w:sz w:val="18"/>
          <w:szCs w:val="18"/>
        </w:rPr>
        <w:t>18</w:t>
      </w:r>
      <w:r>
        <w:rPr>
          <w:rFonts w:ascii="Palatino Linotype" w:hAnsi="Palatino Linotype" w:cs="Calibri"/>
          <w:sz w:val="18"/>
          <w:szCs w:val="18"/>
        </w:rPr>
        <w:t>, 323–332. https://doi.org/10.1177/0959683607086769.</w:t>
      </w:r>
    </w:p>
    <w:p w14:paraId="5B8D57B3"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lastRenderedPageBreak/>
        <w:t>Celikel</w:t>
      </w:r>
      <w:proofErr w:type="spellEnd"/>
      <w:r>
        <w:rPr>
          <w:rFonts w:ascii="Palatino Linotype" w:hAnsi="Palatino Linotype" w:cs="Calibri"/>
          <w:sz w:val="18"/>
          <w:szCs w:val="18"/>
          <w:lang w:val="en-US"/>
        </w:rPr>
        <w:t xml:space="preserve">, G.; </w:t>
      </w:r>
      <w:proofErr w:type="spellStart"/>
      <w:r>
        <w:rPr>
          <w:rFonts w:ascii="Palatino Linotype" w:hAnsi="Palatino Linotype" w:cs="Calibri"/>
          <w:sz w:val="18"/>
          <w:szCs w:val="18"/>
          <w:lang w:val="en-US"/>
        </w:rPr>
        <w:t>Demirsoy</w:t>
      </w:r>
      <w:proofErr w:type="spellEnd"/>
      <w:r>
        <w:rPr>
          <w:rFonts w:ascii="Palatino Linotype" w:hAnsi="Palatino Linotype" w:cs="Calibri"/>
          <w:sz w:val="18"/>
          <w:szCs w:val="18"/>
          <w:lang w:val="en-US"/>
        </w:rPr>
        <w:t xml:space="preserve">, L.; </w:t>
      </w:r>
      <w:proofErr w:type="spellStart"/>
      <w:r>
        <w:rPr>
          <w:rFonts w:ascii="Palatino Linotype" w:hAnsi="Palatino Linotype" w:cs="Calibri"/>
          <w:sz w:val="18"/>
          <w:szCs w:val="18"/>
          <w:lang w:val="en-US"/>
        </w:rPr>
        <w:t>Demirsoy</w:t>
      </w:r>
      <w:proofErr w:type="spellEnd"/>
      <w:r>
        <w:rPr>
          <w:rFonts w:ascii="Palatino Linotype" w:hAnsi="Palatino Linotype" w:cs="Calibri"/>
          <w:sz w:val="18"/>
          <w:szCs w:val="18"/>
          <w:lang w:val="en-US"/>
        </w:rPr>
        <w:t>, H. The Strawberry Tree (</w:t>
      </w:r>
      <w:r>
        <w:rPr>
          <w:rFonts w:ascii="Palatino Linotype" w:hAnsi="Palatino Linotype" w:cs="Calibri"/>
          <w:i/>
          <w:sz w:val="18"/>
          <w:szCs w:val="18"/>
          <w:lang w:val="en-US"/>
        </w:rPr>
        <w:t>Arbutus Unedo</w:t>
      </w:r>
      <w:r>
        <w:rPr>
          <w:rFonts w:ascii="Palatino Linotype" w:hAnsi="Palatino Linotype" w:cs="Calibri"/>
          <w:sz w:val="18"/>
          <w:szCs w:val="18"/>
          <w:lang w:val="en-US"/>
        </w:rPr>
        <w:t xml:space="preserve"> L.) Selection in Turkey. </w:t>
      </w:r>
      <w:r>
        <w:rPr>
          <w:rFonts w:ascii="Palatino Linotype" w:hAnsi="Palatino Linotype" w:cs="Calibri"/>
          <w:i/>
          <w:iCs/>
          <w:sz w:val="18"/>
          <w:szCs w:val="18"/>
          <w:lang w:val="en-US"/>
        </w:rPr>
        <w:t xml:space="preserve">Sci. </w:t>
      </w:r>
      <w:proofErr w:type="spellStart"/>
      <w:r>
        <w:rPr>
          <w:rFonts w:ascii="Palatino Linotype" w:hAnsi="Palatino Linotype" w:cs="Calibri"/>
          <w:i/>
          <w:iCs/>
          <w:sz w:val="18"/>
          <w:szCs w:val="18"/>
          <w:lang w:val="en-US"/>
        </w:rPr>
        <w:t>Hortic</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sz w:val="18"/>
          <w:szCs w:val="18"/>
          <w:lang w:val="en-US"/>
        </w:rPr>
        <w:t>2008</w:t>
      </w:r>
      <w:r>
        <w:rPr>
          <w:rFonts w:ascii="Palatino Linotype" w:hAnsi="Palatino Linotype" w:cs="Calibri"/>
          <w:sz w:val="18"/>
          <w:szCs w:val="18"/>
          <w:lang w:val="en-US"/>
        </w:rPr>
        <w:t xml:space="preserve">, </w:t>
      </w:r>
      <w:r>
        <w:rPr>
          <w:rFonts w:ascii="Palatino Linotype" w:hAnsi="Palatino Linotype" w:cs="Calibri"/>
          <w:i/>
          <w:sz w:val="18"/>
          <w:szCs w:val="18"/>
          <w:lang w:val="en-US"/>
        </w:rPr>
        <w:t>118</w:t>
      </w:r>
      <w:r>
        <w:rPr>
          <w:rFonts w:ascii="Palatino Linotype" w:hAnsi="Palatino Linotype" w:cs="Calibri"/>
          <w:sz w:val="18"/>
          <w:szCs w:val="18"/>
          <w:lang w:val="en-US"/>
        </w:rPr>
        <w:t>, 115–119. https://doi.org/10.1016/J.SCIENTA.2008.05.028.</w:t>
      </w:r>
    </w:p>
    <w:p w14:paraId="586A580D"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Mesléard</w:t>
      </w:r>
      <w:proofErr w:type="spellEnd"/>
      <w:r>
        <w:rPr>
          <w:rFonts w:ascii="Palatino Linotype" w:hAnsi="Palatino Linotype" w:cs="Calibri"/>
          <w:sz w:val="18"/>
          <w:szCs w:val="18"/>
          <w:lang w:val="en-US"/>
        </w:rPr>
        <w:t xml:space="preserve">, F.; </w:t>
      </w:r>
      <w:proofErr w:type="spellStart"/>
      <w:r>
        <w:rPr>
          <w:rFonts w:ascii="Palatino Linotype" w:hAnsi="Palatino Linotype" w:cs="Calibri"/>
          <w:sz w:val="18"/>
          <w:szCs w:val="18"/>
          <w:lang w:val="en-US"/>
        </w:rPr>
        <w:t>Lepart</w:t>
      </w:r>
      <w:proofErr w:type="spellEnd"/>
      <w:r>
        <w:rPr>
          <w:rFonts w:ascii="Palatino Linotype" w:hAnsi="Palatino Linotype" w:cs="Calibri"/>
          <w:sz w:val="18"/>
          <w:szCs w:val="18"/>
          <w:lang w:val="en-US"/>
        </w:rPr>
        <w:t xml:space="preserve">, J. Germination and Seedling Dynamics of </w:t>
      </w:r>
      <w:r>
        <w:rPr>
          <w:rFonts w:ascii="Palatino Linotype" w:hAnsi="Palatino Linotype" w:cs="Calibri"/>
          <w:i/>
          <w:sz w:val="18"/>
          <w:szCs w:val="18"/>
          <w:lang w:val="en-US"/>
        </w:rPr>
        <w:t>Arbutus Unedo</w:t>
      </w:r>
      <w:r>
        <w:rPr>
          <w:rFonts w:ascii="Palatino Linotype" w:hAnsi="Palatino Linotype" w:cs="Calibri"/>
          <w:sz w:val="18"/>
          <w:szCs w:val="18"/>
          <w:lang w:val="en-US"/>
        </w:rPr>
        <w:t xml:space="preserve"> and </w:t>
      </w:r>
      <w:r>
        <w:rPr>
          <w:rFonts w:ascii="Palatino Linotype" w:hAnsi="Palatino Linotype" w:cs="Calibri"/>
          <w:i/>
          <w:sz w:val="18"/>
          <w:szCs w:val="18"/>
          <w:lang w:val="en-US"/>
        </w:rPr>
        <w:t xml:space="preserve">Erica </w:t>
      </w:r>
      <w:proofErr w:type="spellStart"/>
      <w:r>
        <w:rPr>
          <w:rFonts w:ascii="Palatino Linotype" w:hAnsi="Palatino Linotype" w:cs="Calibri"/>
          <w:i/>
          <w:sz w:val="18"/>
          <w:szCs w:val="18"/>
          <w:lang w:val="en-US"/>
        </w:rPr>
        <w:t>Arbórea</w:t>
      </w:r>
      <w:proofErr w:type="spellEnd"/>
      <w:r>
        <w:rPr>
          <w:rFonts w:ascii="Palatino Linotype" w:hAnsi="Palatino Linotype" w:cs="Calibri"/>
          <w:sz w:val="18"/>
          <w:szCs w:val="18"/>
          <w:lang w:val="en-US"/>
        </w:rPr>
        <w:t xml:space="preserve"> on Corsica. </w:t>
      </w:r>
      <w:r>
        <w:rPr>
          <w:rFonts w:ascii="Palatino Linotype" w:hAnsi="Palatino Linotype" w:cs="Calibri"/>
          <w:i/>
          <w:iCs/>
          <w:sz w:val="18"/>
          <w:szCs w:val="18"/>
          <w:lang w:val="en-US"/>
        </w:rPr>
        <w:t>J. Veg. Sci.</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1991</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2</w:t>
      </w:r>
      <w:r>
        <w:rPr>
          <w:rFonts w:ascii="Palatino Linotype" w:hAnsi="Palatino Linotype" w:cs="Calibri"/>
          <w:bCs/>
          <w:sz w:val="18"/>
          <w:szCs w:val="18"/>
          <w:lang w:val="en-US"/>
        </w:rPr>
        <w:t>, 155–164</w:t>
      </w:r>
      <w:r>
        <w:rPr>
          <w:rFonts w:ascii="Palatino Linotype" w:hAnsi="Palatino Linotype" w:cs="Calibri"/>
          <w:sz w:val="18"/>
          <w:szCs w:val="18"/>
          <w:lang w:val="en-US"/>
        </w:rPr>
        <w:t>. https://doi.org/10.2307/3235947.</w:t>
      </w:r>
    </w:p>
    <w:p w14:paraId="02C0C564"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Sealy, J.R. Arbutus Unedo. </w:t>
      </w:r>
      <w:r>
        <w:rPr>
          <w:rFonts w:ascii="Palatino Linotype" w:hAnsi="Palatino Linotype" w:cs="Calibri"/>
          <w:i/>
          <w:iCs/>
          <w:sz w:val="18"/>
          <w:szCs w:val="18"/>
          <w:lang w:val="en-US"/>
        </w:rPr>
        <w:t>J. Ecol.</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1949</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37</w:t>
      </w:r>
      <w:r>
        <w:rPr>
          <w:rFonts w:ascii="Palatino Linotype" w:hAnsi="Palatino Linotype" w:cs="Calibri"/>
          <w:bCs/>
          <w:sz w:val="18"/>
          <w:szCs w:val="18"/>
          <w:lang w:val="en-US"/>
        </w:rPr>
        <w:t>, 365</w:t>
      </w:r>
      <w:r>
        <w:rPr>
          <w:rFonts w:ascii="Palatino Linotype" w:hAnsi="Palatino Linotype" w:cs="Calibri"/>
          <w:sz w:val="18"/>
          <w:szCs w:val="18"/>
          <w:lang w:val="en-US"/>
        </w:rPr>
        <w:t>. https://doi.org/10.2307/2256613.</w:t>
      </w:r>
    </w:p>
    <w:p w14:paraId="38613890"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Fagúndez</w:t>
      </w:r>
      <w:proofErr w:type="spellEnd"/>
      <w:r>
        <w:rPr>
          <w:rFonts w:ascii="Palatino Linotype" w:hAnsi="Palatino Linotype" w:cs="Calibri"/>
          <w:sz w:val="18"/>
          <w:szCs w:val="18"/>
          <w:lang w:val="en-US"/>
        </w:rPr>
        <w:t xml:space="preserve">, J. Two Wild Hybrids of </w:t>
      </w:r>
      <w:r>
        <w:rPr>
          <w:rFonts w:ascii="Palatino Linotype" w:hAnsi="Palatino Linotype" w:cs="Calibri"/>
          <w:i/>
          <w:sz w:val="18"/>
          <w:szCs w:val="18"/>
          <w:lang w:val="en-US"/>
        </w:rPr>
        <w:t>Erica</w:t>
      </w:r>
      <w:r>
        <w:rPr>
          <w:rFonts w:ascii="Palatino Linotype" w:hAnsi="Palatino Linotype" w:cs="Calibri"/>
          <w:sz w:val="18"/>
          <w:szCs w:val="18"/>
          <w:lang w:val="en-US"/>
        </w:rPr>
        <w:t xml:space="preserve"> L. (Ericaceae) from Northwest Spain. </w:t>
      </w:r>
      <w:r>
        <w:rPr>
          <w:rFonts w:ascii="Palatino Linotype" w:hAnsi="Palatino Linotype" w:cs="Calibri"/>
          <w:i/>
          <w:iCs/>
          <w:sz w:val="18"/>
          <w:szCs w:val="18"/>
          <w:lang w:val="en-US"/>
        </w:rPr>
        <w:t xml:space="preserve">Bot. </w:t>
      </w:r>
      <w:proofErr w:type="spellStart"/>
      <w:r>
        <w:rPr>
          <w:rFonts w:ascii="Palatino Linotype" w:hAnsi="Palatino Linotype" w:cs="Calibri"/>
          <w:i/>
          <w:iCs/>
          <w:sz w:val="18"/>
          <w:szCs w:val="18"/>
          <w:lang w:val="en-US"/>
        </w:rPr>
        <w:t>Complut</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sz w:val="18"/>
          <w:szCs w:val="18"/>
          <w:lang w:val="en-US"/>
        </w:rPr>
        <w:t>2006</w:t>
      </w:r>
      <w:r>
        <w:rPr>
          <w:rFonts w:ascii="Palatino Linotype" w:hAnsi="Palatino Linotype" w:cs="Calibri"/>
          <w:sz w:val="18"/>
          <w:szCs w:val="18"/>
          <w:lang w:val="en-US"/>
        </w:rPr>
        <w:t xml:space="preserve">, </w:t>
      </w:r>
      <w:r>
        <w:rPr>
          <w:rFonts w:ascii="Palatino Linotype" w:hAnsi="Palatino Linotype" w:cs="Calibri"/>
          <w:i/>
          <w:sz w:val="18"/>
          <w:szCs w:val="18"/>
          <w:lang w:val="en-US"/>
        </w:rPr>
        <w:t>30</w:t>
      </w:r>
      <w:r>
        <w:rPr>
          <w:rFonts w:ascii="Palatino Linotype" w:hAnsi="Palatino Linotype" w:cs="Calibri"/>
          <w:sz w:val="18"/>
          <w:szCs w:val="18"/>
          <w:lang w:val="en-US"/>
        </w:rPr>
        <w:t>, 131–135.</w:t>
      </w:r>
    </w:p>
    <w:p w14:paraId="04C3BEBD"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sz w:val="18"/>
          <w:szCs w:val="18"/>
          <w:lang w:val="en-US"/>
        </w:rPr>
        <w:t xml:space="preserve">Bannister, P. Erica Cinerea L. </w:t>
      </w:r>
      <w:r>
        <w:rPr>
          <w:rFonts w:ascii="Palatino Linotype" w:hAnsi="Palatino Linotype"/>
          <w:i/>
          <w:sz w:val="18"/>
          <w:szCs w:val="18"/>
          <w:lang w:val="en-US"/>
        </w:rPr>
        <w:t xml:space="preserve">J. Ecol. </w:t>
      </w:r>
      <w:r>
        <w:rPr>
          <w:rFonts w:ascii="Palatino Linotype" w:hAnsi="Palatino Linotype"/>
          <w:b/>
          <w:bCs/>
          <w:sz w:val="18"/>
          <w:szCs w:val="18"/>
          <w:lang w:val="en-US"/>
        </w:rPr>
        <w:t>1965</w:t>
      </w:r>
      <w:r>
        <w:rPr>
          <w:rFonts w:ascii="Palatino Linotype" w:hAnsi="Palatino Linotype"/>
          <w:bCs/>
          <w:sz w:val="18"/>
          <w:szCs w:val="18"/>
          <w:lang w:val="en-US"/>
        </w:rPr>
        <w:t xml:space="preserve">, </w:t>
      </w:r>
      <w:r>
        <w:rPr>
          <w:rFonts w:ascii="Palatino Linotype" w:hAnsi="Palatino Linotype"/>
          <w:bCs/>
          <w:i/>
          <w:sz w:val="18"/>
          <w:szCs w:val="18"/>
          <w:lang w:val="en-US"/>
        </w:rPr>
        <w:t>53</w:t>
      </w:r>
      <w:r>
        <w:rPr>
          <w:rFonts w:ascii="Palatino Linotype" w:hAnsi="Palatino Linotype"/>
          <w:bCs/>
          <w:sz w:val="18"/>
          <w:szCs w:val="18"/>
          <w:lang w:val="en-US"/>
        </w:rPr>
        <w:t>, 527–542</w:t>
      </w:r>
      <w:r>
        <w:rPr>
          <w:rFonts w:ascii="Palatino Linotype" w:hAnsi="Palatino Linotype" w:cs="Calibri"/>
          <w:sz w:val="18"/>
          <w:szCs w:val="18"/>
          <w:lang w:val="en-US"/>
        </w:rPr>
        <w:t xml:space="preserve">. </w:t>
      </w:r>
    </w:p>
    <w:p w14:paraId="64791BA5"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Wood, C.E. The Genera of </w:t>
      </w:r>
      <w:proofErr w:type="spellStart"/>
      <w:r>
        <w:rPr>
          <w:rFonts w:ascii="Palatino Linotype" w:hAnsi="Palatino Linotype" w:cs="Calibri"/>
          <w:sz w:val="18"/>
          <w:szCs w:val="18"/>
          <w:lang w:val="en-US"/>
        </w:rPr>
        <w:t>Guttiferae</w:t>
      </w:r>
      <w:proofErr w:type="spellEnd"/>
      <w:r>
        <w:rPr>
          <w:rFonts w:ascii="Palatino Linotype" w:hAnsi="Palatino Linotype" w:cs="Calibri"/>
          <w:sz w:val="18"/>
          <w:szCs w:val="18"/>
          <w:lang w:val="en-US"/>
        </w:rPr>
        <w:t xml:space="preserve"> (</w:t>
      </w:r>
      <w:proofErr w:type="spellStart"/>
      <w:r>
        <w:rPr>
          <w:rFonts w:ascii="Palatino Linotype" w:hAnsi="Palatino Linotype" w:cs="Calibri"/>
          <w:sz w:val="18"/>
          <w:szCs w:val="18"/>
          <w:lang w:val="en-US"/>
        </w:rPr>
        <w:t>Clusiaceae</w:t>
      </w:r>
      <w:proofErr w:type="spellEnd"/>
      <w:r>
        <w:rPr>
          <w:rFonts w:ascii="Palatino Linotype" w:hAnsi="Palatino Linotype" w:cs="Calibri"/>
          <w:sz w:val="18"/>
          <w:szCs w:val="18"/>
          <w:lang w:val="en-US"/>
        </w:rPr>
        <w:t xml:space="preserve">) in the Southeastern United States. </w:t>
      </w:r>
      <w:r>
        <w:rPr>
          <w:rFonts w:ascii="Palatino Linotype" w:hAnsi="Palatino Linotype" w:cs="Calibri"/>
          <w:i/>
          <w:sz w:val="18"/>
          <w:szCs w:val="18"/>
        </w:rPr>
        <w:t xml:space="preserve">J. </w:t>
      </w:r>
      <w:proofErr w:type="spellStart"/>
      <w:r>
        <w:rPr>
          <w:rFonts w:ascii="Palatino Linotype" w:hAnsi="Palatino Linotype" w:cs="Calibri"/>
          <w:i/>
          <w:sz w:val="18"/>
          <w:szCs w:val="18"/>
        </w:rPr>
        <w:t>Arnlod</w:t>
      </w:r>
      <w:proofErr w:type="spellEnd"/>
      <w:r>
        <w:rPr>
          <w:rFonts w:ascii="Palatino Linotype" w:hAnsi="Palatino Linotype" w:cs="Calibri"/>
          <w:i/>
          <w:sz w:val="18"/>
          <w:szCs w:val="18"/>
        </w:rPr>
        <w:t xml:space="preserve"> Arbor. </w:t>
      </w:r>
      <w:r>
        <w:rPr>
          <w:rFonts w:ascii="Palatino Linotype" w:hAnsi="Palatino Linotype" w:cs="Calibri"/>
          <w:b/>
          <w:bCs/>
          <w:sz w:val="18"/>
          <w:szCs w:val="18"/>
        </w:rPr>
        <w:t>1976</w:t>
      </w:r>
      <w:r>
        <w:rPr>
          <w:rFonts w:ascii="Palatino Linotype" w:hAnsi="Palatino Linotype" w:cs="Calibri"/>
          <w:bCs/>
          <w:sz w:val="18"/>
          <w:szCs w:val="18"/>
        </w:rPr>
        <w:t xml:space="preserve">, </w:t>
      </w:r>
      <w:r>
        <w:rPr>
          <w:rFonts w:ascii="Palatino Linotype" w:hAnsi="Palatino Linotype" w:cs="Calibri"/>
          <w:bCs/>
          <w:i/>
          <w:sz w:val="18"/>
          <w:szCs w:val="18"/>
        </w:rPr>
        <w:t>57</w:t>
      </w:r>
      <w:r>
        <w:rPr>
          <w:rFonts w:ascii="Palatino Linotype" w:hAnsi="Palatino Linotype" w:cs="Calibri"/>
          <w:bCs/>
          <w:sz w:val="18"/>
          <w:szCs w:val="18"/>
        </w:rPr>
        <w:t>, 74–90</w:t>
      </w:r>
      <w:r>
        <w:rPr>
          <w:rFonts w:ascii="Palatino Linotype" w:hAnsi="Palatino Linotype" w:cs="Calibri"/>
          <w:sz w:val="18"/>
          <w:szCs w:val="18"/>
        </w:rPr>
        <w:t>.</w:t>
      </w:r>
    </w:p>
    <w:p w14:paraId="1526719F"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sz w:val="18"/>
          <w:szCs w:val="18"/>
          <w:lang w:val="en-US"/>
        </w:rPr>
        <w:t>Froborg</w:t>
      </w:r>
      <w:proofErr w:type="spellEnd"/>
      <w:r>
        <w:rPr>
          <w:rFonts w:ascii="Palatino Linotype" w:hAnsi="Palatino Linotype"/>
          <w:sz w:val="18"/>
          <w:szCs w:val="18"/>
          <w:lang w:val="en-US"/>
        </w:rPr>
        <w:t xml:space="preserve">, H. Pollination and Seed Production in Five Boreal Species of </w:t>
      </w:r>
      <w:r>
        <w:rPr>
          <w:rFonts w:ascii="Palatino Linotype" w:hAnsi="Palatino Linotype"/>
          <w:i/>
          <w:iCs/>
          <w:sz w:val="18"/>
          <w:szCs w:val="18"/>
          <w:lang w:val="en-US"/>
        </w:rPr>
        <w:t xml:space="preserve">Vaccinium </w:t>
      </w:r>
      <w:r>
        <w:rPr>
          <w:rFonts w:ascii="Palatino Linotype" w:hAnsi="Palatino Linotype"/>
          <w:sz w:val="18"/>
          <w:szCs w:val="18"/>
          <w:lang w:val="en-US"/>
        </w:rPr>
        <w:t xml:space="preserve">and </w:t>
      </w:r>
      <w:r>
        <w:rPr>
          <w:rFonts w:ascii="Palatino Linotype" w:hAnsi="Palatino Linotype"/>
          <w:i/>
          <w:iCs/>
          <w:sz w:val="18"/>
          <w:szCs w:val="18"/>
          <w:lang w:val="en-US"/>
        </w:rPr>
        <w:t xml:space="preserve">Andromeda </w:t>
      </w:r>
      <w:r>
        <w:rPr>
          <w:rFonts w:ascii="Palatino Linotype" w:hAnsi="Palatino Linotype"/>
          <w:sz w:val="18"/>
          <w:szCs w:val="18"/>
          <w:lang w:val="en-US"/>
        </w:rPr>
        <w:t xml:space="preserve">(Ericaceae). </w:t>
      </w:r>
      <w:r>
        <w:rPr>
          <w:rFonts w:ascii="Palatino Linotype" w:hAnsi="Palatino Linotype"/>
          <w:i/>
          <w:sz w:val="18"/>
          <w:szCs w:val="18"/>
          <w:lang w:val="en-US"/>
        </w:rPr>
        <w:t xml:space="preserve">Can. J. Bot. </w:t>
      </w:r>
      <w:r>
        <w:rPr>
          <w:rFonts w:ascii="Palatino Linotype" w:hAnsi="Palatino Linotype"/>
          <w:b/>
          <w:bCs/>
          <w:sz w:val="18"/>
          <w:szCs w:val="18"/>
          <w:lang w:val="en-US"/>
        </w:rPr>
        <w:t>1996</w:t>
      </w:r>
      <w:r>
        <w:rPr>
          <w:rFonts w:ascii="Palatino Linotype" w:hAnsi="Palatino Linotype"/>
          <w:bCs/>
          <w:sz w:val="18"/>
          <w:szCs w:val="18"/>
          <w:lang w:val="en-US"/>
        </w:rPr>
        <w:t xml:space="preserve">, </w:t>
      </w:r>
      <w:r>
        <w:rPr>
          <w:rFonts w:ascii="Palatino Linotype" w:hAnsi="Palatino Linotype"/>
          <w:bCs/>
          <w:i/>
          <w:sz w:val="18"/>
          <w:szCs w:val="18"/>
          <w:lang w:val="en-US"/>
        </w:rPr>
        <w:t>74</w:t>
      </w:r>
      <w:r>
        <w:rPr>
          <w:rFonts w:ascii="Palatino Linotype" w:hAnsi="Palatino Linotype"/>
          <w:bCs/>
          <w:sz w:val="18"/>
          <w:szCs w:val="18"/>
          <w:lang w:val="en-US"/>
        </w:rPr>
        <w:t>, 1363–1368</w:t>
      </w:r>
      <w:r>
        <w:rPr>
          <w:rFonts w:ascii="Palatino Linotype" w:hAnsi="Palatino Linotype"/>
          <w:sz w:val="18"/>
          <w:szCs w:val="18"/>
          <w:lang w:val="en-US"/>
        </w:rPr>
        <w:t>.</w:t>
      </w:r>
    </w:p>
    <w:p w14:paraId="7EE18AB8"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Bell, J.N.B.; Tallis, J.H. </w:t>
      </w:r>
      <w:proofErr w:type="spellStart"/>
      <w:r>
        <w:rPr>
          <w:rFonts w:ascii="Palatino Linotype" w:hAnsi="Palatino Linotype" w:cs="Calibri"/>
          <w:i/>
          <w:sz w:val="18"/>
          <w:szCs w:val="18"/>
          <w:lang w:val="en-US"/>
        </w:rPr>
        <w:t>Empetrum</w:t>
      </w:r>
      <w:proofErr w:type="spellEnd"/>
      <w:r>
        <w:rPr>
          <w:rFonts w:ascii="Palatino Linotype" w:hAnsi="Palatino Linotype" w:cs="Calibri"/>
          <w:i/>
          <w:sz w:val="18"/>
          <w:szCs w:val="18"/>
          <w:lang w:val="en-US"/>
        </w:rPr>
        <w:t xml:space="preserve"> Nigrum</w:t>
      </w:r>
      <w:r>
        <w:rPr>
          <w:rFonts w:ascii="Palatino Linotype" w:hAnsi="Palatino Linotype" w:cs="Calibri"/>
          <w:sz w:val="18"/>
          <w:szCs w:val="18"/>
          <w:lang w:val="en-US"/>
        </w:rPr>
        <w:t xml:space="preserve"> L. </w:t>
      </w:r>
      <w:r>
        <w:rPr>
          <w:rFonts w:ascii="Palatino Linotype" w:hAnsi="Palatino Linotype" w:cs="Calibri"/>
          <w:i/>
          <w:iCs/>
          <w:sz w:val="18"/>
          <w:szCs w:val="18"/>
          <w:lang w:val="en-US"/>
        </w:rPr>
        <w:t>Source J. Ecol.</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1973</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61</w:t>
      </w:r>
      <w:r>
        <w:rPr>
          <w:rFonts w:ascii="Palatino Linotype" w:hAnsi="Palatino Linotype" w:cs="Calibri"/>
          <w:bCs/>
          <w:sz w:val="18"/>
          <w:szCs w:val="18"/>
          <w:lang w:val="en-US"/>
        </w:rPr>
        <w:t>, 289–305</w:t>
      </w:r>
      <w:r>
        <w:rPr>
          <w:rFonts w:ascii="Palatino Linotype" w:hAnsi="Palatino Linotype" w:cs="Calibri"/>
          <w:sz w:val="18"/>
          <w:szCs w:val="18"/>
          <w:lang w:val="en-US"/>
        </w:rPr>
        <w:t>.</w:t>
      </w:r>
    </w:p>
    <w:p w14:paraId="2D93AA42"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Castro-Parada, A.; Muñoz </w:t>
      </w:r>
      <w:proofErr w:type="spellStart"/>
      <w:r>
        <w:rPr>
          <w:rFonts w:ascii="Palatino Linotype" w:hAnsi="Palatino Linotype" w:cs="Calibri"/>
          <w:sz w:val="18"/>
          <w:szCs w:val="18"/>
          <w:lang w:val="en-US"/>
        </w:rPr>
        <w:t>Sobrino</w:t>
      </w:r>
      <w:proofErr w:type="spellEnd"/>
      <w:r>
        <w:rPr>
          <w:rFonts w:ascii="Palatino Linotype" w:hAnsi="Palatino Linotype" w:cs="Calibri"/>
          <w:sz w:val="18"/>
          <w:szCs w:val="18"/>
          <w:lang w:val="en-US"/>
        </w:rPr>
        <w:t xml:space="preserve">, C. Variations in Modern Pollen Distribution in Sediments from Nearby Upland Lakes: Implications for the Interpretation of </w:t>
      </w:r>
      <w:proofErr w:type="spellStart"/>
      <w:r>
        <w:rPr>
          <w:rFonts w:ascii="Palatino Linotype" w:hAnsi="Palatino Linotype" w:cs="Calibri"/>
          <w:sz w:val="18"/>
          <w:szCs w:val="18"/>
          <w:lang w:val="en-US"/>
        </w:rPr>
        <w:t>Paleoecological</w:t>
      </w:r>
      <w:proofErr w:type="spellEnd"/>
      <w:r>
        <w:rPr>
          <w:rFonts w:ascii="Palatino Linotype" w:hAnsi="Palatino Linotype" w:cs="Calibri"/>
          <w:sz w:val="18"/>
          <w:szCs w:val="18"/>
          <w:lang w:val="en-US"/>
        </w:rPr>
        <w:t xml:space="preserve"> Data. </w:t>
      </w:r>
      <w:proofErr w:type="spellStart"/>
      <w:r>
        <w:rPr>
          <w:rFonts w:ascii="Palatino Linotype" w:hAnsi="Palatino Linotype" w:cs="Calibri"/>
          <w:i/>
          <w:iCs/>
          <w:sz w:val="18"/>
          <w:szCs w:val="18"/>
        </w:rPr>
        <w:t>Rev</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Palaeobot</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Palynol</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bCs/>
          <w:sz w:val="18"/>
          <w:szCs w:val="18"/>
        </w:rPr>
        <w:t>2022</w:t>
      </w:r>
      <w:r>
        <w:rPr>
          <w:rFonts w:ascii="Palatino Linotype" w:hAnsi="Palatino Linotype" w:cs="Calibri"/>
          <w:sz w:val="18"/>
          <w:szCs w:val="18"/>
        </w:rPr>
        <w:t xml:space="preserve">, </w:t>
      </w:r>
      <w:r>
        <w:rPr>
          <w:rFonts w:ascii="Palatino Linotype" w:hAnsi="Palatino Linotype" w:cs="Calibri"/>
          <w:i/>
          <w:sz w:val="18"/>
          <w:szCs w:val="18"/>
        </w:rPr>
        <w:t>306</w:t>
      </w:r>
      <w:r>
        <w:rPr>
          <w:rFonts w:ascii="Palatino Linotype" w:hAnsi="Palatino Linotype" w:cs="Calibri"/>
          <w:sz w:val="18"/>
          <w:szCs w:val="18"/>
        </w:rPr>
        <w:t>, 104765. https://doi.org/10.1016/j.revpalbo.2022.104765.</w:t>
      </w:r>
    </w:p>
    <w:p w14:paraId="14F771BB"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François, L.; </w:t>
      </w:r>
      <w:proofErr w:type="spellStart"/>
      <w:r>
        <w:rPr>
          <w:rFonts w:ascii="Palatino Linotype" w:hAnsi="Palatino Linotype" w:cs="Calibri"/>
          <w:sz w:val="18"/>
          <w:szCs w:val="18"/>
          <w:lang w:val="en-US"/>
        </w:rPr>
        <w:t>Ghislain</w:t>
      </w:r>
      <w:proofErr w:type="spellEnd"/>
      <w:r>
        <w:rPr>
          <w:rFonts w:ascii="Palatino Linotype" w:hAnsi="Palatino Linotype" w:cs="Calibri"/>
          <w:sz w:val="18"/>
          <w:szCs w:val="18"/>
          <w:lang w:val="en-US"/>
        </w:rPr>
        <w:t xml:space="preserve">, M.; Otto, D.; </w:t>
      </w:r>
      <w:proofErr w:type="spellStart"/>
      <w:r>
        <w:rPr>
          <w:rFonts w:ascii="Palatino Linotype" w:hAnsi="Palatino Linotype" w:cs="Calibri"/>
          <w:sz w:val="18"/>
          <w:szCs w:val="18"/>
          <w:lang w:val="en-US"/>
        </w:rPr>
        <w:t>Micheels</w:t>
      </w:r>
      <w:proofErr w:type="spellEnd"/>
      <w:r>
        <w:rPr>
          <w:rFonts w:ascii="Palatino Linotype" w:hAnsi="Palatino Linotype" w:cs="Calibri"/>
          <w:sz w:val="18"/>
          <w:szCs w:val="18"/>
          <w:lang w:val="en-US"/>
        </w:rPr>
        <w:t xml:space="preserve">, A. Late Miocene Vegetation Reconstruction with the CARAIB Model. </w:t>
      </w:r>
      <w:proofErr w:type="spellStart"/>
      <w:r>
        <w:rPr>
          <w:rFonts w:ascii="Palatino Linotype" w:hAnsi="Palatino Linotype"/>
          <w:i/>
          <w:iCs/>
          <w:sz w:val="18"/>
          <w:szCs w:val="18"/>
        </w:rPr>
        <w:t>Palaeogeogr</w:t>
      </w:r>
      <w:proofErr w:type="spellEnd"/>
      <w:r>
        <w:rPr>
          <w:rFonts w:ascii="Palatino Linotype" w:hAnsi="Palatino Linotype"/>
          <w:i/>
          <w:iCs/>
          <w:sz w:val="18"/>
          <w:szCs w:val="18"/>
        </w:rPr>
        <w:t xml:space="preserve">. </w:t>
      </w:r>
      <w:proofErr w:type="spellStart"/>
      <w:r>
        <w:rPr>
          <w:rFonts w:ascii="Palatino Linotype" w:hAnsi="Palatino Linotype"/>
          <w:i/>
          <w:iCs/>
          <w:sz w:val="18"/>
          <w:szCs w:val="18"/>
        </w:rPr>
        <w:t>Palaeoclim</w:t>
      </w:r>
      <w:proofErr w:type="spellEnd"/>
      <w:r>
        <w:rPr>
          <w:rFonts w:ascii="Palatino Linotype" w:hAnsi="Palatino Linotype"/>
          <w:i/>
          <w:iCs/>
          <w:sz w:val="18"/>
          <w:szCs w:val="18"/>
        </w:rPr>
        <w:t xml:space="preserve">. </w:t>
      </w:r>
      <w:proofErr w:type="spellStart"/>
      <w:r>
        <w:rPr>
          <w:rFonts w:ascii="Palatino Linotype" w:hAnsi="Palatino Linotype"/>
          <w:i/>
          <w:iCs/>
          <w:sz w:val="18"/>
          <w:szCs w:val="18"/>
        </w:rPr>
        <w:t>Palaeoecol</w:t>
      </w:r>
      <w:proofErr w:type="spellEnd"/>
      <w:r>
        <w:rPr>
          <w:rFonts w:ascii="Palatino Linotype" w:hAnsi="Palatino Linotype"/>
          <w:i/>
          <w:iCs/>
          <w:sz w:val="18"/>
          <w:szCs w:val="18"/>
        </w:rPr>
        <w:t>.</w:t>
      </w:r>
      <w:r>
        <w:rPr>
          <w:rFonts w:ascii="Palatino Linotype" w:hAnsi="Palatino Linotype" w:cs="Calibri"/>
          <w:sz w:val="18"/>
          <w:szCs w:val="18"/>
        </w:rPr>
        <w:t xml:space="preserve"> </w:t>
      </w:r>
      <w:r>
        <w:rPr>
          <w:rFonts w:ascii="Palatino Linotype" w:hAnsi="Palatino Linotype" w:cs="Calibri"/>
          <w:b/>
          <w:bCs/>
          <w:sz w:val="18"/>
          <w:szCs w:val="18"/>
        </w:rPr>
        <w:t>2006</w:t>
      </w:r>
      <w:r>
        <w:rPr>
          <w:rFonts w:ascii="Palatino Linotype" w:hAnsi="Palatino Linotype" w:cs="Calibri"/>
          <w:bCs/>
          <w:sz w:val="18"/>
          <w:szCs w:val="18"/>
        </w:rPr>
        <w:t xml:space="preserve">, </w:t>
      </w:r>
      <w:r>
        <w:rPr>
          <w:rFonts w:ascii="Palatino Linotype" w:hAnsi="Palatino Linotype" w:cs="Calibri"/>
          <w:bCs/>
          <w:i/>
          <w:sz w:val="18"/>
          <w:szCs w:val="18"/>
        </w:rPr>
        <w:t>238</w:t>
      </w:r>
      <w:r>
        <w:rPr>
          <w:rFonts w:ascii="Palatino Linotype" w:hAnsi="Palatino Linotype" w:cs="Calibri"/>
          <w:bCs/>
          <w:sz w:val="18"/>
          <w:szCs w:val="18"/>
        </w:rPr>
        <w:t>, 302–320</w:t>
      </w:r>
      <w:r>
        <w:rPr>
          <w:rFonts w:ascii="Palatino Linotype" w:hAnsi="Palatino Linotype" w:cs="Calibri"/>
          <w:sz w:val="18"/>
          <w:szCs w:val="18"/>
        </w:rPr>
        <w:t>. https://doi.org/10.1016/j.palaeo.2006.03.034.</w:t>
      </w:r>
    </w:p>
    <w:p w14:paraId="73D2DEE8"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lang w:val="en-US"/>
        </w:rPr>
        <w:t>Romanowska</w:t>
      </w:r>
      <w:proofErr w:type="spellEnd"/>
      <w:r>
        <w:rPr>
          <w:rFonts w:ascii="Palatino Linotype" w:hAnsi="Palatino Linotype" w:cs="Calibri"/>
          <w:sz w:val="18"/>
          <w:szCs w:val="18"/>
          <w:lang w:val="en-US"/>
        </w:rPr>
        <w:t xml:space="preserve">, I.; Crabtree, S.A.; Harris, K.; Davies, B. Agent-Based Modeling for Archaeologists: Part 1 of 3. </w:t>
      </w:r>
      <w:r>
        <w:rPr>
          <w:rFonts w:ascii="Palatino Linotype" w:hAnsi="Palatino Linotype" w:cs="Calibri"/>
          <w:i/>
          <w:iCs/>
          <w:sz w:val="18"/>
          <w:szCs w:val="18"/>
        </w:rPr>
        <w:t xml:space="preserve">Adv. </w:t>
      </w:r>
      <w:proofErr w:type="spellStart"/>
      <w:r>
        <w:rPr>
          <w:rFonts w:ascii="Palatino Linotype" w:hAnsi="Palatino Linotype" w:cs="Calibri"/>
          <w:i/>
          <w:iCs/>
          <w:sz w:val="18"/>
          <w:szCs w:val="18"/>
        </w:rPr>
        <w:t>Archaeol</w:t>
      </w:r>
      <w:proofErr w:type="spellEnd"/>
      <w:r>
        <w:rPr>
          <w:rFonts w:ascii="Palatino Linotype" w:hAnsi="Palatino Linotype" w:cs="Calibri"/>
          <w:i/>
          <w:iCs/>
          <w:sz w:val="18"/>
          <w:szCs w:val="18"/>
        </w:rPr>
        <w:t>. Pr.</w:t>
      </w:r>
      <w:r>
        <w:rPr>
          <w:rFonts w:ascii="Palatino Linotype" w:hAnsi="Palatino Linotype" w:cs="Calibri"/>
          <w:sz w:val="18"/>
          <w:szCs w:val="18"/>
        </w:rPr>
        <w:t xml:space="preserve"> </w:t>
      </w:r>
      <w:r>
        <w:rPr>
          <w:rFonts w:ascii="Palatino Linotype" w:hAnsi="Palatino Linotype" w:cs="Calibri"/>
          <w:b/>
          <w:sz w:val="18"/>
          <w:szCs w:val="18"/>
        </w:rPr>
        <w:t>2019</w:t>
      </w:r>
      <w:r>
        <w:rPr>
          <w:rFonts w:ascii="Palatino Linotype" w:hAnsi="Palatino Linotype" w:cs="Calibri"/>
          <w:sz w:val="18"/>
          <w:szCs w:val="18"/>
        </w:rPr>
        <w:t xml:space="preserve">, </w:t>
      </w:r>
      <w:r>
        <w:rPr>
          <w:rFonts w:ascii="Palatino Linotype" w:hAnsi="Palatino Linotype" w:cs="Calibri"/>
          <w:i/>
          <w:sz w:val="18"/>
          <w:szCs w:val="18"/>
        </w:rPr>
        <w:t>7</w:t>
      </w:r>
      <w:r>
        <w:rPr>
          <w:rFonts w:ascii="Palatino Linotype" w:hAnsi="Palatino Linotype" w:cs="Calibri"/>
          <w:sz w:val="18"/>
          <w:szCs w:val="18"/>
        </w:rPr>
        <w:t>, 178–184. https://doi.org/10.1017/AAP.2019.6.</w:t>
      </w:r>
    </w:p>
    <w:p w14:paraId="7BBE7186"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Grindean</w:t>
      </w:r>
      <w:proofErr w:type="spellEnd"/>
      <w:r>
        <w:rPr>
          <w:rFonts w:ascii="Palatino Linotype" w:hAnsi="Palatino Linotype" w:cs="Calibri"/>
          <w:sz w:val="18"/>
          <w:szCs w:val="18"/>
          <w:lang w:val="en-US"/>
        </w:rPr>
        <w:t xml:space="preserve">, R.; Nielsen, A.B.; </w:t>
      </w:r>
      <w:proofErr w:type="spellStart"/>
      <w:r>
        <w:rPr>
          <w:rFonts w:ascii="Palatino Linotype" w:hAnsi="Palatino Linotype" w:cs="Calibri"/>
          <w:sz w:val="18"/>
          <w:szCs w:val="18"/>
          <w:lang w:val="en-US"/>
        </w:rPr>
        <w:t>Tanţău</w:t>
      </w:r>
      <w:proofErr w:type="spellEnd"/>
      <w:r>
        <w:rPr>
          <w:rFonts w:ascii="Palatino Linotype" w:hAnsi="Palatino Linotype" w:cs="Calibri"/>
          <w:sz w:val="18"/>
          <w:szCs w:val="18"/>
          <w:lang w:val="en-US"/>
        </w:rPr>
        <w:t xml:space="preserve">, I.; </w:t>
      </w:r>
      <w:proofErr w:type="spellStart"/>
      <w:r>
        <w:rPr>
          <w:rFonts w:ascii="Palatino Linotype" w:hAnsi="Palatino Linotype" w:cs="Calibri"/>
          <w:sz w:val="18"/>
          <w:szCs w:val="18"/>
          <w:lang w:val="en-US"/>
        </w:rPr>
        <w:t>Feurdean</w:t>
      </w:r>
      <w:proofErr w:type="spellEnd"/>
      <w:r>
        <w:rPr>
          <w:rFonts w:ascii="Palatino Linotype" w:hAnsi="Palatino Linotype" w:cs="Calibri"/>
          <w:sz w:val="18"/>
          <w:szCs w:val="18"/>
          <w:lang w:val="en-US"/>
        </w:rPr>
        <w:t xml:space="preserve">, A. Relative Pollen Productivity Estimates in the Forest Steppe Landscape of Southeastern Romania. </w:t>
      </w:r>
      <w:r>
        <w:rPr>
          <w:rFonts w:ascii="Palatino Linotype" w:hAnsi="Palatino Linotype" w:cs="Calibri"/>
          <w:i/>
          <w:iCs/>
          <w:sz w:val="18"/>
          <w:szCs w:val="18"/>
          <w:lang w:val="en-US"/>
        </w:rPr>
        <w:t xml:space="preserve">Rev. </w:t>
      </w:r>
      <w:proofErr w:type="spellStart"/>
      <w:r>
        <w:rPr>
          <w:rFonts w:ascii="Palatino Linotype" w:hAnsi="Palatino Linotype" w:cs="Calibri"/>
          <w:i/>
          <w:iCs/>
          <w:sz w:val="18"/>
          <w:szCs w:val="18"/>
          <w:lang w:val="en-US"/>
        </w:rPr>
        <w:t>Palaeobot</w:t>
      </w:r>
      <w:proofErr w:type="spellEnd"/>
      <w:r>
        <w:rPr>
          <w:rFonts w:ascii="Palatino Linotype" w:hAnsi="Palatino Linotype" w:cs="Calibri"/>
          <w:i/>
          <w:iCs/>
          <w:sz w:val="18"/>
          <w:szCs w:val="18"/>
          <w:lang w:val="en-US"/>
        </w:rPr>
        <w:t xml:space="preserve">. </w:t>
      </w:r>
      <w:proofErr w:type="spellStart"/>
      <w:r>
        <w:rPr>
          <w:rFonts w:ascii="Palatino Linotype" w:hAnsi="Palatino Linotype" w:cs="Calibri"/>
          <w:i/>
          <w:iCs/>
          <w:sz w:val="18"/>
          <w:szCs w:val="18"/>
          <w:lang w:val="en-US"/>
        </w:rPr>
        <w:t>Palynol</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2019</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264</w:t>
      </w:r>
      <w:r>
        <w:rPr>
          <w:rFonts w:ascii="Palatino Linotype" w:hAnsi="Palatino Linotype" w:cs="Calibri"/>
          <w:bCs/>
          <w:sz w:val="18"/>
          <w:szCs w:val="18"/>
          <w:lang w:val="en-US"/>
        </w:rPr>
        <w:t>, 54–63</w:t>
      </w:r>
      <w:r>
        <w:rPr>
          <w:rFonts w:ascii="Palatino Linotype" w:hAnsi="Palatino Linotype" w:cs="Calibri"/>
          <w:sz w:val="18"/>
          <w:szCs w:val="18"/>
          <w:lang w:val="en-US"/>
        </w:rPr>
        <w:t>. https://doi.org/10.1016/j.revpalbo.2019.02.007.</w:t>
      </w:r>
    </w:p>
    <w:p w14:paraId="54161CA3"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rPr>
        <w:t xml:space="preserve">Li, </w:t>
      </w:r>
      <w:proofErr w:type="gramStart"/>
      <w:r>
        <w:rPr>
          <w:rFonts w:ascii="Palatino Linotype" w:hAnsi="Palatino Linotype" w:cs="Calibri"/>
          <w:sz w:val="18"/>
          <w:szCs w:val="18"/>
        </w:rPr>
        <w:t>F.;</w:t>
      </w:r>
      <w:proofErr w:type="gramEnd"/>
      <w:r>
        <w:rPr>
          <w:rFonts w:ascii="Palatino Linotype" w:hAnsi="Palatino Linotype" w:cs="Calibri"/>
          <w:sz w:val="18"/>
          <w:szCs w:val="18"/>
        </w:rPr>
        <w:t xml:space="preserve"> Gaillard, M.-J.; Xu, Q.; </w:t>
      </w:r>
      <w:proofErr w:type="spellStart"/>
      <w:r>
        <w:rPr>
          <w:rFonts w:ascii="Palatino Linotype" w:hAnsi="Palatino Linotype" w:cs="Calibri"/>
          <w:sz w:val="18"/>
          <w:szCs w:val="18"/>
        </w:rPr>
        <w:t>Bunting</w:t>
      </w:r>
      <w:proofErr w:type="spellEnd"/>
      <w:r>
        <w:rPr>
          <w:rFonts w:ascii="Palatino Linotype" w:hAnsi="Palatino Linotype" w:cs="Calibri"/>
          <w:sz w:val="18"/>
          <w:szCs w:val="18"/>
        </w:rPr>
        <w:t xml:space="preserve">, M.J.; Li, Y.; Li, J.; Mu, H.; Lu, J.; Zhang, P.; Zhang, S.; et al. </w:t>
      </w:r>
      <w:r>
        <w:rPr>
          <w:rFonts w:ascii="Palatino Linotype" w:hAnsi="Palatino Linotype" w:cs="Calibri"/>
          <w:sz w:val="18"/>
          <w:szCs w:val="18"/>
          <w:lang w:val="en-US"/>
        </w:rPr>
        <w:t xml:space="preserve">A Review of Relative Pollen Productivity Estimates from Temperate China for Pollen-Based Quantitative Reconstruction of Past Plant Cover. </w:t>
      </w:r>
      <w:r>
        <w:rPr>
          <w:rFonts w:ascii="Palatino Linotype" w:hAnsi="Palatino Linotype" w:cs="Calibri"/>
          <w:i/>
          <w:iCs/>
          <w:sz w:val="18"/>
          <w:szCs w:val="18"/>
          <w:lang w:val="en-US"/>
        </w:rPr>
        <w:t>Front. Plant Sci.</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2018</w:t>
      </w:r>
      <w:r>
        <w:rPr>
          <w:rFonts w:ascii="Palatino Linotype" w:hAnsi="Palatino Linotype" w:cs="Calibri"/>
          <w:sz w:val="18"/>
          <w:szCs w:val="18"/>
          <w:lang w:val="en-US"/>
        </w:rPr>
        <w:t xml:space="preserve">, </w:t>
      </w:r>
      <w:r>
        <w:rPr>
          <w:rFonts w:ascii="Palatino Linotype" w:hAnsi="Palatino Linotype" w:cs="Calibri"/>
          <w:i/>
          <w:sz w:val="18"/>
          <w:szCs w:val="18"/>
          <w:lang w:val="en-US"/>
        </w:rPr>
        <w:t>9</w:t>
      </w:r>
      <w:r>
        <w:rPr>
          <w:rFonts w:ascii="Palatino Linotype" w:hAnsi="Palatino Linotype" w:cs="Calibri"/>
          <w:sz w:val="18"/>
          <w:szCs w:val="18"/>
          <w:lang w:val="en-US"/>
        </w:rPr>
        <w:t>, 1214. https://doi.org/10.3389/fpls.2018.01214.</w:t>
      </w:r>
    </w:p>
    <w:p w14:paraId="6F5575E6"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Räsänen</w:t>
      </w:r>
      <w:proofErr w:type="spellEnd"/>
      <w:r>
        <w:rPr>
          <w:rFonts w:ascii="Palatino Linotype" w:hAnsi="Palatino Linotype" w:cs="Calibri"/>
          <w:sz w:val="18"/>
          <w:szCs w:val="18"/>
          <w:lang w:val="en-US"/>
        </w:rPr>
        <w:t xml:space="preserve">, S.; </w:t>
      </w:r>
      <w:proofErr w:type="spellStart"/>
      <w:r>
        <w:rPr>
          <w:rFonts w:ascii="Palatino Linotype" w:hAnsi="Palatino Linotype" w:cs="Calibri"/>
          <w:sz w:val="18"/>
          <w:szCs w:val="18"/>
          <w:lang w:val="en-US"/>
        </w:rPr>
        <w:t>Suutari</w:t>
      </w:r>
      <w:proofErr w:type="spellEnd"/>
      <w:r>
        <w:rPr>
          <w:rFonts w:ascii="Palatino Linotype" w:hAnsi="Palatino Linotype" w:cs="Calibri"/>
          <w:sz w:val="18"/>
          <w:szCs w:val="18"/>
          <w:lang w:val="en-US"/>
        </w:rPr>
        <w:t xml:space="preserve">, H.; Nielsen, A.B. A Step Further towards Quantitative Reconstruction of Past Vegetation in Fennoscandian Boreal Forests: Pollen Productivity Estimates for Six Dominant Taxa. </w:t>
      </w:r>
      <w:r>
        <w:rPr>
          <w:rFonts w:ascii="Palatino Linotype" w:hAnsi="Palatino Linotype" w:cs="Calibri"/>
          <w:i/>
          <w:iCs/>
          <w:sz w:val="18"/>
          <w:szCs w:val="18"/>
          <w:lang w:val="en-US"/>
        </w:rPr>
        <w:t xml:space="preserve">Rev. </w:t>
      </w:r>
      <w:proofErr w:type="spellStart"/>
      <w:r>
        <w:rPr>
          <w:rFonts w:ascii="Palatino Linotype" w:hAnsi="Palatino Linotype" w:cs="Calibri"/>
          <w:i/>
          <w:iCs/>
          <w:sz w:val="18"/>
          <w:szCs w:val="18"/>
          <w:lang w:val="en-US"/>
        </w:rPr>
        <w:t>Palaeobot</w:t>
      </w:r>
      <w:proofErr w:type="spellEnd"/>
      <w:r>
        <w:rPr>
          <w:rFonts w:ascii="Palatino Linotype" w:hAnsi="Palatino Linotype" w:cs="Calibri"/>
          <w:i/>
          <w:iCs/>
          <w:sz w:val="18"/>
          <w:szCs w:val="18"/>
          <w:lang w:val="en-US"/>
        </w:rPr>
        <w:t xml:space="preserve">. </w:t>
      </w:r>
      <w:proofErr w:type="spellStart"/>
      <w:r>
        <w:rPr>
          <w:rFonts w:ascii="Palatino Linotype" w:hAnsi="Palatino Linotype" w:cs="Calibri"/>
          <w:i/>
          <w:iCs/>
          <w:sz w:val="18"/>
          <w:szCs w:val="18"/>
          <w:lang w:val="en-US"/>
        </w:rPr>
        <w:t>Palynol</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2007</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146</w:t>
      </w:r>
      <w:r>
        <w:rPr>
          <w:rFonts w:ascii="Palatino Linotype" w:hAnsi="Palatino Linotype" w:cs="Calibri"/>
          <w:bCs/>
          <w:sz w:val="18"/>
          <w:szCs w:val="18"/>
          <w:lang w:val="en-US"/>
        </w:rPr>
        <w:t>, 208–220</w:t>
      </w:r>
      <w:r>
        <w:rPr>
          <w:rFonts w:ascii="Palatino Linotype" w:hAnsi="Palatino Linotype" w:cs="Calibri"/>
          <w:sz w:val="18"/>
          <w:szCs w:val="18"/>
          <w:lang w:val="en-US"/>
        </w:rPr>
        <w:t>. https://doi.org/10.1016/J.REVPALBO.2007.04.004.</w:t>
      </w:r>
    </w:p>
    <w:p w14:paraId="3C98ECD8"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Prentice, I.C.; Parsons, R.W. Maximum Likelihood Linear Calibration of Pollen Spectra in Terms of Forest Composition. </w:t>
      </w:r>
      <w:r>
        <w:rPr>
          <w:rFonts w:ascii="Palatino Linotype" w:hAnsi="Palatino Linotype" w:cs="Calibri"/>
          <w:i/>
          <w:iCs/>
          <w:sz w:val="18"/>
          <w:szCs w:val="18"/>
          <w:lang w:val="en-US"/>
        </w:rPr>
        <w:t>Biometrics</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1983</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39</w:t>
      </w:r>
      <w:r>
        <w:rPr>
          <w:rFonts w:ascii="Palatino Linotype" w:hAnsi="Palatino Linotype" w:cs="Calibri"/>
          <w:bCs/>
          <w:sz w:val="18"/>
          <w:szCs w:val="18"/>
          <w:lang w:val="en-US"/>
        </w:rPr>
        <w:t>, 1051</w:t>
      </w:r>
      <w:r>
        <w:rPr>
          <w:rFonts w:ascii="Palatino Linotype" w:hAnsi="Palatino Linotype" w:cs="Calibri"/>
          <w:sz w:val="18"/>
          <w:szCs w:val="18"/>
          <w:lang w:val="en-US"/>
        </w:rPr>
        <w:t>. https://doi.org/10.2307/2531338.</w:t>
      </w:r>
    </w:p>
    <w:p w14:paraId="51C2F0B6"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Bunting, M.J.; Armitage, R.; Binney, H.A.; Waller, M. Estimates of ‘relative pollen productivity’ and ‘relevant source area of pollen’ for major tree taxa in two Norfolk (UK) woodlands. </w:t>
      </w:r>
      <w:r>
        <w:rPr>
          <w:rFonts w:ascii="Palatino Linotype" w:hAnsi="Palatino Linotype" w:cs="Calibri"/>
          <w:i/>
          <w:sz w:val="18"/>
          <w:szCs w:val="18"/>
          <w:lang w:val="en-US"/>
        </w:rPr>
        <w:t>Holocene</w:t>
      </w:r>
      <w:r>
        <w:rPr>
          <w:rFonts w:ascii="Palatino Linotype" w:hAnsi="Palatino Linotype" w:cs="Calibri"/>
          <w:sz w:val="18"/>
          <w:szCs w:val="18"/>
          <w:lang w:val="en-US"/>
        </w:rPr>
        <w:t xml:space="preserve"> </w:t>
      </w:r>
      <w:r>
        <w:rPr>
          <w:rFonts w:ascii="Palatino Linotype" w:hAnsi="Palatino Linotype" w:cs="Calibri"/>
          <w:b/>
          <w:sz w:val="18"/>
          <w:szCs w:val="18"/>
          <w:lang w:val="en-US"/>
        </w:rPr>
        <w:t>2005</w:t>
      </w:r>
      <w:r>
        <w:rPr>
          <w:rFonts w:ascii="Palatino Linotype" w:hAnsi="Palatino Linotype" w:cs="Calibri"/>
          <w:sz w:val="18"/>
          <w:szCs w:val="18"/>
          <w:lang w:val="en-US"/>
        </w:rPr>
        <w:t xml:space="preserve">, </w:t>
      </w:r>
      <w:r>
        <w:rPr>
          <w:rFonts w:ascii="Palatino Linotype" w:hAnsi="Palatino Linotype" w:cs="Calibri"/>
          <w:i/>
          <w:sz w:val="18"/>
          <w:szCs w:val="18"/>
          <w:lang w:val="en-US"/>
        </w:rPr>
        <w:t>15</w:t>
      </w:r>
      <w:r>
        <w:rPr>
          <w:rFonts w:ascii="Palatino Linotype" w:hAnsi="Palatino Linotype" w:cs="Calibri"/>
          <w:sz w:val="18"/>
          <w:szCs w:val="18"/>
          <w:lang w:val="en-US"/>
        </w:rPr>
        <w:t>, 459–465.</w:t>
      </w:r>
    </w:p>
    <w:p w14:paraId="3E995294"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Abraham, V.; </w:t>
      </w:r>
      <w:proofErr w:type="spellStart"/>
      <w:r>
        <w:rPr>
          <w:rFonts w:ascii="Palatino Linotype" w:hAnsi="Palatino Linotype" w:cs="Calibri"/>
          <w:sz w:val="18"/>
          <w:szCs w:val="18"/>
          <w:lang w:val="en-US"/>
        </w:rPr>
        <w:t>Kozáková</w:t>
      </w:r>
      <w:proofErr w:type="spellEnd"/>
      <w:r>
        <w:rPr>
          <w:rFonts w:ascii="Palatino Linotype" w:hAnsi="Palatino Linotype" w:cs="Calibri"/>
          <w:sz w:val="18"/>
          <w:szCs w:val="18"/>
          <w:lang w:val="en-US"/>
        </w:rPr>
        <w:t xml:space="preserve">, R. Relative Pollen Productivity Estimates in the Modern Agricultural Landscape of Central Bohemia (Czech Republic). </w:t>
      </w:r>
      <w:r>
        <w:rPr>
          <w:rFonts w:ascii="Palatino Linotype" w:hAnsi="Palatino Linotype" w:cs="Calibri"/>
          <w:i/>
          <w:iCs/>
          <w:sz w:val="18"/>
          <w:szCs w:val="18"/>
          <w:lang w:val="en-US"/>
        </w:rPr>
        <w:t xml:space="preserve">Rev. </w:t>
      </w:r>
      <w:proofErr w:type="spellStart"/>
      <w:r>
        <w:rPr>
          <w:rFonts w:ascii="Palatino Linotype" w:hAnsi="Palatino Linotype" w:cs="Calibri"/>
          <w:i/>
          <w:iCs/>
          <w:sz w:val="18"/>
          <w:szCs w:val="18"/>
          <w:lang w:val="en-US"/>
        </w:rPr>
        <w:t>Palaeobot</w:t>
      </w:r>
      <w:proofErr w:type="spellEnd"/>
      <w:r>
        <w:rPr>
          <w:rFonts w:ascii="Palatino Linotype" w:hAnsi="Palatino Linotype" w:cs="Calibri"/>
          <w:i/>
          <w:iCs/>
          <w:sz w:val="18"/>
          <w:szCs w:val="18"/>
          <w:lang w:val="en-US"/>
        </w:rPr>
        <w:t xml:space="preserve">. </w:t>
      </w:r>
      <w:proofErr w:type="spellStart"/>
      <w:r>
        <w:rPr>
          <w:rFonts w:ascii="Palatino Linotype" w:hAnsi="Palatino Linotype" w:cs="Calibri"/>
          <w:i/>
          <w:iCs/>
          <w:sz w:val="18"/>
          <w:szCs w:val="18"/>
          <w:lang w:val="en-US"/>
        </w:rPr>
        <w:t>Palynol</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sz w:val="18"/>
          <w:szCs w:val="18"/>
          <w:lang w:val="en-US"/>
        </w:rPr>
        <w:t>2012</w:t>
      </w:r>
      <w:r>
        <w:rPr>
          <w:rFonts w:ascii="Palatino Linotype" w:hAnsi="Palatino Linotype" w:cs="Calibri"/>
          <w:sz w:val="18"/>
          <w:szCs w:val="18"/>
          <w:lang w:val="en-US"/>
        </w:rPr>
        <w:t xml:space="preserve">, </w:t>
      </w:r>
      <w:r>
        <w:rPr>
          <w:rFonts w:ascii="Palatino Linotype" w:hAnsi="Palatino Linotype" w:cs="Calibri"/>
          <w:i/>
          <w:sz w:val="18"/>
          <w:szCs w:val="18"/>
          <w:lang w:val="en-US"/>
        </w:rPr>
        <w:t>179</w:t>
      </w:r>
      <w:r>
        <w:rPr>
          <w:rFonts w:ascii="Palatino Linotype" w:hAnsi="Palatino Linotype" w:cs="Calibri"/>
          <w:sz w:val="18"/>
          <w:szCs w:val="18"/>
          <w:lang w:val="en-US"/>
        </w:rPr>
        <w:t>, 1–12. https://doi.org/10.1016/j.revpalbo.2012.04.004.</w:t>
      </w:r>
    </w:p>
    <w:p w14:paraId="1B01D727"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Nielsen, A.B. Modelling Pollen Sedimentation in Danish Lakes at c. AD 1800: An Attempt to Validate the POLLSCAPE Model. </w:t>
      </w:r>
      <w:r>
        <w:rPr>
          <w:rFonts w:ascii="Palatino Linotype" w:hAnsi="Palatino Linotype" w:cs="Calibri"/>
          <w:i/>
          <w:iCs/>
          <w:sz w:val="18"/>
          <w:szCs w:val="18"/>
        </w:rPr>
        <w:t xml:space="preserve">J. </w:t>
      </w:r>
      <w:proofErr w:type="spellStart"/>
      <w:r>
        <w:rPr>
          <w:rFonts w:ascii="Palatino Linotype" w:hAnsi="Palatino Linotype" w:cs="Calibri"/>
          <w:i/>
          <w:iCs/>
          <w:sz w:val="18"/>
          <w:szCs w:val="18"/>
        </w:rPr>
        <w:t>Biogeogr</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sz w:val="18"/>
          <w:szCs w:val="18"/>
        </w:rPr>
        <w:t>2004</w:t>
      </w:r>
      <w:r>
        <w:rPr>
          <w:rFonts w:ascii="Palatino Linotype" w:hAnsi="Palatino Linotype" w:cs="Calibri"/>
          <w:sz w:val="18"/>
          <w:szCs w:val="18"/>
        </w:rPr>
        <w:t xml:space="preserve">, </w:t>
      </w:r>
      <w:r>
        <w:rPr>
          <w:rFonts w:ascii="Palatino Linotype" w:hAnsi="Palatino Linotype" w:cs="Calibri"/>
          <w:i/>
          <w:sz w:val="18"/>
          <w:szCs w:val="18"/>
        </w:rPr>
        <w:t>31</w:t>
      </w:r>
      <w:r>
        <w:rPr>
          <w:rFonts w:ascii="Palatino Linotype" w:hAnsi="Palatino Linotype" w:cs="Calibri"/>
          <w:sz w:val="18"/>
          <w:szCs w:val="18"/>
        </w:rPr>
        <w:t>, 1693–1709. https://doi.org/10.1111/j.1365-2699.2004.01080.x.</w:t>
      </w:r>
    </w:p>
    <w:p w14:paraId="30A7AF69"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lang w:val="en-US"/>
        </w:rPr>
        <w:t>Poska</w:t>
      </w:r>
      <w:proofErr w:type="spellEnd"/>
      <w:r>
        <w:rPr>
          <w:rFonts w:ascii="Palatino Linotype" w:hAnsi="Palatino Linotype" w:cs="Calibri"/>
          <w:sz w:val="18"/>
          <w:szCs w:val="18"/>
          <w:lang w:val="en-US"/>
        </w:rPr>
        <w:t xml:space="preserve">, A.; </w:t>
      </w:r>
      <w:proofErr w:type="spellStart"/>
      <w:r>
        <w:rPr>
          <w:rFonts w:ascii="Palatino Linotype" w:hAnsi="Palatino Linotype" w:cs="Calibri"/>
          <w:sz w:val="18"/>
          <w:szCs w:val="18"/>
          <w:lang w:val="en-US"/>
        </w:rPr>
        <w:t>Meltsov</w:t>
      </w:r>
      <w:proofErr w:type="spellEnd"/>
      <w:r>
        <w:rPr>
          <w:rFonts w:ascii="Palatino Linotype" w:hAnsi="Palatino Linotype" w:cs="Calibri"/>
          <w:sz w:val="18"/>
          <w:szCs w:val="18"/>
          <w:lang w:val="en-US"/>
        </w:rPr>
        <w:t xml:space="preserve">, V.; Sugita, S.; </w:t>
      </w:r>
      <w:proofErr w:type="spellStart"/>
      <w:r>
        <w:rPr>
          <w:rFonts w:ascii="Palatino Linotype" w:hAnsi="Palatino Linotype" w:cs="Calibri"/>
          <w:sz w:val="18"/>
          <w:szCs w:val="18"/>
          <w:lang w:val="en-US"/>
        </w:rPr>
        <w:t>Vassiljev</w:t>
      </w:r>
      <w:proofErr w:type="spellEnd"/>
      <w:r>
        <w:rPr>
          <w:rFonts w:ascii="Palatino Linotype" w:hAnsi="Palatino Linotype" w:cs="Calibri"/>
          <w:sz w:val="18"/>
          <w:szCs w:val="18"/>
          <w:lang w:val="en-US"/>
        </w:rPr>
        <w:t xml:space="preserve">, J. Relative Pollen Productivity Estimates of Major Anemophilous Taxa and Relevant Source Area of Pollen in a Cultural Landscape of the Hemi-Boreal Forest Zone (Estonia). </w:t>
      </w:r>
      <w:proofErr w:type="spellStart"/>
      <w:r>
        <w:rPr>
          <w:rFonts w:ascii="Palatino Linotype" w:hAnsi="Palatino Linotype" w:cs="Calibri"/>
          <w:i/>
          <w:iCs/>
          <w:sz w:val="18"/>
          <w:szCs w:val="18"/>
        </w:rPr>
        <w:t>Rev</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Palaeobot</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Palynol</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bCs/>
          <w:sz w:val="18"/>
          <w:szCs w:val="18"/>
        </w:rPr>
        <w:t>2011</w:t>
      </w:r>
      <w:r>
        <w:rPr>
          <w:rFonts w:ascii="Palatino Linotype" w:hAnsi="Palatino Linotype" w:cs="Calibri"/>
          <w:bCs/>
          <w:sz w:val="18"/>
          <w:szCs w:val="18"/>
        </w:rPr>
        <w:t xml:space="preserve">, </w:t>
      </w:r>
      <w:r>
        <w:rPr>
          <w:rFonts w:ascii="Palatino Linotype" w:hAnsi="Palatino Linotype" w:cs="Calibri"/>
          <w:bCs/>
          <w:i/>
          <w:sz w:val="18"/>
          <w:szCs w:val="18"/>
        </w:rPr>
        <w:t>167</w:t>
      </w:r>
      <w:r>
        <w:rPr>
          <w:rFonts w:ascii="Palatino Linotype" w:hAnsi="Palatino Linotype" w:cs="Calibri"/>
          <w:bCs/>
          <w:sz w:val="18"/>
          <w:szCs w:val="18"/>
        </w:rPr>
        <w:t>, 30–39</w:t>
      </w:r>
      <w:r>
        <w:rPr>
          <w:rFonts w:ascii="Palatino Linotype" w:hAnsi="Palatino Linotype" w:cs="Calibri"/>
          <w:sz w:val="18"/>
          <w:szCs w:val="18"/>
        </w:rPr>
        <w:t>. https://doi.org/10.1016/J.REVPALBO.2011.07.001.</w:t>
      </w:r>
    </w:p>
    <w:p w14:paraId="2C012A7C"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Theuerkauf, M.; </w:t>
      </w:r>
      <w:proofErr w:type="spellStart"/>
      <w:r>
        <w:rPr>
          <w:rFonts w:ascii="Palatino Linotype" w:hAnsi="Palatino Linotype" w:cs="Calibri"/>
          <w:sz w:val="18"/>
          <w:szCs w:val="18"/>
          <w:lang w:val="en-US"/>
        </w:rPr>
        <w:t>Kuparinen</w:t>
      </w:r>
      <w:proofErr w:type="spellEnd"/>
      <w:r>
        <w:rPr>
          <w:rFonts w:ascii="Palatino Linotype" w:hAnsi="Palatino Linotype" w:cs="Calibri"/>
          <w:sz w:val="18"/>
          <w:szCs w:val="18"/>
          <w:lang w:val="en-US"/>
        </w:rPr>
        <w:t xml:space="preserve">, A.; Joosten, H. Pollen Productivity Estimates Strongly Depend on Assumed Pollen Dispersal. </w:t>
      </w:r>
      <w:r>
        <w:rPr>
          <w:rFonts w:ascii="Palatino Linotype" w:hAnsi="Palatino Linotype" w:cs="Calibri"/>
          <w:i/>
          <w:iCs/>
          <w:sz w:val="18"/>
          <w:szCs w:val="18"/>
          <w:lang w:val="en-US"/>
        </w:rPr>
        <w:t>Holocene</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2013</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23</w:t>
      </w:r>
      <w:r>
        <w:rPr>
          <w:rFonts w:ascii="Palatino Linotype" w:hAnsi="Palatino Linotype" w:cs="Calibri"/>
          <w:bCs/>
          <w:sz w:val="18"/>
          <w:szCs w:val="18"/>
          <w:lang w:val="en-US"/>
        </w:rPr>
        <w:t>, 14–24</w:t>
      </w:r>
      <w:r>
        <w:rPr>
          <w:rFonts w:ascii="Palatino Linotype" w:hAnsi="Palatino Linotype" w:cs="Calibri"/>
          <w:sz w:val="18"/>
          <w:szCs w:val="18"/>
          <w:lang w:val="en-US"/>
        </w:rPr>
        <w:t>. https://doi.org/10.1177/0959683612450194/ASSET/IMAGES/LARGE/10.1177_0959683612450194-FIG2.JPEG.</w:t>
      </w:r>
    </w:p>
    <w:p w14:paraId="43C79AA2"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Hjelle</w:t>
      </w:r>
      <w:proofErr w:type="spellEnd"/>
      <w:r>
        <w:rPr>
          <w:rFonts w:ascii="Palatino Linotype" w:hAnsi="Palatino Linotype" w:cs="Calibri"/>
          <w:sz w:val="18"/>
          <w:szCs w:val="18"/>
          <w:lang w:val="en-US"/>
        </w:rPr>
        <w:t xml:space="preserve">, K.L. Herb Pollen Representation in Surface Moss Samples from Mown Meadows and Pastures in Western Norway. </w:t>
      </w:r>
      <w:r>
        <w:rPr>
          <w:rFonts w:ascii="Palatino Linotype" w:hAnsi="Palatino Linotype" w:cs="Calibri"/>
          <w:i/>
          <w:iCs/>
          <w:sz w:val="18"/>
          <w:szCs w:val="18"/>
          <w:lang w:val="en-US"/>
        </w:rPr>
        <w:t xml:space="preserve">Veg. Hist. </w:t>
      </w:r>
      <w:proofErr w:type="spellStart"/>
      <w:r>
        <w:rPr>
          <w:rFonts w:ascii="Palatino Linotype" w:hAnsi="Palatino Linotype" w:cs="Calibri"/>
          <w:i/>
          <w:iCs/>
          <w:sz w:val="18"/>
          <w:szCs w:val="18"/>
          <w:lang w:val="en-US"/>
        </w:rPr>
        <w:t>Archaeobot</w:t>
      </w:r>
      <w:proofErr w:type="spellEnd"/>
      <w:r>
        <w:rPr>
          <w:rFonts w:ascii="Palatino Linotype" w:hAnsi="Palatino Linotype" w:cs="Calibri"/>
          <w:i/>
          <w:iCs/>
          <w:sz w:val="18"/>
          <w:szCs w:val="18"/>
          <w:lang w:val="en-US"/>
        </w:rPr>
        <w:t>.</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1998</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7</w:t>
      </w:r>
      <w:r>
        <w:rPr>
          <w:rFonts w:ascii="Palatino Linotype" w:hAnsi="Palatino Linotype" w:cs="Calibri"/>
          <w:bCs/>
          <w:sz w:val="18"/>
          <w:szCs w:val="18"/>
          <w:lang w:val="en-US"/>
        </w:rPr>
        <w:t>, 79–96</w:t>
      </w:r>
      <w:r>
        <w:rPr>
          <w:rFonts w:ascii="Palatino Linotype" w:hAnsi="Palatino Linotype" w:cs="Calibri"/>
          <w:sz w:val="18"/>
          <w:szCs w:val="18"/>
          <w:lang w:val="en-US"/>
        </w:rPr>
        <w:t>. https://doi.org/10.1007/BF01373926.</w:t>
      </w:r>
    </w:p>
    <w:p w14:paraId="5B840C8C"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Baker, A.G.; Zimny, M.; </w:t>
      </w:r>
      <w:proofErr w:type="spellStart"/>
      <w:r>
        <w:rPr>
          <w:rFonts w:ascii="Palatino Linotype" w:hAnsi="Palatino Linotype" w:cs="Calibri"/>
          <w:sz w:val="18"/>
          <w:szCs w:val="18"/>
          <w:lang w:val="en-US"/>
        </w:rPr>
        <w:t>Keczyński</w:t>
      </w:r>
      <w:proofErr w:type="spellEnd"/>
      <w:r>
        <w:rPr>
          <w:rFonts w:ascii="Palatino Linotype" w:hAnsi="Palatino Linotype" w:cs="Calibri"/>
          <w:sz w:val="18"/>
          <w:szCs w:val="18"/>
          <w:lang w:val="en-US"/>
        </w:rPr>
        <w:t xml:space="preserve">, A.; Bhagwat, S.A.; Willis, K.J.; </w:t>
      </w:r>
      <w:proofErr w:type="spellStart"/>
      <w:r>
        <w:rPr>
          <w:rFonts w:ascii="Palatino Linotype" w:hAnsi="Palatino Linotype" w:cs="Calibri"/>
          <w:sz w:val="18"/>
          <w:szCs w:val="18"/>
          <w:lang w:val="en-US"/>
        </w:rPr>
        <w:t>Latałowa</w:t>
      </w:r>
      <w:proofErr w:type="spellEnd"/>
      <w:r>
        <w:rPr>
          <w:rFonts w:ascii="Palatino Linotype" w:hAnsi="Palatino Linotype" w:cs="Calibri"/>
          <w:sz w:val="18"/>
          <w:szCs w:val="18"/>
          <w:lang w:val="en-US"/>
        </w:rPr>
        <w:t xml:space="preserve">, M. Pollen Productivity Estimates from Old-Growth Forest Strongly Differ from Those Obtained in Cultural Landscapes: Evidence from the </w:t>
      </w:r>
      <w:proofErr w:type="spellStart"/>
      <w:r>
        <w:rPr>
          <w:rFonts w:ascii="Palatino Linotype" w:hAnsi="Palatino Linotype" w:cs="Calibri"/>
          <w:sz w:val="18"/>
          <w:szCs w:val="18"/>
          <w:lang w:val="en-US"/>
        </w:rPr>
        <w:t>Białowieża</w:t>
      </w:r>
      <w:proofErr w:type="spellEnd"/>
      <w:r>
        <w:rPr>
          <w:rFonts w:ascii="Palatino Linotype" w:hAnsi="Palatino Linotype" w:cs="Calibri"/>
          <w:sz w:val="18"/>
          <w:szCs w:val="18"/>
          <w:lang w:val="en-US"/>
        </w:rPr>
        <w:t xml:space="preserve"> National Park, Poland. </w:t>
      </w:r>
      <w:proofErr w:type="spellStart"/>
      <w:r>
        <w:rPr>
          <w:rFonts w:ascii="Palatino Linotype" w:hAnsi="Palatino Linotype" w:cs="Calibri"/>
          <w:i/>
          <w:iCs/>
          <w:sz w:val="18"/>
          <w:szCs w:val="18"/>
        </w:rPr>
        <w:t>Holocene</w:t>
      </w:r>
      <w:proofErr w:type="spellEnd"/>
      <w:r>
        <w:rPr>
          <w:rFonts w:ascii="Palatino Linotype" w:hAnsi="Palatino Linotype" w:cs="Calibri"/>
          <w:sz w:val="18"/>
          <w:szCs w:val="18"/>
        </w:rPr>
        <w:t xml:space="preserve"> </w:t>
      </w:r>
      <w:r>
        <w:rPr>
          <w:rFonts w:ascii="Palatino Linotype" w:hAnsi="Palatino Linotype" w:cs="Calibri"/>
          <w:b/>
          <w:sz w:val="18"/>
          <w:szCs w:val="18"/>
        </w:rPr>
        <w:t>2016</w:t>
      </w:r>
      <w:r>
        <w:rPr>
          <w:rFonts w:ascii="Palatino Linotype" w:hAnsi="Palatino Linotype" w:cs="Calibri"/>
          <w:sz w:val="18"/>
          <w:szCs w:val="18"/>
        </w:rPr>
        <w:t xml:space="preserve">, </w:t>
      </w:r>
      <w:r>
        <w:rPr>
          <w:rFonts w:ascii="Palatino Linotype" w:hAnsi="Palatino Linotype" w:cs="Calibri"/>
          <w:i/>
          <w:sz w:val="18"/>
          <w:szCs w:val="18"/>
        </w:rPr>
        <w:t>26</w:t>
      </w:r>
      <w:r>
        <w:rPr>
          <w:rFonts w:ascii="Palatino Linotype" w:hAnsi="Palatino Linotype" w:cs="Calibri"/>
          <w:sz w:val="18"/>
          <w:szCs w:val="18"/>
        </w:rPr>
        <w:t>, 80–92. https://doi.org/10.1177/0959683615596822.</w:t>
      </w:r>
    </w:p>
    <w:p w14:paraId="73E22C93"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proofErr w:type="spellStart"/>
      <w:r>
        <w:rPr>
          <w:rFonts w:ascii="Palatino Linotype" w:hAnsi="Palatino Linotype" w:cs="Calibri"/>
          <w:sz w:val="18"/>
          <w:szCs w:val="18"/>
          <w:lang w:val="en-US"/>
        </w:rPr>
        <w:t>Broström</w:t>
      </w:r>
      <w:proofErr w:type="spellEnd"/>
      <w:r>
        <w:rPr>
          <w:rFonts w:ascii="Palatino Linotype" w:hAnsi="Palatino Linotype" w:cs="Calibri"/>
          <w:sz w:val="18"/>
          <w:szCs w:val="18"/>
          <w:lang w:val="en-US"/>
        </w:rPr>
        <w:t xml:space="preserve">, A.; Sugita, S.; Gaillard, M.J. Pollen Productivity Estimates for the Reconstruction of Past Vegetation Cover in the Cultural Landscape of Southern Sweden. </w:t>
      </w:r>
      <w:r>
        <w:rPr>
          <w:rFonts w:ascii="Palatino Linotype" w:hAnsi="Palatino Linotype" w:cs="Calibri"/>
          <w:i/>
          <w:iCs/>
          <w:sz w:val="18"/>
          <w:szCs w:val="18"/>
          <w:lang w:val="en-US"/>
        </w:rPr>
        <w:t>Holocene</w:t>
      </w:r>
      <w:r>
        <w:rPr>
          <w:rFonts w:ascii="Palatino Linotype" w:hAnsi="Palatino Linotype" w:cs="Calibri"/>
          <w:sz w:val="18"/>
          <w:szCs w:val="18"/>
          <w:lang w:val="en-US"/>
        </w:rPr>
        <w:t xml:space="preserve"> </w:t>
      </w:r>
      <w:r>
        <w:rPr>
          <w:rFonts w:ascii="Palatino Linotype" w:hAnsi="Palatino Linotype" w:cs="Calibri"/>
          <w:b/>
          <w:sz w:val="18"/>
          <w:szCs w:val="18"/>
          <w:lang w:val="en-US"/>
        </w:rPr>
        <w:t>2004</w:t>
      </w:r>
      <w:r>
        <w:rPr>
          <w:rFonts w:ascii="Palatino Linotype" w:hAnsi="Palatino Linotype" w:cs="Calibri"/>
          <w:sz w:val="18"/>
          <w:szCs w:val="18"/>
          <w:lang w:val="en-US"/>
        </w:rPr>
        <w:t xml:space="preserve">, </w:t>
      </w:r>
      <w:r>
        <w:rPr>
          <w:rFonts w:ascii="Palatino Linotype" w:hAnsi="Palatino Linotype" w:cs="Calibri"/>
          <w:i/>
          <w:sz w:val="18"/>
          <w:szCs w:val="18"/>
          <w:lang w:val="en-US"/>
        </w:rPr>
        <w:t>14</w:t>
      </w:r>
      <w:r>
        <w:rPr>
          <w:rFonts w:ascii="Palatino Linotype" w:hAnsi="Palatino Linotype" w:cs="Calibri"/>
          <w:sz w:val="18"/>
          <w:szCs w:val="18"/>
          <w:lang w:val="en-US"/>
        </w:rPr>
        <w:t>, 368–381. https://doi.org/10.1191/0959683604hl713rp.</w:t>
      </w:r>
    </w:p>
    <w:p w14:paraId="46D4FBD0"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Sugita, S.; Gaillard, M.J.; </w:t>
      </w:r>
      <w:proofErr w:type="spellStart"/>
      <w:r>
        <w:rPr>
          <w:rFonts w:ascii="Palatino Linotype" w:hAnsi="Palatino Linotype" w:cs="Calibri"/>
          <w:sz w:val="18"/>
          <w:szCs w:val="18"/>
          <w:lang w:val="en-US"/>
        </w:rPr>
        <w:t>Broström</w:t>
      </w:r>
      <w:proofErr w:type="spellEnd"/>
      <w:r>
        <w:rPr>
          <w:rFonts w:ascii="Palatino Linotype" w:hAnsi="Palatino Linotype" w:cs="Calibri"/>
          <w:sz w:val="18"/>
          <w:szCs w:val="18"/>
          <w:lang w:val="en-US"/>
        </w:rPr>
        <w:t xml:space="preserve">, A. Landscape Openness and Pollen Records: A Simulation Approach. </w:t>
      </w:r>
      <w:r>
        <w:rPr>
          <w:rFonts w:ascii="Palatino Linotype" w:hAnsi="Palatino Linotype" w:cs="Calibri"/>
          <w:i/>
          <w:iCs/>
          <w:sz w:val="18"/>
          <w:szCs w:val="18"/>
          <w:lang w:val="en-US"/>
        </w:rPr>
        <w:t>Holocene</w:t>
      </w:r>
      <w:r>
        <w:rPr>
          <w:rFonts w:ascii="Palatino Linotype" w:hAnsi="Palatino Linotype" w:cs="Calibri"/>
          <w:sz w:val="18"/>
          <w:szCs w:val="18"/>
          <w:lang w:val="en-US"/>
        </w:rPr>
        <w:t xml:space="preserve"> </w:t>
      </w:r>
      <w:r>
        <w:rPr>
          <w:rFonts w:ascii="Palatino Linotype" w:hAnsi="Palatino Linotype" w:cs="Calibri"/>
          <w:b/>
          <w:bCs/>
          <w:sz w:val="18"/>
          <w:szCs w:val="18"/>
          <w:lang w:val="en-US"/>
        </w:rPr>
        <w:t>1999</w:t>
      </w:r>
      <w:r>
        <w:rPr>
          <w:rFonts w:ascii="Palatino Linotype" w:hAnsi="Palatino Linotype" w:cs="Calibri"/>
          <w:bCs/>
          <w:sz w:val="18"/>
          <w:szCs w:val="18"/>
          <w:lang w:val="en-US"/>
        </w:rPr>
        <w:t xml:space="preserve">, </w:t>
      </w:r>
      <w:r>
        <w:rPr>
          <w:rFonts w:ascii="Palatino Linotype" w:hAnsi="Palatino Linotype" w:cs="Calibri"/>
          <w:bCs/>
          <w:i/>
          <w:sz w:val="18"/>
          <w:szCs w:val="18"/>
          <w:lang w:val="en-US"/>
        </w:rPr>
        <w:t>9</w:t>
      </w:r>
      <w:r>
        <w:rPr>
          <w:rFonts w:ascii="Palatino Linotype" w:hAnsi="Palatino Linotype" w:cs="Calibri"/>
          <w:bCs/>
          <w:sz w:val="18"/>
          <w:szCs w:val="18"/>
          <w:lang w:val="en-US"/>
        </w:rPr>
        <w:t>, 409–421</w:t>
      </w:r>
      <w:r>
        <w:rPr>
          <w:rFonts w:ascii="Palatino Linotype" w:hAnsi="Palatino Linotype" w:cs="Calibri"/>
          <w:sz w:val="18"/>
          <w:szCs w:val="18"/>
          <w:lang w:val="en-US"/>
        </w:rPr>
        <w:t>. https://doi.org/10.1191/095968399666429937.</w:t>
      </w:r>
    </w:p>
    <w:p w14:paraId="73CD3081"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lang w:val="en-US"/>
        </w:rPr>
        <w:t>Soepboer</w:t>
      </w:r>
      <w:proofErr w:type="spellEnd"/>
      <w:r>
        <w:rPr>
          <w:rFonts w:ascii="Palatino Linotype" w:hAnsi="Palatino Linotype" w:cs="Calibri"/>
          <w:sz w:val="18"/>
          <w:szCs w:val="18"/>
          <w:lang w:val="en-US"/>
        </w:rPr>
        <w:t xml:space="preserve">, W.; Sugita, S.; Lotter, A.F.; van Leeuwen, J.F.N.; van der </w:t>
      </w:r>
      <w:proofErr w:type="spellStart"/>
      <w:r>
        <w:rPr>
          <w:rFonts w:ascii="Palatino Linotype" w:hAnsi="Palatino Linotype" w:cs="Calibri"/>
          <w:sz w:val="18"/>
          <w:szCs w:val="18"/>
          <w:lang w:val="en-US"/>
        </w:rPr>
        <w:t>Knaap</w:t>
      </w:r>
      <w:proofErr w:type="spellEnd"/>
      <w:r>
        <w:rPr>
          <w:rFonts w:ascii="Palatino Linotype" w:hAnsi="Palatino Linotype" w:cs="Calibri"/>
          <w:sz w:val="18"/>
          <w:szCs w:val="18"/>
          <w:lang w:val="en-US"/>
        </w:rPr>
        <w:t xml:space="preserve">, W.O. Pollen Productivity Estimates for Quantitative Reconstruction of Vegetation Cover on the Swiss Plateau. </w:t>
      </w:r>
      <w:proofErr w:type="spellStart"/>
      <w:r>
        <w:rPr>
          <w:rFonts w:ascii="Palatino Linotype" w:hAnsi="Palatino Linotype" w:cs="Calibri"/>
          <w:i/>
          <w:iCs/>
          <w:sz w:val="18"/>
          <w:szCs w:val="18"/>
        </w:rPr>
        <w:t>Holocene</w:t>
      </w:r>
      <w:proofErr w:type="spellEnd"/>
      <w:r>
        <w:rPr>
          <w:rFonts w:ascii="Palatino Linotype" w:hAnsi="Palatino Linotype" w:cs="Calibri"/>
          <w:sz w:val="18"/>
          <w:szCs w:val="18"/>
        </w:rPr>
        <w:t xml:space="preserve"> </w:t>
      </w:r>
      <w:r>
        <w:rPr>
          <w:rFonts w:ascii="Palatino Linotype" w:hAnsi="Palatino Linotype" w:cs="Calibri"/>
          <w:b/>
          <w:sz w:val="18"/>
          <w:szCs w:val="18"/>
        </w:rPr>
        <w:t>2007</w:t>
      </w:r>
      <w:r>
        <w:rPr>
          <w:rFonts w:ascii="Palatino Linotype" w:hAnsi="Palatino Linotype" w:cs="Calibri"/>
          <w:sz w:val="18"/>
          <w:szCs w:val="18"/>
        </w:rPr>
        <w:t xml:space="preserve">, </w:t>
      </w:r>
      <w:r>
        <w:rPr>
          <w:rFonts w:ascii="Palatino Linotype" w:hAnsi="Palatino Linotype" w:cs="Calibri"/>
          <w:i/>
          <w:sz w:val="18"/>
          <w:szCs w:val="18"/>
        </w:rPr>
        <w:t>17</w:t>
      </w:r>
      <w:r>
        <w:rPr>
          <w:rFonts w:ascii="Palatino Linotype" w:hAnsi="Palatino Linotype" w:cs="Calibri"/>
          <w:sz w:val="18"/>
          <w:szCs w:val="18"/>
        </w:rPr>
        <w:t>, 65–77. https://doi.org/10.1177/0959683607073279.</w:t>
      </w:r>
    </w:p>
    <w:p w14:paraId="21CAABD1"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proofErr w:type="spellStart"/>
      <w:r>
        <w:rPr>
          <w:rFonts w:ascii="Palatino Linotype" w:hAnsi="Palatino Linotype" w:cs="Calibri"/>
          <w:sz w:val="18"/>
          <w:szCs w:val="18"/>
          <w:lang w:val="en-US"/>
        </w:rPr>
        <w:t>Mazier</w:t>
      </w:r>
      <w:proofErr w:type="spellEnd"/>
      <w:r>
        <w:rPr>
          <w:rFonts w:ascii="Palatino Linotype" w:hAnsi="Palatino Linotype" w:cs="Calibri"/>
          <w:sz w:val="18"/>
          <w:szCs w:val="18"/>
          <w:lang w:val="en-US"/>
        </w:rPr>
        <w:t xml:space="preserve">, F.; </w:t>
      </w:r>
      <w:proofErr w:type="spellStart"/>
      <w:r>
        <w:rPr>
          <w:rFonts w:ascii="Palatino Linotype" w:hAnsi="Palatino Linotype" w:cs="Calibri"/>
          <w:sz w:val="18"/>
          <w:szCs w:val="18"/>
          <w:lang w:val="en-US"/>
        </w:rPr>
        <w:t>Broström</w:t>
      </w:r>
      <w:proofErr w:type="spellEnd"/>
      <w:r>
        <w:rPr>
          <w:rFonts w:ascii="Palatino Linotype" w:hAnsi="Palatino Linotype" w:cs="Calibri"/>
          <w:sz w:val="18"/>
          <w:szCs w:val="18"/>
          <w:lang w:val="en-US"/>
        </w:rPr>
        <w:t xml:space="preserve">, A.; Gaillard, M.-J.; Sugita, S.; </w:t>
      </w:r>
      <w:proofErr w:type="spellStart"/>
      <w:r>
        <w:rPr>
          <w:rFonts w:ascii="Palatino Linotype" w:hAnsi="Palatino Linotype" w:cs="Calibri"/>
          <w:sz w:val="18"/>
          <w:szCs w:val="18"/>
          <w:lang w:val="en-US"/>
        </w:rPr>
        <w:t>Vittoz</w:t>
      </w:r>
      <w:proofErr w:type="spellEnd"/>
      <w:r>
        <w:rPr>
          <w:rFonts w:ascii="Palatino Linotype" w:hAnsi="Palatino Linotype" w:cs="Calibri"/>
          <w:sz w:val="18"/>
          <w:szCs w:val="18"/>
          <w:lang w:val="en-US"/>
        </w:rPr>
        <w:t xml:space="preserve">, P.; </w:t>
      </w:r>
      <w:proofErr w:type="spellStart"/>
      <w:r>
        <w:rPr>
          <w:rFonts w:ascii="Palatino Linotype" w:hAnsi="Palatino Linotype" w:cs="Calibri"/>
          <w:sz w:val="18"/>
          <w:szCs w:val="18"/>
          <w:lang w:val="en-US"/>
        </w:rPr>
        <w:t>Buttler</w:t>
      </w:r>
      <w:proofErr w:type="spellEnd"/>
      <w:r>
        <w:rPr>
          <w:rFonts w:ascii="Palatino Linotype" w:hAnsi="Palatino Linotype" w:cs="Calibri"/>
          <w:sz w:val="18"/>
          <w:szCs w:val="18"/>
          <w:lang w:val="en-US"/>
        </w:rPr>
        <w:t xml:space="preserve">, A. Pollen Productivity Estimates and Relevant Source Area of Pollen for Selected Plant Taxa in a Pasture Woodland Landscape of the Jura Mountains (Switzerland). </w:t>
      </w:r>
      <w:proofErr w:type="spellStart"/>
      <w:r>
        <w:rPr>
          <w:rFonts w:ascii="Palatino Linotype" w:hAnsi="Palatino Linotype" w:cs="Calibri"/>
          <w:i/>
          <w:iCs/>
          <w:sz w:val="18"/>
          <w:szCs w:val="18"/>
        </w:rPr>
        <w:t>Veg</w:t>
      </w:r>
      <w:proofErr w:type="spellEnd"/>
      <w:r>
        <w:rPr>
          <w:rFonts w:ascii="Palatino Linotype" w:hAnsi="Palatino Linotype" w:cs="Calibri"/>
          <w:i/>
          <w:iCs/>
          <w:sz w:val="18"/>
          <w:szCs w:val="18"/>
        </w:rPr>
        <w:t xml:space="preserve">. Hist. </w:t>
      </w:r>
      <w:proofErr w:type="spellStart"/>
      <w:r>
        <w:rPr>
          <w:rFonts w:ascii="Palatino Linotype" w:hAnsi="Palatino Linotype" w:cs="Calibri"/>
          <w:i/>
          <w:iCs/>
          <w:sz w:val="18"/>
          <w:szCs w:val="18"/>
        </w:rPr>
        <w:t>Archaeobot</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sz w:val="18"/>
          <w:szCs w:val="18"/>
        </w:rPr>
        <w:t>2008</w:t>
      </w:r>
      <w:r>
        <w:rPr>
          <w:rFonts w:ascii="Palatino Linotype" w:hAnsi="Palatino Linotype" w:cs="Calibri"/>
          <w:sz w:val="18"/>
          <w:szCs w:val="18"/>
        </w:rPr>
        <w:t xml:space="preserve">, </w:t>
      </w:r>
      <w:r>
        <w:rPr>
          <w:rFonts w:ascii="Palatino Linotype" w:hAnsi="Palatino Linotype" w:cs="Calibri"/>
          <w:i/>
          <w:sz w:val="18"/>
          <w:szCs w:val="18"/>
        </w:rPr>
        <w:t>17</w:t>
      </w:r>
      <w:r>
        <w:rPr>
          <w:rFonts w:ascii="Palatino Linotype" w:hAnsi="Palatino Linotype" w:cs="Calibri"/>
          <w:sz w:val="18"/>
          <w:szCs w:val="18"/>
        </w:rPr>
        <w:t>, 479–495. https://doi.org/10.1007/s00334-008-0143-0.</w:t>
      </w:r>
    </w:p>
    <w:p w14:paraId="772E3A94"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rPr>
        <w:lastRenderedPageBreak/>
        <w:t xml:space="preserve">Li, </w:t>
      </w:r>
      <w:proofErr w:type="gramStart"/>
      <w:r>
        <w:rPr>
          <w:rFonts w:ascii="Palatino Linotype" w:hAnsi="Palatino Linotype" w:cs="Calibri"/>
          <w:sz w:val="18"/>
          <w:szCs w:val="18"/>
        </w:rPr>
        <w:t>F.;</w:t>
      </w:r>
      <w:proofErr w:type="gramEnd"/>
      <w:r>
        <w:rPr>
          <w:rFonts w:ascii="Palatino Linotype" w:hAnsi="Palatino Linotype" w:cs="Calibri"/>
          <w:sz w:val="18"/>
          <w:szCs w:val="18"/>
        </w:rPr>
        <w:t xml:space="preserve"> Gaillard, M.-J.; Cao, X.; </w:t>
      </w:r>
      <w:proofErr w:type="spellStart"/>
      <w:r>
        <w:rPr>
          <w:rFonts w:ascii="Palatino Linotype" w:hAnsi="Palatino Linotype" w:cs="Calibri"/>
          <w:sz w:val="18"/>
          <w:szCs w:val="18"/>
        </w:rPr>
        <w:t>Herzschuh</w:t>
      </w:r>
      <w:proofErr w:type="spellEnd"/>
      <w:r>
        <w:rPr>
          <w:rFonts w:ascii="Palatino Linotype" w:hAnsi="Palatino Linotype" w:cs="Calibri"/>
          <w:sz w:val="18"/>
          <w:szCs w:val="18"/>
        </w:rPr>
        <w:t xml:space="preserve">, U.; </w:t>
      </w:r>
      <w:proofErr w:type="spellStart"/>
      <w:r>
        <w:rPr>
          <w:rFonts w:ascii="Palatino Linotype" w:hAnsi="Palatino Linotype" w:cs="Calibri"/>
          <w:sz w:val="18"/>
          <w:szCs w:val="18"/>
        </w:rPr>
        <w:t>Sugita</w:t>
      </w:r>
      <w:proofErr w:type="spellEnd"/>
      <w:r>
        <w:rPr>
          <w:rFonts w:ascii="Palatino Linotype" w:hAnsi="Palatino Linotype" w:cs="Calibri"/>
          <w:sz w:val="18"/>
          <w:szCs w:val="18"/>
        </w:rPr>
        <w:t xml:space="preserve">, S.; </w:t>
      </w:r>
      <w:proofErr w:type="spellStart"/>
      <w:r>
        <w:rPr>
          <w:rFonts w:ascii="Palatino Linotype" w:hAnsi="Palatino Linotype" w:cs="Calibri"/>
          <w:sz w:val="18"/>
          <w:szCs w:val="18"/>
        </w:rPr>
        <w:t>Tarasov</w:t>
      </w:r>
      <w:proofErr w:type="spellEnd"/>
      <w:r>
        <w:rPr>
          <w:rFonts w:ascii="Palatino Linotype" w:hAnsi="Palatino Linotype" w:cs="Calibri"/>
          <w:sz w:val="18"/>
          <w:szCs w:val="18"/>
        </w:rPr>
        <w:t xml:space="preserve">, P.E.; Wagner, M.; Xu, Q.; Ni, J.; Wang, W.; et al. </w:t>
      </w:r>
      <w:r>
        <w:rPr>
          <w:rFonts w:ascii="Palatino Linotype" w:hAnsi="Palatino Linotype" w:cs="Calibri"/>
          <w:sz w:val="18"/>
          <w:szCs w:val="18"/>
          <w:lang w:val="en-US"/>
        </w:rPr>
        <w:t xml:space="preserve">Towards Quantification of Holocene Anthropogenic Land-Cover Change in Temperate China: A Review in the Light of Pollen-Based REVEALS Reconstructions of Regional Plant Cover. </w:t>
      </w:r>
      <w:proofErr w:type="spellStart"/>
      <w:r>
        <w:rPr>
          <w:rFonts w:ascii="Palatino Linotype" w:hAnsi="Palatino Linotype" w:cs="Calibri"/>
          <w:i/>
          <w:iCs/>
          <w:sz w:val="18"/>
          <w:szCs w:val="18"/>
        </w:rPr>
        <w:t>Earth-Sci</w:t>
      </w:r>
      <w:proofErr w:type="spellEnd"/>
      <w:r>
        <w:rPr>
          <w:rFonts w:ascii="Palatino Linotype" w:hAnsi="Palatino Linotype" w:cs="Calibri"/>
          <w:i/>
          <w:iCs/>
          <w:sz w:val="18"/>
          <w:szCs w:val="18"/>
        </w:rPr>
        <w:t xml:space="preserve">. </w:t>
      </w:r>
      <w:proofErr w:type="spellStart"/>
      <w:r>
        <w:rPr>
          <w:rFonts w:ascii="Palatino Linotype" w:hAnsi="Palatino Linotype" w:cs="Calibri"/>
          <w:i/>
          <w:iCs/>
          <w:sz w:val="18"/>
          <w:szCs w:val="18"/>
        </w:rPr>
        <w:t>Rev</w:t>
      </w:r>
      <w:proofErr w:type="spellEnd"/>
      <w:r>
        <w:rPr>
          <w:rFonts w:ascii="Palatino Linotype" w:hAnsi="Palatino Linotype" w:cs="Calibri"/>
          <w:i/>
          <w:iCs/>
          <w:sz w:val="18"/>
          <w:szCs w:val="18"/>
        </w:rPr>
        <w:t>.</w:t>
      </w:r>
      <w:r>
        <w:rPr>
          <w:rFonts w:ascii="Palatino Linotype" w:hAnsi="Palatino Linotype" w:cs="Calibri"/>
          <w:sz w:val="18"/>
          <w:szCs w:val="18"/>
        </w:rPr>
        <w:t xml:space="preserve"> </w:t>
      </w:r>
      <w:r>
        <w:rPr>
          <w:rFonts w:ascii="Palatino Linotype" w:hAnsi="Palatino Linotype" w:cs="Calibri"/>
          <w:b/>
          <w:bCs/>
          <w:sz w:val="18"/>
          <w:szCs w:val="18"/>
        </w:rPr>
        <w:t>2020</w:t>
      </w:r>
      <w:r>
        <w:rPr>
          <w:rFonts w:ascii="Palatino Linotype" w:hAnsi="Palatino Linotype" w:cs="Calibri"/>
          <w:bCs/>
          <w:sz w:val="18"/>
          <w:szCs w:val="18"/>
        </w:rPr>
        <w:t xml:space="preserve">, </w:t>
      </w:r>
      <w:r>
        <w:rPr>
          <w:rFonts w:ascii="Palatino Linotype" w:hAnsi="Palatino Linotype" w:cs="Calibri"/>
          <w:bCs/>
          <w:i/>
          <w:sz w:val="18"/>
          <w:szCs w:val="18"/>
        </w:rPr>
        <w:t>203</w:t>
      </w:r>
      <w:r>
        <w:rPr>
          <w:rFonts w:ascii="Palatino Linotype" w:hAnsi="Palatino Linotype" w:cs="Calibri"/>
          <w:bCs/>
          <w:sz w:val="18"/>
          <w:szCs w:val="18"/>
        </w:rPr>
        <w:t>, 103119</w:t>
      </w:r>
      <w:r>
        <w:rPr>
          <w:rFonts w:ascii="Palatino Linotype" w:hAnsi="Palatino Linotype" w:cs="Calibri"/>
          <w:sz w:val="18"/>
          <w:szCs w:val="18"/>
        </w:rPr>
        <w:t>. https://doi.org/10.1016/j.earscirev.2020.103119.</w:t>
      </w:r>
    </w:p>
    <w:p w14:paraId="438A2ECF"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Durbin, J.; Watson, G.S. </w:t>
      </w:r>
      <w:r>
        <w:rPr>
          <w:rFonts w:ascii="Palatino Linotype" w:hAnsi="Palatino Linotype" w:cs="Calibri"/>
          <w:i/>
          <w:sz w:val="18"/>
          <w:szCs w:val="18"/>
          <w:lang w:val="en-US"/>
        </w:rPr>
        <w:t>Testing for Serial Correlation in Least Squares Regression. I. volume II</w:t>
      </w:r>
      <w:r>
        <w:rPr>
          <w:rFonts w:ascii="Palatino Linotype" w:hAnsi="Palatino Linotype" w:cs="Calibri"/>
          <w:sz w:val="18"/>
          <w:szCs w:val="18"/>
          <w:lang w:val="en-US"/>
        </w:rPr>
        <w:t xml:space="preserve">; Springer: New York, NY, USA, </w:t>
      </w:r>
      <w:r>
        <w:rPr>
          <w:rFonts w:ascii="Palatino Linotype" w:hAnsi="Palatino Linotype" w:cs="Calibri"/>
          <w:bCs/>
          <w:sz w:val="18"/>
          <w:szCs w:val="18"/>
          <w:lang w:val="en-US"/>
        </w:rPr>
        <w:t>1992; pp.</w:t>
      </w:r>
      <w:r>
        <w:rPr>
          <w:rFonts w:ascii="Palatino Linotype" w:hAnsi="Palatino Linotype" w:cs="Calibri"/>
          <w:sz w:val="18"/>
          <w:szCs w:val="18"/>
          <w:lang w:val="en-US"/>
        </w:rPr>
        <w:t xml:space="preserve"> 237–259. https://doi.org/10.1007/978-1-4612-4380-9_20.</w:t>
      </w:r>
    </w:p>
    <w:p w14:paraId="27329C88"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lang w:val="en-US"/>
        </w:rPr>
      </w:pPr>
      <w:r>
        <w:rPr>
          <w:rFonts w:ascii="Palatino Linotype" w:hAnsi="Palatino Linotype" w:cs="Calibri"/>
          <w:sz w:val="18"/>
          <w:szCs w:val="18"/>
          <w:lang w:val="en-US"/>
        </w:rPr>
        <w:t xml:space="preserve">Legendre, P.; Legendre, L. </w:t>
      </w:r>
      <w:r>
        <w:rPr>
          <w:rFonts w:ascii="Palatino Linotype" w:hAnsi="Palatino Linotype" w:cs="Calibri"/>
          <w:i/>
          <w:iCs/>
          <w:sz w:val="18"/>
          <w:szCs w:val="18"/>
          <w:lang w:val="en-US"/>
        </w:rPr>
        <w:t>Numerical Ecology in R</w:t>
      </w:r>
      <w:r>
        <w:rPr>
          <w:rFonts w:ascii="Palatino Linotype" w:hAnsi="Palatino Linotype" w:cs="Calibri"/>
          <w:sz w:val="18"/>
          <w:szCs w:val="18"/>
          <w:lang w:val="en-US"/>
        </w:rPr>
        <w:t>; Elsevier: Amsterdam, The Netherlands, 2012.</w:t>
      </w:r>
    </w:p>
    <w:p w14:paraId="5BABE55F"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Warton, D.I.; Wright, I.J.; Falster, D.S.; Westoby, M. Bivariate line-fitting methods for allometry. </w:t>
      </w:r>
      <w:r>
        <w:rPr>
          <w:rFonts w:ascii="Palatino Linotype" w:hAnsi="Palatino Linotype" w:cs="Calibri"/>
          <w:i/>
          <w:sz w:val="18"/>
          <w:szCs w:val="18"/>
          <w:lang w:val="en-US"/>
        </w:rPr>
        <w:t xml:space="preserve">Biol. Rev. </w:t>
      </w:r>
      <w:proofErr w:type="spellStart"/>
      <w:r>
        <w:rPr>
          <w:rFonts w:ascii="Palatino Linotype" w:hAnsi="Palatino Linotype" w:cs="Calibri"/>
          <w:i/>
          <w:sz w:val="18"/>
          <w:szCs w:val="18"/>
          <w:lang w:val="en-US"/>
        </w:rPr>
        <w:t>Camb</w:t>
      </w:r>
      <w:proofErr w:type="spellEnd"/>
      <w:r>
        <w:rPr>
          <w:rFonts w:ascii="Palatino Linotype" w:hAnsi="Palatino Linotype" w:cs="Calibri"/>
          <w:i/>
          <w:sz w:val="18"/>
          <w:szCs w:val="18"/>
          <w:lang w:val="en-US"/>
        </w:rPr>
        <w:t>. Philos. Soc.</w:t>
      </w:r>
      <w:r>
        <w:rPr>
          <w:rFonts w:ascii="Palatino Linotype" w:hAnsi="Palatino Linotype" w:cs="Calibri"/>
          <w:sz w:val="18"/>
          <w:szCs w:val="18"/>
          <w:lang w:val="en-US"/>
        </w:rPr>
        <w:t xml:space="preserve"> </w:t>
      </w:r>
      <w:r>
        <w:rPr>
          <w:rFonts w:ascii="Palatino Linotype" w:hAnsi="Palatino Linotype" w:cs="Calibri"/>
          <w:b/>
          <w:sz w:val="18"/>
          <w:szCs w:val="18"/>
          <w:lang w:val="en-US"/>
        </w:rPr>
        <w:t>2006</w:t>
      </w:r>
      <w:r>
        <w:rPr>
          <w:rFonts w:ascii="Palatino Linotype" w:hAnsi="Palatino Linotype" w:cs="Calibri"/>
          <w:sz w:val="18"/>
          <w:szCs w:val="18"/>
          <w:lang w:val="en-US"/>
        </w:rPr>
        <w:t xml:space="preserve">, </w:t>
      </w:r>
      <w:r>
        <w:rPr>
          <w:rFonts w:ascii="Palatino Linotype" w:hAnsi="Palatino Linotype" w:cs="Calibri"/>
          <w:i/>
          <w:sz w:val="18"/>
          <w:szCs w:val="18"/>
          <w:lang w:val="en-US"/>
        </w:rPr>
        <w:t>81</w:t>
      </w:r>
      <w:r>
        <w:rPr>
          <w:rFonts w:ascii="Palatino Linotype" w:hAnsi="Palatino Linotype" w:cs="Calibri"/>
          <w:sz w:val="18"/>
          <w:szCs w:val="18"/>
          <w:lang w:val="en-US"/>
        </w:rPr>
        <w:t xml:space="preserve">, 259–291. </w:t>
      </w:r>
      <w:r>
        <w:rPr>
          <w:rFonts w:ascii="Palatino Linotype" w:hAnsi="Palatino Linotype" w:cs="Calibri"/>
          <w:sz w:val="18"/>
          <w:szCs w:val="18"/>
        </w:rPr>
        <w:t>https://doi.org/</w:t>
      </w:r>
      <w:r>
        <w:rPr>
          <w:rFonts w:ascii="Palatino Linotype" w:hAnsi="Palatino Linotype" w:cs="Calibri"/>
          <w:sz w:val="18"/>
          <w:szCs w:val="18"/>
          <w:lang w:val="en-US"/>
        </w:rPr>
        <w:t>10.1017/S1464793106007007.</w:t>
      </w:r>
    </w:p>
    <w:p w14:paraId="6C8B50CA" w14:textId="77777777" w:rsidR="004653D0" w:rsidRDefault="004653D0" w:rsidP="004653D0">
      <w:pPr>
        <w:pStyle w:val="ListParagraph"/>
        <w:numPr>
          <w:ilvl w:val="0"/>
          <w:numId w:val="16"/>
        </w:numPr>
        <w:adjustRightInd w:val="0"/>
        <w:snapToGrid w:val="0"/>
        <w:spacing w:after="0" w:line="228" w:lineRule="auto"/>
        <w:ind w:left="425" w:hanging="425"/>
        <w:jc w:val="both"/>
        <w:rPr>
          <w:rFonts w:ascii="Palatino Linotype" w:hAnsi="Palatino Linotype" w:cs="Calibri"/>
          <w:sz w:val="18"/>
          <w:szCs w:val="18"/>
        </w:rPr>
      </w:pPr>
      <w:r>
        <w:rPr>
          <w:rFonts w:ascii="Palatino Linotype" w:hAnsi="Palatino Linotype" w:cs="Calibri"/>
          <w:sz w:val="18"/>
          <w:szCs w:val="18"/>
          <w:lang w:val="en-US"/>
        </w:rPr>
        <w:t xml:space="preserve">Warton, D.I.; </w:t>
      </w:r>
      <w:proofErr w:type="spellStart"/>
      <w:r>
        <w:rPr>
          <w:rFonts w:ascii="Palatino Linotype" w:hAnsi="Palatino Linotype" w:cs="Calibri"/>
          <w:sz w:val="18"/>
          <w:szCs w:val="18"/>
          <w:lang w:val="en-US"/>
        </w:rPr>
        <w:t>Duursma</w:t>
      </w:r>
      <w:proofErr w:type="spellEnd"/>
      <w:r>
        <w:rPr>
          <w:rFonts w:ascii="Palatino Linotype" w:hAnsi="Palatino Linotype" w:cs="Calibri"/>
          <w:sz w:val="18"/>
          <w:szCs w:val="18"/>
          <w:lang w:val="en-US"/>
        </w:rPr>
        <w:t xml:space="preserve">, R.A.; Falster, D.S.; </w:t>
      </w:r>
      <w:proofErr w:type="spellStart"/>
      <w:r>
        <w:rPr>
          <w:rFonts w:ascii="Palatino Linotype" w:hAnsi="Palatino Linotype" w:cs="Calibri"/>
          <w:sz w:val="18"/>
          <w:szCs w:val="18"/>
          <w:lang w:val="en-US"/>
        </w:rPr>
        <w:t>Taskinen</w:t>
      </w:r>
      <w:proofErr w:type="spellEnd"/>
      <w:r>
        <w:rPr>
          <w:rFonts w:ascii="Palatino Linotype" w:hAnsi="Palatino Linotype" w:cs="Calibri"/>
          <w:sz w:val="18"/>
          <w:szCs w:val="18"/>
          <w:lang w:val="en-US"/>
        </w:rPr>
        <w:t xml:space="preserve">, S. </w:t>
      </w:r>
      <w:proofErr w:type="spellStart"/>
      <w:r>
        <w:rPr>
          <w:rFonts w:ascii="Palatino Linotype" w:hAnsi="Palatino Linotype" w:cs="Calibri"/>
          <w:sz w:val="18"/>
          <w:szCs w:val="18"/>
          <w:lang w:val="en-US"/>
        </w:rPr>
        <w:t>Smatr</w:t>
      </w:r>
      <w:proofErr w:type="spellEnd"/>
      <w:r>
        <w:rPr>
          <w:rFonts w:ascii="Palatino Linotype" w:hAnsi="Palatino Linotype" w:cs="Calibri"/>
          <w:sz w:val="18"/>
          <w:szCs w:val="18"/>
          <w:lang w:val="en-US"/>
        </w:rPr>
        <w:t xml:space="preserve"> 3- an R Package for Estimation and Inference about Allometric Lines. </w:t>
      </w:r>
      <w:r>
        <w:rPr>
          <w:rFonts w:ascii="Palatino Linotype" w:hAnsi="Palatino Linotype" w:cs="Calibri"/>
          <w:i/>
          <w:iCs/>
          <w:sz w:val="18"/>
          <w:szCs w:val="18"/>
        </w:rPr>
        <w:t xml:space="preserve">Methods </w:t>
      </w:r>
      <w:proofErr w:type="spellStart"/>
      <w:r>
        <w:rPr>
          <w:rFonts w:ascii="Palatino Linotype" w:hAnsi="Palatino Linotype" w:cs="Calibri"/>
          <w:i/>
          <w:iCs/>
          <w:sz w:val="18"/>
          <w:szCs w:val="18"/>
        </w:rPr>
        <w:t>Ecol</w:t>
      </w:r>
      <w:proofErr w:type="spellEnd"/>
      <w:r>
        <w:rPr>
          <w:rFonts w:ascii="Palatino Linotype" w:hAnsi="Palatino Linotype" w:cs="Calibri"/>
          <w:i/>
          <w:iCs/>
          <w:sz w:val="18"/>
          <w:szCs w:val="18"/>
        </w:rPr>
        <w:t>. Evol.</w:t>
      </w:r>
      <w:r>
        <w:rPr>
          <w:rFonts w:ascii="Palatino Linotype" w:hAnsi="Palatino Linotype" w:cs="Calibri"/>
          <w:sz w:val="18"/>
          <w:szCs w:val="18"/>
        </w:rPr>
        <w:t xml:space="preserve"> </w:t>
      </w:r>
      <w:r>
        <w:rPr>
          <w:rFonts w:ascii="Palatino Linotype" w:hAnsi="Palatino Linotype" w:cs="Calibri"/>
          <w:b/>
          <w:bCs/>
          <w:sz w:val="18"/>
          <w:szCs w:val="18"/>
        </w:rPr>
        <w:t>2012</w:t>
      </w:r>
      <w:r>
        <w:rPr>
          <w:rFonts w:ascii="Palatino Linotype" w:hAnsi="Palatino Linotype" w:cs="Calibri"/>
          <w:bCs/>
          <w:sz w:val="18"/>
          <w:szCs w:val="18"/>
        </w:rPr>
        <w:t xml:space="preserve">, </w:t>
      </w:r>
      <w:r>
        <w:rPr>
          <w:rFonts w:ascii="Palatino Linotype" w:hAnsi="Palatino Linotype" w:cs="Calibri"/>
          <w:bCs/>
          <w:i/>
          <w:sz w:val="18"/>
          <w:szCs w:val="18"/>
        </w:rPr>
        <w:t>3</w:t>
      </w:r>
      <w:r>
        <w:rPr>
          <w:rFonts w:ascii="Palatino Linotype" w:hAnsi="Palatino Linotype" w:cs="Calibri"/>
          <w:bCs/>
          <w:sz w:val="18"/>
          <w:szCs w:val="18"/>
        </w:rPr>
        <w:t>, 257–259</w:t>
      </w:r>
      <w:r>
        <w:rPr>
          <w:rFonts w:ascii="Palatino Linotype" w:hAnsi="Palatino Linotype" w:cs="Calibri"/>
          <w:sz w:val="18"/>
          <w:szCs w:val="18"/>
        </w:rPr>
        <w:t>. https://doi.org/10.1111/j.2041-210X.2011.00153.x.</w:t>
      </w:r>
    </w:p>
    <w:p w14:paraId="37A74913" w14:textId="77777777" w:rsidR="004653D0" w:rsidRDefault="004653D0" w:rsidP="004653D0">
      <w:pPr>
        <w:pStyle w:val="MDPI63Notes"/>
        <w:rPr>
          <w:rFonts w:eastAsia="Times New Roman"/>
          <w:szCs w:val="22"/>
          <w:lang w:val="en-GB" w:eastAsia="de-DE"/>
        </w:rPr>
      </w:pPr>
      <w:r>
        <w:rPr>
          <w:b/>
          <w:lang w:val="en-GB"/>
        </w:rPr>
        <w:t>Disclaimer/Publisher’s Note:</w:t>
      </w:r>
      <w:r>
        <w:rPr>
          <w:lang w:val="en-GB"/>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w:t>
      </w:r>
      <w:proofErr w:type="gramStart"/>
      <w:r>
        <w:rPr>
          <w:lang w:val="en-GB"/>
        </w:rPr>
        <w:t>instructions</w:t>
      </w:r>
      <w:proofErr w:type="gramEnd"/>
      <w:r>
        <w:rPr>
          <w:lang w:val="en-GB"/>
        </w:rPr>
        <w:t xml:space="preserve"> or products referred to in the content.</w:t>
      </w:r>
    </w:p>
    <w:p w14:paraId="5F80A00E" w14:textId="77777777" w:rsidR="002E1A0C" w:rsidRDefault="002E1A0C"/>
    <w:sectPr w:rsidR="002E1A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C2F3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C9C8E5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906CEA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B6DC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22E2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F00F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237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B47E5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8A8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98A8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5F6105"/>
    <w:multiLevelType w:val="hybridMultilevel"/>
    <w:tmpl w:val="E594E18E"/>
    <w:lvl w:ilvl="0" w:tplc="07127886">
      <w:start w:val="1"/>
      <w:numFmt w:val="decimal"/>
      <w:pStyle w:val="MDPI71FootNotes"/>
      <w:lvlText w:val="%1."/>
      <w:lvlJc w:val="left"/>
      <w:pPr>
        <w:ind w:left="425" w:hanging="425"/>
      </w:pPr>
      <w:rPr>
        <w:b w:val="0"/>
        <w:i w:val="0"/>
        <w:vertAlign w:val="superscrip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8B468F5"/>
    <w:multiLevelType w:val="hybridMultilevel"/>
    <w:tmpl w:val="253E0A3A"/>
    <w:lvl w:ilvl="0" w:tplc="B5589E2E">
      <w:start w:val="1"/>
      <w:numFmt w:val="decimal"/>
      <w:pStyle w:val="MDPI71References"/>
      <w:lvlText w:val="%1."/>
      <w:lvlJc w:val="left"/>
      <w:pPr>
        <w:ind w:left="425" w:hanging="425"/>
      </w:pPr>
      <w:rPr>
        <w:b w:val="0"/>
        <w:i w:val="0"/>
        <w:sz w:val="18"/>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E0C6F5D"/>
    <w:multiLevelType w:val="hybridMultilevel"/>
    <w:tmpl w:val="86725E62"/>
    <w:lvl w:ilvl="0" w:tplc="65166E90">
      <w:start w:val="1"/>
      <w:numFmt w:val="bullet"/>
      <w:pStyle w:val="MDPI38bullet"/>
      <w:lvlText w:val=""/>
      <w:lvlJc w:val="left"/>
      <w:pPr>
        <w:ind w:left="3033" w:hanging="425"/>
      </w:pPr>
      <w:rPr>
        <w:rFonts w:ascii="Symbol" w:hAnsi="Symbol" w:hint="default"/>
        <w:b w:val="0"/>
        <w:i w:val="0"/>
        <w:sz w:val="20"/>
        <w:vertAlign w:val="baseline"/>
      </w:rPr>
    </w:lvl>
    <w:lvl w:ilvl="1" w:tplc="04090003">
      <w:start w:val="1"/>
      <w:numFmt w:val="bullet"/>
      <w:lvlText w:val="o"/>
      <w:lvlJc w:val="left"/>
      <w:pPr>
        <w:ind w:left="4048" w:hanging="360"/>
      </w:pPr>
      <w:rPr>
        <w:rFonts w:ascii="Courier New" w:hAnsi="Courier New" w:cs="Courier New" w:hint="default"/>
      </w:rPr>
    </w:lvl>
    <w:lvl w:ilvl="2" w:tplc="04090005">
      <w:start w:val="1"/>
      <w:numFmt w:val="bullet"/>
      <w:lvlText w:val=""/>
      <w:lvlJc w:val="left"/>
      <w:pPr>
        <w:ind w:left="4768" w:hanging="360"/>
      </w:pPr>
      <w:rPr>
        <w:rFonts w:ascii="Wingdings" w:hAnsi="Wingdings" w:hint="default"/>
      </w:rPr>
    </w:lvl>
    <w:lvl w:ilvl="3" w:tplc="04090001">
      <w:start w:val="1"/>
      <w:numFmt w:val="bullet"/>
      <w:lvlText w:val=""/>
      <w:lvlJc w:val="left"/>
      <w:pPr>
        <w:ind w:left="5488" w:hanging="360"/>
      </w:pPr>
      <w:rPr>
        <w:rFonts w:ascii="Symbol" w:hAnsi="Symbol" w:hint="default"/>
      </w:rPr>
    </w:lvl>
    <w:lvl w:ilvl="4" w:tplc="04090003">
      <w:start w:val="1"/>
      <w:numFmt w:val="bullet"/>
      <w:lvlText w:val="o"/>
      <w:lvlJc w:val="left"/>
      <w:pPr>
        <w:ind w:left="6208" w:hanging="360"/>
      </w:pPr>
      <w:rPr>
        <w:rFonts w:ascii="Courier New" w:hAnsi="Courier New" w:cs="Courier New" w:hint="default"/>
      </w:rPr>
    </w:lvl>
    <w:lvl w:ilvl="5" w:tplc="04090005">
      <w:start w:val="1"/>
      <w:numFmt w:val="bullet"/>
      <w:lvlText w:val=""/>
      <w:lvlJc w:val="left"/>
      <w:pPr>
        <w:ind w:left="6928" w:hanging="360"/>
      </w:pPr>
      <w:rPr>
        <w:rFonts w:ascii="Wingdings" w:hAnsi="Wingdings" w:hint="default"/>
      </w:rPr>
    </w:lvl>
    <w:lvl w:ilvl="6" w:tplc="04090001">
      <w:start w:val="1"/>
      <w:numFmt w:val="bullet"/>
      <w:lvlText w:val=""/>
      <w:lvlJc w:val="left"/>
      <w:pPr>
        <w:ind w:left="7648" w:hanging="360"/>
      </w:pPr>
      <w:rPr>
        <w:rFonts w:ascii="Symbol" w:hAnsi="Symbol" w:hint="default"/>
      </w:rPr>
    </w:lvl>
    <w:lvl w:ilvl="7" w:tplc="04090003">
      <w:start w:val="1"/>
      <w:numFmt w:val="bullet"/>
      <w:lvlText w:val="o"/>
      <w:lvlJc w:val="left"/>
      <w:pPr>
        <w:ind w:left="8368" w:hanging="360"/>
      </w:pPr>
      <w:rPr>
        <w:rFonts w:ascii="Courier New" w:hAnsi="Courier New" w:cs="Courier New" w:hint="default"/>
      </w:rPr>
    </w:lvl>
    <w:lvl w:ilvl="8" w:tplc="04090005">
      <w:start w:val="1"/>
      <w:numFmt w:val="bullet"/>
      <w:lvlText w:val=""/>
      <w:lvlJc w:val="left"/>
      <w:pPr>
        <w:ind w:left="9088" w:hanging="360"/>
      </w:pPr>
      <w:rPr>
        <w:rFonts w:ascii="Wingdings" w:hAnsi="Wingdings" w:hint="default"/>
      </w:rPr>
    </w:lvl>
  </w:abstractNum>
  <w:abstractNum w:abstractNumId="13" w15:restartNumberingAfterBreak="0">
    <w:nsid w:val="54075B53"/>
    <w:multiLevelType w:val="hybridMultilevel"/>
    <w:tmpl w:val="EE3CF5AC"/>
    <w:lvl w:ilvl="0" w:tplc="C8E21C1A">
      <w:start w:val="1"/>
      <w:numFmt w:val="decimal"/>
      <w:pStyle w:val="MDPI37itemize"/>
      <w:lvlText w:val="%1."/>
      <w:lvlJc w:val="left"/>
      <w:pPr>
        <w:ind w:left="3033" w:hanging="425"/>
      </w:pPr>
      <w:rPr>
        <w:b w:val="0"/>
        <w:i w:val="0"/>
        <w:sz w:val="20"/>
        <w:vertAlign w:val="baseline"/>
      </w:rPr>
    </w:lvl>
    <w:lvl w:ilvl="1" w:tplc="04090019">
      <w:start w:val="1"/>
      <w:numFmt w:val="lowerLetter"/>
      <w:lvlText w:val="%2."/>
      <w:lvlJc w:val="left"/>
      <w:pPr>
        <w:ind w:left="3691" w:hanging="360"/>
      </w:pPr>
    </w:lvl>
    <w:lvl w:ilvl="2" w:tplc="0409001B">
      <w:start w:val="1"/>
      <w:numFmt w:val="lowerRoman"/>
      <w:lvlText w:val="%3."/>
      <w:lvlJc w:val="right"/>
      <w:pPr>
        <w:ind w:left="4411" w:hanging="180"/>
      </w:pPr>
    </w:lvl>
    <w:lvl w:ilvl="3" w:tplc="0409000F">
      <w:start w:val="1"/>
      <w:numFmt w:val="decimal"/>
      <w:lvlText w:val="%4."/>
      <w:lvlJc w:val="left"/>
      <w:pPr>
        <w:ind w:left="5131" w:hanging="360"/>
      </w:pPr>
    </w:lvl>
    <w:lvl w:ilvl="4" w:tplc="04090019">
      <w:start w:val="1"/>
      <w:numFmt w:val="lowerLetter"/>
      <w:lvlText w:val="%5."/>
      <w:lvlJc w:val="left"/>
      <w:pPr>
        <w:ind w:left="5851" w:hanging="360"/>
      </w:pPr>
    </w:lvl>
    <w:lvl w:ilvl="5" w:tplc="0409001B">
      <w:start w:val="1"/>
      <w:numFmt w:val="lowerRoman"/>
      <w:lvlText w:val="%6."/>
      <w:lvlJc w:val="right"/>
      <w:pPr>
        <w:ind w:left="6571" w:hanging="180"/>
      </w:pPr>
    </w:lvl>
    <w:lvl w:ilvl="6" w:tplc="0409000F">
      <w:start w:val="1"/>
      <w:numFmt w:val="decimal"/>
      <w:lvlText w:val="%7."/>
      <w:lvlJc w:val="left"/>
      <w:pPr>
        <w:ind w:left="7291" w:hanging="360"/>
      </w:pPr>
    </w:lvl>
    <w:lvl w:ilvl="7" w:tplc="04090019">
      <w:start w:val="1"/>
      <w:numFmt w:val="lowerLetter"/>
      <w:lvlText w:val="%8."/>
      <w:lvlJc w:val="left"/>
      <w:pPr>
        <w:ind w:left="8011" w:hanging="360"/>
      </w:pPr>
    </w:lvl>
    <w:lvl w:ilvl="8" w:tplc="0409001B">
      <w:start w:val="1"/>
      <w:numFmt w:val="lowerRoman"/>
      <w:lvlText w:val="%9."/>
      <w:lvlJc w:val="right"/>
      <w:pPr>
        <w:ind w:left="8731" w:hanging="180"/>
      </w:pPr>
    </w:lvl>
  </w:abstractNum>
  <w:abstractNum w:abstractNumId="14" w15:restartNumberingAfterBreak="0">
    <w:nsid w:val="5E6E62DF"/>
    <w:multiLevelType w:val="multilevel"/>
    <w:tmpl w:val="040C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15:restartNumberingAfterBreak="0">
    <w:nsid w:val="7AF31A0C"/>
    <w:multiLevelType w:val="hybridMultilevel"/>
    <w:tmpl w:val="C9627284"/>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16cid:durableId="9899420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5005212">
    <w:abstractNumId w:val="9"/>
    <w:lvlOverride w:ilvl="0"/>
  </w:num>
  <w:num w:numId="3" w16cid:durableId="272832414">
    <w:abstractNumId w:val="8"/>
    <w:lvlOverride w:ilvl="0">
      <w:startOverride w:val="1"/>
    </w:lvlOverride>
  </w:num>
  <w:num w:numId="4" w16cid:durableId="2130271836">
    <w:abstractNumId w:val="7"/>
    <w:lvlOverride w:ilvl="0"/>
  </w:num>
  <w:num w:numId="5" w16cid:durableId="1841891325">
    <w:abstractNumId w:val="6"/>
    <w:lvlOverride w:ilvl="0"/>
  </w:num>
  <w:num w:numId="6" w16cid:durableId="1087195966">
    <w:abstractNumId w:val="5"/>
    <w:lvlOverride w:ilvl="0"/>
  </w:num>
  <w:num w:numId="7" w16cid:durableId="842165018">
    <w:abstractNumId w:val="4"/>
    <w:lvlOverride w:ilvl="0"/>
  </w:num>
  <w:num w:numId="8" w16cid:durableId="1548376868">
    <w:abstractNumId w:val="3"/>
    <w:lvlOverride w:ilvl="0">
      <w:startOverride w:val="1"/>
    </w:lvlOverride>
  </w:num>
  <w:num w:numId="9" w16cid:durableId="1243375137">
    <w:abstractNumId w:val="2"/>
    <w:lvlOverride w:ilvl="0">
      <w:startOverride w:val="1"/>
    </w:lvlOverride>
  </w:num>
  <w:num w:numId="10" w16cid:durableId="913588909">
    <w:abstractNumId w:val="1"/>
    <w:lvlOverride w:ilvl="0">
      <w:startOverride w:val="1"/>
    </w:lvlOverride>
  </w:num>
  <w:num w:numId="11" w16cid:durableId="2027125030">
    <w:abstractNumId w:val="0"/>
    <w:lvlOverride w:ilvl="0">
      <w:startOverride w:val="1"/>
    </w:lvlOverride>
  </w:num>
  <w:num w:numId="12" w16cid:durableId="1558020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8311017">
    <w:abstractNumId w:val="12"/>
    <w:lvlOverride w:ilvl="0"/>
    <w:lvlOverride w:ilvl="1"/>
    <w:lvlOverride w:ilvl="2"/>
    <w:lvlOverride w:ilvl="3"/>
    <w:lvlOverride w:ilvl="4"/>
    <w:lvlOverride w:ilvl="5"/>
    <w:lvlOverride w:ilvl="6"/>
    <w:lvlOverride w:ilvl="7"/>
    <w:lvlOverride w:ilvl="8"/>
  </w:num>
  <w:num w:numId="14" w16cid:durableId="20057410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7913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1018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3D0"/>
    <w:rsid w:val="0017067E"/>
    <w:rsid w:val="002E1A0C"/>
    <w:rsid w:val="00465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C3C7"/>
  <w15:chartTrackingRefBased/>
  <w15:docId w15:val="{3422BCEC-779C-4393-A91A-29B6F97FA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3D0"/>
    <w:pPr>
      <w:spacing w:after="0" w:line="260" w:lineRule="atLeast"/>
      <w:jc w:val="both"/>
    </w:pPr>
    <w:rPr>
      <w:rFonts w:ascii="Palatino Linotype" w:eastAsia="SimSun" w:hAnsi="Palatino Linotype" w:cs="Times New Roman"/>
      <w:noProof/>
      <w:color w:val="000000"/>
      <w:sz w:val="20"/>
      <w:szCs w:val="20"/>
      <w:lang w:val="en-US" w:eastAsia="zh-CN"/>
    </w:rPr>
  </w:style>
  <w:style w:type="paragraph" w:styleId="Heading1">
    <w:name w:val="heading 1"/>
    <w:basedOn w:val="Normal"/>
    <w:next w:val="Normal"/>
    <w:link w:val="Heading1Char"/>
    <w:uiPriority w:val="9"/>
    <w:qFormat/>
    <w:rsid w:val="004653D0"/>
    <w:pPr>
      <w:keepNext/>
      <w:keepLines/>
      <w:numPr>
        <w:numId w:val="1"/>
      </w:numPr>
      <w:spacing w:before="240" w:line="256" w:lineRule="auto"/>
      <w:jc w:val="left"/>
      <w:outlineLvl w:val="0"/>
    </w:pPr>
    <w:rPr>
      <w:rFonts w:asciiTheme="majorHAnsi" w:eastAsiaTheme="majorEastAsia" w:hAnsiTheme="majorHAnsi" w:cstheme="majorBidi"/>
      <w:noProof w:val="0"/>
      <w:color w:val="2F5496" w:themeColor="accent1" w:themeShade="BF"/>
      <w:sz w:val="32"/>
      <w:szCs w:val="32"/>
      <w:lang w:val="fr-FR" w:eastAsia="en-US"/>
    </w:rPr>
  </w:style>
  <w:style w:type="paragraph" w:styleId="Heading2">
    <w:name w:val="heading 2"/>
    <w:basedOn w:val="Normal"/>
    <w:next w:val="Normal"/>
    <w:link w:val="Heading2Char"/>
    <w:uiPriority w:val="9"/>
    <w:semiHidden/>
    <w:unhideWhenUsed/>
    <w:qFormat/>
    <w:rsid w:val="004653D0"/>
    <w:pPr>
      <w:keepNext/>
      <w:keepLines/>
      <w:numPr>
        <w:ilvl w:val="1"/>
        <w:numId w:val="1"/>
      </w:numPr>
      <w:spacing w:before="40" w:line="256" w:lineRule="auto"/>
      <w:jc w:val="left"/>
      <w:outlineLvl w:val="1"/>
    </w:pPr>
    <w:rPr>
      <w:rFonts w:asciiTheme="majorHAnsi" w:eastAsiaTheme="majorEastAsia" w:hAnsiTheme="majorHAnsi" w:cstheme="majorBidi"/>
      <w:noProof w:val="0"/>
      <w:color w:val="2F5496" w:themeColor="accent1" w:themeShade="BF"/>
      <w:sz w:val="26"/>
      <w:szCs w:val="26"/>
      <w:lang w:val="fr-FR" w:eastAsia="en-US"/>
    </w:rPr>
  </w:style>
  <w:style w:type="paragraph" w:styleId="Heading3">
    <w:name w:val="heading 3"/>
    <w:basedOn w:val="Normal"/>
    <w:next w:val="Normal"/>
    <w:link w:val="Heading3Char"/>
    <w:uiPriority w:val="9"/>
    <w:semiHidden/>
    <w:unhideWhenUsed/>
    <w:qFormat/>
    <w:rsid w:val="004653D0"/>
    <w:pPr>
      <w:keepNext/>
      <w:keepLines/>
      <w:numPr>
        <w:ilvl w:val="2"/>
        <w:numId w:val="1"/>
      </w:numPr>
      <w:spacing w:before="40" w:line="256" w:lineRule="auto"/>
      <w:jc w:val="left"/>
      <w:outlineLvl w:val="2"/>
    </w:pPr>
    <w:rPr>
      <w:rFonts w:asciiTheme="majorHAnsi" w:eastAsiaTheme="majorEastAsia" w:hAnsiTheme="majorHAnsi" w:cstheme="majorBidi"/>
      <w:noProof w:val="0"/>
      <w:color w:val="1F3763" w:themeColor="accent1" w:themeShade="7F"/>
      <w:sz w:val="24"/>
      <w:szCs w:val="24"/>
      <w:lang w:val="fr-FR" w:eastAsia="en-US"/>
    </w:rPr>
  </w:style>
  <w:style w:type="paragraph" w:styleId="Heading4">
    <w:name w:val="heading 4"/>
    <w:basedOn w:val="Normal"/>
    <w:next w:val="Normal"/>
    <w:link w:val="Heading4Char"/>
    <w:uiPriority w:val="9"/>
    <w:semiHidden/>
    <w:unhideWhenUsed/>
    <w:qFormat/>
    <w:rsid w:val="004653D0"/>
    <w:pPr>
      <w:keepNext/>
      <w:keepLines/>
      <w:numPr>
        <w:ilvl w:val="3"/>
        <w:numId w:val="1"/>
      </w:numPr>
      <w:spacing w:before="40" w:line="256" w:lineRule="auto"/>
      <w:jc w:val="left"/>
      <w:outlineLvl w:val="3"/>
    </w:pPr>
    <w:rPr>
      <w:rFonts w:asciiTheme="majorHAnsi" w:eastAsiaTheme="majorEastAsia" w:hAnsiTheme="majorHAnsi" w:cstheme="majorBidi"/>
      <w:i/>
      <w:iCs/>
      <w:noProof w:val="0"/>
      <w:color w:val="2F5496" w:themeColor="accent1" w:themeShade="BF"/>
      <w:sz w:val="22"/>
      <w:szCs w:val="22"/>
      <w:lang w:val="fr-FR" w:eastAsia="en-US"/>
    </w:rPr>
  </w:style>
  <w:style w:type="paragraph" w:styleId="Heading5">
    <w:name w:val="heading 5"/>
    <w:basedOn w:val="Normal"/>
    <w:next w:val="Normal"/>
    <w:link w:val="Heading5Char"/>
    <w:uiPriority w:val="9"/>
    <w:semiHidden/>
    <w:unhideWhenUsed/>
    <w:qFormat/>
    <w:rsid w:val="004653D0"/>
    <w:pPr>
      <w:keepNext/>
      <w:keepLines/>
      <w:numPr>
        <w:ilvl w:val="4"/>
        <w:numId w:val="1"/>
      </w:numPr>
      <w:spacing w:before="40" w:line="256" w:lineRule="auto"/>
      <w:jc w:val="left"/>
      <w:outlineLvl w:val="4"/>
    </w:pPr>
    <w:rPr>
      <w:rFonts w:asciiTheme="majorHAnsi" w:eastAsiaTheme="majorEastAsia" w:hAnsiTheme="majorHAnsi" w:cstheme="majorBidi"/>
      <w:noProof w:val="0"/>
      <w:color w:val="2F5496" w:themeColor="accent1" w:themeShade="BF"/>
      <w:sz w:val="22"/>
      <w:szCs w:val="22"/>
      <w:lang w:val="fr-FR" w:eastAsia="en-US"/>
    </w:rPr>
  </w:style>
  <w:style w:type="paragraph" w:styleId="Heading6">
    <w:name w:val="heading 6"/>
    <w:basedOn w:val="Normal"/>
    <w:next w:val="Normal"/>
    <w:link w:val="Heading6Char"/>
    <w:uiPriority w:val="9"/>
    <w:semiHidden/>
    <w:unhideWhenUsed/>
    <w:qFormat/>
    <w:rsid w:val="004653D0"/>
    <w:pPr>
      <w:keepNext/>
      <w:keepLines/>
      <w:numPr>
        <w:ilvl w:val="5"/>
        <w:numId w:val="1"/>
      </w:numPr>
      <w:spacing w:before="40" w:line="256" w:lineRule="auto"/>
      <w:jc w:val="left"/>
      <w:outlineLvl w:val="5"/>
    </w:pPr>
    <w:rPr>
      <w:rFonts w:asciiTheme="majorHAnsi" w:eastAsiaTheme="majorEastAsia" w:hAnsiTheme="majorHAnsi" w:cstheme="majorBidi"/>
      <w:noProof w:val="0"/>
      <w:color w:val="1F3763" w:themeColor="accent1" w:themeShade="7F"/>
      <w:sz w:val="22"/>
      <w:szCs w:val="22"/>
      <w:lang w:val="fr-FR" w:eastAsia="en-US"/>
    </w:rPr>
  </w:style>
  <w:style w:type="paragraph" w:styleId="Heading7">
    <w:name w:val="heading 7"/>
    <w:basedOn w:val="Normal"/>
    <w:next w:val="Normal"/>
    <w:link w:val="Heading7Char"/>
    <w:uiPriority w:val="9"/>
    <w:semiHidden/>
    <w:unhideWhenUsed/>
    <w:qFormat/>
    <w:rsid w:val="004653D0"/>
    <w:pPr>
      <w:keepNext/>
      <w:keepLines/>
      <w:numPr>
        <w:ilvl w:val="6"/>
        <w:numId w:val="1"/>
      </w:numPr>
      <w:spacing w:before="40" w:line="256" w:lineRule="auto"/>
      <w:jc w:val="left"/>
      <w:outlineLvl w:val="6"/>
    </w:pPr>
    <w:rPr>
      <w:rFonts w:asciiTheme="majorHAnsi" w:eastAsiaTheme="majorEastAsia" w:hAnsiTheme="majorHAnsi" w:cstheme="majorBidi"/>
      <w:i/>
      <w:iCs/>
      <w:noProof w:val="0"/>
      <w:color w:val="1F3763" w:themeColor="accent1" w:themeShade="7F"/>
      <w:sz w:val="22"/>
      <w:szCs w:val="22"/>
      <w:lang w:val="fr-FR" w:eastAsia="en-US"/>
    </w:rPr>
  </w:style>
  <w:style w:type="paragraph" w:styleId="Heading8">
    <w:name w:val="heading 8"/>
    <w:basedOn w:val="Normal"/>
    <w:next w:val="Normal"/>
    <w:link w:val="Heading8Char"/>
    <w:uiPriority w:val="9"/>
    <w:semiHidden/>
    <w:unhideWhenUsed/>
    <w:qFormat/>
    <w:rsid w:val="004653D0"/>
    <w:pPr>
      <w:keepNext/>
      <w:keepLines/>
      <w:numPr>
        <w:ilvl w:val="7"/>
        <w:numId w:val="1"/>
      </w:numPr>
      <w:spacing w:before="40" w:line="256" w:lineRule="auto"/>
      <w:jc w:val="left"/>
      <w:outlineLvl w:val="7"/>
    </w:pPr>
    <w:rPr>
      <w:rFonts w:asciiTheme="majorHAnsi" w:eastAsiaTheme="majorEastAsia" w:hAnsiTheme="majorHAnsi" w:cstheme="majorBidi"/>
      <w:noProof w:val="0"/>
      <w:color w:val="272727" w:themeColor="text1" w:themeTint="D8"/>
      <w:sz w:val="21"/>
      <w:szCs w:val="21"/>
      <w:lang w:val="fr-FR" w:eastAsia="en-US"/>
    </w:rPr>
  </w:style>
  <w:style w:type="paragraph" w:styleId="Heading9">
    <w:name w:val="heading 9"/>
    <w:basedOn w:val="Normal"/>
    <w:next w:val="Normal"/>
    <w:link w:val="Heading9Char"/>
    <w:uiPriority w:val="9"/>
    <w:semiHidden/>
    <w:unhideWhenUsed/>
    <w:qFormat/>
    <w:rsid w:val="004653D0"/>
    <w:pPr>
      <w:keepNext/>
      <w:keepLines/>
      <w:numPr>
        <w:ilvl w:val="8"/>
        <w:numId w:val="1"/>
      </w:numPr>
      <w:spacing w:before="40" w:line="256" w:lineRule="auto"/>
      <w:jc w:val="left"/>
      <w:outlineLvl w:val="8"/>
    </w:pPr>
    <w:rPr>
      <w:rFonts w:asciiTheme="majorHAnsi" w:eastAsiaTheme="majorEastAsia" w:hAnsiTheme="majorHAnsi" w:cstheme="majorBidi"/>
      <w:i/>
      <w:iCs/>
      <w:noProof w:val="0"/>
      <w:color w:val="272727" w:themeColor="text1" w:themeTint="D8"/>
      <w:sz w:val="21"/>
      <w:szCs w:val="2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653D0"/>
    <w:rPr>
      <w:color w:val="0000FF"/>
      <w:u w:val="single"/>
    </w:rPr>
  </w:style>
  <w:style w:type="paragraph" w:customStyle="1" w:styleId="MDPI11articletype">
    <w:name w:val="MDPI_1.1_article_type"/>
    <w:next w:val="Normal"/>
    <w:uiPriority w:val="99"/>
    <w:qFormat/>
    <w:rsid w:val="004653D0"/>
    <w:pPr>
      <w:adjustRightInd w:val="0"/>
      <w:snapToGrid w:val="0"/>
      <w:spacing w:before="240" w:after="0" w:line="240" w:lineRule="auto"/>
    </w:pPr>
    <w:rPr>
      <w:rFonts w:ascii="Palatino Linotype" w:eastAsia="Times New Roman" w:hAnsi="Palatino Linotype" w:cs="Times New Roman"/>
      <w:i/>
      <w:color w:val="000000"/>
      <w:sz w:val="20"/>
      <w:lang w:val="en-US" w:eastAsia="de-DE" w:bidi="en-US"/>
    </w:rPr>
  </w:style>
  <w:style w:type="paragraph" w:customStyle="1" w:styleId="MDPI12title">
    <w:name w:val="MDPI_1.2_title"/>
    <w:next w:val="Normal"/>
    <w:uiPriority w:val="99"/>
    <w:qFormat/>
    <w:rsid w:val="004653D0"/>
    <w:pPr>
      <w:adjustRightInd w:val="0"/>
      <w:snapToGrid w:val="0"/>
      <w:spacing w:after="240" w:line="240" w:lineRule="atLeast"/>
    </w:pPr>
    <w:rPr>
      <w:rFonts w:ascii="Palatino Linotype" w:eastAsia="Times New Roman" w:hAnsi="Palatino Linotype" w:cs="Times New Roman"/>
      <w:b/>
      <w:color w:val="000000"/>
      <w:sz w:val="36"/>
      <w:szCs w:val="20"/>
      <w:lang w:val="en-US" w:eastAsia="de-DE" w:bidi="en-US"/>
    </w:rPr>
  </w:style>
  <w:style w:type="paragraph" w:customStyle="1" w:styleId="MDPI13authornames">
    <w:name w:val="MDPI_1.3_authornames"/>
    <w:next w:val="Normal"/>
    <w:uiPriority w:val="99"/>
    <w:qFormat/>
    <w:rsid w:val="004653D0"/>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uiPriority w:val="99"/>
    <w:qFormat/>
    <w:rsid w:val="004653D0"/>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customStyle="1" w:styleId="gcsdbrwbgqc">
    <w:name w:val="gcsdbrwbgqc"/>
    <w:basedOn w:val="DefaultParagraphFont"/>
    <w:rsid w:val="004653D0"/>
  </w:style>
  <w:style w:type="character" w:customStyle="1" w:styleId="Heading1Char">
    <w:name w:val="Heading 1 Char"/>
    <w:basedOn w:val="DefaultParagraphFont"/>
    <w:link w:val="Heading1"/>
    <w:uiPriority w:val="9"/>
    <w:rsid w:val="004653D0"/>
    <w:rPr>
      <w:rFonts w:asciiTheme="majorHAnsi" w:eastAsiaTheme="majorEastAsia" w:hAnsiTheme="majorHAnsi" w:cstheme="majorBidi"/>
      <w:color w:val="2F5496" w:themeColor="accent1" w:themeShade="BF"/>
      <w:sz w:val="32"/>
      <w:szCs w:val="32"/>
      <w:lang w:val="fr-FR"/>
    </w:rPr>
  </w:style>
  <w:style w:type="character" w:customStyle="1" w:styleId="Heading2Char">
    <w:name w:val="Heading 2 Char"/>
    <w:basedOn w:val="DefaultParagraphFont"/>
    <w:link w:val="Heading2"/>
    <w:uiPriority w:val="9"/>
    <w:semiHidden/>
    <w:rsid w:val="004653D0"/>
    <w:rPr>
      <w:rFonts w:asciiTheme="majorHAnsi" w:eastAsiaTheme="majorEastAsia" w:hAnsiTheme="majorHAnsi" w:cstheme="majorBidi"/>
      <w:color w:val="2F5496" w:themeColor="accent1" w:themeShade="BF"/>
      <w:sz w:val="26"/>
      <w:szCs w:val="26"/>
      <w:lang w:val="fr-FR"/>
    </w:rPr>
  </w:style>
  <w:style w:type="character" w:customStyle="1" w:styleId="Heading3Char">
    <w:name w:val="Heading 3 Char"/>
    <w:basedOn w:val="DefaultParagraphFont"/>
    <w:link w:val="Heading3"/>
    <w:uiPriority w:val="9"/>
    <w:semiHidden/>
    <w:rsid w:val="004653D0"/>
    <w:rPr>
      <w:rFonts w:asciiTheme="majorHAnsi" w:eastAsiaTheme="majorEastAsia" w:hAnsiTheme="majorHAnsi" w:cstheme="majorBidi"/>
      <w:color w:val="1F3763" w:themeColor="accent1" w:themeShade="7F"/>
      <w:sz w:val="24"/>
      <w:szCs w:val="24"/>
      <w:lang w:val="fr-FR"/>
    </w:rPr>
  </w:style>
  <w:style w:type="character" w:customStyle="1" w:styleId="Heading4Char">
    <w:name w:val="Heading 4 Char"/>
    <w:basedOn w:val="DefaultParagraphFont"/>
    <w:link w:val="Heading4"/>
    <w:uiPriority w:val="9"/>
    <w:semiHidden/>
    <w:rsid w:val="004653D0"/>
    <w:rPr>
      <w:rFonts w:asciiTheme="majorHAnsi" w:eastAsiaTheme="majorEastAsia" w:hAnsiTheme="majorHAnsi" w:cstheme="majorBidi"/>
      <w:i/>
      <w:iCs/>
      <w:color w:val="2F5496" w:themeColor="accent1" w:themeShade="BF"/>
      <w:lang w:val="fr-FR"/>
    </w:rPr>
  </w:style>
  <w:style w:type="character" w:customStyle="1" w:styleId="Heading5Char">
    <w:name w:val="Heading 5 Char"/>
    <w:basedOn w:val="DefaultParagraphFont"/>
    <w:link w:val="Heading5"/>
    <w:uiPriority w:val="9"/>
    <w:semiHidden/>
    <w:rsid w:val="004653D0"/>
    <w:rPr>
      <w:rFonts w:asciiTheme="majorHAnsi" w:eastAsiaTheme="majorEastAsia" w:hAnsiTheme="majorHAnsi" w:cstheme="majorBidi"/>
      <w:color w:val="2F5496" w:themeColor="accent1" w:themeShade="BF"/>
      <w:lang w:val="fr-FR"/>
    </w:rPr>
  </w:style>
  <w:style w:type="character" w:customStyle="1" w:styleId="Heading6Char">
    <w:name w:val="Heading 6 Char"/>
    <w:basedOn w:val="DefaultParagraphFont"/>
    <w:link w:val="Heading6"/>
    <w:uiPriority w:val="9"/>
    <w:semiHidden/>
    <w:rsid w:val="004653D0"/>
    <w:rPr>
      <w:rFonts w:asciiTheme="majorHAnsi" w:eastAsiaTheme="majorEastAsia" w:hAnsiTheme="majorHAnsi" w:cstheme="majorBidi"/>
      <w:color w:val="1F3763" w:themeColor="accent1" w:themeShade="7F"/>
      <w:lang w:val="fr-FR"/>
    </w:rPr>
  </w:style>
  <w:style w:type="character" w:customStyle="1" w:styleId="Heading7Char">
    <w:name w:val="Heading 7 Char"/>
    <w:basedOn w:val="DefaultParagraphFont"/>
    <w:link w:val="Heading7"/>
    <w:uiPriority w:val="9"/>
    <w:semiHidden/>
    <w:rsid w:val="004653D0"/>
    <w:rPr>
      <w:rFonts w:asciiTheme="majorHAnsi" w:eastAsiaTheme="majorEastAsia" w:hAnsiTheme="majorHAnsi" w:cstheme="majorBidi"/>
      <w:i/>
      <w:iCs/>
      <w:color w:val="1F3763" w:themeColor="accent1" w:themeShade="7F"/>
      <w:lang w:val="fr-FR"/>
    </w:rPr>
  </w:style>
  <w:style w:type="character" w:customStyle="1" w:styleId="Heading8Char">
    <w:name w:val="Heading 8 Char"/>
    <w:basedOn w:val="DefaultParagraphFont"/>
    <w:link w:val="Heading8"/>
    <w:uiPriority w:val="9"/>
    <w:semiHidden/>
    <w:rsid w:val="004653D0"/>
    <w:rPr>
      <w:rFonts w:asciiTheme="majorHAnsi" w:eastAsiaTheme="majorEastAsia" w:hAnsiTheme="majorHAnsi" w:cstheme="majorBidi"/>
      <w:color w:val="272727" w:themeColor="text1" w:themeTint="D8"/>
      <w:sz w:val="21"/>
      <w:szCs w:val="21"/>
      <w:lang w:val="fr-FR"/>
    </w:rPr>
  </w:style>
  <w:style w:type="character" w:customStyle="1" w:styleId="Heading9Char">
    <w:name w:val="Heading 9 Char"/>
    <w:basedOn w:val="DefaultParagraphFont"/>
    <w:link w:val="Heading9"/>
    <w:uiPriority w:val="9"/>
    <w:semiHidden/>
    <w:rsid w:val="004653D0"/>
    <w:rPr>
      <w:rFonts w:asciiTheme="majorHAnsi" w:eastAsiaTheme="majorEastAsia" w:hAnsiTheme="majorHAnsi" w:cstheme="majorBidi"/>
      <w:i/>
      <w:iCs/>
      <w:color w:val="272727" w:themeColor="text1" w:themeTint="D8"/>
      <w:sz w:val="21"/>
      <w:szCs w:val="21"/>
      <w:lang w:val="fr-FR"/>
    </w:rPr>
  </w:style>
  <w:style w:type="character" w:styleId="FollowedHyperlink">
    <w:name w:val="FollowedHyperlink"/>
    <w:uiPriority w:val="99"/>
    <w:semiHidden/>
    <w:unhideWhenUsed/>
    <w:rsid w:val="004653D0"/>
    <w:rPr>
      <w:color w:val="954F72"/>
      <w:u w:val="single"/>
    </w:rPr>
  </w:style>
  <w:style w:type="paragraph" w:styleId="HTMLAddress">
    <w:name w:val="HTML Address"/>
    <w:basedOn w:val="Normal"/>
    <w:link w:val="HTMLAddressChar"/>
    <w:uiPriority w:val="99"/>
    <w:semiHidden/>
    <w:unhideWhenUsed/>
    <w:rsid w:val="004653D0"/>
    <w:pPr>
      <w:spacing w:line="240" w:lineRule="auto"/>
      <w:jc w:val="left"/>
    </w:pPr>
    <w:rPr>
      <w:rFonts w:asciiTheme="minorHAnsi" w:eastAsiaTheme="minorHAnsi" w:hAnsiTheme="minorHAnsi" w:cstheme="minorBidi"/>
      <w:i/>
      <w:iCs/>
      <w:noProof w:val="0"/>
      <w:color w:val="auto"/>
      <w:sz w:val="22"/>
      <w:szCs w:val="22"/>
      <w:lang w:val="fr-FR" w:eastAsia="en-US"/>
    </w:rPr>
  </w:style>
  <w:style w:type="character" w:customStyle="1" w:styleId="HTMLAddressChar">
    <w:name w:val="HTML Address Char"/>
    <w:basedOn w:val="DefaultParagraphFont"/>
    <w:link w:val="HTMLAddress"/>
    <w:uiPriority w:val="99"/>
    <w:semiHidden/>
    <w:rsid w:val="004653D0"/>
    <w:rPr>
      <w:i/>
      <w:iCs/>
      <w:lang w:val="fr-FR"/>
    </w:rPr>
  </w:style>
  <w:style w:type="paragraph" w:styleId="HTMLPreformatted">
    <w:name w:val="HTML Preformatted"/>
    <w:basedOn w:val="Normal"/>
    <w:link w:val="HTMLPreformattedChar"/>
    <w:uiPriority w:val="99"/>
    <w:semiHidden/>
    <w:unhideWhenUsed/>
    <w:rsid w:val="00465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heme="minorHAnsi" w:hAnsi="Consolas" w:cstheme="minorBidi"/>
      <w:noProof w:val="0"/>
      <w:color w:val="auto"/>
      <w:lang w:val="fr-FR" w:eastAsia="en-US"/>
    </w:rPr>
  </w:style>
  <w:style w:type="character" w:customStyle="1" w:styleId="HTMLPreformattedChar">
    <w:name w:val="HTML Preformatted Char"/>
    <w:basedOn w:val="DefaultParagraphFont"/>
    <w:link w:val="HTMLPreformatted"/>
    <w:uiPriority w:val="99"/>
    <w:semiHidden/>
    <w:rsid w:val="004653D0"/>
    <w:rPr>
      <w:rFonts w:ascii="Consolas" w:hAnsi="Consolas"/>
      <w:sz w:val="20"/>
      <w:szCs w:val="20"/>
      <w:lang w:val="fr-FR"/>
    </w:rPr>
  </w:style>
  <w:style w:type="paragraph" w:customStyle="1" w:styleId="msonormal0">
    <w:name w:val="msonormal"/>
    <w:basedOn w:val="Normal"/>
    <w:uiPriority w:val="99"/>
    <w:rsid w:val="004653D0"/>
    <w:rPr>
      <w:szCs w:val="24"/>
    </w:rPr>
  </w:style>
  <w:style w:type="paragraph" w:styleId="NormalWeb">
    <w:name w:val="Normal (Web)"/>
    <w:basedOn w:val="Normal"/>
    <w:uiPriority w:val="99"/>
    <w:semiHidden/>
    <w:unhideWhenUsed/>
    <w:rsid w:val="004653D0"/>
    <w:rPr>
      <w:szCs w:val="24"/>
    </w:rPr>
  </w:style>
  <w:style w:type="paragraph" w:styleId="Index1">
    <w:name w:val="index 1"/>
    <w:basedOn w:val="Normal"/>
    <w:next w:val="Normal"/>
    <w:autoRedefine/>
    <w:uiPriority w:val="99"/>
    <w:semiHidden/>
    <w:unhideWhenUsed/>
    <w:rsid w:val="004653D0"/>
    <w:pPr>
      <w:spacing w:line="240" w:lineRule="auto"/>
      <w:ind w:left="220" w:hanging="220"/>
      <w:jc w:val="left"/>
    </w:pPr>
    <w:rPr>
      <w:rFonts w:asciiTheme="minorHAnsi" w:eastAsiaTheme="minorHAnsi" w:hAnsiTheme="minorHAnsi" w:cstheme="minorBidi"/>
      <w:noProof w:val="0"/>
      <w:color w:val="auto"/>
      <w:sz w:val="22"/>
      <w:szCs w:val="22"/>
      <w:lang w:val="fr-FR" w:eastAsia="en-US"/>
    </w:rPr>
  </w:style>
  <w:style w:type="paragraph" w:styleId="Index2">
    <w:name w:val="index 2"/>
    <w:basedOn w:val="Normal"/>
    <w:next w:val="Normal"/>
    <w:autoRedefine/>
    <w:uiPriority w:val="99"/>
    <w:semiHidden/>
    <w:unhideWhenUsed/>
    <w:rsid w:val="004653D0"/>
    <w:pPr>
      <w:spacing w:line="240" w:lineRule="auto"/>
      <w:ind w:left="440" w:hanging="220"/>
      <w:jc w:val="left"/>
    </w:pPr>
    <w:rPr>
      <w:rFonts w:asciiTheme="minorHAnsi" w:eastAsiaTheme="minorHAnsi" w:hAnsiTheme="minorHAnsi" w:cstheme="minorBidi"/>
      <w:noProof w:val="0"/>
      <w:color w:val="auto"/>
      <w:sz w:val="22"/>
      <w:szCs w:val="22"/>
      <w:lang w:val="fr-FR" w:eastAsia="en-US"/>
    </w:rPr>
  </w:style>
  <w:style w:type="paragraph" w:styleId="Index3">
    <w:name w:val="index 3"/>
    <w:basedOn w:val="Normal"/>
    <w:next w:val="Normal"/>
    <w:autoRedefine/>
    <w:uiPriority w:val="99"/>
    <w:semiHidden/>
    <w:unhideWhenUsed/>
    <w:rsid w:val="004653D0"/>
    <w:pPr>
      <w:spacing w:line="240" w:lineRule="auto"/>
      <w:ind w:left="660" w:hanging="220"/>
      <w:jc w:val="left"/>
    </w:pPr>
    <w:rPr>
      <w:rFonts w:asciiTheme="minorHAnsi" w:eastAsiaTheme="minorHAnsi" w:hAnsiTheme="minorHAnsi" w:cstheme="minorBidi"/>
      <w:noProof w:val="0"/>
      <w:color w:val="auto"/>
      <w:sz w:val="22"/>
      <w:szCs w:val="22"/>
      <w:lang w:val="fr-FR" w:eastAsia="en-US"/>
    </w:rPr>
  </w:style>
  <w:style w:type="paragraph" w:styleId="Index4">
    <w:name w:val="index 4"/>
    <w:basedOn w:val="Normal"/>
    <w:next w:val="Normal"/>
    <w:autoRedefine/>
    <w:uiPriority w:val="99"/>
    <w:semiHidden/>
    <w:unhideWhenUsed/>
    <w:rsid w:val="004653D0"/>
    <w:pPr>
      <w:spacing w:line="240" w:lineRule="auto"/>
      <w:ind w:left="880" w:hanging="220"/>
      <w:jc w:val="left"/>
    </w:pPr>
    <w:rPr>
      <w:rFonts w:asciiTheme="minorHAnsi" w:eastAsiaTheme="minorHAnsi" w:hAnsiTheme="minorHAnsi" w:cstheme="minorBidi"/>
      <w:noProof w:val="0"/>
      <w:color w:val="auto"/>
      <w:sz w:val="22"/>
      <w:szCs w:val="22"/>
      <w:lang w:val="fr-FR" w:eastAsia="en-US"/>
    </w:rPr>
  </w:style>
  <w:style w:type="paragraph" w:styleId="Index5">
    <w:name w:val="index 5"/>
    <w:basedOn w:val="Normal"/>
    <w:next w:val="Normal"/>
    <w:autoRedefine/>
    <w:uiPriority w:val="99"/>
    <w:semiHidden/>
    <w:unhideWhenUsed/>
    <w:rsid w:val="004653D0"/>
    <w:pPr>
      <w:spacing w:line="240" w:lineRule="auto"/>
      <w:ind w:left="1100" w:hanging="220"/>
      <w:jc w:val="left"/>
    </w:pPr>
    <w:rPr>
      <w:rFonts w:asciiTheme="minorHAnsi" w:eastAsiaTheme="minorHAnsi" w:hAnsiTheme="minorHAnsi" w:cstheme="minorBidi"/>
      <w:noProof w:val="0"/>
      <w:color w:val="auto"/>
      <w:sz w:val="22"/>
      <w:szCs w:val="22"/>
      <w:lang w:val="fr-FR" w:eastAsia="en-US"/>
    </w:rPr>
  </w:style>
  <w:style w:type="paragraph" w:styleId="Index6">
    <w:name w:val="index 6"/>
    <w:basedOn w:val="Normal"/>
    <w:next w:val="Normal"/>
    <w:autoRedefine/>
    <w:uiPriority w:val="99"/>
    <w:semiHidden/>
    <w:unhideWhenUsed/>
    <w:rsid w:val="004653D0"/>
    <w:pPr>
      <w:spacing w:line="240" w:lineRule="auto"/>
      <w:ind w:left="1320" w:hanging="220"/>
      <w:jc w:val="left"/>
    </w:pPr>
    <w:rPr>
      <w:rFonts w:asciiTheme="minorHAnsi" w:eastAsiaTheme="minorHAnsi" w:hAnsiTheme="minorHAnsi" w:cstheme="minorBidi"/>
      <w:noProof w:val="0"/>
      <w:color w:val="auto"/>
      <w:sz w:val="22"/>
      <w:szCs w:val="22"/>
      <w:lang w:val="fr-FR" w:eastAsia="en-US"/>
    </w:rPr>
  </w:style>
  <w:style w:type="paragraph" w:styleId="Index7">
    <w:name w:val="index 7"/>
    <w:basedOn w:val="Normal"/>
    <w:next w:val="Normal"/>
    <w:autoRedefine/>
    <w:uiPriority w:val="99"/>
    <w:semiHidden/>
    <w:unhideWhenUsed/>
    <w:rsid w:val="004653D0"/>
    <w:pPr>
      <w:spacing w:line="240" w:lineRule="auto"/>
      <w:ind w:left="1540" w:hanging="220"/>
      <w:jc w:val="left"/>
    </w:pPr>
    <w:rPr>
      <w:rFonts w:asciiTheme="minorHAnsi" w:eastAsiaTheme="minorHAnsi" w:hAnsiTheme="minorHAnsi" w:cstheme="minorBidi"/>
      <w:noProof w:val="0"/>
      <w:color w:val="auto"/>
      <w:sz w:val="22"/>
      <w:szCs w:val="22"/>
      <w:lang w:val="fr-FR" w:eastAsia="en-US"/>
    </w:rPr>
  </w:style>
  <w:style w:type="paragraph" w:styleId="Index8">
    <w:name w:val="index 8"/>
    <w:basedOn w:val="Normal"/>
    <w:next w:val="Normal"/>
    <w:autoRedefine/>
    <w:uiPriority w:val="99"/>
    <w:semiHidden/>
    <w:unhideWhenUsed/>
    <w:rsid w:val="004653D0"/>
    <w:pPr>
      <w:spacing w:line="240" w:lineRule="auto"/>
      <w:ind w:left="1760" w:hanging="220"/>
      <w:jc w:val="left"/>
    </w:pPr>
    <w:rPr>
      <w:rFonts w:asciiTheme="minorHAnsi" w:eastAsiaTheme="minorHAnsi" w:hAnsiTheme="minorHAnsi" w:cstheme="minorBidi"/>
      <w:noProof w:val="0"/>
      <w:color w:val="auto"/>
      <w:sz w:val="22"/>
      <w:szCs w:val="22"/>
      <w:lang w:val="fr-FR" w:eastAsia="en-US"/>
    </w:rPr>
  </w:style>
  <w:style w:type="paragraph" w:styleId="Index9">
    <w:name w:val="index 9"/>
    <w:basedOn w:val="Normal"/>
    <w:next w:val="Normal"/>
    <w:autoRedefine/>
    <w:uiPriority w:val="99"/>
    <w:semiHidden/>
    <w:unhideWhenUsed/>
    <w:rsid w:val="004653D0"/>
    <w:pPr>
      <w:spacing w:line="240" w:lineRule="auto"/>
      <w:ind w:left="1980" w:hanging="220"/>
      <w:jc w:val="left"/>
    </w:pPr>
    <w:rPr>
      <w:rFonts w:asciiTheme="minorHAnsi" w:eastAsiaTheme="minorHAnsi" w:hAnsiTheme="minorHAnsi" w:cstheme="minorBidi"/>
      <w:noProof w:val="0"/>
      <w:color w:val="auto"/>
      <w:sz w:val="22"/>
      <w:szCs w:val="22"/>
      <w:lang w:val="fr-FR" w:eastAsia="en-US"/>
    </w:rPr>
  </w:style>
  <w:style w:type="paragraph" w:styleId="TOC1">
    <w:name w:val="toc 1"/>
    <w:basedOn w:val="Normal"/>
    <w:next w:val="Normal"/>
    <w:autoRedefine/>
    <w:uiPriority w:val="39"/>
    <w:semiHidden/>
    <w:unhideWhenUsed/>
    <w:rsid w:val="004653D0"/>
    <w:pPr>
      <w:spacing w:after="100" w:line="256" w:lineRule="auto"/>
      <w:jc w:val="left"/>
    </w:pPr>
    <w:rPr>
      <w:rFonts w:asciiTheme="minorHAnsi" w:eastAsiaTheme="minorHAnsi" w:hAnsiTheme="minorHAnsi" w:cstheme="minorBidi"/>
      <w:noProof w:val="0"/>
      <w:color w:val="auto"/>
      <w:sz w:val="22"/>
      <w:szCs w:val="22"/>
      <w:lang w:val="fr-FR" w:eastAsia="en-US"/>
    </w:rPr>
  </w:style>
  <w:style w:type="paragraph" w:styleId="TOC2">
    <w:name w:val="toc 2"/>
    <w:basedOn w:val="Normal"/>
    <w:next w:val="Normal"/>
    <w:autoRedefine/>
    <w:uiPriority w:val="39"/>
    <w:semiHidden/>
    <w:unhideWhenUsed/>
    <w:rsid w:val="004653D0"/>
    <w:pPr>
      <w:spacing w:after="100" w:line="256" w:lineRule="auto"/>
      <w:ind w:left="220"/>
      <w:jc w:val="left"/>
    </w:pPr>
    <w:rPr>
      <w:rFonts w:asciiTheme="minorHAnsi" w:eastAsiaTheme="minorHAnsi" w:hAnsiTheme="minorHAnsi" w:cstheme="minorBidi"/>
      <w:noProof w:val="0"/>
      <w:color w:val="auto"/>
      <w:sz w:val="22"/>
      <w:szCs w:val="22"/>
      <w:lang w:val="fr-FR" w:eastAsia="en-US"/>
    </w:rPr>
  </w:style>
  <w:style w:type="paragraph" w:styleId="TOC3">
    <w:name w:val="toc 3"/>
    <w:basedOn w:val="Normal"/>
    <w:next w:val="Normal"/>
    <w:autoRedefine/>
    <w:uiPriority w:val="39"/>
    <w:semiHidden/>
    <w:unhideWhenUsed/>
    <w:rsid w:val="004653D0"/>
    <w:pPr>
      <w:spacing w:after="100" w:line="256" w:lineRule="auto"/>
      <w:ind w:left="440"/>
      <w:jc w:val="left"/>
    </w:pPr>
    <w:rPr>
      <w:rFonts w:asciiTheme="minorHAnsi" w:eastAsiaTheme="minorHAnsi" w:hAnsiTheme="minorHAnsi" w:cstheme="minorBidi"/>
      <w:noProof w:val="0"/>
      <w:color w:val="auto"/>
      <w:sz w:val="22"/>
      <w:szCs w:val="22"/>
      <w:lang w:val="fr-FR" w:eastAsia="en-US"/>
    </w:rPr>
  </w:style>
  <w:style w:type="paragraph" w:styleId="TOC4">
    <w:name w:val="toc 4"/>
    <w:basedOn w:val="Normal"/>
    <w:next w:val="Normal"/>
    <w:autoRedefine/>
    <w:uiPriority w:val="39"/>
    <w:semiHidden/>
    <w:unhideWhenUsed/>
    <w:rsid w:val="004653D0"/>
    <w:pPr>
      <w:spacing w:after="100" w:line="256" w:lineRule="auto"/>
      <w:ind w:left="660"/>
      <w:jc w:val="left"/>
    </w:pPr>
    <w:rPr>
      <w:rFonts w:asciiTheme="minorHAnsi" w:eastAsiaTheme="minorHAnsi" w:hAnsiTheme="minorHAnsi" w:cstheme="minorBidi"/>
      <w:noProof w:val="0"/>
      <w:color w:val="auto"/>
      <w:sz w:val="22"/>
      <w:szCs w:val="22"/>
      <w:lang w:val="fr-FR" w:eastAsia="en-US"/>
    </w:rPr>
  </w:style>
  <w:style w:type="paragraph" w:styleId="TOC5">
    <w:name w:val="toc 5"/>
    <w:basedOn w:val="Normal"/>
    <w:next w:val="Normal"/>
    <w:autoRedefine/>
    <w:uiPriority w:val="39"/>
    <w:semiHidden/>
    <w:unhideWhenUsed/>
    <w:rsid w:val="004653D0"/>
    <w:pPr>
      <w:spacing w:after="100" w:line="256" w:lineRule="auto"/>
      <w:ind w:left="880"/>
      <w:jc w:val="left"/>
    </w:pPr>
    <w:rPr>
      <w:rFonts w:asciiTheme="minorHAnsi" w:eastAsiaTheme="minorHAnsi" w:hAnsiTheme="minorHAnsi" w:cstheme="minorBidi"/>
      <w:noProof w:val="0"/>
      <w:color w:val="auto"/>
      <w:sz w:val="22"/>
      <w:szCs w:val="22"/>
      <w:lang w:val="fr-FR" w:eastAsia="en-US"/>
    </w:rPr>
  </w:style>
  <w:style w:type="paragraph" w:styleId="TOC6">
    <w:name w:val="toc 6"/>
    <w:basedOn w:val="Normal"/>
    <w:next w:val="Normal"/>
    <w:autoRedefine/>
    <w:uiPriority w:val="39"/>
    <w:semiHidden/>
    <w:unhideWhenUsed/>
    <w:rsid w:val="004653D0"/>
    <w:pPr>
      <w:spacing w:after="100" w:line="256" w:lineRule="auto"/>
      <w:ind w:left="1100"/>
      <w:jc w:val="left"/>
    </w:pPr>
    <w:rPr>
      <w:rFonts w:asciiTheme="minorHAnsi" w:eastAsiaTheme="minorHAnsi" w:hAnsiTheme="minorHAnsi" w:cstheme="minorBidi"/>
      <w:noProof w:val="0"/>
      <w:color w:val="auto"/>
      <w:sz w:val="22"/>
      <w:szCs w:val="22"/>
      <w:lang w:val="fr-FR" w:eastAsia="en-US"/>
    </w:rPr>
  </w:style>
  <w:style w:type="paragraph" w:styleId="TOC7">
    <w:name w:val="toc 7"/>
    <w:basedOn w:val="Normal"/>
    <w:next w:val="Normal"/>
    <w:autoRedefine/>
    <w:uiPriority w:val="39"/>
    <w:semiHidden/>
    <w:unhideWhenUsed/>
    <w:rsid w:val="004653D0"/>
    <w:pPr>
      <w:spacing w:after="100" w:line="256" w:lineRule="auto"/>
      <w:ind w:left="1320"/>
      <w:jc w:val="left"/>
    </w:pPr>
    <w:rPr>
      <w:rFonts w:asciiTheme="minorHAnsi" w:eastAsiaTheme="minorHAnsi" w:hAnsiTheme="minorHAnsi" w:cstheme="minorBidi"/>
      <w:noProof w:val="0"/>
      <w:color w:val="auto"/>
      <w:sz w:val="22"/>
      <w:szCs w:val="22"/>
      <w:lang w:val="fr-FR" w:eastAsia="en-US"/>
    </w:rPr>
  </w:style>
  <w:style w:type="paragraph" w:styleId="TOC8">
    <w:name w:val="toc 8"/>
    <w:basedOn w:val="Normal"/>
    <w:next w:val="Normal"/>
    <w:autoRedefine/>
    <w:uiPriority w:val="39"/>
    <w:semiHidden/>
    <w:unhideWhenUsed/>
    <w:rsid w:val="004653D0"/>
    <w:pPr>
      <w:spacing w:after="100" w:line="256" w:lineRule="auto"/>
      <w:ind w:left="1540"/>
      <w:jc w:val="left"/>
    </w:pPr>
    <w:rPr>
      <w:rFonts w:asciiTheme="minorHAnsi" w:eastAsiaTheme="minorHAnsi" w:hAnsiTheme="minorHAnsi" w:cstheme="minorBidi"/>
      <w:noProof w:val="0"/>
      <w:color w:val="auto"/>
      <w:sz w:val="22"/>
      <w:szCs w:val="22"/>
      <w:lang w:val="fr-FR" w:eastAsia="en-US"/>
    </w:rPr>
  </w:style>
  <w:style w:type="paragraph" w:styleId="TOC9">
    <w:name w:val="toc 9"/>
    <w:basedOn w:val="Normal"/>
    <w:next w:val="Normal"/>
    <w:autoRedefine/>
    <w:uiPriority w:val="39"/>
    <w:semiHidden/>
    <w:unhideWhenUsed/>
    <w:rsid w:val="004653D0"/>
    <w:pPr>
      <w:spacing w:after="100" w:line="256" w:lineRule="auto"/>
      <w:ind w:left="1760"/>
      <w:jc w:val="left"/>
    </w:pPr>
    <w:rPr>
      <w:rFonts w:asciiTheme="minorHAnsi" w:eastAsiaTheme="minorHAnsi" w:hAnsiTheme="minorHAnsi" w:cstheme="minorBidi"/>
      <w:noProof w:val="0"/>
      <w:color w:val="auto"/>
      <w:sz w:val="22"/>
      <w:szCs w:val="22"/>
      <w:lang w:val="fr-FR" w:eastAsia="en-US"/>
    </w:rPr>
  </w:style>
  <w:style w:type="paragraph" w:styleId="NormalIndent">
    <w:name w:val="Normal Indent"/>
    <w:basedOn w:val="Normal"/>
    <w:uiPriority w:val="99"/>
    <w:semiHidden/>
    <w:unhideWhenUsed/>
    <w:rsid w:val="004653D0"/>
    <w:pPr>
      <w:spacing w:after="160" w:line="256" w:lineRule="auto"/>
      <w:ind w:left="720"/>
      <w:jc w:val="left"/>
    </w:pPr>
    <w:rPr>
      <w:rFonts w:asciiTheme="minorHAnsi" w:eastAsiaTheme="minorHAnsi" w:hAnsiTheme="minorHAnsi" w:cstheme="minorBidi"/>
      <w:noProof w:val="0"/>
      <w:color w:val="auto"/>
      <w:sz w:val="22"/>
      <w:szCs w:val="22"/>
      <w:lang w:val="fr-FR" w:eastAsia="en-US"/>
    </w:rPr>
  </w:style>
  <w:style w:type="paragraph" w:styleId="FootnoteText">
    <w:name w:val="footnote text"/>
    <w:basedOn w:val="Normal"/>
    <w:link w:val="FootnoteTextChar"/>
    <w:uiPriority w:val="99"/>
    <w:semiHidden/>
    <w:unhideWhenUsed/>
    <w:rsid w:val="004653D0"/>
    <w:pPr>
      <w:spacing w:line="240" w:lineRule="auto"/>
    </w:pPr>
  </w:style>
  <w:style w:type="character" w:customStyle="1" w:styleId="FootnoteTextChar">
    <w:name w:val="Footnote Text Char"/>
    <w:basedOn w:val="DefaultParagraphFont"/>
    <w:link w:val="FootnoteText"/>
    <w:uiPriority w:val="99"/>
    <w:semiHidden/>
    <w:rsid w:val="004653D0"/>
    <w:rPr>
      <w:rFonts w:ascii="Palatino Linotype" w:eastAsia="SimSun" w:hAnsi="Palatino Linotype" w:cs="Times New Roman"/>
      <w:noProof/>
      <w:color w:val="000000"/>
      <w:sz w:val="20"/>
      <w:szCs w:val="20"/>
      <w:lang w:val="en-US" w:eastAsia="zh-CN"/>
    </w:rPr>
  </w:style>
  <w:style w:type="paragraph" w:styleId="CommentText">
    <w:name w:val="annotation text"/>
    <w:basedOn w:val="Normal"/>
    <w:link w:val="CommentTextChar"/>
    <w:uiPriority w:val="99"/>
    <w:semiHidden/>
    <w:unhideWhenUsed/>
    <w:rsid w:val="004653D0"/>
  </w:style>
  <w:style w:type="character" w:customStyle="1" w:styleId="CommentTextChar">
    <w:name w:val="Comment Text Char"/>
    <w:basedOn w:val="DefaultParagraphFont"/>
    <w:link w:val="CommentText"/>
    <w:uiPriority w:val="99"/>
    <w:semiHidden/>
    <w:rsid w:val="004653D0"/>
    <w:rPr>
      <w:rFonts w:ascii="Palatino Linotype" w:eastAsia="SimSun" w:hAnsi="Palatino Linotype" w:cs="Times New Roman"/>
      <w:noProof/>
      <w:color w:val="000000"/>
      <w:sz w:val="20"/>
      <w:szCs w:val="20"/>
      <w:lang w:val="en-US" w:eastAsia="zh-CN"/>
    </w:rPr>
  </w:style>
  <w:style w:type="paragraph" w:styleId="Header">
    <w:name w:val="header"/>
    <w:basedOn w:val="Normal"/>
    <w:link w:val="HeaderChar"/>
    <w:uiPriority w:val="99"/>
    <w:semiHidden/>
    <w:unhideWhenUsed/>
    <w:rsid w:val="004653D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semiHidden/>
    <w:rsid w:val="004653D0"/>
    <w:rPr>
      <w:rFonts w:ascii="Palatino Linotype" w:eastAsia="SimSun" w:hAnsi="Palatino Linotype" w:cs="Times New Roman"/>
      <w:noProof/>
      <w:color w:val="000000"/>
      <w:sz w:val="20"/>
      <w:szCs w:val="18"/>
      <w:lang w:val="en-US" w:eastAsia="zh-CN"/>
    </w:rPr>
  </w:style>
  <w:style w:type="paragraph" w:styleId="Footer">
    <w:name w:val="footer"/>
    <w:basedOn w:val="Normal"/>
    <w:link w:val="FooterChar"/>
    <w:uiPriority w:val="99"/>
    <w:semiHidden/>
    <w:unhideWhenUsed/>
    <w:rsid w:val="004653D0"/>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semiHidden/>
    <w:rsid w:val="004653D0"/>
    <w:rPr>
      <w:rFonts w:ascii="Palatino Linotype" w:eastAsia="SimSun" w:hAnsi="Palatino Linotype" w:cs="Times New Roman"/>
      <w:noProof/>
      <w:color w:val="000000"/>
      <w:sz w:val="20"/>
      <w:szCs w:val="18"/>
      <w:lang w:val="en-US" w:eastAsia="zh-CN"/>
    </w:rPr>
  </w:style>
  <w:style w:type="paragraph" w:styleId="IndexHeading">
    <w:name w:val="index heading"/>
    <w:basedOn w:val="Normal"/>
    <w:next w:val="Index1"/>
    <w:uiPriority w:val="99"/>
    <w:semiHidden/>
    <w:unhideWhenUsed/>
    <w:rsid w:val="004653D0"/>
    <w:pPr>
      <w:spacing w:after="160" w:line="256" w:lineRule="auto"/>
      <w:jc w:val="left"/>
    </w:pPr>
    <w:rPr>
      <w:rFonts w:asciiTheme="majorHAnsi" w:eastAsiaTheme="majorEastAsia" w:hAnsiTheme="majorHAnsi" w:cstheme="majorBidi"/>
      <w:b/>
      <w:bCs/>
      <w:noProof w:val="0"/>
      <w:color w:val="auto"/>
      <w:sz w:val="22"/>
      <w:szCs w:val="22"/>
      <w:lang w:val="fr-FR" w:eastAsia="en-US"/>
    </w:rPr>
  </w:style>
  <w:style w:type="paragraph" w:styleId="Caption">
    <w:name w:val="caption"/>
    <w:basedOn w:val="Normal"/>
    <w:next w:val="Normal"/>
    <w:uiPriority w:val="35"/>
    <w:semiHidden/>
    <w:unhideWhenUsed/>
    <w:qFormat/>
    <w:rsid w:val="004653D0"/>
    <w:pPr>
      <w:spacing w:after="200" w:line="240" w:lineRule="auto"/>
      <w:jc w:val="left"/>
    </w:pPr>
    <w:rPr>
      <w:rFonts w:asciiTheme="minorHAnsi" w:eastAsiaTheme="minorHAnsi" w:hAnsiTheme="minorHAnsi" w:cstheme="minorBidi"/>
      <w:i/>
      <w:iCs/>
      <w:noProof w:val="0"/>
      <w:color w:val="44546A" w:themeColor="text2"/>
      <w:sz w:val="18"/>
      <w:szCs w:val="18"/>
      <w:lang w:val="fr-FR" w:eastAsia="en-US"/>
    </w:rPr>
  </w:style>
  <w:style w:type="paragraph" w:styleId="TableofFigures">
    <w:name w:val="table of figures"/>
    <w:basedOn w:val="Normal"/>
    <w:next w:val="Normal"/>
    <w:uiPriority w:val="99"/>
    <w:semiHidden/>
    <w:unhideWhenUsed/>
    <w:rsid w:val="004653D0"/>
    <w:pPr>
      <w:spacing w:line="256" w:lineRule="auto"/>
      <w:jc w:val="left"/>
    </w:pPr>
    <w:rPr>
      <w:rFonts w:asciiTheme="minorHAnsi" w:eastAsiaTheme="minorHAnsi" w:hAnsiTheme="minorHAnsi" w:cstheme="minorBidi"/>
      <w:noProof w:val="0"/>
      <w:color w:val="auto"/>
      <w:sz w:val="22"/>
      <w:szCs w:val="22"/>
      <w:lang w:val="fr-FR" w:eastAsia="en-US"/>
    </w:rPr>
  </w:style>
  <w:style w:type="paragraph" w:styleId="EnvelopeAddress">
    <w:name w:val="envelope address"/>
    <w:basedOn w:val="Normal"/>
    <w:uiPriority w:val="99"/>
    <w:semiHidden/>
    <w:unhideWhenUsed/>
    <w:rsid w:val="004653D0"/>
    <w:pPr>
      <w:framePr w:w="7920" w:h="1980" w:hSpace="180" w:wrap="auto" w:hAnchor="page" w:xAlign="center" w:yAlign="bottom"/>
      <w:spacing w:line="240" w:lineRule="auto"/>
      <w:ind w:left="2880"/>
      <w:jc w:val="left"/>
    </w:pPr>
    <w:rPr>
      <w:rFonts w:asciiTheme="majorHAnsi" w:eastAsiaTheme="majorEastAsia" w:hAnsiTheme="majorHAnsi" w:cstheme="majorBidi"/>
      <w:noProof w:val="0"/>
      <w:color w:val="auto"/>
      <w:sz w:val="24"/>
      <w:szCs w:val="24"/>
      <w:lang w:val="fr-FR" w:eastAsia="en-US"/>
    </w:rPr>
  </w:style>
  <w:style w:type="paragraph" w:styleId="EnvelopeReturn">
    <w:name w:val="envelope return"/>
    <w:basedOn w:val="Normal"/>
    <w:uiPriority w:val="99"/>
    <w:semiHidden/>
    <w:unhideWhenUsed/>
    <w:rsid w:val="004653D0"/>
    <w:pPr>
      <w:spacing w:line="240" w:lineRule="auto"/>
      <w:jc w:val="left"/>
    </w:pPr>
    <w:rPr>
      <w:rFonts w:asciiTheme="majorHAnsi" w:eastAsiaTheme="majorEastAsia" w:hAnsiTheme="majorHAnsi" w:cstheme="majorBidi"/>
      <w:noProof w:val="0"/>
      <w:color w:val="auto"/>
      <w:lang w:val="fr-FR" w:eastAsia="en-US"/>
    </w:rPr>
  </w:style>
  <w:style w:type="paragraph" w:styleId="EndnoteText">
    <w:name w:val="endnote text"/>
    <w:basedOn w:val="Normal"/>
    <w:link w:val="EndnoteTextChar"/>
    <w:uiPriority w:val="99"/>
    <w:semiHidden/>
    <w:unhideWhenUsed/>
    <w:rsid w:val="004653D0"/>
    <w:pPr>
      <w:spacing w:line="240" w:lineRule="auto"/>
    </w:pPr>
  </w:style>
  <w:style w:type="character" w:customStyle="1" w:styleId="EndnoteTextChar">
    <w:name w:val="Endnote Text Char"/>
    <w:basedOn w:val="DefaultParagraphFont"/>
    <w:link w:val="EndnoteText"/>
    <w:uiPriority w:val="99"/>
    <w:semiHidden/>
    <w:rsid w:val="004653D0"/>
    <w:rPr>
      <w:rFonts w:ascii="Palatino Linotype" w:eastAsia="SimSun" w:hAnsi="Palatino Linotype" w:cs="Times New Roman"/>
      <w:noProof/>
      <w:color w:val="000000"/>
      <w:sz w:val="20"/>
      <w:szCs w:val="20"/>
      <w:lang w:val="en-US" w:eastAsia="zh-CN"/>
    </w:rPr>
  </w:style>
  <w:style w:type="paragraph" w:styleId="TableofAuthorities">
    <w:name w:val="table of authorities"/>
    <w:basedOn w:val="Normal"/>
    <w:next w:val="Normal"/>
    <w:uiPriority w:val="99"/>
    <w:semiHidden/>
    <w:unhideWhenUsed/>
    <w:rsid w:val="004653D0"/>
    <w:pPr>
      <w:spacing w:line="256" w:lineRule="auto"/>
      <w:ind w:left="220" w:hanging="220"/>
      <w:jc w:val="left"/>
    </w:pPr>
    <w:rPr>
      <w:rFonts w:asciiTheme="minorHAnsi" w:eastAsiaTheme="minorHAnsi" w:hAnsiTheme="minorHAnsi" w:cstheme="minorBidi"/>
      <w:noProof w:val="0"/>
      <w:color w:val="auto"/>
      <w:sz w:val="22"/>
      <w:szCs w:val="22"/>
      <w:lang w:val="fr-FR" w:eastAsia="en-US"/>
    </w:rPr>
  </w:style>
  <w:style w:type="paragraph" w:styleId="MacroText">
    <w:name w:val="macro"/>
    <w:link w:val="MacroTextChar"/>
    <w:uiPriority w:val="99"/>
    <w:semiHidden/>
    <w:unhideWhenUsed/>
    <w:rsid w:val="004653D0"/>
    <w:pPr>
      <w:tabs>
        <w:tab w:val="left" w:pos="480"/>
        <w:tab w:val="left" w:pos="960"/>
        <w:tab w:val="left" w:pos="1440"/>
        <w:tab w:val="left" w:pos="1920"/>
        <w:tab w:val="left" w:pos="2400"/>
        <w:tab w:val="left" w:pos="2880"/>
        <w:tab w:val="left" w:pos="3360"/>
        <w:tab w:val="left" w:pos="3840"/>
        <w:tab w:val="left" w:pos="4320"/>
      </w:tabs>
      <w:spacing w:after="0" w:line="256" w:lineRule="auto"/>
    </w:pPr>
    <w:rPr>
      <w:rFonts w:ascii="Consolas" w:hAnsi="Consolas"/>
      <w:sz w:val="20"/>
      <w:szCs w:val="20"/>
      <w:lang w:val="fr-FR"/>
    </w:rPr>
  </w:style>
  <w:style w:type="character" w:customStyle="1" w:styleId="MacroTextChar">
    <w:name w:val="Macro Text Char"/>
    <w:basedOn w:val="DefaultParagraphFont"/>
    <w:link w:val="MacroText"/>
    <w:uiPriority w:val="99"/>
    <w:semiHidden/>
    <w:rsid w:val="004653D0"/>
    <w:rPr>
      <w:rFonts w:ascii="Consolas" w:hAnsi="Consolas"/>
      <w:sz w:val="20"/>
      <w:szCs w:val="20"/>
      <w:lang w:val="fr-FR"/>
    </w:rPr>
  </w:style>
  <w:style w:type="paragraph" w:styleId="TOAHeading">
    <w:name w:val="toa heading"/>
    <w:basedOn w:val="Normal"/>
    <w:next w:val="Normal"/>
    <w:uiPriority w:val="99"/>
    <w:semiHidden/>
    <w:unhideWhenUsed/>
    <w:rsid w:val="004653D0"/>
    <w:pPr>
      <w:spacing w:before="120" w:after="160" w:line="256" w:lineRule="auto"/>
      <w:jc w:val="left"/>
    </w:pPr>
    <w:rPr>
      <w:rFonts w:asciiTheme="majorHAnsi" w:eastAsiaTheme="majorEastAsia" w:hAnsiTheme="majorHAnsi" w:cstheme="majorBidi"/>
      <w:b/>
      <w:bCs/>
      <w:noProof w:val="0"/>
      <w:color w:val="auto"/>
      <w:sz w:val="24"/>
      <w:szCs w:val="24"/>
      <w:lang w:val="fr-FR" w:eastAsia="en-US"/>
    </w:rPr>
  </w:style>
  <w:style w:type="paragraph" w:styleId="List">
    <w:name w:val="List"/>
    <w:basedOn w:val="Normal"/>
    <w:uiPriority w:val="99"/>
    <w:semiHidden/>
    <w:unhideWhenUsed/>
    <w:rsid w:val="004653D0"/>
    <w:pPr>
      <w:spacing w:after="160" w:line="256" w:lineRule="auto"/>
      <w:ind w:left="283" w:hanging="283"/>
      <w:contextualSpacing/>
      <w:jc w:val="left"/>
    </w:pPr>
    <w:rPr>
      <w:rFonts w:asciiTheme="minorHAnsi" w:eastAsiaTheme="minorHAnsi" w:hAnsiTheme="minorHAnsi" w:cstheme="minorBidi"/>
      <w:noProof w:val="0"/>
      <w:color w:val="auto"/>
      <w:sz w:val="22"/>
      <w:szCs w:val="22"/>
      <w:lang w:val="fr-FR" w:eastAsia="en-US"/>
    </w:rPr>
  </w:style>
  <w:style w:type="paragraph" w:styleId="ListBullet">
    <w:name w:val="List Bullet"/>
    <w:basedOn w:val="Normal"/>
    <w:uiPriority w:val="99"/>
    <w:semiHidden/>
    <w:unhideWhenUsed/>
    <w:rsid w:val="004653D0"/>
    <w:pPr>
      <w:numPr>
        <w:numId w:val="2"/>
      </w:numPr>
      <w:spacing w:after="160" w:line="256" w:lineRule="auto"/>
      <w:contextualSpacing/>
      <w:jc w:val="left"/>
    </w:pPr>
    <w:rPr>
      <w:rFonts w:asciiTheme="minorHAnsi" w:eastAsiaTheme="minorHAnsi" w:hAnsiTheme="minorHAnsi" w:cstheme="minorBidi"/>
      <w:noProof w:val="0"/>
      <w:color w:val="auto"/>
      <w:sz w:val="22"/>
      <w:szCs w:val="22"/>
      <w:lang w:val="fr-FR" w:eastAsia="en-US"/>
    </w:rPr>
  </w:style>
  <w:style w:type="paragraph" w:styleId="ListNumber">
    <w:name w:val="List Number"/>
    <w:basedOn w:val="Normal"/>
    <w:uiPriority w:val="99"/>
    <w:semiHidden/>
    <w:unhideWhenUsed/>
    <w:rsid w:val="004653D0"/>
    <w:pPr>
      <w:numPr>
        <w:numId w:val="3"/>
      </w:numPr>
      <w:spacing w:after="160" w:line="256" w:lineRule="auto"/>
      <w:contextualSpacing/>
      <w:jc w:val="left"/>
    </w:pPr>
    <w:rPr>
      <w:rFonts w:asciiTheme="minorHAnsi" w:eastAsiaTheme="minorHAnsi" w:hAnsiTheme="minorHAnsi" w:cstheme="minorBidi"/>
      <w:noProof w:val="0"/>
      <w:color w:val="auto"/>
      <w:sz w:val="22"/>
      <w:szCs w:val="22"/>
      <w:lang w:val="fr-FR" w:eastAsia="en-US"/>
    </w:rPr>
  </w:style>
  <w:style w:type="paragraph" w:styleId="List2">
    <w:name w:val="List 2"/>
    <w:basedOn w:val="Normal"/>
    <w:uiPriority w:val="99"/>
    <w:semiHidden/>
    <w:unhideWhenUsed/>
    <w:rsid w:val="004653D0"/>
    <w:pPr>
      <w:spacing w:after="160" w:line="256" w:lineRule="auto"/>
      <w:ind w:left="566" w:hanging="283"/>
      <w:contextualSpacing/>
      <w:jc w:val="left"/>
    </w:pPr>
    <w:rPr>
      <w:rFonts w:asciiTheme="minorHAnsi" w:eastAsiaTheme="minorHAnsi" w:hAnsiTheme="minorHAnsi" w:cstheme="minorBidi"/>
      <w:noProof w:val="0"/>
      <w:color w:val="auto"/>
      <w:sz w:val="22"/>
      <w:szCs w:val="22"/>
      <w:lang w:val="fr-FR" w:eastAsia="en-US"/>
    </w:rPr>
  </w:style>
  <w:style w:type="paragraph" w:styleId="List3">
    <w:name w:val="List 3"/>
    <w:basedOn w:val="Normal"/>
    <w:uiPriority w:val="99"/>
    <w:semiHidden/>
    <w:unhideWhenUsed/>
    <w:rsid w:val="004653D0"/>
    <w:pPr>
      <w:spacing w:after="160" w:line="256" w:lineRule="auto"/>
      <w:ind w:left="849" w:hanging="283"/>
      <w:contextualSpacing/>
      <w:jc w:val="left"/>
    </w:pPr>
    <w:rPr>
      <w:rFonts w:asciiTheme="minorHAnsi" w:eastAsiaTheme="minorHAnsi" w:hAnsiTheme="minorHAnsi" w:cstheme="minorBidi"/>
      <w:noProof w:val="0"/>
      <w:color w:val="auto"/>
      <w:sz w:val="22"/>
      <w:szCs w:val="22"/>
      <w:lang w:val="fr-FR" w:eastAsia="en-US"/>
    </w:rPr>
  </w:style>
  <w:style w:type="paragraph" w:styleId="List4">
    <w:name w:val="List 4"/>
    <w:basedOn w:val="Normal"/>
    <w:uiPriority w:val="99"/>
    <w:semiHidden/>
    <w:unhideWhenUsed/>
    <w:rsid w:val="004653D0"/>
    <w:pPr>
      <w:spacing w:after="160" w:line="256" w:lineRule="auto"/>
      <w:ind w:left="1132" w:hanging="283"/>
      <w:contextualSpacing/>
      <w:jc w:val="left"/>
    </w:pPr>
    <w:rPr>
      <w:rFonts w:asciiTheme="minorHAnsi" w:eastAsiaTheme="minorHAnsi" w:hAnsiTheme="minorHAnsi" w:cstheme="minorBidi"/>
      <w:noProof w:val="0"/>
      <w:color w:val="auto"/>
      <w:sz w:val="22"/>
      <w:szCs w:val="22"/>
      <w:lang w:val="fr-FR" w:eastAsia="en-US"/>
    </w:rPr>
  </w:style>
  <w:style w:type="paragraph" w:styleId="List5">
    <w:name w:val="List 5"/>
    <w:basedOn w:val="Normal"/>
    <w:uiPriority w:val="99"/>
    <w:semiHidden/>
    <w:unhideWhenUsed/>
    <w:rsid w:val="004653D0"/>
    <w:pPr>
      <w:spacing w:after="160" w:line="256" w:lineRule="auto"/>
      <w:ind w:left="1415" w:hanging="283"/>
      <w:contextualSpacing/>
      <w:jc w:val="left"/>
    </w:pPr>
    <w:rPr>
      <w:rFonts w:asciiTheme="minorHAnsi" w:eastAsiaTheme="minorHAnsi" w:hAnsiTheme="minorHAnsi" w:cstheme="minorBidi"/>
      <w:noProof w:val="0"/>
      <w:color w:val="auto"/>
      <w:sz w:val="22"/>
      <w:szCs w:val="22"/>
      <w:lang w:val="fr-FR" w:eastAsia="en-US"/>
    </w:rPr>
  </w:style>
  <w:style w:type="paragraph" w:styleId="ListBullet2">
    <w:name w:val="List Bullet 2"/>
    <w:basedOn w:val="Normal"/>
    <w:uiPriority w:val="99"/>
    <w:semiHidden/>
    <w:unhideWhenUsed/>
    <w:rsid w:val="004653D0"/>
    <w:pPr>
      <w:numPr>
        <w:numId w:val="4"/>
      </w:numPr>
      <w:spacing w:after="160" w:line="256" w:lineRule="auto"/>
      <w:contextualSpacing/>
      <w:jc w:val="left"/>
    </w:pPr>
    <w:rPr>
      <w:rFonts w:asciiTheme="minorHAnsi" w:eastAsiaTheme="minorHAnsi" w:hAnsiTheme="minorHAnsi" w:cstheme="minorBidi"/>
      <w:noProof w:val="0"/>
      <w:color w:val="auto"/>
      <w:sz w:val="22"/>
      <w:szCs w:val="22"/>
      <w:lang w:val="fr-FR" w:eastAsia="en-US"/>
    </w:rPr>
  </w:style>
  <w:style w:type="paragraph" w:styleId="ListBullet3">
    <w:name w:val="List Bullet 3"/>
    <w:basedOn w:val="Normal"/>
    <w:uiPriority w:val="99"/>
    <w:semiHidden/>
    <w:unhideWhenUsed/>
    <w:rsid w:val="004653D0"/>
    <w:pPr>
      <w:numPr>
        <w:numId w:val="5"/>
      </w:numPr>
      <w:spacing w:after="160" w:line="256" w:lineRule="auto"/>
      <w:contextualSpacing/>
      <w:jc w:val="left"/>
    </w:pPr>
    <w:rPr>
      <w:rFonts w:asciiTheme="minorHAnsi" w:eastAsiaTheme="minorHAnsi" w:hAnsiTheme="minorHAnsi" w:cstheme="minorBidi"/>
      <w:noProof w:val="0"/>
      <w:color w:val="auto"/>
      <w:sz w:val="22"/>
      <w:szCs w:val="22"/>
      <w:lang w:val="fr-FR" w:eastAsia="en-US"/>
    </w:rPr>
  </w:style>
  <w:style w:type="paragraph" w:styleId="ListBullet4">
    <w:name w:val="List Bullet 4"/>
    <w:basedOn w:val="Normal"/>
    <w:uiPriority w:val="99"/>
    <w:semiHidden/>
    <w:unhideWhenUsed/>
    <w:rsid w:val="004653D0"/>
    <w:pPr>
      <w:numPr>
        <w:numId w:val="6"/>
      </w:numPr>
      <w:spacing w:after="160" w:line="256" w:lineRule="auto"/>
      <w:contextualSpacing/>
      <w:jc w:val="left"/>
    </w:pPr>
    <w:rPr>
      <w:rFonts w:asciiTheme="minorHAnsi" w:eastAsiaTheme="minorHAnsi" w:hAnsiTheme="minorHAnsi" w:cstheme="minorBidi"/>
      <w:noProof w:val="0"/>
      <w:color w:val="auto"/>
      <w:sz w:val="22"/>
      <w:szCs w:val="22"/>
      <w:lang w:val="fr-FR" w:eastAsia="en-US"/>
    </w:rPr>
  </w:style>
  <w:style w:type="paragraph" w:styleId="ListBullet5">
    <w:name w:val="List Bullet 5"/>
    <w:basedOn w:val="Normal"/>
    <w:uiPriority w:val="99"/>
    <w:semiHidden/>
    <w:unhideWhenUsed/>
    <w:rsid w:val="004653D0"/>
    <w:pPr>
      <w:numPr>
        <w:numId w:val="7"/>
      </w:numPr>
      <w:spacing w:after="160" w:line="256" w:lineRule="auto"/>
      <w:contextualSpacing/>
      <w:jc w:val="left"/>
    </w:pPr>
    <w:rPr>
      <w:rFonts w:asciiTheme="minorHAnsi" w:eastAsiaTheme="minorHAnsi" w:hAnsiTheme="minorHAnsi" w:cstheme="minorBidi"/>
      <w:noProof w:val="0"/>
      <w:color w:val="auto"/>
      <w:sz w:val="22"/>
      <w:szCs w:val="22"/>
      <w:lang w:val="fr-FR" w:eastAsia="en-US"/>
    </w:rPr>
  </w:style>
  <w:style w:type="paragraph" w:styleId="ListNumber2">
    <w:name w:val="List Number 2"/>
    <w:basedOn w:val="Normal"/>
    <w:uiPriority w:val="99"/>
    <w:semiHidden/>
    <w:unhideWhenUsed/>
    <w:rsid w:val="004653D0"/>
    <w:pPr>
      <w:numPr>
        <w:numId w:val="8"/>
      </w:numPr>
      <w:spacing w:after="160" w:line="256" w:lineRule="auto"/>
      <w:contextualSpacing/>
      <w:jc w:val="left"/>
    </w:pPr>
    <w:rPr>
      <w:rFonts w:asciiTheme="minorHAnsi" w:eastAsiaTheme="minorHAnsi" w:hAnsiTheme="minorHAnsi" w:cstheme="minorBidi"/>
      <w:noProof w:val="0"/>
      <w:color w:val="auto"/>
      <w:sz w:val="22"/>
      <w:szCs w:val="22"/>
      <w:lang w:val="fr-FR" w:eastAsia="en-US"/>
    </w:rPr>
  </w:style>
  <w:style w:type="paragraph" w:styleId="ListNumber3">
    <w:name w:val="List Number 3"/>
    <w:basedOn w:val="Normal"/>
    <w:uiPriority w:val="99"/>
    <w:semiHidden/>
    <w:unhideWhenUsed/>
    <w:rsid w:val="004653D0"/>
    <w:pPr>
      <w:numPr>
        <w:numId w:val="9"/>
      </w:numPr>
      <w:spacing w:after="160" w:line="256" w:lineRule="auto"/>
      <w:contextualSpacing/>
      <w:jc w:val="left"/>
    </w:pPr>
    <w:rPr>
      <w:rFonts w:asciiTheme="minorHAnsi" w:eastAsiaTheme="minorHAnsi" w:hAnsiTheme="minorHAnsi" w:cstheme="minorBidi"/>
      <w:noProof w:val="0"/>
      <w:color w:val="auto"/>
      <w:sz w:val="22"/>
      <w:szCs w:val="22"/>
      <w:lang w:val="fr-FR" w:eastAsia="en-US"/>
    </w:rPr>
  </w:style>
  <w:style w:type="paragraph" w:styleId="ListNumber4">
    <w:name w:val="List Number 4"/>
    <w:basedOn w:val="Normal"/>
    <w:uiPriority w:val="99"/>
    <w:semiHidden/>
    <w:unhideWhenUsed/>
    <w:rsid w:val="004653D0"/>
    <w:pPr>
      <w:numPr>
        <w:numId w:val="10"/>
      </w:numPr>
      <w:spacing w:after="160" w:line="256" w:lineRule="auto"/>
      <w:contextualSpacing/>
      <w:jc w:val="left"/>
    </w:pPr>
    <w:rPr>
      <w:rFonts w:asciiTheme="minorHAnsi" w:eastAsiaTheme="minorHAnsi" w:hAnsiTheme="minorHAnsi" w:cstheme="minorBidi"/>
      <w:noProof w:val="0"/>
      <w:color w:val="auto"/>
      <w:sz w:val="22"/>
      <w:szCs w:val="22"/>
      <w:lang w:val="fr-FR" w:eastAsia="en-US"/>
    </w:rPr>
  </w:style>
  <w:style w:type="paragraph" w:styleId="ListNumber5">
    <w:name w:val="List Number 5"/>
    <w:basedOn w:val="Normal"/>
    <w:uiPriority w:val="99"/>
    <w:semiHidden/>
    <w:unhideWhenUsed/>
    <w:rsid w:val="004653D0"/>
    <w:pPr>
      <w:numPr>
        <w:numId w:val="11"/>
      </w:numPr>
      <w:spacing w:after="160" w:line="256" w:lineRule="auto"/>
      <w:contextualSpacing/>
      <w:jc w:val="left"/>
    </w:pPr>
    <w:rPr>
      <w:rFonts w:asciiTheme="minorHAnsi" w:eastAsiaTheme="minorHAnsi" w:hAnsiTheme="minorHAnsi" w:cstheme="minorBidi"/>
      <w:noProof w:val="0"/>
      <w:color w:val="auto"/>
      <w:sz w:val="22"/>
      <w:szCs w:val="22"/>
      <w:lang w:val="fr-FR" w:eastAsia="en-US"/>
    </w:rPr>
  </w:style>
  <w:style w:type="paragraph" w:styleId="Title">
    <w:name w:val="Title"/>
    <w:basedOn w:val="Normal"/>
    <w:next w:val="Normal"/>
    <w:link w:val="TitleChar"/>
    <w:uiPriority w:val="10"/>
    <w:qFormat/>
    <w:rsid w:val="004653D0"/>
    <w:pPr>
      <w:spacing w:line="240" w:lineRule="auto"/>
      <w:contextualSpacing/>
      <w:jc w:val="left"/>
    </w:pPr>
    <w:rPr>
      <w:rFonts w:asciiTheme="majorHAnsi" w:eastAsiaTheme="majorEastAsia" w:hAnsiTheme="majorHAnsi" w:cstheme="majorBidi"/>
      <w:noProof w:val="0"/>
      <w:color w:val="auto"/>
      <w:spacing w:val="-10"/>
      <w:kern w:val="28"/>
      <w:sz w:val="56"/>
      <w:szCs w:val="56"/>
      <w:lang w:val="fr-FR" w:eastAsia="en-US"/>
    </w:rPr>
  </w:style>
  <w:style w:type="character" w:customStyle="1" w:styleId="TitleChar">
    <w:name w:val="Title Char"/>
    <w:basedOn w:val="DefaultParagraphFont"/>
    <w:link w:val="Title"/>
    <w:uiPriority w:val="10"/>
    <w:rsid w:val="004653D0"/>
    <w:rPr>
      <w:rFonts w:asciiTheme="majorHAnsi" w:eastAsiaTheme="majorEastAsia" w:hAnsiTheme="majorHAnsi" w:cstheme="majorBidi"/>
      <w:spacing w:val="-10"/>
      <w:kern w:val="28"/>
      <w:sz w:val="56"/>
      <w:szCs w:val="56"/>
      <w:lang w:val="fr-FR"/>
    </w:rPr>
  </w:style>
  <w:style w:type="paragraph" w:styleId="Closing">
    <w:name w:val="Closing"/>
    <w:basedOn w:val="Normal"/>
    <w:link w:val="ClosingChar"/>
    <w:uiPriority w:val="99"/>
    <w:semiHidden/>
    <w:unhideWhenUsed/>
    <w:rsid w:val="004653D0"/>
    <w:pPr>
      <w:spacing w:line="240" w:lineRule="auto"/>
      <w:ind w:left="4252"/>
      <w:jc w:val="left"/>
    </w:pPr>
    <w:rPr>
      <w:rFonts w:asciiTheme="minorHAnsi" w:eastAsiaTheme="minorHAnsi" w:hAnsiTheme="minorHAnsi" w:cstheme="minorBidi"/>
      <w:noProof w:val="0"/>
      <w:color w:val="auto"/>
      <w:sz w:val="22"/>
      <w:szCs w:val="22"/>
      <w:lang w:val="fr-FR" w:eastAsia="en-US"/>
    </w:rPr>
  </w:style>
  <w:style w:type="character" w:customStyle="1" w:styleId="ClosingChar">
    <w:name w:val="Closing Char"/>
    <w:basedOn w:val="DefaultParagraphFont"/>
    <w:link w:val="Closing"/>
    <w:uiPriority w:val="99"/>
    <w:semiHidden/>
    <w:rsid w:val="004653D0"/>
    <w:rPr>
      <w:lang w:val="fr-FR"/>
    </w:rPr>
  </w:style>
  <w:style w:type="paragraph" w:styleId="Signature">
    <w:name w:val="Signature"/>
    <w:basedOn w:val="Normal"/>
    <w:link w:val="SignatureChar"/>
    <w:uiPriority w:val="99"/>
    <w:semiHidden/>
    <w:unhideWhenUsed/>
    <w:rsid w:val="004653D0"/>
    <w:pPr>
      <w:spacing w:line="240" w:lineRule="auto"/>
      <w:ind w:left="4252"/>
      <w:jc w:val="left"/>
    </w:pPr>
    <w:rPr>
      <w:rFonts w:asciiTheme="minorHAnsi" w:eastAsiaTheme="minorHAnsi" w:hAnsiTheme="minorHAnsi" w:cstheme="minorBidi"/>
      <w:noProof w:val="0"/>
      <w:color w:val="auto"/>
      <w:sz w:val="22"/>
      <w:szCs w:val="22"/>
      <w:lang w:val="fr-FR" w:eastAsia="en-US"/>
    </w:rPr>
  </w:style>
  <w:style w:type="character" w:customStyle="1" w:styleId="SignatureChar">
    <w:name w:val="Signature Char"/>
    <w:basedOn w:val="DefaultParagraphFont"/>
    <w:link w:val="Signature"/>
    <w:uiPriority w:val="99"/>
    <w:semiHidden/>
    <w:rsid w:val="004653D0"/>
    <w:rPr>
      <w:lang w:val="fr-FR"/>
    </w:rPr>
  </w:style>
  <w:style w:type="paragraph" w:styleId="BodyText">
    <w:name w:val="Body Text"/>
    <w:link w:val="BodyTextChar"/>
    <w:uiPriority w:val="99"/>
    <w:semiHidden/>
    <w:unhideWhenUsed/>
    <w:rsid w:val="004653D0"/>
    <w:pPr>
      <w:spacing w:after="120" w:line="340" w:lineRule="atLeast"/>
      <w:jc w:val="both"/>
    </w:pPr>
    <w:rPr>
      <w:rFonts w:ascii="Palatino Linotype" w:eastAsia="SimSun" w:hAnsi="Palatino Linotype" w:cs="Times New Roman"/>
      <w:color w:val="000000"/>
      <w:sz w:val="24"/>
      <w:szCs w:val="20"/>
      <w:lang w:val="en-US" w:eastAsia="de-DE"/>
    </w:rPr>
  </w:style>
  <w:style w:type="character" w:customStyle="1" w:styleId="BodyTextChar">
    <w:name w:val="Body Text Char"/>
    <w:basedOn w:val="DefaultParagraphFont"/>
    <w:link w:val="BodyText"/>
    <w:uiPriority w:val="99"/>
    <w:semiHidden/>
    <w:rsid w:val="004653D0"/>
    <w:rPr>
      <w:rFonts w:ascii="Palatino Linotype" w:eastAsia="SimSun" w:hAnsi="Palatino Linotype" w:cs="Times New Roman"/>
      <w:color w:val="000000"/>
      <w:sz w:val="24"/>
      <w:szCs w:val="20"/>
      <w:lang w:val="en-US" w:eastAsia="de-DE"/>
    </w:rPr>
  </w:style>
  <w:style w:type="paragraph" w:styleId="BodyTextIndent">
    <w:name w:val="Body Text Indent"/>
    <w:basedOn w:val="Normal"/>
    <w:link w:val="BodyTextIndentChar"/>
    <w:uiPriority w:val="99"/>
    <w:semiHidden/>
    <w:unhideWhenUsed/>
    <w:rsid w:val="004653D0"/>
    <w:pPr>
      <w:spacing w:after="120" w:line="256" w:lineRule="auto"/>
      <w:ind w:left="283"/>
      <w:jc w:val="left"/>
    </w:pPr>
    <w:rPr>
      <w:rFonts w:asciiTheme="minorHAnsi" w:eastAsiaTheme="minorHAnsi" w:hAnsiTheme="minorHAnsi" w:cstheme="minorBidi"/>
      <w:noProof w:val="0"/>
      <w:color w:val="auto"/>
      <w:sz w:val="22"/>
      <w:szCs w:val="22"/>
      <w:lang w:val="fr-FR" w:eastAsia="en-US"/>
    </w:rPr>
  </w:style>
  <w:style w:type="character" w:customStyle="1" w:styleId="BodyTextIndentChar">
    <w:name w:val="Body Text Indent Char"/>
    <w:basedOn w:val="DefaultParagraphFont"/>
    <w:link w:val="BodyTextIndent"/>
    <w:uiPriority w:val="99"/>
    <w:semiHidden/>
    <w:rsid w:val="004653D0"/>
    <w:rPr>
      <w:lang w:val="fr-FR"/>
    </w:rPr>
  </w:style>
  <w:style w:type="paragraph" w:styleId="ListContinue">
    <w:name w:val="List Continue"/>
    <w:basedOn w:val="Normal"/>
    <w:uiPriority w:val="99"/>
    <w:semiHidden/>
    <w:unhideWhenUsed/>
    <w:rsid w:val="004653D0"/>
    <w:pPr>
      <w:spacing w:after="120" w:line="256" w:lineRule="auto"/>
      <w:ind w:left="283"/>
      <w:contextualSpacing/>
      <w:jc w:val="left"/>
    </w:pPr>
    <w:rPr>
      <w:rFonts w:asciiTheme="minorHAnsi" w:eastAsiaTheme="minorHAnsi" w:hAnsiTheme="minorHAnsi" w:cstheme="minorBidi"/>
      <w:noProof w:val="0"/>
      <w:color w:val="auto"/>
      <w:sz w:val="22"/>
      <w:szCs w:val="22"/>
      <w:lang w:val="fr-FR" w:eastAsia="en-US"/>
    </w:rPr>
  </w:style>
  <w:style w:type="paragraph" w:styleId="ListContinue2">
    <w:name w:val="List Continue 2"/>
    <w:basedOn w:val="Normal"/>
    <w:uiPriority w:val="99"/>
    <w:semiHidden/>
    <w:unhideWhenUsed/>
    <w:rsid w:val="004653D0"/>
    <w:pPr>
      <w:spacing w:after="120" w:line="256" w:lineRule="auto"/>
      <w:ind w:left="566"/>
      <w:contextualSpacing/>
      <w:jc w:val="left"/>
    </w:pPr>
    <w:rPr>
      <w:rFonts w:asciiTheme="minorHAnsi" w:eastAsiaTheme="minorHAnsi" w:hAnsiTheme="minorHAnsi" w:cstheme="minorBidi"/>
      <w:noProof w:val="0"/>
      <w:color w:val="auto"/>
      <w:sz w:val="22"/>
      <w:szCs w:val="22"/>
      <w:lang w:val="fr-FR" w:eastAsia="en-US"/>
    </w:rPr>
  </w:style>
  <w:style w:type="paragraph" w:styleId="ListContinue3">
    <w:name w:val="List Continue 3"/>
    <w:basedOn w:val="Normal"/>
    <w:uiPriority w:val="99"/>
    <w:semiHidden/>
    <w:unhideWhenUsed/>
    <w:rsid w:val="004653D0"/>
    <w:pPr>
      <w:spacing w:after="120" w:line="256" w:lineRule="auto"/>
      <w:ind w:left="849"/>
      <w:contextualSpacing/>
      <w:jc w:val="left"/>
    </w:pPr>
    <w:rPr>
      <w:rFonts w:asciiTheme="minorHAnsi" w:eastAsiaTheme="minorHAnsi" w:hAnsiTheme="minorHAnsi" w:cstheme="minorBidi"/>
      <w:noProof w:val="0"/>
      <w:color w:val="auto"/>
      <w:sz w:val="22"/>
      <w:szCs w:val="22"/>
      <w:lang w:val="fr-FR" w:eastAsia="en-US"/>
    </w:rPr>
  </w:style>
  <w:style w:type="paragraph" w:styleId="ListContinue4">
    <w:name w:val="List Continue 4"/>
    <w:basedOn w:val="Normal"/>
    <w:uiPriority w:val="99"/>
    <w:semiHidden/>
    <w:unhideWhenUsed/>
    <w:rsid w:val="004653D0"/>
    <w:pPr>
      <w:spacing w:after="120" w:line="256" w:lineRule="auto"/>
      <w:ind w:left="1132"/>
      <w:contextualSpacing/>
      <w:jc w:val="left"/>
    </w:pPr>
    <w:rPr>
      <w:rFonts w:asciiTheme="minorHAnsi" w:eastAsiaTheme="minorHAnsi" w:hAnsiTheme="minorHAnsi" w:cstheme="minorBidi"/>
      <w:noProof w:val="0"/>
      <w:color w:val="auto"/>
      <w:sz w:val="22"/>
      <w:szCs w:val="22"/>
      <w:lang w:val="fr-FR" w:eastAsia="en-US"/>
    </w:rPr>
  </w:style>
  <w:style w:type="paragraph" w:styleId="ListContinue5">
    <w:name w:val="List Continue 5"/>
    <w:basedOn w:val="Normal"/>
    <w:uiPriority w:val="99"/>
    <w:semiHidden/>
    <w:unhideWhenUsed/>
    <w:rsid w:val="004653D0"/>
    <w:pPr>
      <w:spacing w:after="120" w:line="256" w:lineRule="auto"/>
      <w:ind w:left="1415"/>
      <w:contextualSpacing/>
      <w:jc w:val="left"/>
    </w:pPr>
    <w:rPr>
      <w:rFonts w:asciiTheme="minorHAnsi" w:eastAsiaTheme="minorHAnsi" w:hAnsiTheme="minorHAnsi" w:cstheme="minorBidi"/>
      <w:noProof w:val="0"/>
      <w:color w:val="auto"/>
      <w:sz w:val="22"/>
      <w:szCs w:val="22"/>
      <w:lang w:val="fr-FR" w:eastAsia="en-US"/>
    </w:rPr>
  </w:style>
  <w:style w:type="paragraph" w:styleId="MessageHeader">
    <w:name w:val="Message Header"/>
    <w:basedOn w:val="Normal"/>
    <w:link w:val="MessageHeaderChar"/>
    <w:uiPriority w:val="99"/>
    <w:semiHidden/>
    <w:unhideWhenUsed/>
    <w:rsid w:val="004653D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Theme="majorHAnsi" w:eastAsiaTheme="majorEastAsia" w:hAnsiTheme="majorHAnsi" w:cstheme="majorBidi"/>
      <w:noProof w:val="0"/>
      <w:color w:val="auto"/>
      <w:sz w:val="24"/>
      <w:szCs w:val="24"/>
      <w:lang w:val="fr-FR" w:eastAsia="en-US"/>
    </w:rPr>
  </w:style>
  <w:style w:type="character" w:customStyle="1" w:styleId="MessageHeaderChar">
    <w:name w:val="Message Header Char"/>
    <w:basedOn w:val="DefaultParagraphFont"/>
    <w:link w:val="MessageHeader"/>
    <w:uiPriority w:val="99"/>
    <w:semiHidden/>
    <w:rsid w:val="004653D0"/>
    <w:rPr>
      <w:rFonts w:asciiTheme="majorHAnsi" w:eastAsiaTheme="majorEastAsia" w:hAnsiTheme="majorHAnsi" w:cstheme="majorBidi"/>
      <w:sz w:val="24"/>
      <w:szCs w:val="24"/>
      <w:shd w:val="pct20" w:color="auto" w:fill="auto"/>
      <w:lang w:val="fr-FR"/>
    </w:rPr>
  </w:style>
  <w:style w:type="paragraph" w:styleId="Subtitle">
    <w:name w:val="Subtitle"/>
    <w:basedOn w:val="Normal"/>
    <w:next w:val="Normal"/>
    <w:link w:val="SubtitleChar"/>
    <w:uiPriority w:val="11"/>
    <w:qFormat/>
    <w:rsid w:val="004653D0"/>
    <w:pPr>
      <w:spacing w:after="160" w:line="256" w:lineRule="auto"/>
      <w:jc w:val="left"/>
    </w:pPr>
    <w:rPr>
      <w:rFonts w:asciiTheme="minorHAnsi" w:eastAsiaTheme="minorEastAsia" w:hAnsiTheme="minorHAnsi" w:cstheme="minorBidi"/>
      <w:noProof w:val="0"/>
      <w:color w:val="5A5A5A" w:themeColor="text1" w:themeTint="A5"/>
      <w:spacing w:val="15"/>
      <w:sz w:val="22"/>
      <w:szCs w:val="22"/>
      <w:lang w:val="fr-FR" w:eastAsia="en-US"/>
    </w:rPr>
  </w:style>
  <w:style w:type="character" w:customStyle="1" w:styleId="SubtitleChar">
    <w:name w:val="Subtitle Char"/>
    <w:basedOn w:val="DefaultParagraphFont"/>
    <w:link w:val="Subtitle"/>
    <w:uiPriority w:val="11"/>
    <w:rsid w:val="004653D0"/>
    <w:rPr>
      <w:rFonts w:eastAsiaTheme="minorEastAsia"/>
      <w:color w:val="5A5A5A" w:themeColor="text1" w:themeTint="A5"/>
      <w:spacing w:val="15"/>
      <w:lang w:val="fr-FR"/>
    </w:rPr>
  </w:style>
  <w:style w:type="paragraph" w:styleId="Salutation">
    <w:name w:val="Salutation"/>
    <w:basedOn w:val="Normal"/>
    <w:next w:val="Normal"/>
    <w:link w:val="SalutationChar"/>
    <w:uiPriority w:val="99"/>
    <w:semiHidden/>
    <w:unhideWhenUsed/>
    <w:rsid w:val="004653D0"/>
    <w:pPr>
      <w:spacing w:after="160" w:line="256" w:lineRule="auto"/>
      <w:jc w:val="left"/>
    </w:pPr>
    <w:rPr>
      <w:rFonts w:asciiTheme="minorHAnsi" w:eastAsiaTheme="minorHAnsi" w:hAnsiTheme="minorHAnsi" w:cstheme="minorBidi"/>
      <w:noProof w:val="0"/>
      <w:color w:val="auto"/>
      <w:sz w:val="22"/>
      <w:szCs w:val="22"/>
      <w:lang w:val="fr-FR" w:eastAsia="en-US"/>
    </w:rPr>
  </w:style>
  <w:style w:type="character" w:customStyle="1" w:styleId="SalutationChar">
    <w:name w:val="Salutation Char"/>
    <w:basedOn w:val="DefaultParagraphFont"/>
    <w:link w:val="Salutation"/>
    <w:uiPriority w:val="99"/>
    <w:semiHidden/>
    <w:rsid w:val="004653D0"/>
    <w:rPr>
      <w:lang w:val="fr-FR"/>
    </w:rPr>
  </w:style>
  <w:style w:type="paragraph" w:styleId="Date">
    <w:name w:val="Date"/>
    <w:basedOn w:val="Normal"/>
    <w:next w:val="Normal"/>
    <w:link w:val="DateChar"/>
    <w:uiPriority w:val="99"/>
    <w:semiHidden/>
    <w:unhideWhenUsed/>
    <w:rsid w:val="004653D0"/>
    <w:pPr>
      <w:spacing w:after="160" w:line="256" w:lineRule="auto"/>
      <w:jc w:val="left"/>
    </w:pPr>
    <w:rPr>
      <w:rFonts w:asciiTheme="minorHAnsi" w:eastAsiaTheme="minorHAnsi" w:hAnsiTheme="minorHAnsi" w:cstheme="minorBidi"/>
      <w:noProof w:val="0"/>
      <w:color w:val="auto"/>
      <w:sz w:val="22"/>
      <w:szCs w:val="22"/>
      <w:lang w:val="fr-FR" w:eastAsia="en-US"/>
    </w:rPr>
  </w:style>
  <w:style w:type="character" w:customStyle="1" w:styleId="DateChar">
    <w:name w:val="Date Char"/>
    <w:basedOn w:val="DefaultParagraphFont"/>
    <w:link w:val="Date"/>
    <w:uiPriority w:val="99"/>
    <w:semiHidden/>
    <w:rsid w:val="004653D0"/>
    <w:rPr>
      <w:lang w:val="fr-FR"/>
    </w:rPr>
  </w:style>
  <w:style w:type="paragraph" w:styleId="BodyTextFirstIndent">
    <w:name w:val="Body Text First Indent"/>
    <w:basedOn w:val="BodyText"/>
    <w:link w:val="BodyTextFirstIndentChar"/>
    <w:uiPriority w:val="99"/>
    <w:semiHidden/>
    <w:unhideWhenUsed/>
    <w:rsid w:val="004653D0"/>
    <w:pPr>
      <w:spacing w:after="160" w:line="256" w:lineRule="auto"/>
      <w:ind w:firstLine="360"/>
      <w:jc w:val="left"/>
    </w:pPr>
    <w:rPr>
      <w:rFonts w:asciiTheme="minorHAnsi" w:eastAsiaTheme="minorHAnsi" w:hAnsiTheme="minorHAnsi" w:cstheme="minorBidi"/>
      <w:color w:val="auto"/>
      <w:sz w:val="22"/>
      <w:szCs w:val="22"/>
      <w:lang w:val="fr-FR" w:eastAsia="en-US"/>
    </w:rPr>
  </w:style>
  <w:style w:type="character" w:customStyle="1" w:styleId="BodyTextFirstIndentChar">
    <w:name w:val="Body Text First Indent Char"/>
    <w:basedOn w:val="BodyTextChar"/>
    <w:link w:val="BodyTextFirstIndent"/>
    <w:uiPriority w:val="99"/>
    <w:semiHidden/>
    <w:rsid w:val="004653D0"/>
    <w:rPr>
      <w:rFonts w:ascii="Palatino Linotype" w:eastAsia="SimSun" w:hAnsi="Palatino Linotype" w:cs="Times New Roman"/>
      <w:color w:val="000000"/>
      <w:sz w:val="24"/>
      <w:szCs w:val="20"/>
      <w:lang w:val="fr-FR" w:eastAsia="de-DE"/>
    </w:rPr>
  </w:style>
  <w:style w:type="paragraph" w:styleId="BodyTextFirstIndent2">
    <w:name w:val="Body Text First Indent 2"/>
    <w:basedOn w:val="BodyTextIndent"/>
    <w:link w:val="BodyTextFirstIndent2Char"/>
    <w:uiPriority w:val="99"/>
    <w:semiHidden/>
    <w:unhideWhenUsed/>
    <w:rsid w:val="004653D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653D0"/>
    <w:rPr>
      <w:lang w:val="fr-FR"/>
    </w:rPr>
  </w:style>
  <w:style w:type="paragraph" w:styleId="NoteHeading">
    <w:name w:val="Note Heading"/>
    <w:basedOn w:val="Normal"/>
    <w:next w:val="Normal"/>
    <w:link w:val="NoteHeadingChar"/>
    <w:uiPriority w:val="99"/>
    <w:semiHidden/>
    <w:unhideWhenUsed/>
    <w:rsid w:val="004653D0"/>
    <w:pPr>
      <w:spacing w:line="240" w:lineRule="auto"/>
      <w:jc w:val="left"/>
    </w:pPr>
    <w:rPr>
      <w:rFonts w:asciiTheme="minorHAnsi" w:eastAsiaTheme="minorHAnsi" w:hAnsiTheme="minorHAnsi" w:cstheme="minorBidi"/>
      <w:noProof w:val="0"/>
      <w:color w:val="auto"/>
      <w:sz w:val="22"/>
      <w:szCs w:val="22"/>
      <w:lang w:val="fr-FR" w:eastAsia="en-US"/>
    </w:rPr>
  </w:style>
  <w:style w:type="character" w:customStyle="1" w:styleId="NoteHeadingChar">
    <w:name w:val="Note Heading Char"/>
    <w:basedOn w:val="DefaultParagraphFont"/>
    <w:link w:val="NoteHeading"/>
    <w:uiPriority w:val="99"/>
    <w:semiHidden/>
    <w:rsid w:val="004653D0"/>
    <w:rPr>
      <w:lang w:val="fr-FR"/>
    </w:rPr>
  </w:style>
  <w:style w:type="paragraph" w:styleId="BodyText2">
    <w:name w:val="Body Text 2"/>
    <w:basedOn w:val="Normal"/>
    <w:link w:val="BodyText2Char"/>
    <w:uiPriority w:val="99"/>
    <w:semiHidden/>
    <w:unhideWhenUsed/>
    <w:rsid w:val="004653D0"/>
    <w:pPr>
      <w:spacing w:after="120" w:line="480" w:lineRule="auto"/>
      <w:jc w:val="left"/>
    </w:pPr>
    <w:rPr>
      <w:rFonts w:asciiTheme="minorHAnsi" w:eastAsiaTheme="minorHAnsi" w:hAnsiTheme="minorHAnsi" w:cstheme="minorBidi"/>
      <w:noProof w:val="0"/>
      <w:color w:val="auto"/>
      <w:sz w:val="22"/>
      <w:szCs w:val="22"/>
      <w:lang w:val="fr-FR" w:eastAsia="en-US"/>
    </w:rPr>
  </w:style>
  <w:style w:type="character" w:customStyle="1" w:styleId="BodyText2Char">
    <w:name w:val="Body Text 2 Char"/>
    <w:basedOn w:val="DefaultParagraphFont"/>
    <w:link w:val="BodyText2"/>
    <w:uiPriority w:val="99"/>
    <w:semiHidden/>
    <w:rsid w:val="004653D0"/>
    <w:rPr>
      <w:lang w:val="fr-FR"/>
    </w:rPr>
  </w:style>
  <w:style w:type="paragraph" w:styleId="BodyText3">
    <w:name w:val="Body Text 3"/>
    <w:basedOn w:val="Normal"/>
    <w:link w:val="BodyText3Char"/>
    <w:uiPriority w:val="99"/>
    <w:semiHidden/>
    <w:unhideWhenUsed/>
    <w:rsid w:val="004653D0"/>
    <w:pPr>
      <w:spacing w:after="120" w:line="256" w:lineRule="auto"/>
      <w:jc w:val="left"/>
    </w:pPr>
    <w:rPr>
      <w:rFonts w:asciiTheme="minorHAnsi" w:eastAsiaTheme="minorHAnsi" w:hAnsiTheme="minorHAnsi" w:cstheme="minorBidi"/>
      <w:noProof w:val="0"/>
      <w:color w:val="auto"/>
      <w:sz w:val="16"/>
      <w:szCs w:val="16"/>
      <w:lang w:val="fr-FR" w:eastAsia="en-US"/>
    </w:rPr>
  </w:style>
  <w:style w:type="character" w:customStyle="1" w:styleId="BodyText3Char">
    <w:name w:val="Body Text 3 Char"/>
    <w:basedOn w:val="DefaultParagraphFont"/>
    <w:link w:val="BodyText3"/>
    <w:uiPriority w:val="99"/>
    <w:semiHidden/>
    <w:rsid w:val="004653D0"/>
    <w:rPr>
      <w:sz w:val="16"/>
      <w:szCs w:val="16"/>
      <w:lang w:val="fr-FR"/>
    </w:rPr>
  </w:style>
  <w:style w:type="paragraph" w:styleId="BodyTextIndent2">
    <w:name w:val="Body Text Indent 2"/>
    <w:basedOn w:val="Normal"/>
    <w:link w:val="BodyTextIndent2Char"/>
    <w:uiPriority w:val="99"/>
    <w:semiHidden/>
    <w:unhideWhenUsed/>
    <w:rsid w:val="004653D0"/>
    <w:pPr>
      <w:spacing w:after="120" w:line="480" w:lineRule="auto"/>
      <w:ind w:left="283"/>
      <w:jc w:val="left"/>
    </w:pPr>
    <w:rPr>
      <w:rFonts w:asciiTheme="minorHAnsi" w:eastAsiaTheme="minorHAnsi" w:hAnsiTheme="minorHAnsi" w:cstheme="minorBidi"/>
      <w:noProof w:val="0"/>
      <w:color w:val="auto"/>
      <w:sz w:val="22"/>
      <w:szCs w:val="22"/>
      <w:lang w:val="fr-FR" w:eastAsia="en-US"/>
    </w:rPr>
  </w:style>
  <w:style w:type="character" w:customStyle="1" w:styleId="BodyTextIndent2Char">
    <w:name w:val="Body Text Indent 2 Char"/>
    <w:basedOn w:val="DefaultParagraphFont"/>
    <w:link w:val="BodyTextIndent2"/>
    <w:uiPriority w:val="99"/>
    <w:semiHidden/>
    <w:rsid w:val="004653D0"/>
    <w:rPr>
      <w:lang w:val="fr-FR"/>
    </w:rPr>
  </w:style>
  <w:style w:type="paragraph" w:styleId="BodyTextIndent3">
    <w:name w:val="Body Text Indent 3"/>
    <w:basedOn w:val="Normal"/>
    <w:link w:val="BodyTextIndent3Char"/>
    <w:uiPriority w:val="99"/>
    <w:semiHidden/>
    <w:unhideWhenUsed/>
    <w:rsid w:val="004653D0"/>
    <w:pPr>
      <w:spacing w:after="120" w:line="256" w:lineRule="auto"/>
      <w:ind w:left="283"/>
      <w:jc w:val="left"/>
    </w:pPr>
    <w:rPr>
      <w:rFonts w:asciiTheme="minorHAnsi" w:eastAsiaTheme="minorHAnsi" w:hAnsiTheme="minorHAnsi" w:cstheme="minorBidi"/>
      <w:noProof w:val="0"/>
      <w:color w:val="auto"/>
      <w:sz w:val="16"/>
      <w:szCs w:val="16"/>
      <w:lang w:val="fr-FR" w:eastAsia="en-US"/>
    </w:rPr>
  </w:style>
  <w:style w:type="character" w:customStyle="1" w:styleId="BodyTextIndent3Char">
    <w:name w:val="Body Text Indent 3 Char"/>
    <w:basedOn w:val="DefaultParagraphFont"/>
    <w:link w:val="BodyTextIndent3"/>
    <w:uiPriority w:val="99"/>
    <w:semiHidden/>
    <w:rsid w:val="004653D0"/>
    <w:rPr>
      <w:sz w:val="16"/>
      <w:szCs w:val="16"/>
      <w:lang w:val="fr-FR"/>
    </w:rPr>
  </w:style>
  <w:style w:type="paragraph" w:styleId="BlockText">
    <w:name w:val="Block Text"/>
    <w:basedOn w:val="Normal"/>
    <w:uiPriority w:val="99"/>
    <w:semiHidden/>
    <w:unhideWhenUsed/>
    <w:rsid w:val="004653D0"/>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jc w:val="left"/>
    </w:pPr>
    <w:rPr>
      <w:rFonts w:asciiTheme="minorHAnsi" w:eastAsiaTheme="minorEastAsia" w:hAnsiTheme="minorHAnsi" w:cstheme="minorBidi"/>
      <w:i/>
      <w:iCs/>
      <w:noProof w:val="0"/>
      <w:color w:val="4472C4" w:themeColor="accent1"/>
      <w:sz w:val="22"/>
      <w:szCs w:val="22"/>
      <w:lang w:val="fr-FR" w:eastAsia="en-US"/>
    </w:rPr>
  </w:style>
  <w:style w:type="paragraph" w:styleId="DocumentMap">
    <w:name w:val="Document Map"/>
    <w:basedOn w:val="Normal"/>
    <w:link w:val="DocumentMapChar"/>
    <w:uiPriority w:val="99"/>
    <w:semiHidden/>
    <w:unhideWhenUsed/>
    <w:rsid w:val="004653D0"/>
    <w:pPr>
      <w:spacing w:line="240" w:lineRule="auto"/>
      <w:jc w:val="left"/>
    </w:pPr>
    <w:rPr>
      <w:rFonts w:ascii="Segoe UI" w:eastAsiaTheme="minorHAnsi" w:hAnsi="Segoe UI" w:cs="Segoe UI"/>
      <w:noProof w:val="0"/>
      <w:color w:val="auto"/>
      <w:sz w:val="16"/>
      <w:szCs w:val="16"/>
      <w:lang w:val="fr-FR" w:eastAsia="en-US"/>
    </w:rPr>
  </w:style>
  <w:style w:type="character" w:customStyle="1" w:styleId="DocumentMapChar">
    <w:name w:val="Document Map Char"/>
    <w:basedOn w:val="DefaultParagraphFont"/>
    <w:link w:val="DocumentMap"/>
    <w:uiPriority w:val="99"/>
    <w:semiHidden/>
    <w:rsid w:val="004653D0"/>
    <w:rPr>
      <w:rFonts w:ascii="Segoe UI" w:hAnsi="Segoe UI" w:cs="Segoe UI"/>
      <w:sz w:val="16"/>
      <w:szCs w:val="16"/>
      <w:lang w:val="fr-FR"/>
    </w:rPr>
  </w:style>
  <w:style w:type="paragraph" w:styleId="PlainText">
    <w:name w:val="Plain Text"/>
    <w:basedOn w:val="Normal"/>
    <w:link w:val="PlainTextChar"/>
    <w:uiPriority w:val="99"/>
    <w:semiHidden/>
    <w:unhideWhenUsed/>
    <w:rsid w:val="004653D0"/>
    <w:pPr>
      <w:spacing w:line="240" w:lineRule="auto"/>
      <w:jc w:val="left"/>
    </w:pPr>
    <w:rPr>
      <w:rFonts w:ascii="Consolas" w:eastAsiaTheme="minorHAnsi" w:hAnsi="Consolas" w:cstheme="minorBidi"/>
      <w:noProof w:val="0"/>
      <w:color w:val="auto"/>
      <w:sz w:val="21"/>
      <w:szCs w:val="21"/>
      <w:lang w:val="fr-FR" w:eastAsia="en-US"/>
    </w:rPr>
  </w:style>
  <w:style w:type="character" w:customStyle="1" w:styleId="PlainTextChar">
    <w:name w:val="Plain Text Char"/>
    <w:basedOn w:val="DefaultParagraphFont"/>
    <w:link w:val="PlainText"/>
    <w:uiPriority w:val="99"/>
    <w:semiHidden/>
    <w:rsid w:val="004653D0"/>
    <w:rPr>
      <w:rFonts w:ascii="Consolas" w:hAnsi="Consolas"/>
      <w:sz w:val="21"/>
      <w:szCs w:val="21"/>
      <w:lang w:val="fr-FR"/>
    </w:rPr>
  </w:style>
  <w:style w:type="paragraph" w:styleId="E-mailSignature">
    <w:name w:val="E-mail Signature"/>
    <w:basedOn w:val="Normal"/>
    <w:link w:val="E-mailSignatureChar"/>
    <w:uiPriority w:val="99"/>
    <w:semiHidden/>
    <w:unhideWhenUsed/>
    <w:rsid w:val="004653D0"/>
    <w:pPr>
      <w:spacing w:line="240" w:lineRule="auto"/>
      <w:jc w:val="left"/>
    </w:pPr>
    <w:rPr>
      <w:rFonts w:asciiTheme="minorHAnsi" w:eastAsiaTheme="minorHAnsi" w:hAnsiTheme="minorHAnsi" w:cstheme="minorBidi"/>
      <w:noProof w:val="0"/>
      <w:color w:val="auto"/>
      <w:sz w:val="22"/>
      <w:szCs w:val="22"/>
      <w:lang w:val="fr-FR" w:eastAsia="en-US"/>
    </w:rPr>
  </w:style>
  <w:style w:type="character" w:customStyle="1" w:styleId="E-mailSignatureChar">
    <w:name w:val="E-mail Signature Char"/>
    <w:basedOn w:val="DefaultParagraphFont"/>
    <w:link w:val="E-mailSignature"/>
    <w:uiPriority w:val="99"/>
    <w:semiHidden/>
    <w:rsid w:val="004653D0"/>
    <w:rPr>
      <w:lang w:val="fr-FR"/>
    </w:rPr>
  </w:style>
  <w:style w:type="paragraph" w:styleId="CommentSubject">
    <w:name w:val="annotation subject"/>
    <w:basedOn w:val="CommentText"/>
    <w:next w:val="CommentText"/>
    <w:link w:val="CommentSubjectChar"/>
    <w:uiPriority w:val="99"/>
    <w:semiHidden/>
    <w:unhideWhenUsed/>
    <w:rsid w:val="004653D0"/>
    <w:rPr>
      <w:b/>
      <w:bCs/>
    </w:rPr>
  </w:style>
  <w:style w:type="character" w:customStyle="1" w:styleId="CommentSubjectChar">
    <w:name w:val="Comment Subject Char"/>
    <w:basedOn w:val="CommentTextChar"/>
    <w:link w:val="CommentSubject"/>
    <w:uiPriority w:val="99"/>
    <w:semiHidden/>
    <w:rsid w:val="004653D0"/>
    <w:rPr>
      <w:rFonts w:ascii="Palatino Linotype" w:eastAsia="SimSun" w:hAnsi="Palatino Linotype" w:cs="Times New Roman"/>
      <w:b/>
      <w:bCs/>
      <w:noProof/>
      <w:color w:val="000000"/>
      <w:sz w:val="20"/>
      <w:szCs w:val="20"/>
      <w:lang w:val="en-US" w:eastAsia="zh-CN"/>
    </w:rPr>
  </w:style>
  <w:style w:type="paragraph" w:styleId="BalloonText">
    <w:name w:val="Balloon Text"/>
    <w:basedOn w:val="Normal"/>
    <w:link w:val="BalloonTextChar"/>
    <w:uiPriority w:val="99"/>
    <w:semiHidden/>
    <w:unhideWhenUsed/>
    <w:rsid w:val="004653D0"/>
    <w:rPr>
      <w:rFonts w:cs="Tahoma"/>
      <w:szCs w:val="18"/>
    </w:rPr>
  </w:style>
  <w:style w:type="character" w:customStyle="1" w:styleId="BalloonTextChar">
    <w:name w:val="Balloon Text Char"/>
    <w:basedOn w:val="DefaultParagraphFont"/>
    <w:link w:val="BalloonText"/>
    <w:uiPriority w:val="99"/>
    <w:semiHidden/>
    <w:rsid w:val="004653D0"/>
    <w:rPr>
      <w:rFonts w:ascii="Palatino Linotype" w:eastAsia="SimSun" w:hAnsi="Palatino Linotype" w:cs="Tahoma"/>
      <w:noProof/>
      <w:color w:val="000000"/>
      <w:sz w:val="20"/>
      <w:szCs w:val="18"/>
      <w:lang w:val="en-US" w:eastAsia="zh-CN"/>
    </w:rPr>
  </w:style>
  <w:style w:type="paragraph" w:styleId="NoSpacing">
    <w:name w:val="No Spacing"/>
    <w:uiPriority w:val="1"/>
    <w:qFormat/>
    <w:rsid w:val="004653D0"/>
    <w:pPr>
      <w:spacing w:after="0" w:line="240" w:lineRule="auto"/>
    </w:pPr>
    <w:rPr>
      <w:lang w:val="fr-FR"/>
    </w:rPr>
  </w:style>
  <w:style w:type="paragraph" w:styleId="Revision">
    <w:name w:val="Revision"/>
    <w:uiPriority w:val="99"/>
    <w:semiHidden/>
    <w:rsid w:val="004653D0"/>
    <w:pPr>
      <w:spacing w:after="0" w:line="240" w:lineRule="auto"/>
    </w:pPr>
    <w:rPr>
      <w:lang w:val="fr-FR"/>
    </w:rPr>
  </w:style>
  <w:style w:type="paragraph" w:styleId="ListParagraph">
    <w:name w:val="List Paragraph"/>
    <w:basedOn w:val="Normal"/>
    <w:uiPriority w:val="34"/>
    <w:qFormat/>
    <w:rsid w:val="004653D0"/>
    <w:pPr>
      <w:spacing w:after="160" w:line="256" w:lineRule="auto"/>
      <w:ind w:left="720"/>
      <w:contextualSpacing/>
      <w:jc w:val="left"/>
    </w:pPr>
    <w:rPr>
      <w:rFonts w:asciiTheme="minorHAnsi" w:eastAsiaTheme="minorHAnsi" w:hAnsiTheme="minorHAnsi" w:cstheme="minorBidi"/>
      <w:noProof w:val="0"/>
      <w:color w:val="auto"/>
      <w:sz w:val="22"/>
      <w:szCs w:val="22"/>
      <w:lang w:val="fr-FR" w:eastAsia="en-US"/>
    </w:rPr>
  </w:style>
  <w:style w:type="paragraph" w:styleId="Quote">
    <w:name w:val="Quote"/>
    <w:basedOn w:val="Normal"/>
    <w:next w:val="Normal"/>
    <w:link w:val="QuoteChar"/>
    <w:uiPriority w:val="29"/>
    <w:qFormat/>
    <w:rsid w:val="004653D0"/>
    <w:pPr>
      <w:spacing w:before="200" w:after="160" w:line="256" w:lineRule="auto"/>
      <w:ind w:left="864" w:right="864"/>
      <w:jc w:val="center"/>
    </w:pPr>
    <w:rPr>
      <w:rFonts w:asciiTheme="minorHAnsi" w:eastAsiaTheme="minorHAnsi" w:hAnsiTheme="minorHAnsi" w:cstheme="minorBidi"/>
      <w:i/>
      <w:iCs/>
      <w:noProof w:val="0"/>
      <w:color w:val="404040" w:themeColor="text1" w:themeTint="BF"/>
      <w:sz w:val="22"/>
      <w:szCs w:val="22"/>
      <w:lang w:val="fr-FR" w:eastAsia="en-US"/>
    </w:rPr>
  </w:style>
  <w:style w:type="character" w:customStyle="1" w:styleId="QuoteChar">
    <w:name w:val="Quote Char"/>
    <w:basedOn w:val="DefaultParagraphFont"/>
    <w:link w:val="Quote"/>
    <w:uiPriority w:val="29"/>
    <w:rsid w:val="004653D0"/>
    <w:rPr>
      <w:i/>
      <w:iCs/>
      <w:color w:val="404040" w:themeColor="text1" w:themeTint="BF"/>
      <w:lang w:val="fr-FR"/>
    </w:rPr>
  </w:style>
  <w:style w:type="paragraph" w:styleId="IntenseQuote">
    <w:name w:val="Intense Quote"/>
    <w:basedOn w:val="Normal"/>
    <w:next w:val="Normal"/>
    <w:link w:val="IntenseQuoteChar"/>
    <w:uiPriority w:val="30"/>
    <w:qFormat/>
    <w:rsid w:val="004653D0"/>
    <w:pPr>
      <w:pBdr>
        <w:top w:val="single" w:sz="4" w:space="10" w:color="4472C4" w:themeColor="accent1"/>
        <w:bottom w:val="single" w:sz="4" w:space="10" w:color="4472C4" w:themeColor="accent1"/>
      </w:pBdr>
      <w:spacing w:before="360" w:after="360" w:line="256" w:lineRule="auto"/>
      <w:ind w:left="864" w:right="864"/>
      <w:jc w:val="center"/>
    </w:pPr>
    <w:rPr>
      <w:rFonts w:asciiTheme="minorHAnsi" w:eastAsiaTheme="minorHAnsi" w:hAnsiTheme="minorHAnsi" w:cstheme="minorBidi"/>
      <w:i/>
      <w:iCs/>
      <w:noProof w:val="0"/>
      <w:color w:val="4472C4" w:themeColor="accent1"/>
      <w:sz w:val="22"/>
      <w:szCs w:val="22"/>
      <w:lang w:val="fr-FR" w:eastAsia="en-US"/>
    </w:rPr>
  </w:style>
  <w:style w:type="character" w:customStyle="1" w:styleId="IntenseQuoteChar">
    <w:name w:val="Intense Quote Char"/>
    <w:basedOn w:val="DefaultParagraphFont"/>
    <w:link w:val="IntenseQuote"/>
    <w:uiPriority w:val="30"/>
    <w:rsid w:val="004653D0"/>
    <w:rPr>
      <w:i/>
      <w:iCs/>
      <w:color w:val="4472C4" w:themeColor="accent1"/>
      <w:lang w:val="fr-FR"/>
    </w:rPr>
  </w:style>
  <w:style w:type="paragraph" w:styleId="Bibliography">
    <w:name w:val="Bibliography"/>
    <w:basedOn w:val="Normal"/>
    <w:next w:val="Normal"/>
    <w:uiPriority w:val="37"/>
    <w:semiHidden/>
    <w:unhideWhenUsed/>
    <w:rsid w:val="004653D0"/>
  </w:style>
  <w:style w:type="paragraph" w:styleId="TOCHeading">
    <w:name w:val="TOC Heading"/>
    <w:basedOn w:val="Heading1"/>
    <w:next w:val="Normal"/>
    <w:uiPriority w:val="39"/>
    <w:semiHidden/>
    <w:unhideWhenUsed/>
    <w:qFormat/>
    <w:rsid w:val="004653D0"/>
    <w:pPr>
      <w:numPr>
        <w:numId w:val="0"/>
      </w:numPr>
      <w:outlineLvl w:val="9"/>
    </w:pPr>
  </w:style>
  <w:style w:type="paragraph" w:customStyle="1" w:styleId="MDPI14history">
    <w:name w:val="MDPI_1.4_history"/>
    <w:basedOn w:val="Normal"/>
    <w:next w:val="Normal"/>
    <w:uiPriority w:val="99"/>
    <w:qFormat/>
    <w:rsid w:val="004653D0"/>
    <w:pPr>
      <w:adjustRightInd w:val="0"/>
      <w:snapToGrid w:val="0"/>
      <w:spacing w:line="240" w:lineRule="atLeast"/>
      <w:ind w:right="113"/>
      <w:jc w:val="left"/>
    </w:pPr>
    <w:rPr>
      <w:rFonts w:eastAsia="Times New Roman"/>
      <w:noProof w:val="0"/>
      <w:sz w:val="14"/>
      <w:lang w:eastAsia="de-DE" w:bidi="en-US"/>
    </w:rPr>
  </w:style>
  <w:style w:type="paragraph" w:customStyle="1" w:styleId="MDPI17abstract">
    <w:name w:val="MDPI_1.7_abstract"/>
    <w:next w:val="Normal"/>
    <w:uiPriority w:val="99"/>
    <w:qFormat/>
    <w:rsid w:val="004653D0"/>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uiPriority w:val="99"/>
    <w:qFormat/>
    <w:rsid w:val="004653D0"/>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9line">
    <w:name w:val="MDPI_1.9_line"/>
    <w:uiPriority w:val="99"/>
    <w:qFormat/>
    <w:rsid w:val="004653D0"/>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paragraph" w:customStyle="1" w:styleId="MDPIheaderjournallogo">
    <w:name w:val="MDPI_header_journal_logo"/>
    <w:uiPriority w:val="99"/>
    <w:qFormat/>
    <w:rsid w:val="004653D0"/>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31text">
    <w:name w:val="MDPI_3.1_text"/>
    <w:uiPriority w:val="99"/>
    <w:qFormat/>
    <w:rsid w:val="004653D0"/>
    <w:pPr>
      <w:adjustRightInd w:val="0"/>
      <w:snapToGrid w:val="0"/>
      <w:spacing w:after="0" w:line="228" w:lineRule="auto"/>
      <w:ind w:left="2608" w:firstLine="425"/>
      <w:jc w:val="both"/>
    </w:pPr>
    <w:rPr>
      <w:rFonts w:ascii="Palatino Linotype" w:eastAsia="Times New Roman" w:hAnsi="Palatino Linotype" w:cs="Times New Roman"/>
      <w:color w:val="000000"/>
      <w:sz w:val="20"/>
      <w:lang w:val="en-US" w:eastAsia="de-DE" w:bidi="en-US"/>
    </w:rPr>
  </w:style>
  <w:style w:type="paragraph" w:customStyle="1" w:styleId="MDPI33textspaceafter">
    <w:name w:val="MDPI_3.3_text_space_after"/>
    <w:uiPriority w:val="99"/>
    <w:qFormat/>
    <w:rsid w:val="004653D0"/>
    <w:pPr>
      <w:adjustRightInd w:val="0"/>
      <w:snapToGrid w:val="0"/>
      <w:spacing w:after="240" w:line="228" w:lineRule="auto"/>
      <w:ind w:left="2608"/>
      <w:jc w:val="both"/>
    </w:pPr>
    <w:rPr>
      <w:rFonts w:ascii="Palatino Linotype" w:eastAsia="Times New Roman" w:hAnsi="Palatino Linotype" w:cs="Times New Roman"/>
      <w:color w:val="000000"/>
      <w:sz w:val="20"/>
      <w:lang w:val="en-US" w:eastAsia="de-DE" w:bidi="en-US"/>
    </w:rPr>
  </w:style>
  <w:style w:type="paragraph" w:customStyle="1" w:styleId="MDPI35textbeforelist">
    <w:name w:val="MDPI_3.5_text_before_list"/>
    <w:uiPriority w:val="99"/>
    <w:qFormat/>
    <w:rsid w:val="004653D0"/>
    <w:pPr>
      <w:adjustRightInd w:val="0"/>
      <w:snapToGrid w:val="0"/>
      <w:spacing w:after="0" w:line="228" w:lineRule="auto"/>
      <w:ind w:left="2608" w:firstLine="425"/>
      <w:jc w:val="both"/>
    </w:pPr>
    <w:rPr>
      <w:rFonts w:ascii="Palatino Linotype" w:eastAsia="Times New Roman" w:hAnsi="Palatino Linotype" w:cs="Times New Roman"/>
      <w:color w:val="000000"/>
      <w:sz w:val="20"/>
      <w:lang w:val="en-US" w:eastAsia="de-DE" w:bidi="en-US"/>
    </w:rPr>
  </w:style>
  <w:style w:type="paragraph" w:customStyle="1" w:styleId="MDPI36textafterlist">
    <w:name w:val="MDPI_3.6_text_after_list"/>
    <w:uiPriority w:val="99"/>
    <w:qFormat/>
    <w:rsid w:val="004653D0"/>
    <w:pPr>
      <w:adjustRightInd w:val="0"/>
      <w:snapToGrid w:val="0"/>
      <w:spacing w:before="120" w:after="0" w:line="228" w:lineRule="auto"/>
      <w:ind w:left="2608"/>
      <w:jc w:val="both"/>
    </w:pPr>
    <w:rPr>
      <w:rFonts w:ascii="Palatino Linotype" w:eastAsia="Times New Roman" w:hAnsi="Palatino Linotype" w:cs="Times New Roman"/>
      <w:color w:val="000000"/>
      <w:sz w:val="20"/>
      <w:lang w:val="en-US" w:eastAsia="de-DE" w:bidi="en-US"/>
    </w:rPr>
  </w:style>
  <w:style w:type="paragraph" w:customStyle="1" w:styleId="MDPI37itemize">
    <w:name w:val="MDPI_3.7_itemize"/>
    <w:uiPriority w:val="99"/>
    <w:qFormat/>
    <w:rsid w:val="004653D0"/>
    <w:pPr>
      <w:numPr>
        <w:numId w:val="1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uiPriority w:val="99"/>
    <w:qFormat/>
    <w:rsid w:val="004653D0"/>
    <w:pPr>
      <w:numPr>
        <w:numId w:val="13"/>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uiPriority w:val="99"/>
    <w:qFormat/>
    <w:rsid w:val="004653D0"/>
    <w:pPr>
      <w:adjustRightInd w:val="0"/>
      <w:snapToGrid w:val="0"/>
      <w:spacing w:before="120" w:after="120" w:line="260" w:lineRule="atLeast"/>
      <w:ind w:left="709"/>
      <w:jc w:val="center"/>
    </w:pPr>
    <w:rPr>
      <w:rFonts w:ascii="Palatino Linotype" w:eastAsia="Times New Roman" w:hAnsi="Palatino Linotype" w:cs="Times New Roman"/>
      <w:color w:val="000000"/>
      <w:sz w:val="20"/>
      <w:lang w:val="en-US" w:eastAsia="de-DE" w:bidi="en-US"/>
    </w:rPr>
  </w:style>
  <w:style w:type="paragraph" w:customStyle="1" w:styleId="MDPI3aequationnumber">
    <w:name w:val="MDPI_3.a_equation_number"/>
    <w:uiPriority w:val="99"/>
    <w:qFormat/>
    <w:rsid w:val="004653D0"/>
    <w:pPr>
      <w:snapToGrid w:val="0"/>
      <w:spacing w:before="120" w:after="120" w:line="240" w:lineRule="auto"/>
      <w:jc w:val="right"/>
    </w:pPr>
    <w:rPr>
      <w:rFonts w:ascii="Palatino Linotype" w:eastAsia="Times New Roman" w:hAnsi="Palatino Linotype" w:cs="Times New Roman"/>
      <w:color w:val="000000"/>
      <w:sz w:val="20"/>
      <w:lang w:val="en-US" w:eastAsia="de-DE" w:bidi="en-US"/>
    </w:rPr>
  </w:style>
  <w:style w:type="paragraph" w:customStyle="1" w:styleId="MDPI41tablecaption">
    <w:name w:val="MDPI_4.1_table_caption"/>
    <w:uiPriority w:val="99"/>
    <w:qFormat/>
    <w:rsid w:val="004653D0"/>
    <w:pPr>
      <w:adjustRightInd w:val="0"/>
      <w:snapToGrid w:val="0"/>
      <w:spacing w:before="240" w:after="120" w:line="228" w:lineRule="auto"/>
      <w:ind w:left="2608"/>
    </w:pPr>
    <w:rPr>
      <w:rFonts w:ascii="Palatino Linotype" w:eastAsia="Times New Roman" w:hAnsi="Palatino Linotype"/>
      <w:color w:val="000000"/>
      <w:sz w:val="18"/>
      <w:lang w:val="en-US" w:eastAsia="de-DE" w:bidi="en-US"/>
    </w:rPr>
  </w:style>
  <w:style w:type="paragraph" w:customStyle="1" w:styleId="MDPI42tablebody">
    <w:name w:val="MDPI_4.2_table_body"/>
    <w:uiPriority w:val="99"/>
    <w:qFormat/>
    <w:rsid w:val="004653D0"/>
    <w:pPr>
      <w:adjustRightInd w:val="0"/>
      <w:snapToGrid w:val="0"/>
      <w:spacing w:after="0" w:line="240" w:lineRule="auto"/>
      <w:jc w:val="center"/>
    </w:pPr>
    <w:rPr>
      <w:rFonts w:ascii="Palatino Linotype" w:eastAsia="Times New Roman" w:hAnsi="Palatino Linotype" w:cs="Times New Roman"/>
      <w:color w:val="000000"/>
      <w:sz w:val="20"/>
      <w:szCs w:val="20"/>
      <w:lang w:val="en-US" w:eastAsia="de-DE" w:bidi="en-US"/>
    </w:rPr>
  </w:style>
  <w:style w:type="paragraph" w:customStyle="1" w:styleId="MDPI43tablefooter">
    <w:name w:val="MDPI_4.3_table_footer"/>
    <w:next w:val="MDPI31text"/>
    <w:uiPriority w:val="99"/>
    <w:qFormat/>
    <w:rsid w:val="004653D0"/>
    <w:pPr>
      <w:adjustRightInd w:val="0"/>
      <w:snapToGrid w:val="0"/>
      <w:spacing w:after="0" w:line="228" w:lineRule="auto"/>
      <w:ind w:left="2608"/>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uiPriority w:val="99"/>
    <w:qFormat/>
    <w:rsid w:val="004653D0"/>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uiPriority w:val="99"/>
    <w:qFormat/>
    <w:rsid w:val="004653D0"/>
    <w:pPr>
      <w:adjustRightInd w:val="0"/>
      <w:snapToGrid w:val="0"/>
      <w:spacing w:before="240" w:after="120" w:line="240" w:lineRule="auto"/>
      <w:jc w:val="center"/>
    </w:pPr>
    <w:rPr>
      <w:rFonts w:ascii="Palatino Linotype" w:eastAsia="Times New Roman" w:hAnsi="Palatino Linotype" w:cs="Times New Roman"/>
      <w:color w:val="000000"/>
      <w:sz w:val="20"/>
      <w:szCs w:val="20"/>
      <w:lang w:val="en-US" w:eastAsia="de-DE" w:bidi="en-US"/>
    </w:rPr>
  </w:style>
  <w:style w:type="paragraph" w:customStyle="1" w:styleId="MDPIfooterfirstpage">
    <w:name w:val="MDPI_footer_firstpage"/>
    <w:uiPriority w:val="99"/>
    <w:qFormat/>
    <w:rsid w:val="004653D0"/>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23heading3">
    <w:name w:val="MDPI_2.3_heading3"/>
    <w:uiPriority w:val="99"/>
    <w:qFormat/>
    <w:rsid w:val="004653D0"/>
    <w:pPr>
      <w:adjustRightInd w:val="0"/>
      <w:snapToGrid w:val="0"/>
      <w:spacing w:before="60" w:after="60" w:line="228" w:lineRule="auto"/>
      <w:ind w:left="2608"/>
      <w:outlineLvl w:val="2"/>
    </w:pPr>
    <w:rPr>
      <w:rFonts w:ascii="Palatino Linotype" w:eastAsia="Times New Roman" w:hAnsi="Palatino Linotype" w:cs="Times New Roman"/>
      <w:color w:val="000000"/>
      <w:sz w:val="20"/>
      <w:lang w:val="en-US" w:eastAsia="de-DE" w:bidi="en-US"/>
    </w:rPr>
  </w:style>
  <w:style w:type="paragraph" w:customStyle="1" w:styleId="MDPI21heading1">
    <w:name w:val="MDPI_2.1_heading1"/>
    <w:uiPriority w:val="99"/>
    <w:qFormat/>
    <w:rsid w:val="004653D0"/>
    <w:pPr>
      <w:adjustRightInd w:val="0"/>
      <w:snapToGrid w:val="0"/>
      <w:spacing w:before="240" w:after="60" w:line="228" w:lineRule="auto"/>
      <w:ind w:left="2608"/>
      <w:outlineLvl w:val="0"/>
    </w:pPr>
    <w:rPr>
      <w:rFonts w:ascii="Palatino Linotype" w:eastAsia="Times New Roman" w:hAnsi="Palatino Linotype" w:cs="Times New Roman"/>
      <w:b/>
      <w:color w:val="000000"/>
      <w:sz w:val="20"/>
      <w:lang w:val="en-US" w:eastAsia="de-DE" w:bidi="en-US"/>
    </w:rPr>
  </w:style>
  <w:style w:type="paragraph" w:customStyle="1" w:styleId="MDPI22heading2">
    <w:name w:val="MDPI_2.2_heading2"/>
    <w:uiPriority w:val="99"/>
    <w:qFormat/>
    <w:rsid w:val="004653D0"/>
    <w:pPr>
      <w:adjustRightInd w:val="0"/>
      <w:snapToGrid w:val="0"/>
      <w:spacing w:before="60" w:after="60" w:line="228" w:lineRule="auto"/>
      <w:ind w:left="2608"/>
      <w:outlineLvl w:val="1"/>
    </w:pPr>
    <w:rPr>
      <w:rFonts w:ascii="Palatino Linotype" w:eastAsia="Times New Roman" w:hAnsi="Palatino Linotype" w:cs="Times New Roman"/>
      <w:i/>
      <w:noProof/>
      <w:color w:val="000000"/>
      <w:sz w:val="20"/>
      <w:lang w:val="en-US" w:eastAsia="de-DE" w:bidi="en-US"/>
    </w:rPr>
  </w:style>
  <w:style w:type="paragraph" w:customStyle="1" w:styleId="MDPI71References">
    <w:name w:val="MDPI_7.1_References"/>
    <w:uiPriority w:val="99"/>
    <w:qFormat/>
    <w:rsid w:val="004653D0"/>
    <w:pPr>
      <w:numPr>
        <w:numId w:val="14"/>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customStyle="1" w:styleId="MDPI34textspacebefore">
    <w:name w:val="MDPI_3.4_text_space_before"/>
    <w:uiPriority w:val="99"/>
    <w:qFormat/>
    <w:rsid w:val="004653D0"/>
    <w:pPr>
      <w:adjustRightInd w:val="0"/>
      <w:snapToGrid w:val="0"/>
      <w:spacing w:before="240" w:after="0" w:line="228" w:lineRule="auto"/>
      <w:ind w:left="2608"/>
      <w:jc w:val="both"/>
    </w:pPr>
    <w:rPr>
      <w:rFonts w:ascii="Palatino Linotype" w:eastAsia="Times New Roman" w:hAnsi="Palatino Linotype" w:cs="Times New Roman"/>
      <w:color w:val="000000"/>
      <w:sz w:val="20"/>
      <w:lang w:val="en-US" w:eastAsia="de-DE" w:bidi="en-US"/>
    </w:rPr>
  </w:style>
  <w:style w:type="paragraph" w:customStyle="1" w:styleId="MDPI81theorem">
    <w:name w:val="MDPI_8.1_theorem"/>
    <w:uiPriority w:val="99"/>
    <w:qFormat/>
    <w:rsid w:val="004653D0"/>
    <w:pPr>
      <w:adjustRightInd w:val="0"/>
      <w:snapToGrid w:val="0"/>
      <w:spacing w:after="0" w:line="228" w:lineRule="auto"/>
      <w:ind w:left="2608"/>
      <w:jc w:val="both"/>
    </w:pPr>
    <w:rPr>
      <w:rFonts w:ascii="Palatino Linotype" w:eastAsia="Times New Roman" w:hAnsi="Palatino Linotype" w:cs="Times New Roman"/>
      <w:i/>
      <w:color w:val="000000"/>
      <w:sz w:val="20"/>
      <w:lang w:val="en-US" w:eastAsia="de-DE" w:bidi="en-US"/>
    </w:rPr>
  </w:style>
  <w:style w:type="paragraph" w:customStyle="1" w:styleId="MDPI82proof">
    <w:name w:val="MDPI_8.2_proof"/>
    <w:uiPriority w:val="99"/>
    <w:qFormat/>
    <w:rsid w:val="004653D0"/>
    <w:pPr>
      <w:adjustRightInd w:val="0"/>
      <w:snapToGrid w:val="0"/>
      <w:spacing w:after="0" w:line="228" w:lineRule="auto"/>
      <w:ind w:left="2608"/>
      <w:jc w:val="both"/>
    </w:pPr>
    <w:rPr>
      <w:rFonts w:ascii="Palatino Linotype" w:eastAsia="Times New Roman" w:hAnsi="Palatino Linotype" w:cs="Times New Roman"/>
      <w:color w:val="000000"/>
      <w:sz w:val="20"/>
      <w:lang w:val="en-US" w:eastAsia="de-DE" w:bidi="en-US"/>
    </w:rPr>
  </w:style>
  <w:style w:type="paragraph" w:customStyle="1" w:styleId="MDPI61Citation">
    <w:name w:val="MDPI_6.1_Citation"/>
    <w:uiPriority w:val="99"/>
    <w:qFormat/>
    <w:rsid w:val="004653D0"/>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2BackMatter">
    <w:name w:val="MDPI_6.2_BackMatter"/>
    <w:uiPriority w:val="99"/>
    <w:qFormat/>
    <w:rsid w:val="004653D0"/>
    <w:pPr>
      <w:adjustRightInd w:val="0"/>
      <w:snapToGrid w:val="0"/>
      <w:spacing w:after="120" w:line="228" w:lineRule="auto"/>
      <w:ind w:left="2608"/>
      <w:jc w:val="both"/>
    </w:pPr>
    <w:rPr>
      <w:rFonts w:ascii="Palatino Linotype" w:eastAsia="Times New Roman" w:hAnsi="Palatino Linotype" w:cs="Times New Roman"/>
      <w:color w:val="000000"/>
      <w:sz w:val="18"/>
      <w:szCs w:val="20"/>
      <w:lang w:val="en-US" w:bidi="en-US"/>
    </w:rPr>
  </w:style>
  <w:style w:type="paragraph" w:customStyle="1" w:styleId="MDPI63Notes">
    <w:name w:val="MDPI_6.3_Notes"/>
    <w:uiPriority w:val="99"/>
    <w:qFormat/>
    <w:rsid w:val="004653D0"/>
    <w:pPr>
      <w:adjustRightInd w:val="0"/>
      <w:snapToGrid w:val="0"/>
      <w:spacing w:before="240" w:after="0" w:line="228" w:lineRule="auto"/>
      <w:jc w:val="both"/>
    </w:pPr>
    <w:rPr>
      <w:rFonts w:ascii="Palatino Linotype" w:eastAsia="SimSun" w:hAnsi="Palatino Linotype" w:cs="Times New Roman"/>
      <w:color w:val="000000"/>
      <w:sz w:val="18"/>
      <w:szCs w:val="20"/>
      <w:lang w:val="en-US" w:bidi="en-US"/>
    </w:rPr>
  </w:style>
  <w:style w:type="paragraph" w:customStyle="1" w:styleId="MDPI15academiceditor">
    <w:name w:val="MDPI_1.5_academic_editor"/>
    <w:uiPriority w:val="99"/>
    <w:qFormat/>
    <w:rsid w:val="004653D0"/>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9classification">
    <w:name w:val="MDPI_1.9_classification"/>
    <w:uiPriority w:val="99"/>
    <w:qFormat/>
    <w:rsid w:val="004653D0"/>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411onetablecaption">
    <w:name w:val="MDPI_4.1.1_one_table_caption"/>
    <w:uiPriority w:val="99"/>
    <w:qFormat/>
    <w:rsid w:val="004653D0"/>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511onefigurecaption">
    <w:name w:val="MDPI_5.1.1_one_figure_caption"/>
    <w:uiPriority w:val="99"/>
    <w:qFormat/>
    <w:rsid w:val="004653D0"/>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val="en-US" w:eastAsia="zh-CN" w:bidi="en-US"/>
    </w:rPr>
  </w:style>
  <w:style w:type="paragraph" w:customStyle="1" w:styleId="MDPI72Copyright">
    <w:name w:val="MDPI_7.2_Copyright"/>
    <w:uiPriority w:val="99"/>
    <w:qFormat/>
    <w:rsid w:val="004653D0"/>
    <w:pPr>
      <w:adjustRightInd w:val="0"/>
      <w:snapToGrid w:val="0"/>
      <w:spacing w:before="240" w:after="0" w:line="240" w:lineRule="atLeast"/>
      <w:ind w:right="113"/>
    </w:pPr>
    <w:rPr>
      <w:rFonts w:ascii="Palatino Linotype" w:eastAsia="Times New Roman" w:hAnsi="Palatino Linotype" w:cs="Times New Roman"/>
      <w:noProof/>
      <w:color w:val="000000"/>
      <w:spacing w:val="-2"/>
      <w:sz w:val="14"/>
      <w:szCs w:val="20"/>
      <w:lang w:eastAsia="en-GB"/>
    </w:rPr>
  </w:style>
  <w:style w:type="paragraph" w:customStyle="1" w:styleId="MDPI73CopyrightImage">
    <w:name w:val="MDPI_7.3_CopyrightImage"/>
    <w:uiPriority w:val="99"/>
    <w:rsid w:val="004653D0"/>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equationFram">
    <w:name w:val="MDPI_equationFram"/>
    <w:uiPriority w:val="99"/>
    <w:qFormat/>
    <w:rsid w:val="004653D0"/>
    <w:pPr>
      <w:adjustRightInd w:val="0"/>
      <w:snapToGrid w:val="0"/>
      <w:spacing w:before="120" w:after="120" w:line="240" w:lineRule="auto"/>
      <w:jc w:val="center"/>
    </w:pPr>
    <w:rPr>
      <w:rFonts w:ascii="Palatino Linotype" w:eastAsia="Times New Roman" w:hAnsi="Palatino Linotype" w:cs="Times New Roman"/>
      <w:color w:val="000000"/>
      <w:sz w:val="20"/>
      <w:lang w:val="en-US" w:eastAsia="de-DE" w:bidi="en-US"/>
    </w:rPr>
  </w:style>
  <w:style w:type="paragraph" w:customStyle="1" w:styleId="MDPIfooter">
    <w:name w:val="MDPI_footer"/>
    <w:uiPriority w:val="99"/>
    <w:qFormat/>
    <w:rsid w:val="004653D0"/>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header">
    <w:name w:val="MDPI_header"/>
    <w:uiPriority w:val="99"/>
    <w:qFormat/>
    <w:rsid w:val="004653D0"/>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uiPriority w:val="99"/>
    <w:rsid w:val="004653D0"/>
    <w:pPr>
      <w:snapToGrid w:val="0"/>
      <w:spacing w:after="240" w:line="240" w:lineRule="auto"/>
    </w:pPr>
    <w:rPr>
      <w:rFonts w:ascii="Palatino Linotype" w:eastAsia="Times New Roman" w:hAnsi="Palatino Linotype" w:cs="Times New Roman"/>
      <w:color w:val="000000"/>
      <w:sz w:val="18"/>
      <w:szCs w:val="20"/>
      <w:lang w:val="en-US" w:eastAsia="de-DE" w:bidi="en-US"/>
    </w:rPr>
  </w:style>
  <w:style w:type="paragraph" w:customStyle="1" w:styleId="MDPIheadermdpilogo">
    <w:name w:val="MDPI_header_mdpi_logo"/>
    <w:uiPriority w:val="99"/>
    <w:qFormat/>
    <w:rsid w:val="004653D0"/>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paragraph" w:customStyle="1" w:styleId="MDPItext">
    <w:name w:val="MDPI_text"/>
    <w:uiPriority w:val="99"/>
    <w:qFormat/>
    <w:rsid w:val="004653D0"/>
    <w:pPr>
      <w:snapToGrid w:val="0"/>
      <w:spacing w:after="0" w:line="260" w:lineRule="atLeast"/>
      <w:ind w:left="425" w:right="425" w:firstLine="284"/>
      <w:jc w:val="both"/>
    </w:pPr>
    <w:rPr>
      <w:rFonts w:ascii="Times New Roman" w:eastAsia="Times New Roman" w:hAnsi="Times New Roman" w:cs="Times New Roman"/>
      <w:noProof/>
      <w:color w:val="000000"/>
      <w:lang w:val="en-US" w:eastAsia="de-DE" w:bidi="en-US"/>
    </w:rPr>
  </w:style>
  <w:style w:type="paragraph" w:customStyle="1" w:styleId="MDPItitle">
    <w:name w:val="MDPI_title"/>
    <w:uiPriority w:val="99"/>
    <w:qFormat/>
    <w:rsid w:val="004653D0"/>
    <w:pPr>
      <w:adjustRightInd w:val="0"/>
      <w:snapToGrid w:val="0"/>
      <w:spacing w:after="240" w:line="260" w:lineRule="atLeast"/>
      <w:jc w:val="both"/>
    </w:pPr>
    <w:rPr>
      <w:rFonts w:ascii="Palatino Linotype" w:eastAsia="Times New Roman" w:hAnsi="Palatino Linotype" w:cs="Times New Roman"/>
      <w:b/>
      <w:color w:val="000000"/>
      <w:sz w:val="36"/>
      <w:szCs w:val="20"/>
      <w:lang w:val="en-US" w:eastAsia="de-DE" w:bidi="en-US"/>
    </w:rPr>
  </w:style>
  <w:style w:type="paragraph" w:customStyle="1" w:styleId="MsoFootnoteText0">
    <w:name w:val="MsoFootnoteText"/>
    <w:basedOn w:val="NormalWeb"/>
    <w:uiPriority w:val="99"/>
    <w:qFormat/>
    <w:rsid w:val="004653D0"/>
    <w:rPr>
      <w:rFonts w:ascii="Times New Roman" w:hAnsi="Times New Roman"/>
    </w:rPr>
  </w:style>
  <w:style w:type="paragraph" w:customStyle="1" w:styleId="MDPI71FootNotes">
    <w:name w:val="MDPI_7.1_FootNotes"/>
    <w:uiPriority w:val="99"/>
    <w:qFormat/>
    <w:rsid w:val="004653D0"/>
    <w:pPr>
      <w:numPr>
        <w:numId w:val="15"/>
      </w:numPr>
      <w:adjustRightInd w:val="0"/>
      <w:snapToGrid w:val="0"/>
      <w:spacing w:after="0" w:line="228" w:lineRule="auto"/>
    </w:pPr>
    <w:rPr>
      <w:rFonts w:ascii="Palatino Linotype" w:eastAsiaTheme="minorEastAsia" w:hAnsi="Palatino Linotype" w:cs="Times New Roman"/>
      <w:noProof/>
      <w:color w:val="000000"/>
      <w:sz w:val="18"/>
      <w:szCs w:val="20"/>
      <w:lang w:val="en-US" w:eastAsia="zh-CN"/>
    </w:rPr>
  </w:style>
  <w:style w:type="character" w:styleId="FootnoteReference">
    <w:name w:val="footnote reference"/>
    <w:basedOn w:val="DefaultParagraphFont"/>
    <w:uiPriority w:val="99"/>
    <w:semiHidden/>
    <w:unhideWhenUsed/>
    <w:rsid w:val="004653D0"/>
    <w:rPr>
      <w:vertAlign w:val="superscript"/>
    </w:rPr>
  </w:style>
  <w:style w:type="character" w:styleId="CommentReference">
    <w:name w:val="annotation reference"/>
    <w:semiHidden/>
    <w:unhideWhenUsed/>
    <w:rsid w:val="004653D0"/>
    <w:rPr>
      <w:sz w:val="21"/>
      <w:szCs w:val="21"/>
    </w:rPr>
  </w:style>
  <w:style w:type="character" w:styleId="LineNumber">
    <w:name w:val="line number"/>
    <w:uiPriority w:val="99"/>
    <w:semiHidden/>
    <w:unhideWhenUsed/>
    <w:rsid w:val="004653D0"/>
    <w:rPr>
      <w:rFonts w:ascii="Palatino Linotype" w:hAnsi="Palatino Linotype" w:hint="default"/>
      <w:sz w:val="16"/>
    </w:rPr>
  </w:style>
  <w:style w:type="character" w:styleId="EndnoteReference">
    <w:name w:val="endnote reference"/>
    <w:semiHidden/>
    <w:unhideWhenUsed/>
    <w:rsid w:val="004653D0"/>
    <w:rPr>
      <w:vertAlign w:val="superscript"/>
    </w:rPr>
  </w:style>
  <w:style w:type="character" w:styleId="PlaceholderText">
    <w:name w:val="Placeholder Text"/>
    <w:uiPriority w:val="99"/>
    <w:semiHidden/>
    <w:rsid w:val="004653D0"/>
    <w:rPr>
      <w:color w:val="808080"/>
    </w:rPr>
  </w:style>
  <w:style w:type="character" w:customStyle="1" w:styleId="UnresolvedMention1">
    <w:name w:val="Unresolved Mention1"/>
    <w:uiPriority w:val="99"/>
    <w:semiHidden/>
    <w:rsid w:val="004653D0"/>
    <w:rPr>
      <w:color w:val="605E5C"/>
      <w:shd w:val="clear" w:color="auto" w:fill="E1DFDD"/>
    </w:rPr>
  </w:style>
  <w:style w:type="character" w:customStyle="1" w:styleId="apple-converted-space">
    <w:name w:val="apple-converted-space"/>
    <w:rsid w:val="004653D0"/>
  </w:style>
  <w:style w:type="character" w:customStyle="1" w:styleId="UnresolvedMention11">
    <w:name w:val="Unresolved Mention11"/>
    <w:uiPriority w:val="99"/>
    <w:semiHidden/>
    <w:rsid w:val="004653D0"/>
    <w:rPr>
      <w:color w:val="605E5C"/>
      <w:shd w:val="clear" w:color="auto" w:fill="E1DFDD"/>
    </w:rPr>
  </w:style>
  <w:style w:type="character" w:customStyle="1" w:styleId="jlqj4b">
    <w:name w:val="jlqj4b"/>
    <w:basedOn w:val="DefaultParagraphFont"/>
    <w:rsid w:val="004653D0"/>
  </w:style>
  <w:style w:type="character" w:customStyle="1" w:styleId="viiyi">
    <w:name w:val="viiyi"/>
    <w:basedOn w:val="DefaultParagraphFont"/>
    <w:rsid w:val="004653D0"/>
  </w:style>
  <w:style w:type="character" w:customStyle="1" w:styleId="q4iawc">
    <w:name w:val="q4iawc"/>
    <w:basedOn w:val="DefaultParagraphFont"/>
    <w:rsid w:val="004653D0"/>
  </w:style>
  <w:style w:type="character" w:customStyle="1" w:styleId="rynqvb">
    <w:name w:val="rynqvb"/>
    <w:basedOn w:val="DefaultParagraphFont"/>
    <w:rsid w:val="004653D0"/>
  </w:style>
  <w:style w:type="character" w:customStyle="1" w:styleId="hwtze">
    <w:name w:val="hwtze"/>
    <w:basedOn w:val="DefaultParagraphFont"/>
    <w:rsid w:val="004653D0"/>
  </w:style>
  <w:style w:type="character" w:customStyle="1" w:styleId="citation-select">
    <w:name w:val="citation-select"/>
    <w:basedOn w:val="DefaultParagraphFont"/>
    <w:rsid w:val="004653D0"/>
  </w:style>
  <w:style w:type="character" w:customStyle="1" w:styleId="UnresolvedMention2">
    <w:name w:val="Unresolved Mention2"/>
    <w:basedOn w:val="DefaultParagraphFont"/>
    <w:uiPriority w:val="99"/>
    <w:semiHidden/>
    <w:rsid w:val="004653D0"/>
    <w:rPr>
      <w:color w:val="605E5C"/>
      <w:shd w:val="clear" w:color="auto" w:fill="E1DFDD"/>
    </w:rPr>
  </w:style>
  <w:style w:type="character" w:customStyle="1" w:styleId="UnresolvedMention3">
    <w:name w:val="Unresolved Mention3"/>
    <w:basedOn w:val="DefaultParagraphFont"/>
    <w:uiPriority w:val="99"/>
    <w:semiHidden/>
    <w:rsid w:val="004653D0"/>
    <w:rPr>
      <w:color w:val="605E5C"/>
      <w:shd w:val="clear" w:color="auto" w:fill="E1DFDD"/>
    </w:rPr>
  </w:style>
  <w:style w:type="character" w:customStyle="1" w:styleId="UnresolvedMention4">
    <w:name w:val="Unresolved Mention4"/>
    <w:basedOn w:val="DefaultParagraphFont"/>
    <w:uiPriority w:val="99"/>
    <w:semiHidden/>
    <w:rsid w:val="004653D0"/>
    <w:rPr>
      <w:color w:val="605E5C"/>
      <w:shd w:val="clear" w:color="auto" w:fill="E1DFDD"/>
    </w:rPr>
  </w:style>
  <w:style w:type="table" w:styleId="TableGrid">
    <w:name w:val="Table Grid"/>
    <w:basedOn w:val="TableNormal"/>
    <w:uiPriority w:val="39"/>
    <w:rsid w:val="004653D0"/>
    <w:pPr>
      <w:spacing w:after="0" w:line="260" w:lineRule="atLeast"/>
      <w:jc w:val="both"/>
    </w:pPr>
    <w:rPr>
      <w:rFonts w:ascii="Palatino Linotype" w:eastAsia="SimSun" w:hAnsi="Palatino Linotype" w:cs="Calibri"/>
      <w:color w:val="000000"/>
      <w:sz w:val="20"/>
      <w:szCs w:val="20"/>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653D0"/>
    <w:pPr>
      <w:spacing w:after="0" w:line="240" w:lineRule="auto"/>
    </w:pPr>
    <w:rPr>
      <w:rFonts w:ascii="Calibri" w:eastAsia="SimSun" w:hAnsi="Calibri" w:cs="Times New Roman"/>
      <w:sz w:val="20"/>
      <w:szCs w:val="20"/>
      <w:lang w:val="en-US"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eck5tablebodythreelines">
    <w:name w:val="M_deck_5_table_body_three_lines"/>
    <w:basedOn w:val="TableNormal"/>
    <w:uiPriority w:val="99"/>
    <w:rsid w:val="004653D0"/>
    <w:pPr>
      <w:adjustRightInd w:val="0"/>
      <w:snapToGrid w:val="0"/>
      <w:spacing w:after="0" w:line="300" w:lineRule="exact"/>
      <w:jc w:val="center"/>
    </w:pPr>
    <w:rPr>
      <w:rFonts w:ascii="Times New Roman" w:eastAsia="SimSun" w:hAnsi="Times New Roman" w:cs="Times New Roman"/>
      <w:sz w:val="20"/>
      <w:szCs w:val="20"/>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rightChars="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
    <w:name w:val="MDPI_4.1_three_line_table"/>
    <w:basedOn w:val="TableNormal"/>
    <w:uiPriority w:val="99"/>
    <w:rsid w:val="004653D0"/>
    <w:pPr>
      <w:adjustRightInd w:val="0"/>
      <w:snapToGrid w:val="0"/>
      <w:spacing w:after="0" w:line="240" w:lineRule="auto"/>
      <w:jc w:val="center"/>
    </w:pPr>
    <w:rPr>
      <w:rFonts w:ascii="Palatino Linotype" w:eastAsiaTheme="minorEastAsia" w:hAnsi="Palatino Linotype" w:cs="Calibri"/>
      <w:color w:val="000000"/>
      <w:sz w:val="20"/>
      <w:szCs w:val="20"/>
      <w:lang w:val="en-US" w:eastAsia="zh-CN"/>
    </w:rPr>
    <w:tblPr>
      <w:tblInd w:w="0" w:type="nil"/>
      <w:tblBorders>
        <w:top w:val="single" w:sz="8" w:space="0" w:color="auto"/>
        <w:bottom w:val="single" w:sz="8" w:space="0" w:color="auto"/>
      </w:tblBorders>
    </w:tblPr>
    <w:tcPr>
      <w:vAlign w:val="center"/>
    </w:tcPr>
    <w:tblStylePr w:type="firstRow">
      <w:rPr>
        <w:rFonts w:ascii="Palatino Linotype" w:hAnsi="Palatino Linotype" w:hint="default"/>
        <w:b/>
        <w:i w:val="0"/>
        <w:sz w:val="20"/>
        <w:szCs w:val="20"/>
      </w:rPr>
      <w:tblPr/>
      <w:tcPr>
        <w:tcBorders>
          <w:bottom w:val="single" w:sz="4" w:space="0" w:color="auto"/>
        </w:tcBorders>
      </w:tcPr>
    </w:tblStylePr>
  </w:style>
  <w:style w:type="table" w:customStyle="1" w:styleId="MDPITable">
    <w:name w:val="MDPI_Table"/>
    <w:basedOn w:val="TableNormal"/>
    <w:uiPriority w:val="99"/>
    <w:rsid w:val="004653D0"/>
    <w:pPr>
      <w:spacing w:after="0" w:line="240" w:lineRule="auto"/>
    </w:pPr>
    <w:rPr>
      <w:rFonts w:ascii="Palatino Linotype" w:eastAsia="SimSun" w:hAnsi="Palatino Linotype" w:cs="Calibri"/>
      <w:color w:val="000000" w:themeColor="text1"/>
      <w:sz w:val="20"/>
      <w:szCs w:val="20"/>
      <w:lang w:val="en-CA"/>
    </w:rPr>
    <w:tblPr>
      <w:tblInd w:w="0" w:type="nil"/>
      <w:tblCellMar>
        <w:left w:w="0" w:type="dxa"/>
        <w:right w:w="0" w:type="dxa"/>
      </w:tblCellMar>
    </w:tblPr>
  </w:style>
  <w:style w:type="paragraph" w:customStyle="1" w:styleId="MDPI32textnoindent">
    <w:name w:val="MDPI_3.2_text_no_indent"/>
    <w:basedOn w:val="MDPI31text"/>
    <w:qFormat/>
    <w:rsid w:val="004653D0"/>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5388">
      <w:bodyDiv w:val="1"/>
      <w:marLeft w:val="0"/>
      <w:marRight w:val="0"/>
      <w:marTop w:val="0"/>
      <w:marBottom w:val="0"/>
      <w:divBdr>
        <w:top w:val="none" w:sz="0" w:space="0" w:color="auto"/>
        <w:left w:val="none" w:sz="0" w:space="0" w:color="auto"/>
        <w:bottom w:val="none" w:sz="0" w:space="0" w:color="auto"/>
        <w:right w:val="none" w:sz="0" w:space="0" w:color="auto"/>
      </w:divBdr>
    </w:div>
    <w:div w:id="75158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nes.lagnoux@univ-tlse2.fr" TargetMode="External"/><Relationship Id="rId13" Type="http://schemas.openxmlformats.org/officeDocument/2006/relationships/hyperlink" Target="mailto:lena.barnekow@geol.lu.se" TargetMode="External"/><Relationship Id="rId18" Type="http://schemas.openxmlformats.org/officeDocument/2006/relationships/hyperlink" Target="https://doi.org/10.48579/PRO/J5GZUO" TargetMode="External"/><Relationship Id="rId26" Type="http://schemas.openxmlformats.org/officeDocument/2006/relationships/hyperlink" Target="https://github.com/rmfyfe/landclimII"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mailto:thierry01.klein@enac.fr" TargetMode="External"/><Relationship Id="rId12" Type="http://schemas.openxmlformats.org/officeDocument/2006/relationships/hyperlink" Target="mailto:cma20@st-andrews.ac.uk" TargetMode="External"/><Relationship Id="rId17" Type="http://schemas.openxmlformats.org/officeDocument/2006/relationships/image" Target="media/image1.png"/><Relationship Id="rId25" Type="http://schemas.openxmlformats.org/officeDocument/2006/relationships/hyperlink" Target="https://github.com/petrkunes/LRA" TargetMode="External"/><Relationship Id="rId2" Type="http://schemas.openxmlformats.org/officeDocument/2006/relationships/styles" Target="styles.xml"/><Relationship Id="rId16" Type="http://schemas.openxmlformats.org/officeDocument/2006/relationships/hyperlink" Target="mailto:sugita@tlu.ee"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thierry01.klein@enac.fr" TargetMode="External"/><Relationship Id="rId11" Type="http://schemas.openxmlformats.org/officeDocument/2006/relationships/hyperlink" Target="mailto:anne_birgitte.nielsen@geol.lu.se" TargetMode="External"/><Relationship Id="rId24" Type="http://schemas.openxmlformats.org/officeDocument/2006/relationships/image" Target="media/image7.jpeg"/><Relationship Id="rId5" Type="http://schemas.openxmlformats.org/officeDocument/2006/relationships/hyperlink" Target="mailto:mariaantonia.serge@gmail.com" TargetMode="External"/><Relationship Id="rId15" Type="http://schemas.openxmlformats.org/officeDocument/2006/relationships/hyperlink" Target="mailto:olga.lisitsyn@gmail.com" TargetMode="External"/><Relationship Id="rId23" Type="http://schemas.openxmlformats.org/officeDocument/2006/relationships/image" Target="media/image6.jpeg"/><Relationship Id="rId28" Type="http://schemas.openxmlformats.org/officeDocument/2006/relationships/image" Target="media/image8.png"/><Relationship Id="rId10" Type="http://schemas.openxmlformats.org/officeDocument/2006/relationships/hyperlink" Target="mailto:mindrescu@atlas.usv.ro"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anneli.poska@ttu.ee" TargetMode="External"/><Relationship Id="rId14" Type="http://schemas.openxmlformats.org/officeDocument/2006/relationships/hyperlink" Target="mailto:anneli.poska@ttu.ee" TargetMode="External"/><Relationship Id="rId22" Type="http://schemas.openxmlformats.org/officeDocument/2006/relationships/image" Target="media/image5.jpeg"/><Relationship Id="rId27" Type="http://schemas.openxmlformats.org/officeDocument/2006/relationships/hyperlink" Target="http://www.merge.lu.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127032</Words>
  <Characters>724088</Characters>
  <Application>Microsoft Office Word</Application>
  <DocSecurity>0</DocSecurity>
  <Lines>6034</Lines>
  <Paragraphs>1698</Paragraphs>
  <ScaleCrop>false</ScaleCrop>
  <Company/>
  <LinksUpToDate>false</LinksUpToDate>
  <CharactersWithSpaces>849422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Grant</dc:creator>
  <cp:keywords/>
  <dc:description/>
  <cp:lastModifiedBy>Michael Grant</cp:lastModifiedBy>
  <cp:revision>1</cp:revision>
  <dcterms:created xsi:type="dcterms:W3CDTF">2023-06-09T12:15:00Z</dcterms:created>
  <dcterms:modified xsi:type="dcterms:W3CDTF">2023-06-09T12:18:00Z</dcterms:modified>
</cp:coreProperties>
</file>