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6319C" w14:textId="77777777" w:rsidR="00DD7F18" w:rsidRPr="00D653EE" w:rsidRDefault="00DD7F18" w:rsidP="00C260AA">
      <w:pPr>
        <w:spacing w:line="360" w:lineRule="auto"/>
        <w:rPr>
          <w:rFonts w:ascii="Times New Roman" w:hAnsi="Times New Roman" w:cs="Times New Roman"/>
          <w:b/>
          <w:bCs/>
          <w:sz w:val="24"/>
          <w:szCs w:val="24"/>
        </w:rPr>
      </w:pPr>
      <w:bookmarkStart w:id="0" w:name="_Hlk100303666"/>
      <w:bookmarkStart w:id="1" w:name="_Hlk98418537"/>
      <w:bookmarkStart w:id="2" w:name="_Hlk95294137"/>
      <w:bookmarkEnd w:id="0"/>
      <w:r w:rsidRPr="00D653EE">
        <w:rPr>
          <w:rFonts w:ascii="Times New Roman" w:hAnsi="Times New Roman" w:cs="Times New Roman"/>
          <w:b/>
          <w:bCs/>
          <w:sz w:val="24"/>
          <w:szCs w:val="24"/>
        </w:rPr>
        <w:t xml:space="preserve">Efficacy and safety of </w:t>
      </w:r>
      <w:proofErr w:type="spellStart"/>
      <w:r w:rsidRPr="00D653EE">
        <w:rPr>
          <w:rFonts w:ascii="Times New Roman" w:hAnsi="Times New Roman" w:cs="Times New Roman"/>
          <w:b/>
          <w:bCs/>
          <w:sz w:val="24"/>
          <w:szCs w:val="24"/>
        </w:rPr>
        <w:t>fitusiran</w:t>
      </w:r>
      <w:proofErr w:type="spellEnd"/>
      <w:r w:rsidRPr="00D653EE">
        <w:rPr>
          <w:rFonts w:ascii="Times New Roman" w:hAnsi="Times New Roman" w:cs="Times New Roman"/>
          <w:b/>
          <w:bCs/>
          <w:sz w:val="24"/>
          <w:szCs w:val="24"/>
        </w:rPr>
        <w:t xml:space="preserve"> prophylaxis in people with severe haemophilia A or B without inhibitors (ATLAS-A/B): a multicentre, open-label, randomised Phase 3 trial</w:t>
      </w:r>
    </w:p>
    <w:bookmarkEnd w:id="1"/>
    <w:p w14:paraId="662A14C5" w14:textId="77777777" w:rsidR="00DD7F18" w:rsidRPr="003C413F" w:rsidRDefault="00DD7F18" w:rsidP="008B3DDE">
      <w:pPr>
        <w:spacing w:line="360" w:lineRule="auto"/>
        <w:rPr>
          <w:rFonts w:ascii="Times New Roman" w:eastAsia="MS Gothic" w:hAnsi="Times New Roman" w:cs="Times New Roman"/>
          <w:b/>
          <w:sz w:val="24"/>
          <w:szCs w:val="24"/>
        </w:rPr>
      </w:pPr>
    </w:p>
    <w:p w14:paraId="776BC75E" w14:textId="7ED23414" w:rsidR="00DD7F18" w:rsidRPr="003C413F" w:rsidRDefault="00DD7F18" w:rsidP="008B3DDE">
      <w:pPr>
        <w:spacing w:line="360" w:lineRule="auto"/>
        <w:rPr>
          <w:rFonts w:ascii="Times New Roman" w:eastAsia="MS Gothic" w:hAnsi="Times New Roman" w:cs="Times New Roman"/>
          <w:bCs/>
          <w:sz w:val="24"/>
          <w:szCs w:val="24"/>
          <w:vertAlign w:val="superscript"/>
        </w:rPr>
      </w:pPr>
      <w:bookmarkStart w:id="3" w:name="_Hlk95294078"/>
      <w:bookmarkEnd w:id="2"/>
      <w:r>
        <w:rPr>
          <w:rFonts w:ascii="Times New Roman" w:eastAsia="MS Gothic" w:hAnsi="Times New Roman" w:cs="Times New Roman"/>
          <w:bCs/>
          <w:sz w:val="24"/>
          <w:szCs w:val="24"/>
          <w:u w:val="single"/>
        </w:rPr>
        <w:t xml:space="preserve">Prof. </w:t>
      </w:r>
      <w:r w:rsidRPr="003C413F">
        <w:rPr>
          <w:rFonts w:ascii="Times New Roman" w:eastAsia="MS Gothic" w:hAnsi="Times New Roman" w:cs="Times New Roman"/>
          <w:bCs/>
          <w:sz w:val="24"/>
          <w:szCs w:val="24"/>
          <w:u w:val="single"/>
        </w:rPr>
        <w:t>Alok Srivastava, MD</w:t>
      </w:r>
      <w:r w:rsidRPr="003C413F">
        <w:rPr>
          <w:rFonts w:ascii="Times New Roman" w:eastAsia="MS Gothic" w:hAnsi="Times New Roman" w:cs="Times New Roman"/>
          <w:bCs/>
          <w:sz w:val="24"/>
          <w:szCs w:val="24"/>
          <w:u w:val="single"/>
          <w:vertAlign w:val="superscript"/>
        </w:rPr>
        <w:t>1</w:t>
      </w:r>
      <w:r w:rsidR="00D31562">
        <w:rPr>
          <w:rFonts w:ascii="Times New Roman" w:eastAsia="MS Gothic" w:hAnsi="Times New Roman" w:cs="Times New Roman"/>
          <w:bCs/>
          <w:sz w:val="24"/>
          <w:szCs w:val="24"/>
          <w:u w:val="single"/>
          <w:vertAlign w:val="superscript"/>
        </w:rPr>
        <w:t>,2</w:t>
      </w:r>
      <w:r w:rsidRPr="003C413F">
        <w:rPr>
          <w:rFonts w:ascii="Times New Roman" w:eastAsia="MS Gothic" w:hAnsi="Times New Roman" w:cs="Times New Roman"/>
          <w:bCs/>
          <w:sz w:val="24"/>
          <w:szCs w:val="24"/>
        </w:rPr>
        <w:t xml:space="preserve">; </w:t>
      </w:r>
      <w:r>
        <w:rPr>
          <w:rFonts w:ascii="Times New Roman" w:eastAsia="MS Gothic" w:hAnsi="Times New Roman" w:cs="Times New Roman"/>
          <w:bCs/>
          <w:sz w:val="24"/>
          <w:szCs w:val="24"/>
        </w:rPr>
        <w:t xml:space="preserve">Prof. </w:t>
      </w:r>
      <w:r w:rsidRPr="003C413F">
        <w:rPr>
          <w:rFonts w:ascii="Times New Roman" w:eastAsia="MS Gothic" w:hAnsi="Times New Roman" w:cs="Times New Roman"/>
          <w:bCs/>
          <w:sz w:val="24"/>
          <w:szCs w:val="24"/>
        </w:rPr>
        <w:t>Savita Rangarajan, MD</w:t>
      </w:r>
      <w:r w:rsidR="00D31562">
        <w:rPr>
          <w:rFonts w:ascii="Times New Roman" w:eastAsia="MS Gothic" w:hAnsi="Times New Roman" w:cs="Times New Roman"/>
          <w:bCs/>
          <w:sz w:val="24"/>
          <w:szCs w:val="24"/>
          <w:vertAlign w:val="superscript"/>
        </w:rPr>
        <w:t>3</w:t>
      </w:r>
      <w:r w:rsidRPr="003C413F">
        <w:rPr>
          <w:rFonts w:ascii="Times New Roman" w:eastAsia="MS Gothic" w:hAnsi="Times New Roman" w:cs="Times New Roman"/>
          <w:bCs/>
          <w:sz w:val="24"/>
          <w:szCs w:val="24"/>
          <w:vertAlign w:val="superscript"/>
        </w:rPr>
        <w:t>,</w:t>
      </w:r>
      <w:r w:rsidR="00D31562">
        <w:rPr>
          <w:rFonts w:ascii="Times New Roman" w:eastAsia="MS Gothic" w:hAnsi="Times New Roman" w:cs="Times New Roman"/>
          <w:bCs/>
          <w:sz w:val="24"/>
          <w:szCs w:val="24"/>
          <w:vertAlign w:val="superscript"/>
        </w:rPr>
        <w:t>4</w:t>
      </w:r>
      <w:r w:rsidRPr="003C413F">
        <w:rPr>
          <w:rFonts w:ascii="Times New Roman" w:eastAsia="MS Gothic" w:hAnsi="Times New Roman" w:cs="Times New Roman"/>
          <w:bCs/>
          <w:sz w:val="24"/>
          <w:szCs w:val="24"/>
        </w:rPr>
        <w:t xml:space="preserve">; </w:t>
      </w:r>
      <w:r>
        <w:rPr>
          <w:rFonts w:ascii="Times New Roman" w:eastAsia="MS Gothic" w:hAnsi="Times New Roman" w:cs="Times New Roman"/>
          <w:bCs/>
          <w:sz w:val="24"/>
          <w:szCs w:val="24"/>
        </w:rPr>
        <w:t xml:space="preserve">Prof. </w:t>
      </w:r>
      <w:r w:rsidRPr="003C413F">
        <w:rPr>
          <w:rFonts w:ascii="Times New Roman" w:eastAsia="MS Gothic" w:hAnsi="Times New Roman" w:cs="Times New Roman"/>
          <w:bCs/>
          <w:sz w:val="24"/>
          <w:szCs w:val="24"/>
        </w:rPr>
        <w:t>Kaan Kavakli, MD</w:t>
      </w:r>
      <w:r w:rsidR="00D31562">
        <w:rPr>
          <w:rFonts w:ascii="Times New Roman" w:eastAsia="MS Gothic" w:hAnsi="Times New Roman" w:cs="Times New Roman"/>
          <w:bCs/>
          <w:sz w:val="24"/>
          <w:szCs w:val="24"/>
          <w:vertAlign w:val="superscript"/>
        </w:rPr>
        <w:t>5</w:t>
      </w:r>
      <w:r w:rsidRPr="003C413F">
        <w:rPr>
          <w:rFonts w:ascii="Times New Roman" w:eastAsia="MS Gothic" w:hAnsi="Times New Roman" w:cs="Times New Roman"/>
          <w:bCs/>
          <w:sz w:val="24"/>
          <w:szCs w:val="24"/>
        </w:rPr>
        <w:t>; Robert Klamroth, MD</w:t>
      </w:r>
      <w:r w:rsidR="00D31562">
        <w:rPr>
          <w:rFonts w:ascii="Times New Roman" w:eastAsia="MS Gothic" w:hAnsi="Times New Roman" w:cs="Times New Roman"/>
          <w:bCs/>
          <w:sz w:val="24"/>
          <w:szCs w:val="24"/>
          <w:vertAlign w:val="superscript"/>
        </w:rPr>
        <w:t>6</w:t>
      </w:r>
      <w:r w:rsidRPr="003C413F">
        <w:rPr>
          <w:rFonts w:ascii="Times New Roman" w:eastAsia="MS Gothic" w:hAnsi="Times New Roman" w:cs="Times New Roman"/>
          <w:bCs/>
          <w:sz w:val="24"/>
          <w:szCs w:val="24"/>
        </w:rPr>
        <w:t xml:space="preserve">; </w:t>
      </w:r>
      <w:r w:rsidRPr="00900770">
        <w:rPr>
          <w:rFonts w:ascii="Times New Roman" w:eastAsia="MS Gothic" w:hAnsi="Times New Roman" w:cs="Times New Roman"/>
          <w:bCs/>
          <w:sz w:val="24"/>
          <w:szCs w:val="24"/>
        </w:rPr>
        <w:t>Prof. Gili Kenet, MD</w:t>
      </w:r>
      <w:r w:rsidR="00D31562">
        <w:rPr>
          <w:rFonts w:ascii="Times New Roman" w:eastAsia="MS Gothic" w:hAnsi="Times New Roman" w:cs="Times New Roman"/>
          <w:bCs/>
          <w:sz w:val="24"/>
          <w:szCs w:val="24"/>
          <w:vertAlign w:val="superscript"/>
        </w:rPr>
        <w:t>7</w:t>
      </w:r>
      <w:r w:rsidRPr="0043334E">
        <w:rPr>
          <w:rFonts w:ascii="Times New Roman" w:eastAsia="MS Gothic" w:hAnsi="Times New Roman" w:cs="Times New Roman"/>
          <w:bCs/>
          <w:sz w:val="24"/>
          <w:szCs w:val="24"/>
        </w:rPr>
        <w:t>; Liane Khoo, MD</w:t>
      </w:r>
      <w:r w:rsidRPr="003C413F">
        <w:rPr>
          <w:rFonts w:ascii="Times New Roman" w:eastAsia="MS Gothic" w:hAnsi="Times New Roman" w:cs="Times New Roman"/>
          <w:bCs/>
          <w:sz w:val="24"/>
          <w:szCs w:val="24"/>
        </w:rPr>
        <w:t>, PhD</w:t>
      </w:r>
      <w:r w:rsidR="00D31562">
        <w:rPr>
          <w:rFonts w:ascii="Times New Roman" w:eastAsia="MS Gothic" w:hAnsi="Times New Roman" w:cs="Times New Roman"/>
          <w:bCs/>
          <w:sz w:val="24"/>
          <w:szCs w:val="24"/>
          <w:vertAlign w:val="superscript"/>
        </w:rPr>
        <w:t>8</w:t>
      </w:r>
      <w:r w:rsidRPr="003C413F">
        <w:rPr>
          <w:rFonts w:ascii="Times New Roman" w:eastAsia="MS Gothic" w:hAnsi="Times New Roman" w:cs="Times New Roman"/>
          <w:bCs/>
          <w:sz w:val="24"/>
          <w:szCs w:val="24"/>
        </w:rPr>
        <w:t xml:space="preserve">; </w:t>
      </w:r>
      <w:r>
        <w:rPr>
          <w:rFonts w:ascii="Times New Roman" w:eastAsia="MS Gothic" w:hAnsi="Times New Roman" w:cs="Times New Roman"/>
          <w:bCs/>
          <w:sz w:val="24"/>
          <w:szCs w:val="24"/>
        </w:rPr>
        <w:t xml:space="preserve">Prof. </w:t>
      </w:r>
      <w:r w:rsidRPr="003C413F">
        <w:rPr>
          <w:rFonts w:ascii="Times New Roman" w:eastAsia="MS Gothic" w:hAnsi="Times New Roman" w:cs="Times New Roman"/>
          <w:bCs/>
          <w:sz w:val="24"/>
          <w:szCs w:val="24"/>
        </w:rPr>
        <w:t>Chur-Woo You, MD</w:t>
      </w:r>
      <w:r w:rsidR="00D31562">
        <w:rPr>
          <w:rFonts w:ascii="Times New Roman" w:eastAsia="MS Gothic" w:hAnsi="Times New Roman" w:cs="Times New Roman"/>
          <w:bCs/>
          <w:sz w:val="24"/>
          <w:szCs w:val="24"/>
          <w:vertAlign w:val="superscript"/>
        </w:rPr>
        <w:t>9</w:t>
      </w:r>
      <w:r w:rsidRPr="003C413F">
        <w:rPr>
          <w:rFonts w:ascii="Times New Roman" w:eastAsia="MS Gothic" w:hAnsi="Times New Roman" w:cs="Times New Roman"/>
          <w:bCs/>
          <w:sz w:val="24"/>
          <w:szCs w:val="24"/>
        </w:rPr>
        <w:t xml:space="preserve">; </w:t>
      </w:r>
      <w:proofErr w:type="spellStart"/>
      <w:r w:rsidRPr="003C413F">
        <w:rPr>
          <w:rFonts w:ascii="Times New Roman" w:eastAsia="MS Gothic" w:hAnsi="Times New Roman" w:cs="Times New Roman"/>
          <w:bCs/>
          <w:sz w:val="24"/>
          <w:szCs w:val="24"/>
        </w:rPr>
        <w:t>Weiqun</w:t>
      </w:r>
      <w:proofErr w:type="spellEnd"/>
      <w:r w:rsidRPr="003C413F">
        <w:rPr>
          <w:rFonts w:ascii="Times New Roman" w:eastAsia="MS Gothic" w:hAnsi="Times New Roman" w:cs="Times New Roman"/>
          <w:bCs/>
          <w:sz w:val="24"/>
          <w:szCs w:val="24"/>
        </w:rPr>
        <w:t xml:space="preserve"> Xu, MD, PhD</w:t>
      </w:r>
      <w:r w:rsidR="00D31562">
        <w:rPr>
          <w:rFonts w:ascii="Times New Roman" w:eastAsia="MS Gothic" w:hAnsi="Times New Roman" w:cs="Times New Roman"/>
          <w:bCs/>
          <w:sz w:val="24"/>
          <w:szCs w:val="24"/>
          <w:vertAlign w:val="superscript"/>
        </w:rPr>
        <w:t>10</w:t>
      </w:r>
      <w:r w:rsidRPr="003C413F">
        <w:rPr>
          <w:rFonts w:ascii="Times New Roman" w:eastAsia="MS Gothic" w:hAnsi="Times New Roman" w:cs="Times New Roman"/>
          <w:bCs/>
          <w:sz w:val="24"/>
          <w:szCs w:val="24"/>
        </w:rPr>
        <w:t xml:space="preserve">; </w:t>
      </w:r>
      <w:proofErr w:type="spellStart"/>
      <w:r w:rsidRPr="003C413F">
        <w:rPr>
          <w:rFonts w:ascii="Times New Roman" w:eastAsia="MS Gothic" w:hAnsi="Times New Roman" w:cs="Times New Roman"/>
          <w:bCs/>
          <w:sz w:val="24"/>
          <w:szCs w:val="24"/>
        </w:rPr>
        <w:t>Niel</w:t>
      </w:r>
      <w:proofErr w:type="spellEnd"/>
      <w:r w:rsidRPr="003C413F">
        <w:rPr>
          <w:rFonts w:ascii="Times New Roman" w:eastAsia="MS Gothic" w:hAnsi="Times New Roman" w:cs="Times New Roman"/>
          <w:bCs/>
          <w:sz w:val="24"/>
          <w:szCs w:val="24"/>
        </w:rPr>
        <w:t xml:space="preserve"> Malan, MD</w:t>
      </w:r>
      <w:r w:rsidRPr="003C413F">
        <w:rPr>
          <w:rFonts w:ascii="Times New Roman" w:eastAsia="MS Gothic" w:hAnsi="Times New Roman" w:cs="Times New Roman"/>
          <w:bCs/>
          <w:sz w:val="24"/>
          <w:szCs w:val="24"/>
          <w:vertAlign w:val="superscript"/>
        </w:rPr>
        <w:t>1</w:t>
      </w:r>
      <w:r w:rsidR="00D31562">
        <w:rPr>
          <w:rFonts w:ascii="Times New Roman" w:eastAsia="MS Gothic" w:hAnsi="Times New Roman" w:cs="Times New Roman"/>
          <w:bCs/>
          <w:sz w:val="24"/>
          <w:szCs w:val="24"/>
          <w:vertAlign w:val="superscript"/>
        </w:rPr>
        <w:t>1</w:t>
      </w:r>
      <w:r w:rsidRPr="003C413F">
        <w:rPr>
          <w:rFonts w:ascii="Times New Roman" w:eastAsia="MS Gothic" w:hAnsi="Times New Roman" w:cs="Times New Roman"/>
          <w:bCs/>
          <w:sz w:val="24"/>
          <w:szCs w:val="24"/>
        </w:rPr>
        <w:t>; Laurent Frenzel, MD, PhD</w:t>
      </w:r>
      <w:r w:rsidRPr="003C413F">
        <w:rPr>
          <w:rFonts w:ascii="Times New Roman" w:eastAsia="MS Gothic" w:hAnsi="Times New Roman" w:cs="Times New Roman"/>
          <w:bCs/>
          <w:sz w:val="24"/>
          <w:szCs w:val="24"/>
          <w:vertAlign w:val="superscript"/>
        </w:rPr>
        <w:t>1</w:t>
      </w:r>
      <w:r w:rsidR="00D31562">
        <w:rPr>
          <w:rFonts w:ascii="Times New Roman" w:eastAsia="MS Gothic" w:hAnsi="Times New Roman" w:cs="Times New Roman"/>
          <w:bCs/>
          <w:sz w:val="24"/>
          <w:szCs w:val="24"/>
          <w:vertAlign w:val="superscript"/>
        </w:rPr>
        <w:t>2</w:t>
      </w:r>
      <w:r w:rsidRPr="003C413F">
        <w:rPr>
          <w:rFonts w:ascii="Times New Roman" w:eastAsia="MS Gothic" w:hAnsi="Times New Roman" w:cs="Times New Roman"/>
          <w:bCs/>
          <w:sz w:val="24"/>
          <w:szCs w:val="24"/>
        </w:rPr>
        <w:t>; Catherine N. Bagot, MD</w:t>
      </w:r>
      <w:r w:rsidRPr="003C413F">
        <w:rPr>
          <w:rFonts w:ascii="Times New Roman" w:eastAsia="MS Gothic" w:hAnsi="Times New Roman" w:cs="Times New Roman"/>
          <w:bCs/>
          <w:sz w:val="24"/>
          <w:szCs w:val="24"/>
          <w:vertAlign w:val="superscript"/>
        </w:rPr>
        <w:t>1</w:t>
      </w:r>
      <w:r w:rsidR="00D31562">
        <w:rPr>
          <w:rFonts w:ascii="Times New Roman" w:eastAsia="MS Gothic" w:hAnsi="Times New Roman" w:cs="Times New Roman"/>
          <w:bCs/>
          <w:sz w:val="24"/>
          <w:szCs w:val="24"/>
          <w:vertAlign w:val="superscript"/>
        </w:rPr>
        <w:t>3</w:t>
      </w:r>
      <w:r w:rsidRPr="003C413F">
        <w:rPr>
          <w:rFonts w:ascii="Times New Roman" w:eastAsia="MS Gothic" w:hAnsi="Times New Roman" w:cs="Times New Roman"/>
          <w:bCs/>
          <w:sz w:val="24"/>
          <w:szCs w:val="24"/>
        </w:rPr>
        <w:t xml:space="preserve">; </w:t>
      </w:r>
      <w:proofErr w:type="spellStart"/>
      <w:r w:rsidRPr="003C413F">
        <w:rPr>
          <w:rFonts w:ascii="Times New Roman" w:eastAsia="MS Gothic" w:hAnsi="Times New Roman" w:cs="Times New Roman"/>
          <w:bCs/>
          <w:sz w:val="24"/>
          <w:szCs w:val="24"/>
        </w:rPr>
        <w:t>Oleksandra</w:t>
      </w:r>
      <w:proofErr w:type="spellEnd"/>
      <w:r w:rsidRPr="003C413F">
        <w:rPr>
          <w:rFonts w:ascii="Times New Roman" w:eastAsia="MS Gothic" w:hAnsi="Times New Roman" w:cs="Times New Roman"/>
          <w:bCs/>
          <w:sz w:val="24"/>
          <w:szCs w:val="24"/>
        </w:rPr>
        <w:t xml:space="preserve"> </w:t>
      </w:r>
      <w:proofErr w:type="spellStart"/>
      <w:r w:rsidRPr="003C413F">
        <w:rPr>
          <w:rFonts w:ascii="Times New Roman" w:eastAsia="MS Gothic" w:hAnsi="Times New Roman" w:cs="Times New Roman"/>
          <w:bCs/>
          <w:sz w:val="24"/>
          <w:szCs w:val="24"/>
        </w:rPr>
        <w:t>Stasyshyn</w:t>
      </w:r>
      <w:proofErr w:type="spellEnd"/>
      <w:r w:rsidRPr="003C413F">
        <w:rPr>
          <w:rFonts w:ascii="Times New Roman" w:eastAsia="MS Gothic" w:hAnsi="Times New Roman" w:cs="Times New Roman"/>
          <w:bCs/>
          <w:sz w:val="24"/>
          <w:szCs w:val="24"/>
        </w:rPr>
        <w:t>, MD, PhD</w:t>
      </w:r>
      <w:r w:rsidRPr="003C413F">
        <w:rPr>
          <w:rFonts w:ascii="Times New Roman" w:eastAsia="MS Gothic" w:hAnsi="Times New Roman" w:cs="Times New Roman"/>
          <w:bCs/>
          <w:sz w:val="24"/>
          <w:szCs w:val="24"/>
          <w:vertAlign w:val="superscript"/>
        </w:rPr>
        <w:t>1</w:t>
      </w:r>
      <w:r w:rsidR="00D31562">
        <w:rPr>
          <w:rFonts w:ascii="Times New Roman" w:eastAsia="MS Gothic" w:hAnsi="Times New Roman" w:cs="Times New Roman"/>
          <w:bCs/>
          <w:sz w:val="24"/>
          <w:szCs w:val="24"/>
          <w:vertAlign w:val="superscript"/>
        </w:rPr>
        <w:t>4</w:t>
      </w:r>
      <w:r w:rsidRPr="003C413F">
        <w:rPr>
          <w:rFonts w:ascii="Times New Roman" w:eastAsia="MS Gothic" w:hAnsi="Times New Roman" w:cs="Times New Roman"/>
          <w:bCs/>
          <w:sz w:val="24"/>
          <w:szCs w:val="24"/>
        </w:rPr>
        <w:t>;</w:t>
      </w:r>
      <w:r w:rsidRPr="003C413F">
        <w:rPr>
          <w:rFonts w:ascii="Times New Roman" w:eastAsia="MS Gothic" w:hAnsi="Times New Roman" w:cs="Times New Roman"/>
          <w:b/>
          <w:sz w:val="24"/>
          <w:szCs w:val="24"/>
        </w:rPr>
        <w:t xml:space="preserve"> </w:t>
      </w:r>
      <w:r w:rsidRPr="003C413F">
        <w:rPr>
          <w:rFonts w:ascii="Times New Roman" w:eastAsia="MS Gothic" w:hAnsi="Times New Roman" w:cs="Times New Roman"/>
          <w:bCs/>
          <w:sz w:val="24"/>
          <w:szCs w:val="24"/>
        </w:rPr>
        <w:t>Chia-Yau Chang, MD</w:t>
      </w:r>
      <w:r w:rsidRPr="003C413F">
        <w:rPr>
          <w:rFonts w:ascii="Times New Roman" w:eastAsia="MS Gothic" w:hAnsi="Times New Roman" w:cs="Times New Roman"/>
          <w:bCs/>
          <w:sz w:val="24"/>
          <w:szCs w:val="24"/>
          <w:vertAlign w:val="superscript"/>
        </w:rPr>
        <w:t>1</w:t>
      </w:r>
      <w:r w:rsidR="00D31562">
        <w:rPr>
          <w:rFonts w:ascii="Times New Roman" w:eastAsia="MS Gothic" w:hAnsi="Times New Roman" w:cs="Times New Roman"/>
          <w:bCs/>
          <w:sz w:val="24"/>
          <w:szCs w:val="24"/>
          <w:vertAlign w:val="superscript"/>
        </w:rPr>
        <w:t>5</w:t>
      </w:r>
      <w:r w:rsidRPr="003C413F">
        <w:rPr>
          <w:rFonts w:ascii="Times New Roman" w:eastAsia="MS Gothic" w:hAnsi="Times New Roman" w:cs="Times New Roman"/>
          <w:bCs/>
          <w:sz w:val="24"/>
          <w:szCs w:val="24"/>
        </w:rPr>
        <w:t>; Stacey Poloskey, MD</w:t>
      </w:r>
      <w:r w:rsidRPr="003C413F">
        <w:rPr>
          <w:rFonts w:ascii="Times New Roman" w:eastAsia="MS Gothic" w:hAnsi="Times New Roman" w:cs="Times New Roman"/>
          <w:bCs/>
          <w:sz w:val="24"/>
          <w:szCs w:val="24"/>
          <w:vertAlign w:val="superscript"/>
        </w:rPr>
        <w:t>1</w:t>
      </w:r>
      <w:r w:rsidR="00D31562">
        <w:rPr>
          <w:rFonts w:ascii="Times New Roman" w:eastAsia="MS Gothic" w:hAnsi="Times New Roman" w:cs="Times New Roman"/>
          <w:bCs/>
          <w:sz w:val="24"/>
          <w:szCs w:val="24"/>
          <w:vertAlign w:val="superscript"/>
        </w:rPr>
        <w:t>6</w:t>
      </w:r>
      <w:r w:rsidRPr="003C413F">
        <w:rPr>
          <w:rFonts w:ascii="Times New Roman" w:eastAsia="MS Gothic" w:hAnsi="Times New Roman" w:cs="Times New Roman"/>
          <w:bCs/>
          <w:sz w:val="24"/>
          <w:szCs w:val="24"/>
        </w:rPr>
        <w:t>; Zhiying Qiu, PhD</w:t>
      </w:r>
      <w:r w:rsidRPr="003C413F">
        <w:rPr>
          <w:rFonts w:ascii="Times New Roman" w:eastAsia="MS Gothic" w:hAnsi="Times New Roman" w:cs="Times New Roman"/>
          <w:bCs/>
          <w:sz w:val="24"/>
          <w:szCs w:val="24"/>
          <w:vertAlign w:val="superscript"/>
        </w:rPr>
        <w:t>1</w:t>
      </w:r>
      <w:r w:rsidR="00D31562">
        <w:rPr>
          <w:rFonts w:ascii="Times New Roman" w:eastAsia="MS Gothic" w:hAnsi="Times New Roman" w:cs="Times New Roman"/>
          <w:bCs/>
          <w:sz w:val="24"/>
          <w:szCs w:val="24"/>
          <w:vertAlign w:val="superscript"/>
        </w:rPr>
        <w:t>7</w:t>
      </w:r>
      <w:r w:rsidRPr="003C413F">
        <w:rPr>
          <w:rFonts w:ascii="Times New Roman" w:eastAsia="MS Gothic" w:hAnsi="Times New Roman" w:cs="Times New Roman"/>
          <w:bCs/>
          <w:sz w:val="24"/>
          <w:szCs w:val="24"/>
        </w:rPr>
        <w:t>; Shauna Andersson, MD, PhD</w:t>
      </w:r>
      <w:r w:rsidRPr="003C413F">
        <w:rPr>
          <w:rFonts w:ascii="Times New Roman" w:eastAsia="MS Gothic" w:hAnsi="Times New Roman" w:cs="Times New Roman"/>
          <w:bCs/>
          <w:sz w:val="24"/>
          <w:szCs w:val="24"/>
          <w:vertAlign w:val="superscript"/>
        </w:rPr>
        <w:t>1</w:t>
      </w:r>
      <w:r w:rsidR="00D31562">
        <w:rPr>
          <w:rFonts w:ascii="Times New Roman" w:eastAsia="MS Gothic" w:hAnsi="Times New Roman" w:cs="Times New Roman"/>
          <w:bCs/>
          <w:sz w:val="24"/>
          <w:szCs w:val="24"/>
          <w:vertAlign w:val="superscript"/>
        </w:rPr>
        <w:t>6</w:t>
      </w:r>
      <w:r w:rsidRPr="003C413F">
        <w:rPr>
          <w:rFonts w:ascii="Times New Roman" w:eastAsia="MS Gothic" w:hAnsi="Times New Roman" w:cs="Times New Roman"/>
          <w:bCs/>
          <w:sz w:val="24"/>
          <w:szCs w:val="24"/>
        </w:rPr>
        <w:t>; Baisong Mei, MD, PhD</w:t>
      </w:r>
      <w:r w:rsidRPr="003C413F">
        <w:rPr>
          <w:rFonts w:ascii="Times New Roman" w:eastAsia="MS Gothic" w:hAnsi="Times New Roman" w:cs="Times New Roman"/>
          <w:bCs/>
          <w:sz w:val="24"/>
          <w:szCs w:val="24"/>
          <w:vertAlign w:val="superscript"/>
        </w:rPr>
        <w:t>1</w:t>
      </w:r>
      <w:r w:rsidR="00D31562">
        <w:rPr>
          <w:rFonts w:ascii="Times New Roman" w:eastAsia="MS Gothic" w:hAnsi="Times New Roman" w:cs="Times New Roman"/>
          <w:bCs/>
          <w:sz w:val="24"/>
          <w:szCs w:val="24"/>
          <w:vertAlign w:val="superscript"/>
        </w:rPr>
        <w:t>6</w:t>
      </w:r>
      <w:r w:rsidRPr="003C413F">
        <w:rPr>
          <w:rFonts w:ascii="Times New Roman" w:eastAsia="MS Gothic" w:hAnsi="Times New Roman" w:cs="Times New Roman"/>
          <w:bCs/>
          <w:sz w:val="24"/>
          <w:szCs w:val="24"/>
        </w:rPr>
        <w:t xml:space="preserve">; </w:t>
      </w:r>
      <w:r>
        <w:rPr>
          <w:rFonts w:ascii="Times New Roman" w:eastAsia="MS Gothic" w:hAnsi="Times New Roman" w:cs="Times New Roman"/>
          <w:bCs/>
          <w:sz w:val="24"/>
          <w:szCs w:val="24"/>
        </w:rPr>
        <w:t xml:space="preserve">Prof. </w:t>
      </w:r>
      <w:r w:rsidRPr="003C413F">
        <w:rPr>
          <w:rFonts w:ascii="Times New Roman" w:eastAsia="MS Gothic" w:hAnsi="Times New Roman" w:cs="Times New Roman"/>
          <w:bCs/>
          <w:sz w:val="24"/>
          <w:szCs w:val="24"/>
        </w:rPr>
        <w:t>Steven W. Pipe, MD</w:t>
      </w:r>
      <w:r w:rsidRPr="003C413F">
        <w:rPr>
          <w:rFonts w:ascii="Times New Roman" w:eastAsia="MS Gothic" w:hAnsi="Times New Roman" w:cs="Times New Roman"/>
          <w:bCs/>
          <w:sz w:val="24"/>
          <w:szCs w:val="24"/>
          <w:vertAlign w:val="superscript"/>
        </w:rPr>
        <w:t>1</w:t>
      </w:r>
      <w:r w:rsidR="00D31562">
        <w:rPr>
          <w:rFonts w:ascii="Times New Roman" w:eastAsia="MS Gothic" w:hAnsi="Times New Roman" w:cs="Times New Roman"/>
          <w:bCs/>
          <w:sz w:val="24"/>
          <w:szCs w:val="24"/>
          <w:vertAlign w:val="superscript"/>
        </w:rPr>
        <w:t>8</w:t>
      </w:r>
    </w:p>
    <w:p w14:paraId="7CCC6060" w14:textId="2C87CDCB" w:rsidR="00DD7F18" w:rsidRPr="003C413F" w:rsidRDefault="00DD7F18" w:rsidP="008B3DDE">
      <w:pPr>
        <w:spacing w:line="360" w:lineRule="auto"/>
        <w:rPr>
          <w:rFonts w:ascii="Times New Roman" w:eastAsia="MS Gothic" w:hAnsi="Times New Roman" w:cs="Times New Roman"/>
          <w:bCs/>
          <w:i/>
          <w:iCs/>
          <w:sz w:val="24"/>
          <w:szCs w:val="24"/>
        </w:rPr>
      </w:pPr>
      <w:bookmarkStart w:id="4" w:name="_Hlk121472650"/>
      <w:r w:rsidRPr="003C413F">
        <w:rPr>
          <w:rFonts w:ascii="Times New Roman" w:eastAsia="MS Gothic" w:hAnsi="Times New Roman" w:cs="Times New Roman"/>
          <w:bCs/>
          <w:i/>
          <w:iCs/>
          <w:sz w:val="24"/>
          <w:szCs w:val="24"/>
          <w:vertAlign w:val="superscript"/>
        </w:rPr>
        <w:t>1</w:t>
      </w:r>
      <w:r w:rsidR="00D31562" w:rsidRPr="00D31562">
        <w:rPr>
          <w:rFonts w:ascii="Times New Roman" w:eastAsia="MS Gothic" w:hAnsi="Times New Roman" w:cs="Times New Roman"/>
          <w:bCs/>
          <w:i/>
          <w:iCs/>
          <w:sz w:val="24"/>
          <w:szCs w:val="24"/>
        </w:rPr>
        <w:t xml:space="preserve">Department of Haematology, Christian Medical College, Vellore, India; </w:t>
      </w:r>
      <w:r w:rsidR="00D31562" w:rsidRPr="00D31562">
        <w:rPr>
          <w:rFonts w:ascii="Times New Roman" w:eastAsia="MS Gothic" w:hAnsi="Times New Roman" w:cs="Times New Roman"/>
          <w:bCs/>
          <w:i/>
          <w:iCs/>
          <w:sz w:val="24"/>
          <w:szCs w:val="24"/>
          <w:vertAlign w:val="superscript"/>
        </w:rPr>
        <w:t>2</w:t>
      </w:r>
      <w:r w:rsidR="00D31562" w:rsidRPr="00D31562">
        <w:rPr>
          <w:rFonts w:ascii="Times New Roman" w:eastAsia="MS Gothic" w:hAnsi="Times New Roman" w:cs="Times New Roman"/>
          <w:bCs/>
          <w:i/>
          <w:iCs/>
          <w:sz w:val="24"/>
          <w:szCs w:val="24"/>
        </w:rPr>
        <w:t xml:space="preserve">Centre for Stem Cell Research (a unit of </w:t>
      </w:r>
      <w:proofErr w:type="spellStart"/>
      <w:r w:rsidR="00D31562" w:rsidRPr="00D31562">
        <w:rPr>
          <w:rFonts w:ascii="Times New Roman" w:eastAsia="MS Gothic" w:hAnsi="Times New Roman" w:cs="Times New Roman"/>
          <w:bCs/>
          <w:i/>
          <w:iCs/>
          <w:sz w:val="24"/>
          <w:szCs w:val="24"/>
        </w:rPr>
        <w:t>inStem</w:t>
      </w:r>
      <w:proofErr w:type="spellEnd"/>
      <w:r w:rsidR="00D31562" w:rsidRPr="00D31562">
        <w:rPr>
          <w:rFonts w:ascii="Times New Roman" w:eastAsia="MS Gothic" w:hAnsi="Times New Roman" w:cs="Times New Roman"/>
          <w:bCs/>
          <w:i/>
          <w:iCs/>
          <w:sz w:val="24"/>
          <w:szCs w:val="24"/>
        </w:rPr>
        <w:t>, Bengaluru), CMC Campus, Vellore, India</w:t>
      </w:r>
      <w:r w:rsidR="004F6D7D">
        <w:rPr>
          <w:rFonts w:ascii="Times New Roman" w:eastAsia="MS Gothic" w:hAnsi="Times New Roman" w:cs="Times New Roman"/>
          <w:bCs/>
          <w:i/>
          <w:iCs/>
          <w:sz w:val="24"/>
          <w:szCs w:val="24"/>
        </w:rPr>
        <w:t>;</w:t>
      </w:r>
      <w:r w:rsidRPr="003C413F">
        <w:rPr>
          <w:rFonts w:ascii="Times New Roman" w:eastAsia="MS Gothic" w:hAnsi="Times New Roman" w:cs="Times New Roman"/>
          <w:bCs/>
          <w:i/>
          <w:iCs/>
          <w:sz w:val="24"/>
          <w:szCs w:val="24"/>
        </w:rPr>
        <w:t xml:space="preserve"> </w:t>
      </w:r>
      <w:bookmarkEnd w:id="4"/>
      <w:r w:rsidR="00D31562">
        <w:rPr>
          <w:rFonts w:ascii="Times New Roman" w:eastAsia="MS Gothic" w:hAnsi="Times New Roman" w:cs="Times New Roman"/>
          <w:bCs/>
          <w:i/>
          <w:iCs/>
          <w:sz w:val="24"/>
          <w:szCs w:val="24"/>
          <w:vertAlign w:val="superscript"/>
        </w:rPr>
        <w:t>3</w:t>
      </w:r>
      <w:r w:rsidRPr="003C413F">
        <w:rPr>
          <w:rFonts w:ascii="Times New Roman" w:eastAsia="MS Gothic" w:hAnsi="Times New Roman" w:cs="Times New Roman"/>
          <w:bCs/>
          <w:i/>
          <w:iCs/>
          <w:sz w:val="24"/>
          <w:szCs w:val="24"/>
        </w:rPr>
        <w:t xml:space="preserve">KJ Somaiya Super Specialty Hospital, Mumbai, India; </w:t>
      </w:r>
      <w:r w:rsidR="00D31562">
        <w:rPr>
          <w:rFonts w:ascii="Times New Roman" w:eastAsia="MS Gothic" w:hAnsi="Times New Roman" w:cs="Times New Roman"/>
          <w:bCs/>
          <w:i/>
          <w:iCs/>
          <w:sz w:val="24"/>
          <w:szCs w:val="24"/>
          <w:vertAlign w:val="superscript"/>
        </w:rPr>
        <w:t>4</w:t>
      </w:r>
      <w:r w:rsidRPr="003C413F">
        <w:rPr>
          <w:rFonts w:ascii="Times New Roman" w:eastAsia="MS Gothic" w:hAnsi="Times New Roman" w:cs="Times New Roman"/>
          <w:bCs/>
          <w:i/>
          <w:iCs/>
          <w:sz w:val="24"/>
          <w:szCs w:val="24"/>
        </w:rPr>
        <w:t xml:space="preserve">Faculty of Medicine, University of Southampton, Southampton, UK; </w:t>
      </w:r>
      <w:r w:rsidR="00D31562">
        <w:rPr>
          <w:rFonts w:ascii="Times New Roman" w:eastAsia="MS Gothic" w:hAnsi="Times New Roman" w:cs="Times New Roman"/>
          <w:bCs/>
          <w:i/>
          <w:iCs/>
          <w:sz w:val="24"/>
          <w:szCs w:val="24"/>
          <w:vertAlign w:val="superscript"/>
        </w:rPr>
        <w:t>5</w:t>
      </w:r>
      <w:r w:rsidRPr="003C413F">
        <w:rPr>
          <w:rFonts w:ascii="Times New Roman" w:eastAsia="MS Gothic" w:hAnsi="Times New Roman" w:cs="Times New Roman"/>
          <w:bCs/>
          <w:i/>
          <w:iCs/>
          <w:sz w:val="24"/>
          <w:szCs w:val="24"/>
        </w:rPr>
        <w:t xml:space="preserve">Department of Haematology, </w:t>
      </w:r>
      <w:proofErr w:type="spellStart"/>
      <w:r w:rsidRPr="003C413F">
        <w:rPr>
          <w:rFonts w:ascii="Times New Roman" w:eastAsia="MS Gothic" w:hAnsi="Times New Roman" w:cs="Times New Roman"/>
          <w:bCs/>
          <w:i/>
          <w:iCs/>
          <w:sz w:val="24"/>
          <w:szCs w:val="24"/>
        </w:rPr>
        <w:t>Ege</w:t>
      </w:r>
      <w:proofErr w:type="spellEnd"/>
      <w:r w:rsidRPr="003C413F">
        <w:rPr>
          <w:rFonts w:ascii="Times New Roman" w:eastAsia="MS Gothic" w:hAnsi="Times New Roman" w:cs="Times New Roman"/>
          <w:bCs/>
          <w:i/>
          <w:iCs/>
          <w:sz w:val="24"/>
          <w:szCs w:val="24"/>
        </w:rPr>
        <w:t xml:space="preserve"> University Faculty of Medicine, Children's Hospital, Izmir, Turkey; </w:t>
      </w:r>
      <w:r w:rsidR="00D31562">
        <w:rPr>
          <w:rFonts w:ascii="Times New Roman" w:eastAsia="MS Gothic" w:hAnsi="Times New Roman" w:cs="Times New Roman"/>
          <w:bCs/>
          <w:i/>
          <w:iCs/>
          <w:sz w:val="24"/>
          <w:szCs w:val="24"/>
          <w:vertAlign w:val="superscript"/>
        </w:rPr>
        <w:t>6</w:t>
      </w:r>
      <w:r w:rsidRPr="003C413F">
        <w:rPr>
          <w:rFonts w:ascii="Times New Roman" w:eastAsia="MS Gothic" w:hAnsi="Times New Roman" w:cs="Times New Roman"/>
          <w:bCs/>
          <w:i/>
          <w:iCs/>
          <w:sz w:val="24"/>
          <w:szCs w:val="24"/>
        </w:rPr>
        <w:t xml:space="preserve">Department for Internal Medicine and Vascular Medicine, Haemophilia Treatment Centre, </w:t>
      </w:r>
      <w:proofErr w:type="spellStart"/>
      <w:r w:rsidRPr="003C413F">
        <w:rPr>
          <w:rFonts w:ascii="Times New Roman" w:eastAsia="MS Gothic" w:hAnsi="Times New Roman" w:cs="Times New Roman"/>
          <w:bCs/>
          <w:i/>
          <w:iCs/>
          <w:sz w:val="24"/>
          <w:szCs w:val="24"/>
        </w:rPr>
        <w:t>Vivantes</w:t>
      </w:r>
      <w:proofErr w:type="spellEnd"/>
      <w:r w:rsidRPr="003C413F">
        <w:rPr>
          <w:rFonts w:ascii="Times New Roman" w:eastAsia="MS Gothic" w:hAnsi="Times New Roman" w:cs="Times New Roman"/>
          <w:bCs/>
          <w:i/>
          <w:iCs/>
          <w:sz w:val="24"/>
          <w:szCs w:val="24"/>
        </w:rPr>
        <w:t xml:space="preserve"> Hospital </w:t>
      </w:r>
      <w:proofErr w:type="spellStart"/>
      <w:r w:rsidRPr="003C413F">
        <w:rPr>
          <w:rFonts w:ascii="Times New Roman" w:eastAsia="MS Gothic" w:hAnsi="Times New Roman" w:cs="Times New Roman"/>
          <w:bCs/>
          <w:i/>
          <w:iCs/>
          <w:sz w:val="24"/>
          <w:szCs w:val="24"/>
        </w:rPr>
        <w:t>im</w:t>
      </w:r>
      <w:proofErr w:type="spellEnd"/>
      <w:r w:rsidRPr="003C413F">
        <w:rPr>
          <w:rFonts w:ascii="Times New Roman" w:eastAsia="MS Gothic" w:hAnsi="Times New Roman" w:cs="Times New Roman"/>
          <w:bCs/>
          <w:i/>
          <w:iCs/>
          <w:sz w:val="24"/>
          <w:szCs w:val="24"/>
        </w:rPr>
        <w:t xml:space="preserve"> </w:t>
      </w:r>
      <w:proofErr w:type="spellStart"/>
      <w:r w:rsidRPr="003C413F">
        <w:rPr>
          <w:rFonts w:ascii="Times New Roman" w:eastAsia="MS Gothic" w:hAnsi="Times New Roman" w:cs="Times New Roman"/>
          <w:bCs/>
          <w:i/>
          <w:iCs/>
          <w:sz w:val="24"/>
          <w:szCs w:val="24"/>
        </w:rPr>
        <w:t>Friedrichshain</w:t>
      </w:r>
      <w:proofErr w:type="spellEnd"/>
      <w:r w:rsidRPr="003C413F">
        <w:rPr>
          <w:rFonts w:ascii="Times New Roman" w:eastAsia="MS Gothic" w:hAnsi="Times New Roman" w:cs="Times New Roman"/>
          <w:bCs/>
          <w:i/>
          <w:iCs/>
          <w:sz w:val="24"/>
          <w:szCs w:val="24"/>
        </w:rPr>
        <w:t xml:space="preserve">, Berlin, Germany; </w:t>
      </w:r>
      <w:r w:rsidR="00D31562">
        <w:rPr>
          <w:rFonts w:ascii="Times New Roman" w:eastAsia="MS Gothic" w:hAnsi="Times New Roman" w:cs="Times New Roman"/>
          <w:bCs/>
          <w:i/>
          <w:iCs/>
          <w:sz w:val="28"/>
          <w:szCs w:val="28"/>
          <w:vertAlign w:val="superscript"/>
        </w:rPr>
        <w:t>7</w:t>
      </w:r>
      <w:r w:rsidRPr="00D31562">
        <w:rPr>
          <w:rFonts w:ascii="Times New Roman" w:eastAsia="MS Gothic" w:hAnsi="Times New Roman" w:cs="Times New Roman"/>
          <w:bCs/>
          <w:i/>
          <w:iCs/>
          <w:sz w:val="28"/>
          <w:szCs w:val="28"/>
        </w:rPr>
        <w:t>The</w:t>
      </w:r>
      <w:r w:rsidRPr="003C413F">
        <w:rPr>
          <w:rFonts w:ascii="Times New Roman" w:eastAsia="MS Gothic" w:hAnsi="Times New Roman" w:cs="Times New Roman"/>
          <w:bCs/>
          <w:i/>
          <w:iCs/>
          <w:sz w:val="24"/>
          <w:szCs w:val="24"/>
        </w:rPr>
        <w:t xml:space="preserve"> National Haemophilia Centre, The Amalia Biron Thrombosis Research Institute, Sheba Medical Centre, Tel </w:t>
      </w:r>
      <w:proofErr w:type="spellStart"/>
      <w:r w:rsidRPr="003C413F">
        <w:rPr>
          <w:rFonts w:ascii="Times New Roman" w:eastAsia="MS Gothic" w:hAnsi="Times New Roman" w:cs="Times New Roman"/>
          <w:bCs/>
          <w:i/>
          <w:iCs/>
          <w:sz w:val="24"/>
          <w:szCs w:val="24"/>
        </w:rPr>
        <w:t>Hashomer</w:t>
      </w:r>
      <w:proofErr w:type="spellEnd"/>
      <w:r w:rsidRPr="003C413F">
        <w:rPr>
          <w:rFonts w:ascii="Times New Roman" w:eastAsia="MS Gothic" w:hAnsi="Times New Roman" w:cs="Times New Roman"/>
          <w:bCs/>
          <w:i/>
          <w:iCs/>
          <w:sz w:val="24"/>
          <w:szCs w:val="24"/>
        </w:rPr>
        <w:t xml:space="preserve">, Tel Aviv University, Tel Aviv, Israel; </w:t>
      </w:r>
      <w:r w:rsidR="00D31562">
        <w:rPr>
          <w:rFonts w:ascii="Times New Roman" w:eastAsia="MS Gothic" w:hAnsi="Times New Roman" w:cs="Times New Roman"/>
          <w:bCs/>
          <w:i/>
          <w:iCs/>
          <w:sz w:val="24"/>
          <w:szCs w:val="24"/>
          <w:vertAlign w:val="superscript"/>
        </w:rPr>
        <w:t>8</w:t>
      </w:r>
      <w:r w:rsidRPr="003C413F">
        <w:rPr>
          <w:rFonts w:ascii="Times New Roman" w:eastAsia="MS Gothic" w:hAnsi="Times New Roman" w:cs="Times New Roman"/>
          <w:bCs/>
          <w:i/>
          <w:iCs/>
          <w:sz w:val="24"/>
          <w:szCs w:val="24"/>
        </w:rPr>
        <w:t xml:space="preserve">Haematology Department, Royal Prince Alfred Hospital, Sydney, Australia; </w:t>
      </w:r>
      <w:r w:rsidR="00D31562">
        <w:rPr>
          <w:rFonts w:ascii="Times New Roman" w:eastAsia="MS Gothic" w:hAnsi="Times New Roman" w:cs="Times New Roman"/>
          <w:bCs/>
          <w:i/>
          <w:iCs/>
          <w:sz w:val="24"/>
          <w:szCs w:val="24"/>
          <w:vertAlign w:val="superscript"/>
        </w:rPr>
        <w:t>9</w:t>
      </w:r>
      <w:r w:rsidRPr="003C413F">
        <w:rPr>
          <w:rFonts w:ascii="Times New Roman" w:eastAsia="MS Gothic" w:hAnsi="Times New Roman" w:cs="Times New Roman"/>
          <w:bCs/>
          <w:i/>
          <w:iCs/>
          <w:sz w:val="24"/>
          <w:szCs w:val="24"/>
        </w:rPr>
        <w:t xml:space="preserve">Department of </w:t>
      </w:r>
      <w:proofErr w:type="spellStart"/>
      <w:r w:rsidRPr="003C413F">
        <w:rPr>
          <w:rFonts w:ascii="Times New Roman" w:eastAsia="MS Gothic" w:hAnsi="Times New Roman" w:cs="Times New Roman"/>
          <w:bCs/>
          <w:i/>
          <w:iCs/>
          <w:sz w:val="24"/>
          <w:szCs w:val="24"/>
        </w:rPr>
        <w:t>Pediatrics</w:t>
      </w:r>
      <w:proofErr w:type="spellEnd"/>
      <w:r w:rsidRPr="003C413F">
        <w:rPr>
          <w:rFonts w:ascii="Times New Roman" w:eastAsia="MS Gothic" w:hAnsi="Times New Roman" w:cs="Times New Roman"/>
          <w:bCs/>
          <w:i/>
          <w:iCs/>
          <w:sz w:val="24"/>
          <w:szCs w:val="24"/>
        </w:rPr>
        <w:t xml:space="preserve">, Daejeon </w:t>
      </w:r>
      <w:proofErr w:type="spellStart"/>
      <w:r w:rsidRPr="003C413F">
        <w:rPr>
          <w:rFonts w:ascii="Times New Roman" w:eastAsia="MS Gothic" w:hAnsi="Times New Roman" w:cs="Times New Roman"/>
          <w:bCs/>
          <w:i/>
          <w:iCs/>
          <w:sz w:val="24"/>
          <w:szCs w:val="24"/>
        </w:rPr>
        <w:t>Eulji</w:t>
      </w:r>
      <w:proofErr w:type="spellEnd"/>
      <w:r w:rsidRPr="003C413F">
        <w:rPr>
          <w:rFonts w:ascii="Times New Roman" w:eastAsia="MS Gothic" w:hAnsi="Times New Roman" w:cs="Times New Roman"/>
          <w:bCs/>
          <w:i/>
          <w:iCs/>
          <w:sz w:val="24"/>
          <w:szCs w:val="24"/>
        </w:rPr>
        <w:t xml:space="preserve"> Medical </w:t>
      </w:r>
      <w:proofErr w:type="spellStart"/>
      <w:r w:rsidRPr="003C413F">
        <w:rPr>
          <w:rFonts w:ascii="Times New Roman" w:eastAsia="MS Gothic" w:hAnsi="Times New Roman" w:cs="Times New Roman"/>
          <w:bCs/>
          <w:i/>
          <w:iCs/>
          <w:sz w:val="24"/>
          <w:szCs w:val="24"/>
        </w:rPr>
        <w:t>Center</w:t>
      </w:r>
      <w:proofErr w:type="spellEnd"/>
      <w:r w:rsidRPr="003C413F">
        <w:rPr>
          <w:rFonts w:ascii="Times New Roman" w:eastAsia="MS Gothic" w:hAnsi="Times New Roman" w:cs="Times New Roman"/>
          <w:bCs/>
          <w:i/>
          <w:iCs/>
          <w:sz w:val="24"/>
          <w:szCs w:val="24"/>
        </w:rPr>
        <w:t xml:space="preserve">, </w:t>
      </w:r>
      <w:proofErr w:type="spellStart"/>
      <w:r w:rsidRPr="003C413F">
        <w:rPr>
          <w:rFonts w:ascii="Times New Roman" w:eastAsia="MS Gothic" w:hAnsi="Times New Roman" w:cs="Times New Roman"/>
          <w:bCs/>
          <w:i/>
          <w:iCs/>
          <w:sz w:val="24"/>
          <w:szCs w:val="24"/>
        </w:rPr>
        <w:t>Eulji</w:t>
      </w:r>
      <w:proofErr w:type="spellEnd"/>
      <w:r w:rsidRPr="003C413F">
        <w:rPr>
          <w:rFonts w:ascii="Times New Roman" w:eastAsia="MS Gothic" w:hAnsi="Times New Roman" w:cs="Times New Roman"/>
          <w:bCs/>
          <w:i/>
          <w:iCs/>
          <w:sz w:val="24"/>
          <w:szCs w:val="24"/>
        </w:rPr>
        <w:t xml:space="preserve"> University School of Medicine, Daejeon, South Korea; </w:t>
      </w:r>
      <w:r w:rsidR="00D31562">
        <w:rPr>
          <w:rFonts w:ascii="Times New Roman" w:eastAsia="MS Gothic" w:hAnsi="Times New Roman" w:cs="Times New Roman"/>
          <w:bCs/>
          <w:i/>
          <w:iCs/>
          <w:sz w:val="24"/>
          <w:szCs w:val="24"/>
          <w:vertAlign w:val="superscript"/>
        </w:rPr>
        <w:t>10</w:t>
      </w:r>
      <w:r w:rsidRPr="003C413F">
        <w:rPr>
          <w:rFonts w:ascii="Times New Roman" w:eastAsia="MS Gothic" w:hAnsi="Times New Roman" w:cs="Times New Roman"/>
          <w:bCs/>
          <w:i/>
          <w:iCs/>
          <w:sz w:val="24"/>
          <w:szCs w:val="24"/>
        </w:rPr>
        <w:t xml:space="preserve">Department of </w:t>
      </w:r>
      <w:proofErr w:type="spellStart"/>
      <w:r w:rsidRPr="003C413F">
        <w:rPr>
          <w:rFonts w:ascii="Times New Roman" w:eastAsia="MS Gothic" w:hAnsi="Times New Roman" w:cs="Times New Roman"/>
          <w:bCs/>
          <w:i/>
          <w:iCs/>
          <w:sz w:val="24"/>
          <w:szCs w:val="24"/>
        </w:rPr>
        <w:t>Hematology</w:t>
      </w:r>
      <w:proofErr w:type="spellEnd"/>
      <w:r w:rsidRPr="003C413F">
        <w:rPr>
          <w:rFonts w:ascii="Times New Roman" w:eastAsia="MS Gothic" w:hAnsi="Times New Roman" w:cs="Times New Roman"/>
          <w:bCs/>
          <w:i/>
          <w:iCs/>
          <w:sz w:val="24"/>
          <w:szCs w:val="24"/>
        </w:rPr>
        <w:t xml:space="preserve"> and Oncology, The Children's Hospital, Zhejiang University School of Medicine, National Clinical Research </w:t>
      </w:r>
      <w:proofErr w:type="spellStart"/>
      <w:r w:rsidRPr="003C413F">
        <w:rPr>
          <w:rFonts w:ascii="Times New Roman" w:eastAsia="MS Gothic" w:hAnsi="Times New Roman" w:cs="Times New Roman"/>
          <w:bCs/>
          <w:i/>
          <w:iCs/>
          <w:sz w:val="24"/>
          <w:szCs w:val="24"/>
        </w:rPr>
        <w:t>Center</w:t>
      </w:r>
      <w:proofErr w:type="spellEnd"/>
      <w:r w:rsidRPr="003C413F">
        <w:rPr>
          <w:rFonts w:ascii="Times New Roman" w:eastAsia="MS Gothic" w:hAnsi="Times New Roman" w:cs="Times New Roman"/>
          <w:bCs/>
          <w:i/>
          <w:iCs/>
          <w:sz w:val="24"/>
          <w:szCs w:val="24"/>
        </w:rPr>
        <w:t xml:space="preserve"> for Child Health, Hangzhou, People's Republic of China; </w:t>
      </w:r>
      <w:r w:rsidRPr="003C413F">
        <w:rPr>
          <w:rFonts w:ascii="Times New Roman" w:eastAsia="MS Gothic" w:hAnsi="Times New Roman" w:cs="Times New Roman"/>
          <w:bCs/>
          <w:i/>
          <w:iCs/>
          <w:sz w:val="24"/>
          <w:szCs w:val="24"/>
          <w:vertAlign w:val="superscript"/>
        </w:rPr>
        <w:t>1</w:t>
      </w:r>
      <w:r w:rsidR="00D31562">
        <w:rPr>
          <w:rFonts w:ascii="Times New Roman" w:eastAsia="MS Gothic" w:hAnsi="Times New Roman" w:cs="Times New Roman"/>
          <w:bCs/>
          <w:i/>
          <w:iCs/>
          <w:sz w:val="24"/>
          <w:szCs w:val="24"/>
          <w:vertAlign w:val="superscript"/>
        </w:rPr>
        <w:t>1</w:t>
      </w:r>
      <w:r w:rsidRPr="003C413F">
        <w:rPr>
          <w:rFonts w:ascii="Times New Roman" w:eastAsia="MS Gothic" w:hAnsi="Times New Roman" w:cs="Times New Roman"/>
          <w:bCs/>
          <w:i/>
          <w:iCs/>
          <w:sz w:val="24"/>
          <w:szCs w:val="24"/>
        </w:rPr>
        <w:t>Phoenix Pharma, Port Elizabeth, South Africa;</w:t>
      </w:r>
      <w:r w:rsidRPr="003C413F">
        <w:rPr>
          <w:rFonts w:ascii="Times New Roman" w:eastAsia="MS Gothic" w:hAnsi="Times New Roman" w:cs="Times New Roman"/>
          <w:bCs/>
          <w:i/>
          <w:iCs/>
          <w:sz w:val="24"/>
          <w:szCs w:val="24"/>
          <w:vertAlign w:val="superscript"/>
        </w:rPr>
        <w:t xml:space="preserve"> 1</w:t>
      </w:r>
      <w:r w:rsidR="00D31562">
        <w:rPr>
          <w:rFonts w:ascii="Times New Roman" w:eastAsia="MS Gothic" w:hAnsi="Times New Roman" w:cs="Times New Roman"/>
          <w:bCs/>
          <w:i/>
          <w:iCs/>
          <w:sz w:val="24"/>
          <w:szCs w:val="24"/>
          <w:vertAlign w:val="superscript"/>
        </w:rPr>
        <w:t>2</w:t>
      </w:r>
      <w:r w:rsidRPr="003C413F">
        <w:rPr>
          <w:rFonts w:ascii="Times New Roman" w:eastAsia="MS Gothic" w:hAnsi="Times New Roman" w:cs="Times New Roman"/>
          <w:bCs/>
          <w:i/>
          <w:iCs/>
          <w:sz w:val="24"/>
          <w:szCs w:val="24"/>
        </w:rPr>
        <w:t xml:space="preserve">Centre de </w:t>
      </w:r>
      <w:proofErr w:type="spellStart"/>
      <w:r w:rsidRPr="003C413F">
        <w:rPr>
          <w:rFonts w:ascii="Times New Roman" w:eastAsia="MS Gothic" w:hAnsi="Times New Roman" w:cs="Times New Roman"/>
          <w:bCs/>
          <w:i/>
          <w:iCs/>
          <w:sz w:val="24"/>
          <w:szCs w:val="24"/>
        </w:rPr>
        <w:t>Traitement</w:t>
      </w:r>
      <w:proofErr w:type="spellEnd"/>
      <w:r w:rsidRPr="003C413F">
        <w:rPr>
          <w:rFonts w:ascii="Times New Roman" w:eastAsia="MS Gothic" w:hAnsi="Times New Roman" w:cs="Times New Roman"/>
          <w:bCs/>
          <w:i/>
          <w:iCs/>
          <w:sz w:val="24"/>
          <w:szCs w:val="24"/>
        </w:rPr>
        <w:t xml:space="preserve"> de </w:t>
      </w:r>
      <w:proofErr w:type="spellStart"/>
      <w:r w:rsidRPr="003C413F">
        <w:rPr>
          <w:rFonts w:ascii="Times New Roman" w:eastAsia="MS Gothic" w:hAnsi="Times New Roman" w:cs="Times New Roman"/>
          <w:bCs/>
          <w:i/>
          <w:iCs/>
          <w:sz w:val="24"/>
          <w:szCs w:val="24"/>
        </w:rPr>
        <w:t>l'Hémophilie</w:t>
      </w:r>
      <w:proofErr w:type="spellEnd"/>
      <w:r w:rsidRPr="003C413F">
        <w:rPr>
          <w:rFonts w:ascii="Times New Roman" w:eastAsia="MS Gothic" w:hAnsi="Times New Roman" w:cs="Times New Roman"/>
          <w:bCs/>
          <w:i/>
          <w:iCs/>
          <w:sz w:val="24"/>
          <w:szCs w:val="24"/>
        </w:rPr>
        <w:t xml:space="preserve">, AP-HP, </w:t>
      </w:r>
      <w:proofErr w:type="spellStart"/>
      <w:r w:rsidRPr="003C413F">
        <w:rPr>
          <w:rFonts w:ascii="Times New Roman" w:eastAsia="MS Gothic" w:hAnsi="Times New Roman" w:cs="Times New Roman"/>
          <w:bCs/>
          <w:i/>
          <w:iCs/>
          <w:sz w:val="24"/>
          <w:szCs w:val="24"/>
        </w:rPr>
        <w:t>Hôpital</w:t>
      </w:r>
      <w:proofErr w:type="spellEnd"/>
      <w:r w:rsidRPr="003C413F">
        <w:rPr>
          <w:rFonts w:ascii="Times New Roman" w:eastAsia="MS Gothic" w:hAnsi="Times New Roman" w:cs="Times New Roman"/>
          <w:bCs/>
          <w:i/>
          <w:iCs/>
          <w:sz w:val="24"/>
          <w:szCs w:val="24"/>
        </w:rPr>
        <w:t xml:space="preserve"> Necker Enfants </w:t>
      </w:r>
      <w:proofErr w:type="spellStart"/>
      <w:r w:rsidRPr="003C413F">
        <w:rPr>
          <w:rFonts w:ascii="Times New Roman" w:eastAsia="MS Gothic" w:hAnsi="Times New Roman" w:cs="Times New Roman"/>
          <w:bCs/>
          <w:i/>
          <w:iCs/>
          <w:sz w:val="24"/>
          <w:szCs w:val="24"/>
        </w:rPr>
        <w:t>Malades</w:t>
      </w:r>
      <w:proofErr w:type="spellEnd"/>
      <w:r w:rsidRPr="003C413F">
        <w:rPr>
          <w:rFonts w:ascii="Times New Roman" w:eastAsia="MS Gothic" w:hAnsi="Times New Roman" w:cs="Times New Roman"/>
          <w:bCs/>
          <w:i/>
          <w:iCs/>
          <w:sz w:val="24"/>
          <w:szCs w:val="24"/>
        </w:rPr>
        <w:t xml:space="preserve">, Paris, France; </w:t>
      </w:r>
      <w:r w:rsidRPr="003C413F">
        <w:rPr>
          <w:rFonts w:ascii="Times New Roman" w:eastAsia="MS Gothic" w:hAnsi="Times New Roman" w:cs="Times New Roman"/>
          <w:bCs/>
          <w:i/>
          <w:iCs/>
          <w:sz w:val="24"/>
          <w:szCs w:val="24"/>
          <w:vertAlign w:val="superscript"/>
        </w:rPr>
        <w:t>1</w:t>
      </w:r>
      <w:r w:rsidR="00D31562">
        <w:rPr>
          <w:rFonts w:ascii="Times New Roman" w:eastAsia="MS Gothic" w:hAnsi="Times New Roman" w:cs="Times New Roman"/>
          <w:bCs/>
          <w:i/>
          <w:iCs/>
          <w:sz w:val="24"/>
          <w:szCs w:val="24"/>
          <w:vertAlign w:val="superscript"/>
        </w:rPr>
        <w:t>3</w:t>
      </w:r>
      <w:r w:rsidRPr="003C413F">
        <w:rPr>
          <w:rFonts w:ascii="Times New Roman" w:eastAsia="MS Gothic" w:hAnsi="Times New Roman" w:cs="Times New Roman"/>
          <w:bCs/>
          <w:i/>
          <w:iCs/>
          <w:sz w:val="24"/>
          <w:szCs w:val="24"/>
        </w:rPr>
        <w:t xml:space="preserve">Department of Haematology, Glasgow Royal Infirmary, Glasgow, UK; </w:t>
      </w:r>
      <w:r w:rsidRPr="003C413F">
        <w:rPr>
          <w:rFonts w:ascii="Times New Roman" w:eastAsia="MS Gothic" w:hAnsi="Times New Roman" w:cs="Times New Roman"/>
          <w:bCs/>
          <w:i/>
          <w:iCs/>
          <w:sz w:val="24"/>
          <w:szCs w:val="24"/>
          <w:vertAlign w:val="superscript"/>
        </w:rPr>
        <w:t>1</w:t>
      </w:r>
      <w:r w:rsidR="00D31562">
        <w:rPr>
          <w:rFonts w:ascii="Times New Roman" w:eastAsia="MS Gothic" w:hAnsi="Times New Roman" w:cs="Times New Roman"/>
          <w:bCs/>
          <w:i/>
          <w:iCs/>
          <w:sz w:val="24"/>
          <w:szCs w:val="24"/>
          <w:vertAlign w:val="superscript"/>
        </w:rPr>
        <w:t>4</w:t>
      </w:r>
      <w:r w:rsidRPr="003C413F">
        <w:rPr>
          <w:rFonts w:ascii="Times New Roman" w:eastAsia="MS Gothic" w:hAnsi="Times New Roman" w:cs="Times New Roman"/>
          <w:bCs/>
          <w:i/>
          <w:iCs/>
          <w:sz w:val="24"/>
          <w:szCs w:val="24"/>
        </w:rPr>
        <w:t xml:space="preserve">Institute of Blood Pathology and Transfusion Medicine, </w:t>
      </w:r>
      <w:proofErr w:type="spellStart"/>
      <w:r w:rsidRPr="003C413F">
        <w:rPr>
          <w:rFonts w:ascii="Times New Roman" w:eastAsia="MS Gothic" w:hAnsi="Times New Roman" w:cs="Times New Roman"/>
          <w:bCs/>
          <w:i/>
          <w:iCs/>
          <w:sz w:val="24"/>
          <w:szCs w:val="24"/>
        </w:rPr>
        <w:t>Lviv</w:t>
      </w:r>
      <w:proofErr w:type="spellEnd"/>
      <w:r w:rsidRPr="003C413F">
        <w:rPr>
          <w:rFonts w:ascii="Times New Roman" w:eastAsia="MS Gothic" w:hAnsi="Times New Roman" w:cs="Times New Roman"/>
          <w:bCs/>
          <w:i/>
          <w:iCs/>
          <w:sz w:val="24"/>
          <w:szCs w:val="24"/>
        </w:rPr>
        <w:t xml:space="preserve">, Ukraine; </w:t>
      </w:r>
      <w:r w:rsidRPr="003C413F">
        <w:rPr>
          <w:rFonts w:ascii="Times New Roman" w:eastAsia="MS Gothic" w:hAnsi="Times New Roman" w:cs="Times New Roman"/>
          <w:bCs/>
          <w:i/>
          <w:iCs/>
          <w:sz w:val="24"/>
          <w:szCs w:val="24"/>
          <w:vertAlign w:val="superscript"/>
        </w:rPr>
        <w:t>1</w:t>
      </w:r>
      <w:r w:rsidR="00D31562">
        <w:rPr>
          <w:rFonts w:ascii="Times New Roman" w:eastAsia="MS Gothic" w:hAnsi="Times New Roman" w:cs="Times New Roman"/>
          <w:bCs/>
          <w:i/>
          <w:iCs/>
          <w:sz w:val="24"/>
          <w:szCs w:val="24"/>
          <w:vertAlign w:val="superscript"/>
        </w:rPr>
        <w:t>5</w:t>
      </w:r>
      <w:r w:rsidRPr="003C413F">
        <w:rPr>
          <w:rFonts w:ascii="Times New Roman" w:eastAsia="MS Gothic" w:hAnsi="Times New Roman" w:cs="Times New Roman"/>
          <w:bCs/>
          <w:i/>
          <w:iCs/>
          <w:sz w:val="24"/>
          <w:szCs w:val="24"/>
        </w:rPr>
        <w:t xml:space="preserve">Haemophilia Centre, Department of </w:t>
      </w:r>
      <w:proofErr w:type="spellStart"/>
      <w:r>
        <w:rPr>
          <w:rFonts w:ascii="Times New Roman" w:eastAsia="MS Gothic" w:hAnsi="Times New Roman" w:cs="Times New Roman"/>
          <w:bCs/>
          <w:i/>
          <w:iCs/>
          <w:sz w:val="24"/>
          <w:szCs w:val="24"/>
        </w:rPr>
        <w:t>Pediatric</w:t>
      </w:r>
      <w:proofErr w:type="spellEnd"/>
      <w:r>
        <w:rPr>
          <w:rFonts w:ascii="Times New Roman" w:eastAsia="MS Gothic" w:hAnsi="Times New Roman" w:cs="Times New Roman"/>
          <w:bCs/>
          <w:i/>
          <w:iCs/>
          <w:sz w:val="24"/>
          <w:szCs w:val="24"/>
        </w:rPr>
        <w:t xml:space="preserve"> </w:t>
      </w:r>
      <w:proofErr w:type="spellStart"/>
      <w:r w:rsidRPr="003C413F">
        <w:rPr>
          <w:rFonts w:ascii="Times New Roman" w:eastAsia="MS Gothic" w:hAnsi="Times New Roman" w:cs="Times New Roman"/>
          <w:bCs/>
          <w:i/>
          <w:iCs/>
          <w:sz w:val="24"/>
          <w:szCs w:val="24"/>
        </w:rPr>
        <w:t>Hematology</w:t>
      </w:r>
      <w:proofErr w:type="spellEnd"/>
      <w:r>
        <w:rPr>
          <w:rFonts w:ascii="Times New Roman" w:eastAsia="MS Gothic" w:hAnsi="Times New Roman" w:cs="Times New Roman"/>
          <w:bCs/>
          <w:i/>
          <w:iCs/>
          <w:sz w:val="24"/>
          <w:szCs w:val="24"/>
        </w:rPr>
        <w:t>/</w:t>
      </w:r>
      <w:r w:rsidRPr="003C413F">
        <w:rPr>
          <w:rFonts w:ascii="Times New Roman" w:eastAsia="MS Gothic" w:hAnsi="Times New Roman" w:cs="Times New Roman"/>
          <w:bCs/>
          <w:i/>
          <w:iCs/>
          <w:sz w:val="24"/>
          <w:szCs w:val="24"/>
        </w:rPr>
        <w:t xml:space="preserve">Oncology, Taipei Medical University Hospital; Department of </w:t>
      </w:r>
      <w:proofErr w:type="spellStart"/>
      <w:r w:rsidRPr="003C413F">
        <w:rPr>
          <w:rFonts w:ascii="Times New Roman" w:eastAsia="MS Gothic" w:hAnsi="Times New Roman" w:cs="Times New Roman"/>
          <w:bCs/>
          <w:i/>
          <w:iCs/>
          <w:sz w:val="24"/>
          <w:szCs w:val="24"/>
        </w:rPr>
        <w:t>Pediatrics</w:t>
      </w:r>
      <w:proofErr w:type="spellEnd"/>
      <w:r w:rsidRPr="003C413F">
        <w:rPr>
          <w:rFonts w:ascii="Times New Roman" w:eastAsia="MS Gothic" w:hAnsi="Times New Roman" w:cs="Times New Roman"/>
          <w:bCs/>
          <w:i/>
          <w:iCs/>
          <w:sz w:val="24"/>
          <w:szCs w:val="24"/>
        </w:rPr>
        <w:t xml:space="preserve">, School of Medicine, College of Medicine, Taipei Medical University, Taipei, Taiwan; </w:t>
      </w:r>
      <w:r w:rsidRPr="003C413F">
        <w:rPr>
          <w:rFonts w:ascii="Times New Roman" w:eastAsia="MS Gothic" w:hAnsi="Times New Roman" w:cs="Times New Roman"/>
          <w:bCs/>
          <w:i/>
          <w:iCs/>
          <w:sz w:val="24"/>
          <w:szCs w:val="24"/>
          <w:vertAlign w:val="superscript"/>
        </w:rPr>
        <w:t>1</w:t>
      </w:r>
      <w:r w:rsidR="00D31562">
        <w:rPr>
          <w:rFonts w:ascii="Times New Roman" w:eastAsia="MS Gothic" w:hAnsi="Times New Roman" w:cs="Times New Roman"/>
          <w:bCs/>
          <w:i/>
          <w:iCs/>
          <w:sz w:val="24"/>
          <w:szCs w:val="24"/>
          <w:vertAlign w:val="superscript"/>
        </w:rPr>
        <w:t>6</w:t>
      </w:r>
      <w:r w:rsidRPr="003C413F">
        <w:rPr>
          <w:rFonts w:ascii="Times New Roman" w:eastAsia="MS Gothic" w:hAnsi="Times New Roman" w:cs="Times New Roman"/>
          <w:bCs/>
          <w:i/>
          <w:iCs/>
          <w:sz w:val="24"/>
          <w:szCs w:val="24"/>
        </w:rPr>
        <w:t xml:space="preserve">Sanofi, Cambridge, MA, United States; </w:t>
      </w:r>
      <w:r w:rsidRPr="003C413F">
        <w:rPr>
          <w:rFonts w:ascii="Times New Roman" w:eastAsia="MS Gothic" w:hAnsi="Times New Roman" w:cs="Times New Roman"/>
          <w:bCs/>
          <w:i/>
          <w:iCs/>
          <w:sz w:val="24"/>
          <w:szCs w:val="24"/>
          <w:vertAlign w:val="superscript"/>
        </w:rPr>
        <w:t>1</w:t>
      </w:r>
      <w:r w:rsidR="00D31562">
        <w:rPr>
          <w:rFonts w:ascii="Times New Roman" w:eastAsia="MS Gothic" w:hAnsi="Times New Roman" w:cs="Times New Roman"/>
          <w:bCs/>
          <w:i/>
          <w:iCs/>
          <w:sz w:val="24"/>
          <w:szCs w:val="24"/>
          <w:vertAlign w:val="superscript"/>
        </w:rPr>
        <w:t>7</w:t>
      </w:r>
      <w:r w:rsidRPr="003C413F">
        <w:rPr>
          <w:rFonts w:ascii="Times New Roman" w:eastAsia="MS Gothic" w:hAnsi="Times New Roman" w:cs="Times New Roman"/>
          <w:bCs/>
          <w:i/>
          <w:iCs/>
          <w:sz w:val="24"/>
          <w:szCs w:val="24"/>
        </w:rPr>
        <w:t>Sanofi, Bridgewater, NJ, United States;</w:t>
      </w:r>
      <w:r w:rsidRPr="003C413F">
        <w:rPr>
          <w:rFonts w:ascii="Times New Roman" w:eastAsia="MS Gothic" w:hAnsi="Times New Roman" w:cs="Times New Roman"/>
          <w:bCs/>
          <w:i/>
          <w:iCs/>
          <w:sz w:val="24"/>
          <w:szCs w:val="24"/>
          <w:vertAlign w:val="superscript"/>
        </w:rPr>
        <w:t xml:space="preserve"> 1</w:t>
      </w:r>
      <w:r w:rsidR="00D31562">
        <w:rPr>
          <w:rFonts w:ascii="Times New Roman" w:eastAsia="MS Gothic" w:hAnsi="Times New Roman" w:cs="Times New Roman"/>
          <w:bCs/>
          <w:i/>
          <w:iCs/>
          <w:sz w:val="24"/>
          <w:szCs w:val="24"/>
          <w:vertAlign w:val="superscript"/>
        </w:rPr>
        <w:t>8</w:t>
      </w:r>
      <w:r w:rsidRPr="003C413F">
        <w:rPr>
          <w:rFonts w:ascii="Times New Roman" w:eastAsia="MS Gothic" w:hAnsi="Times New Roman" w:cs="Times New Roman"/>
          <w:bCs/>
          <w:i/>
          <w:iCs/>
          <w:sz w:val="24"/>
          <w:szCs w:val="24"/>
        </w:rPr>
        <w:t xml:space="preserve">Departments of </w:t>
      </w:r>
      <w:proofErr w:type="spellStart"/>
      <w:r w:rsidRPr="003C413F">
        <w:rPr>
          <w:rFonts w:ascii="Times New Roman" w:eastAsia="MS Gothic" w:hAnsi="Times New Roman" w:cs="Times New Roman"/>
          <w:bCs/>
          <w:i/>
          <w:iCs/>
          <w:sz w:val="24"/>
          <w:szCs w:val="24"/>
        </w:rPr>
        <w:t>Pediatrics</w:t>
      </w:r>
      <w:proofErr w:type="spellEnd"/>
      <w:r w:rsidRPr="003C413F">
        <w:rPr>
          <w:rFonts w:ascii="Times New Roman" w:eastAsia="MS Gothic" w:hAnsi="Times New Roman" w:cs="Times New Roman"/>
          <w:bCs/>
          <w:i/>
          <w:iCs/>
          <w:sz w:val="24"/>
          <w:szCs w:val="24"/>
        </w:rPr>
        <w:t xml:space="preserve"> and Pathology, University of Michigan, Ann Arbor, MI, United States.</w:t>
      </w:r>
    </w:p>
    <w:p w14:paraId="479A2D33" w14:textId="77777777" w:rsidR="00DD7F18" w:rsidRPr="003C413F" w:rsidRDefault="00DD7F18" w:rsidP="008B3DDE">
      <w:pPr>
        <w:spacing w:line="360" w:lineRule="auto"/>
        <w:rPr>
          <w:rFonts w:ascii="Times New Roman" w:eastAsia="MS Gothic" w:hAnsi="Times New Roman" w:cs="Times New Roman"/>
          <w:bCs/>
          <w:i/>
          <w:iCs/>
          <w:sz w:val="24"/>
          <w:szCs w:val="24"/>
        </w:rPr>
      </w:pPr>
    </w:p>
    <w:bookmarkEnd w:id="3"/>
    <w:p w14:paraId="00C4CDC8" w14:textId="77777777" w:rsidR="00DD7F18" w:rsidRDefault="00DD7F18" w:rsidP="008B3DDE">
      <w:pPr>
        <w:spacing w:line="360" w:lineRule="auto"/>
        <w:rPr>
          <w:rFonts w:ascii="Times New Roman" w:eastAsia="MS Gothic" w:hAnsi="Times New Roman" w:cs="Times New Roman"/>
          <w:b/>
          <w:sz w:val="24"/>
          <w:szCs w:val="24"/>
        </w:rPr>
      </w:pPr>
    </w:p>
    <w:p w14:paraId="19171360" w14:textId="77777777" w:rsidR="00DD7F18" w:rsidRPr="003C413F" w:rsidRDefault="00DD7F18" w:rsidP="008B3DDE">
      <w:pPr>
        <w:spacing w:line="360" w:lineRule="auto"/>
        <w:rPr>
          <w:rFonts w:ascii="Times New Roman" w:eastAsia="MS Gothic" w:hAnsi="Times New Roman" w:cs="Times New Roman"/>
          <w:b/>
          <w:sz w:val="24"/>
          <w:szCs w:val="24"/>
        </w:rPr>
      </w:pPr>
      <w:r w:rsidRPr="003C413F">
        <w:rPr>
          <w:rFonts w:ascii="Times New Roman" w:eastAsia="MS Gothic" w:hAnsi="Times New Roman" w:cs="Times New Roman"/>
          <w:b/>
          <w:sz w:val="24"/>
          <w:szCs w:val="24"/>
        </w:rPr>
        <w:t xml:space="preserve">Corresponding author: </w:t>
      </w:r>
    </w:p>
    <w:p w14:paraId="254F19AD" w14:textId="77777777" w:rsidR="00DD7F18" w:rsidRPr="003C413F" w:rsidRDefault="00DD7F18" w:rsidP="008B3DDE">
      <w:pPr>
        <w:spacing w:line="360" w:lineRule="auto"/>
        <w:rPr>
          <w:rFonts w:ascii="Times New Roman" w:eastAsia="MS Gothic" w:hAnsi="Times New Roman" w:cs="Times New Roman"/>
          <w:bCs/>
          <w:sz w:val="24"/>
          <w:szCs w:val="24"/>
        </w:rPr>
      </w:pPr>
      <w:r w:rsidRPr="003C413F">
        <w:rPr>
          <w:rFonts w:ascii="Times New Roman" w:eastAsia="MS Gothic" w:hAnsi="Times New Roman" w:cs="Times New Roman"/>
          <w:bCs/>
          <w:sz w:val="24"/>
          <w:szCs w:val="24"/>
        </w:rPr>
        <w:t>Alok Srivastava, Department of Haematology, Christian Medical College, Vellore, Tamil Nadu,</w:t>
      </w:r>
      <w:r w:rsidRPr="003C413F">
        <w:rPr>
          <w:rFonts w:ascii="Times New Roman" w:eastAsia="MS Gothic" w:hAnsi="Times New Roman" w:cs="Times New Roman"/>
          <w:bCs/>
          <w:i/>
          <w:iCs/>
          <w:sz w:val="24"/>
          <w:szCs w:val="24"/>
        </w:rPr>
        <w:t xml:space="preserve"> </w:t>
      </w:r>
      <w:r w:rsidRPr="003C413F">
        <w:rPr>
          <w:rFonts w:ascii="Times New Roman" w:eastAsia="MS Gothic" w:hAnsi="Times New Roman" w:cs="Times New Roman"/>
          <w:bCs/>
          <w:sz w:val="24"/>
          <w:szCs w:val="24"/>
        </w:rPr>
        <w:t xml:space="preserve">India </w:t>
      </w:r>
    </w:p>
    <w:p w14:paraId="6698D1FB" w14:textId="77777777" w:rsidR="00DD7F18" w:rsidRPr="009E3663" w:rsidRDefault="00DD7F18" w:rsidP="008B3DDE">
      <w:pPr>
        <w:spacing w:line="360" w:lineRule="auto"/>
        <w:rPr>
          <w:rFonts w:ascii="Times New Roman" w:hAnsi="Times New Roman" w:cs="Times New Roman"/>
          <w:bCs/>
          <w:sz w:val="24"/>
          <w:szCs w:val="24"/>
          <w:lang w:val="fr-FR"/>
        </w:rPr>
      </w:pPr>
      <w:r w:rsidRPr="009E3663">
        <w:rPr>
          <w:rFonts w:ascii="Times New Roman" w:hAnsi="Times New Roman" w:cs="Times New Roman"/>
          <w:bCs/>
          <w:sz w:val="24"/>
          <w:szCs w:val="24"/>
          <w:lang w:val="fr-FR"/>
        </w:rPr>
        <w:t xml:space="preserve">Email: </w:t>
      </w:r>
      <w:hyperlink r:id="rId7" w:history="1">
        <w:r w:rsidRPr="009E3663">
          <w:rPr>
            <w:rStyle w:val="Hyperlink"/>
            <w:sz w:val="24"/>
            <w:szCs w:val="24"/>
            <w:lang w:val="fr-FR"/>
          </w:rPr>
          <w:t>aloks@cmcvellore.ac.in</w:t>
        </w:r>
      </w:hyperlink>
    </w:p>
    <w:p w14:paraId="0FBC815C" w14:textId="77777777" w:rsidR="00DD7F18" w:rsidRPr="009E3663" w:rsidRDefault="00DD7F18" w:rsidP="008B3DDE">
      <w:pPr>
        <w:spacing w:line="360" w:lineRule="auto"/>
        <w:rPr>
          <w:rFonts w:ascii="Times New Roman" w:hAnsi="Times New Roman" w:cs="Times New Roman"/>
          <w:bCs/>
          <w:sz w:val="24"/>
          <w:szCs w:val="24"/>
          <w:lang w:val="fr-FR"/>
        </w:rPr>
      </w:pPr>
      <w:r w:rsidRPr="009E3663">
        <w:rPr>
          <w:rFonts w:ascii="Times New Roman" w:hAnsi="Times New Roman" w:cs="Times New Roman"/>
          <w:bCs/>
          <w:sz w:val="24"/>
          <w:szCs w:val="24"/>
          <w:lang w:val="fr-FR"/>
        </w:rPr>
        <w:t>Phone: +91-416-2282352</w:t>
      </w:r>
      <w:r w:rsidRPr="009E3663" w:rsidDel="00C1568C">
        <w:rPr>
          <w:rFonts w:ascii="Times New Roman" w:hAnsi="Times New Roman" w:cs="Times New Roman"/>
          <w:bCs/>
          <w:sz w:val="24"/>
          <w:szCs w:val="24"/>
          <w:highlight w:val="yellow"/>
          <w:lang w:val="fr-FR"/>
        </w:rPr>
        <w:t xml:space="preserve"> </w:t>
      </w:r>
    </w:p>
    <w:p w14:paraId="4DBB6942" w14:textId="5C6F7EE8" w:rsidR="00DD7F18" w:rsidRPr="00D653EE" w:rsidRDefault="00DD7F18" w:rsidP="008B3DDE">
      <w:pPr>
        <w:spacing w:line="360" w:lineRule="auto"/>
        <w:rPr>
          <w:rFonts w:ascii="Times New Roman" w:eastAsiaTheme="majorEastAsia" w:hAnsi="Times New Roman" w:cs="Times New Roman"/>
          <w:bCs/>
          <w:color w:val="000000"/>
          <w:sz w:val="24"/>
          <w:szCs w:val="24"/>
        </w:rPr>
      </w:pPr>
      <w:r w:rsidRPr="00D653EE">
        <w:rPr>
          <w:rFonts w:ascii="Times New Roman" w:eastAsiaTheme="majorEastAsia" w:hAnsi="Times New Roman" w:cs="Times New Roman"/>
          <w:b/>
          <w:color w:val="000000"/>
          <w:sz w:val="24"/>
          <w:szCs w:val="24"/>
        </w:rPr>
        <w:t>Word count:</w:t>
      </w:r>
      <w:r w:rsidR="00195806">
        <w:rPr>
          <w:rFonts w:ascii="Times New Roman" w:eastAsiaTheme="majorEastAsia" w:hAnsi="Times New Roman" w:cs="Times New Roman"/>
          <w:b/>
          <w:color w:val="000000"/>
          <w:sz w:val="24"/>
          <w:szCs w:val="24"/>
        </w:rPr>
        <w:t>449</w:t>
      </w:r>
      <w:r w:rsidR="00D513B0">
        <w:rPr>
          <w:rFonts w:ascii="Times New Roman" w:eastAsiaTheme="majorEastAsia" w:hAnsi="Times New Roman" w:cs="Times New Roman"/>
          <w:b/>
          <w:color w:val="000000"/>
          <w:sz w:val="24"/>
          <w:szCs w:val="24"/>
        </w:rPr>
        <w:t>3</w:t>
      </w:r>
    </w:p>
    <w:p w14:paraId="29C1E3B7" w14:textId="7586A6B8" w:rsidR="00DD7F18" w:rsidRPr="00D653EE" w:rsidRDefault="004D7C2F" w:rsidP="008B3DDE">
      <w:pPr>
        <w:spacing w:line="360" w:lineRule="auto"/>
        <w:rPr>
          <w:rFonts w:ascii="Times New Roman" w:eastAsiaTheme="majorEastAsia" w:hAnsi="Times New Roman" w:cs="Times New Roman"/>
          <w:b/>
          <w:color w:val="000000"/>
          <w:sz w:val="24"/>
          <w:szCs w:val="24"/>
        </w:rPr>
      </w:pPr>
      <w:r>
        <w:rPr>
          <w:rFonts w:ascii="Times New Roman" w:eastAsiaTheme="majorEastAsia" w:hAnsi="Times New Roman" w:cs="Times New Roman"/>
          <w:b/>
          <w:color w:val="000000"/>
          <w:sz w:val="24"/>
          <w:szCs w:val="24"/>
        </w:rPr>
        <w:t>4</w:t>
      </w:r>
      <w:r w:rsidRPr="00D653EE">
        <w:rPr>
          <w:rFonts w:ascii="Times New Roman" w:eastAsiaTheme="majorEastAsia" w:hAnsi="Times New Roman" w:cs="Times New Roman"/>
          <w:b/>
          <w:color w:val="000000"/>
          <w:sz w:val="24"/>
          <w:szCs w:val="24"/>
        </w:rPr>
        <w:t xml:space="preserve"> </w:t>
      </w:r>
      <w:r w:rsidR="00DD7F18" w:rsidRPr="00D653EE">
        <w:rPr>
          <w:rFonts w:ascii="Times New Roman" w:eastAsiaTheme="majorEastAsia" w:hAnsi="Times New Roman" w:cs="Times New Roman"/>
          <w:b/>
          <w:color w:val="000000"/>
          <w:sz w:val="24"/>
          <w:szCs w:val="24"/>
        </w:rPr>
        <w:t>figures and tables</w:t>
      </w:r>
    </w:p>
    <w:p w14:paraId="3DBFE6A9" w14:textId="49B6DD99" w:rsidR="00DD7F18" w:rsidRPr="00D653EE" w:rsidRDefault="00DD7F18" w:rsidP="008B3DDE">
      <w:pPr>
        <w:spacing w:line="360" w:lineRule="auto"/>
        <w:rPr>
          <w:rFonts w:ascii="Times New Roman" w:eastAsiaTheme="majorEastAsia" w:hAnsi="Times New Roman" w:cs="Times New Roman"/>
          <w:b/>
          <w:color w:val="000000"/>
          <w:sz w:val="24"/>
          <w:szCs w:val="24"/>
        </w:rPr>
      </w:pPr>
      <w:r w:rsidRPr="00D653EE">
        <w:rPr>
          <w:rFonts w:ascii="Times New Roman" w:eastAsiaTheme="majorEastAsia" w:hAnsi="Times New Roman" w:cs="Times New Roman"/>
          <w:b/>
          <w:color w:val="000000"/>
          <w:sz w:val="24"/>
          <w:szCs w:val="24"/>
        </w:rPr>
        <w:t>30/30 references</w:t>
      </w:r>
      <w:r w:rsidRPr="00D653EE">
        <w:rPr>
          <w:rFonts w:ascii="Times New Roman" w:eastAsiaTheme="majorEastAsia" w:hAnsi="Times New Roman" w:cs="Times New Roman"/>
          <w:b/>
          <w:color w:val="000000"/>
          <w:sz w:val="24"/>
          <w:szCs w:val="24"/>
        </w:rPr>
        <w:br w:type="page"/>
      </w:r>
    </w:p>
    <w:p w14:paraId="0600B41F" w14:textId="77777777" w:rsidR="00DD7F18" w:rsidRPr="00D653EE" w:rsidRDefault="00DD7F18" w:rsidP="008B3DDE">
      <w:pPr>
        <w:spacing w:line="360" w:lineRule="auto"/>
        <w:rPr>
          <w:rFonts w:ascii="Times New Roman" w:eastAsiaTheme="majorEastAsia" w:hAnsi="Times New Roman" w:cs="Times New Roman"/>
          <w:b/>
          <w:color w:val="000000"/>
          <w:sz w:val="24"/>
          <w:szCs w:val="24"/>
        </w:rPr>
      </w:pPr>
      <w:r w:rsidRPr="00D653EE">
        <w:rPr>
          <w:rFonts w:ascii="Times New Roman" w:eastAsiaTheme="majorEastAsia" w:hAnsi="Times New Roman" w:cs="Times New Roman"/>
          <w:b/>
          <w:color w:val="000000"/>
          <w:sz w:val="24"/>
          <w:szCs w:val="24"/>
        </w:rPr>
        <w:lastRenderedPageBreak/>
        <w:t>Research in context</w:t>
      </w:r>
    </w:p>
    <w:p w14:paraId="640AAAC1" w14:textId="77777777" w:rsidR="00DD7F18" w:rsidRPr="00D653EE" w:rsidRDefault="00DD7F18" w:rsidP="00F5429B">
      <w:pPr>
        <w:spacing w:line="360" w:lineRule="auto"/>
        <w:rPr>
          <w:rFonts w:ascii="Times New Roman" w:hAnsi="Times New Roman" w:cs="Times New Roman"/>
          <w:b/>
          <w:bCs/>
          <w:sz w:val="24"/>
          <w:szCs w:val="24"/>
        </w:rPr>
      </w:pPr>
      <w:r w:rsidRPr="00D653EE">
        <w:rPr>
          <w:rFonts w:ascii="Times New Roman" w:hAnsi="Times New Roman" w:cs="Times New Roman"/>
          <w:b/>
          <w:bCs/>
          <w:sz w:val="24"/>
          <w:szCs w:val="24"/>
        </w:rPr>
        <w:t xml:space="preserve">Evidence before this study: </w:t>
      </w:r>
    </w:p>
    <w:p w14:paraId="08458F60" w14:textId="77777777" w:rsidR="00DD7F18" w:rsidRPr="00D653EE" w:rsidRDefault="00DD7F18" w:rsidP="00F5429B">
      <w:pPr>
        <w:spacing w:line="360" w:lineRule="auto"/>
        <w:rPr>
          <w:rFonts w:ascii="Times New Roman" w:hAnsi="Times New Roman" w:cs="Times New Roman"/>
          <w:sz w:val="24"/>
          <w:szCs w:val="24"/>
        </w:rPr>
      </w:pPr>
      <w:r w:rsidRPr="486D63BF">
        <w:rPr>
          <w:rFonts w:ascii="Times New Roman" w:hAnsi="Times New Roman" w:cs="Times New Roman"/>
          <w:sz w:val="24"/>
          <w:szCs w:val="24"/>
        </w:rPr>
        <w:t xml:space="preserve">Prophylaxis is recommended as the standard of care for people with haemophilia A or B with a severe bleeding phenotype. However, prophylaxis </w:t>
      </w:r>
      <w:r>
        <w:rPr>
          <w:rFonts w:ascii="Times New Roman" w:hAnsi="Times New Roman" w:cs="Times New Roman"/>
          <w:sz w:val="24"/>
          <w:szCs w:val="24"/>
        </w:rPr>
        <w:t xml:space="preserve">with clotting factor concentrates </w:t>
      </w:r>
      <w:r w:rsidRPr="486D63BF">
        <w:rPr>
          <w:rFonts w:ascii="Times New Roman" w:hAnsi="Times New Roman" w:cs="Times New Roman"/>
          <w:sz w:val="24"/>
          <w:szCs w:val="24"/>
        </w:rPr>
        <w:t>can be burdensome due to the need for frequent intravenous infusions</w:t>
      </w:r>
      <w:r>
        <w:rPr>
          <w:rFonts w:ascii="Times New Roman" w:hAnsi="Times New Roman" w:cs="Times New Roman"/>
          <w:sz w:val="24"/>
          <w:szCs w:val="24"/>
        </w:rPr>
        <w:t>. Efficacy of clotting factor concentrates</w:t>
      </w:r>
      <w:r w:rsidRPr="486D63BF">
        <w:rPr>
          <w:rFonts w:ascii="Times New Roman" w:hAnsi="Times New Roman" w:cs="Times New Roman"/>
          <w:sz w:val="24"/>
          <w:szCs w:val="24"/>
        </w:rPr>
        <w:t xml:space="preserve"> can be limited by </w:t>
      </w:r>
      <w:r>
        <w:rPr>
          <w:rFonts w:ascii="Times New Roman" w:hAnsi="Times New Roman" w:cs="Times New Roman"/>
          <w:sz w:val="24"/>
          <w:szCs w:val="24"/>
        </w:rPr>
        <w:t xml:space="preserve">low trough levels and </w:t>
      </w:r>
      <w:r w:rsidRPr="486D63BF">
        <w:rPr>
          <w:rFonts w:ascii="Times New Roman" w:hAnsi="Times New Roman" w:cs="Times New Roman"/>
          <w:sz w:val="24"/>
          <w:szCs w:val="24"/>
        </w:rPr>
        <w:t>the development of inhibitors</w:t>
      </w:r>
      <w:r>
        <w:rPr>
          <w:rFonts w:ascii="Times New Roman" w:hAnsi="Times New Roman" w:cs="Times New Roman"/>
          <w:sz w:val="24"/>
          <w:szCs w:val="24"/>
        </w:rPr>
        <w:t>, both of which may result in breakthrough bleeding, potentially leading to musculoskeletal complications</w:t>
      </w:r>
      <w:r w:rsidRPr="486D63BF">
        <w:rPr>
          <w:rFonts w:ascii="Times New Roman" w:hAnsi="Times New Roman" w:cs="Times New Roman"/>
          <w:sz w:val="24"/>
          <w:szCs w:val="24"/>
        </w:rPr>
        <w:t xml:space="preserve">. </w:t>
      </w:r>
      <w:proofErr w:type="spellStart"/>
      <w:r w:rsidRPr="486D63BF">
        <w:rPr>
          <w:rFonts w:ascii="Times New Roman" w:hAnsi="Times New Roman" w:cs="Times New Roman"/>
          <w:sz w:val="24"/>
          <w:szCs w:val="24"/>
        </w:rPr>
        <w:t>Emicizumab</w:t>
      </w:r>
      <w:proofErr w:type="spellEnd"/>
      <w:r w:rsidRPr="486D63BF">
        <w:rPr>
          <w:rFonts w:ascii="Times New Roman" w:hAnsi="Times New Roman" w:cs="Times New Roman"/>
          <w:sz w:val="24"/>
          <w:szCs w:val="24"/>
        </w:rPr>
        <w:t xml:space="preserve"> is a prophylactic subcutaneous non-factor therapy which has demonstrated effective bleed protection in people with haemophilia A, with or without inhibitors. </w:t>
      </w:r>
      <w:r>
        <w:rPr>
          <w:rFonts w:ascii="Times New Roman" w:hAnsi="Times New Roman" w:cs="Times New Roman"/>
          <w:sz w:val="24"/>
          <w:szCs w:val="24"/>
        </w:rPr>
        <w:t xml:space="preserve">Additional therapeutic options are needed to address unmet needs in haemophilia and enhance quality of care, to allow more effective prevention of bleeding in all people with haemophilia so they may achieve quality of life comparable to non-haemophilic individuals. </w:t>
      </w:r>
    </w:p>
    <w:p w14:paraId="6F9A0082" w14:textId="77777777" w:rsidR="00DD7F18" w:rsidRPr="00D653EE" w:rsidRDefault="00DD7F18" w:rsidP="00F5429B">
      <w:pPr>
        <w:spacing w:line="360" w:lineRule="auto"/>
        <w:rPr>
          <w:rFonts w:ascii="Times New Roman" w:hAnsi="Times New Roman" w:cs="Times New Roman"/>
          <w:sz w:val="24"/>
          <w:szCs w:val="24"/>
        </w:rPr>
      </w:pPr>
      <w:proofErr w:type="spellStart"/>
      <w:r w:rsidRPr="486D63BF">
        <w:rPr>
          <w:rFonts w:ascii="Times New Roman" w:hAnsi="Times New Roman" w:cs="Times New Roman"/>
          <w:sz w:val="24"/>
          <w:szCs w:val="24"/>
        </w:rPr>
        <w:t>Fitusiran</w:t>
      </w:r>
      <w:proofErr w:type="spellEnd"/>
      <w:r w:rsidRPr="486D63BF">
        <w:rPr>
          <w:rFonts w:ascii="Times New Roman" w:hAnsi="Times New Roman" w:cs="Times New Roman"/>
          <w:sz w:val="24"/>
          <w:szCs w:val="24"/>
        </w:rPr>
        <w:t xml:space="preserve"> is a subcutaneous investigational siRNA therapeutic that </w:t>
      </w:r>
      <w:r>
        <w:rPr>
          <w:rFonts w:ascii="Times New Roman" w:hAnsi="Times New Roman" w:cs="Times New Roman"/>
          <w:sz w:val="24"/>
          <w:szCs w:val="24"/>
        </w:rPr>
        <w:t>rebalances haemostasis in haemophilia by lowering antithrombin</w:t>
      </w:r>
      <w:r w:rsidRPr="486D63BF">
        <w:rPr>
          <w:rFonts w:ascii="Times New Roman" w:hAnsi="Times New Roman" w:cs="Times New Roman"/>
          <w:sz w:val="24"/>
          <w:szCs w:val="24"/>
        </w:rPr>
        <w:t xml:space="preserve"> levels</w:t>
      </w:r>
      <w:r>
        <w:rPr>
          <w:rFonts w:ascii="Times New Roman" w:hAnsi="Times New Roman" w:cs="Times New Roman"/>
          <w:sz w:val="24"/>
          <w:szCs w:val="24"/>
        </w:rPr>
        <w:t xml:space="preserve"> so </w:t>
      </w:r>
      <w:r w:rsidRPr="486D63BF">
        <w:rPr>
          <w:rFonts w:ascii="Times New Roman" w:hAnsi="Times New Roman" w:cs="Times New Roman"/>
          <w:sz w:val="24"/>
          <w:szCs w:val="24"/>
        </w:rPr>
        <w:t xml:space="preserve">sufficient thrombin </w:t>
      </w:r>
      <w:r>
        <w:rPr>
          <w:rFonts w:ascii="Times New Roman" w:hAnsi="Times New Roman" w:cs="Times New Roman"/>
          <w:sz w:val="24"/>
          <w:szCs w:val="24"/>
        </w:rPr>
        <w:t>is generated to provide a stable clot</w:t>
      </w:r>
      <w:r w:rsidRPr="486D63BF">
        <w:rPr>
          <w:rFonts w:ascii="Times New Roman" w:hAnsi="Times New Roman" w:cs="Times New Roman"/>
          <w:sz w:val="24"/>
          <w:szCs w:val="24"/>
        </w:rPr>
        <w:t xml:space="preserve"> in people with haemophilia A or B, irrespective of inhibitor status. We searched for clinical trials published </w:t>
      </w:r>
      <w:r>
        <w:rPr>
          <w:rFonts w:ascii="Times New Roman" w:hAnsi="Times New Roman" w:cs="Times New Roman"/>
          <w:sz w:val="24"/>
          <w:szCs w:val="24"/>
        </w:rPr>
        <w:t xml:space="preserve">up to </w:t>
      </w:r>
      <w:r w:rsidRPr="486D63BF">
        <w:rPr>
          <w:rFonts w:ascii="Times New Roman" w:hAnsi="Times New Roman" w:cs="Times New Roman"/>
          <w:sz w:val="24"/>
          <w:szCs w:val="24"/>
        </w:rPr>
        <w:t xml:space="preserve">July 2022 in PubMed using the terms “siRNA OR RNAi”, “haemophilia OR </w:t>
      </w:r>
      <w:proofErr w:type="spellStart"/>
      <w:r w:rsidRPr="486D63BF">
        <w:rPr>
          <w:rFonts w:ascii="Times New Roman" w:hAnsi="Times New Roman" w:cs="Times New Roman"/>
          <w:sz w:val="24"/>
          <w:szCs w:val="24"/>
        </w:rPr>
        <w:t>hemophilia</w:t>
      </w:r>
      <w:proofErr w:type="spellEnd"/>
      <w:r w:rsidRPr="486D63BF">
        <w:rPr>
          <w:rFonts w:ascii="Times New Roman" w:hAnsi="Times New Roman" w:cs="Times New Roman"/>
          <w:sz w:val="24"/>
          <w:szCs w:val="24"/>
        </w:rPr>
        <w:t xml:space="preserve">”, and “clinical trial”; there were no trial results for siRNA molecules other than </w:t>
      </w:r>
      <w:proofErr w:type="spellStart"/>
      <w:r w:rsidRPr="486D63BF">
        <w:rPr>
          <w:rFonts w:ascii="Times New Roman" w:hAnsi="Times New Roman" w:cs="Times New Roman"/>
          <w:sz w:val="24"/>
          <w:szCs w:val="24"/>
        </w:rPr>
        <w:t>fitusiran</w:t>
      </w:r>
      <w:proofErr w:type="spellEnd"/>
      <w:r w:rsidRPr="486D63BF">
        <w:rPr>
          <w:rFonts w:ascii="Times New Roman" w:hAnsi="Times New Roman" w:cs="Times New Roman"/>
          <w:sz w:val="24"/>
          <w:szCs w:val="24"/>
        </w:rPr>
        <w:t xml:space="preserve"> in haemophilia. In Phase 1/2 studies of </w:t>
      </w:r>
      <w:proofErr w:type="spellStart"/>
      <w:r w:rsidRPr="486D63BF">
        <w:rPr>
          <w:rFonts w:ascii="Times New Roman" w:hAnsi="Times New Roman" w:cs="Times New Roman"/>
          <w:sz w:val="24"/>
          <w:szCs w:val="24"/>
        </w:rPr>
        <w:t>fitusiran</w:t>
      </w:r>
      <w:proofErr w:type="spellEnd"/>
      <w:r w:rsidRPr="486D63BF">
        <w:rPr>
          <w:rFonts w:ascii="Times New Roman" w:hAnsi="Times New Roman" w:cs="Times New Roman"/>
          <w:sz w:val="24"/>
          <w:szCs w:val="24"/>
        </w:rPr>
        <w:t xml:space="preserve"> prophylaxis, dose-dependent reductions in antithrombin resulted in </w:t>
      </w:r>
      <w:r>
        <w:rPr>
          <w:rFonts w:ascii="Times New Roman" w:hAnsi="Times New Roman" w:cs="Times New Roman"/>
          <w:sz w:val="24"/>
          <w:szCs w:val="24"/>
        </w:rPr>
        <w:t xml:space="preserve">increased thrombin generation and markedly reduced bleeding episodes </w:t>
      </w:r>
      <w:r w:rsidRPr="486D63BF">
        <w:rPr>
          <w:rFonts w:ascii="Times New Roman" w:hAnsi="Times New Roman" w:cs="Times New Roman"/>
          <w:sz w:val="24"/>
          <w:szCs w:val="24"/>
        </w:rPr>
        <w:t xml:space="preserve">in people with haemophilia A or B, with or without inhibitors. </w:t>
      </w:r>
    </w:p>
    <w:p w14:paraId="021262A2" w14:textId="77777777" w:rsidR="00DD7F18" w:rsidRPr="00D653EE" w:rsidRDefault="00DD7F18" w:rsidP="00F5429B">
      <w:pPr>
        <w:spacing w:line="360" w:lineRule="auto"/>
        <w:rPr>
          <w:rFonts w:ascii="Times New Roman" w:hAnsi="Times New Roman" w:cs="Times New Roman"/>
          <w:b/>
          <w:bCs/>
          <w:sz w:val="24"/>
          <w:szCs w:val="24"/>
        </w:rPr>
      </w:pPr>
      <w:r w:rsidRPr="00D653EE">
        <w:rPr>
          <w:rFonts w:ascii="Times New Roman" w:hAnsi="Times New Roman" w:cs="Times New Roman"/>
          <w:b/>
          <w:bCs/>
          <w:sz w:val="24"/>
          <w:szCs w:val="24"/>
        </w:rPr>
        <w:t xml:space="preserve">Added value of this study: </w:t>
      </w:r>
    </w:p>
    <w:p w14:paraId="165E8771" w14:textId="77777777" w:rsidR="00DD7F18" w:rsidRPr="00D653EE" w:rsidRDefault="00DD7F18" w:rsidP="00F5429B">
      <w:pPr>
        <w:spacing w:line="360" w:lineRule="auto"/>
        <w:rPr>
          <w:rFonts w:ascii="Times New Roman" w:hAnsi="Times New Roman" w:cs="Times New Roman"/>
          <w:sz w:val="24"/>
          <w:szCs w:val="24"/>
        </w:rPr>
      </w:pPr>
      <w:r w:rsidRPr="486D63BF">
        <w:rPr>
          <w:rFonts w:ascii="Times New Roman" w:hAnsi="Times New Roman" w:cs="Times New Roman"/>
          <w:sz w:val="24"/>
          <w:szCs w:val="24"/>
        </w:rPr>
        <w:t xml:space="preserve">The Phase 3 ATLAS-A/B trial was designed to investigate </w:t>
      </w:r>
      <w:proofErr w:type="spellStart"/>
      <w:r w:rsidRPr="486D63BF">
        <w:rPr>
          <w:rFonts w:ascii="Times New Roman" w:hAnsi="Times New Roman" w:cs="Times New Roman"/>
          <w:sz w:val="24"/>
          <w:szCs w:val="24"/>
        </w:rPr>
        <w:t>fitusiran</w:t>
      </w:r>
      <w:proofErr w:type="spellEnd"/>
      <w:r w:rsidRPr="486D63BF">
        <w:rPr>
          <w:rFonts w:ascii="Times New Roman" w:hAnsi="Times New Roman" w:cs="Times New Roman"/>
          <w:sz w:val="24"/>
          <w:szCs w:val="24"/>
        </w:rPr>
        <w:t xml:space="preserve"> prophylaxis in people with haemophilia A or B without inhibitors versus </w:t>
      </w:r>
      <w:r>
        <w:rPr>
          <w:rFonts w:ascii="Times New Roman" w:hAnsi="Times New Roman" w:cs="Times New Roman"/>
          <w:sz w:val="24"/>
          <w:szCs w:val="24"/>
        </w:rPr>
        <w:t>episodic (</w:t>
      </w:r>
      <w:r w:rsidRPr="486D63BF">
        <w:rPr>
          <w:rFonts w:ascii="Times New Roman" w:hAnsi="Times New Roman" w:cs="Times New Roman"/>
          <w:sz w:val="24"/>
          <w:szCs w:val="24"/>
        </w:rPr>
        <w:t>on-demand</w:t>
      </w:r>
      <w:r>
        <w:rPr>
          <w:rFonts w:ascii="Times New Roman" w:hAnsi="Times New Roman" w:cs="Times New Roman"/>
          <w:sz w:val="24"/>
          <w:szCs w:val="24"/>
        </w:rPr>
        <w:t>)</w:t>
      </w:r>
      <w:r w:rsidRPr="486D63BF">
        <w:rPr>
          <w:rFonts w:ascii="Times New Roman" w:hAnsi="Times New Roman" w:cs="Times New Roman"/>
          <w:sz w:val="24"/>
          <w:szCs w:val="24"/>
        </w:rPr>
        <w:t xml:space="preserve"> </w:t>
      </w:r>
      <w:r>
        <w:rPr>
          <w:rFonts w:ascii="Times New Roman" w:hAnsi="Times New Roman" w:cs="Times New Roman"/>
          <w:sz w:val="24"/>
          <w:szCs w:val="24"/>
        </w:rPr>
        <w:t xml:space="preserve">treatment with </w:t>
      </w:r>
      <w:r w:rsidRPr="486D63BF">
        <w:rPr>
          <w:rFonts w:ascii="Times New Roman" w:hAnsi="Times New Roman" w:cs="Times New Roman"/>
          <w:sz w:val="24"/>
          <w:szCs w:val="24"/>
        </w:rPr>
        <w:t xml:space="preserve">clotting factor concentrates. Our findings demonstrate that subcutaneous </w:t>
      </w:r>
      <w:proofErr w:type="spellStart"/>
      <w:r w:rsidRPr="486D63BF">
        <w:rPr>
          <w:rFonts w:ascii="Times New Roman" w:hAnsi="Times New Roman" w:cs="Times New Roman"/>
          <w:sz w:val="24"/>
          <w:szCs w:val="24"/>
        </w:rPr>
        <w:t>fitusiran</w:t>
      </w:r>
      <w:proofErr w:type="spellEnd"/>
      <w:r w:rsidRPr="486D63BF">
        <w:rPr>
          <w:rFonts w:ascii="Times New Roman" w:hAnsi="Times New Roman" w:cs="Times New Roman"/>
          <w:sz w:val="24"/>
          <w:szCs w:val="24"/>
        </w:rPr>
        <w:t xml:space="preserve"> prophylaxis provides sustained protection against bleeding and results in </w:t>
      </w:r>
      <w:r>
        <w:rPr>
          <w:rFonts w:ascii="Times New Roman" w:hAnsi="Times New Roman" w:cs="Times New Roman"/>
          <w:sz w:val="24"/>
          <w:szCs w:val="24"/>
        </w:rPr>
        <w:t xml:space="preserve">markedly </w:t>
      </w:r>
      <w:r w:rsidRPr="486D63BF">
        <w:rPr>
          <w:rFonts w:ascii="Times New Roman" w:hAnsi="Times New Roman" w:cs="Times New Roman"/>
          <w:sz w:val="24"/>
          <w:szCs w:val="24"/>
        </w:rPr>
        <w:t>improved bleeding phenotype in participants with haemophilia A or B without inhibitors</w:t>
      </w:r>
      <w:r>
        <w:rPr>
          <w:rFonts w:ascii="Times New Roman" w:hAnsi="Times New Roman" w:cs="Times New Roman"/>
          <w:sz w:val="24"/>
          <w:szCs w:val="24"/>
        </w:rPr>
        <w:t xml:space="preserve">, with approximately 50% of participants experiencing zero bleeds with </w:t>
      </w:r>
      <w:proofErr w:type="spellStart"/>
      <w:r>
        <w:rPr>
          <w:rFonts w:ascii="Times New Roman" w:hAnsi="Times New Roman" w:cs="Times New Roman"/>
          <w:sz w:val="24"/>
          <w:szCs w:val="24"/>
        </w:rPr>
        <w:t>fitusiran</w:t>
      </w:r>
      <w:proofErr w:type="spellEnd"/>
      <w:r>
        <w:rPr>
          <w:rFonts w:ascii="Times New Roman" w:hAnsi="Times New Roman" w:cs="Times New Roman"/>
          <w:sz w:val="24"/>
          <w:szCs w:val="24"/>
        </w:rPr>
        <w:t xml:space="preserve"> prophylaxis</w:t>
      </w:r>
      <w:r w:rsidRPr="486D63BF">
        <w:rPr>
          <w:rFonts w:ascii="Times New Roman" w:hAnsi="Times New Roman" w:cs="Times New Roman"/>
          <w:sz w:val="24"/>
          <w:szCs w:val="24"/>
        </w:rPr>
        <w:t xml:space="preserve">. These efficacy outcomes were accompanied by a meaningful improvement in quality of life and an overall reduction of </w:t>
      </w:r>
      <w:r>
        <w:rPr>
          <w:rFonts w:ascii="Times New Roman" w:hAnsi="Times New Roman" w:cs="Times New Roman"/>
          <w:sz w:val="24"/>
          <w:szCs w:val="24"/>
        </w:rPr>
        <w:t xml:space="preserve">both </w:t>
      </w:r>
      <w:r w:rsidRPr="486D63BF">
        <w:rPr>
          <w:rFonts w:ascii="Times New Roman" w:hAnsi="Times New Roman" w:cs="Times New Roman"/>
          <w:sz w:val="24"/>
          <w:szCs w:val="24"/>
        </w:rPr>
        <w:t xml:space="preserve">treatment and disease burden. Reported treatment-emergent adverse events were </w:t>
      </w:r>
      <w:r>
        <w:rPr>
          <w:rFonts w:ascii="Times New Roman" w:hAnsi="Times New Roman" w:cs="Times New Roman"/>
          <w:sz w:val="24"/>
          <w:szCs w:val="24"/>
        </w:rPr>
        <w:t xml:space="preserve">generally </w:t>
      </w:r>
      <w:r w:rsidRPr="486D63BF">
        <w:rPr>
          <w:rFonts w:ascii="Times New Roman" w:hAnsi="Times New Roman" w:cs="Times New Roman"/>
          <w:sz w:val="24"/>
          <w:szCs w:val="24"/>
        </w:rPr>
        <w:t xml:space="preserve">consistent with </w:t>
      </w:r>
      <w:r>
        <w:rPr>
          <w:rFonts w:ascii="Times New Roman" w:hAnsi="Times New Roman" w:cs="Times New Roman"/>
          <w:sz w:val="24"/>
          <w:szCs w:val="24"/>
        </w:rPr>
        <w:t>previously reported</w:t>
      </w:r>
      <w:r w:rsidRPr="486D63BF">
        <w:rPr>
          <w:rFonts w:ascii="Times New Roman" w:hAnsi="Times New Roman" w:cs="Times New Roman"/>
          <w:sz w:val="24"/>
          <w:szCs w:val="24"/>
        </w:rPr>
        <w:t xml:space="preserve"> risks of </w:t>
      </w:r>
      <w:proofErr w:type="spellStart"/>
      <w:r w:rsidRPr="486D63BF">
        <w:rPr>
          <w:rFonts w:ascii="Times New Roman" w:hAnsi="Times New Roman" w:cs="Times New Roman"/>
          <w:sz w:val="24"/>
          <w:szCs w:val="24"/>
        </w:rPr>
        <w:t>fitusiran</w:t>
      </w:r>
      <w:proofErr w:type="spellEnd"/>
      <w:r w:rsidRPr="486D63BF">
        <w:rPr>
          <w:rFonts w:ascii="Times New Roman" w:hAnsi="Times New Roman" w:cs="Times New Roman"/>
          <w:sz w:val="24"/>
          <w:szCs w:val="24"/>
        </w:rPr>
        <w:t xml:space="preserve"> or what is anticipated in an adult and adolescent population with severe haemophilia A or B. </w:t>
      </w:r>
    </w:p>
    <w:p w14:paraId="437EC26F" w14:textId="77777777" w:rsidR="00DD7F18" w:rsidRPr="00D653EE" w:rsidRDefault="00DD7F18" w:rsidP="00F5429B">
      <w:pPr>
        <w:spacing w:line="360" w:lineRule="auto"/>
        <w:rPr>
          <w:rFonts w:ascii="Times New Roman" w:hAnsi="Times New Roman" w:cs="Times New Roman"/>
          <w:b/>
          <w:bCs/>
          <w:sz w:val="24"/>
          <w:szCs w:val="24"/>
        </w:rPr>
      </w:pPr>
      <w:r w:rsidRPr="00D653EE">
        <w:rPr>
          <w:rFonts w:ascii="Times New Roman" w:hAnsi="Times New Roman" w:cs="Times New Roman"/>
          <w:b/>
          <w:bCs/>
          <w:sz w:val="24"/>
          <w:szCs w:val="24"/>
        </w:rPr>
        <w:lastRenderedPageBreak/>
        <w:t>Implications of all the available evidence</w:t>
      </w:r>
    </w:p>
    <w:p w14:paraId="70F5F8A2" w14:textId="77777777" w:rsidR="00DD7F18" w:rsidRPr="00D653EE" w:rsidRDefault="00DD7F18" w:rsidP="00F5429B">
      <w:pPr>
        <w:spacing w:line="360" w:lineRule="auto"/>
        <w:rPr>
          <w:rFonts w:ascii="Times New Roman" w:hAnsi="Times New Roman" w:cs="Times New Roman"/>
          <w:sz w:val="24"/>
          <w:szCs w:val="24"/>
        </w:rPr>
      </w:pPr>
      <w:r w:rsidRPr="486D63BF">
        <w:rPr>
          <w:rFonts w:ascii="Times New Roman" w:hAnsi="Times New Roman" w:cs="Times New Roman"/>
          <w:sz w:val="24"/>
          <w:szCs w:val="24"/>
        </w:rPr>
        <w:t xml:space="preserve">The evidence from available Phase 3 </w:t>
      </w:r>
      <w:proofErr w:type="spellStart"/>
      <w:r w:rsidRPr="486D63BF">
        <w:rPr>
          <w:rFonts w:ascii="Times New Roman" w:hAnsi="Times New Roman" w:cs="Times New Roman"/>
          <w:sz w:val="24"/>
          <w:szCs w:val="24"/>
        </w:rPr>
        <w:t>fitusiran</w:t>
      </w:r>
      <w:proofErr w:type="spellEnd"/>
      <w:r w:rsidRPr="486D63BF">
        <w:rPr>
          <w:rFonts w:ascii="Times New Roman" w:hAnsi="Times New Roman" w:cs="Times New Roman"/>
          <w:sz w:val="24"/>
          <w:szCs w:val="24"/>
        </w:rPr>
        <w:t xml:space="preserve"> studies (NCT03417245, NCT03417102</w:t>
      </w:r>
      <w:r>
        <w:rPr>
          <w:rFonts w:ascii="Times New Roman" w:hAnsi="Times New Roman" w:cs="Times New Roman"/>
          <w:sz w:val="24"/>
          <w:szCs w:val="24"/>
        </w:rPr>
        <w:t xml:space="preserve">, </w:t>
      </w:r>
      <w:r w:rsidRPr="00AF4854">
        <w:rPr>
          <w:rFonts w:ascii="Times New Roman" w:hAnsi="Times New Roman" w:cs="Times New Roman"/>
          <w:sz w:val="24"/>
          <w:szCs w:val="24"/>
        </w:rPr>
        <w:t>NCT03549871</w:t>
      </w:r>
      <w:r w:rsidRPr="486D63BF">
        <w:rPr>
          <w:rFonts w:ascii="Times New Roman" w:hAnsi="Times New Roman" w:cs="Times New Roman"/>
          <w:sz w:val="24"/>
          <w:szCs w:val="24"/>
        </w:rPr>
        <w:t xml:space="preserve">) indicate that subcutaneous </w:t>
      </w:r>
      <w:proofErr w:type="spellStart"/>
      <w:r w:rsidRPr="486D63BF">
        <w:rPr>
          <w:rFonts w:ascii="Times New Roman" w:hAnsi="Times New Roman" w:cs="Times New Roman"/>
          <w:sz w:val="24"/>
          <w:szCs w:val="24"/>
        </w:rPr>
        <w:t>fitusiran</w:t>
      </w:r>
      <w:proofErr w:type="spellEnd"/>
      <w:r w:rsidRPr="486D63BF">
        <w:rPr>
          <w:rFonts w:ascii="Times New Roman" w:hAnsi="Times New Roman" w:cs="Times New Roman"/>
          <w:sz w:val="24"/>
          <w:szCs w:val="24"/>
        </w:rPr>
        <w:t xml:space="preserve"> prophylaxis </w:t>
      </w:r>
      <w:r>
        <w:rPr>
          <w:rFonts w:ascii="Times New Roman" w:hAnsi="Times New Roman" w:cs="Times New Roman"/>
          <w:sz w:val="24"/>
          <w:szCs w:val="24"/>
        </w:rPr>
        <w:t xml:space="preserve">is the first haemostatic agent to provide effective bleed protection for all people with haemophilia, A or B, with or without inhibitors, resulting in a reduced treatment burden. </w:t>
      </w:r>
      <w:proofErr w:type="spellStart"/>
      <w:r w:rsidRPr="486D63BF">
        <w:rPr>
          <w:rFonts w:ascii="Times New Roman" w:hAnsi="Times New Roman" w:cs="Times New Roman"/>
          <w:sz w:val="24"/>
          <w:szCs w:val="24"/>
        </w:rPr>
        <w:t>Fitusiran</w:t>
      </w:r>
      <w:proofErr w:type="spellEnd"/>
      <w:r w:rsidRPr="486D63BF">
        <w:rPr>
          <w:rFonts w:ascii="Times New Roman" w:hAnsi="Times New Roman" w:cs="Times New Roman"/>
          <w:sz w:val="24"/>
          <w:szCs w:val="24"/>
        </w:rPr>
        <w:t xml:space="preserve"> has the potential to be the first prophylactic </w:t>
      </w:r>
      <w:r>
        <w:rPr>
          <w:rFonts w:ascii="Times New Roman" w:hAnsi="Times New Roman" w:cs="Times New Roman"/>
          <w:sz w:val="24"/>
          <w:szCs w:val="24"/>
        </w:rPr>
        <w:t>therapy effective in</w:t>
      </w:r>
      <w:r w:rsidRPr="486D63BF">
        <w:rPr>
          <w:rFonts w:ascii="Times New Roman" w:hAnsi="Times New Roman" w:cs="Times New Roman"/>
          <w:sz w:val="24"/>
          <w:szCs w:val="24"/>
        </w:rPr>
        <w:t xml:space="preserve"> all people with haemophilia,</w:t>
      </w:r>
      <w:r>
        <w:rPr>
          <w:rFonts w:ascii="Times New Roman" w:hAnsi="Times New Roman" w:cs="Times New Roman"/>
          <w:sz w:val="24"/>
          <w:szCs w:val="24"/>
        </w:rPr>
        <w:t xml:space="preserve"> irrespective of subtypes,</w:t>
      </w:r>
      <w:r w:rsidRPr="486D63BF">
        <w:rPr>
          <w:rFonts w:ascii="Times New Roman" w:hAnsi="Times New Roman" w:cs="Times New Roman"/>
          <w:sz w:val="24"/>
          <w:szCs w:val="24"/>
        </w:rPr>
        <w:t xml:space="preserve"> </w:t>
      </w:r>
      <w:r>
        <w:rPr>
          <w:rFonts w:ascii="Times New Roman" w:hAnsi="Times New Roman" w:cs="Times New Roman"/>
          <w:sz w:val="24"/>
          <w:szCs w:val="24"/>
        </w:rPr>
        <w:t>thereby potentially advancing health equity</w:t>
      </w:r>
      <w:r w:rsidRPr="486D63BF">
        <w:rPr>
          <w:rFonts w:ascii="Times New Roman" w:hAnsi="Times New Roman" w:cs="Times New Roman"/>
          <w:sz w:val="24"/>
          <w:szCs w:val="24"/>
        </w:rPr>
        <w:t xml:space="preserve"> and progress in closing the quality of life gap between people with </w:t>
      </w:r>
      <w:r w:rsidRPr="486D63BF">
        <w:rPr>
          <w:rFonts w:ascii="Times New Roman" w:eastAsia="Yu Gothic" w:hAnsi="Times New Roman" w:cs="Times New Roman"/>
          <w:sz w:val="24"/>
          <w:szCs w:val="24"/>
        </w:rPr>
        <w:t xml:space="preserve">and without haemophilia. </w:t>
      </w:r>
      <w:r w:rsidRPr="486D63BF">
        <w:rPr>
          <w:rFonts w:ascii="Times New Roman" w:hAnsi="Times New Roman" w:cs="Times New Roman"/>
          <w:sz w:val="24"/>
          <w:szCs w:val="24"/>
        </w:rPr>
        <w:t xml:space="preserve"> </w:t>
      </w:r>
    </w:p>
    <w:p w14:paraId="275056AA" w14:textId="77777777" w:rsidR="00DD7F18" w:rsidRPr="00D653EE" w:rsidRDefault="00DD7F18" w:rsidP="008B3DDE">
      <w:pPr>
        <w:spacing w:line="360" w:lineRule="auto"/>
        <w:rPr>
          <w:rFonts w:ascii="Times New Roman" w:eastAsiaTheme="majorEastAsia" w:hAnsi="Times New Roman" w:cs="Times New Roman"/>
          <w:b/>
          <w:color w:val="000000"/>
          <w:sz w:val="24"/>
          <w:szCs w:val="24"/>
        </w:rPr>
      </w:pPr>
      <w:r w:rsidRPr="00D653EE">
        <w:rPr>
          <w:rFonts w:ascii="Times New Roman" w:eastAsiaTheme="majorEastAsia" w:hAnsi="Times New Roman" w:cs="Times New Roman"/>
          <w:b/>
          <w:color w:val="000000"/>
          <w:sz w:val="24"/>
          <w:szCs w:val="24"/>
        </w:rPr>
        <w:br w:type="page"/>
      </w:r>
    </w:p>
    <w:p w14:paraId="50197C51" w14:textId="0A050167" w:rsidR="00DD7F18" w:rsidRPr="00D653EE" w:rsidRDefault="00DD7F18" w:rsidP="008B3DDE">
      <w:pPr>
        <w:spacing w:line="360" w:lineRule="auto"/>
        <w:rPr>
          <w:rFonts w:ascii="Times New Roman" w:eastAsiaTheme="majorEastAsia" w:hAnsi="Times New Roman" w:cs="Times New Roman"/>
          <w:b/>
          <w:color w:val="000000"/>
          <w:sz w:val="24"/>
          <w:szCs w:val="24"/>
        </w:rPr>
      </w:pPr>
      <w:r w:rsidRPr="00D653EE">
        <w:rPr>
          <w:rFonts w:ascii="Times New Roman" w:eastAsiaTheme="majorEastAsia" w:hAnsi="Times New Roman" w:cs="Times New Roman"/>
          <w:b/>
          <w:color w:val="000000"/>
          <w:sz w:val="24"/>
          <w:szCs w:val="24"/>
        </w:rPr>
        <w:lastRenderedPageBreak/>
        <w:t>Summary</w:t>
      </w:r>
    </w:p>
    <w:p w14:paraId="7CC310FB" w14:textId="77777777" w:rsidR="00DD7F18" w:rsidRPr="003C413F" w:rsidRDefault="00DD7F18" w:rsidP="008B3DDE">
      <w:pPr>
        <w:spacing w:line="360" w:lineRule="auto"/>
        <w:rPr>
          <w:rFonts w:ascii="Times New Roman" w:eastAsia="MS Gothic" w:hAnsi="Times New Roman" w:cs="Times New Roman"/>
          <w:bCs/>
          <w:sz w:val="24"/>
          <w:szCs w:val="24"/>
        </w:rPr>
      </w:pPr>
      <w:r w:rsidRPr="003C413F">
        <w:rPr>
          <w:rFonts w:ascii="Times New Roman" w:eastAsia="MS Gothic" w:hAnsi="Times New Roman" w:cs="Times New Roman"/>
          <w:b/>
          <w:sz w:val="24"/>
          <w:szCs w:val="24"/>
        </w:rPr>
        <w:t>Background</w:t>
      </w:r>
      <w:r w:rsidRPr="003C413F">
        <w:rPr>
          <w:rFonts w:ascii="Times New Roman" w:eastAsia="MS Gothic" w:hAnsi="Times New Roman" w:cs="Times New Roman"/>
          <w:bCs/>
          <w:sz w:val="24"/>
          <w:szCs w:val="24"/>
        </w:rPr>
        <w:t xml:space="preserve">: </w:t>
      </w:r>
      <w:proofErr w:type="spellStart"/>
      <w:r w:rsidRPr="003C413F">
        <w:rPr>
          <w:rFonts w:ascii="Times New Roman" w:eastAsia="MS Gothic" w:hAnsi="Times New Roman" w:cs="Times New Roman"/>
          <w:bCs/>
          <w:sz w:val="24"/>
          <w:szCs w:val="24"/>
        </w:rPr>
        <w:t>Fitusiran</w:t>
      </w:r>
      <w:proofErr w:type="spellEnd"/>
      <w:r w:rsidRPr="003C413F">
        <w:rPr>
          <w:rFonts w:ascii="Times New Roman" w:eastAsia="MS Gothic" w:hAnsi="Times New Roman" w:cs="Times New Roman"/>
          <w:bCs/>
          <w:sz w:val="24"/>
          <w:szCs w:val="24"/>
        </w:rPr>
        <w:t>, a subcutaneous investigational siRNA therapeutic, targets antithrombin to rebalance h</w:t>
      </w:r>
      <w:r>
        <w:rPr>
          <w:rFonts w:ascii="Times New Roman" w:eastAsia="MS Gothic" w:hAnsi="Times New Roman" w:cs="Times New Roman"/>
          <w:bCs/>
          <w:sz w:val="24"/>
          <w:szCs w:val="24"/>
        </w:rPr>
        <w:t>a</w:t>
      </w:r>
      <w:r w:rsidRPr="003C413F">
        <w:rPr>
          <w:rFonts w:ascii="Times New Roman" w:eastAsia="MS Gothic" w:hAnsi="Times New Roman" w:cs="Times New Roman"/>
          <w:bCs/>
          <w:sz w:val="24"/>
          <w:szCs w:val="24"/>
        </w:rPr>
        <w:t xml:space="preserve">emostasis in people with haemophilia A or B, irrespective of inhibitor status. We evaluated the efficacy and safety of </w:t>
      </w:r>
      <w:proofErr w:type="spellStart"/>
      <w:r w:rsidRPr="003C413F">
        <w:rPr>
          <w:rFonts w:ascii="Times New Roman" w:eastAsia="MS Gothic" w:hAnsi="Times New Roman" w:cs="Times New Roman"/>
          <w:bCs/>
          <w:sz w:val="24"/>
          <w:szCs w:val="24"/>
        </w:rPr>
        <w:t>fitusiran</w:t>
      </w:r>
      <w:proofErr w:type="spellEnd"/>
      <w:r w:rsidRPr="003C413F">
        <w:rPr>
          <w:rFonts w:ascii="Times New Roman" w:eastAsia="MS Gothic" w:hAnsi="Times New Roman" w:cs="Times New Roman"/>
          <w:bCs/>
          <w:sz w:val="24"/>
          <w:szCs w:val="24"/>
        </w:rPr>
        <w:t xml:space="preserve"> prophylaxis in people with severe haemophilia without inhibitors.</w:t>
      </w:r>
    </w:p>
    <w:p w14:paraId="626F5A0D" w14:textId="7D137AB8" w:rsidR="00DD7F18" w:rsidRPr="003C413F" w:rsidRDefault="00DD7F18" w:rsidP="008B3DDE">
      <w:pPr>
        <w:spacing w:line="360" w:lineRule="auto"/>
        <w:rPr>
          <w:rFonts w:ascii="Times New Roman" w:eastAsia="MS Gothic" w:hAnsi="Times New Roman" w:cs="Times New Roman"/>
          <w:bCs/>
          <w:sz w:val="24"/>
          <w:szCs w:val="24"/>
        </w:rPr>
      </w:pPr>
      <w:bookmarkStart w:id="5" w:name="_Hlk121905559"/>
      <w:r w:rsidRPr="003C413F">
        <w:rPr>
          <w:rFonts w:ascii="Times New Roman" w:eastAsia="MS Gothic" w:hAnsi="Times New Roman" w:cs="Times New Roman"/>
          <w:b/>
          <w:sz w:val="24"/>
          <w:szCs w:val="24"/>
        </w:rPr>
        <w:t>Methods</w:t>
      </w:r>
      <w:r w:rsidRPr="003C413F">
        <w:rPr>
          <w:rFonts w:ascii="Times New Roman" w:eastAsia="MS Gothic" w:hAnsi="Times New Roman" w:cs="Times New Roman"/>
          <w:bCs/>
          <w:sz w:val="24"/>
          <w:szCs w:val="24"/>
        </w:rPr>
        <w:t xml:space="preserve">: This multicentre, randomised, open-label </w:t>
      </w:r>
      <w:bookmarkStart w:id="6" w:name="_Hlk98418745"/>
      <w:r w:rsidRPr="003C413F">
        <w:rPr>
          <w:rFonts w:ascii="Times New Roman" w:eastAsia="MS Gothic" w:hAnsi="Times New Roman" w:cs="Times New Roman"/>
          <w:bCs/>
          <w:sz w:val="24"/>
          <w:szCs w:val="24"/>
        </w:rPr>
        <w:t>Phase 3 study was conducted at 45 sites in 17 countries. Males aged ≥12 years</w:t>
      </w:r>
      <w:r w:rsidRPr="003C413F">
        <w:rPr>
          <w:rFonts w:ascii="Times New Roman" w:eastAsia="MS Gothic" w:hAnsi="Times New Roman" w:cs="Times New Roman"/>
          <w:bCs/>
          <w:color w:val="FF0000"/>
          <w:sz w:val="24"/>
          <w:szCs w:val="24"/>
        </w:rPr>
        <w:t xml:space="preserve"> </w:t>
      </w:r>
      <w:r w:rsidRPr="003C413F">
        <w:rPr>
          <w:rFonts w:ascii="Times New Roman" w:eastAsia="MS Gothic" w:hAnsi="Times New Roman" w:cs="Times New Roman"/>
          <w:bCs/>
          <w:sz w:val="24"/>
          <w:szCs w:val="24"/>
        </w:rPr>
        <w:t>with severe haemophilia A or B without inhibitors previously treated on-demand with clotting factor concentrates (CFCs) were randomi</w:t>
      </w:r>
      <w:r>
        <w:rPr>
          <w:rFonts w:ascii="Times New Roman" w:eastAsia="MS Gothic" w:hAnsi="Times New Roman" w:cs="Times New Roman"/>
          <w:bCs/>
          <w:sz w:val="24"/>
          <w:szCs w:val="24"/>
        </w:rPr>
        <w:t>s</w:t>
      </w:r>
      <w:r w:rsidRPr="003C413F">
        <w:rPr>
          <w:rFonts w:ascii="Times New Roman" w:eastAsia="MS Gothic" w:hAnsi="Times New Roman" w:cs="Times New Roman"/>
          <w:bCs/>
          <w:sz w:val="24"/>
          <w:szCs w:val="24"/>
        </w:rPr>
        <w:t>ed 2:1</w:t>
      </w:r>
      <w:r w:rsidR="00E163CE">
        <w:rPr>
          <w:rFonts w:ascii="Times New Roman" w:eastAsia="MS Gothic" w:hAnsi="Times New Roman" w:cs="Times New Roman"/>
          <w:bCs/>
          <w:sz w:val="24"/>
          <w:szCs w:val="24"/>
        </w:rPr>
        <w:t xml:space="preserve"> </w:t>
      </w:r>
      <w:r w:rsidRPr="003C413F">
        <w:rPr>
          <w:rFonts w:ascii="Times New Roman" w:eastAsia="MS Gothic" w:hAnsi="Times New Roman" w:cs="Times New Roman"/>
          <w:bCs/>
          <w:sz w:val="24"/>
          <w:szCs w:val="24"/>
        </w:rPr>
        <w:t xml:space="preserve">to receive once-monthly 80 mg subcutaneous </w:t>
      </w:r>
      <w:proofErr w:type="spellStart"/>
      <w:r w:rsidRPr="003C413F">
        <w:rPr>
          <w:rFonts w:ascii="Times New Roman" w:eastAsia="MS Gothic" w:hAnsi="Times New Roman" w:cs="Times New Roman"/>
          <w:bCs/>
          <w:sz w:val="24"/>
          <w:szCs w:val="24"/>
        </w:rPr>
        <w:t>fitusiran</w:t>
      </w:r>
      <w:proofErr w:type="spellEnd"/>
      <w:r w:rsidRPr="003C413F">
        <w:rPr>
          <w:rFonts w:ascii="Times New Roman" w:eastAsia="MS Gothic" w:hAnsi="Times New Roman" w:cs="Times New Roman"/>
          <w:bCs/>
          <w:sz w:val="24"/>
          <w:szCs w:val="24"/>
        </w:rPr>
        <w:t xml:space="preserve"> prophylaxis or to continue on-demand CFCs for 9 months.</w:t>
      </w:r>
      <w:bookmarkEnd w:id="6"/>
      <w:r w:rsidRPr="003C413F">
        <w:rPr>
          <w:rFonts w:ascii="Times New Roman" w:eastAsia="MS Gothic" w:hAnsi="Times New Roman" w:cs="Times New Roman"/>
          <w:bCs/>
          <w:sz w:val="24"/>
          <w:szCs w:val="24"/>
        </w:rPr>
        <w:t xml:space="preserve"> </w:t>
      </w:r>
      <w:r w:rsidR="00E163CE">
        <w:rPr>
          <w:rFonts w:ascii="Times New Roman" w:eastAsiaTheme="majorEastAsia" w:hAnsi="Times New Roman" w:cs="Times New Roman"/>
          <w:bCs/>
          <w:sz w:val="24"/>
          <w:szCs w:val="24"/>
        </w:rPr>
        <w:t>In order to protect against bias, r</w:t>
      </w:r>
      <w:r w:rsidR="00E163CE" w:rsidRPr="00D653EE">
        <w:rPr>
          <w:rFonts w:ascii="Times New Roman" w:eastAsiaTheme="majorEastAsia" w:hAnsi="Times New Roman" w:cs="Times New Roman"/>
          <w:bCs/>
          <w:sz w:val="24"/>
          <w:szCs w:val="24"/>
        </w:rPr>
        <w:t xml:space="preserve">andomisation was stratified by the number of bleeding episodes in the 6 months prior to screening (≤10 vs &gt;10) </w:t>
      </w:r>
      <w:r w:rsidR="00E163CE" w:rsidRPr="003C413F">
        <w:rPr>
          <w:rFonts w:ascii="Times New Roman" w:eastAsiaTheme="majorEastAsia" w:hAnsi="Times New Roman" w:cs="Times New Roman"/>
          <w:bCs/>
          <w:color w:val="000000"/>
          <w:sz w:val="24"/>
          <w:szCs w:val="24"/>
        </w:rPr>
        <w:t>and haemophilia type (haemophilia A or B)</w:t>
      </w:r>
      <w:r w:rsidR="00E163CE">
        <w:rPr>
          <w:rFonts w:ascii="Times New Roman" w:eastAsiaTheme="majorEastAsia" w:hAnsi="Times New Roman" w:cs="Times New Roman"/>
          <w:bCs/>
          <w:color w:val="000000"/>
          <w:sz w:val="24"/>
          <w:szCs w:val="24"/>
        </w:rPr>
        <w:t xml:space="preserve">. </w:t>
      </w:r>
      <w:r w:rsidR="00E163CE" w:rsidRPr="00D653EE">
        <w:rPr>
          <w:rFonts w:ascii="Times New Roman" w:eastAsiaTheme="majorEastAsia" w:hAnsi="Times New Roman" w:cs="Times New Roman"/>
          <w:bCs/>
          <w:sz w:val="24"/>
          <w:szCs w:val="24"/>
        </w:rPr>
        <w:t xml:space="preserve">Upon signing the informed consent form, each participant was assigned a unique identifier by an interactive response system. The investigator contacted the interactive response system after confirming that the participant fulfilled all the inclusion criteria. </w:t>
      </w:r>
      <w:r w:rsidR="00E163CE" w:rsidRPr="00D653EE">
        <w:rPr>
          <w:rFonts w:ascii="Times New Roman" w:hAnsi="Times New Roman" w:cs="Times New Roman"/>
          <w:sz w:val="24"/>
          <w:szCs w:val="24"/>
        </w:rPr>
        <w:t>The trial was open-label, with both participants and investigators aware of treatment assignment.</w:t>
      </w:r>
      <w:r w:rsidR="00E163CE">
        <w:rPr>
          <w:rFonts w:ascii="Times New Roman" w:hAnsi="Times New Roman" w:cs="Times New Roman"/>
          <w:sz w:val="24"/>
          <w:szCs w:val="24"/>
        </w:rPr>
        <w:t xml:space="preserve"> </w:t>
      </w:r>
      <w:r w:rsidRPr="003C413F">
        <w:rPr>
          <w:rFonts w:ascii="Times New Roman" w:eastAsia="MS Gothic" w:hAnsi="Times New Roman" w:cs="Times New Roman"/>
          <w:bCs/>
          <w:sz w:val="24"/>
          <w:szCs w:val="24"/>
        </w:rPr>
        <w:t>Primary endpoint was annualised bleeding rate (ABR</w:t>
      </w:r>
      <w:r w:rsidR="00532DE5">
        <w:rPr>
          <w:rFonts w:ascii="Times New Roman" w:eastAsia="MS Gothic" w:hAnsi="Times New Roman" w:cs="Times New Roman"/>
          <w:bCs/>
          <w:sz w:val="24"/>
          <w:szCs w:val="24"/>
        </w:rPr>
        <w:t>; intent-to-treat analysis set</w:t>
      </w:r>
      <w:r w:rsidRPr="003C413F">
        <w:rPr>
          <w:rFonts w:ascii="Times New Roman" w:eastAsia="MS Gothic" w:hAnsi="Times New Roman" w:cs="Times New Roman"/>
          <w:bCs/>
          <w:sz w:val="24"/>
          <w:szCs w:val="24"/>
        </w:rPr>
        <w:t>). Safety and tolerability were assessed.</w:t>
      </w:r>
      <w:r w:rsidRPr="00D653EE">
        <w:t xml:space="preserve"> </w:t>
      </w:r>
      <w:r w:rsidRPr="003C413F">
        <w:rPr>
          <w:rFonts w:ascii="Times New Roman" w:eastAsia="MS Gothic" w:hAnsi="Times New Roman" w:cs="Times New Roman"/>
          <w:bCs/>
          <w:sz w:val="24"/>
          <w:szCs w:val="24"/>
        </w:rPr>
        <w:t xml:space="preserve">This trial </w:t>
      </w:r>
      <w:r w:rsidR="00532DE5">
        <w:rPr>
          <w:rFonts w:ascii="Times New Roman" w:eastAsia="MS Gothic" w:hAnsi="Times New Roman" w:cs="Times New Roman"/>
          <w:bCs/>
          <w:sz w:val="24"/>
          <w:szCs w:val="24"/>
        </w:rPr>
        <w:t>(</w:t>
      </w:r>
      <w:r w:rsidRPr="003C413F">
        <w:rPr>
          <w:rFonts w:ascii="Times New Roman" w:eastAsia="MS Gothic" w:hAnsi="Times New Roman" w:cs="Times New Roman"/>
          <w:bCs/>
          <w:sz w:val="24"/>
          <w:szCs w:val="24"/>
        </w:rPr>
        <w:t>Clinicaltrials.gov</w:t>
      </w:r>
      <w:r w:rsidR="00532DE5">
        <w:rPr>
          <w:rFonts w:ascii="Times New Roman" w:eastAsia="MS Gothic" w:hAnsi="Times New Roman" w:cs="Times New Roman"/>
          <w:bCs/>
          <w:sz w:val="24"/>
          <w:szCs w:val="24"/>
        </w:rPr>
        <w:t xml:space="preserve">; </w:t>
      </w:r>
      <w:r w:rsidRPr="003C413F">
        <w:rPr>
          <w:rFonts w:ascii="Times New Roman" w:eastAsia="MS Gothic" w:hAnsi="Times New Roman" w:cs="Times New Roman"/>
          <w:bCs/>
          <w:sz w:val="24"/>
          <w:szCs w:val="24"/>
        </w:rPr>
        <w:t>NCT03417245</w:t>
      </w:r>
      <w:r w:rsidR="00532DE5">
        <w:rPr>
          <w:rFonts w:ascii="Times New Roman" w:eastAsia="MS Gothic" w:hAnsi="Times New Roman" w:cs="Times New Roman"/>
          <w:bCs/>
          <w:sz w:val="24"/>
          <w:szCs w:val="24"/>
        </w:rPr>
        <w:t>)</w:t>
      </w:r>
      <w:r w:rsidRPr="003C413F">
        <w:rPr>
          <w:rFonts w:ascii="Times New Roman" w:eastAsia="MS Gothic" w:hAnsi="Times New Roman" w:cs="Times New Roman"/>
          <w:b/>
          <w:sz w:val="24"/>
          <w:szCs w:val="24"/>
        </w:rPr>
        <w:t xml:space="preserve"> </w:t>
      </w:r>
      <w:r w:rsidRPr="003C413F">
        <w:rPr>
          <w:rFonts w:ascii="Times New Roman" w:eastAsia="MS Gothic" w:hAnsi="Times New Roman" w:cs="Times New Roman"/>
          <w:bCs/>
          <w:sz w:val="24"/>
          <w:szCs w:val="24"/>
        </w:rPr>
        <w:t>has completed.</w:t>
      </w:r>
    </w:p>
    <w:bookmarkEnd w:id="5"/>
    <w:p w14:paraId="64DEA213" w14:textId="2CB2D83C" w:rsidR="00DD7F18" w:rsidRPr="003C413F" w:rsidRDefault="00DD7F18" w:rsidP="008B3DDE">
      <w:pPr>
        <w:spacing w:line="360" w:lineRule="auto"/>
        <w:rPr>
          <w:rFonts w:ascii="Times New Roman" w:eastAsia="MS Gothic" w:hAnsi="Times New Roman" w:cs="Times New Roman"/>
          <w:bCs/>
          <w:sz w:val="24"/>
          <w:szCs w:val="24"/>
        </w:rPr>
      </w:pPr>
      <w:r w:rsidRPr="003C413F">
        <w:rPr>
          <w:rFonts w:ascii="Times New Roman" w:eastAsia="MS Gothic" w:hAnsi="Times New Roman" w:cs="Times New Roman"/>
          <w:b/>
          <w:sz w:val="24"/>
          <w:szCs w:val="24"/>
        </w:rPr>
        <w:t>Findings</w:t>
      </w:r>
      <w:r w:rsidRPr="003C413F">
        <w:rPr>
          <w:rFonts w:ascii="Times New Roman" w:eastAsia="MS Gothic" w:hAnsi="Times New Roman" w:cs="Times New Roman"/>
          <w:bCs/>
          <w:sz w:val="24"/>
          <w:szCs w:val="24"/>
        </w:rPr>
        <w:t xml:space="preserve">: </w:t>
      </w:r>
      <w:r w:rsidRPr="00D653EE">
        <w:rPr>
          <w:rFonts w:ascii="Times New Roman" w:hAnsi="Times New Roman" w:cs="Times New Roman"/>
          <w:sz w:val="24"/>
          <w:szCs w:val="24"/>
        </w:rPr>
        <w:t>Between March 1, 2018 and</w:t>
      </w:r>
      <w:r w:rsidRPr="00D653EE">
        <w:rPr>
          <w:rFonts w:ascii="Times New Roman" w:hAnsi="Times New Roman" w:cs="Times New Roman"/>
          <w:b/>
          <w:bCs/>
          <w:sz w:val="24"/>
          <w:szCs w:val="24"/>
        </w:rPr>
        <w:t xml:space="preserve"> </w:t>
      </w:r>
      <w:r w:rsidRPr="00D653EE">
        <w:rPr>
          <w:rFonts w:ascii="Times New Roman" w:hAnsi="Times New Roman" w:cs="Times New Roman"/>
          <w:sz w:val="24"/>
          <w:szCs w:val="24"/>
        </w:rPr>
        <w:t>July 14, 2021, 177</w:t>
      </w:r>
      <w:r w:rsidRPr="00D653EE">
        <w:rPr>
          <w:rFonts w:ascii="Times New Roman" w:hAnsi="Times New Roman" w:cs="Times New Roman"/>
          <w:b/>
          <w:bCs/>
          <w:sz w:val="24"/>
          <w:szCs w:val="24"/>
        </w:rPr>
        <w:t xml:space="preserve"> </w:t>
      </w:r>
      <w:r w:rsidRPr="00D653EE">
        <w:rPr>
          <w:rFonts w:ascii="Times New Roman" w:hAnsi="Times New Roman" w:cs="Times New Roman"/>
          <w:sz w:val="24"/>
          <w:szCs w:val="24"/>
        </w:rPr>
        <w:t>participants were screened and 120</w:t>
      </w:r>
      <w:r w:rsidR="00532DE5">
        <w:rPr>
          <w:rFonts w:ascii="Times New Roman" w:hAnsi="Times New Roman" w:cs="Times New Roman"/>
          <w:sz w:val="24"/>
          <w:szCs w:val="24"/>
        </w:rPr>
        <w:t xml:space="preserve"> participants</w:t>
      </w:r>
      <w:r w:rsidRPr="00D653EE">
        <w:rPr>
          <w:rFonts w:ascii="Times New Roman" w:hAnsi="Times New Roman" w:cs="Times New Roman"/>
          <w:sz w:val="24"/>
          <w:szCs w:val="24"/>
        </w:rPr>
        <w:t xml:space="preserve"> were randomised to </w:t>
      </w:r>
      <w:proofErr w:type="spellStart"/>
      <w:r w:rsidRPr="00D653EE">
        <w:rPr>
          <w:rFonts w:ascii="Times New Roman" w:hAnsi="Times New Roman" w:cs="Times New Roman"/>
          <w:sz w:val="24"/>
          <w:szCs w:val="24"/>
        </w:rPr>
        <w:t>fitusiran</w:t>
      </w:r>
      <w:proofErr w:type="spellEnd"/>
      <w:r w:rsidRPr="00D653EE">
        <w:rPr>
          <w:rFonts w:ascii="Times New Roman" w:hAnsi="Times New Roman" w:cs="Times New Roman"/>
          <w:sz w:val="24"/>
          <w:szCs w:val="24"/>
        </w:rPr>
        <w:t xml:space="preserve"> prophylaxis (n=80) or on-demand CFCs (n=40). </w:t>
      </w:r>
      <w:r w:rsidR="001223A4">
        <w:rPr>
          <w:rFonts w:ascii="Times New Roman" w:hAnsi="Times New Roman" w:cs="Times New Roman"/>
          <w:sz w:val="24"/>
          <w:szCs w:val="24"/>
        </w:rPr>
        <w:t xml:space="preserve">Median follow-up (IQR) was 7.8 months in the </w:t>
      </w:r>
      <w:proofErr w:type="spellStart"/>
      <w:r w:rsidR="001223A4">
        <w:rPr>
          <w:rFonts w:ascii="Times New Roman" w:hAnsi="Times New Roman" w:cs="Times New Roman"/>
          <w:sz w:val="24"/>
          <w:szCs w:val="24"/>
        </w:rPr>
        <w:t>fitusiran</w:t>
      </w:r>
      <w:proofErr w:type="spellEnd"/>
      <w:r w:rsidR="001223A4">
        <w:rPr>
          <w:rFonts w:ascii="Times New Roman" w:hAnsi="Times New Roman" w:cs="Times New Roman"/>
          <w:sz w:val="24"/>
          <w:szCs w:val="24"/>
        </w:rPr>
        <w:t xml:space="preserve"> group </w:t>
      </w:r>
      <w:r w:rsidR="001223A4" w:rsidRPr="001418BB">
        <w:rPr>
          <w:rFonts w:ascii="Times New Roman" w:hAnsi="Times New Roman" w:cs="Times New Roman"/>
          <w:sz w:val="24"/>
          <w:szCs w:val="24"/>
        </w:rPr>
        <w:t>(</w:t>
      </w:r>
      <w:r w:rsidR="001418BB" w:rsidRPr="001418BB">
        <w:rPr>
          <w:rFonts w:ascii="Times New Roman" w:eastAsia="Times New Roman" w:hAnsi="Times New Roman" w:cs="Times New Roman"/>
          <w:kern w:val="24"/>
          <w:sz w:val="24"/>
          <w:szCs w:val="24"/>
          <w:lang w:eastAsia="en-GB"/>
        </w:rPr>
        <w:t>7</w:t>
      </w:r>
      <w:r w:rsidR="001418BB" w:rsidRPr="001418BB">
        <w:rPr>
          <w:rFonts w:ascii="Times New Roman" w:eastAsia="Times New Roman" w:hAnsi="Times New Roman" w:cs="Times New Roman"/>
          <w:b/>
          <w:bCs/>
          <w:kern w:val="24"/>
          <w:sz w:val="24"/>
          <w:szCs w:val="24"/>
          <w:lang w:eastAsia="en-GB"/>
        </w:rPr>
        <w:t>·</w:t>
      </w:r>
      <w:r w:rsidR="001418BB" w:rsidRPr="001418BB">
        <w:rPr>
          <w:rFonts w:ascii="Times New Roman" w:eastAsia="Times New Roman" w:hAnsi="Times New Roman" w:cs="Times New Roman"/>
          <w:kern w:val="24"/>
          <w:sz w:val="24"/>
          <w:szCs w:val="24"/>
          <w:lang w:eastAsia="en-GB"/>
        </w:rPr>
        <w:t>8</w:t>
      </w:r>
      <w:r w:rsidR="001223A4" w:rsidRPr="001418BB">
        <w:rPr>
          <w:rFonts w:ascii="Times New Roman" w:hAnsi="Times New Roman" w:cs="Times New Roman"/>
          <w:sz w:val="24"/>
          <w:szCs w:val="24"/>
        </w:rPr>
        <w:t xml:space="preserve">; </w:t>
      </w:r>
      <w:r w:rsidR="001418BB" w:rsidRPr="001418BB">
        <w:rPr>
          <w:rFonts w:ascii="Times New Roman" w:eastAsia="Times New Roman" w:hAnsi="Times New Roman" w:cs="Times New Roman"/>
          <w:kern w:val="24"/>
          <w:sz w:val="24"/>
          <w:szCs w:val="24"/>
          <w:lang w:eastAsia="en-GB"/>
        </w:rPr>
        <w:t>7</w:t>
      </w:r>
      <w:r w:rsidR="001418BB" w:rsidRPr="001418BB">
        <w:rPr>
          <w:rFonts w:ascii="Times New Roman" w:eastAsia="Times New Roman" w:hAnsi="Times New Roman" w:cs="Times New Roman"/>
          <w:b/>
          <w:bCs/>
          <w:kern w:val="24"/>
          <w:sz w:val="24"/>
          <w:szCs w:val="24"/>
          <w:lang w:eastAsia="en-GB"/>
        </w:rPr>
        <w:t>·</w:t>
      </w:r>
      <w:r w:rsidR="001418BB" w:rsidRPr="001418BB">
        <w:rPr>
          <w:rFonts w:ascii="Times New Roman" w:eastAsia="Times New Roman" w:hAnsi="Times New Roman" w:cs="Times New Roman"/>
          <w:kern w:val="24"/>
          <w:sz w:val="24"/>
          <w:szCs w:val="24"/>
          <w:lang w:eastAsia="en-GB"/>
        </w:rPr>
        <w:t>8</w:t>
      </w:r>
      <w:r w:rsidR="001223A4" w:rsidRPr="001418BB">
        <w:rPr>
          <w:rFonts w:ascii="Times New Roman" w:hAnsi="Times New Roman" w:cs="Times New Roman"/>
          <w:sz w:val="24"/>
          <w:szCs w:val="24"/>
        </w:rPr>
        <w:t xml:space="preserve">) </w:t>
      </w:r>
      <w:r w:rsidR="001223A4">
        <w:rPr>
          <w:rFonts w:ascii="Times New Roman" w:hAnsi="Times New Roman" w:cs="Times New Roman"/>
          <w:sz w:val="24"/>
          <w:szCs w:val="24"/>
        </w:rPr>
        <w:t xml:space="preserve">and 7.8 months in the on-demand CFC group </w:t>
      </w:r>
      <w:r w:rsidR="001418BB" w:rsidRPr="001418BB">
        <w:rPr>
          <w:rFonts w:ascii="Times New Roman" w:hAnsi="Times New Roman" w:cs="Times New Roman"/>
          <w:sz w:val="24"/>
          <w:szCs w:val="24"/>
        </w:rPr>
        <w:t>(</w:t>
      </w:r>
      <w:r w:rsidR="001418BB" w:rsidRPr="001418BB">
        <w:rPr>
          <w:rFonts w:ascii="Times New Roman" w:eastAsia="Times New Roman" w:hAnsi="Times New Roman" w:cs="Times New Roman"/>
          <w:kern w:val="24"/>
          <w:sz w:val="24"/>
          <w:szCs w:val="24"/>
          <w:lang w:eastAsia="en-GB"/>
        </w:rPr>
        <w:t>7</w:t>
      </w:r>
      <w:r w:rsidR="001418BB" w:rsidRPr="001418BB">
        <w:rPr>
          <w:rFonts w:ascii="Times New Roman" w:eastAsia="Times New Roman" w:hAnsi="Times New Roman" w:cs="Times New Roman"/>
          <w:b/>
          <w:bCs/>
          <w:kern w:val="24"/>
          <w:sz w:val="24"/>
          <w:szCs w:val="24"/>
          <w:lang w:eastAsia="en-GB"/>
        </w:rPr>
        <w:t>·</w:t>
      </w:r>
      <w:r w:rsidR="001418BB" w:rsidRPr="001418BB">
        <w:rPr>
          <w:rFonts w:ascii="Times New Roman" w:eastAsia="Times New Roman" w:hAnsi="Times New Roman" w:cs="Times New Roman"/>
          <w:kern w:val="24"/>
          <w:sz w:val="24"/>
          <w:szCs w:val="24"/>
          <w:lang w:eastAsia="en-GB"/>
        </w:rPr>
        <w:t>8</w:t>
      </w:r>
      <w:r w:rsidR="001418BB" w:rsidRPr="001418BB">
        <w:rPr>
          <w:rFonts w:ascii="Times New Roman" w:hAnsi="Times New Roman" w:cs="Times New Roman"/>
          <w:sz w:val="24"/>
          <w:szCs w:val="24"/>
        </w:rPr>
        <w:t xml:space="preserve">; </w:t>
      </w:r>
      <w:r w:rsidR="001418BB" w:rsidRPr="001418BB">
        <w:rPr>
          <w:rFonts w:ascii="Times New Roman" w:eastAsia="Times New Roman" w:hAnsi="Times New Roman" w:cs="Times New Roman"/>
          <w:kern w:val="24"/>
          <w:sz w:val="24"/>
          <w:szCs w:val="24"/>
          <w:lang w:eastAsia="en-GB"/>
        </w:rPr>
        <w:t>7</w:t>
      </w:r>
      <w:r w:rsidR="001418BB" w:rsidRPr="001418BB">
        <w:rPr>
          <w:rFonts w:ascii="Times New Roman" w:eastAsia="Times New Roman" w:hAnsi="Times New Roman" w:cs="Times New Roman"/>
          <w:b/>
          <w:bCs/>
          <w:kern w:val="24"/>
          <w:sz w:val="24"/>
          <w:szCs w:val="24"/>
          <w:lang w:eastAsia="en-GB"/>
        </w:rPr>
        <w:t>·</w:t>
      </w:r>
      <w:r w:rsidR="001418BB" w:rsidRPr="001418BB">
        <w:rPr>
          <w:rFonts w:ascii="Times New Roman" w:eastAsia="Times New Roman" w:hAnsi="Times New Roman" w:cs="Times New Roman"/>
          <w:kern w:val="24"/>
          <w:sz w:val="24"/>
          <w:szCs w:val="24"/>
          <w:lang w:eastAsia="en-GB"/>
        </w:rPr>
        <w:t>8</w:t>
      </w:r>
      <w:r w:rsidR="001418BB" w:rsidRPr="001418BB">
        <w:rPr>
          <w:rFonts w:ascii="Times New Roman" w:hAnsi="Times New Roman" w:cs="Times New Roman"/>
          <w:sz w:val="24"/>
          <w:szCs w:val="24"/>
        </w:rPr>
        <w:t>)</w:t>
      </w:r>
      <w:r w:rsidR="001418BB">
        <w:rPr>
          <w:rFonts w:ascii="Times New Roman" w:hAnsi="Times New Roman" w:cs="Times New Roman"/>
          <w:sz w:val="24"/>
          <w:szCs w:val="24"/>
        </w:rPr>
        <w:t>.</w:t>
      </w:r>
      <w:r w:rsidR="001418BB" w:rsidRPr="001418BB">
        <w:rPr>
          <w:rFonts w:ascii="Times New Roman" w:hAnsi="Times New Roman" w:cs="Times New Roman"/>
          <w:sz w:val="24"/>
          <w:szCs w:val="24"/>
        </w:rPr>
        <w:t xml:space="preserve"> </w:t>
      </w:r>
      <w:r w:rsidRPr="003C413F">
        <w:rPr>
          <w:rFonts w:ascii="Times New Roman" w:eastAsia="MS Gothic" w:hAnsi="Times New Roman" w:cs="Times New Roman"/>
          <w:bCs/>
          <w:sz w:val="24"/>
          <w:szCs w:val="24"/>
        </w:rPr>
        <w:t xml:space="preserve">Median ABR (IQR) was 0·0 (0·0; 3·4) in the </w:t>
      </w:r>
      <w:proofErr w:type="spellStart"/>
      <w:r w:rsidRPr="003C413F">
        <w:rPr>
          <w:rFonts w:ascii="Times New Roman" w:eastAsia="MS Gothic" w:hAnsi="Times New Roman" w:cs="Times New Roman"/>
          <w:bCs/>
          <w:sz w:val="24"/>
          <w:szCs w:val="24"/>
        </w:rPr>
        <w:t>fitusiran</w:t>
      </w:r>
      <w:proofErr w:type="spellEnd"/>
      <w:r w:rsidRPr="003C413F">
        <w:rPr>
          <w:rFonts w:ascii="Times New Roman" w:eastAsia="MS Gothic" w:hAnsi="Times New Roman" w:cs="Times New Roman"/>
          <w:bCs/>
          <w:sz w:val="24"/>
          <w:szCs w:val="24"/>
        </w:rPr>
        <w:t xml:space="preserve"> group and 21·8 (8·4; 41·0) in the on-demand CFC group. Estimated </w:t>
      </w:r>
      <w:r w:rsidRPr="00D653EE">
        <w:rPr>
          <w:rFonts w:ascii="Times New Roman" w:hAnsi="Times New Roman" w:cs="Times New Roman"/>
          <w:sz w:val="24"/>
          <w:szCs w:val="24"/>
        </w:rPr>
        <w:t xml:space="preserve">mean ABR (95% CI) was statistically significantly lower in the </w:t>
      </w:r>
      <w:proofErr w:type="spellStart"/>
      <w:r w:rsidRPr="00D653EE">
        <w:rPr>
          <w:rFonts w:ascii="Times New Roman" w:hAnsi="Times New Roman" w:cs="Times New Roman"/>
          <w:sz w:val="24"/>
          <w:szCs w:val="24"/>
        </w:rPr>
        <w:t>fitusiran</w:t>
      </w:r>
      <w:proofErr w:type="spellEnd"/>
      <w:r w:rsidRPr="00D653EE">
        <w:rPr>
          <w:rFonts w:ascii="Times New Roman" w:hAnsi="Times New Roman" w:cs="Times New Roman"/>
          <w:sz w:val="24"/>
          <w:szCs w:val="24"/>
        </w:rPr>
        <w:t xml:space="preserve"> prophylaxis group (3·1 [95% CI: 2·3; 4·3]) versus </w:t>
      </w:r>
      <w:r w:rsidR="0039496C">
        <w:rPr>
          <w:rFonts w:ascii="Times New Roman" w:hAnsi="Times New Roman" w:cs="Times New Roman"/>
          <w:sz w:val="24"/>
          <w:szCs w:val="24"/>
        </w:rPr>
        <w:t xml:space="preserve">the </w:t>
      </w:r>
      <w:r w:rsidRPr="00D653EE">
        <w:rPr>
          <w:rFonts w:ascii="Times New Roman" w:hAnsi="Times New Roman" w:cs="Times New Roman"/>
          <w:sz w:val="24"/>
          <w:szCs w:val="24"/>
        </w:rPr>
        <w:t>on-demand CFC group (31·0 [95% CI: 21·1; 45·5]</w:t>
      </w:r>
      <w:r w:rsidR="0039496C">
        <w:rPr>
          <w:rFonts w:ascii="Times New Roman" w:eastAsia="MS Gothic" w:hAnsi="Times New Roman" w:cs="Times New Roman"/>
          <w:bCs/>
          <w:sz w:val="24"/>
          <w:szCs w:val="24"/>
        </w:rPr>
        <w:t xml:space="preserve">; </w:t>
      </w:r>
      <w:r w:rsidR="0039496C" w:rsidRPr="00964870">
        <w:rPr>
          <w:rFonts w:ascii="Times New Roman" w:eastAsia="MS Gothic" w:hAnsi="Times New Roman" w:cs="Times New Roman"/>
          <w:bCs/>
          <w:sz w:val="24"/>
          <w:szCs w:val="24"/>
        </w:rPr>
        <w:t>rate ratio: 0.101; p&lt;0</w:t>
      </w:r>
      <w:r w:rsidR="0039496C" w:rsidRPr="003C413F">
        <w:rPr>
          <w:rFonts w:ascii="Times New Roman" w:eastAsia="MS Gothic" w:hAnsi="Times New Roman" w:cs="Times New Roman"/>
          <w:bCs/>
          <w:sz w:val="24"/>
          <w:szCs w:val="24"/>
        </w:rPr>
        <w:t>·</w:t>
      </w:r>
      <w:r w:rsidR="0039496C" w:rsidRPr="00964870">
        <w:rPr>
          <w:rFonts w:ascii="Times New Roman" w:eastAsia="MS Gothic" w:hAnsi="Times New Roman" w:cs="Times New Roman"/>
          <w:bCs/>
          <w:sz w:val="24"/>
          <w:szCs w:val="24"/>
        </w:rPr>
        <w:t>0001)</w:t>
      </w:r>
      <w:r w:rsidRPr="00D653EE">
        <w:rPr>
          <w:rFonts w:ascii="Times New Roman" w:hAnsi="Times New Roman" w:cs="Times New Roman"/>
          <w:sz w:val="24"/>
          <w:szCs w:val="24"/>
        </w:rPr>
        <w:t xml:space="preserve">. </w:t>
      </w:r>
      <w:r w:rsidRPr="003C413F">
        <w:rPr>
          <w:rFonts w:ascii="Times New Roman" w:eastAsia="MS Gothic" w:hAnsi="Times New Roman" w:cs="Times New Roman"/>
          <w:bCs/>
          <w:sz w:val="24"/>
          <w:szCs w:val="24"/>
        </w:rPr>
        <w:t xml:space="preserve">In the </w:t>
      </w:r>
      <w:proofErr w:type="spellStart"/>
      <w:r w:rsidRPr="003C413F">
        <w:rPr>
          <w:rFonts w:ascii="Times New Roman" w:eastAsia="MS Gothic" w:hAnsi="Times New Roman" w:cs="Times New Roman"/>
          <w:bCs/>
          <w:sz w:val="24"/>
          <w:szCs w:val="24"/>
        </w:rPr>
        <w:t>fitusiran</w:t>
      </w:r>
      <w:proofErr w:type="spellEnd"/>
      <w:r w:rsidRPr="003C413F">
        <w:rPr>
          <w:rFonts w:ascii="Times New Roman" w:eastAsia="MS Gothic" w:hAnsi="Times New Roman" w:cs="Times New Roman"/>
          <w:bCs/>
          <w:sz w:val="24"/>
          <w:szCs w:val="24"/>
        </w:rPr>
        <w:t xml:space="preserve"> group, 40 participants (5</w:t>
      </w:r>
      <w:r w:rsidR="00A84DB7">
        <w:rPr>
          <w:rFonts w:ascii="Times New Roman" w:eastAsia="MS Gothic" w:hAnsi="Times New Roman" w:cs="Times New Roman"/>
          <w:bCs/>
          <w:sz w:val="24"/>
          <w:szCs w:val="24"/>
        </w:rPr>
        <w:t>1</w:t>
      </w:r>
      <w:r w:rsidRPr="003C413F">
        <w:rPr>
          <w:rFonts w:ascii="Times New Roman" w:eastAsia="MS Gothic" w:hAnsi="Times New Roman" w:cs="Times New Roman"/>
          <w:bCs/>
          <w:sz w:val="24"/>
          <w:szCs w:val="24"/>
        </w:rPr>
        <w:t xml:space="preserve">%) experienced zero treated bleeds </w:t>
      </w:r>
      <w:r w:rsidRPr="00D653EE">
        <w:rPr>
          <w:rFonts w:ascii="Times New Roman" w:eastAsiaTheme="majorEastAsia" w:hAnsi="Times New Roman" w:cs="Times New Roman"/>
          <w:bCs/>
          <w:color w:val="000000"/>
          <w:sz w:val="24"/>
          <w:szCs w:val="24"/>
        </w:rPr>
        <w:t>versus two (5%) in the on-demand CFC group</w:t>
      </w:r>
      <w:r w:rsidRPr="003C413F">
        <w:rPr>
          <w:rFonts w:ascii="Times New Roman" w:eastAsia="MS Gothic" w:hAnsi="Times New Roman" w:cs="Times New Roman"/>
          <w:bCs/>
          <w:sz w:val="24"/>
          <w:szCs w:val="24"/>
        </w:rPr>
        <w:t>. Increased</w:t>
      </w:r>
      <w:r w:rsidRPr="003C413F" w:rsidDel="008E620A">
        <w:rPr>
          <w:rFonts w:ascii="Times New Roman" w:eastAsia="MS Gothic" w:hAnsi="Times New Roman" w:cs="Times New Roman"/>
          <w:bCs/>
          <w:sz w:val="24"/>
          <w:szCs w:val="24"/>
        </w:rPr>
        <w:t xml:space="preserve"> </w:t>
      </w:r>
      <w:r w:rsidRPr="003C413F">
        <w:rPr>
          <w:rFonts w:ascii="Times New Roman" w:eastAsia="MS Gothic" w:hAnsi="Times New Roman" w:cs="Times New Roman"/>
          <w:bCs/>
          <w:sz w:val="24"/>
          <w:szCs w:val="24"/>
        </w:rPr>
        <w:t>alanine aminotransferase (18 participants; 2</w:t>
      </w:r>
      <w:r w:rsidR="00A84DB7">
        <w:rPr>
          <w:rFonts w:ascii="Times New Roman" w:eastAsia="MS Gothic" w:hAnsi="Times New Roman" w:cs="Times New Roman"/>
          <w:bCs/>
          <w:sz w:val="24"/>
          <w:szCs w:val="24"/>
        </w:rPr>
        <w:t>3</w:t>
      </w:r>
      <w:r w:rsidRPr="003C413F">
        <w:rPr>
          <w:rFonts w:ascii="Times New Roman" w:eastAsia="MS Gothic" w:hAnsi="Times New Roman" w:cs="Times New Roman"/>
          <w:bCs/>
          <w:sz w:val="24"/>
          <w:szCs w:val="24"/>
        </w:rPr>
        <w:t xml:space="preserve">%) was the most common treatment-emergent adverse event (TEAE) in the </w:t>
      </w:r>
      <w:proofErr w:type="spellStart"/>
      <w:r w:rsidRPr="003C413F">
        <w:rPr>
          <w:rFonts w:ascii="Times New Roman" w:eastAsia="MS Gothic" w:hAnsi="Times New Roman" w:cs="Times New Roman"/>
          <w:bCs/>
          <w:sz w:val="24"/>
          <w:szCs w:val="24"/>
        </w:rPr>
        <w:t>fitusiran</w:t>
      </w:r>
      <w:proofErr w:type="spellEnd"/>
      <w:r w:rsidRPr="003C413F">
        <w:rPr>
          <w:rFonts w:ascii="Times New Roman" w:eastAsia="MS Gothic" w:hAnsi="Times New Roman" w:cs="Times New Roman"/>
          <w:bCs/>
          <w:sz w:val="24"/>
          <w:szCs w:val="24"/>
        </w:rPr>
        <w:t xml:space="preserve"> group. No TEAEs of thrombosis or deaths were reported. </w:t>
      </w:r>
    </w:p>
    <w:p w14:paraId="4BFCAEAF" w14:textId="6BA3BABC" w:rsidR="00DD7F18" w:rsidRPr="00D653EE" w:rsidRDefault="00DD7F18" w:rsidP="008B3DDE">
      <w:pPr>
        <w:spacing w:line="360" w:lineRule="auto"/>
        <w:rPr>
          <w:rFonts w:ascii="Times New Roman" w:hAnsi="Times New Roman" w:cs="Times New Roman"/>
          <w:sz w:val="24"/>
          <w:szCs w:val="24"/>
        </w:rPr>
      </w:pPr>
      <w:r w:rsidRPr="003C413F">
        <w:rPr>
          <w:rFonts w:ascii="Times New Roman" w:eastAsia="MS Gothic" w:hAnsi="Times New Roman" w:cs="Times New Roman"/>
          <w:b/>
          <w:sz w:val="24"/>
          <w:szCs w:val="24"/>
        </w:rPr>
        <w:t>Interpretation</w:t>
      </w:r>
      <w:r w:rsidRPr="00D653EE">
        <w:rPr>
          <w:rFonts w:ascii="Times New Roman" w:eastAsiaTheme="majorEastAsia" w:hAnsi="Times New Roman" w:cs="Times New Roman"/>
          <w:bCs/>
          <w:color w:val="000000"/>
          <w:sz w:val="24"/>
          <w:szCs w:val="24"/>
        </w:rPr>
        <w:t xml:space="preserve">: </w:t>
      </w:r>
      <w:bookmarkStart w:id="7" w:name="_Hlk98418146"/>
      <w:proofErr w:type="spellStart"/>
      <w:r w:rsidRPr="00D653EE">
        <w:rPr>
          <w:rFonts w:ascii="Times New Roman" w:eastAsiaTheme="majorEastAsia" w:hAnsi="Times New Roman" w:cs="Times New Roman"/>
          <w:bCs/>
          <w:color w:val="000000"/>
          <w:sz w:val="24"/>
          <w:szCs w:val="24"/>
        </w:rPr>
        <w:t>Fitusiran</w:t>
      </w:r>
      <w:proofErr w:type="spellEnd"/>
      <w:r w:rsidRPr="00D653EE">
        <w:rPr>
          <w:rFonts w:ascii="Times New Roman" w:eastAsiaTheme="majorEastAsia" w:hAnsi="Times New Roman" w:cs="Times New Roman"/>
          <w:bCs/>
          <w:color w:val="000000"/>
          <w:sz w:val="24"/>
          <w:szCs w:val="24"/>
        </w:rPr>
        <w:t xml:space="preserve"> prophylaxis resulted in statistically significant reduction</w:t>
      </w:r>
      <w:r w:rsidR="0039496C">
        <w:rPr>
          <w:rFonts w:ascii="Times New Roman" w:eastAsiaTheme="majorEastAsia" w:hAnsi="Times New Roman" w:cs="Times New Roman"/>
          <w:bCs/>
          <w:color w:val="000000"/>
          <w:sz w:val="24"/>
          <w:szCs w:val="24"/>
        </w:rPr>
        <w:t>s</w:t>
      </w:r>
      <w:r w:rsidRPr="00D653EE">
        <w:rPr>
          <w:rFonts w:ascii="Times New Roman" w:eastAsiaTheme="majorEastAsia" w:hAnsi="Times New Roman" w:cs="Times New Roman"/>
          <w:bCs/>
          <w:color w:val="000000"/>
          <w:sz w:val="24"/>
          <w:szCs w:val="24"/>
        </w:rPr>
        <w:t xml:space="preserve"> in ABR versus on-demand CFCs</w:t>
      </w:r>
      <w:r>
        <w:rPr>
          <w:rFonts w:ascii="Times New Roman" w:eastAsiaTheme="majorEastAsia" w:hAnsi="Times New Roman" w:cs="Times New Roman"/>
          <w:bCs/>
          <w:color w:val="000000"/>
          <w:sz w:val="24"/>
          <w:szCs w:val="24"/>
        </w:rPr>
        <w:t xml:space="preserve"> and </w:t>
      </w:r>
      <w:r w:rsidRPr="00D653EE">
        <w:rPr>
          <w:rFonts w:ascii="Times New Roman" w:eastAsiaTheme="majorEastAsia" w:hAnsi="Times New Roman" w:cs="Times New Roman"/>
          <w:bCs/>
          <w:color w:val="000000"/>
          <w:sz w:val="24"/>
          <w:szCs w:val="24"/>
        </w:rPr>
        <w:t xml:space="preserve">zero bleeds in approximately half of participants with </w:t>
      </w:r>
      <w:r w:rsidRPr="00D653EE">
        <w:rPr>
          <w:rFonts w:ascii="Times New Roman" w:eastAsiaTheme="majorEastAsia" w:hAnsi="Times New Roman" w:cs="Times New Roman"/>
          <w:bCs/>
          <w:color w:val="000000"/>
          <w:sz w:val="24"/>
          <w:szCs w:val="24"/>
        </w:rPr>
        <w:lastRenderedPageBreak/>
        <w:t>haemophilia A or B without inhibitors</w:t>
      </w:r>
      <w:r>
        <w:rPr>
          <w:rFonts w:ascii="Times New Roman" w:eastAsiaTheme="majorEastAsia" w:hAnsi="Times New Roman" w:cs="Times New Roman"/>
          <w:bCs/>
          <w:color w:val="000000"/>
          <w:sz w:val="24"/>
          <w:szCs w:val="24"/>
        </w:rPr>
        <w:t>.</w:t>
      </w:r>
      <w:r w:rsidRPr="00D653EE">
        <w:rPr>
          <w:rFonts w:ascii="Times New Roman" w:eastAsiaTheme="majorEastAsia" w:hAnsi="Times New Roman" w:cs="Times New Roman"/>
          <w:bCs/>
          <w:color w:val="000000"/>
          <w:sz w:val="24"/>
          <w:szCs w:val="24"/>
        </w:rPr>
        <w:t xml:space="preserve"> </w:t>
      </w:r>
      <w:bookmarkEnd w:id="7"/>
      <w:r w:rsidRPr="00D653EE">
        <w:rPr>
          <w:rFonts w:ascii="Times New Roman" w:eastAsiaTheme="majorEastAsia" w:hAnsi="Times New Roman" w:cs="Times New Roman"/>
          <w:bCs/>
          <w:color w:val="000000"/>
          <w:sz w:val="24"/>
          <w:szCs w:val="24"/>
        </w:rPr>
        <w:t xml:space="preserve">Reported </w:t>
      </w:r>
      <w:r w:rsidRPr="00D653EE">
        <w:rPr>
          <w:rFonts w:ascii="Times New Roman" w:hAnsi="Times New Roman" w:cs="Times New Roman"/>
          <w:sz w:val="24"/>
          <w:szCs w:val="24"/>
        </w:rPr>
        <w:t xml:space="preserve">TEAEs were generally consistent with previously identified risks of </w:t>
      </w:r>
      <w:proofErr w:type="spellStart"/>
      <w:r w:rsidRPr="00D653EE">
        <w:rPr>
          <w:rFonts w:ascii="Times New Roman" w:hAnsi="Times New Roman" w:cs="Times New Roman"/>
          <w:sz w:val="24"/>
          <w:szCs w:val="24"/>
        </w:rPr>
        <w:t>fitusiran</w:t>
      </w:r>
      <w:proofErr w:type="spellEnd"/>
      <w:r w:rsidRPr="00D653EE">
        <w:rPr>
          <w:rFonts w:ascii="Times New Roman" w:hAnsi="Times New Roman" w:cs="Times New Roman"/>
          <w:sz w:val="24"/>
          <w:szCs w:val="24"/>
        </w:rPr>
        <w:t>.</w:t>
      </w:r>
    </w:p>
    <w:p w14:paraId="37C64C1D" w14:textId="77777777" w:rsidR="00DD7F18" w:rsidRPr="00D653EE" w:rsidRDefault="00DD7F18" w:rsidP="008B3DDE">
      <w:pPr>
        <w:spacing w:line="360" w:lineRule="auto"/>
        <w:rPr>
          <w:rFonts w:ascii="Times New Roman" w:eastAsiaTheme="majorEastAsia" w:hAnsi="Times New Roman" w:cs="Times New Roman"/>
          <w:b/>
          <w:color w:val="000000"/>
          <w:sz w:val="24"/>
          <w:szCs w:val="24"/>
          <w:highlight w:val="yellow"/>
        </w:rPr>
      </w:pPr>
      <w:r w:rsidRPr="00D653EE">
        <w:rPr>
          <w:rFonts w:ascii="Times New Roman" w:eastAsiaTheme="majorEastAsia" w:hAnsi="Times New Roman" w:cs="Times New Roman"/>
          <w:b/>
          <w:color w:val="000000"/>
          <w:sz w:val="24"/>
          <w:szCs w:val="24"/>
        </w:rPr>
        <w:t>Funding</w:t>
      </w:r>
      <w:r w:rsidRPr="00D653EE">
        <w:rPr>
          <w:rFonts w:ascii="Times New Roman" w:eastAsiaTheme="majorEastAsia" w:hAnsi="Times New Roman" w:cs="Times New Roman"/>
          <w:bCs/>
          <w:color w:val="000000"/>
          <w:sz w:val="24"/>
          <w:szCs w:val="24"/>
        </w:rPr>
        <w:t>: Sanofi</w:t>
      </w:r>
      <w:r w:rsidRPr="00D653EE">
        <w:rPr>
          <w:rFonts w:ascii="Times New Roman" w:eastAsiaTheme="majorEastAsia" w:hAnsi="Times New Roman" w:cs="Times New Roman"/>
          <w:b/>
          <w:color w:val="000000"/>
          <w:sz w:val="24"/>
          <w:szCs w:val="24"/>
          <w:highlight w:val="yellow"/>
        </w:rPr>
        <w:br w:type="page"/>
      </w:r>
    </w:p>
    <w:p w14:paraId="4D62B486" w14:textId="77777777" w:rsidR="00DD7F18" w:rsidRPr="00D653EE" w:rsidRDefault="00DD7F18" w:rsidP="008B3DDE">
      <w:pPr>
        <w:spacing w:line="360" w:lineRule="auto"/>
        <w:rPr>
          <w:rFonts w:ascii="Times New Roman" w:hAnsi="Times New Roman" w:cs="Times New Roman"/>
          <w:b/>
          <w:bCs/>
          <w:sz w:val="24"/>
          <w:szCs w:val="24"/>
        </w:rPr>
      </w:pPr>
      <w:bookmarkStart w:id="8" w:name="_Hlk97123429"/>
      <w:r w:rsidRPr="00D653EE">
        <w:rPr>
          <w:rFonts w:ascii="Times New Roman" w:hAnsi="Times New Roman" w:cs="Times New Roman"/>
          <w:b/>
          <w:bCs/>
          <w:sz w:val="24"/>
          <w:szCs w:val="24"/>
        </w:rPr>
        <w:lastRenderedPageBreak/>
        <w:t>Introduction</w:t>
      </w:r>
    </w:p>
    <w:p w14:paraId="5EB4572A" w14:textId="60099E7B" w:rsidR="00DD7F18" w:rsidRPr="00D653EE" w:rsidRDefault="00DD7F18" w:rsidP="008B3DDE">
      <w:pPr>
        <w:spacing w:line="360" w:lineRule="auto"/>
        <w:rPr>
          <w:rFonts w:ascii="Times New Roman" w:hAnsi="Times New Roman" w:cs="Times New Roman"/>
          <w:sz w:val="24"/>
          <w:szCs w:val="24"/>
        </w:rPr>
      </w:pPr>
      <w:r w:rsidRPr="00D653EE">
        <w:rPr>
          <w:rFonts w:ascii="Times New Roman" w:hAnsi="Times New Roman" w:cs="Times New Roman"/>
          <w:sz w:val="24"/>
          <w:szCs w:val="24"/>
        </w:rPr>
        <w:t>Haemostasis depends on balanced procoagulant and anticoagulant pathways that generate thrombin sufficient to control bleeding.</w:t>
      </w:r>
      <w:r w:rsidRPr="007E43E0">
        <w:rPr>
          <w:rFonts w:ascii="Times New Roman" w:hAnsi="Times New Roman" w:cs="Times New Roman"/>
          <w:noProof/>
          <w:sz w:val="24"/>
          <w:szCs w:val="24"/>
          <w:vertAlign w:val="superscript"/>
        </w:rPr>
        <w:t>1</w:t>
      </w:r>
      <w:r w:rsidRPr="00D653EE">
        <w:rPr>
          <w:rFonts w:ascii="Times New Roman" w:hAnsi="Times New Roman" w:cs="Times New Roman"/>
          <w:sz w:val="24"/>
          <w:szCs w:val="24"/>
        </w:rPr>
        <w:t xml:space="preserve"> Haemophilia A and haemophilia B are bleeding disorders arising from deficiency of coagulation factors VIII or IX, </w:t>
      </w:r>
      <w:r w:rsidRPr="486D63BF">
        <w:rPr>
          <w:rFonts w:ascii="Times New Roman" w:hAnsi="Times New Roman" w:cs="Times New Roman"/>
          <w:sz w:val="24"/>
          <w:szCs w:val="24"/>
        </w:rPr>
        <w:t xml:space="preserve">respectively, </w:t>
      </w:r>
      <w:r w:rsidRPr="486D63BF">
        <w:rPr>
          <w:rFonts w:ascii="Times New Roman" w:eastAsia="MS Gothic" w:hAnsi="Times New Roman" w:cs="Times New Roman"/>
          <w:sz w:val="24"/>
          <w:szCs w:val="24"/>
        </w:rPr>
        <w:t>resulting in insufficient thrombin generation.</w:t>
      </w:r>
      <w:bookmarkEnd w:id="8"/>
      <w:r w:rsidRPr="486D63BF">
        <w:rPr>
          <w:rFonts w:ascii="Times New Roman" w:eastAsia="MS Gothic" w:hAnsi="Times New Roman" w:cs="Times New Roman"/>
          <w:noProof/>
          <w:sz w:val="24"/>
          <w:szCs w:val="24"/>
          <w:vertAlign w:val="superscript"/>
        </w:rPr>
        <w:t>1,2</w:t>
      </w:r>
      <w:r w:rsidRPr="00D653EE">
        <w:rPr>
          <w:rFonts w:ascii="Times New Roman" w:hAnsi="Times New Roman" w:cs="Times New Roman"/>
          <w:sz w:val="24"/>
          <w:szCs w:val="24"/>
          <w:shd w:val="clear" w:color="auto" w:fill="FFFFFF"/>
        </w:rPr>
        <w:t xml:space="preserve"> Prophylaxis sufficient to prevent bleeds at all times is recommended in people with haemophilia A or B with a severe bleeding phenotype.</w:t>
      </w:r>
      <w:r w:rsidRPr="007E43E0">
        <w:rPr>
          <w:rFonts w:ascii="Times New Roman" w:hAnsi="Times New Roman" w:cs="Times New Roman"/>
          <w:noProof/>
          <w:sz w:val="24"/>
          <w:szCs w:val="24"/>
          <w:shd w:val="clear" w:color="auto" w:fill="FFFFFF"/>
          <w:vertAlign w:val="superscript"/>
        </w:rPr>
        <w:t>2</w:t>
      </w:r>
      <w:r w:rsidRPr="00D653EE">
        <w:rPr>
          <w:rFonts w:ascii="Times New Roman" w:hAnsi="Times New Roman" w:cs="Times New Roman"/>
          <w:sz w:val="24"/>
          <w:szCs w:val="24"/>
          <w:shd w:val="clear" w:color="auto" w:fill="FFFFFF"/>
        </w:rPr>
        <w:t xml:space="preserve"> However, prophylaxis with clotting factor concentrates (CFCs) requires frequent intravenous infusions to ensure sufficient plasma levels to provide bleed protection.</w:t>
      </w:r>
      <w:r w:rsidRPr="007E43E0">
        <w:rPr>
          <w:rFonts w:ascii="Times New Roman" w:hAnsi="Times New Roman" w:cs="Times New Roman"/>
          <w:noProof/>
          <w:sz w:val="24"/>
          <w:szCs w:val="24"/>
          <w:shd w:val="clear" w:color="auto" w:fill="FFFFFF"/>
          <w:vertAlign w:val="superscript"/>
        </w:rPr>
        <w:t>3</w:t>
      </w:r>
      <w:r w:rsidRPr="00D653EE">
        <w:rPr>
          <w:rFonts w:ascii="Times New Roman" w:hAnsi="Times New Roman" w:cs="Times New Roman"/>
          <w:sz w:val="24"/>
          <w:szCs w:val="24"/>
          <w:shd w:val="clear" w:color="auto" w:fill="FFFFFF"/>
        </w:rPr>
        <w:t xml:space="preserve"> Such regimens can be burdensome and limited by the development of inhibitory antibodies in approximately 30% of people with haemophilia A</w:t>
      </w:r>
      <w:r>
        <w:rPr>
          <w:rFonts w:ascii="Times New Roman" w:hAnsi="Times New Roman" w:cs="Times New Roman"/>
          <w:sz w:val="24"/>
          <w:szCs w:val="24"/>
          <w:shd w:val="clear" w:color="auto" w:fill="FFFFFF"/>
        </w:rPr>
        <w:t xml:space="preserve"> and 10% of people with haemophilia B</w:t>
      </w:r>
      <w:r w:rsidRPr="00D653EE">
        <w:rPr>
          <w:rFonts w:ascii="Times New Roman" w:hAnsi="Times New Roman" w:cs="Times New Roman"/>
          <w:sz w:val="24"/>
          <w:szCs w:val="24"/>
          <w:shd w:val="clear" w:color="auto" w:fill="FFFFFF"/>
        </w:rPr>
        <w:t>, which render treatment ineffective.</w:t>
      </w:r>
      <w:r w:rsidRPr="007E43E0">
        <w:rPr>
          <w:rFonts w:ascii="Times New Roman" w:hAnsi="Times New Roman" w:cs="Times New Roman"/>
          <w:noProof/>
          <w:sz w:val="24"/>
          <w:szCs w:val="24"/>
          <w:shd w:val="clear" w:color="auto" w:fill="FFFFFF"/>
          <w:vertAlign w:val="superscript"/>
        </w:rPr>
        <w:t>2,4</w:t>
      </w:r>
      <w:r>
        <w:rPr>
          <w:rFonts w:ascii="Times New Roman" w:hAnsi="Times New Roman" w:cs="Times New Roman"/>
          <w:sz w:val="24"/>
          <w:szCs w:val="24"/>
          <w:shd w:val="clear" w:color="auto" w:fill="FFFFFF"/>
          <w:vertAlign w:val="superscript"/>
        </w:rPr>
        <w:t>,5</w:t>
      </w:r>
      <w:r w:rsidRPr="00D653EE">
        <w:rPr>
          <w:rFonts w:ascii="Times New Roman" w:hAnsi="Times New Roman" w:cs="Times New Roman"/>
          <w:sz w:val="24"/>
          <w:szCs w:val="24"/>
          <w:shd w:val="clear" w:color="auto" w:fill="FFFFFF"/>
        </w:rPr>
        <w:t xml:space="preserve"> Clinical trial data suggests 27–50% of people with haemophilia receiving mostly high doses of frequently administered intravenous CFC prophylaxis achieve zero bleeds,</w:t>
      </w:r>
      <w:r>
        <w:rPr>
          <w:rFonts w:ascii="Times New Roman" w:hAnsi="Times New Roman" w:cs="Times New Roman"/>
          <w:sz w:val="24"/>
          <w:szCs w:val="24"/>
          <w:shd w:val="clear" w:color="auto" w:fill="FFFFFF"/>
          <w:vertAlign w:val="superscript"/>
        </w:rPr>
        <w:t>6-10</w:t>
      </w:r>
      <w:r w:rsidRPr="00D653EE">
        <w:rPr>
          <w:rFonts w:ascii="Times New Roman" w:hAnsi="Times New Roman" w:cs="Times New Roman"/>
          <w:sz w:val="24"/>
          <w:szCs w:val="24"/>
          <w:shd w:val="clear" w:color="auto" w:fill="FFFFFF"/>
        </w:rPr>
        <w:t xml:space="preserve"> demonstrating that bleeding events may still occur despite </w:t>
      </w:r>
      <w:r w:rsidRPr="486D63BF">
        <w:rPr>
          <w:rFonts w:ascii="Times New Roman" w:hAnsi="Times New Roman" w:cs="Times New Roman"/>
          <w:sz w:val="24"/>
          <w:szCs w:val="24"/>
        </w:rPr>
        <w:t xml:space="preserve">CFC </w:t>
      </w:r>
      <w:r w:rsidRPr="00D653EE">
        <w:rPr>
          <w:rFonts w:ascii="Times New Roman" w:hAnsi="Times New Roman" w:cs="Times New Roman"/>
          <w:sz w:val="24"/>
          <w:szCs w:val="24"/>
          <w:shd w:val="clear" w:color="auto" w:fill="FFFFFF"/>
        </w:rPr>
        <w:t>prophylaxis, which can result in subsequent joint damage.</w:t>
      </w:r>
      <w:r>
        <w:rPr>
          <w:rFonts w:ascii="Times New Roman" w:hAnsi="Times New Roman" w:cs="Times New Roman"/>
          <w:sz w:val="24"/>
          <w:szCs w:val="24"/>
          <w:shd w:val="clear" w:color="auto" w:fill="FFFFFF"/>
          <w:vertAlign w:val="superscript"/>
        </w:rPr>
        <w:t>11</w:t>
      </w:r>
      <w:r w:rsidRPr="00D653EE">
        <w:rPr>
          <w:rFonts w:ascii="Times New Roman" w:hAnsi="Times New Roman" w:cs="Times New Roman"/>
          <w:sz w:val="24"/>
          <w:szCs w:val="24"/>
          <w:shd w:val="clear" w:color="auto" w:fill="FFFFFF"/>
        </w:rPr>
        <w:t xml:space="preserve"> Thus, development efforts on alternative therapies are underway to potentially overcome these limitations of efficacy, safety and convenience. One alternative is </w:t>
      </w:r>
      <w:bookmarkStart w:id="9" w:name="_Hlk103768564"/>
      <w:r w:rsidRPr="00D653EE">
        <w:rPr>
          <w:rFonts w:ascii="Times New Roman" w:hAnsi="Times New Roman" w:cs="Times New Roman"/>
          <w:sz w:val="24"/>
          <w:szCs w:val="24"/>
          <w:shd w:val="clear" w:color="auto" w:fill="FFFFFF"/>
        </w:rPr>
        <w:t xml:space="preserve">subcutaneous </w:t>
      </w:r>
      <w:proofErr w:type="spellStart"/>
      <w:r w:rsidRPr="00D653EE">
        <w:rPr>
          <w:rFonts w:ascii="Times New Roman" w:hAnsi="Times New Roman" w:cs="Times New Roman"/>
          <w:sz w:val="24"/>
          <w:szCs w:val="24"/>
          <w:shd w:val="clear" w:color="auto" w:fill="FFFFFF"/>
        </w:rPr>
        <w:t>emicizumab</w:t>
      </w:r>
      <w:proofErr w:type="spellEnd"/>
      <w:r w:rsidRPr="00D653EE">
        <w:rPr>
          <w:rFonts w:ascii="Times New Roman" w:hAnsi="Times New Roman" w:cs="Times New Roman"/>
          <w:sz w:val="24"/>
          <w:szCs w:val="24"/>
          <w:shd w:val="clear" w:color="auto" w:fill="FFFFFF"/>
        </w:rPr>
        <w:t xml:space="preserve"> prophylaxis, which has been shown to provide effective bleed protection in people with haemophilia A only, irrespective of inhibitor status, with a less burdensome regimen than prophylaxis with </w:t>
      </w:r>
      <w:bookmarkEnd w:id="9"/>
      <w:r w:rsidRPr="00D653EE">
        <w:rPr>
          <w:rFonts w:ascii="Times New Roman" w:hAnsi="Times New Roman" w:cs="Times New Roman"/>
          <w:sz w:val="24"/>
          <w:szCs w:val="24"/>
          <w:shd w:val="clear" w:color="auto" w:fill="FFFFFF"/>
        </w:rPr>
        <w:t>CFCs</w:t>
      </w:r>
      <w:r>
        <w:rPr>
          <w:rFonts w:ascii="Times New Roman" w:hAnsi="Times New Roman" w:cs="Times New Roman"/>
          <w:sz w:val="24"/>
          <w:szCs w:val="24"/>
          <w:shd w:val="clear" w:color="auto" w:fill="FFFFFF"/>
        </w:rPr>
        <w:t>; however, breakthrough bleeds may still occur with emicizumab.</w:t>
      </w:r>
      <w:r>
        <w:rPr>
          <w:rFonts w:ascii="Times New Roman" w:hAnsi="Times New Roman" w:cs="Times New Roman"/>
          <w:sz w:val="24"/>
          <w:szCs w:val="24"/>
          <w:shd w:val="clear" w:color="auto" w:fill="FFFFFF"/>
          <w:vertAlign w:val="superscript"/>
        </w:rPr>
        <w:t>12-14</w:t>
      </w:r>
      <w:r w:rsidRPr="00D653EE">
        <w:rPr>
          <w:rFonts w:ascii="Times New Roman" w:hAnsi="Times New Roman" w:cs="Times New Roman"/>
          <w:sz w:val="24"/>
          <w:szCs w:val="24"/>
          <w:shd w:val="clear" w:color="auto" w:fill="FFFFFF"/>
        </w:rPr>
        <w:t xml:space="preserve"> </w:t>
      </w:r>
      <w:bookmarkStart w:id="10" w:name="_Hlk103768502"/>
      <w:r w:rsidRPr="486D63BF">
        <w:rPr>
          <w:rFonts w:ascii="Times New Roman" w:eastAsia="MS Gothic" w:hAnsi="Times New Roman" w:cs="Times New Roman"/>
          <w:sz w:val="24"/>
          <w:szCs w:val="24"/>
        </w:rPr>
        <w:t>More therapeutic options are needed to overcome remaining limitations of prophylaxis</w:t>
      </w:r>
      <w:r w:rsidR="00C56494">
        <w:rPr>
          <w:rFonts w:ascii="Times New Roman" w:eastAsia="MS Gothic" w:hAnsi="Times New Roman" w:cs="Times New Roman"/>
          <w:sz w:val="24"/>
          <w:szCs w:val="24"/>
        </w:rPr>
        <w:t xml:space="preserve"> with CFCs</w:t>
      </w:r>
      <w:r w:rsidRPr="486D63BF">
        <w:rPr>
          <w:rFonts w:ascii="Times New Roman" w:eastAsia="MS Gothic" w:hAnsi="Times New Roman" w:cs="Times New Roman"/>
          <w:sz w:val="24"/>
          <w:szCs w:val="24"/>
        </w:rPr>
        <w:t xml:space="preserve"> for people with haemophilia A or B, particularly those with inhibitors</w:t>
      </w:r>
      <w:bookmarkEnd w:id="10"/>
      <w:r>
        <w:rPr>
          <w:rFonts w:ascii="Times New Roman" w:eastAsia="MS Gothic" w:hAnsi="Times New Roman" w:cs="Times New Roman"/>
          <w:sz w:val="24"/>
          <w:szCs w:val="24"/>
        </w:rPr>
        <w:t>.</w:t>
      </w:r>
      <w:r>
        <w:rPr>
          <w:rFonts w:ascii="Times New Roman" w:eastAsia="MS Gothic" w:hAnsi="Times New Roman" w:cs="Times New Roman"/>
          <w:sz w:val="24"/>
          <w:szCs w:val="24"/>
          <w:vertAlign w:val="superscript"/>
        </w:rPr>
        <w:t>2,15,16</w:t>
      </w:r>
      <w:r w:rsidRPr="00D653EE">
        <w:rPr>
          <w:rFonts w:ascii="Times New Roman" w:hAnsi="Times New Roman" w:cs="Times New Roman"/>
          <w:sz w:val="24"/>
          <w:szCs w:val="24"/>
        </w:rPr>
        <w:t xml:space="preserve"> </w:t>
      </w:r>
    </w:p>
    <w:p w14:paraId="4780C1F8" w14:textId="77777777" w:rsidR="00DD7F18" w:rsidRPr="003C413F" w:rsidRDefault="00DD7F18" w:rsidP="008B3DDE">
      <w:pPr>
        <w:spacing w:line="360" w:lineRule="auto"/>
        <w:rPr>
          <w:rFonts w:ascii="Times New Roman" w:eastAsia="MS Gothic" w:hAnsi="Times New Roman" w:cs="Times New Roman"/>
          <w:bCs/>
          <w:sz w:val="24"/>
          <w:szCs w:val="24"/>
        </w:rPr>
      </w:pPr>
      <w:proofErr w:type="spellStart"/>
      <w:r w:rsidRPr="003C413F">
        <w:rPr>
          <w:rFonts w:ascii="Times New Roman" w:eastAsia="MS Gothic" w:hAnsi="Times New Roman" w:cs="Times New Roman"/>
          <w:bCs/>
          <w:sz w:val="24"/>
          <w:szCs w:val="24"/>
        </w:rPr>
        <w:t>Fitusiran</w:t>
      </w:r>
      <w:proofErr w:type="spellEnd"/>
      <w:r w:rsidRPr="003C413F">
        <w:rPr>
          <w:rFonts w:ascii="Times New Roman" w:eastAsia="MS Gothic" w:hAnsi="Times New Roman" w:cs="Times New Roman"/>
          <w:bCs/>
          <w:sz w:val="24"/>
          <w:szCs w:val="24"/>
        </w:rPr>
        <w:t xml:space="preserve"> is an investigational subcutaneous prophylactic small interfering ribonucleic acid (siRNA) therapeutic based on Nobel Prize-winning technology that is designed to lower antithrombin (AT) </w:t>
      </w:r>
      <w:bookmarkStart w:id="11" w:name="_Hlk121215698"/>
      <w:r w:rsidRPr="003C413F">
        <w:rPr>
          <w:rFonts w:ascii="Times New Roman" w:eastAsia="MS Gothic" w:hAnsi="Times New Roman" w:cs="Times New Roman"/>
          <w:bCs/>
          <w:sz w:val="24"/>
          <w:szCs w:val="24"/>
        </w:rPr>
        <w:t>with the goal of generating sufficient thrombin to rebalance h</w:t>
      </w:r>
      <w:r>
        <w:rPr>
          <w:rFonts w:ascii="Times New Roman" w:eastAsia="MS Gothic" w:hAnsi="Times New Roman" w:cs="Times New Roman"/>
          <w:bCs/>
          <w:sz w:val="24"/>
          <w:szCs w:val="24"/>
        </w:rPr>
        <w:t>a</w:t>
      </w:r>
      <w:r w:rsidRPr="003C413F">
        <w:rPr>
          <w:rFonts w:ascii="Times New Roman" w:eastAsia="MS Gothic" w:hAnsi="Times New Roman" w:cs="Times New Roman"/>
          <w:bCs/>
          <w:sz w:val="24"/>
          <w:szCs w:val="24"/>
        </w:rPr>
        <w:t xml:space="preserve">emostasis </w:t>
      </w:r>
      <w:bookmarkEnd w:id="11"/>
      <w:r w:rsidRPr="003C413F">
        <w:rPr>
          <w:rFonts w:ascii="Times New Roman" w:eastAsia="MS Gothic" w:hAnsi="Times New Roman" w:cs="Times New Roman"/>
          <w:bCs/>
          <w:sz w:val="24"/>
          <w:szCs w:val="24"/>
        </w:rPr>
        <w:t>in people with haemophilia A or B, with or without inhibitors.</w:t>
      </w:r>
      <w:r>
        <w:rPr>
          <w:rFonts w:ascii="Times New Roman" w:eastAsia="MS Gothic" w:hAnsi="Times New Roman" w:cs="Times New Roman"/>
          <w:bCs/>
          <w:sz w:val="24"/>
          <w:szCs w:val="24"/>
          <w:vertAlign w:val="superscript"/>
        </w:rPr>
        <w:t>17,18</w:t>
      </w:r>
      <w:r w:rsidRPr="003C413F">
        <w:rPr>
          <w:rFonts w:ascii="Times New Roman" w:eastAsia="MS Gothic" w:hAnsi="Times New Roman" w:cs="Times New Roman"/>
          <w:bCs/>
          <w:sz w:val="24"/>
          <w:szCs w:val="24"/>
        </w:rPr>
        <w:t xml:space="preserve"> </w:t>
      </w:r>
      <w:proofErr w:type="spellStart"/>
      <w:r w:rsidRPr="00D653EE">
        <w:rPr>
          <w:rFonts w:ascii="Times New Roman" w:hAnsi="Times New Roman" w:cs="Times New Roman"/>
          <w:sz w:val="24"/>
          <w:szCs w:val="24"/>
        </w:rPr>
        <w:t>Fitusiran</w:t>
      </w:r>
      <w:proofErr w:type="spellEnd"/>
      <w:r w:rsidRPr="00D653EE">
        <w:rPr>
          <w:rFonts w:ascii="Times New Roman" w:hAnsi="Times New Roman" w:cs="Times New Roman"/>
          <w:sz w:val="24"/>
          <w:szCs w:val="24"/>
        </w:rPr>
        <w:t xml:space="preserve"> works through a novel mechanism in the haemophilia field, whereby </w:t>
      </w:r>
      <w:bookmarkStart w:id="12" w:name="_Hlk121215673"/>
      <w:r w:rsidRPr="00D653EE">
        <w:rPr>
          <w:rFonts w:ascii="Times New Roman" w:hAnsi="Times New Roman" w:cs="Times New Roman"/>
          <w:sz w:val="24"/>
          <w:szCs w:val="24"/>
        </w:rPr>
        <w:t>it leverages natural cellular RNA interference mechanisms to cleave and degrade AT messenger RNA and reduce AT synthesis</w:t>
      </w:r>
      <w:bookmarkEnd w:id="12"/>
      <w:r w:rsidRPr="00D653EE">
        <w:rPr>
          <w:rFonts w:ascii="Times New Roman" w:hAnsi="Times New Roman" w:cs="Times New Roman"/>
          <w:sz w:val="24"/>
          <w:szCs w:val="24"/>
        </w:rPr>
        <w:t xml:space="preserve">. </w:t>
      </w:r>
      <w:r w:rsidRPr="003C413F">
        <w:rPr>
          <w:rFonts w:ascii="Times New Roman" w:eastAsia="MS Gothic" w:hAnsi="Times New Roman" w:cs="Times New Roman"/>
          <w:bCs/>
          <w:sz w:val="24"/>
          <w:szCs w:val="24"/>
        </w:rPr>
        <w:t xml:space="preserve">Previous studies showed </w:t>
      </w:r>
      <w:proofErr w:type="spellStart"/>
      <w:r w:rsidRPr="003C413F">
        <w:rPr>
          <w:rFonts w:ascii="Times New Roman" w:eastAsia="MS Gothic" w:hAnsi="Times New Roman" w:cs="Times New Roman"/>
          <w:bCs/>
          <w:sz w:val="24"/>
          <w:szCs w:val="24"/>
        </w:rPr>
        <w:t>fitusiran</w:t>
      </w:r>
      <w:proofErr w:type="spellEnd"/>
      <w:r w:rsidRPr="003C413F">
        <w:rPr>
          <w:rFonts w:ascii="Times New Roman" w:eastAsia="MS Gothic" w:hAnsi="Times New Roman" w:cs="Times New Roman"/>
          <w:bCs/>
          <w:sz w:val="24"/>
          <w:szCs w:val="24"/>
        </w:rPr>
        <w:t xml:space="preserve"> lowered AT, resulting in increased thrombin generation, translating to enhanced clinical h</w:t>
      </w:r>
      <w:r>
        <w:rPr>
          <w:rFonts w:ascii="Times New Roman" w:eastAsia="MS Gothic" w:hAnsi="Times New Roman" w:cs="Times New Roman"/>
          <w:bCs/>
          <w:sz w:val="24"/>
          <w:szCs w:val="24"/>
        </w:rPr>
        <w:t>a</w:t>
      </w:r>
      <w:r w:rsidRPr="003C413F">
        <w:rPr>
          <w:rFonts w:ascii="Times New Roman" w:eastAsia="MS Gothic" w:hAnsi="Times New Roman" w:cs="Times New Roman"/>
          <w:bCs/>
          <w:sz w:val="24"/>
          <w:szCs w:val="24"/>
        </w:rPr>
        <w:t>emostasis</w:t>
      </w:r>
      <w:r>
        <w:rPr>
          <w:rFonts w:ascii="Times New Roman" w:eastAsia="MS Gothic" w:hAnsi="Times New Roman" w:cs="Times New Roman"/>
          <w:bCs/>
          <w:sz w:val="24"/>
          <w:szCs w:val="24"/>
        </w:rPr>
        <w:t>.</w:t>
      </w:r>
      <w:r>
        <w:rPr>
          <w:rFonts w:ascii="Times New Roman" w:eastAsia="MS Gothic" w:hAnsi="Times New Roman" w:cs="Times New Roman"/>
          <w:bCs/>
          <w:sz w:val="24"/>
          <w:szCs w:val="24"/>
          <w:vertAlign w:val="superscript"/>
        </w:rPr>
        <w:t>19,20</w:t>
      </w:r>
      <w:r w:rsidRPr="003C413F">
        <w:rPr>
          <w:rFonts w:ascii="Times New Roman" w:eastAsia="MS Gothic" w:hAnsi="Times New Roman" w:cs="Times New Roman"/>
          <w:bCs/>
          <w:sz w:val="24"/>
          <w:szCs w:val="24"/>
        </w:rPr>
        <w:t xml:space="preserve"> This Phase 3 trial evaluated the efficacy and safety of </w:t>
      </w:r>
      <w:proofErr w:type="spellStart"/>
      <w:r w:rsidRPr="003C413F">
        <w:rPr>
          <w:rFonts w:ascii="Times New Roman" w:eastAsia="MS Gothic" w:hAnsi="Times New Roman" w:cs="Times New Roman"/>
          <w:bCs/>
          <w:sz w:val="24"/>
          <w:szCs w:val="24"/>
        </w:rPr>
        <w:t>fitusiran</w:t>
      </w:r>
      <w:proofErr w:type="spellEnd"/>
      <w:r w:rsidRPr="003C413F">
        <w:rPr>
          <w:rFonts w:ascii="Times New Roman" w:eastAsia="MS Gothic" w:hAnsi="Times New Roman" w:cs="Times New Roman"/>
          <w:bCs/>
          <w:sz w:val="24"/>
          <w:szCs w:val="24"/>
        </w:rPr>
        <w:t xml:space="preserve"> prophylaxis compared with on-demand (episodic) treatment with CFCs in people with severe haemophilia A or B without inhibitors.</w:t>
      </w:r>
    </w:p>
    <w:p w14:paraId="319E2D86" w14:textId="77777777" w:rsidR="00DD7F18" w:rsidRPr="00D653EE" w:rsidRDefault="00DD7F18">
      <w:pPr>
        <w:rPr>
          <w:rFonts w:ascii="Times New Roman" w:eastAsiaTheme="majorEastAsia" w:hAnsi="Times New Roman" w:cs="Times New Roman"/>
          <w:b/>
          <w:color w:val="000000"/>
          <w:sz w:val="24"/>
          <w:szCs w:val="24"/>
        </w:rPr>
      </w:pPr>
      <w:r w:rsidRPr="00D653EE">
        <w:rPr>
          <w:rFonts w:ascii="Times New Roman" w:eastAsiaTheme="majorEastAsia" w:hAnsi="Times New Roman" w:cs="Times New Roman"/>
          <w:b/>
          <w:color w:val="000000"/>
          <w:sz w:val="24"/>
          <w:szCs w:val="24"/>
        </w:rPr>
        <w:br w:type="page"/>
      </w:r>
    </w:p>
    <w:p w14:paraId="1C452CC6" w14:textId="77777777" w:rsidR="00DD7F18" w:rsidRPr="00D653EE" w:rsidRDefault="00DD7F18" w:rsidP="008B3DDE">
      <w:pPr>
        <w:spacing w:line="360" w:lineRule="auto"/>
        <w:rPr>
          <w:rFonts w:ascii="Times New Roman" w:eastAsiaTheme="majorEastAsia" w:hAnsi="Times New Roman" w:cs="Times New Roman"/>
          <w:b/>
          <w:color w:val="000000"/>
          <w:sz w:val="24"/>
          <w:szCs w:val="24"/>
        </w:rPr>
      </w:pPr>
      <w:r w:rsidRPr="00D653EE">
        <w:rPr>
          <w:rFonts w:ascii="Times New Roman" w:eastAsiaTheme="majorEastAsia" w:hAnsi="Times New Roman" w:cs="Times New Roman"/>
          <w:b/>
          <w:color w:val="000000"/>
          <w:sz w:val="24"/>
          <w:szCs w:val="24"/>
        </w:rPr>
        <w:lastRenderedPageBreak/>
        <w:t>Methods</w:t>
      </w:r>
    </w:p>
    <w:p w14:paraId="24D35929" w14:textId="77777777" w:rsidR="00DD7F18" w:rsidRPr="00D653EE" w:rsidRDefault="00DD7F18" w:rsidP="00C260AA">
      <w:pPr>
        <w:spacing w:line="360" w:lineRule="auto"/>
        <w:rPr>
          <w:rFonts w:ascii="Times New Roman" w:eastAsiaTheme="majorEastAsia" w:hAnsi="Times New Roman" w:cs="Times New Roman"/>
          <w:b/>
          <w:color w:val="000000"/>
          <w:sz w:val="24"/>
          <w:szCs w:val="24"/>
        </w:rPr>
      </w:pPr>
      <w:r w:rsidRPr="00D653EE">
        <w:rPr>
          <w:rFonts w:ascii="Times New Roman" w:eastAsiaTheme="majorEastAsia" w:hAnsi="Times New Roman" w:cs="Times New Roman"/>
          <w:b/>
          <w:color w:val="000000"/>
          <w:sz w:val="24"/>
          <w:szCs w:val="24"/>
        </w:rPr>
        <w:t xml:space="preserve">Study Design </w:t>
      </w:r>
    </w:p>
    <w:p w14:paraId="5B103A55" w14:textId="7045C23F" w:rsidR="00DD7F18" w:rsidRPr="00D653EE" w:rsidRDefault="00DD7F18" w:rsidP="005175C9">
      <w:pPr>
        <w:spacing w:after="240" w:line="360" w:lineRule="auto"/>
        <w:rPr>
          <w:rFonts w:ascii="Times New Roman" w:hAnsi="Times New Roman" w:cs="Times New Roman"/>
          <w:sz w:val="24"/>
          <w:szCs w:val="24"/>
        </w:rPr>
      </w:pPr>
      <w:r w:rsidRPr="00D653EE">
        <w:rPr>
          <w:rFonts w:ascii="Times New Roman" w:hAnsi="Times New Roman" w:cs="Times New Roman"/>
          <w:sz w:val="24"/>
          <w:szCs w:val="24"/>
        </w:rPr>
        <w:t>This multicentre, multinational, open-label, randomised, Phase 3 trial was conducted at 45 sites across 17 countries</w:t>
      </w:r>
      <w:r w:rsidR="000000EC">
        <w:rPr>
          <w:rFonts w:ascii="Times New Roman" w:hAnsi="Times New Roman" w:cs="Times New Roman"/>
          <w:sz w:val="24"/>
          <w:szCs w:val="24"/>
        </w:rPr>
        <w:t xml:space="preserve"> (table S1)</w:t>
      </w:r>
      <w:r w:rsidRPr="00D653EE">
        <w:rPr>
          <w:rFonts w:ascii="Times New Roman" w:hAnsi="Times New Roman" w:cs="Times New Roman"/>
          <w:sz w:val="24"/>
          <w:szCs w:val="24"/>
        </w:rPr>
        <w:t>. The trial was conducted in accordance with the protocol and ethical principles derived from international guidelines including the Declaration of Helsinki, Council for International Organizations of Medical Sciences International Ethical Guidelines, and the International Council for Harmonisation of Technical Requirements for Pharmaceuticals for Human Use guidelines for Good Clinical Practice. The study protocol was approved by the Institutional Review Board or Independent Ethics Committee at each participating centre</w:t>
      </w:r>
      <w:r w:rsidRPr="003C413F">
        <w:rPr>
          <w:rFonts w:ascii="Times New Roman" w:hAnsi="Times New Roman" w:cs="Times New Roman"/>
          <w:sz w:val="24"/>
          <w:szCs w:val="24"/>
        </w:rPr>
        <w:t xml:space="preserve">, and </w:t>
      </w:r>
      <w:r w:rsidRPr="00D653EE">
        <w:rPr>
          <w:rFonts w:ascii="Times New Roman" w:eastAsiaTheme="majorEastAsia" w:hAnsi="Times New Roman" w:cs="Times New Roman"/>
          <w:bCs/>
          <w:color w:val="000000"/>
          <w:sz w:val="24"/>
          <w:szCs w:val="24"/>
        </w:rPr>
        <w:t>an external</w:t>
      </w:r>
      <w:r w:rsidRPr="00D653EE">
        <w:rPr>
          <w:rFonts w:ascii="Times New Roman" w:hAnsi="Times New Roman" w:cs="Times New Roman"/>
          <w:sz w:val="24"/>
          <w:szCs w:val="24"/>
        </w:rPr>
        <w:t xml:space="preserve"> </w:t>
      </w:r>
      <w:r w:rsidRPr="00D653EE">
        <w:rPr>
          <w:rFonts w:ascii="Times New Roman" w:eastAsiaTheme="majorEastAsia" w:hAnsi="Times New Roman" w:cs="Times New Roman"/>
          <w:bCs/>
          <w:color w:val="000000"/>
          <w:sz w:val="24"/>
          <w:szCs w:val="24"/>
        </w:rPr>
        <w:t>Data Monitoring Committee oversaw the safety and overall conduct of the trial and performed periodic reviews of data during the trial.</w:t>
      </w:r>
      <w:r w:rsidRPr="00D653EE">
        <w:rPr>
          <w:rFonts w:ascii="Times New Roman" w:hAnsi="Times New Roman" w:cs="Times New Roman"/>
          <w:sz w:val="24"/>
          <w:szCs w:val="24"/>
        </w:rPr>
        <w:t xml:space="preserve"> </w:t>
      </w:r>
      <w:r>
        <w:rPr>
          <w:rFonts w:ascii="Times New Roman" w:hAnsi="Times New Roman" w:cs="Times New Roman"/>
          <w:sz w:val="24"/>
          <w:szCs w:val="24"/>
        </w:rPr>
        <w:t>A S</w:t>
      </w:r>
      <w:r w:rsidRPr="005175C9">
        <w:rPr>
          <w:rFonts w:ascii="Times New Roman" w:hAnsi="Times New Roman" w:cs="Times New Roman"/>
          <w:sz w:val="24"/>
          <w:szCs w:val="24"/>
        </w:rPr>
        <w:t xml:space="preserve">tudy Steering Committee, composed of experts in the field of </w:t>
      </w:r>
      <w:proofErr w:type="spellStart"/>
      <w:r w:rsidRPr="005175C9">
        <w:rPr>
          <w:rFonts w:ascii="Times New Roman" w:hAnsi="Times New Roman" w:cs="Times New Roman"/>
          <w:sz w:val="24"/>
          <w:szCs w:val="24"/>
        </w:rPr>
        <w:t>hemophilia</w:t>
      </w:r>
      <w:proofErr w:type="spellEnd"/>
      <w:r w:rsidRPr="005175C9">
        <w:rPr>
          <w:rFonts w:ascii="Times New Roman" w:hAnsi="Times New Roman" w:cs="Times New Roman"/>
          <w:sz w:val="24"/>
          <w:szCs w:val="24"/>
        </w:rPr>
        <w:t xml:space="preserve">, </w:t>
      </w:r>
      <w:r>
        <w:rPr>
          <w:rFonts w:ascii="Times New Roman" w:hAnsi="Times New Roman" w:cs="Times New Roman"/>
          <w:sz w:val="24"/>
          <w:szCs w:val="24"/>
        </w:rPr>
        <w:t>advised</w:t>
      </w:r>
      <w:r w:rsidRPr="005175C9">
        <w:rPr>
          <w:rFonts w:ascii="Times New Roman" w:hAnsi="Times New Roman" w:cs="Times New Roman"/>
          <w:sz w:val="24"/>
          <w:szCs w:val="24"/>
        </w:rPr>
        <w:t xml:space="preserve"> the</w:t>
      </w:r>
      <w:r>
        <w:rPr>
          <w:rFonts w:ascii="Times New Roman" w:hAnsi="Times New Roman" w:cs="Times New Roman"/>
          <w:sz w:val="24"/>
          <w:szCs w:val="24"/>
        </w:rPr>
        <w:t xml:space="preserve"> s</w:t>
      </w:r>
      <w:r w:rsidRPr="005175C9">
        <w:rPr>
          <w:rFonts w:ascii="Times New Roman" w:hAnsi="Times New Roman" w:cs="Times New Roman"/>
          <w:sz w:val="24"/>
          <w:szCs w:val="24"/>
        </w:rPr>
        <w:t>ponsor on study design and conduct</w:t>
      </w:r>
      <w:r>
        <w:rPr>
          <w:rFonts w:ascii="Times New Roman" w:hAnsi="Times New Roman" w:cs="Times New Roman"/>
          <w:sz w:val="24"/>
          <w:szCs w:val="24"/>
        </w:rPr>
        <w:t>.</w:t>
      </w:r>
    </w:p>
    <w:p w14:paraId="189AB0D0" w14:textId="77777777" w:rsidR="00DD7F18" w:rsidRPr="00D653EE" w:rsidRDefault="00DD7F18" w:rsidP="00606BD3">
      <w:pPr>
        <w:spacing w:line="360" w:lineRule="auto"/>
        <w:rPr>
          <w:rFonts w:ascii="Times New Roman" w:eastAsiaTheme="majorEastAsia" w:hAnsi="Times New Roman" w:cs="Times New Roman"/>
          <w:b/>
          <w:color w:val="000000"/>
          <w:sz w:val="24"/>
          <w:szCs w:val="24"/>
        </w:rPr>
      </w:pPr>
      <w:r w:rsidRPr="00D653EE">
        <w:rPr>
          <w:rFonts w:ascii="Times New Roman" w:eastAsiaTheme="majorEastAsia" w:hAnsi="Times New Roman" w:cs="Times New Roman"/>
          <w:b/>
          <w:color w:val="000000"/>
          <w:sz w:val="24"/>
          <w:szCs w:val="24"/>
        </w:rPr>
        <w:t>Participants</w:t>
      </w:r>
    </w:p>
    <w:p w14:paraId="017DDE8D" w14:textId="21C418F5" w:rsidR="00DD7F18" w:rsidRPr="003C413F" w:rsidRDefault="00DD7F18" w:rsidP="00B23C10">
      <w:pPr>
        <w:spacing w:line="360" w:lineRule="auto"/>
        <w:rPr>
          <w:rFonts w:ascii="Times New Roman" w:eastAsia="MS Gothic" w:hAnsi="Times New Roman" w:cs="Times New Roman"/>
          <w:bCs/>
          <w:sz w:val="24"/>
          <w:szCs w:val="24"/>
        </w:rPr>
      </w:pPr>
      <w:r w:rsidRPr="00D653EE">
        <w:rPr>
          <w:rFonts w:ascii="Times New Roman" w:eastAsiaTheme="majorEastAsia" w:hAnsi="Times New Roman" w:cs="Times New Roman"/>
          <w:bCs/>
          <w:color w:val="000000"/>
          <w:sz w:val="24"/>
          <w:szCs w:val="24"/>
        </w:rPr>
        <w:t xml:space="preserve">Eligible participants included males aged </w:t>
      </w:r>
      <w:r w:rsidRPr="003C413F">
        <w:rPr>
          <w:rFonts w:ascii="Times New Roman" w:eastAsia="MS Gothic" w:hAnsi="Times New Roman" w:cs="Times New Roman"/>
          <w:bCs/>
          <w:sz w:val="24"/>
          <w:szCs w:val="24"/>
        </w:rPr>
        <w:t>≥12 years with severe haemophilia A or B without inhibitors (central laboratory measurement or documented medical record evidence of FVIII &lt;1% or FIX level ≤2% at screening; Nijmegen modified Bethesda assay inhibitor titr</w:t>
      </w:r>
      <w:r>
        <w:rPr>
          <w:rFonts w:ascii="Times New Roman" w:eastAsia="MS Gothic" w:hAnsi="Times New Roman" w:cs="Times New Roman"/>
          <w:bCs/>
          <w:sz w:val="24"/>
          <w:szCs w:val="24"/>
        </w:rPr>
        <w:t>e</w:t>
      </w:r>
      <w:r w:rsidRPr="003C413F">
        <w:rPr>
          <w:rFonts w:ascii="Times New Roman" w:eastAsia="MS Gothic" w:hAnsi="Times New Roman" w:cs="Times New Roman"/>
          <w:bCs/>
          <w:sz w:val="24"/>
          <w:szCs w:val="24"/>
        </w:rPr>
        <w:t xml:space="preserve"> of &lt;0·6 BU/mL at screening), who were not receiving prophylaxis and had ≥6 bleeding episodes requiring on-demand treatment with CFCs six months prior to screening. Key exclusion criteria included</w:t>
      </w:r>
      <w:r w:rsidRPr="00D653EE">
        <w:t xml:space="preserve"> </w:t>
      </w:r>
      <w:r w:rsidRPr="003C413F">
        <w:rPr>
          <w:rFonts w:ascii="Times New Roman" w:eastAsia="MS Gothic" w:hAnsi="Times New Roman" w:cs="Times New Roman"/>
          <w:bCs/>
          <w:sz w:val="24"/>
          <w:szCs w:val="24"/>
        </w:rPr>
        <w:t>known co-existing bleeding disorders other than haemophilia A or B, AT activity &lt;60% at screening, presence of clinically significant liver disease,</w:t>
      </w:r>
      <w:r w:rsidR="00473BD2">
        <w:rPr>
          <w:rFonts w:ascii="Times New Roman" w:eastAsia="MS Gothic" w:hAnsi="Times New Roman" w:cs="Times New Roman"/>
          <w:bCs/>
          <w:sz w:val="24"/>
          <w:szCs w:val="24"/>
        </w:rPr>
        <w:t xml:space="preserve"> </w:t>
      </w:r>
      <w:r w:rsidR="00473BD2" w:rsidRPr="00821E77">
        <w:rPr>
          <w:rFonts w:ascii="Times New Roman" w:eastAsia="MS Gothic" w:hAnsi="Times New Roman" w:cs="Times New Roman"/>
          <w:bCs/>
          <w:sz w:val="24"/>
          <w:szCs w:val="24"/>
        </w:rPr>
        <w:t>including active viral hepatitis</w:t>
      </w:r>
      <w:r w:rsidR="006E0218">
        <w:rPr>
          <w:rFonts w:ascii="Times New Roman" w:eastAsia="MS Gothic" w:hAnsi="Times New Roman" w:cs="Times New Roman"/>
          <w:bCs/>
          <w:sz w:val="24"/>
          <w:szCs w:val="24"/>
        </w:rPr>
        <w:t>, cirrhosis,</w:t>
      </w:r>
      <w:r w:rsidR="00473BD2" w:rsidRPr="00821E77">
        <w:rPr>
          <w:rFonts w:ascii="Times New Roman" w:eastAsia="MS Gothic" w:hAnsi="Times New Roman" w:cs="Times New Roman"/>
          <w:bCs/>
          <w:sz w:val="24"/>
          <w:szCs w:val="24"/>
        </w:rPr>
        <w:t xml:space="preserve"> or as indicated by any of the following conditions; </w:t>
      </w:r>
      <w:r w:rsidR="00761A8E">
        <w:rPr>
          <w:rFonts w:ascii="Times New Roman" w:eastAsia="MS Gothic" w:hAnsi="Times New Roman" w:cs="Times New Roman"/>
          <w:bCs/>
          <w:sz w:val="24"/>
          <w:szCs w:val="24"/>
        </w:rPr>
        <w:t>international normalised ratio</w:t>
      </w:r>
      <w:r w:rsidR="00473BD2" w:rsidRPr="00821E77">
        <w:rPr>
          <w:rFonts w:ascii="Times New Roman" w:eastAsia="MS Gothic" w:hAnsi="Times New Roman" w:cs="Times New Roman"/>
          <w:bCs/>
          <w:sz w:val="24"/>
          <w:szCs w:val="24"/>
        </w:rPr>
        <w:t xml:space="preserve"> &gt;1.2, </w:t>
      </w:r>
      <w:r w:rsidR="00761A8E" w:rsidRPr="00D653EE">
        <w:rPr>
          <w:rFonts w:ascii="Times New Roman" w:eastAsiaTheme="majorEastAsia" w:hAnsi="Times New Roman" w:cs="Times New Roman"/>
          <w:bCs/>
          <w:color w:val="000000"/>
          <w:sz w:val="24"/>
          <w:szCs w:val="24"/>
        </w:rPr>
        <w:t xml:space="preserve">alanine aminotransferase </w:t>
      </w:r>
      <w:r w:rsidR="00761A8E">
        <w:rPr>
          <w:rFonts w:ascii="Times New Roman" w:eastAsiaTheme="majorEastAsia" w:hAnsi="Times New Roman" w:cs="Times New Roman"/>
          <w:bCs/>
          <w:color w:val="000000"/>
          <w:sz w:val="24"/>
          <w:szCs w:val="24"/>
        </w:rPr>
        <w:t>(</w:t>
      </w:r>
      <w:r w:rsidR="00473BD2" w:rsidRPr="00821E77">
        <w:rPr>
          <w:rFonts w:ascii="Times New Roman" w:eastAsia="MS Gothic" w:hAnsi="Times New Roman" w:cs="Times New Roman"/>
          <w:bCs/>
          <w:sz w:val="24"/>
          <w:szCs w:val="24"/>
        </w:rPr>
        <w:t>ALT</w:t>
      </w:r>
      <w:r w:rsidR="00761A8E">
        <w:rPr>
          <w:rFonts w:ascii="Times New Roman" w:eastAsia="MS Gothic" w:hAnsi="Times New Roman" w:cs="Times New Roman"/>
          <w:bCs/>
          <w:sz w:val="24"/>
          <w:szCs w:val="24"/>
        </w:rPr>
        <w:t>)</w:t>
      </w:r>
      <w:r w:rsidR="00473BD2" w:rsidRPr="00821E77">
        <w:rPr>
          <w:rFonts w:ascii="Times New Roman" w:eastAsia="MS Gothic" w:hAnsi="Times New Roman" w:cs="Times New Roman"/>
          <w:bCs/>
          <w:sz w:val="24"/>
          <w:szCs w:val="24"/>
        </w:rPr>
        <w:t xml:space="preserve"> and/or </w:t>
      </w:r>
      <w:r w:rsidR="00761A8E" w:rsidRPr="00D653EE">
        <w:rPr>
          <w:rFonts w:ascii="Times New Roman" w:eastAsiaTheme="majorEastAsia" w:hAnsi="Times New Roman" w:cs="Times New Roman"/>
          <w:bCs/>
          <w:color w:val="000000"/>
          <w:sz w:val="24"/>
          <w:szCs w:val="24"/>
        </w:rPr>
        <w:t xml:space="preserve">aspartate aminotransferase </w:t>
      </w:r>
      <w:r w:rsidR="00761A8E">
        <w:rPr>
          <w:rFonts w:ascii="Times New Roman" w:eastAsiaTheme="majorEastAsia" w:hAnsi="Times New Roman" w:cs="Times New Roman"/>
          <w:bCs/>
          <w:color w:val="000000"/>
          <w:sz w:val="24"/>
          <w:szCs w:val="24"/>
        </w:rPr>
        <w:t>(</w:t>
      </w:r>
      <w:r w:rsidR="00473BD2" w:rsidRPr="00821E77">
        <w:rPr>
          <w:rFonts w:ascii="Times New Roman" w:eastAsia="MS Gothic" w:hAnsi="Times New Roman" w:cs="Times New Roman"/>
          <w:bCs/>
          <w:sz w:val="24"/>
          <w:szCs w:val="24"/>
        </w:rPr>
        <w:t>AST</w:t>
      </w:r>
      <w:r w:rsidR="00761A8E">
        <w:rPr>
          <w:rFonts w:ascii="Times New Roman" w:eastAsia="MS Gothic" w:hAnsi="Times New Roman" w:cs="Times New Roman"/>
          <w:bCs/>
          <w:sz w:val="24"/>
          <w:szCs w:val="24"/>
        </w:rPr>
        <w:t>)</w:t>
      </w:r>
      <w:r w:rsidR="00473BD2" w:rsidRPr="00821E77">
        <w:rPr>
          <w:rFonts w:ascii="Times New Roman" w:eastAsia="MS Gothic" w:hAnsi="Times New Roman" w:cs="Times New Roman"/>
          <w:bCs/>
          <w:sz w:val="24"/>
          <w:szCs w:val="24"/>
        </w:rPr>
        <w:t xml:space="preserve"> &gt;1.5x </w:t>
      </w:r>
      <w:r w:rsidR="00761A8E">
        <w:rPr>
          <w:rFonts w:ascii="Times New Roman" w:eastAsia="MS Gothic" w:hAnsi="Times New Roman" w:cs="Times New Roman"/>
          <w:bCs/>
          <w:sz w:val="24"/>
          <w:szCs w:val="24"/>
        </w:rPr>
        <w:t>upper limit of normal (</w:t>
      </w:r>
      <w:r w:rsidR="00473BD2" w:rsidRPr="00821E77">
        <w:rPr>
          <w:rFonts w:ascii="Times New Roman" w:eastAsia="MS Gothic" w:hAnsi="Times New Roman" w:cs="Times New Roman"/>
          <w:bCs/>
          <w:sz w:val="24"/>
          <w:szCs w:val="24"/>
        </w:rPr>
        <w:t>ULN</w:t>
      </w:r>
      <w:r w:rsidR="00761A8E">
        <w:rPr>
          <w:rFonts w:ascii="Times New Roman" w:eastAsia="MS Gothic" w:hAnsi="Times New Roman" w:cs="Times New Roman"/>
          <w:bCs/>
          <w:sz w:val="24"/>
          <w:szCs w:val="24"/>
        </w:rPr>
        <w:t>)</w:t>
      </w:r>
      <w:r w:rsidR="00473BD2" w:rsidRPr="00821E77">
        <w:rPr>
          <w:rFonts w:ascii="Times New Roman" w:eastAsia="MS Gothic" w:hAnsi="Times New Roman" w:cs="Times New Roman"/>
          <w:bCs/>
          <w:sz w:val="24"/>
          <w:szCs w:val="24"/>
        </w:rPr>
        <w:t xml:space="preserve">, total bilirubin &gt;ULN, history of portal hypertension, </w:t>
      </w:r>
      <w:proofErr w:type="spellStart"/>
      <w:r w:rsidR="00473BD2" w:rsidRPr="00821E77">
        <w:rPr>
          <w:rFonts w:ascii="Times New Roman" w:eastAsia="MS Gothic" w:hAnsi="Times New Roman" w:cs="Times New Roman"/>
          <w:bCs/>
          <w:sz w:val="24"/>
          <w:szCs w:val="24"/>
        </w:rPr>
        <w:t>esophageal</w:t>
      </w:r>
      <w:proofErr w:type="spellEnd"/>
      <w:r w:rsidR="00473BD2" w:rsidRPr="00821E77">
        <w:rPr>
          <w:rFonts w:ascii="Times New Roman" w:eastAsia="MS Gothic" w:hAnsi="Times New Roman" w:cs="Times New Roman"/>
          <w:bCs/>
          <w:sz w:val="24"/>
          <w:szCs w:val="24"/>
        </w:rPr>
        <w:t xml:space="preserve"> varices, or hepatic encephalopathy, the presence of ascites by physical exam,</w:t>
      </w:r>
      <w:r w:rsidR="00473BD2" w:rsidRPr="00821E77">
        <w:t xml:space="preserve"> </w:t>
      </w:r>
      <w:r w:rsidRPr="00473BD2">
        <w:rPr>
          <w:rFonts w:ascii="Times New Roman" w:eastAsia="MS Gothic" w:hAnsi="Times New Roman" w:cs="Times New Roman"/>
          <w:sz w:val="24"/>
          <w:szCs w:val="24"/>
        </w:rPr>
        <w:t xml:space="preserve"> </w:t>
      </w:r>
      <w:r w:rsidRPr="003C413F">
        <w:rPr>
          <w:rFonts w:ascii="Times New Roman" w:eastAsia="MS Gothic" w:hAnsi="Times New Roman" w:cs="Times New Roman"/>
          <w:bCs/>
          <w:sz w:val="24"/>
          <w:szCs w:val="24"/>
        </w:rPr>
        <w:t xml:space="preserve">presence of a co-existing </w:t>
      </w:r>
      <w:proofErr w:type="spellStart"/>
      <w:r w:rsidRPr="003C413F">
        <w:rPr>
          <w:rFonts w:ascii="Times New Roman" w:eastAsia="MS Gothic" w:hAnsi="Times New Roman" w:cs="Times New Roman"/>
          <w:bCs/>
          <w:sz w:val="24"/>
          <w:szCs w:val="24"/>
        </w:rPr>
        <w:t>thrombophilic</w:t>
      </w:r>
      <w:proofErr w:type="spellEnd"/>
      <w:r w:rsidRPr="003C413F">
        <w:rPr>
          <w:rFonts w:ascii="Times New Roman" w:eastAsia="MS Gothic" w:hAnsi="Times New Roman" w:cs="Times New Roman"/>
          <w:bCs/>
          <w:sz w:val="24"/>
          <w:szCs w:val="24"/>
        </w:rPr>
        <w:t xml:space="preserve"> disorder, history of antiphospholipid syndrome and history of arterial or venous thromboembolism, atrial fibrillation, significant valvular disease, myocardial infarction, angina, transient ischemic attack, or stroke</w:t>
      </w:r>
      <w:r>
        <w:rPr>
          <w:rFonts w:ascii="Times New Roman" w:eastAsia="MS Gothic" w:hAnsi="Times New Roman" w:cs="Times New Roman"/>
          <w:bCs/>
          <w:sz w:val="24"/>
          <w:szCs w:val="24"/>
        </w:rPr>
        <w:t>. Participants with a history of thrombosis associated with indwelling venous access were permitted to enrol</w:t>
      </w:r>
      <w:r w:rsidRPr="003C413F">
        <w:rPr>
          <w:rFonts w:ascii="Times New Roman" w:eastAsia="MS Gothic" w:hAnsi="Times New Roman" w:cs="Times New Roman"/>
          <w:bCs/>
          <w:sz w:val="24"/>
          <w:szCs w:val="24"/>
        </w:rPr>
        <w:t xml:space="preserve"> (full inclusion/exclusion criteria in </w:t>
      </w:r>
      <w:r w:rsidR="00C735DA">
        <w:rPr>
          <w:rFonts w:ascii="Times New Roman" w:eastAsia="MS Gothic" w:hAnsi="Times New Roman" w:cs="Times New Roman"/>
          <w:bCs/>
          <w:sz w:val="24"/>
          <w:szCs w:val="24"/>
        </w:rPr>
        <w:t>a</w:t>
      </w:r>
      <w:r w:rsidRPr="003C413F">
        <w:rPr>
          <w:rFonts w:ascii="Times New Roman" w:eastAsia="MS Gothic" w:hAnsi="Times New Roman" w:cs="Times New Roman"/>
          <w:bCs/>
          <w:sz w:val="24"/>
          <w:szCs w:val="24"/>
        </w:rPr>
        <w:t>ppendix</w:t>
      </w:r>
      <w:r>
        <w:rPr>
          <w:rFonts w:ascii="Times New Roman" w:eastAsia="MS Gothic" w:hAnsi="Times New Roman" w:cs="Times New Roman"/>
          <w:bCs/>
          <w:sz w:val="24"/>
          <w:szCs w:val="24"/>
        </w:rPr>
        <w:t xml:space="preserve"> pp </w:t>
      </w:r>
      <w:r w:rsidR="004633EC">
        <w:rPr>
          <w:rFonts w:ascii="Times New Roman" w:eastAsia="MS Gothic" w:hAnsi="Times New Roman" w:cs="Times New Roman"/>
          <w:bCs/>
          <w:sz w:val="24"/>
          <w:szCs w:val="24"/>
        </w:rPr>
        <w:t>4</w:t>
      </w:r>
      <w:r>
        <w:rPr>
          <w:rFonts w:ascii="Times New Roman" w:eastAsia="MS Gothic" w:hAnsi="Times New Roman" w:cs="Times New Roman"/>
          <w:bCs/>
          <w:sz w:val="24"/>
          <w:szCs w:val="24"/>
        </w:rPr>
        <w:t>–</w:t>
      </w:r>
      <w:r w:rsidR="004633EC">
        <w:rPr>
          <w:rFonts w:ascii="Times New Roman" w:eastAsia="MS Gothic" w:hAnsi="Times New Roman" w:cs="Times New Roman"/>
          <w:bCs/>
          <w:sz w:val="24"/>
          <w:szCs w:val="24"/>
        </w:rPr>
        <w:t>5</w:t>
      </w:r>
      <w:r w:rsidRPr="003C413F">
        <w:rPr>
          <w:rFonts w:ascii="Times New Roman" w:eastAsia="MS Gothic" w:hAnsi="Times New Roman" w:cs="Times New Roman"/>
          <w:bCs/>
          <w:sz w:val="24"/>
          <w:szCs w:val="24"/>
        </w:rPr>
        <w:t>). Informed consent was obtained prior to the conduct of any study-related procedures. The participant informed consent form was modified according to local regulations and requirements where applicable.</w:t>
      </w:r>
    </w:p>
    <w:p w14:paraId="54CF8989" w14:textId="77777777" w:rsidR="00DD7F18" w:rsidRPr="00D653EE" w:rsidRDefault="00DD7F18" w:rsidP="00C260AA">
      <w:pPr>
        <w:spacing w:line="360" w:lineRule="auto"/>
        <w:rPr>
          <w:rFonts w:ascii="Times New Roman" w:eastAsiaTheme="majorEastAsia" w:hAnsi="Times New Roman" w:cs="Times New Roman"/>
          <w:b/>
          <w:color w:val="000000"/>
          <w:sz w:val="24"/>
          <w:szCs w:val="24"/>
        </w:rPr>
      </w:pPr>
      <w:r w:rsidRPr="00D653EE">
        <w:rPr>
          <w:rFonts w:ascii="Times New Roman" w:eastAsiaTheme="majorEastAsia" w:hAnsi="Times New Roman" w:cs="Times New Roman"/>
          <w:b/>
          <w:color w:val="000000"/>
          <w:sz w:val="24"/>
          <w:szCs w:val="24"/>
        </w:rPr>
        <w:lastRenderedPageBreak/>
        <w:t>Randomisation and masking</w:t>
      </w:r>
    </w:p>
    <w:p w14:paraId="38DC1D18" w14:textId="05F2F287" w:rsidR="00DD7F18" w:rsidRPr="00D653EE" w:rsidRDefault="00DD7F18" w:rsidP="00606BD3">
      <w:pPr>
        <w:spacing w:after="240" w:line="360" w:lineRule="auto"/>
        <w:rPr>
          <w:rFonts w:ascii="Times New Roman" w:eastAsiaTheme="majorEastAsia" w:hAnsi="Times New Roman" w:cs="Times New Roman"/>
          <w:bCs/>
          <w:color w:val="FF0000"/>
          <w:sz w:val="24"/>
          <w:szCs w:val="24"/>
        </w:rPr>
      </w:pPr>
      <w:r w:rsidRPr="003C413F">
        <w:rPr>
          <w:rFonts w:ascii="Times New Roman" w:eastAsia="MS Gothic" w:hAnsi="Times New Roman" w:cs="Times New Roman"/>
          <w:bCs/>
          <w:sz w:val="24"/>
          <w:szCs w:val="24"/>
        </w:rPr>
        <w:t>Eligible participants were randomised 2:1</w:t>
      </w:r>
      <w:r w:rsidR="00F60366">
        <w:rPr>
          <w:rFonts w:ascii="Times New Roman" w:eastAsia="MS Gothic" w:hAnsi="Times New Roman" w:cs="Times New Roman"/>
          <w:bCs/>
          <w:sz w:val="24"/>
          <w:szCs w:val="24"/>
        </w:rPr>
        <w:t>, using an interactive response system,</w:t>
      </w:r>
      <w:r w:rsidRPr="003C413F">
        <w:rPr>
          <w:rFonts w:ascii="Times New Roman" w:eastAsia="MS Gothic" w:hAnsi="Times New Roman" w:cs="Times New Roman"/>
          <w:bCs/>
          <w:sz w:val="24"/>
          <w:szCs w:val="24"/>
        </w:rPr>
        <w:t xml:space="preserve"> to receive either once-monthly 80 mg subcutaneous </w:t>
      </w:r>
      <w:proofErr w:type="spellStart"/>
      <w:r w:rsidRPr="003C413F">
        <w:rPr>
          <w:rFonts w:ascii="Times New Roman" w:eastAsia="MS Gothic" w:hAnsi="Times New Roman" w:cs="Times New Roman"/>
          <w:bCs/>
          <w:sz w:val="24"/>
          <w:szCs w:val="24"/>
        </w:rPr>
        <w:t>fitusiran</w:t>
      </w:r>
      <w:proofErr w:type="spellEnd"/>
      <w:r w:rsidRPr="003C413F">
        <w:rPr>
          <w:rFonts w:ascii="Times New Roman" w:eastAsia="MS Gothic" w:hAnsi="Times New Roman" w:cs="Times New Roman"/>
          <w:bCs/>
          <w:sz w:val="24"/>
          <w:szCs w:val="24"/>
        </w:rPr>
        <w:t xml:space="preserve"> prophylaxis with use of reduced dose on-demand CFCs for treatment of breakthrough bleeding episodes (table </w:t>
      </w:r>
      <w:r w:rsidR="000000EC" w:rsidRPr="003C413F">
        <w:rPr>
          <w:rFonts w:ascii="Times New Roman" w:eastAsia="MS Gothic" w:hAnsi="Times New Roman" w:cs="Times New Roman"/>
          <w:bCs/>
          <w:sz w:val="24"/>
          <w:szCs w:val="24"/>
        </w:rPr>
        <w:t>S</w:t>
      </w:r>
      <w:r w:rsidR="000000EC">
        <w:rPr>
          <w:rFonts w:ascii="Times New Roman" w:eastAsia="MS Gothic" w:hAnsi="Times New Roman" w:cs="Times New Roman"/>
          <w:bCs/>
          <w:sz w:val="24"/>
          <w:szCs w:val="24"/>
        </w:rPr>
        <w:t>2</w:t>
      </w:r>
      <w:r>
        <w:rPr>
          <w:rFonts w:ascii="Times New Roman" w:eastAsia="MS Gothic" w:hAnsi="Times New Roman" w:cs="Times New Roman"/>
          <w:bCs/>
          <w:sz w:val="24"/>
          <w:szCs w:val="24"/>
        </w:rPr>
        <w:t xml:space="preserve">, </w:t>
      </w:r>
      <w:r w:rsidR="00C735DA">
        <w:rPr>
          <w:rFonts w:ascii="Times New Roman" w:eastAsia="MS Gothic" w:hAnsi="Times New Roman" w:cs="Times New Roman"/>
          <w:bCs/>
          <w:sz w:val="24"/>
          <w:szCs w:val="24"/>
        </w:rPr>
        <w:t>a</w:t>
      </w:r>
      <w:r>
        <w:rPr>
          <w:rFonts w:ascii="Times New Roman" w:eastAsia="MS Gothic" w:hAnsi="Times New Roman" w:cs="Times New Roman"/>
          <w:bCs/>
          <w:sz w:val="24"/>
          <w:szCs w:val="24"/>
        </w:rPr>
        <w:t xml:space="preserve">ppendix pp </w:t>
      </w:r>
      <w:r w:rsidR="004633EC">
        <w:rPr>
          <w:rFonts w:ascii="Times New Roman" w:eastAsia="MS Gothic" w:hAnsi="Times New Roman" w:cs="Times New Roman"/>
          <w:bCs/>
          <w:sz w:val="24"/>
          <w:szCs w:val="24"/>
        </w:rPr>
        <w:t>5</w:t>
      </w:r>
      <w:r w:rsidR="00C735DA">
        <w:rPr>
          <w:rFonts w:ascii="Times New Roman" w:eastAsia="MS Gothic" w:hAnsi="Times New Roman" w:cs="Times New Roman"/>
          <w:bCs/>
          <w:sz w:val="24"/>
          <w:szCs w:val="24"/>
        </w:rPr>
        <w:t>–</w:t>
      </w:r>
      <w:r w:rsidR="004633EC">
        <w:rPr>
          <w:rFonts w:ascii="Times New Roman" w:eastAsia="MS Gothic" w:hAnsi="Times New Roman" w:cs="Times New Roman"/>
          <w:bCs/>
          <w:sz w:val="24"/>
          <w:szCs w:val="24"/>
        </w:rPr>
        <w:t>6</w:t>
      </w:r>
      <w:r w:rsidRPr="003C413F">
        <w:rPr>
          <w:rFonts w:ascii="Times New Roman" w:eastAsia="MS Gothic" w:hAnsi="Times New Roman" w:cs="Times New Roman"/>
          <w:bCs/>
          <w:sz w:val="24"/>
          <w:szCs w:val="24"/>
        </w:rPr>
        <w:t>), or on-demand CFCs for treatment of bleeding episodes for 9 months.</w:t>
      </w:r>
      <w:r w:rsidRPr="00D653EE">
        <w:rPr>
          <w:rFonts w:ascii="Times New Roman" w:eastAsiaTheme="majorEastAsia" w:hAnsi="Times New Roman" w:cs="Times New Roman"/>
          <w:bCs/>
          <w:sz w:val="24"/>
          <w:szCs w:val="24"/>
        </w:rPr>
        <w:t xml:space="preserve"> </w:t>
      </w:r>
      <w:bookmarkStart w:id="13" w:name="_Hlk121218916"/>
      <w:r w:rsidR="00F43BE6">
        <w:rPr>
          <w:rFonts w:ascii="Times New Roman" w:eastAsiaTheme="majorEastAsia" w:hAnsi="Times New Roman" w:cs="Times New Roman"/>
          <w:bCs/>
          <w:sz w:val="24"/>
          <w:szCs w:val="24"/>
        </w:rPr>
        <w:t>In order to protect against bias, r</w:t>
      </w:r>
      <w:r w:rsidRPr="00D653EE">
        <w:rPr>
          <w:rFonts w:ascii="Times New Roman" w:eastAsiaTheme="majorEastAsia" w:hAnsi="Times New Roman" w:cs="Times New Roman"/>
          <w:bCs/>
          <w:sz w:val="24"/>
          <w:szCs w:val="24"/>
        </w:rPr>
        <w:t xml:space="preserve">andomisation was stratified by the number of bleeding episodes in the 6 months prior to screening (≤10 vs &gt;10) </w:t>
      </w:r>
      <w:r w:rsidRPr="003C413F">
        <w:rPr>
          <w:rFonts w:ascii="Times New Roman" w:eastAsiaTheme="majorEastAsia" w:hAnsi="Times New Roman" w:cs="Times New Roman"/>
          <w:bCs/>
          <w:color w:val="000000"/>
          <w:sz w:val="24"/>
          <w:szCs w:val="24"/>
        </w:rPr>
        <w:t>and haemophilia type (haemophilia A or B)</w:t>
      </w:r>
      <w:r w:rsidRPr="00D653EE">
        <w:rPr>
          <w:rFonts w:ascii="Times New Roman" w:eastAsiaTheme="majorEastAsia" w:hAnsi="Times New Roman" w:cs="Times New Roman"/>
          <w:bCs/>
          <w:sz w:val="24"/>
          <w:szCs w:val="24"/>
        </w:rPr>
        <w:t xml:space="preserve">. </w:t>
      </w:r>
      <w:bookmarkEnd w:id="13"/>
      <w:r w:rsidRPr="00D653EE">
        <w:rPr>
          <w:rFonts w:ascii="Times New Roman" w:eastAsiaTheme="majorEastAsia" w:hAnsi="Times New Roman" w:cs="Times New Roman"/>
          <w:bCs/>
          <w:sz w:val="24"/>
          <w:szCs w:val="24"/>
        </w:rPr>
        <w:t xml:space="preserve">Upon signing the informed consent form, each participant was assigned a unique identifier (combination of the site number and participant identification number) by an interactive response system. The investigator contacted the interactive response system after confirming that the participant fulfilled all the inclusion criteria. </w:t>
      </w:r>
      <w:r w:rsidRPr="00D653EE">
        <w:rPr>
          <w:rFonts w:ascii="Times New Roman" w:hAnsi="Times New Roman" w:cs="Times New Roman"/>
          <w:sz w:val="24"/>
          <w:szCs w:val="24"/>
        </w:rPr>
        <w:t>The trial was open-label, with both participants and investigators aware of treatment assignment.</w:t>
      </w:r>
    </w:p>
    <w:p w14:paraId="6F54FC3B" w14:textId="77777777" w:rsidR="00DD7F18" w:rsidRPr="00D653EE" w:rsidRDefault="00DD7F18" w:rsidP="00C260AA">
      <w:pPr>
        <w:spacing w:line="360" w:lineRule="auto"/>
        <w:rPr>
          <w:rFonts w:ascii="Times New Roman" w:eastAsiaTheme="majorEastAsia" w:hAnsi="Times New Roman" w:cs="Times New Roman"/>
          <w:b/>
          <w:color w:val="000000"/>
          <w:sz w:val="24"/>
          <w:szCs w:val="24"/>
        </w:rPr>
      </w:pPr>
      <w:r w:rsidRPr="00D653EE">
        <w:rPr>
          <w:rFonts w:ascii="Times New Roman" w:eastAsiaTheme="majorEastAsia" w:hAnsi="Times New Roman" w:cs="Times New Roman"/>
          <w:b/>
          <w:color w:val="000000"/>
          <w:sz w:val="24"/>
          <w:szCs w:val="24"/>
        </w:rPr>
        <w:t>Procedures</w:t>
      </w:r>
    </w:p>
    <w:p w14:paraId="651804AC" w14:textId="08D52D1E" w:rsidR="0005672E" w:rsidRDefault="00291A94" w:rsidP="00606BD3">
      <w:pPr>
        <w:spacing w:line="360" w:lineRule="auto"/>
      </w:pPr>
      <w:bookmarkStart w:id="14" w:name="_Hlk121218357"/>
      <w:bookmarkStart w:id="15" w:name="_Hlk121845017"/>
      <w:r>
        <w:rPr>
          <w:rFonts w:ascii="Times New Roman" w:eastAsiaTheme="majorEastAsia" w:hAnsi="Times New Roman" w:cs="Times New Roman"/>
          <w:bCs/>
          <w:color w:val="000000"/>
          <w:sz w:val="24"/>
          <w:szCs w:val="24"/>
        </w:rPr>
        <w:t xml:space="preserve">Participant demographics and medical history, including CFC prescriptions and number of bleeding episodes reported in the last 6 months, were collected at baseline. </w:t>
      </w:r>
      <w:bookmarkEnd w:id="14"/>
      <w:r w:rsidR="002036ED">
        <w:rPr>
          <w:rFonts w:ascii="Times New Roman" w:eastAsiaTheme="majorEastAsia" w:hAnsi="Times New Roman" w:cs="Times New Roman"/>
          <w:bCs/>
          <w:color w:val="000000"/>
          <w:sz w:val="24"/>
          <w:szCs w:val="24"/>
        </w:rPr>
        <w:t xml:space="preserve">Number of exposure days to on-demand CFCs prior to enrolment were not collected as part of the study. </w:t>
      </w:r>
      <w:bookmarkEnd w:id="15"/>
      <w:r w:rsidR="00DD7F18" w:rsidRPr="00D653EE">
        <w:rPr>
          <w:rFonts w:ascii="Times New Roman" w:eastAsiaTheme="majorEastAsia" w:hAnsi="Times New Roman" w:cs="Times New Roman"/>
          <w:bCs/>
          <w:color w:val="000000"/>
          <w:sz w:val="24"/>
          <w:szCs w:val="24"/>
        </w:rPr>
        <w:t xml:space="preserve">The trial consisted of the onset period, 28 days post-first </w:t>
      </w:r>
      <w:proofErr w:type="spellStart"/>
      <w:r w:rsidR="00DD7F18" w:rsidRPr="00D653EE">
        <w:rPr>
          <w:rFonts w:ascii="Times New Roman" w:eastAsiaTheme="majorEastAsia" w:hAnsi="Times New Roman" w:cs="Times New Roman"/>
          <w:bCs/>
          <w:color w:val="000000"/>
          <w:sz w:val="24"/>
          <w:szCs w:val="24"/>
        </w:rPr>
        <w:t>fitusiran</w:t>
      </w:r>
      <w:proofErr w:type="spellEnd"/>
      <w:r w:rsidR="00DD7F18" w:rsidRPr="00D653EE">
        <w:rPr>
          <w:rFonts w:ascii="Times New Roman" w:eastAsiaTheme="majorEastAsia" w:hAnsi="Times New Roman" w:cs="Times New Roman"/>
          <w:bCs/>
          <w:color w:val="000000"/>
          <w:sz w:val="24"/>
          <w:szCs w:val="24"/>
        </w:rPr>
        <w:t xml:space="preserve"> dose, during which </w:t>
      </w:r>
      <w:proofErr w:type="spellStart"/>
      <w:r w:rsidR="00DD7F18" w:rsidRPr="00D653EE">
        <w:rPr>
          <w:rFonts w:ascii="Times New Roman" w:eastAsiaTheme="majorEastAsia" w:hAnsi="Times New Roman" w:cs="Times New Roman"/>
          <w:bCs/>
          <w:color w:val="000000"/>
          <w:sz w:val="24"/>
          <w:szCs w:val="24"/>
        </w:rPr>
        <w:t>fitusiran</w:t>
      </w:r>
      <w:proofErr w:type="spellEnd"/>
      <w:r w:rsidR="00DD7F18" w:rsidRPr="00D653EE">
        <w:rPr>
          <w:rFonts w:ascii="Times New Roman" w:eastAsiaTheme="majorEastAsia" w:hAnsi="Times New Roman" w:cs="Times New Roman"/>
          <w:bCs/>
          <w:color w:val="000000"/>
          <w:sz w:val="24"/>
          <w:szCs w:val="24"/>
        </w:rPr>
        <w:t xml:space="preserve"> reaches target pharmacodynamic effect of antithrombin lowering;</w:t>
      </w:r>
      <w:r w:rsidR="00DD7F18">
        <w:rPr>
          <w:rFonts w:ascii="Times New Roman" w:eastAsiaTheme="majorEastAsia" w:hAnsi="Times New Roman" w:cs="Times New Roman"/>
          <w:bCs/>
          <w:color w:val="000000"/>
          <w:sz w:val="24"/>
          <w:szCs w:val="24"/>
          <w:vertAlign w:val="superscript"/>
        </w:rPr>
        <w:t>20</w:t>
      </w:r>
      <w:r w:rsidR="00DD7F18" w:rsidRPr="00D653EE">
        <w:rPr>
          <w:rFonts w:ascii="Times New Roman" w:eastAsiaTheme="majorEastAsia" w:hAnsi="Times New Roman" w:cs="Times New Roman"/>
          <w:bCs/>
          <w:color w:val="000000"/>
          <w:sz w:val="24"/>
          <w:szCs w:val="24"/>
        </w:rPr>
        <w:t xml:space="preserve"> the efficacy period, Day 29 post-first </w:t>
      </w:r>
      <w:proofErr w:type="spellStart"/>
      <w:r w:rsidR="00DD7F18" w:rsidRPr="00D653EE">
        <w:rPr>
          <w:rFonts w:ascii="Times New Roman" w:eastAsiaTheme="majorEastAsia" w:hAnsi="Times New Roman" w:cs="Times New Roman"/>
          <w:bCs/>
          <w:color w:val="000000"/>
          <w:sz w:val="24"/>
          <w:szCs w:val="24"/>
        </w:rPr>
        <w:t>fitusiran</w:t>
      </w:r>
      <w:proofErr w:type="spellEnd"/>
      <w:r w:rsidR="00DD7F18" w:rsidRPr="00D653EE">
        <w:rPr>
          <w:rFonts w:ascii="Times New Roman" w:eastAsiaTheme="majorEastAsia" w:hAnsi="Times New Roman" w:cs="Times New Roman"/>
          <w:bCs/>
          <w:color w:val="000000"/>
          <w:sz w:val="24"/>
          <w:szCs w:val="24"/>
        </w:rPr>
        <w:t xml:space="preserve"> dose up to Day 246; and the treatment period, including the onset and efficacy periods </w:t>
      </w:r>
      <w:r w:rsidR="00DD7F18" w:rsidRPr="003C413F">
        <w:rPr>
          <w:rFonts w:ascii="Times New Roman" w:eastAsiaTheme="majorEastAsia" w:hAnsi="Times New Roman" w:cs="Times New Roman"/>
          <w:bCs/>
          <w:color w:val="000000"/>
          <w:sz w:val="24"/>
          <w:szCs w:val="24"/>
        </w:rPr>
        <w:t>(figure S1).</w:t>
      </w:r>
      <w:r w:rsidR="00DD7F18" w:rsidRPr="00D653EE">
        <w:rPr>
          <w:rFonts w:ascii="Times New Roman" w:eastAsiaTheme="majorEastAsia" w:hAnsi="Times New Roman" w:cs="Times New Roman"/>
          <w:bCs/>
          <w:color w:val="000000"/>
          <w:sz w:val="24"/>
          <w:szCs w:val="24"/>
        </w:rPr>
        <w:t xml:space="preserve"> The follow-up period lasted from 1–6 months post-final </w:t>
      </w:r>
      <w:proofErr w:type="spellStart"/>
      <w:r w:rsidR="00DD7F18" w:rsidRPr="00D653EE">
        <w:rPr>
          <w:rFonts w:ascii="Times New Roman" w:eastAsiaTheme="majorEastAsia" w:hAnsi="Times New Roman" w:cs="Times New Roman"/>
          <w:bCs/>
          <w:color w:val="000000"/>
          <w:sz w:val="24"/>
          <w:szCs w:val="24"/>
        </w:rPr>
        <w:t>fitusiran</w:t>
      </w:r>
      <w:proofErr w:type="spellEnd"/>
      <w:r w:rsidR="00DD7F18" w:rsidRPr="00D653EE">
        <w:rPr>
          <w:rFonts w:ascii="Times New Roman" w:eastAsiaTheme="majorEastAsia" w:hAnsi="Times New Roman" w:cs="Times New Roman"/>
          <w:bCs/>
          <w:color w:val="000000"/>
          <w:sz w:val="24"/>
          <w:szCs w:val="24"/>
        </w:rPr>
        <w:t xml:space="preserve"> dose, until antithrombin activity level returned to 60%. In lieu of the follow-up period, participants who completed the study were eligible to enrol in the extension study</w:t>
      </w:r>
      <w:r w:rsidR="0005672E">
        <w:t xml:space="preserve">. </w:t>
      </w:r>
    </w:p>
    <w:p w14:paraId="2A5D4D75" w14:textId="128954AF" w:rsidR="00DD7F18" w:rsidRPr="0005672E" w:rsidRDefault="0005672E" w:rsidP="00606BD3">
      <w:pPr>
        <w:spacing w:line="360" w:lineRule="auto"/>
        <w:rPr>
          <w:rFonts w:ascii="Times New Roman" w:eastAsiaTheme="majorEastAsia" w:hAnsi="Times New Roman" w:cs="Times New Roman"/>
          <w:bCs/>
          <w:color w:val="000000"/>
          <w:sz w:val="24"/>
          <w:szCs w:val="24"/>
        </w:rPr>
      </w:pPr>
      <w:bookmarkStart w:id="16" w:name="_Hlk121917640"/>
      <w:proofErr w:type="spellStart"/>
      <w:r w:rsidRPr="00195806">
        <w:rPr>
          <w:rFonts w:ascii="Times New Roman" w:hAnsi="Times New Roman" w:cs="Times New Roman"/>
          <w:sz w:val="24"/>
          <w:szCs w:val="24"/>
        </w:rPr>
        <w:t>Fitu</w:t>
      </w:r>
      <w:r w:rsidRPr="0005672E">
        <w:rPr>
          <w:rFonts w:ascii="Times New Roman" w:hAnsi="Times New Roman" w:cs="Times New Roman"/>
          <w:sz w:val="24"/>
          <w:szCs w:val="24"/>
        </w:rPr>
        <w:t>siran</w:t>
      </w:r>
      <w:proofErr w:type="spellEnd"/>
      <w:r w:rsidRPr="0005672E">
        <w:rPr>
          <w:rFonts w:ascii="Times New Roman" w:hAnsi="Times New Roman" w:cs="Times New Roman"/>
          <w:sz w:val="24"/>
          <w:szCs w:val="24"/>
        </w:rPr>
        <w:t xml:space="preserve"> dose modifications were not permitted.</w:t>
      </w:r>
      <w:r w:rsidRPr="005E6DB4">
        <w:rPr>
          <w:rFonts w:ascii="Times New Roman" w:hAnsi="Times New Roman" w:cs="Times New Roman"/>
          <w:sz w:val="24"/>
          <w:szCs w:val="24"/>
        </w:rPr>
        <w:t xml:space="preserve"> Investigators were able to voluntarily pause </w:t>
      </w:r>
      <w:proofErr w:type="spellStart"/>
      <w:r w:rsidRPr="005E6DB4">
        <w:rPr>
          <w:rFonts w:ascii="Times New Roman" w:hAnsi="Times New Roman" w:cs="Times New Roman"/>
          <w:sz w:val="24"/>
          <w:szCs w:val="24"/>
        </w:rPr>
        <w:t>fitusiran</w:t>
      </w:r>
      <w:proofErr w:type="spellEnd"/>
      <w:r w:rsidRPr="005E6DB4">
        <w:rPr>
          <w:rFonts w:ascii="Times New Roman" w:hAnsi="Times New Roman" w:cs="Times New Roman"/>
          <w:sz w:val="24"/>
          <w:szCs w:val="24"/>
        </w:rPr>
        <w:t xml:space="preserve"> dosing if a </w:t>
      </w:r>
      <w:r>
        <w:rPr>
          <w:rFonts w:ascii="Times New Roman" w:hAnsi="Times New Roman" w:cs="Times New Roman"/>
          <w:sz w:val="24"/>
          <w:szCs w:val="24"/>
        </w:rPr>
        <w:t>TEAE</w:t>
      </w:r>
      <w:r w:rsidRPr="005E6DB4">
        <w:rPr>
          <w:rFonts w:ascii="Times New Roman" w:hAnsi="Times New Roman" w:cs="Times New Roman"/>
          <w:sz w:val="24"/>
          <w:szCs w:val="24"/>
        </w:rPr>
        <w:t xml:space="preserve"> occurred in a participant that an investigator judged to present a potential risk to the participant if dosing continued.</w:t>
      </w:r>
      <w:r>
        <w:rPr>
          <w:sz w:val="24"/>
          <w:szCs w:val="24"/>
        </w:rPr>
        <w:t xml:space="preserve"> </w:t>
      </w:r>
      <w:bookmarkStart w:id="17" w:name="_Hlk121917541"/>
      <w:bookmarkEnd w:id="16"/>
      <w:r w:rsidR="004C336C" w:rsidRPr="0005672E">
        <w:rPr>
          <w:rFonts w:ascii="Times New Roman" w:eastAsiaTheme="majorEastAsia" w:hAnsi="Times New Roman" w:cs="Times New Roman"/>
          <w:bCs/>
          <w:color w:val="000000"/>
          <w:sz w:val="24"/>
          <w:szCs w:val="24"/>
        </w:rPr>
        <w:t xml:space="preserve">Participants were free to discontinue treatment or withdraw from the study at any time and for any reason. </w:t>
      </w:r>
      <w:r w:rsidRPr="0005672E">
        <w:rPr>
          <w:rFonts w:ascii="Times New Roman" w:eastAsiaTheme="majorEastAsia" w:hAnsi="Times New Roman" w:cs="Times New Roman"/>
          <w:bCs/>
          <w:color w:val="000000"/>
          <w:sz w:val="24"/>
          <w:szCs w:val="24"/>
        </w:rPr>
        <w:t>Investigators were</w:t>
      </w:r>
      <w:r w:rsidR="004C336C" w:rsidRPr="0005672E">
        <w:rPr>
          <w:rFonts w:ascii="Times New Roman" w:eastAsiaTheme="majorEastAsia" w:hAnsi="Times New Roman" w:cs="Times New Roman"/>
          <w:bCs/>
          <w:color w:val="000000"/>
          <w:sz w:val="24"/>
          <w:szCs w:val="24"/>
        </w:rPr>
        <w:t xml:space="preserve"> able to withdraw a participant at any time if this was considered to be in the participant’s best interest. </w:t>
      </w:r>
      <w:r w:rsidRPr="0005672E">
        <w:rPr>
          <w:rFonts w:ascii="Times New Roman" w:eastAsiaTheme="majorEastAsia" w:hAnsi="Times New Roman" w:cs="Times New Roman"/>
          <w:bCs/>
          <w:color w:val="000000"/>
          <w:sz w:val="24"/>
          <w:szCs w:val="24"/>
        </w:rPr>
        <w:t>Investigators were</w:t>
      </w:r>
      <w:r w:rsidR="004C336C" w:rsidRPr="0005672E">
        <w:rPr>
          <w:rFonts w:ascii="Times New Roman" w:eastAsiaTheme="majorEastAsia" w:hAnsi="Times New Roman" w:cs="Times New Roman"/>
          <w:bCs/>
          <w:color w:val="000000"/>
          <w:sz w:val="24"/>
          <w:szCs w:val="24"/>
        </w:rPr>
        <w:t xml:space="preserve"> able to discontinue dosing if the participant was in significant violation of the protocol, was non-adherent to the treatment regimen, experienced a serious or intolerable adverse event or required a prohibited medication.</w:t>
      </w:r>
    </w:p>
    <w:bookmarkEnd w:id="17"/>
    <w:p w14:paraId="58715C3E" w14:textId="4B69D32D" w:rsidR="00DD7F18" w:rsidRPr="00D653EE" w:rsidRDefault="00DD7F18" w:rsidP="00606BD3">
      <w:pPr>
        <w:spacing w:line="360" w:lineRule="auto"/>
        <w:rPr>
          <w:rFonts w:ascii="Times New Roman" w:eastAsiaTheme="majorEastAsia" w:hAnsi="Times New Roman" w:cs="Times New Roman"/>
          <w:bCs/>
          <w:color w:val="000000"/>
          <w:sz w:val="24"/>
          <w:szCs w:val="24"/>
        </w:rPr>
      </w:pPr>
      <w:r w:rsidRPr="00D653EE">
        <w:rPr>
          <w:rFonts w:ascii="Times New Roman" w:eastAsiaTheme="majorEastAsia" w:hAnsi="Times New Roman" w:cs="Times New Roman"/>
          <w:bCs/>
          <w:color w:val="000000"/>
          <w:sz w:val="24"/>
          <w:szCs w:val="24"/>
        </w:rPr>
        <w:lastRenderedPageBreak/>
        <w:t xml:space="preserve">Participants recorded all bleeding events and doses of CFCs administered during the conduct of the trial in an </w:t>
      </w:r>
      <w:proofErr w:type="spellStart"/>
      <w:r w:rsidRPr="00D653EE">
        <w:rPr>
          <w:rFonts w:ascii="Times New Roman" w:eastAsiaTheme="majorEastAsia" w:hAnsi="Times New Roman" w:cs="Times New Roman"/>
          <w:bCs/>
          <w:color w:val="000000"/>
          <w:sz w:val="24"/>
          <w:szCs w:val="24"/>
        </w:rPr>
        <w:t>eDiary</w:t>
      </w:r>
      <w:proofErr w:type="spellEnd"/>
      <w:r w:rsidRPr="00D653EE">
        <w:rPr>
          <w:rFonts w:ascii="Times New Roman" w:eastAsiaTheme="majorEastAsia" w:hAnsi="Times New Roman" w:cs="Times New Roman"/>
          <w:bCs/>
          <w:color w:val="000000"/>
          <w:sz w:val="24"/>
          <w:szCs w:val="24"/>
        </w:rPr>
        <w:t xml:space="preserve"> (</w:t>
      </w:r>
      <w:r>
        <w:rPr>
          <w:rFonts w:ascii="Times New Roman" w:eastAsiaTheme="majorEastAsia" w:hAnsi="Times New Roman" w:cs="Times New Roman"/>
          <w:bCs/>
          <w:color w:val="000000"/>
          <w:sz w:val="24"/>
          <w:szCs w:val="24"/>
        </w:rPr>
        <w:t>a</w:t>
      </w:r>
      <w:r w:rsidRPr="00D653EE">
        <w:rPr>
          <w:rFonts w:ascii="Times New Roman" w:eastAsiaTheme="majorEastAsia" w:hAnsi="Times New Roman" w:cs="Times New Roman"/>
          <w:bCs/>
          <w:color w:val="000000"/>
          <w:sz w:val="24"/>
          <w:szCs w:val="24"/>
        </w:rPr>
        <w:t>ppendix</w:t>
      </w:r>
      <w:r>
        <w:rPr>
          <w:rFonts w:ascii="Times New Roman" w:eastAsiaTheme="majorEastAsia" w:hAnsi="Times New Roman" w:cs="Times New Roman"/>
          <w:bCs/>
          <w:color w:val="000000"/>
          <w:sz w:val="24"/>
          <w:szCs w:val="24"/>
        </w:rPr>
        <w:t xml:space="preserve"> p </w:t>
      </w:r>
      <w:r w:rsidR="004633EC">
        <w:rPr>
          <w:rFonts w:ascii="Times New Roman" w:eastAsiaTheme="majorEastAsia" w:hAnsi="Times New Roman" w:cs="Times New Roman"/>
          <w:bCs/>
          <w:color w:val="000000"/>
          <w:sz w:val="24"/>
          <w:szCs w:val="24"/>
        </w:rPr>
        <w:t>6</w:t>
      </w:r>
      <w:r w:rsidRPr="00D653EE">
        <w:rPr>
          <w:rFonts w:ascii="Times New Roman" w:eastAsiaTheme="majorEastAsia" w:hAnsi="Times New Roman" w:cs="Times New Roman"/>
          <w:bCs/>
          <w:color w:val="000000"/>
          <w:sz w:val="24"/>
          <w:szCs w:val="24"/>
        </w:rPr>
        <w:t>). A treated bleeding episode was defined as any occurrence of haemorrhage that required administration of clotting factor concentrates. The definitions of bleeding episode types were according to the recommendations of the International Society on Thrombosis and Haemostasis (</w:t>
      </w:r>
      <w:r>
        <w:rPr>
          <w:rFonts w:ascii="Times New Roman" w:eastAsiaTheme="majorEastAsia" w:hAnsi="Times New Roman" w:cs="Times New Roman"/>
          <w:bCs/>
          <w:color w:val="000000"/>
          <w:sz w:val="24"/>
          <w:szCs w:val="24"/>
        </w:rPr>
        <w:t>definitions in a</w:t>
      </w:r>
      <w:r w:rsidRPr="00D653EE">
        <w:rPr>
          <w:rFonts w:ascii="Times New Roman" w:eastAsiaTheme="majorEastAsia" w:hAnsi="Times New Roman" w:cs="Times New Roman"/>
          <w:bCs/>
          <w:color w:val="000000"/>
          <w:sz w:val="24"/>
          <w:szCs w:val="24"/>
        </w:rPr>
        <w:t>ppendix</w:t>
      </w:r>
      <w:r>
        <w:rPr>
          <w:rFonts w:ascii="Times New Roman" w:eastAsiaTheme="majorEastAsia" w:hAnsi="Times New Roman" w:cs="Times New Roman"/>
          <w:bCs/>
          <w:color w:val="000000"/>
          <w:sz w:val="24"/>
          <w:szCs w:val="24"/>
        </w:rPr>
        <w:t xml:space="preserve"> p</w:t>
      </w:r>
      <w:r w:rsidR="00C735DA">
        <w:rPr>
          <w:rFonts w:ascii="Times New Roman" w:eastAsiaTheme="majorEastAsia" w:hAnsi="Times New Roman" w:cs="Times New Roman"/>
          <w:bCs/>
          <w:color w:val="000000"/>
          <w:sz w:val="24"/>
          <w:szCs w:val="24"/>
        </w:rPr>
        <w:t xml:space="preserve"> </w:t>
      </w:r>
      <w:r w:rsidR="004633EC">
        <w:rPr>
          <w:rFonts w:ascii="Times New Roman" w:eastAsiaTheme="majorEastAsia" w:hAnsi="Times New Roman" w:cs="Times New Roman"/>
          <w:bCs/>
          <w:color w:val="000000"/>
          <w:sz w:val="24"/>
          <w:szCs w:val="24"/>
        </w:rPr>
        <w:t>5</w:t>
      </w:r>
      <w:r w:rsidRPr="00D653EE">
        <w:rPr>
          <w:rFonts w:ascii="Times New Roman" w:eastAsiaTheme="majorEastAsia" w:hAnsi="Times New Roman" w:cs="Times New Roman"/>
          <w:bCs/>
          <w:color w:val="000000"/>
          <w:sz w:val="24"/>
          <w:szCs w:val="24"/>
        </w:rPr>
        <w:t>).</w:t>
      </w:r>
      <w:r>
        <w:rPr>
          <w:rFonts w:ascii="Times New Roman" w:eastAsiaTheme="majorEastAsia" w:hAnsi="Times New Roman" w:cs="Times New Roman"/>
          <w:bCs/>
          <w:color w:val="000000"/>
          <w:sz w:val="24"/>
          <w:szCs w:val="24"/>
          <w:vertAlign w:val="superscript"/>
        </w:rPr>
        <w:t>21</w:t>
      </w:r>
      <w:r w:rsidRPr="00D653EE">
        <w:rPr>
          <w:rFonts w:ascii="Times New Roman" w:eastAsiaTheme="majorEastAsia" w:hAnsi="Times New Roman" w:cs="Times New Roman"/>
          <w:bCs/>
          <w:color w:val="000000"/>
          <w:sz w:val="24"/>
          <w:szCs w:val="24"/>
        </w:rPr>
        <w:t xml:space="preserve"> </w:t>
      </w:r>
    </w:p>
    <w:p w14:paraId="0FEC8F18" w14:textId="35D746FB" w:rsidR="00DD7F18" w:rsidRPr="00D653EE" w:rsidRDefault="00DD7F18" w:rsidP="00606BD3">
      <w:pPr>
        <w:spacing w:line="360" w:lineRule="auto"/>
        <w:rPr>
          <w:rFonts w:ascii="Times New Roman" w:hAnsi="Times New Roman" w:cs="Times New Roman"/>
          <w:sz w:val="24"/>
          <w:szCs w:val="24"/>
        </w:rPr>
      </w:pPr>
      <w:r w:rsidRPr="00D653EE">
        <w:rPr>
          <w:rFonts w:ascii="Times New Roman" w:hAnsi="Times New Roman" w:cs="Times New Roman"/>
          <w:sz w:val="24"/>
          <w:szCs w:val="24"/>
        </w:rPr>
        <w:t>Health-related quality of life was assessed at Day 1 and end of the treatment period in adults aged 17 years or older using the validated Haemophilia Quality of Life Questionnaire for Adults (Haem-A-QoL) instrument (</w:t>
      </w:r>
      <w:r>
        <w:rPr>
          <w:rFonts w:ascii="Times New Roman" w:hAnsi="Times New Roman" w:cs="Times New Roman"/>
          <w:sz w:val="24"/>
          <w:szCs w:val="24"/>
        </w:rPr>
        <w:t>a</w:t>
      </w:r>
      <w:r w:rsidRPr="00D653EE">
        <w:rPr>
          <w:rFonts w:ascii="Times New Roman" w:hAnsi="Times New Roman" w:cs="Times New Roman"/>
          <w:sz w:val="24"/>
          <w:szCs w:val="24"/>
        </w:rPr>
        <w:t>ppendix</w:t>
      </w:r>
      <w:r>
        <w:rPr>
          <w:rFonts w:ascii="Times New Roman" w:hAnsi="Times New Roman" w:cs="Times New Roman"/>
          <w:sz w:val="24"/>
          <w:szCs w:val="24"/>
        </w:rPr>
        <w:t xml:space="preserve"> p </w:t>
      </w:r>
      <w:r w:rsidR="004633EC">
        <w:rPr>
          <w:rFonts w:ascii="Times New Roman" w:hAnsi="Times New Roman" w:cs="Times New Roman"/>
          <w:sz w:val="24"/>
          <w:szCs w:val="24"/>
        </w:rPr>
        <w:t>6</w:t>
      </w:r>
      <w:r w:rsidRPr="00D653EE">
        <w:rPr>
          <w:rFonts w:ascii="Times New Roman" w:hAnsi="Times New Roman" w:cs="Times New Roman"/>
          <w:sz w:val="24"/>
          <w:szCs w:val="24"/>
        </w:rPr>
        <w:t>).</w:t>
      </w:r>
    </w:p>
    <w:p w14:paraId="013A33A9" w14:textId="078BE305" w:rsidR="00DD7F18" w:rsidRPr="00D653EE" w:rsidRDefault="00DD7F18" w:rsidP="00606BD3">
      <w:pPr>
        <w:spacing w:line="360" w:lineRule="auto"/>
        <w:rPr>
          <w:rFonts w:ascii="Times New Roman" w:hAnsi="Times New Roman" w:cs="Times New Roman"/>
          <w:sz w:val="24"/>
          <w:szCs w:val="24"/>
        </w:rPr>
      </w:pPr>
      <w:bookmarkStart w:id="18" w:name="_Hlk121918613"/>
      <w:bookmarkStart w:id="19" w:name="_Hlk121918523"/>
      <w:r w:rsidRPr="00D653EE">
        <w:rPr>
          <w:rFonts w:ascii="Times New Roman" w:hAnsi="Times New Roman" w:cs="Times New Roman"/>
          <w:sz w:val="24"/>
          <w:szCs w:val="24"/>
        </w:rPr>
        <w:t>Safety assessments consisted of treatment-emergent adverse events (TEAEs), including treatment-emergent serious adverse events (TESAEs) and treatment-emergent adverse events of special interest (TEAESIs)</w:t>
      </w:r>
      <w:r w:rsidR="00E86282">
        <w:rPr>
          <w:rFonts w:ascii="Times New Roman" w:hAnsi="Times New Roman" w:cs="Times New Roman"/>
          <w:sz w:val="24"/>
          <w:szCs w:val="24"/>
        </w:rPr>
        <w:t>, which were collected throughout the study</w:t>
      </w:r>
      <w:bookmarkEnd w:id="18"/>
      <w:r w:rsidRPr="00D653EE">
        <w:rPr>
          <w:rFonts w:ascii="Times New Roman" w:hAnsi="Times New Roman" w:cs="Times New Roman"/>
          <w:sz w:val="24"/>
          <w:szCs w:val="24"/>
        </w:rPr>
        <w:t>; physical examinations, including vital signs and electrocardiograms; and laboratory tests, including markers of coagulation</w:t>
      </w:r>
      <w:r w:rsidR="00613A31">
        <w:rPr>
          <w:rFonts w:ascii="Times New Roman" w:hAnsi="Times New Roman" w:cs="Times New Roman"/>
          <w:sz w:val="24"/>
          <w:szCs w:val="24"/>
        </w:rPr>
        <w:t>, which were collected at every study visit and evaluated by a central laboratory</w:t>
      </w:r>
      <w:r w:rsidR="00195806">
        <w:rPr>
          <w:rFonts w:ascii="Times New Roman" w:hAnsi="Times New Roman" w:cs="Times New Roman"/>
          <w:sz w:val="24"/>
          <w:szCs w:val="24"/>
        </w:rPr>
        <w:t>.</w:t>
      </w:r>
    </w:p>
    <w:bookmarkEnd w:id="19"/>
    <w:p w14:paraId="30DC86C1" w14:textId="5ED2B342" w:rsidR="00DD7F18" w:rsidRPr="00D653EE" w:rsidRDefault="00DD7F18" w:rsidP="00606BD3">
      <w:pPr>
        <w:spacing w:line="360" w:lineRule="auto"/>
        <w:rPr>
          <w:rFonts w:ascii="Times New Roman" w:hAnsi="Times New Roman" w:cs="Times New Roman"/>
          <w:sz w:val="24"/>
          <w:szCs w:val="24"/>
        </w:rPr>
      </w:pPr>
      <w:r w:rsidRPr="00D653EE">
        <w:rPr>
          <w:rFonts w:ascii="Times New Roman" w:hAnsi="Times New Roman" w:cs="Times New Roman"/>
          <w:sz w:val="24"/>
          <w:szCs w:val="24"/>
        </w:rPr>
        <w:t xml:space="preserve"> For pharmacodynamic assessments, antithrombin activity levels were measured from blood samples collected within 4 hours before dosing and monitored at monthly intervals from Day 1 until returning to an approximate activity level of 60% after the final </w:t>
      </w:r>
      <w:proofErr w:type="spellStart"/>
      <w:r w:rsidRPr="00D653EE">
        <w:rPr>
          <w:rFonts w:ascii="Times New Roman" w:hAnsi="Times New Roman" w:cs="Times New Roman"/>
          <w:sz w:val="24"/>
          <w:szCs w:val="24"/>
        </w:rPr>
        <w:t>fitusiran</w:t>
      </w:r>
      <w:proofErr w:type="spellEnd"/>
      <w:r w:rsidRPr="00D653EE">
        <w:rPr>
          <w:rFonts w:ascii="Times New Roman" w:hAnsi="Times New Roman" w:cs="Times New Roman"/>
          <w:sz w:val="24"/>
          <w:szCs w:val="24"/>
        </w:rPr>
        <w:t xml:space="preserve"> dose (unless participants opted to continue </w:t>
      </w:r>
      <w:proofErr w:type="spellStart"/>
      <w:r w:rsidRPr="00D653EE">
        <w:rPr>
          <w:rFonts w:ascii="Times New Roman" w:hAnsi="Times New Roman" w:cs="Times New Roman"/>
          <w:sz w:val="24"/>
          <w:szCs w:val="24"/>
        </w:rPr>
        <w:t>fitusiran</w:t>
      </w:r>
      <w:proofErr w:type="spellEnd"/>
      <w:r w:rsidRPr="00D653EE">
        <w:rPr>
          <w:rFonts w:ascii="Times New Roman" w:hAnsi="Times New Roman" w:cs="Times New Roman"/>
          <w:sz w:val="24"/>
          <w:szCs w:val="24"/>
        </w:rPr>
        <w:t xml:space="preserve"> in an open-label extension study). Peak thrombin generation was also assessed at monthly intervals. Antidrug antibodies (ADA) to </w:t>
      </w:r>
      <w:proofErr w:type="spellStart"/>
      <w:r w:rsidRPr="00D653EE">
        <w:rPr>
          <w:rFonts w:ascii="Times New Roman" w:hAnsi="Times New Roman" w:cs="Times New Roman"/>
          <w:sz w:val="24"/>
          <w:szCs w:val="24"/>
        </w:rPr>
        <w:t>fitusiran</w:t>
      </w:r>
      <w:proofErr w:type="spellEnd"/>
      <w:r w:rsidRPr="00D653EE">
        <w:rPr>
          <w:rFonts w:ascii="Times New Roman" w:hAnsi="Times New Roman" w:cs="Times New Roman"/>
          <w:sz w:val="24"/>
          <w:szCs w:val="24"/>
        </w:rPr>
        <w:t xml:space="preserve"> were measured from serum blood samples collected within 4 hours of treatment administration on Day 1, Months 1 and 3, and at end of treatment using a validated enzyme-linked immunosorbent assay method. Minor and urgent surgery was permitted during the trial (appendix</w:t>
      </w:r>
      <w:r>
        <w:rPr>
          <w:rFonts w:ascii="Times New Roman" w:hAnsi="Times New Roman" w:cs="Times New Roman"/>
          <w:sz w:val="24"/>
          <w:szCs w:val="24"/>
        </w:rPr>
        <w:t xml:space="preserve"> pp </w:t>
      </w:r>
      <w:r w:rsidR="004633EC">
        <w:rPr>
          <w:rFonts w:ascii="Times New Roman" w:hAnsi="Times New Roman" w:cs="Times New Roman"/>
          <w:sz w:val="24"/>
          <w:szCs w:val="24"/>
        </w:rPr>
        <w:t>6</w:t>
      </w:r>
      <w:r>
        <w:rPr>
          <w:rFonts w:ascii="Times New Roman" w:hAnsi="Times New Roman" w:cs="Times New Roman"/>
          <w:sz w:val="24"/>
          <w:szCs w:val="24"/>
        </w:rPr>
        <w:t>–</w:t>
      </w:r>
      <w:r w:rsidR="004633EC">
        <w:rPr>
          <w:rFonts w:ascii="Times New Roman" w:hAnsi="Times New Roman" w:cs="Times New Roman"/>
          <w:sz w:val="24"/>
          <w:szCs w:val="24"/>
        </w:rPr>
        <w:t>7</w:t>
      </w:r>
      <w:r w:rsidRPr="00D653EE">
        <w:rPr>
          <w:rFonts w:ascii="Times New Roman" w:hAnsi="Times New Roman" w:cs="Times New Roman"/>
          <w:sz w:val="24"/>
          <w:szCs w:val="24"/>
        </w:rPr>
        <w:t>).</w:t>
      </w:r>
    </w:p>
    <w:p w14:paraId="172A61F9" w14:textId="77777777" w:rsidR="00DD7F18" w:rsidRPr="00D653EE" w:rsidRDefault="00DD7F18" w:rsidP="00606BD3">
      <w:pPr>
        <w:spacing w:line="360" w:lineRule="auto"/>
        <w:rPr>
          <w:rFonts w:ascii="Times New Roman" w:eastAsiaTheme="majorEastAsia" w:hAnsi="Times New Roman" w:cs="Times New Roman"/>
          <w:b/>
          <w:color w:val="000000"/>
          <w:sz w:val="24"/>
          <w:szCs w:val="24"/>
        </w:rPr>
      </w:pPr>
      <w:r w:rsidRPr="00D653EE">
        <w:rPr>
          <w:rFonts w:ascii="Times New Roman" w:eastAsiaTheme="majorEastAsia" w:hAnsi="Times New Roman" w:cs="Times New Roman"/>
          <w:b/>
          <w:color w:val="000000"/>
          <w:sz w:val="24"/>
          <w:szCs w:val="24"/>
        </w:rPr>
        <w:t>Outcomes</w:t>
      </w:r>
    </w:p>
    <w:p w14:paraId="4FFD53DA" w14:textId="6DFBE312" w:rsidR="00DD7F18" w:rsidRPr="00D653EE" w:rsidRDefault="00DD7F18" w:rsidP="486D63BF">
      <w:pPr>
        <w:spacing w:line="360" w:lineRule="auto"/>
        <w:rPr>
          <w:rFonts w:ascii="Times New Roman" w:eastAsiaTheme="majorEastAsia" w:hAnsi="Times New Roman" w:cs="Times New Roman"/>
          <w:color w:val="000000"/>
          <w:sz w:val="24"/>
          <w:szCs w:val="24"/>
        </w:rPr>
      </w:pPr>
      <w:r w:rsidRPr="486D63BF">
        <w:rPr>
          <w:rFonts w:ascii="Times New Roman" w:eastAsiaTheme="majorEastAsia" w:hAnsi="Times New Roman" w:cs="Times New Roman"/>
          <w:color w:val="000000" w:themeColor="text1"/>
          <w:sz w:val="24"/>
          <w:szCs w:val="24"/>
        </w:rPr>
        <w:t xml:space="preserve">The primary endpoint was annualised bleeding rate (ABR) of treated bleeds in the efficacy period. ABR was defined as the number of qualifying bleeding episodes divided by total number of days in the efficacy period multiplied by 365·25. </w:t>
      </w:r>
      <w:bookmarkStart w:id="20" w:name="_Hlk121912669"/>
      <w:r w:rsidRPr="486D63BF">
        <w:rPr>
          <w:rFonts w:ascii="Times New Roman" w:eastAsiaTheme="majorEastAsia" w:hAnsi="Times New Roman" w:cs="Times New Roman"/>
          <w:color w:val="000000" w:themeColor="text1"/>
          <w:sz w:val="24"/>
          <w:szCs w:val="24"/>
        </w:rPr>
        <w:t>Secondary endpoints included ABR in the treatment period, annualised spontaneous bleeding rate (</w:t>
      </w:r>
      <w:proofErr w:type="spellStart"/>
      <w:r w:rsidRPr="486D63BF">
        <w:rPr>
          <w:rFonts w:ascii="Times New Roman" w:eastAsiaTheme="majorEastAsia" w:hAnsi="Times New Roman" w:cs="Times New Roman"/>
          <w:color w:val="000000" w:themeColor="text1"/>
          <w:sz w:val="24"/>
          <w:szCs w:val="24"/>
        </w:rPr>
        <w:t>AsBR</w:t>
      </w:r>
      <w:proofErr w:type="spellEnd"/>
      <w:r w:rsidRPr="486D63BF">
        <w:rPr>
          <w:rFonts w:ascii="Times New Roman" w:eastAsiaTheme="majorEastAsia" w:hAnsi="Times New Roman" w:cs="Times New Roman"/>
          <w:color w:val="000000" w:themeColor="text1"/>
          <w:sz w:val="24"/>
          <w:szCs w:val="24"/>
        </w:rPr>
        <w:t>) in the efficacy period, annualised joint bleeding rate (</w:t>
      </w:r>
      <w:proofErr w:type="spellStart"/>
      <w:r w:rsidRPr="486D63BF">
        <w:rPr>
          <w:rFonts w:ascii="Times New Roman" w:eastAsiaTheme="majorEastAsia" w:hAnsi="Times New Roman" w:cs="Times New Roman"/>
          <w:color w:val="000000" w:themeColor="text1"/>
          <w:sz w:val="24"/>
          <w:szCs w:val="24"/>
        </w:rPr>
        <w:t>AjBR</w:t>
      </w:r>
      <w:proofErr w:type="spellEnd"/>
      <w:r w:rsidRPr="486D63BF">
        <w:rPr>
          <w:rFonts w:ascii="Times New Roman" w:eastAsiaTheme="majorEastAsia" w:hAnsi="Times New Roman" w:cs="Times New Roman"/>
          <w:color w:val="000000" w:themeColor="text1"/>
          <w:sz w:val="24"/>
          <w:szCs w:val="24"/>
        </w:rPr>
        <w:t>) in the efficacy period</w:t>
      </w:r>
      <w:r w:rsidR="00262826">
        <w:rPr>
          <w:rFonts w:ascii="Times New Roman" w:eastAsiaTheme="majorEastAsia" w:hAnsi="Times New Roman" w:cs="Times New Roman"/>
          <w:color w:val="000000" w:themeColor="text1"/>
          <w:sz w:val="24"/>
          <w:szCs w:val="24"/>
        </w:rPr>
        <w:t xml:space="preserve">, </w:t>
      </w:r>
      <w:r w:rsidRPr="486D63BF">
        <w:rPr>
          <w:rFonts w:ascii="Times New Roman" w:eastAsiaTheme="majorEastAsia" w:hAnsi="Times New Roman" w:cs="Times New Roman"/>
          <w:color w:val="000000" w:themeColor="text1"/>
          <w:sz w:val="24"/>
          <w:szCs w:val="24"/>
        </w:rPr>
        <w:t>change in Haem-A-QoL physical health and total scores in the treatment period</w:t>
      </w:r>
      <w:r w:rsidR="00262826">
        <w:rPr>
          <w:rFonts w:ascii="Times New Roman" w:eastAsiaTheme="majorEastAsia" w:hAnsi="Times New Roman" w:cs="Times New Roman"/>
          <w:color w:val="000000" w:themeColor="text1"/>
          <w:sz w:val="24"/>
          <w:szCs w:val="24"/>
        </w:rPr>
        <w:t xml:space="preserve"> and ABR in the onset period</w:t>
      </w:r>
      <w:r w:rsidRPr="486D63BF">
        <w:rPr>
          <w:rFonts w:ascii="Times New Roman" w:eastAsiaTheme="majorEastAsia" w:hAnsi="Times New Roman" w:cs="Times New Roman"/>
          <w:color w:val="000000" w:themeColor="text1"/>
          <w:sz w:val="24"/>
          <w:szCs w:val="24"/>
        </w:rPr>
        <w:t xml:space="preserve">. </w:t>
      </w:r>
      <w:bookmarkEnd w:id="20"/>
      <w:r w:rsidRPr="486D63BF">
        <w:rPr>
          <w:rFonts w:ascii="Times New Roman" w:eastAsiaTheme="majorEastAsia" w:hAnsi="Times New Roman" w:cs="Times New Roman"/>
          <w:color w:val="000000" w:themeColor="text1"/>
          <w:sz w:val="24"/>
          <w:szCs w:val="24"/>
        </w:rPr>
        <w:t xml:space="preserve">Subgroup analysis included ABR by haemophilia type (A or B), age category (12–&lt;18 years, 18–&lt;65 years, or ≥65 years), and by the number of treated bleeds during the 6 months prior to </w:t>
      </w:r>
      <w:r w:rsidRPr="486D63BF">
        <w:rPr>
          <w:rFonts w:ascii="Times New Roman" w:eastAsiaTheme="majorEastAsia" w:hAnsi="Times New Roman" w:cs="Times New Roman"/>
          <w:color w:val="000000" w:themeColor="text1"/>
          <w:sz w:val="24"/>
          <w:szCs w:val="24"/>
        </w:rPr>
        <w:lastRenderedPageBreak/>
        <w:t xml:space="preserve">screening (≤10 or &gt;10) in the efficacy period. </w:t>
      </w:r>
      <w:bookmarkStart w:id="21" w:name="_Hlk121923368"/>
      <w:r w:rsidRPr="486D63BF">
        <w:rPr>
          <w:rFonts w:ascii="Times New Roman" w:eastAsiaTheme="majorEastAsia" w:hAnsi="Times New Roman" w:cs="Times New Roman"/>
          <w:color w:val="000000" w:themeColor="text1"/>
          <w:sz w:val="24"/>
          <w:szCs w:val="24"/>
        </w:rPr>
        <w:t xml:space="preserve">Exploratory endpoints included number of treated target joint bleeds, </w:t>
      </w:r>
      <w:r w:rsidR="00213BB8" w:rsidRPr="486D63BF">
        <w:rPr>
          <w:rFonts w:ascii="Times New Roman" w:eastAsiaTheme="majorEastAsia" w:hAnsi="Times New Roman" w:cs="Times New Roman"/>
          <w:color w:val="000000" w:themeColor="text1"/>
          <w:sz w:val="24"/>
          <w:szCs w:val="24"/>
        </w:rPr>
        <w:t>change in AT levels and peak thrombin generation over time</w:t>
      </w:r>
      <w:r w:rsidR="00213BB8">
        <w:rPr>
          <w:rFonts w:ascii="Times New Roman" w:eastAsiaTheme="majorEastAsia" w:hAnsi="Times New Roman" w:cs="Times New Roman"/>
          <w:color w:val="000000" w:themeColor="text1"/>
          <w:sz w:val="24"/>
          <w:szCs w:val="24"/>
        </w:rPr>
        <w:t xml:space="preserve">, </w:t>
      </w:r>
      <w:r w:rsidRPr="486D63BF">
        <w:rPr>
          <w:rFonts w:ascii="Times New Roman" w:eastAsiaTheme="majorEastAsia" w:hAnsi="Times New Roman" w:cs="Times New Roman"/>
          <w:color w:val="000000" w:themeColor="text1"/>
          <w:sz w:val="24"/>
          <w:szCs w:val="24"/>
        </w:rPr>
        <w:t xml:space="preserve">incidence and titre of ADA to </w:t>
      </w:r>
      <w:proofErr w:type="spellStart"/>
      <w:r w:rsidRPr="486D63BF">
        <w:rPr>
          <w:rFonts w:ascii="Times New Roman" w:eastAsiaTheme="majorEastAsia" w:hAnsi="Times New Roman" w:cs="Times New Roman"/>
          <w:color w:val="000000" w:themeColor="text1"/>
          <w:sz w:val="24"/>
          <w:szCs w:val="24"/>
        </w:rPr>
        <w:t>fitusiran</w:t>
      </w:r>
      <w:proofErr w:type="spellEnd"/>
      <w:r w:rsidR="00262826">
        <w:rPr>
          <w:rFonts w:ascii="Times New Roman" w:eastAsiaTheme="majorEastAsia" w:hAnsi="Times New Roman" w:cs="Times New Roman"/>
          <w:color w:val="000000" w:themeColor="text1"/>
          <w:sz w:val="24"/>
          <w:szCs w:val="24"/>
        </w:rPr>
        <w:t xml:space="preserve"> </w:t>
      </w:r>
      <w:r w:rsidRPr="486D63BF">
        <w:rPr>
          <w:rFonts w:ascii="Times New Roman" w:eastAsiaTheme="majorEastAsia" w:hAnsi="Times New Roman" w:cs="Times New Roman"/>
          <w:color w:val="000000" w:themeColor="text1"/>
          <w:sz w:val="24"/>
          <w:szCs w:val="24"/>
        </w:rPr>
        <w:t xml:space="preserve">and haemostatic response during surgery, </w:t>
      </w:r>
      <w:bookmarkStart w:id="22" w:name="_Hlk108786359"/>
      <w:r w:rsidRPr="486D63BF">
        <w:rPr>
          <w:rFonts w:ascii="Times New Roman" w:eastAsiaTheme="majorEastAsia" w:hAnsi="Times New Roman" w:cs="Times New Roman"/>
          <w:color w:val="000000" w:themeColor="text1"/>
          <w:sz w:val="24"/>
          <w:szCs w:val="24"/>
        </w:rPr>
        <w:t>as defined according to recommendations of the International Society on Thrombosis and Haemostasis.</w:t>
      </w:r>
      <w:bookmarkEnd w:id="22"/>
      <w:r>
        <w:rPr>
          <w:rFonts w:ascii="Times New Roman" w:eastAsiaTheme="majorEastAsia" w:hAnsi="Times New Roman" w:cs="Times New Roman"/>
          <w:color w:val="000000" w:themeColor="text1"/>
          <w:sz w:val="24"/>
          <w:szCs w:val="24"/>
          <w:vertAlign w:val="superscript"/>
        </w:rPr>
        <w:t>21</w:t>
      </w:r>
      <w:r w:rsidRPr="00D653EE">
        <w:rPr>
          <w:rFonts w:ascii="Times New Roman" w:eastAsiaTheme="majorEastAsia" w:hAnsi="Times New Roman" w:cs="Times New Roman"/>
          <w:color w:val="000000"/>
          <w:sz w:val="24"/>
          <w:szCs w:val="24"/>
        </w:rPr>
        <w:t xml:space="preserve"> </w:t>
      </w:r>
      <w:bookmarkEnd w:id="21"/>
    </w:p>
    <w:p w14:paraId="4486B1D7" w14:textId="4E5BA1F9" w:rsidR="00DD7F18" w:rsidRPr="00D653EE" w:rsidRDefault="00DD7F18" w:rsidP="00606BD3">
      <w:pPr>
        <w:spacing w:line="360" w:lineRule="auto"/>
        <w:rPr>
          <w:rFonts w:ascii="Times New Roman" w:eastAsiaTheme="majorEastAsia" w:hAnsi="Times New Roman" w:cs="Times New Roman"/>
          <w:bCs/>
          <w:color w:val="000000"/>
          <w:sz w:val="24"/>
          <w:szCs w:val="24"/>
        </w:rPr>
      </w:pPr>
      <w:r w:rsidRPr="00D653EE">
        <w:rPr>
          <w:rFonts w:ascii="Times New Roman" w:hAnsi="Times New Roman" w:cs="Times New Roman"/>
          <w:sz w:val="24"/>
          <w:szCs w:val="24"/>
        </w:rPr>
        <w:t>Safety and tolerability endpoints included incidence, severity, seriousness, and relatedness of adverse events.</w:t>
      </w:r>
      <w:r w:rsidRPr="00D653EE">
        <w:rPr>
          <w:rFonts w:ascii="Times New Roman" w:eastAsiaTheme="majorEastAsia" w:hAnsi="Times New Roman" w:cs="Times New Roman"/>
          <w:bCs/>
          <w:color w:val="000000"/>
          <w:sz w:val="24"/>
          <w:szCs w:val="24"/>
        </w:rPr>
        <w:t xml:space="preserve"> TEAESIs were defined as ALT or AST elevations &gt;3× ULN, suspected or confirmed thrombosis, severe or serious injection site reactions, and systemic injection associated reactions (Appendix</w:t>
      </w:r>
      <w:r>
        <w:rPr>
          <w:rFonts w:ascii="Times New Roman" w:eastAsiaTheme="majorEastAsia" w:hAnsi="Times New Roman" w:cs="Times New Roman"/>
          <w:bCs/>
          <w:color w:val="000000"/>
          <w:sz w:val="24"/>
          <w:szCs w:val="24"/>
        </w:rPr>
        <w:t xml:space="preserve"> p </w:t>
      </w:r>
      <w:r w:rsidR="004633EC">
        <w:rPr>
          <w:rFonts w:ascii="Times New Roman" w:eastAsiaTheme="majorEastAsia" w:hAnsi="Times New Roman" w:cs="Times New Roman"/>
          <w:bCs/>
          <w:color w:val="000000"/>
          <w:sz w:val="24"/>
          <w:szCs w:val="24"/>
        </w:rPr>
        <w:t>6</w:t>
      </w:r>
      <w:r w:rsidRPr="00D653EE">
        <w:rPr>
          <w:rFonts w:ascii="Times New Roman" w:eastAsiaTheme="majorEastAsia" w:hAnsi="Times New Roman" w:cs="Times New Roman"/>
          <w:bCs/>
          <w:color w:val="000000"/>
          <w:sz w:val="24"/>
          <w:szCs w:val="24"/>
        </w:rPr>
        <w:t>).</w:t>
      </w:r>
    </w:p>
    <w:p w14:paraId="7E616CF4" w14:textId="77777777" w:rsidR="00DD7F18" w:rsidRPr="00D653EE" w:rsidRDefault="00DD7F18" w:rsidP="00606BD3">
      <w:pPr>
        <w:spacing w:line="360" w:lineRule="auto"/>
        <w:rPr>
          <w:rFonts w:ascii="Times New Roman" w:eastAsiaTheme="majorEastAsia" w:hAnsi="Times New Roman" w:cs="Times New Roman"/>
          <w:b/>
          <w:color w:val="000000"/>
          <w:sz w:val="24"/>
          <w:szCs w:val="24"/>
        </w:rPr>
      </w:pPr>
      <w:r w:rsidRPr="00D653EE">
        <w:rPr>
          <w:rFonts w:ascii="Times New Roman" w:eastAsiaTheme="majorEastAsia" w:hAnsi="Times New Roman" w:cs="Times New Roman"/>
          <w:b/>
          <w:color w:val="000000"/>
          <w:sz w:val="24"/>
          <w:szCs w:val="24"/>
        </w:rPr>
        <w:t>Statistical analysis</w:t>
      </w:r>
    </w:p>
    <w:p w14:paraId="7A9DC366" w14:textId="77777777" w:rsidR="00DD7F18" w:rsidRPr="0043334E" w:rsidRDefault="00DD7F18" w:rsidP="00F533A0">
      <w:pPr>
        <w:spacing w:line="360" w:lineRule="auto"/>
        <w:rPr>
          <w:rFonts w:ascii="Times New Roman" w:hAnsi="Times New Roman" w:cs="Times New Roman"/>
          <w:sz w:val="24"/>
          <w:szCs w:val="24"/>
        </w:rPr>
      </w:pPr>
      <w:r w:rsidRPr="0043334E">
        <w:rPr>
          <w:rFonts w:ascii="Times New Roman" w:hAnsi="Times New Roman" w:cs="Times New Roman"/>
          <w:sz w:val="24"/>
          <w:szCs w:val="24"/>
        </w:rPr>
        <w:t xml:space="preserve">All statistical analyses were performed using SAS statistical software Version 9·4. </w:t>
      </w:r>
      <w:r w:rsidRPr="0031102C">
        <w:rPr>
          <w:rFonts w:ascii="Times New Roman" w:eastAsiaTheme="majorEastAsia" w:hAnsi="Times New Roman" w:cs="Times New Roman"/>
          <w:color w:val="000000"/>
          <w:sz w:val="24"/>
          <w:szCs w:val="24"/>
        </w:rPr>
        <w:t xml:space="preserve">Using a negative binomial regression model with a two-sided type I error rate of 0·05, we estimated that a sample size of 32 participants in the on-demand </w:t>
      </w:r>
      <w:r w:rsidRPr="00375A78">
        <w:rPr>
          <w:rFonts w:ascii="Times New Roman" w:eastAsiaTheme="majorEastAsia" w:hAnsi="Times New Roman" w:cs="Times New Roman"/>
          <w:color w:val="000000"/>
          <w:sz w:val="24"/>
          <w:szCs w:val="24"/>
        </w:rPr>
        <w:t xml:space="preserve">CFC group and 64 in the </w:t>
      </w:r>
      <w:proofErr w:type="spellStart"/>
      <w:r w:rsidRPr="00375A78">
        <w:rPr>
          <w:rFonts w:ascii="Times New Roman" w:eastAsiaTheme="majorEastAsia" w:hAnsi="Times New Roman" w:cs="Times New Roman"/>
          <w:color w:val="000000"/>
          <w:sz w:val="24"/>
          <w:szCs w:val="24"/>
        </w:rPr>
        <w:t>fitusiran</w:t>
      </w:r>
      <w:proofErr w:type="spellEnd"/>
      <w:r w:rsidRPr="00375A78">
        <w:rPr>
          <w:rFonts w:ascii="Times New Roman" w:eastAsiaTheme="majorEastAsia" w:hAnsi="Times New Roman" w:cs="Times New Roman"/>
          <w:color w:val="000000"/>
          <w:sz w:val="24"/>
          <w:szCs w:val="24"/>
        </w:rPr>
        <w:t xml:space="preserve"> group would provide &gt;90% power for detecting treatment difference in the primary endpoint</w:t>
      </w:r>
      <w:r w:rsidRPr="00DD7F18">
        <w:rPr>
          <w:rFonts w:ascii="Times New Roman" w:eastAsiaTheme="majorEastAsia" w:hAnsi="Times New Roman" w:cs="Times New Roman"/>
          <w:color w:val="000000"/>
          <w:sz w:val="24"/>
          <w:szCs w:val="24"/>
        </w:rPr>
        <w:t xml:space="preserve">, </w:t>
      </w:r>
      <w:r w:rsidRPr="0043334E">
        <w:rPr>
          <w:rFonts w:ascii="Times New Roman" w:hAnsi="Times New Roman" w:cs="Times New Roman"/>
          <w:sz w:val="24"/>
          <w:szCs w:val="24"/>
        </w:rPr>
        <w:t xml:space="preserve">Assuming a mean ABR of 18 with standard deviation (SD) = 14 in the on-demand CFC group and a mean ABR of ≤4 with SD = 6 in the </w:t>
      </w:r>
      <w:proofErr w:type="spellStart"/>
      <w:r w:rsidRPr="0043334E">
        <w:rPr>
          <w:rFonts w:ascii="Times New Roman" w:hAnsi="Times New Roman" w:cs="Times New Roman"/>
          <w:sz w:val="24"/>
          <w:szCs w:val="24"/>
        </w:rPr>
        <w:t>fitusiran</w:t>
      </w:r>
      <w:proofErr w:type="spellEnd"/>
      <w:r w:rsidRPr="0043334E">
        <w:rPr>
          <w:rFonts w:ascii="Times New Roman" w:hAnsi="Times New Roman" w:cs="Times New Roman"/>
          <w:sz w:val="24"/>
          <w:szCs w:val="24"/>
        </w:rPr>
        <w:t xml:space="preserve"> group in either the efficacy period or treatment period. </w:t>
      </w:r>
      <w:r w:rsidRPr="00375A78">
        <w:rPr>
          <w:rFonts w:ascii="Times New Roman" w:eastAsiaTheme="majorEastAsia" w:hAnsi="Times New Roman" w:cs="Times New Roman"/>
          <w:color w:val="000000"/>
          <w:sz w:val="24"/>
          <w:szCs w:val="24"/>
        </w:rPr>
        <w:t>The planned sample size was 120 participants assuming a 20% drop-out rate.</w:t>
      </w:r>
    </w:p>
    <w:p w14:paraId="115E1C84" w14:textId="38450CD4" w:rsidR="00DD7F18" w:rsidRPr="00A5429B" w:rsidRDefault="00DD7F18" w:rsidP="000531C7">
      <w:pPr>
        <w:spacing w:line="360" w:lineRule="auto"/>
        <w:rPr>
          <w:rFonts w:ascii="Times New Roman" w:eastAsiaTheme="majorEastAsia" w:hAnsi="Times New Roman" w:cs="Times New Roman"/>
          <w:color w:val="000000"/>
          <w:sz w:val="24"/>
          <w:szCs w:val="24"/>
        </w:rPr>
      </w:pPr>
      <w:r w:rsidRPr="00375A78">
        <w:rPr>
          <w:rFonts w:ascii="Times New Roman" w:eastAsiaTheme="majorEastAsia" w:hAnsi="Times New Roman" w:cs="Times New Roman"/>
          <w:color w:val="000000"/>
          <w:sz w:val="24"/>
          <w:szCs w:val="24"/>
        </w:rPr>
        <w:t xml:space="preserve">Analysis sets included the intent-to-treat analysis set, safety analysis set, per protocol analysis set, operative procedure analysis set and COVID-19 unaffected set (see appendix </w:t>
      </w:r>
      <w:r w:rsidRPr="00DD7F18">
        <w:rPr>
          <w:rFonts w:ascii="Times New Roman" w:eastAsiaTheme="majorEastAsia" w:hAnsi="Times New Roman" w:cs="Times New Roman"/>
          <w:color w:val="000000"/>
          <w:sz w:val="24"/>
          <w:szCs w:val="24"/>
        </w:rPr>
        <w:t xml:space="preserve">pp </w:t>
      </w:r>
      <w:r w:rsidR="004633EC">
        <w:rPr>
          <w:rFonts w:ascii="Times New Roman" w:eastAsiaTheme="majorEastAsia" w:hAnsi="Times New Roman" w:cs="Times New Roman"/>
          <w:color w:val="000000"/>
          <w:sz w:val="24"/>
          <w:szCs w:val="24"/>
        </w:rPr>
        <w:t>7</w:t>
      </w:r>
      <w:r w:rsidRPr="00DD7F18">
        <w:rPr>
          <w:rFonts w:ascii="Times New Roman" w:eastAsiaTheme="majorEastAsia" w:hAnsi="Times New Roman" w:cs="Times New Roman"/>
          <w:color w:val="000000"/>
          <w:sz w:val="24"/>
          <w:szCs w:val="24"/>
        </w:rPr>
        <w:t>–</w:t>
      </w:r>
      <w:r w:rsidR="004633EC">
        <w:rPr>
          <w:rFonts w:ascii="Times New Roman" w:eastAsiaTheme="majorEastAsia" w:hAnsi="Times New Roman" w:cs="Times New Roman"/>
          <w:color w:val="000000"/>
          <w:sz w:val="24"/>
          <w:szCs w:val="24"/>
        </w:rPr>
        <w:t>8</w:t>
      </w:r>
      <w:r w:rsidRPr="00DD7F18">
        <w:rPr>
          <w:rFonts w:ascii="Times New Roman" w:eastAsiaTheme="majorEastAsia" w:hAnsi="Times New Roman" w:cs="Times New Roman"/>
          <w:color w:val="000000"/>
          <w:sz w:val="24"/>
          <w:szCs w:val="24"/>
        </w:rPr>
        <w:t xml:space="preserve"> for details)</w:t>
      </w:r>
      <w:r w:rsidRPr="00023629">
        <w:rPr>
          <w:rFonts w:ascii="Times New Roman" w:eastAsiaTheme="majorEastAsia" w:hAnsi="Times New Roman" w:cs="Times New Roman"/>
          <w:color w:val="000000"/>
          <w:sz w:val="24"/>
          <w:szCs w:val="24"/>
        </w:rPr>
        <w:t xml:space="preserve">. </w:t>
      </w:r>
      <w:bookmarkStart w:id="23" w:name="_Hlk121923500"/>
      <w:r w:rsidRPr="00023629">
        <w:rPr>
          <w:rFonts w:ascii="Times New Roman" w:eastAsiaTheme="majorEastAsia" w:hAnsi="Times New Roman" w:cs="Times New Roman"/>
          <w:color w:val="000000"/>
          <w:sz w:val="24"/>
          <w:szCs w:val="24"/>
        </w:rPr>
        <w:t>The primary endpoint was based on bleeding episodes during the efficacy period. The primary analysis was performed on the intent-to-treat analysis set and included all bleeding episodes that occurred during the efficacy period. The number of bleeding episodes were analysed using a negative binomial model with fixed effects of treatment group and the number of bleeding episodes in the 6 months prior to study entry (≤10 vs &gt;10)</w:t>
      </w:r>
      <w:r w:rsidRPr="00674C73">
        <w:rPr>
          <w:rFonts w:ascii="Times New Roman" w:eastAsiaTheme="majorEastAsia" w:hAnsi="Times New Roman" w:cs="Times New Roman"/>
          <w:color w:val="000000"/>
          <w:sz w:val="24"/>
          <w:szCs w:val="24"/>
        </w:rPr>
        <w:t xml:space="preserve"> and haemophilia type (haemophilia A or B). The logarithm number of days that each participant spent in the efficacy period matching the bleeding episode data being analysed was included as an offset variable to account for unequal follow-up time due to ea</w:t>
      </w:r>
      <w:r w:rsidRPr="00F60366">
        <w:rPr>
          <w:rFonts w:ascii="Times New Roman" w:eastAsiaTheme="majorEastAsia" w:hAnsi="Times New Roman" w:cs="Times New Roman"/>
          <w:color w:val="000000"/>
          <w:sz w:val="24"/>
          <w:szCs w:val="24"/>
        </w:rPr>
        <w:t xml:space="preserve">rly withdrawal or surgery, etc. The P-value comparing bleeding rates in the </w:t>
      </w:r>
      <w:proofErr w:type="spellStart"/>
      <w:r w:rsidRPr="00F60366">
        <w:rPr>
          <w:rFonts w:ascii="Times New Roman" w:eastAsiaTheme="majorEastAsia" w:hAnsi="Times New Roman" w:cs="Times New Roman"/>
          <w:color w:val="000000"/>
          <w:sz w:val="24"/>
          <w:szCs w:val="24"/>
        </w:rPr>
        <w:t>fitusiran</w:t>
      </w:r>
      <w:proofErr w:type="spellEnd"/>
      <w:r w:rsidRPr="00F60366">
        <w:rPr>
          <w:rFonts w:ascii="Times New Roman" w:eastAsiaTheme="majorEastAsia" w:hAnsi="Times New Roman" w:cs="Times New Roman"/>
          <w:color w:val="000000"/>
          <w:sz w:val="24"/>
          <w:szCs w:val="24"/>
        </w:rPr>
        <w:t xml:space="preserve"> and on-demand CFC groups and 95% confidence intervals (CIs) were calculated. The estimated mean ABR in each of the two groups and 95% CIs were calculated from this model. No imputation was applied </w:t>
      </w:r>
      <w:r w:rsidRPr="00F60366">
        <w:rPr>
          <w:rFonts w:ascii="Times New Roman" w:eastAsiaTheme="majorEastAsia" w:hAnsi="Times New Roman" w:cs="Times New Roman"/>
          <w:color w:val="000000"/>
          <w:sz w:val="24"/>
          <w:szCs w:val="24"/>
        </w:rPr>
        <w:lastRenderedPageBreak/>
        <w:t>to the analyses. Summary statistics for ABR, including median and interquartile range (IQR), were calculated for each group.</w:t>
      </w:r>
    </w:p>
    <w:p w14:paraId="62789C30" w14:textId="7B29A1C5" w:rsidR="00DD7F18" w:rsidRPr="00D653EE" w:rsidRDefault="009D237F" w:rsidP="0024132C">
      <w:pPr>
        <w:spacing w:line="360" w:lineRule="auto"/>
        <w:rPr>
          <w:rFonts w:ascii="Times New Roman" w:eastAsiaTheme="majorEastAsia" w:hAnsi="Times New Roman" w:cs="Times New Roman"/>
          <w:bCs/>
          <w:color w:val="000000"/>
          <w:sz w:val="24"/>
          <w:szCs w:val="24"/>
        </w:rPr>
      </w:pPr>
      <w:r>
        <w:rPr>
          <w:rFonts w:ascii="Times New Roman" w:eastAsiaTheme="majorEastAsia" w:hAnsi="Times New Roman" w:cs="Times New Roman"/>
          <w:color w:val="000000"/>
          <w:sz w:val="24"/>
          <w:szCs w:val="24"/>
        </w:rPr>
        <w:t xml:space="preserve">ABR in the treatment period, ABR in the onset period, </w:t>
      </w:r>
      <w:proofErr w:type="spellStart"/>
      <w:r w:rsidR="00DD7F18" w:rsidRPr="005C4CDF">
        <w:rPr>
          <w:rFonts w:ascii="Times New Roman" w:eastAsiaTheme="majorEastAsia" w:hAnsi="Times New Roman" w:cs="Times New Roman"/>
          <w:color w:val="000000"/>
          <w:sz w:val="24"/>
          <w:szCs w:val="24"/>
        </w:rPr>
        <w:t>AsBR</w:t>
      </w:r>
      <w:proofErr w:type="spellEnd"/>
      <w:r w:rsidR="00DD7F18" w:rsidRPr="005C4CDF">
        <w:rPr>
          <w:rFonts w:ascii="Times New Roman" w:eastAsiaTheme="majorEastAsia" w:hAnsi="Times New Roman" w:cs="Times New Roman"/>
          <w:color w:val="000000"/>
          <w:sz w:val="24"/>
          <w:szCs w:val="24"/>
        </w:rPr>
        <w:t xml:space="preserve"> and </w:t>
      </w:r>
      <w:proofErr w:type="spellStart"/>
      <w:r w:rsidR="00DD7F18" w:rsidRPr="005C4CDF">
        <w:rPr>
          <w:rFonts w:ascii="Times New Roman" w:eastAsiaTheme="majorEastAsia" w:hAnsi="Times New Roman" w:cs="Times New Roman"/>
          <w:color w:val="000000"/>
          <w:sz w:val="24"/>
          <w:szCs w:val="24"/>
        </w:rPr>
        <w:t>AjBR</w:t>
      </w:r>
      <w:proofErr w:type="spellEnd"/>
      <w:r w:rsidR="00DD7F18" w:rsidRPr="005C4CDF">
        <w:rPr>
          <w:rFonts w:ascii="Times New Roman" w:eastAsiaTheme="majorEastAsia" w:hAnsi="Times New Roman" w:cs="Times New Roman"/>
          <w:color w:val="000000"/>
          <w:sz w:val="24"/>
          <w:szCs w:val="24"/>
        </w:rPr>
        <w:t xml:space="preserve"> were analysed using the same methodology as the primary analysis. Least square (LS) mean change from baseline in physical health and total scores of Haem-A-QoL were analysed using an analysis of covariance model wit</w:t>
      </w:r>
      <w:r w:rsidR="00DD7F18" w:rsidRPr="006F3471">
        <w:rPr>
          <w:rFonts w:ascii="Times New Roman" w:eastAsiaTheme="majorEastAsia" w:hAnsi="Times New Roman" w:cs="Times New Roman"/>
          <w:color w:val="000000"/>
          <w:sz w:val="24"/>
          <w:szCs w:val="24"/>
        </w:rPr>
        <w:t xml:space="preserve">h fixed effects of treatment group, baseline Haem-A-QoL physical health and total scores, number of bleeding episodes 6 months prior to enrolment (≤10 vs &gt;10) and haemophilia type. To control for the familywise error rate in testing of primary and secondary endpoints, a hierarchical testing approach was used (Appendix p </w:t>
      </w:r>
      <w:r w:rsidR="004633EC">
        <w:rPr>
          <w:rFonts w:ascii="Times New Roman" w:eastAsiaTheme="majorEastAsia" w:hAnsi="Times New Roman" w:cs="Times New Roman"/>
          <w:color w:val="000000"/>
          <w:sz w:val="24"/>
          <w:szCs w:val="24"/>
        </w:rPr>
        <w:t>8</w:t>
      </w:r>
      <w:r w:rsidR="00DD7F18" w:rsidRPr="006F3471">
        <w:rPr>
          <w:rFonts w:ascii="Times New Roman" w:eastAsiaTheme="majorEastAsia" w:hAnsi="Times New Roman" w:cs="Times New Roman"/>
          <w:color w:val="000000"/>
          <w:sz w:val="24"/>
          <w:szCs w:val="24"/>
        </w:rPr>
        <w:t>).</w:t>
      </w:r>
      <w:bookmarkEnd w:id="23"/>
      <w:r w:rsidR="00DD7F18" w:rsidRPr="006F3471">
        <w:rPr>
          <w:rFonts w:ascii="Times New Roman" w:eastAsiaTheme="majorEastAsia" w:hAnsi="Times New Roman" w:cs="Times New Roman"/>
          <w:color w:val="000000"/>
          <w:sz w:val="24"/>
          <w:szCs w:val="24"/>
        </w:rPr>
        <w:t xml:space="preserve"> Safety </w:t>
      </w:r>
      <w:r w:rsidR="00272CBA">
        <w:rPr>
          <w:rFonts w:ascii="Times New Roman" w:eastAsiaTheme="majorEastAsia" w:hAnsi="Times New Roman" w:cs="Times New Roman"/>
          <w:color w:val="000000"/>
          <w:sz w:val="24"/>
          <w:szCs w:val="24"/>
        </w:rPr>
        <w:t>and exploratory</w:t>
      </w:r>
      <w:r w:rsidR="00DD7F18" w:rsidRPr="006F3471">
        <w:rPr>
          <w:rFonts w:ascii="Times New Roman" w:eastAsiaTheme="majorEastAsia" w:hAnsi="Times New Roman" w:cs="Times New Roman"/>
          <w:color w:val="000000"/>
          <w:sz w:val="24"/>
          <w:szCs w:val="24"/>
        </w:rPr>
        <w:t xml:space="preserve"> results were summarised descriptively. </w:t>
      </w:r>
      <w:bookmarkStart w:id="24" w:name="_Hlk121923597"/>
      <w:r w:rsidR="00DD7F18" w:rsidRPr="006F3471">
        <w:rPr>
          <w:rFonts w:ascii="Times New Roman" w:eastAsiaTheme="majorEastAsia" w:hAnsi="Times New Roman" w:cs="Times New Roman"/>
          <w:color w:val="000000"/>
          <w:sz w:val="24"/>
          <w:szCs w:val="24"/>
        </w:rPr>
        <w:t>Sensitivity analyses were performed on the primary efficacy</w:t>
      </w:r>
      <w:r w:rsidR="00DD7F18" w:rsidRPr="00D653EE">
        <w:rPr>
          <w:rFonts w:ascii="Times New Roman" w:eastAsiaTheme="majorEastAsia" w:hAnsi="Times New Roman" w:cs="Times New Roman"/>
          <w:bCs/>
          <w:color w:val="000000"/>
          <w:sz w:val="24"/>
          <w:szCs w:val="24"/>
        </w:rPr>
        <w:t xml:space="preserve"> endpoint </w:t>
      </w:r>
      <w:r w:rsidR="00272CBA">
        <w:rPr>
          <w:rFonts w:ascii="Times New Roman" w:eastAsiaTheme="majorEastAsia" w:hAnsi="Times New Roman" w:cs="Times New Roman"/>
          <w:bCs/>
          <w:color w:val="000000"/>
          <w:sz w:val="24"/>
          <w:szCs w:val="24"/>
        </w:rPr>
        <w:t xml:space="preserve">in the ITT, per protocol and COVID-19 unaffected analysis sets </w:t>
      </w:r>
      <w:r w:rsidR="00C2514B">
        <w:rPr>
          <w:rFonts w:ascii="Times New Roman" w:eastAsiaTheme="majorEastAsia" w:hAnsi="Times New Roman" w:cs="Times New Roman"/>
          <w:bCs/>
          <w:color w:val="000000"/>
          <w:sz w:val="24"/>
          <w:szCs w:val="24"/>
        </w:rPr>
        <w:t xml:space="preserve">(further details in appendix </w:t>
      </w:r>
      <w:r w:rsidR="00DD7F18" w:rsidRPr="00DD7F18">
        <w:rPr>
          <w:rFonts w:ascii="Times New Roman" w:eastAsiaTheme="majorEastAsia" w:hAnsi="Times New Roman" w:cs="Times New Roman"/>
          <w:bCs/>
          <w:color w:val="000000"/>
          <w:sz w:val="24"/>
          <w:szCs w:val="24"/>
        </w:rPr>
        <w:t xml:space="preserve">p </w:t>
      </w:r>
      <w:r w:rsidR="004633EC">
        <w:rPr>
          <w:rFonts w:ascii="Times New Roman" w:eastAsiaTheme="majorEastAsia" w:hAnsi="Times New Roman" w:cs="Times New Roman"/>
          <w:bCs/>
          <w:color w:val="000000"/>
          <w:sz w:val="24"/>
          <w:szCs w:val="24"/>
        </w:rPr>
        <w:t>8</w:t>
      </w:r>
      <w:r w:rsidR="00DD7F18" w:rsidRPr="00DD7F18">
        <w:rPr>
          <w:rFonts w:ascii="Times New Roman" w:eastAsiaTheme="majorEastAsia" w:hAnsi="Times New Roman" w:cs="Times New Roman"/>
          <w:bCs/>
          <w:color w:val="000000"/>
          <w:sz w:val="24"/>
          <w:szCs w:val="24"/>
        </w:rPr>
        <w:t>).</w:t>
      </w:r>
      <w:bookmarkEnd w:id="24"/>
      <w:r w:rsidR="00DD7F18" w:rsidRPr="00DD7F18">
        <w:rPr>
          <w:rFonts w:ascii="Times New Roman" w:eastAsiaTheme="majorEastAsia" w:hAnsi="Times New Roman" w:cs="Times New Roman"/>
          <w:bCs/>
          <w:color w:val="000000"/>
          <w:sz w:val="24"/>
          <w:szCs w:val="24"/>
        </w:rPr>
        <w:t xml:space="preserve"> </w:t>
      </w:r>
      <w:r w:rsidR="0081016E">
        <w:rPr>
          <w:rFonts w:ascii="Times New Roman" w:eastAsiaTheme="majorEastAsia" w:hAnsi="Times New Roman" w:cs="Times New Roman"/>
          <w:bCs/>
          <w:color w:val="000000"/>
          <w:sz w:val="24"/>
          <w:szCs w:val="24"/>
        </w:rPr>
        <w:t xml:space="preserve">Major and critical protocol deviations are shown in </w:t>
      </w:r>
      <w:r w:rsidR="009B0E80">
        <w:rPr>
          <w:rFonts w:ascii="Times New Roman" w:eastAsiaTheme="majorEastAsia" w:hAnsi="Times New Roman" w:cs="Times New Roman"/>
          <w:bCs/>
          <w:color w:val="000000"/>
          <w:sz w:val="24"/>
          <w:szCs w:val="24"/>
        </w:rPr>
        <w:t xml:space="preserve">Table </w:t>
      </w:r>
      <w:r w:rsidR="009B0E80" w:rsidRPr="00C735DA">
        <w:rPr>
          <w:rFonts w:ascii="Times New Roman" w:eastAsiaTheme="majorEastAsia" w:hAnsi="Times New Roman" w:cs="Times New Roman"/>
          <w:bCs/>
          <w:color w:val="000000"/>
          <w:sz w:val="24"/>
          <w:szCs w:val="24"/>
        </w:rPr>
        <w:t>S</w:t>
      </w:r>
      <w:r w:rsidR="00C735DA">
        <w:rPr>
          <w:rFonts w:ascii="Times New Roman" w:eastAsiaTheme="majorEastAsia" w:hAnsi="Times New Roman" w:cs="Times New Roman"/>
          <w:bCs/>
          <w:color w:val="000000"/>
          <w:sz w:val="24"/>
          <w:szCs w:val="24"/>
        </w:rPr>
        <w:t>3</w:t>
      </w:r>
      <w:r w:rsidR="009B0E80">
        <w:rPr>
          <w:rFonts w:ascii="Times New Roman" w:eastAsiaTheme="majorEastAsia" w:hAnsi="Times New Roman" w:cs="Times New Roman"/>
          <w:bCs/>
          <w:color w:val="000000"/>
          <w:sz w:val="24"/>
          <w:szCs w:val="24"/>
        </w:rPr>
        <w:t xml:space="preserve">. </w:t>
      </w:r>
      <w:r w:rsidR="00DD7F18" w:rsidRPr="00DD7F18">
        <w:rPr>
          <w:rFonts w:ascii="Times New Roman" w:hAnsi="Times New Roman" w:cs="Times New Roman"/>
          <w:sz w:val="24"/>
          <w:szCs w:val="24"/>
        </w:rPr>
        <w:t xml:space="preserve">The study protocol is available from </w:t>
      </w:r>
      <w:hyperlink r:id="rId8" w:history="1">
        <w:r w:rsidR="00DD7F18" w:rsidRPr="00DD7F18">
          <w:rPr>
            <w:rStyle w:val="Hyperlink"/>
            <w:rFonts w:ascii="Times New Roman" w:hAnsi="Times New Roman" w:cs="Times New Roman"/>
            <w:sz w:val="24"/>
            <w:szCs w:val="24"/>
          </w:rPr>
          <w:t>https://clinicaltrials.gov/ProvidedDocs/45/NCT03417245/Prot_000.pdf</w:t>
        </w:r>
      </w:hyperlink>
      <w:r w:rsidR="00DD7F18" w:rsidRPr="00DD7F18">
        <w:rPr>
          <w:rFonts w:ascii="Times New Roman" w:hAnsi="Times New Roman" w:cs="Times New Roman"/>
          <w:sz w:val="24"/>
          <w:szCs w:val="24"/>
        </w:rPr>
        <w:t xml:space="preserve">. The trial was registered at </w:t>
      </w:r>
      <w:hyperlink r:id="rId9">
        <w:r w:rsidR="00DD7F18" w:rsidRPr="00DD7F18">
          <w:rPr>
            <w:rStyle w:val="Hyperlink"/>
            <w:rFonts w:ascii="Times New Roman" w:hAnsi="Times New Roman" w:cs="Times New Roman"/>
            <w:sz w:val="24"/>
            <w:szCs w:val="24"/>
          </w:rPr>
          <w:t>www.clinicaltrials.gov</w:t>
        </w:r>
      </w:hyperlink>
      <w:r w:rsidR="00DD7F18" w:rsidRPr="00DD7F18">
        <w:rPr>
          <w:rFonts w:ascii="Times New Roman" w:hAnsi="Times New Roman" w:cs="Times New Roman"/>
          <w:sz w:val="24"/>
          <w:szCs w:val="24"/>
        </w:rPr>
        <w:t xml:space="preserve"> (identifier: NCT03417245).</w:t>
      </w:r>
      <w:r w:rsidR="00DD7F18" w:rsidRPr="00D653EE">
        <w:rPr>
          <w:rFonts w:ascii="Times New Roman" w:hAnsi="Times New Roman" w:cs="Times New Roman"/>
          <w:sz w:val="24"/>
          <w:szCs w:val="24"/>
        </w:rPr>
        <w:t xml:space="preserve"> </w:t>
      </w:r>
    </w:p>
    <w:p w14:paraId="480CCC08" w14:textId="77777777" w:rsidR="00DD7F18" w:rsidRPr="00D653EE" w:rsidRDefault="00DD7F18" w:rsidP="0024132C">
      <w:pPr>
        <w:spacing w:after="240" w:line="360" w:lineRule="auto"/>
        <w:rPr>
          <w:rFonts w:ascii="Times New Roman" w:hAnsi="Times New Roman" w:cs="Times New Roman"/>
          <w:b/>
          <w:bCs/>
          <w:sz w:val="24"/>
          <w:szCs w:val="24"/>
        </w:rPr>
      </w:pPr>
      <w:r w:rsidRPr="00D653EE">
        <w:rPr>
          <w:rFonts w:ascii="Times New Roman" w:hAnsi="Times New Roman" w:cs="Times New Roman"/>
          <w:b/>
          <w:bCs/>
          <w:sz w:val="24"/>
          <w:szCs w:val="24"/>
        </w:rPr>
        <w:t>Role of the funding source</w:t>
      </w:r>
    </w:p>
    <w:p w14:paraId="2DFC2CA5" w14:textId="77777777" w:rsidR="00DD7F18" w:rsidRPr="00D653EE" w:rsidRDefault="00DD7F18" w:rsidP="003C413F">
      <w:pPr>
        <w:spacing w:line="360" w:lineRule="auto"/>
        <w:rPr>
          <w:rFonts w:ascii="Times New Roman" w:eastAsiaTheme="majorEastAsia" w:hAnsi="Times New Roman" w:cs="Times New Roman"/>
          <w:b/>
          <w:color w:val="000000"/>
          <w:sz w:val="24"/>
          <w:szCs w:val="24"/>
        </w:rPr>
      </w:pPr>
      <w:r w:rsidRPr="00D653EE">
        <w:rPr>
          <w:rFonts w:ascii="Times New Roman" w:hAnsi="Times New Roman" w:cs="Times New Roman"/>
          <w:sz w:val="24"/>
          <w:szCs w:val="24"/>
        </w:rPr>
        <w:t>The funder was involved in the study design, data collection, data analysis and interpretation, and drafting of the report.</w:t>
      </w:r>
      <w:r w:rsidRPr="00D653EE">
        <w:rPr>
          <w:rFonts w:ascii="Times New Roman" w:eastAsiaTheme="majorEastAsia" w:hAnsi="Times New Roman" w:cs="Times New Roman"/>
          <w:b/>
          <w:color w:val="000000"/>
          <w:sz w:val="24"/>
          <w:szCs w:val="24"/>
        </w:rPr>
        <w:br w:type="page"/>
      </w:r>
    </w:p>
    <w:p w14:paraId="3E497256" w14:textId="77777777" w:rsidR="00DD7F18" w:rsidRPr="00D653EE" w:rsidRDefault="00DD7F18" w:rsidP="008B3DDE">
      <w:pPr>
        <w:spacing w:line="360" w:lineRule="auto"/>
        <w:rPr>
          <w:rFonts w:ascii="Times New Roman" w:eastAsiaTheme="majorEastAsia" w:hAnsi="Times New Roman" w:cs="Times New Roman"/>
          <w:b/>
          <w:color w:val="000000"/>
          <w:sz w:val="24"/>
          <w:szCs w:val="24"/>
        </w:rPr>
      </w:pPr>
      <w:r w:rsidRPr="00D653EE">
        <w:rPr>
          <w:rFonts w:ascii="Times New Roman" w:eastAsiaTheme="majorEastAsia" w:hAnsi="Times New Roman" w:cs="Times New Roman"/>
          <w:b/>
          <w:color w:val="000000"/>
          <w:sz w:val="24"/>
          <w:szCs w:val="24"/>
        </w:rPr>
        <w:lastRenderedPageBreak/>
        <w:t>Results</w:t>
      </w:r>
    </w:p>
    <w:p w14:paraId="22B41028" w14:textId="424060CF" w:rsidR="00DD7F18" w:rsidRPr="00D653EE" w:rsidRDefault="00DD7F18" w:rsidP="008B3DDE">
      <w:pPr>
        <w:spacing w:line="360" w:lineRule="auto"/>
        <w:rPr>
          <w:rFonts w:ascii="Times New Roman" w:eastAsiaTheme="majorEastAsia" w:hAnsi="Times New Roman" w:cs="Times New Roman"/>
          <w:bCs/>
          <w:color w:val="000000"/>
          <w:sz w:val="24"/>
          <w:szCs w:val="24"/>
        </w:rPr>
      </w:pPr>
      <w:r w:rsidRPr="00D653EE">
        <w:rPr>
          <w:rFonts w:ascii="Times New Roman" w:hAnsi="Times New Roman" w:cs="Times New Roman"/>
          <w:sz w:val="24"/>
          <w:szCs w:val="24"/>
        </w:rPr>
        <w:t>Between March 1, 2018 and</w:t>
      </w:r>
      <w:r w:rsidRPr="00D653EE">
        <w:rPr>
          <w:rFonts w:ascii="Times New Roman" w:hAnsi="Times New Roman" w:cs="Times New Roman"/>
          <w:b/>
          <w:bCs/>
          <w:sz w:val="24"/>
          <w:szCs w:val="24"/>
        </w:rPr>
        <w:t xml:space="preserve"> </w:t>
      </w:r>
      <w:r w:rsidRPr="00D653EE">
        <w:rPr>
          <w:rFonts w:ascii="Times New Roman" w:hAnsi="Times New Roman" w:cs="Times New Roman"/>
          <w:sz w:val="24"/>
          <w:szCs w:val="24"/>
        </w:rPr>
        <w:t>July 14, 2021, 177</w:t>
      </w:r>
      <w:r w:rsidRPr="00D653EE">
        <w:rPr>
          <w:rFonts w:ascii="Times New Roman" w:hAnsi="Times New Roman" w:cs="Times New Roman"/>
          <w:b/>
          <w:bCs/>
          <w:sz w:val="24"/>
          <w:szCs w:val="24"/>
        </w:rPr>
        <w:t xml:space="preserve"> </w:t>
      </w:r>
      <w:r w:rsidRPr="00D653EE">
        <w:rPr>
          <w:rFonts w:ascii="Times New Roman" w:hAnsi="Times New Roman" w:cs="Times New Roman"/>
          <w:sz w:val="24"/>
          <w:szCs w:val="24"/>
        </w:rPr>
        <w:t xml:space="preserve">participants were screened and 120 were randomised to </w:t>
      </w:r>
      <w:proofErr w:type="spellStart"/>
      <w:r w:rsidRPr="00D653EE">
        <w:rPr>
          <w:rFonts w:ascii="Times New Roman" w:hAnsi="Times New Roman" w:cs="Times New Roman"/>
          <w:sz w:val="24"/>
          <w:szCs w:val="24"/>
        </w:rPr>
        <w:t>fitusiran</w:t>
      </w:r>
      <w:proofErr w:type="spellEnd"/>
      <w:r w:rsidRPr="00D653EE">
        <w:rPr>
          <w:rFonts w:ascii="Times New Roman" w:hAnsi="Times New Roman" w:cs="Times New Roman"/>
          <w:sz w:val="24"/>
          <w:szCs w:val="24"/>
        </w:rPr>
        <w:t xml:space="preserve"> prophylaxis (n=80) or on-demand CFCs (n=40). </w:t>
      </w:r>
      <w:r w:rsidRPr="003C413F">
        <w:rPr>
          <w:rFonts w:ascii="Times New Roman" w:eastAsia="MS Gothic" w:hAnsi="Times New Roman" w:cs="Times New Roman"/>
          <w:bCs/>
          <w:sz w:val="24"/>
          <w:szCs w:val="24"/>
        </w:rPr>
        <w:t>One participant was randomi</w:t>
      </w:r>
      <w:r>
        <w:rPr>
          <w:rFonts w:ascii="Times New Roman" w:eastAsia="MS Gothic" w:hAnsi="Times New Roman" w:cs="Times New Roman"/>
          <w:bCs/>
          <w:sz w:val="24"/>
          <w:szCs w:val="24"/>
        </w:rPr>
        <w:t>s</w:t>
      </w:r>
      <w:r w:rsidRPr="003C413F">
        <w:rPr>
          <w:rFonts w:ascii="Times New Roman" w:eastAsia="MS Gothic" w:hAnsi="Times New Roman" w:cs="Times New Roman"/>
          <w:bCs/>
          <w:sz w:val="24"/>
          <w:szCs w:val="24"/>
        </w:rPr>
        <w:t xml:space="preserve">ed to the </w:t>
      </w:r>
      <w:proofErr w:type="spellStart"/>
      <w:r w:rsidRPr="003C413F">
        <w:rPr>
          <w:rFonts w:ascii="Times New Roman" w:eastAsia="MS Gothic" w:hAnsi="Times New Roman" w:cs="Times New Roman"/>
          <w:bCs/>
          <w:sz w:val="24"/>
          <w:szCs w:val="24"/>
        </w:rPr>
        <w:t>fitusiran</w:t>
      </w:r>
      <w:proofErr w:type="spellEnd"/>
      <w:r w:rsidRPr="003C413F">
        <w:rPr>
          <w:rFonts w:ascii="Times New Roman" w:eastAsia="MS Gothic" w:hAnsi="Times New Roman" w:cs="Times New Roman"/>
          <w:bCs/>
          <w:sz w:val="24"/>
          <w:szCs w:val="24"/>
        </w:rPr>
        <w:t xml:space="preserve"> group but not treated due to withdrawal of consent.</w:t>
      </w:r>
      <w:r w:rsidRPr="00D653EE">
        <w:rPr>
          <w:rFonts w:ascii="Times New Roman" w:eastAsiaTheme="majorEastAsia" w:hAnsi="Times New Roman" w:cs="Times New Roman"/>
          <w:bCs/>
          <w:color w:val="000000"/>
          <w:sz w:val="24"/>
          <w:szCs w:val="24"/>
        </w:rPr>
        <w:t xml:space="preserve"> </w:t>
      </w:r>
      <w:r w:rsidRPr="003C413F">
        <w:rPr>
          <w:rFonts w:ascii="Times New Roman" w:eastAsia="MS Gothic" w:hAnsi="Times New Roman" w:cs="Times New Roman"/>
          <w:bCs/>
          <w:sz w:val="24"/>
          <w:szCs w:val="24"/>
        </w:rPr>
        <w:t>Thirty-seven participants (9</w:t>
      </w:r>
      <w:r w:rsidR="00A84DB7">
        <w:rPr>
          <w:rFonts w:ascii="Times New Roman" w:eastAsia="MS Gothic" w:hAnsi="Times New Roman" w:cs="Times New Roman"/>
          <w:bCs/>
          <w:sz w:val="24"/>
          <w:szCs w:val="24"/>
        </w:rPr>
        <w:t>3</w:t>
      </w:r>
      <w:r w:rsidRPr="003C413F">
        <w:rPr>
          <w:rFonts w:ascii="Times New Roman" w:eastAsia="MS Gothic" w:hAnsi="Times New Roman" w:cs="Times New Roman"/>
          <w:bCs/>
          <w:sz w:val="24"/>
          <w:szCs w:val="24"/>
        </w:rPr>
        <w:t>%) in the on-demand CFC group and 79 participants (9</w:t>
      </w:r>
      <w:r w:rsidR="00A84DB7">
        <w:rPr>
          <w:rFonts w:ascii="Times New Roman" w:eastAsia="MS Gothic" w:hAnsi="Times New Roman" w:cs="Times New Roman"/>
          <w:bCs/>
          <w:sz w:val="24"/>
          <w:szCs w:val="24"/>
        </w:rPr>
        <w:t>9</w:t>
      </w:r>
      <w:r w:rsidRPr="003C413F">
        <w:rPr>
          <w:rFonts w:ascii="Times New Roman" w:eastAsia="MS Gothic" w:hAnsi="Times New Roman" w:cs="Times New Roman"/>
          <w:bCs/>
          <w:sz w:val="24"/>
          <w:szCs w:val="24"/>
        </w:rPr>
        <w:t xml:space="preserve">%) in the </w:t>
      </w:r>
      <w:proofErr w:type="spellStart"/>
      <w:r w:rsidRPr="003C413F">
        <w:rPr>
          <w:rFonts w:ascii="Times New Roman" w:eastAsia="MS Gothic" w:hAnsi="Times New Roman" w:cs="Times New Roman"/>
          <w:bCs/>
          <w:sz w:val="24"/>
          <w:szCs w:val="24"/>
        </w:rPr>
        <w:t>fitusiran</w:t>
      </w:r>
      <w:proofErr w:type="spellEnd"/>
      <w:r w:rsidRPr="003C413F">
        <w:rPr>
          <w:rFonts w:ascii="Times New Roman" w:eastAsia="MS Gothic" w:hAnsi="Times New Roman" w:cs="Times New Roman"/>
          <w:bCs/>
          <w:sz w:val="24"/>
          <w:szCs w:val="24"/>
        </w:rPr>
        <w:t xml:space="preserve"> group completed the trial</w:t>
      </w:r>
      <w:r w:rsidRPr="00D653EE">
        <w:rPr>
          <w:rFonts w:ascii="Times New Roman" w:eastAsiaTheme="majorEastAsia" w:hAnsi="Times New Roman" w:cs="Times New Roman"/>
          <w:bCs/>
          <w:color w:val="000000"/>
          <w:sz w:val="24"/>
          <w:szCs w:val="24"/>
        </w:rPr>
        <w:t xml:space="preserve"> </w:t>
      </w:r>
      <w:r w:rsidRPr="003C413F">
        <w:rPr>
          <w:rFonts w:ascii="Times New Roman" w:eastAsia="MS Gothic" w:hAnsi="Times New Roman" w:cs="Times New Roman"/>
          <w:bCs/>
          <w:sz w:val="24"/>
          <w:szCs w:val="24"/>
        </w:rPr>
        <w:t>(figure 1).</w:t>
      </w:r>
      <w:r w:rsidRPr="00D653EE">
        <w:rPr>
          <w:rFonts w:ascii="Times New Roman" w:eastAsiaTheme="majorEastAsia" w:hAnsi="Times New Roman" w:cs="Times New Roman"/>
          <w:bCs/>
          <w:color w:val="000000"/>
          <w:sz w:val="24"/>
          <w:szCs w:val="24"/>
        </w:rPr>
        <w:t xml:space="preserve"> </w:t>
      </w:r>
      <w:bookmarkStart w:id="25" w:name="_Hlk122083850"/>
      <w:r w:rsidRPr="00D653EE">
        <w:rPr>
          <w:rFonts w:ascii="Times New Roman" w:eastAsiaTheme="majorEastAsia" w:hAnsi="Times New Roman" w:cs="Times New Roman"/>
          <w:bCs/>
          <w:color w:val="000000"/>
          <w:sz w:val="24"/>
          <w:szCs w:val="24"/>
        </w:rPr>
        <w:t xml:space="preserve">Of the 79 participants who completed the trial in the </w:t>
      </w:r>
      <w:proofErr w:type="spellStart"/>
      <w:r w:rsidRPr="00D653EE">
        <w:rPr>
          <w:rFonts w:ascii="Times New Roman" w:eastAsiaTheme="majorEastAsia" w:hAnsi="Times New Roman" w:cs="Times New Roman"/>
          <w:bCs/>
          <w:color w:val="000000"/>
          <w:sz w:val="24"/>
          <w:szCs w:val="24"/>
        </w:rPr>
        <w:t>fitusiran</w:t>
      </w:r>
      <w:proofErr w:type="spellEnd"/>
      <w:r w:rsidRPr="00D653EE">
        <w:rPr>
          <w:rFonts w:ascii="Times New Roman" w:eastAsiaTheme="majorEastAsia" w:hAnsi="Times New Roman" w:cs="Times New Roman"/>
          <w:bCs/>
          <w:color w:val="000000"/>
          <w:sz w:val="24"/>
          <w:szCs w:val="24"/>
        </w:rPr>
        <w:t xml:space="preserve"> group, 69 completed </w:t>
      </w:r>
      <w:proofErr w:type="spellStart"/>
      <w:r w:rsidRPr="00D653EE">
        <w:rPr>
          <w:rFonts w:ascii="Times New Roman" w:eastAsiaTheme="majorEastAsia" w:hAnsi="Times New Roman" w:cs="Times New Roman"/>
          <w:bCs/>
          <w:color w:val="000000"/>
          <w:sz w:val="24"/>
          <w:szCs w:val="24"/>
        </w:rPr>
        <w:t>fitusiran</w:t>
      </w:r>
      <w:proofErr w:type="spellEnd"/>
      <w:r w:rsidRPr="00D653EE">
        <w:rPr>
          <w:rFonts w:ascii="Times New Roman" w:eastAsiaTheme="majorEastAsia" w:hAnsi="Times New Roman" w:cs="Times New Roman"/>
          <w:bCs/>
          <w:color w:val="000000"/>
          <w:sz w:val="24"/>
          <w:szCs w:val="24"/>
        </w:rPr>
        <w:t xml:space="preserve"> therapy and ten discontinued </w:t>
      </w:r>
      <w:proofErr w:type="spellStart"/>
      <w:r w:rsidRPr="00D653EE">
        <w:rPr>
          <w:rFonts w:ascii="Times New Roman" w:eastAsiaTheme="majorEastAsia" w:hAnsi="Times New Roman" w:cs="Times New Roman"/>
          <w:bCs/>
          <w:color w:val="000000"/>
          <w:sz w:val="24"/>
          <w:szCs w:val="24"/>
        </w:rPr>
        <w:t>fitus</w:t>
      </w:r>
      <w:r>
        <w:rPr>
          <w:rFonts w:ascii="Times New Roman" w:eastAsiaTheme="majorEastAsia" w:hAnsi="Times New Roman" w:cs="Times New Roman"/>
          <w:bCs/>
          <w:color w:val="000000"/>
          <w:sz w:val="24"/>
          <w:szCs w:val="24"/>
        </w:rPr>
        <w:t>i</w:t>
      </w:r>
      <w:r w:rsidRPr="00D653EE">
        <w:rPr>
          <w:rFonts w:ascii="Times New Roman" w:eastAsiaTheme="majorEastAsia" w:hAnsi="Times New Roman" w:cs="Times New Roman"/>
          <w:bCs/>
          <w:color w:val="000000"/>
          <w:sz w:val="24"/>
          <w:szCs w:val="24"/>
        </w:rPr>
        <w:t>ran</w:t>
      </w:r>
      <w:proofErr w:type="spellEnd"/>
      <w:r>
        <w:rPr>
          <w:rFonts w:ascii="Times New Roman" w:eastAsiaTheme="majorEastAsia" w:hAnsi="Times New Roman" w:cs="Times New Roman"/>
          <w:bCs/>
          <w:color w:val="000000"/>
          <w:sz w:val="24"/>
          <w:szCs w:val="24"/>
        </w:rPr>
        <w:t>. Reasons for discontinuation included:</w:t>
      </w:r>
      <w:r w:rsidRPr="00D653EE">
        <w:rPr>
          <w:rFonts w:ascii="Times New Roman" w:eastAsiaTheme="majorEastAsia" w:hAnsi="Times New Roman" w:cs="Times New Roman"/>
          <w:bCs/>
          <w:color w:val="000000"/>
          <w:sz w:val="24"/>
          <w:szCs w:val="24"/>
        </w:rPr>
        <w:t xml:space="preserve"> voluntary pause in dosing initiated by the sponsor (the voluntary pause in dosing initiated by the sponsor was in response to reports of non-fatal vascular thrombotic events in separate trials within the </w:t>
      </w:r>
      <w:proofErr w:type="spellStart"/>
      <w:r w:rsidRPr="00D653EE">
        <w:rPr>
          <w:rFonts w:ascii="Times New Roman" w:eastAsiaTheme="majorEastAsia" w:hAnsi="Times New Roman" w:cs="Times New Roman"/>
          <w:bCs/>
          <w:color w:val="000000"/>
          <w:sz w:val="24"/>
          <w:szCs w:val="24"/>
        </w:rPr>
        <w:t>fitusiran</w:t>
      </w:r>
      <w:proofErr w:type="spellEnd"/>
      <w:r w:rsidRPr="00D653EE">
        <w:rPr>
          <w:rFonts w:ascii="Times New Roman" w:eastAsiaTheme="majorEastAsia" w:hAnsi="Times New Roman" w:cs="Times New Roman"/>
          <w:bCs/>
          <w:color w:val="000000"/>
          <w:sz w:val="24"/>
          <w:szCs w:val="24"/>
        </w:rPr>
        <w:t xml:space="preserve"> clinical development program; n=6), adverse event (n=2), any reason related to COVID-19 (n=1) and withdrawn consent (n=1). </w:t>
      </w:r>
      <w:bookmarkEnd w:id="25"/>
      <w:r w:rsidRPr="00D653EE">
        <w:rPr>
          <w:rFonts w:ascii="Times New Roman" w:eastAsiaTheme="majorEastAsia" w:hAnsi="Times New Roman" w:cs="Times New Roman"/>
          <w:bCs/>
          <w:color w:val="000000"/>
          <w:sz w:val="24"/>
          <w:szCs w:val="24"/>
        </w:rPr>
        <w:t xml:space="preserve">Baseline demographics and characteristics were similar between groups; </w:t>
      </w:r>
      <w:r w:rsidRPr="003C413F">
        <w:rPr>
          <w:rFonts w:ascii="Times New Roman" w:eastAsia="MS Gothic" w:hAnsi="Times New Roman" w:cs="Times New Roman"/>
          <w:bCs/>
          <w:sz w:val="24"/>
          <w:szCs w:val="24"/>
        </w:rPr>
        <w:t>overall 93 participants had haemophilia A and 27 had haemophilia B (</w:t>
      </w:r>
      <w:r>
        <w:rPr>
          <w:rFonts w:ascii="Times New Roman" w:eastAsia="MS Gothic" w:hAnsi="Times New Roman" w:cs="Times New Roman"/>
          <w:bCs/>
          <w:sz w:val="24"/>
          <w:szCs w:val="24"/>
        </w:rPr>
        <w:t>t</w:t>
      </w:r>
      <w:r w:rsidRPr="003C413F">
        <w:rPr>
          <w:rFonts w:ascii="Times New Roman" w:eastAsia="MS Gothic" w:hAnsi="Times New Roman" w:cs="Times New Roman"/>
          <w:bCs/>
          <w:sz w:val="24"/>
          <w:szCs w:val="24"/>
        </w:rPr>
        <w:t>able 1)</w:t>
      </w:r>
      <w:r w:rsidRPr="006839B3">
        <w:rPr>
          <w:rFonts w:ascii="Times New Roman" w:eastAsiaTheme="majorEastAsia" w:hAnsi="Times New Roman" w:cs="Times New Roman"/>
          <w:bCs/>
          <w:color w:val="000000"/>
          <w:sz w:val="24"/>
          <w:szCs w:val="24"/>
        </w:rPr>
        <w:t>.</w:t>
      </w:r>
      <w:r w:rsidRPr="00D653EE">
        <w:rPr>
          <w:rFonts w:ascii="Times New Roman" w:eastAsiaTheme="majorEastAsia" w:hAnsi="Times New Roman" w:cs="Times New Roman"/>
          <w:bCs/>
          <w:color w:val="000000"/>
          <w:sz w:val="24"/>
          <w:szCs w:val="24"/>
        </w:rPr>
        <w:t xml:space="preserve"> </w:t>
      </w:r>
    </w:p>
    <w:p w14:paraId="70DC89DF" w14:textId="3E6DEAEB" w:rsidR="00DD7F18" w:rsidRPr="00D653EE" w:rsidRDefault="00DD7F18" w:rsidP="008B3DDE">
      <w:pPr>
        <w:spacing w:line="360" w:lineRule="auto"/>
        <w:rPr>
          <w:rFonts w:ascii="Times New Roman" w:eastAsiaTheme="majorEastAsia" w:hAnsi="Times New Roman" w:cs="Times New Roman"/>
          <w:bCs/>
          <w:color w:val="000000"/>
          <w:sz w:val="24"/>
          <w:szCs w:val="24"/>
        </w:rPr>
      </w:pPr>
      <w:r w:rsidRPr="003C413F">
        <w:rPr>
          <w:rFonts w:ascii="Times New Roman" w:eastAsia="MS Gothic" w:hAnsi="Times New Roman" w:cs="Times New Roman"/>
          <w:bCs/>
          <w:sz w:val="24"/>
          <w:szCs w:val="24"/>
        </w:rPr>
        <w:t xml:space="preserve">Median </w:t>
      </w:r>
      <w:r>
        <w:rPr>
          <w:rFonts w:ascii="Times New Roman" w:eastAsia="MS Gothic" w:hAnsi="Times New Roman" w:cs="Times New Roman"/>
          <w:bCs/>
          <w:sz w:val="24"/>
          <w:szCs w:val="24"/>
        </w:rPr>
        <w:t xml:space="preserve">observed </w:t>
      </w:r>
      <w:r w:rsidRPr="003C413F">
        <w:rPr>
          <w:rFonts w:ascii="Times New Roman" w:eastAsia="MS Gothic" w:hAnsi="Times New Roman" w:cs="Times New Roman"/>
          <w:bCs/>
          <w:sz w:val="24"/>
          <w:szCs w:val="24"/>
        </w:rPr>
        <w:t xml:space="preserve">ABR (IQR) was 0·0 (0·0; 3·4) in the </w:t>
      </w:r>
      <w:proofErr w:type="spellStart"/>
      <w:r w:rsidRPr="003C413F">
        <w:rPr>
          <w:rFonts w:ascii="Times New Roman" w:eastAsia="MS Gothic" w:hAnsi="Times New Roman" w:cs="Times New Roman"/>
          <w:bCs/>
          <w:sz w:val="24"/>
          <w:szCs w:val="24"/>
        </w:rPr>
        <w:t>fitusiran</w:t>
      </w:r>
      <w:proofErr w:type="spellEnd"/>
      <w:r w:rsidRPr="003C413F">
        <w:rPr>
          <w:rFonts w:ascii="Times New Roman" w:eastAsia="MS Gothic" w:hAnsi="Times New Roman" w:cs="Times New Roman"/>
          <w:bCs/>
          <w:sz w:val="24"/>
          <w:szCs w:val="24"/>
        </w:rPr>
        <w:t xml:space="preserve"> group and 21·8 (8·4; 41·0) in the on-demand CFC group in the efficacy period (figure 2A). </w:t>
      </w:r>
      <w:bookmarkStart w:id="26" w:name="_Hlk121123099"/>
      <w:r w:rsidRPr="00D653EE">
        <w:rPr>
          <w:rFonts w:ascii="Times New Roman" w:hAnsi="Times New Roman" w:cs="Times New Roman"/>
          <w:sz w:val="24"/>
          <w:szCs w:val="24"/>
        </w:rPr>
        <w:t xml:space="preserve">Mean ABR estimated by the negative binomial model </w:t>
      </w:r>
      <w:r w:rsidRPr="003C413F">
        <w:rPr>
          <w:rFonts w:ascii="Times New Roman" w:eastAsia="MS Gothic" w:hAnsi="Times New Roman" w:cs="Times New Roman"/>
          <w:bCs/>
          <w:sz w:val="24"/>
          <w:szCs w:val="24"/>
        </w:rPr>
        <w:t xml:space="preserve">was statistically significantly lower in the </w:t>
      </w:r>
      <w:proofErr w:type="spellStart"/>
      <w:r w:rsidRPr="003C413F">
        <w:rPr>
          <w:rFonts w:ascii="Times New Roman" w:eastAsia="MS Gothic" w:hAnsi="Times New Roman" w:cs="Times New Roman"/>
          <w:bCs/>
          <w:sz w:val="24"/>
          <w:szCs w:val="24"/>
        </w:rPr>
        <w:t>fitusiran</w:t>
      </w:r>
      <w:proofErr w:type="spellEnd"/>
      <w:r w:rsidRPr="003C413F">
        <w:rPr>
          <w:rFonts w:ascii="Times New Roman" w:eastAsia="MS Gothic" w:hAnsi="Times New Roman" w:cs="Times New Roman"/>
          <w:bCs/>
          <w:sz w:val="24"/>
          <w:szCs w:val="24"/>
        </w:rPr>
        <w:t xml:space="preserve"> group (3·1 [95% CI 2·3; 4·3]) versus the on-demand CFC group (31·0 [95% CI: 21·1; 45·5]) in the efficacy period, representing a </w:t>
      </w:r>
      <w:r w:rsidR="00A84DB7">
        <w:rPr>
          <w:rFonts w:ascii="Times New Roman" w:eastAsia="MS Gothic" w:hAnsi="Times New Roman" w:cs="Times New Roman"/>
          <w:bCs/>
          <w:sz w:val="24"/>
          <w:szCs w:val="24"/>
        </w:rPr>
        <w:t>90</w:t>
      </w:r>
      <w:r w:rsidRPr="003C413F">
        <w:rPr>
          <w:rFonts w:ascii="Times New Roman" w:eastAsia="MS Gothic" w:hAnsi="Times New Roman" w:cs="Times New Roman"/>
          <w:bCs/>
          <w:sz w:val="24"/>
          <w:szCs w:val="24"/>
        </w:rPr>
        <w:t>% reduction</w:t>
      </w:r>
      <w:r w:rsidR="005C4CDF">
        <w:rPr>
          <w:rFonts w:ascii="Times New Roman" w:eastAsia="MS Gothic" w:hAnsi="Times New Roman" w:cs="Times New Roman"/>
          <w:bCs/>
          <w:sz w:val="24"/>
          <w:szCs w:val="24"/>
        </w:rPr>
        <w:t xml:space="preserve"> </w:t>
      </w:r>
      <w:r w:rsidR="00964870" w:rsidRPr="00964870">
        <w:rPr>
          <w:rFonts w:ascii="Times New Roman" w:eastAsia="MS Gothic" w:hAnsi="Times New Roman" w:cs="Times New Roman"/>
          <w:bCs/>
          <w:sz w:val="24"/>
          <w:szCs w:val="24"/>
        </w:rPr>
        <w:t>in bleeding events (rate ratio: 0</w:t>
      </w:r>
      <w:r w:rsidR="0081016E" w:rsidRPr="003C413F">
        <w:rPr>
          <w:rFonts w:ascii="Times New Roman" w:eastAsia="MS Gothic" w:hAnsi="Times New Roman" w:cs="Times New Roman"/>
          <w:bCs/>
          <w:sz w:val="24"/>
          <w:szCs w:val="24"/>
        </w:rPr>
        <w:t>·</w:t>
      </w:r>
      <w:r w:rsidR="00964870" w:rsidRPr="00964870">
        <w:rPr>
          <w:rFonts w:ascii="Times New Roman" w:eastAsia="MS Gothic" w:hAnsi="Times New Roman" w:cs="Times New Roman"/>
          <w:bCs/>
          <w:sz w:val="24"/>
          <w:szCs w:val="24"/>
        </w:rPr>
        <w:t>101 [95% CI: 0</w:t>
      </w:r>
      <w:r w:rsidR="0081016E" w:rsidRPr="003C413F">
        <w:rPr>
          <w:rFonts w:ascii="Times New Roman" w:eastAsia="MS Gothic" w:hAnsi="Times New Roman" w:cs="Times New Roman"/>
          <w:bCs/>
          <w:sz w:val="24"/>
          <w:szCs w:val="24"/>
        </w:rPr>
        <w:t>·</w:t>
      </w:r>
      <w:r w:rsidR="00964870" w:rsidRPr="00964870">
        <w:rPr>
          <w:rFonts w:ascii="Times New Roman" w:eastAsia="MS Gothic" w:hAnsi="Times New Roman" w:cs="Times New Roman"/>
          <w:bCs/>
          <w:sz w:val="24"/>
          <w:szCs w:val="24"/>
        </w:rPr>
        <w:t>064; 0</w:t>
      </w:r>
      <w:r w:rsidR="0081016E" w:rsidRPr="003C413F">
        <w:rPr>
          <w:rFonts w:ascii="Times New Roman" w:eastAsia="MS Gothic" w:hAnsi="Times New Roman" w:cs="Times New Roman"/>
          <w:bCs/>
          <w:sz w:val="24"/>
          <w:szCs w:val="24"/>
        </w:rPr>
        <w:t>·</w:t>
      </w:r>
      <w:r w:rsidR="00964870" w:rsidRPr="00964870">
        <w:rPr>
          <w:rFonts w:ascii="Times New Roman" w:eastAsia="MS Gothic" w:hAnsi="Times New Roman" w:cs="Times New Roman"/>
          <w:bCs/>
          <w:sz w:val="24"/>
          <w:szCs w:val="24"/>
        </w:rPr>
        <w:t>159]; p&lt;0</w:t>
      </w:r>
      <w:r w:rsidR="00964870" w:rsidRPr="003C413F">
        <w:rPr>
          <w:rFonts w:ascii="Times New Roman" w:eastAsia="MS Gothic" w:hAnsi="Times New Roman" w:cs="Times New Roman"/>
          <w:bCs/>
          <w:sz w:val="24"/>
          <w:szCs w:val="24"/>
        </w:rPr>
        <w:t>·</w:t>
      </w:r>
      <w:r w:rsidR="00964870" w:rsidRPr="00964870">
        <w:rPr>
          <w:rFonts w:ascii="Times New Roman" w:eastAsia="MS Gothic" w:hAnsi="Times New Roman" w:cs="Times New Roman"/>
          <w:bCs/>
          <w:sz w:val="24"/>
          <w:szCs w:val="24"/>
        </w:rPr>
        <w:t xml:space="preserve">0001) </w:t>
      </w:r>
      <w:r w:rsidRPr="003C413F">
        <w:rPr>
          <w:rFonts w:ascii="Times New Roman" w:eastAsia="MS Gothic" w:hAnsi="Times New Roman" w:cs="Times New Roman"/>
          <w:bCs/>
          <w:sz w:val="24"/>
          <w:szCs w:val="24"/>
        </w:rPr>
        <w:t>(figure 2B).</w:t>
      </w:r>
      <w:bookmarkEnd w:id="26"/>
      <w:r w:rsidRPr="003C413F">
        <w:rPr>
          <w:rFonts w:ascii="Times New Roman" w:eastAsia="MS Gothic" w:hAnsi="Times New Roman" w:cs="Times New Roman"/>
          <w:bCs/>
          <w:sz w:val="24"/>
          <w:szCs w:val="24"/>
        </w:rPr>
        <w:t xml:space="preserve"> In the efficacy period, </w:t>
      </w:r>
      <w:r w:rsidRPr="00D653EE">
        <w:rPr>
          <w:rFonts w:ascii="Times New Roman" w:eastAsiaTheme="majorEastAsia" w:hAnsi="Times New Roman" w:cs="Times New Roman"/>
          <w:bCs/>
          <w:color w:val="000000"/>
          <w:sz w:val="24"/>
          <w:szCs w:val="24"/>
        </w:rPr>
        <w:t>40 participants (5</w:t>
      </w:r>
      <w:r w:rsidR="00A84DB7">
        <w:rPr>
          <w:rFonts w:ascii="Times New Roman" w:eastAsiaTheme="majorEastAsia" w:hAnsi="Times New Roman" w:cs="Times New Roman"/>
          <w:bCs/>
          <w:color w:val="000000"/>
          <w:sz w:val="24"/>
          <w:szCs w:val="24"/>
        </w:rPr>
        <w:t>1</w:t>
      </w:r>
      <w:r w:rsidRPr="00D653EE">
        <w:rPr>
          <w:rFonts w:ascii="Times New Roman" w:eastAsiaTheme="majorEastAsia" w:hAnsi="Times New Roman" w:cs="Times New Roman"/>
          <w:bCs/>
          <w:color w:val="000000"/>
          <w:sz w:val="24"/>
          <w:szCs w:val="24"/>
        </w:rPr>
        <w:t>%) had zero treated bleeds and 66 participants (8</w:t>
      </w:r>
      <w:r w:rsidR="00A84DB7">
        <w:rPr>
          <w:rFonts w:ascii="Times New Roman" w:eastAsiaTheme="majorEastAsia" w:hAnsi="Times New Roman" w:cs="Times New Roman"/>
          <w:bCs/>
          <w:color w:val="000000"/>
          <w:sz w:val="24"/>
          <w:szCs w:val="24"/>
        </w:rPr>
        <w:t>4</w:t>
      </w:r>
      <w:r w:rsidRPr="00D653EE">
        <w:rPr>
          <w:rFonts w:ascii="Times New Roman" w:eastAsiaTheme="majorEastAsia" w:hAnsi="Times New Roman" w:cs="Times New Roman"/>
          <w:bCs/>
          <w:color w:val="000000"/>
          <w:sz w:val="24"/>
          <w:szCs w:val="24"/>
        </w:rPr>
        <w:t xml:space="preserve">%) had ≤3 treated bleeds in the </w:t>
      </w:r>
      <w:proofErr w:type="spellStart"/>
      <w:r w:rsidRPr="00D653EE">
        <w:rPr>
          <w:rFonts w:ascii="Times New Roman" w:eastAsiaTheme="majorEastAsia" w:hAnsi="Times New Roman" w:cs="Times New Roman"/>
          <w:bCs/>
          <w:color w:val="000000"/>
          <w:sz w:val="24"/>
          <w:szCs w:val="24"/>
        </w:rPr>
        <w:t>fitusiran</w:t>
      </w:r>
      <w:proofErr w:type="spellEnd"/>
      <w:r w:rsidRPr="00D653EE">
        <w:rPr>
          <w:rFonts w:ascii="Times New Roman" w:eastAsiaTheme="majorEastAsia" w:hAnsi="Times New Roman" w:cs="Times New Roman"/>
          <w:bCs/>
          <w:color w:val="000000"/>
          <w:sz w:val="24"/>
          <w:szCs w:val="24"/>
        </w:rPr>
        <w:t xml:space="preserve"> group versus two (5%) and six participants (15%) in the on-demand CFC group, respectively </w:t>
      </w:r>
      <w:r w:rsidRPr="003C413F">
        <w:rPr>
          <w:rFonts w:ascii="Times New Roman" w:eastAsiaTheme="majorEastAsia" w:hAnsi="Times New Roman" w:cs="Times New Roman"/>
          <w:bCs/>
          <w:color w:val="000000"/>
          <w:sz w:val="24"/>
          <w:szCs w:val="24"/>
        </w:rPr>
        <w:t>(figure 2C).</w:t>
      </w:r>
      <w:r w:rsidRPr="00D653EE">
        <w:rPr>
          <w:rFonts w:ascii="Times New Roman" w:eastAsiaTheme="majorEastAsia" w:hAnsi="Times New Roman" w:cs="Times New Roman"/>
          <w:bCs/>
          <w:color w:val="000000"/>
          <w:sz w:val="24"/>
          <w:szCs w:val="24"/>
        </w:rPr>
        <w:t xml:space="preserve"> </w:t>
      </w:r>
    </w:p>
    <w:p w14:paraId="57A22AD1" w14:textId="1771DB74" w:rsidR="00DD7F18" w:rsidRPr="00D653EE" w:rsidRDefault="00DD7F18" w:rsidP="486D63BF">
      <w:pPr>
        <w:spacing w:line="360" w:lineRule="auto"/>
        <w:rPr>
          <w:rFonts w:ascii="Times New Roman" w:eastAsiaTheme="majorEastAsia" w:hAnsi="Times New Roman" w:cs="Times New Roman"/>
          <w:color w:val="000000"/>
          <w:sz w:val="24"/>
          <w:szCs w:val="24"/>
        </w:rPr>
      </w:pPr>
      <w:bookmarkStart w:id="27" w:name="_Hlk121920685"/>
      <w:bookmarkStart w:id="28" w:name="_Hlk121912721"/>
      <w:r w:rsidRPr="486D63BF">
        <w:rPr>
          <w:rFonts w:ascii="Times New Roman" w:eastAsiaTheme="majorEastAsia" w:hAnsi="Times New Roman" w:cs="Times New Roman"/>
          <w:color w:val="000000" w:themeColor="text1"/>
          <w:sz w:val="24"/>
          <w:szCs w:val="24"/>
        </w:rPr>
        <w:t>ABR in the treatment period demonstrated similar results to the primary endpoint</w:t>
      </w:r>
      <w:r w:rsidR="004A49B1">
        <w:rPr>
          <w:rFonts w:ascii="Times New Roman" w:eastAsiaTheme="majorEastAsia" w:hAnsi="Times New Roman" w:cs="Times New Roman"/>
          <w:color w:val="000000" w:themeColor="text1"/>
          <w:sz w:val="24"/>
          <w:szCs w:val="24"/>
        </w:rPr>
        <w:t>; ABR in the onset period</w:t>
      </w:r>
      <w:r w:rsidRPr="486D63BF">
        <w:rPr>
          <w:rFonts w:ascii="Times New Roman" w:eastAsiaTheme="majorEastAsia" w:hAnsi="Times New Roman" w:cs="Times New Roman"/>
          <w:color w:val="000000" w:themeColor="text1"/>
          <w:sz w:val="24"/>
          <w:szCs w:val="24"/>
        </w:rPr>
        <w:t xml:space="preserve"> </w:t>
      </w:r>
      <w:r w:rsidR="004A49B1">
        <w:rPr>
          <w:rFonts w:ascii="Times New Roman" w:eastAsiaTheme="majorEastAsia" w:hAnsi="Times New Roman" w:cs="Times New Roman"/>
          <w:color w:val="000000" w:themeColor="text1"/>
          <w:sz w:val="24"/>
          <w:szCs w:val="24"/>
        </w:rPr>
        <w:t xml:space="preserve">was higher than the ABR in the treatment and efficacy periods </w:t>
      </w:r>
      <w:r w:rsidRPr="486D63BF">
        <w:rPr>
          <w:rFonts w:ascii="Times New Roman" w:eastAsiaTheme="majorEastAsia" w:hAnsi="Times New Roman" w:cs="Times New Roman"/>
          <w:color w:val="000000" w:themeColor="text1"/>
          <w:sz w:val="24"/>
          <w:szCs w:val="24"/>
        </w:rPr>
        <w:t>(</w:t>
      </w:r>
      <w:r w:rsidR="00213BB8">
        <w:rPr>
          <w:rFonts w:ascii="Times New Roman" w:eastAsiaTheme="majorEastAsia" w:hAnsi="Times New Roman" w:cs="Times New Roman"/>
          <w:color w:val="000000" w:themeColor="text1"/>
          <w:sz w:val="24"/>
          <w:szCs w:val="24"/>
        </w:rPr>
        <w:t>f</w:t>
      </w:r>
      <w:r w:rsidR="00A052EC">
        <w:rPr>
          <w:rFonts w:ascii="Times New Roman" w:eastAsiaTheme="majorEastAsia" w:hAnsi="Times New Roman" w:cs="Times New Roman"/>
          <w:color w:val="000000" w:themeColor="text1"/>
          <w:sz w:val="24"/>
          <w:szCs w:val="24"/>
        </w:rPr>
        <w:t>urthe</w:t>
      </w:r>
      <w:r w:rsidR="00213BB8">
        <w:rPr>
          <w:rFonts w:ascii="Times New Roman" w:eastAsiaTheme="majorEastAsia" w:hAnsi="Times New Roman" w:cs="Times New Roman"/>
          <w:color w:val="000000" w:themeColor="text1"/>
          <w:sz w:val="24"/>
          <w:szCs w:val="24"/>
        </w:rPr>
        <w:t xml:space="preserve">r details in </w:t>
      </w:r>
      <w:r w:rsidRPr="486D63BF">
        <w:rPr>
          <w:rFonts w:ascii="Times New Roman" w:eastAsiaTheme="majorEastAsia" w:hAnsi="Times New Roman" w:cs="Times New Roman"/>
          <w:color w:val="000000" w:themeColor="text1"/>
          <w:sz w:val="24"/>
          <w:szCs w:val="24"/>
        </w:rPr>
        <w:t>Appendix</w:t>
      </w:r>
      <w:r w:rsidR="00213BB8">
        <w:rPr>
          <w:rFonts w:ascii="Times New Roman" w:eastAsiaTheme="majorEastAsia" w:hAnsi="Times New Roman" w:cs="Times New Roman"/>
          <w:color w:val="000000" w:themeColor="text1"/>
          <w:sz w:val="24"/>
          <w:szCs w:val="24"/>
        </w:rPr>
        <w:t>,</w:t>
      </w:r>
      <w:r w:rsidRPr="486D63BF">
        <w:rPr>
          <w:rFonts w:ascii="Times New Roman" w:eastAsiaTheme="majorEastAsia" w:hAnsi="Times New Roman" w:cs="Times New Roman"/>
          <w:color w:val="000000" w:themeColor="text1"/>
          <w:sz w:val="24"/>
          <w:szCs w:val="24"/>
        </w:rPr>
        <w:t xml:space="preserve"> p </w:t>
      </w:r>
      <w:r w:rsidR="004633EC">
        <w:rPr>
          <w:rFonts w:ascii="Times New Roman" w:eastAsiaTheme="majorEastAsia" w:hAnsi="Times New Roman" w:cs="Times New Roman"/>
          <w:color w:val="000000" w:themeColor="text1"/>
          <w:sz w:val="24"/>
          <w:szCs w:val="24"/>
        </w:rPr>
        <w:t>9</w:t>
      </w:r>
      <w:r w:rsidRPr="486D63BF">
        <w:rPr>
          <w:rFonts w:ascii="Times New Roman" w:eastAsiaTheme="majorEastAsia" w:hAnsi="Times New Roman" w:cs="Times New Roman"/>
          <w:color w:val="000000" w:themeColor="text1"/>
          <w:sz w:val="24"/>
          <w:szCs w:val="24"/>
        </w:rPr>
        <w:t>).</w:t>
      </w:r>
      <w:bookmarkEnd w:id="27"/>
      <w:r w:rsidRPr="486D63BF">
        <w:rPr>
          <w:rFonts w:ascii="Times New Roman" w:eastAsiaTheme="majorEastAsia" w:hAnsi="Times New Roman" w:cs="Times New Roman"/>
          <w:color w:val="000000" w:themeColor="text1"/>
          <w:sz w:val="24"/>
          <w:szCs w:val="24"/>
        </w:rPr>
        <w:t xml:space="preserve"> </w:t>
      </w:r>
      <w:bookmarkEnd w:id="28"/>
      <w:r w:rsidRPr="486D63BF">
        <w:rPr>
          <w:rFonts w:ascii="Times New Roman" w:eastAsiaTheme="majorEastAsia" w:hAnsi="Times New Roman" w:cs="Times New Roman"/>
          <w:color w:val="000000" w:themeColor="text1"/>
          <w:sz w:val="24"/>
          <w:szCs w:val="24"/>
        </w:rPr>
        <w:t xml:space="preserve">In the efficacy period, median </w:t>
      </w:r>
      <w:r>
        <w:rPr>
          <w:rFonts w:ascii="Times New Roman" w:eastAsiaTheme="majorEastAsia" w:hAnsi="Times New Roman" w:cs="Times New Roman"/>
          <w:color w:val="000000" w:themeColor="text1"/>
          <w:sz w:val="24"/>
          <w:szCs w:val="24"/>
        </w:rPr>
        <w:t xml:space="preserve">observed </w:t>
      </w:r>
      <w:proofErr w:type="spellStart"/>
      <w:r w:rsidRPr="486D63BF">
        <w:rPr>
          <w:rFonts w:ascii="Times New Roman" w:eastAsiaTheme="majorEastAsia" w:hAnsi="Times New Roman" w:cs="Times New Roman"/>
          <w:color w:val="000000" w:themeColor="text1"/>
          <w:sz w:val="24"/>
          <w:szCs w:val="24"/>
        </w:rPr>
        <w:t>AsBR</w:t>
      </w:r>
      <w:proofErr w:type="spellEnd"/>
      <w:r w:rsidRPr="486D63BF">
        <w:rPr>
          <w:rFonts w:ascii="Times New Roman" w:eastAsiaTheme="majorEastAsia" w:hAnsi="Times New Roman" w:cs="Times New Roman"/>
          <w:color w:val="000000" w:themeColor="text1"/>
          <w:sz w:val="24"/>
          <w:szCs w:val="24"/>
        </w:rPr>
        <w:t xml:space="preserve"> (IQR) was 0·0 (0·0; 1·7) and 16·1 (3·4; 27·6) in the </w:t>
      </w:r>
      <w:proofErr w:type="spellStart"/>
      <w:r w:rsidRPr="486D63BF">
        <w:rPr>
          <w:rFonts w:ascii="Times New Roman" w:eastAsiaTheme="majorEastAsia" w:hAnsi="Times New Roman" w:cs="Times New Roman"/>
          <w:color w:val="000000" w:themeColor="text1"/>
          <w:sz w:val="24"/>
          <w:szCs w:val="24"/>
        </w:rPr>
        <w:t>fitusiran</w:t>
      </w:r>
      <w:proofErr w:type="spellEnd"/>
      <w:r w:rsidRPr="486D63BF">
        <w:rPr>
          <w:rFonts w:ascii="Times New Roman" w:eastAsiaTheme="majorEastAsia" w:hAnsi="Times New Roman" w:cs="Times New Roman"/>
          <w:color w:val="000000" w:themeColor="text1"/>
          <w:sz w:val="24"/>
          <w:szCs w:val="24"/>
        </w:rPr>
        <w:t xml:space="preserve"> and on-demand CFC groups, respectively. Median </w:t>
      </w:r>
      <w:r>
        <w:rPr>
          <w:rFonts w:ascii="Times New Roman" w:eastAsiaTheme="majorEastAsia" w:hAnsi="Times New Roman" w:cs="Times New Roman"/>
          <w:color w:val="000000" w:themeColor="text1"/>
          <w:sz w:val="24"/>
          <w:szCs w:val="24"/>
        </w:rPr>
        <w:t xml:space="preserve">observed </w:t>
      </w:r>
      <w:proofErr w:type="spellStart"/>
      <w:r w:rsidRPr="486D63BF">
        <w:rPr>
          <w:rFonts w:ascii="Times New Roman" w:eastAsiaTheme="majorEastAsia" w:hAnsi="Times New Roman" w:cs="Times New Roman"/>
          <w:color w:val="000000" w:themeColor="text1"/>
          <w:sz w:val="24"/>
          <w:szCs w:val="24"/>
        </w:rPr>
        <w:t>AjBR</w:t>
      </w:r>
      <w:proofErr w:type="spellEnd"/>
      <w:r w:rsidRPr="486D63BF">
        <w:rPr>
          <w:rFonts w:ascii="Times New Roman" w:eastAsiaTheme="majorEastAsia" w:hAnsi="Times New Roman" w:cs="Times New Roman"/>
          <w:color w:val="000000" w:themeColor="text1"/>
          <w:sz w:val="24"/>
          <w:szCs w:val="24"/>
        </w:rPr>
        <w:t xml:space="preserve"> (IQR) in the efficacy period was 0·0 (0·0; 3·4) and 15·9 (4·2; 33·5) in the </w:t>
      </w:r>
      <w:proofErr w:type="spellStart"/>
      <w:r w:rsidRPr="486D63BF">
        <w:rPr>
          <w:rFonts w:ascii="Times New Roman" w:eastAsiaTheme="majorEastAsia" w:hAnsi="Times New Roman" w:cs="Times New Roman"/>
          <w:color w:val="000000" w:themeColor="text1"/>
          <w:sz w:val="24"/>
          <w:szCs w:val="24"/>
        </w:rPr>
        <w:t>fitusiran</w:t>
      </w:r>
      <w:proofErr w:type="spellEnd"/>
      <w:r w:rsidRPr="486D63BF">
        <w:rPr>
          <w:rFonts w:ascii="Times New Roman" w:eastAsiaTheme="majorEastAsia" w:hAnsi="Times New Roman" w:cs="Times New Roman"/>
          <w:color w:val="000000" w:themeColor="text1"/>
          <w:sz w:val="24"/>
          <w:szCs w:val="24"/>
        </w:rPr>
        <w:t xml:space="preserve"> and on-demand CFC groups, respectively. In the </w:t>
      </w:r>
      <w:proofErr w:type="spellStart"/>
      <w:r w:rsidRPr="486D63BF">
        <w:rPr>
          <w:rFonts w:ascii="Times New Roman" w:eastAsiaTheme="majorEastAsia" w:hAnsi="Times New Roman" w:cs="Times New Roman"/>
          <w:color w:val="000000" w:themeColor="text1"/>
          <w:sz w:val="24"/>
          <w:szCs w:val="24"/>
        </w:rPr>
        <w:t>fitusiran</w:t>
      </w:r>
      <w:proofErr w:type="spellEnd"/>
      <w:r w:rsidRPr="486D63BF">
        <w:rPr>
          <w:rFonts w:ascii="Times New Roman" w:eastAsiaTheme="majorEastAsia" w:hAnsi="Times New Roman" w:cs="Times New Roman"/>
          <w:color w:val="000000" w:themeColor="text1"/>
          <w:sz w:val="24"/>
          <w:szCs w:val="24"/>
        </w:rPr>
        <w:t xml:space="preserve"> group, the median </w:t>
      </w:r>
      <w:r>
        <w:rPr>
          <w:rFonts w:ascii="Times New Roman" w:eastAsiaTheme="majorEastAsia" w:hAnsi="Times New Roman" w:cs="Times New Roman"/>
          <w:color w:val="000000" w:themeColor="text1"/>
          <w:sz w:val="24"/>
          <w:szCs w:val="24"/>
        </w:rPr>
        <w:t xml:space="preserve">observed </w:t>
      </w:r>
      <w:r w:rsidRPr="486D63BF">
        <w:rPr>
          <w:rFonts w:ascii="Times New Roman" w:eastAsiaTheme="majorEastAsia" w:hAnsi="Times New Roman" w:cs="Times New Roman"/>
          <w:color w:val="000000" w:themeColor="text1"/>
          <w:sz w:val="24"/>
          <w:szCs w:val="24"/>
        </w:rPr>
        <w:t>ABR (IQR) was 0·0 (0·0; 3·4) for participants with haemophilia A and 2·7 (0·0; 5·0) for participants with haemophilia B versus 21·8 (8·4; 38·5) and 25·1 (8·4; 46·9) for the on-demand CFC group, respectively, in the efficacy period (table S</w:t>
      </w:r>
      <w:r w:rsidR="00C735DA">
        <w:rPr>
          <w:rFonts w:ascii="Times New Roman" w:eastAsiaTheme="majorEastAsia" w:hAnsi="Times New Roman" w:cs="Times New Roman"/>
          <w:color w:val="000000" w:themeColor="text1"/>
          <w:sz w:val="24"/>
          <w:szCs w:val="24"/>
        </w:rPr>
        <w:t>4</w:t>
      </w:r>
      <w:r w:rsidRPr="486D63BF">
        <w:rPr>
          <w:rFonts w:ascii="Times New Roman" w:eastAsiaTheme="majorEastAsia" w:hAnsi="Times New Roman" w:cs="Times New Roman"/>
          <w:color w:val="000000" w:themeColor="text1"/>
          <w:sz w:val="24"/>
          <w:szCs w:val="24"/>
        </w:rPr>
        <w:t xml:space="preserve">). All subgroup analyses demonstrated a consistent effect in favour of </w:t>
      </w:r>
      <w:proofErr w:type="spellStart"/>
      <w:r w:rsidRPr="486D63BF">
        <w:rPr>
          <w:rFonts w:ascii="Times New Roman" w:eastAsiaTheme="majorEastAsia" w:hAnsi="Times New Roman" w:cs="Times New Roman"/>
          <w:color w:val="000000" w:themeColor="text1"/>
          <w:sz w:val="24"/>
          <w:szCs w:val="24"/>
        </w:rPr>
        <w:t>fitusiran</w:t>
      </w:r>
      <w:proofErr w:type="spellEnd"/>
      <w:r w:rsidRPr="486D63BF">
        <w:rPr>
          <w:rFonts w:ascii="Times New Roman" w:eastAsiaTheme="majorEastAsia" w:hAnsi="Times New Roman" w:cs="Times New Roman"/>
          <w:color w:val="000000" w:themeColor="text1"/>
          <w:sz w:val="24"/>
          <w:szCs w:val="24"/>
        </w:rPr>
        <w:t xml:space="preserve"> prophylaxis versus on-demand CFCs (figure S2). In participants with ≥1 target joint identified at baseline, 14/53 (26%) and 24/29 </w:t>
      </w:r>
      <w:r w:rsidRPr="486D63BF">
        <w:rPr>
          <w:rFonts w:ascii="Times New Roman" w:eastAsiaTheme="majorEastAsia" w:hAnsi="Times New Roman" w:cs="Times New Roman"/>
          <w:color w:val="000000" w:themeColor="text1"/>
          <w:sz w:val="24"/>
          <w:szCs w:val="24"/>
        </w:rPr>
        <w:lastRenderedPageBreak/>
        <w:t>(8</w:t>
      </w:r>
      <w:r w:rsidR="00A84DB7">
        <w:rPr>
          <w:rFonts w:ascii="Times New Roman" w:eastAsiaTheme="majorEastAsia" w:hAnsi="Times New Roman" w:cs="Times New Roman"/>
          <w:color w:val="000000" w:themeColor="text1"/>
          <w:sz w:val="24"/>
          <w:szCs w:val="24"/>
        </w:rPr>
        <w:t>3</w:t>
      </w:r>
      <w:r w:rsidRPr="486D63BF">
        <w:rPr>
          <w:rFonts w:ascii="Times New Roman" w:eastAsiaTheme="majorEastAsia" w:hAnsi="Times New Roman" w:cs="Times New Roman"/>
          <w:color w:val="000000" w:themeColor="text1"/>
          <w:sz w:val="24"/>
          <w:szCs w:val="24"/>
        </w:rPr>
        <w:t xml:space="preserve">%) participants in the </w:t>
      </w:r>
      <w:proofErr w:type="spellStart"/>
      <w:r w:rsidRPr="486D63BF">
        <w:rPr>
          <w:rFonts w:ascii="Times New Roman" w:eastAsiaTheme="majorEastAsia" w:hAnsi="Times New Roman" w:cs="Times New Roman"/>
          <w:color w:val="000000" w:themeColor="text1"/>
          <w:sz w:val="24"/>
          <w:szCs w:val="24"/>
        </w:rPr>
        <w:t>fitusiran</w:t>
      </w:r>
      <w:proofErr w:type="spellEnd"/>
      <w:r w:rsidRPr="486D63BF">
        <w:rPr>
          <w:rFonts w:ascii="Times New Roman" w:eastAsiaTheme="majorEastAsia" w:hAnsi="Times New Roman" w:cs="Times New Roman"/>
          <w:color w:val="000000" w:themeColor="text1"/>
          <w:sz w:val="24"/>
          <w:szCs w:val="24"/>
        </w:rPr>
        <w:t xml:space="preserve"> and on-demand CFC groups had a treated spontaneous target joint bleeding event in the efficacy period; 7</w:t>
      </w:r>
      <w:r w:rsidR="00A84DB7">
        <w:rPr>
          <w:rFonts w:ascii="Times New Roman" w:eastAsiaTheme="majorEastAsia" w:hAnsi="Times New Roman" w:cs="Times New Roman"/>
          <w:color w:val="000000" w:themeColor="text1"/>
          <w:sz w:val="24"/>
          <w:szCs w:val="24"/>
        </w:rPr>
        <w:t>4</w:t>
      </w:r>
      <w:r w:rsidRPr="486D63BF">
        <w:rPr>
          <w:rFonts w:ascii="Times New Roman" w:eastAsiaTheme="majorEastAsia" w:hAnsi="Times New Roman" w:cs="Times New Roman"/>
          <w:color w:val="000000" w:themeColor="text1"/>
          <w:sz w:val="24"/>
          <w:szCs w:val="24"/>
        </w:rPr>
        <w:t xml:space="preserve">% participants in the </w:t>
      </w:r>
      <w:proofErr w:type="spellStart"/>
      <w:r w:rsidRPr="486D63BF">
        <w:rPr>
          <w:rFonts w:ascii="Times New Roman" w:eastAsiaTheme="majorEastAsia" w:hAnsi="Times New Roman" w:cs="Times New Roman"/>
          <w:color w:val="000000" w:themeColor="text1"/>
          <w:sz w:val="24"/>
          <w:szCs w:val="24"/>
        </w:rPr>
        <w:t>fitusiran</w:t>
      </w:r>
      <w:proofErr w:type="spellEnd"/>
      <w:r w:rsidRPr="486D63BF">
        <w:rPr>
          <w:rFonts w:ascii="Times New Roman" w:eastAsiaTheme="majorEastAsia" w:hAnsi="Times New Roman" w:cs="Times New Roman"/>
          <w:color w:val="000000" w:themeColor="text1"/>
          <w:sz w:val="24"/>
          <w:szCs w:val="24"/>
        </w:rPr>
        <w:t xml:space="preserve"> group had zero target joint bleeding events versus 17% of participants in the on-demand CFC group.</w:t>
      </w:r>
    </w:p>
    <w:p w14:paraId="0351890B" w14:textId="7A90B4E3" w:rsidR="00DD7F18" w:rsidRPr="00D653EE" w:rsidRDefault="00DD7F18" w:rsidP="008B3DDE">
      <w:pPr>
        <w:spacing w:line="360" w:lineRule="auto"/>
        <w:rPr>
          <w:rFonts w:ascii="Times New Roman" w:eastAsiaTheme="majorEastAsia" w:hAnsi="Times New Roman" w:cs="Times New Roman"/>
          <w:bCs/>
          <w:color w:val="000000"/>
          <w:sz w:val="24"/>
          <w:szCs w:val="24"/>
        </w:rPr>
      </w:pPr>
      <w:r w:rsidRPr="00D653EE">
        <w:rPr>
          <w:rFonts w:ascii="Times New Roman" w:eastAsiaTheme="majorEastAsia" w:hAnsi="Times New Roman" w:cs="Times New Roman"/>
          <w:bCs/>
          <w:color w:val="000000"/>
          <w:sz w:val="24"/>
          <w:szCs w:val="24"/>
        </w:rPr>
        <w:t xml:space="preserve">There was a statistically significant improvement in the Haem-A-QoL transformed physical health score in the </w:t>
      </w:r>
      <w:proofErr w:type="spellStart"/>
      <w:r w:rsidRPr="00D653EE">
        <w:rPr>
          <w:rFonts w:ascii="Times New Roman" w:eastAsiaTheme="majorEastAsia" w:hAnsi="Times New Roman" w:cs="Times New Roman"/>
          <w:bCs/>
          <w:color w:val="000000"/>
          <w:sz w:val="24"/>
          <w:szCs w:val="24"/>
        </w:rPr>
        <w:t>fitusiran</w:t>
      </w:r>
      <w:proofErr w:type="spellEnd"/>
      <w:r w:rsidRPr="00D653EE">
        <w:rPr>
          <w:rFonts w:ascii="Times New Roman" w:eastAsiaTheme="majorEastAsia" w:hAnsi="Times New Roman" w:cs="Times New Roman"/>
          <w:bCs/>
          <w:color w:val="000000"/>
          <w:sz w:val="24"/>
          <w:szCs w:val="24"/>
        </w:rPr>
        <w:t xml:space="preserve"> group (-23</w:t>
      </w:r>
      <w:r w:rsidRPr="0043334E">
        <w:rPr>
          <w:rFonts w:ascii="Times New Roman" w:eastAsiaTheme="majorEastAsia" w:hAnsi="Times New Roman" w:cs="Times New Roman"/>
          <w:color w:val="000000"/>
          <w:sz w:val="24"/>
          <w:szCs w:val="24"/>
        </w:rPr>
        <w:t>·</w:t>
      </w:r>
      <w:r w:rsidRPr="00D653EE">
        <w:rPr>
          <w:rFonts w:ascii="Times New Roman" w:eastAsiaTheme="majorEastAsia" w:hAnsi="Times New Roman" w:cs="Times New Roman"/>
          <w:bCs/>
          <w:color w:val="000000"/>
          <w:sz w:val="24"/>
          <w:szCs w:val="24"/>
        </w:rPr>
        <w:t>07 [95% CI: -28</w:t>
      </w:r>
      <w:r w:rsidRPr="0043334E">
        <w:rPr>
          <w:rFonts w:ascii="Times New Roman" w:eastAsiaTheme="majorEastAsia" w:hAnsi="Times New Roman" w:cs="Times New Roman"/>
          <w:color w:val="000000"/>
          <w:sz w:val="24"/>
          <w:szCs w:val="24"/>
        </w:rPr>
        <w:t>·</w:t>
      </w:r>
      <w:r w:rsidRPr="00D653EE">
        <w:rPr>
          <w:rFonts w:ascii="Times New Roman" w:eastAsiaTheme="majorEastAsia" w:hAnsi="Times New Roman" w:cs="Times New Roman"/>
          <w:bCs/>
          <w:color w:val="000000"/>
          <w:sz w:val="24"/>
          <w:szCs w:val="24"/>
        </w:rPr>
        <w:t>00; -18</w:t>
      </w:r>
      <w:r w:rsidRPr="0043334E">
        <w:rPr>
          <w:rFonts w:ascii="Times New Roman" w:eastAsiaTheme="majorEastAsia" w:hAnsi="Times New Roman" w:cs="Times New Roman"/>
          <w:color w:val="000000"/>
          <w:sz w:val="24"/>
          <w:szCs w:val="24"/>
        </w:rPr>
        <w:t>·</w:t>
      </w:r>
      <w:r w:rsidRPr="00D653EE">
        <w:rPr>
          <w:rFonts w:ascii="Times New Roman" w:eastAsiaTheme="majorEastAsia" w:hAnsi="Times New Roman" w:cs="Times New Roman"/>
          <w:bCs/>
          <w:color w:val="000000"/>
          <w:sz w:val="24"/>
          <w:szCs w:val="24"/>
        </w:rPr>
        <w:t>14]) versus the on-demand CFC group (-3</w:t>
      </w:r>
      <w:r w:rsidRPr="0043334E">
        <w:rPr>
          <w:rFonts w:ascii="Times New Roman" w:eastAsiaTheme="majorEastAsia" w:hAnsi="Times New Roman" w:cs="Times New Roman"/>
          <w:color w:val="000000"/>
          <w:sz w:val="24"/>
          <w:szCs w:val="24"/>
        </w:rPr>
        <w:t>·</w:t>
      </w:r>
      <w:r w:rsidRPr="00D653EE">
        <w:rPr>
          <w:rFonts w:ascii="Times New Roman" w:eastAsiaTheme="majorEastAsia" w:hAnsi="Times New Roman" w:cs="Times New Roman"/>
          <w:bCs/>
          <w:color w:val="000000"/>
          <w:sz w:val="24"/>
          <w:szCs w:val="24"/>
        </w:rPr>
        <w:t>32 [95% CI: -9</w:t>
      </w:r>
      <w:r w:rsidRPr="0043334E">
        <w:rPr>
          <w:rFonts w:ascii="Times New Roman" w:eastAsiaTheme="majorEastAsia" w:hAnsi="Times New Roman" w:cs="Times New Roman"/>
          <w:color w:val="000000"/>
          <w:sz w:val="24"/>
          <w:szCs w:val="24"/>
        </w:rPr>
        <w:t>·</w:t>
      </w:r>
      <w:r w:rsidRPr="00D653EE">
        <w:rPr>
          <w:rFonts w:ascii="Times New Roman" w:eastAsiaTheme="majorEastAsia" w:hAnsi="Times New Roman" w:cs="Times New Roman"/>
          <w:bCs/>
          <w:color w:val="000000"/>
          <w:sz w:val="24"/>
          <w:szCs w:val="24"/>
        </w:rPr>
        <w:t>67; 3</w:t>
      </w:r>
      <w:r w:rsidRPr="0043334E">
        <w:rPr>
          <w:rFonts w:ascii="Times New Roman" w:eastAsiaTheme="majorEastAsia" w:hAnsi="Times New Roman" w:cs="Times New Roman"/>
          <w:color w:val="000000"/>
          <w:sz w:val="24"/>
          <w:szCs w:val="24"/>
        </w:rPr>
        <w:t>·</w:t>
      </w:r>
      <w:r w:rsidRPr="00D653EE">
        <w:rPr>
          <w:rFonts w:ascii="Times New Roman" w:eastAsiaTheme="majorEastAsia" w:hAnsi="Times New Roman" w:cs="Times New Roman"/>
          <w:bCs/>
          <w:color w:val="000000"/>
          <w:sz w:val="24"/>
          <w:szCs w:val="24"/>
        </w:rPr>
        <w:t>04]), with a LS mean difference of -19</w:t>
      </w:r>
      <w:r w:rsidRPr="0043334E">
        <w:rPr>
          <w:rFonts w:ascii="Times New Roman" w:eastAsiaTheme="majorEastAsia" w:hAnsi="Times New Roman" w:cs="Times New Roman"/>
          <w:color w:val="000000"/>
          <w:sz w:val="24"/>
          <w:szCs w:val="24"/>
        </w:rPr>
        <w:t>·</w:t>
      </w:r>
      <w:r w:rsidRPr="00D653EE">
        <w:rPr>
          <w:rFonts w:ascii="Times New Roman" w:eastAsiaTheme="majorEastAsia" w:hAnsi="Times New Roman" w:cs="Times New Roman"/>
          <w:bCs/>
          <w:color w:val="000000"/>
          <w:sz w:val="24"/>
          <w:szCs w:val="24"/>
        </w:rPr>
        <w:t>75 (95% CI: -27</w:t>
      </w:r>
      <w:r w:rsidRPr="0043334E">
        <w:rPr>
          <w:rFonts w:ascii="Times New Roman" w:eastAsiaTheme="majorEastAsia" w:hAnsi="Times New Roman" w:cs="Times New Roman"/>
          <w:color w:val="000000"/>
          <w:sz w:val="24"/>
          <w:szCs w:val="24"/>
        </w:rPr>
        <w:t>·</w:t>
      </w:r>
      <w:r w:rsidRPr="00D653EE">
        <w:rPr>
          <w:rFonts w:ascii="Times New Roman" w:eastAsiaTheme="majorEastAsia" w:hAnsi="Times New Roman" w:cs="Times New Roman"/>
          <w:bCs/>
          <w:color w:val="000000"/>
          <w:sz w:val="24"/>
          <w:szCs w:val="24"/>
        </w:rPr>
        <w:t>00; -12</w:t>
      </w:r>
      <w:r w:rsidRPr="0043334E">
        <w:rPr>
          <w:rFonts w:ascii="Times New Roman" w:eastAsiaTheme="majorEastAsia" w:hAnsi="Times New Roman" w:cs="Times New Roman"/>
          <w:color w:val="000000"/>
          <w:sz w:val="24"/>
          <w:szCs w:val="24"/>
        </w:rPr>
        <w:t>·</w:t>
      </w:r>
      <w:r w:rsidRPr="00D653EE">
        <w:rPr>
          <w:rFonts w:ascii="Times New Roman" w:eastAsiaTheme="majorEastAsia" w:hAnsi="Times New Roman" w:cs="Times New Roman"/>
          <w:bCs/>
          <w:color w:val="000000"/>
          <w:sz w:val="24"/>
          <w:szCs w:val="24"/>
        </w:rPr>
        <w:t>50; P&lt;0</w:t>
      </w:r>
      <w:r w:rsidRPr="0043334E">
        <w:rPr>
          <w:rFonts w:ascii="Times New Roman" w:eastAsiaTheme="majorEastAsia" w:hAnsi="Times New Roman" w:cs="Times New Roman"/>
          <w:color w:val="000000"/>
          <w:sz w:val="24"/>
          <w:szCs w:val="24"/>
        </w:rPr>
        <w:t>·</w:t>
      </w:r>
      <w:r w:rsidRPr="00D653EE">
        <w:rPr>
          <w:rFonts w:ascii="Times New Roman" w:eastAsiaTheme="majorEastAsia" w:hAnsi="Times New Roman" w:cs="Times New Roman"/>
          <w:bCs/>
          <w:color w:val="000000"/>
          <w:sz w:val="24"/>
          <w:szCs w:val="24"/>
        </w:rPr>
        <w:t xml:space="preserve">001). For the Haem-A-QoL transformed total score, there was a statistically significant improvement in the </w:t>
      </w:r>
      <w:proofErr w:type="spellStart"/>
      <w:r w:rsidRPr="00D653EE">
        <w:rPr>
          <w:rFonts w:ascii="Times New Roman" w:eastAsiaTheme="majorEastAsia" w:hAnsi="Times New Roman" w:cs="Times New Roman"/>
          <w:bCs/>
          <w:color w:val="000000"/>
          <w:sz w:val="24"/>
          <w:szCs w:val="24"/>
        </w:rPr>
        <w:t>fitusiran</w:t>
      </w:r>
      <w:proofErr w:type="spellEnd"/>
      <w:r w:rsidRPr="00D653EE">
        <w:rPr>
          <w:rFonts w:ascii="Times New Roman" w:eastAsiaTheme="majorEastAsia" w:hAnsi="Times New Roman" w:cs="Times New Roman"/>
          <w:bCs/>
          <w:color w:val="000000"/>
          <w:sz w:val="24"/>
          <w:szCs w:val="24"/>
        </w:rPr>
        <w:t xml:space="preserve"> group (-9</w:t>
      </w:r>
      <w:r w:rsidRPr="0043334E">
        <w:rPr>
          <w:rFonts w:ascii="Times New Roman" w:eastAsiaTheme="majorEastAsia" w:hAnsi="Times New Roman" w:cs="Times New Roman"/>
          <w:color w:val="000000"/>
          <w:sz w:val="24"/>
          <w:szCs w:val="24"/>
        </w:rPr>
        <w:t>·</w:t>
      </w:r>
      <w:r w:rsidRPr="00D653EE">
        <w:rPr>
          <w:rFonts w:ascii="Times New Roman" w:eastAsiaTheme="majorEastAsia" w:hAnsi="Times New Roman" w:cs="Times New Roman"/>
          <w:bCs/>
          <w:color w:val="000000"/>
          <w:sz w:val="24"/>
          <w:szCs w:val="24"/>
        </w:rPr>
        <w:t>68 [95% CI: -12</w:t>
      </w:r>
      <w:r w:rsidRPr="0043334E">
        <w:rPr>
          <w:rFonts w:ascii="Times New Roman" w:eastAsiaTheme="majorEastAsia" w:hAnsi="Times New Roman" w:cs="Times New Roman"/>
          <w:color w:val="000000"/>
          <w:sz w:val="24"/>
          <w:szCs w:val="24"/>
        </w:rPr>
        <w:t>·</w:t>
      </w:r>
      <w:r w:rsidRPr="00D653EE">
        <w:rPr>
          <w:rFonts w:ascii="Times New Roman" w:eastAsiaTheme="majorEastAsia" w:hAnsi="Times New Roman" w:cs="Times New Roman"/>
          <w:bCs/>
          <w:color w:val="000000"/>
          <w:sz w:val="24"/>
          <w:szCs w:val="24"/>
        </w:rPr>
        <w:t>51; -6</w:t>
      </w:r>
      <w:r w:rsidRPr="0043334E">
        <w:rPr>
          <w:rFonts w:ascii="Times New Roman" w:eastAsiaTheme="majorEastAsia" w:hAnsi="Times New Roman" w:cs="Times New Roman"/>
          <w:color w:val="000000"/>
          <w:sz w:val="24"/>
          <w:szCs w:val="24"/>
        </w:rPr>
        <w:t>·</w:t>
      </w:r>
      <w:r w:rsidRPr="00D653EE">
        <w:rPr>
          <w:rFonts w:ascii="Times New Roman" w:eastAsiaTheme="majorEastAsia" w:hAnsi="Times New Roman" w:cs="Times New Roman"/>
          <w:bCs/>
          <w:color w:val="000000"/>
          <w:sz w:val="24"/>
          <w:szCs w:val="24"/>
        </w:rPr>
        <w:t>86]) versus the on-demand CFC group (-2</w:t>
      </w:r>
      <w:r w:rsidRPr="0043334E">
        <w:rPr>
          <w:rFonts w:ascii="Times New Roman" w:eastAsiaTheme="majorEastAsia" w:hAnsi="Times New Roman" w:cs="Times New Roman"/>
          <w:color w:val="000000"/>
          <w:sz w:val="24"/>
          <w:szCs w:val="24"/>
        </w:rPr>
        <w:t>·</w:t>
      </w:r>
      <w:r w:rsidRPr="00D653EE">
        <w:rPr>
          <w:rFonts w:ascii="Times New Roman" w:eastAsiaTheme="majorEastAsia" w:hAnsi="Times New Roman" w:cs="Times New Roman"/>
          <w:bCs/>
          <w:color w:val="000000"/>
          <w:sz w:val="24"/>
          <w:szCs w:val="24"/>
        </w:rPr>
        <w:t>62 [95% CI: -6</w:t>
      </w:r>
      <w:r w:rsidRPr="0043334E">
        <w:rPr>
          <w:rFonts w:ascii="Times New Roman" w:eastAsiaTheme="majorEastAsia" w:hAnsi="Times New Roman" w:cs="Times New Roman"/>
          <w:color w:val="000000"/>
          <w:sz w:val="24"/>
          <w:szCs w:val="24"/>
        </w:rPr>
        <w:t>·</w:t>
      </w:r>
      <w:r w:rsidRPr="00D653EE">
        <w:rPr>
          <w:rFonts w:ascii="Times New Roman" w:eastAsiaTheme="majorEastAsia" w:hAnsi="Times New Roman" w:cs="Times New Roman"/>
          <w:bCs/>
          <w:color w:val="000000"/>
          <w:sz w:val="24"/>
          <w:szCs w:val="24"/>
        </w:rPr>
        <w:t>27; 1</w:t>
      </w:r>
      <w:r w:rsidRPr="0043334E">
        <w:rPr>
          <w:rFonts w:ascii="Times New Roman" w:eastAsiaTheme="majorEastAsia" w:hAnsi="Times New Roman" w:cs="Times New Roman"/>
          <w:color w:val="000000"/>
          <w:sz w:val="24"/>
          <w:szCs w:val="24"/>
        </w:rPr>
        <w:t>·</w:t>
      </w:r>
      <w:r w:rsidRPr="00D653EE">
        <w:rPr>
          <w:rFonts w:ascii="Times New Roman" w:eastAsiaTheme="majorEastAsia" w:hAnsi="Times New Roman" w:cs="Times New Roman"/>
          <w:bCs/>
          <w:color w:val="000000"/>
          <w:sz w:val="24"/>
          <w:szCs w:val="24"/>
        </w:rPr>
        <w:t>03]), with an LS mean difference of -7</w:t>
      </w:r>
      <w:r w:rsidRPr="0043334E">
        <w:rPr>
          <w:rFonts w:ascii="Times New Roman" w:eastAsiaTheme="majorEastAsia" w:hAnsi="Times New Roman" w:cs="Times New Roman"/>
          <w:color w:val="000000"/>
          <w:sz w:val="24"/>
          <w:szCs w:val="24"/>
        </w:rPr>
        <w:t>·</w:t>
      </w:r>
      <w:r w:rsidRPr="00D653EE">
        <w:rPr>
          <w:rFonts w:ascii="Times New Roman" w:eastAsiaTheme="majorEastAsia" w:hAnsi="Times New Roman" w:cs="Times New Roman"/>
          <w:bCs/>
          <w:color w:val="000000"/>
          <w:sz w:val="24"/>
          <w:szCs w:val="24"/>
        </w:rPr>
        <w:t>07 (95% CI: - 11</w:t>
      </w:r>
      <w:r w:rsidRPr="0043334E">
        <w:rPr>
          <w:rFonts w:ascii="Times New Roman" w:eastAsiaTheme="majorEastAsia" w:hAnsi="Times New Roman" w:cs="Times New Roman"/>
          <w:color w:val="000000"/>
          <w:sz w:val="24"/>
          <w:szCs w:val="24"/>
        </w:rPr>
        <w:t>·</w:t>
      </w:r>
      <w:r w:rsidRPr="00D653EE">
        <w:rPr>
          <w:rFonts w:ascii="Times New Roman" w:eastAsiaTheme="majorEastAsia" w:hAnsi="Times New Roman" w:cs="Times New Roman"/>
          <w:bCs/>
          <w:color w:val="000000"/>
          <w:sz w:val="24"/>
          <w:szCs w:val="24"/>
        </w:rPr>
        <w:t>23; -2</w:t>
      </w:r>
      <w:r w:rsidRPr="0043334E">
        <w:rPr>
          <w:rFonts w:ascii="Times New Roman" w:eastAsiaTheme="majorEastAsia" w:hAnsi="Times New Roman" w:cs="Times New Roman"/>
          <w:color w:val="000000"/>
          <w:sz w:val="24"/>
          <w:szCs w:val="24"/>
        </w:rPr>
        <w:t>·</w:t>
      </w:r>
      <w:r w:rsidRPr="00D653EE">
        <w:rPr>
          <w:rFonts w:ascii="Times New Roman" w:eastAsiaTheme="majorEastAsia" w:hAnsi="Times New Roman" w:cs="Times New Roman"/>
          <w:bCs/>
          <w:color w:val="000000"/>
          <w:sz w:val="24"/>
          <w:szCs w:val="24"/>
        </w:rPr>
        <w:t>90; P=0</w:t>
      </w:r>
      <w:r w:rsidRPr="0043334E">
        <w:rPr>
          <w:rFonts w:ascii="Times New Roman" w:eastAsiaTheme="majorEastAsia" w:hAnsi="Times New Roman" w:cs="Times New Roman"/>
          <w:color w:val="000000"/>
          <w:sz w:val="24"/>
          <w:szCs w:val="24"/>
        </w:rPr>
        <w:t>·</w:t>
      </w:r>
      <w:r w:rsidRPr="00D653EE">
        <w:rPr>
          <w:rFonts w:ascii="Times New Roman" w:eastAsiaTheme="majorEastAsia" w:hAnsi="Times New Roman" w:cs="Times New Roman"/>
          <w:bCs/>
          <w:color w:val="000000"/>
          <w:sz w:val="24"/>
          <w:szCs w:val="24"/>
        </w:rPr>
        <w:t xml:space="preserve">001) </w:t>
      </w:r>
      <w:r w:rsidRPr="003C413F">
        <w:rPr>
          <w:rFonts w:ascii="Times New Roman" w:eastAsiaTheme="majorEastAsia" w:hAnsi="Times New Roman" w:cs="Times New Roman"/>
          <w:bCs/>
          <w:color w:val="000000"/>
          <w:sz w:val="24"/>
          <w:szCs w:val="24"/>
        </w:rPr>
        <w:t>(figure S</w:t>
      </w:r>
      <w:r>
        <w:rPr>
          <w:rFonts w:ascii="Times New Roman" w:eastAsiaTheme="majorEastAsia" w:hAnsi="Times New Roman" w:cs="Times New Roman"/>
          <w:bCs/>
          <w:color w:val="000000"/>
          <w:sz w:val="24"/>
          <w:szCs w:val="24"/>
        </w:rPr>
        <w:t>3</w:t>
      </w:r>
      <w:r w:rsidRPr="003C413F">
        <w:rPr>
          <w:rFonts w:ascii="Times New Roman" w:eastAsiaTheme="majorEastAsia" w:hAnsi="Times New Roman" w:cs="Times New Roman"/>
          <w:bCs/>
          <w:color w:val="000000"/>
          <w:sz w:val="24"/>
          <w:szCs w:val="24"/>
        </w:rPr>
        <w:t>)</w:t>
      </w:r>
      <w:r w:rsidRPr="00D653EE">
        <w:rPr>
          <w:rFonts w:ascii="Times New Roman" w:eastAsiaTheme="majorEastAsia" w:hAnsi="Times New Roman" w:cs="Times New Roman"/>
          <w:bCs/>
          <w:color w:val="000000"/>
          <w:sz w:val="24"/>
          <w:szCs w:val="24"/>
        </w:rPr>
        <w:t>.</w:t>
      </w:r>
    </w:p>
    <w:p w14:paraId="6A031ACC" w14:textId="7193D163" w:rsidR="00DD7F18" w:rsidRPr="00D653EE" w:rsidRDefault="00DD7F18" w:rsidP="008B3DDE">
      <w:pPr>
        <w:spacing w:line="360" w:lineRule="auto"/>
        <w:rPr>
          <w:rFonts w:ascii="Times New Roman" w:eastAsia="MS Gothic" w:hAnsi="Times New Roman" w:cs="Times New Roman"/>
          <w:bCs/>
          <w:sz w:val="24"/>
          <w:szCs w:val="24"/>
        </w:rPr>
      </w:pPr>
      <w:r w:rsidRPr="003C413F">
        <w:rPr>
          <w:rFonts w:ascii="Times New Roman" w:eastAsia="MS Gothic" w:hAnsi="Times New Roman" w:cs="Times New Roman"/>
          <w:bCs/>
          <w:sz w:val="24"/>
          <w:szCs w:val="24"/>
        </w:rPr>
        <w:t>Overall, 62 (7</w:t>
      </w:r>
      <w:r w:rsidR="00A84DB7">
        <w:rPr>
          <w:rFonts w:ascii="Times New Roman" w:eastAsia="MS Gothic" w:hAnsi="Times New Roman" w:cs="Times New Roman"/>
          <w:bCs/>
          <w:sz w:val="24"/>
          <w:szCs w:val="24"/>
        </w:rPr>
        <w:t>9</w:t>
      </w:r>
      <w:r w:rsidRPr="003C413F">
        <w:rPr>
          <w:rFonts w:ascii="Times New Roman" w:eastAsia="MS Gothic" w:hAnsi="Times New Roman" w:cs="Times New Roman"/>
          <w:bCs/>
          <w:sz w:val="24"/>
          <w:szCs w:val="24"/>
        </w:rPr>
        <w:t xml:space="preserve">%) participants in the </w:t>
      </w:r>
      <w:proofErr w:type="spellStart"/>
      <w:r w:rsidRPr="003C413F">
        <w:rPr>
          <w:rFonts w:ascii="Times New Roman" w:eastAsia="MS Gothic" w:hAnsi="Times New Roman" w:cs="Times New Roman"/>
          <w:bCs/>
          <w:sz w:val="24"/>
          <w:szCs w:val="24"/>
        </w:rPr>
        <w:t>fitusiran</w:t>
      </w:r>
      <w:proofErr w:type="spellEnd"/>
      <w:r w:rsidRPr="003C413F">
        <w:rPr>
          <w:rFonts w:ascii="Times New Roman" w:eastAsia="MS Gothic" w:hAnsi="Times New Roman" w:cs="Times New Roman"/>
          <w:bCs/>
          <w:sz w:val="24"/>
          <w:szCs w:val="24"/>
        </w:rPr>
        <w:t xml:space="preserve"> group and 18 (45%) participants in the on-demand CFC group experienced ≥1 TEAE. The most common TEAEs in the </w:t>
      </w:r>
      <w:proofErr w:type="spellStart"/>
      <w:r w:rsidRPr="003C413F">
        <w:rPr>
          <w:rFonts w:ascii="Times New Roman" w:eastAsia="MS Gothic" w:hAnsi="Times New Roman" w:cs="Times New Roman"/>
          <w:bCs/>
          <w:sz w:val="24"/>
          <w:szCs w:val="24"/>
        </w:rPr>
        <w:t>fitusiran</w:t>
      </w:r>
      <w:proofErr w:type="spellEnd"/>
      <w:r w:rsidRPr="003C413F">
        <w:rPr>
          <w:rFonts w:ascii="Times New Roman" w:eastAsia="MS Gothic" w:hAnsi="Times New Roman" w:cs="Times New Roman"/>
          <w:bCs/>
          <w:sz w:val="24"/>
          <w:szCs w:val="24"/>
        </w:rPr>
        <w:t xml:space="preserve"> group are reported in Table 2</w:t>
      </w:r>
      <w:r w:rsidRPr="00023629">
        <w:rPr>
          <w:rFonts w:ascii="Times New Roman" w:eastAsia="MS Gothic" w:hAnsi="Times New Roman" w:cs="Times New Roman"/>
          <w:bCs/>
          <w:sz w:val="24"/>
          <w:szCs w:val="24"/>
        </w:rPr>
        <w:t>.</w:t>
      </w:r>
      <w:r w:rsidRPr="003C413F">
        <w:rPr>
          <w:rFonts w:ascii="Times New Roman" w:eastAsia="MS Gothic" w:hAnsi="Times New Roman" w:cs="Times New Roman"/>
          <w:bCs/>
          <w:sz w:val="24"/>
          <w:szCs w:val="24"/>
        </w:rPr>
        <w:t xml:space="preserve"> TESAEs were reported in five (6%) participants in the </w:t>
      </w:r>
      <w:proofErr w:type="spellStart"/>
      <w:r w:rsidRPr="003C413F">
        <w:rPr>
          <w:rFonts w:ascii="Times New Roman" w:eastAsia="MS Gothic" w:hAnsi="Times New Roman" w:cs="Times New Roman"/>
          <w:bCs/>
          <w:sz w:val="24"/>
          <w:szCs w:val="24"/>
        </w:rPr>
        <w:t>fitusiran</w:t>
      </w:r>
      <w:proofErr w:type="spellEnd"/>
      <w:r w:rsidRPr="003C413F">
        <w:rPr>
          <w:rFonts w:ascii="Times New Roman" w:eastAsia="MS Gothic" w:hAnsi="Times New Roman" w:cs="Times New Roman"/>
          <w:bCs/>
          <w:sz w:val="24"/>
          <w:szCs w:val="24"/>
        </w:rPr>
        <w:t xml:space="preserve"> group and five (1</w:t>
      </w:r>
      <w:r w:rsidR="00A84DB7">
        <w:rPr>
          <w:rFonts w:ascii="Times New Roman" w:eastAsia="MS Gothic" w:hAnsi="Times New Roman" w:cs="Times New Roman"/>
          <w:bCs/>
          <w:sz w:val="24"/>
          <w:szCs w:val="24"/>
        </w:rPr>
        <w:t>3</w:t>
      </w:r>
      <w:r w:rsidRPr="003C413F">
        <w:rPr>
          <w:rFonts w:ascii="Times New Roman" w:eastAsia="MS Gothic" w:hAnsi="Times New Roman" w:cs="Times New Roman"/>
          <w:bCs/>
          <w:sz w:val="24"/>
          <w:szCs w:val="24"/>
        </w:rPr>
        <w:t xml:space="preserve">%) participants in the on-demand CFC group. In the </w:t>
      </w:r>
      <w:proofErr w:type="spellStart"/>
      <w:r w:rsidRPr="003C413F">
        <w:rPr>
          <w:rFonts w:ascii="Times New Roman" w:eastAsia="MS Gothic" w:hAnsi="Times New Roman" w:cs="Times New Roman"/>
          <w:bCs/>
          <w:sz w:val="24"/>
          <w:szCs w:val="24"/>
        </w:rPr>
        <w:t>fitusiran</w:t>
      </w:r>
      <w:proofErr w:type="spellEnd"/>
      <w:r w:rsidRPr="003C413F">
        <w:rPr>
          <w:rFonts w:ascii="Times New Roman" w:eastAsia="MS Gothic" w:hAnsi="Times New Roman" w:cs="Times New Roman"/>
          <w:bCs/>
          <w:sz w:val="24"/>
          <w:szCs w:val="24"/>
        </w:rPr>
        <w:t xml:space="preserve"> group, 2 (</w:t>
      </w:r>
      <w:r w:rsidR="00A84DB7">
        <w:rPr>
          <w:rFonts w:ascii="Times New Roman" w:eastAsia="MS Gothic" w:hAnsi="Times New Roman" w:cs="Times New Roman"/>
          <w:bCs/>
          <w:sz w:val="24"/>
          <w:szCs w:val="24"/>
        </w:rPr>
        <w:t>3</w:t>
      </w:r>
      <w:r w:rsidRPr="003C413F">
        <w:rPr>
          <w:rFonts w:ascii="Times New Roman" w:eastAsia="MS Gothic" w:hAnsi="Times New Roman" w:cs="Times New Roman"/>
          <w:bCs/>
          <w:sz w:val="24"/>
          <w:szCs w:val="24"/>
        </w:rPr>
        <w:t>%) participants experienced a TEAE that resulted in treatment discontinuation (cholecystitis and increased ALT; one participant each). In the on-demand CFC group, one (</w:t>
      </w:r>
      <w:r w:rsidR="00A84DB7">
        <w:rPr>
          <w:rFonts w:ascii="Times New Roman" w:eastAsia="MS Gothic" w:hAnsi="Times New Roman" w:cs="Times New Roman"/>
          <w:bCs/>
          <w:sz w:val="24"/>
          <w:szCs w:val="24"/>
        </w:rPr>
        <w:t>3</w:t>
      </w:r>
      <w:r w:rsidRPr="003C413F">
        <w:rPr>
          <w:rFonts w:ascii="Times New Roman" w:eastAsia="MS Gothic" w:hAnsi="Times New Roman" w:cs="Times New Roman"/>
          <w:bCs/>
          <w:sz w:val="24"/>
          <w:szCs w:val="24"/>
        </w:rPr>
        <w:t>%) participant experienced a TEAE that resulted in trial withdrawal (suicidal ideation). There were no TEAEs leading to death (</w:t>
      </w:r>
      <w:r>
        <w:rPr>
          <w:rFonts w:ascii="Times New Roman" w:eastAsia="MS Gothic" w:hAnsi="Times New Roman" w:cs="Times New Roman"/>
          <w:bCs/>
          <w:sz w:val="24"/>
          <w:szCs w:val="24"/>
        </w:rPr>
        <w:t>t</w:t>
      </w:r>
      <w:r w:rsidRPr="003C413F">
        <w:rPr>
          <w:rFonts w:ascii="Times New Roman" w:eastAsia="MS Gothic" w:hAnsi="Times New Roman" w:cs="Times New Roman"/>
          <w:bCs/>
          <w:sz w:val="24"/>
          <w:szCs w:val="24"/>
        </w:rPr>
        <w:t>able 2).</w:t>
      </w:r>
    </w:p>
    <w:p w14:paraId="1427FFF9" w14:textId="1C787269" w:rsidR="00DD7F18" w:rsidRDefault="00DD7F18" w:rsidP="008B3DDE">
      <w:pPr>
        <w:spacing w:line="360" w:lineRule="auto"/>
        <w:rPr>
          <w:rFonts w:ascii="Times New Roman" w:eastAsia="MS Gothic" w:hAnsi="Times New Roman" w:cs="Times New Roman"/>
          <w:bCs/>
          <w:sz w:val="24"/>
          <w:szCs w:val="24"/>
        </w:rPr>
      </w:pPr>
      <w:r w:rsidRPr="003C413F">
        <w:rPr>
          <w:rFonts w:ascii="Times New Roman" w:eastAsia="MS Gothic" w:hAnsi="Times New Roman" w:cs="Times New Roman"/>
          <w:bCs/>
          <w:sz w:val="24"/>
          <w:szCs w:val="24"/>
        </w:rPr>
        <w:t xml:space="preserve">In the </w:t>
      </w:r>
      <w:proofErr w:type="spellStart"/>
      <w:r w:rsidRPr="003C413F">
        <w:rPr>
          <w:rFonts w:ascii="Times New Roman" w:eastAsia="MS Gothic" w:hAnsi="Times New Roman" w:cs="Times New Roman"/>
          <w:bCs/>
          <w:sz w:val="24"/>
          <w:szCs w:val="24"/>
        </w:rPr>
        <w:t>fitusiran</w:t>
      </w:r>
      <w:proofErr w:type="spellEnd"/>
      <w:r w:rsidRPr="003C413F">
        <w:rPr>
          <w:rFonts w:ascii="Times New Roman" w:eastAsia="MS Gothic" w:hAnsi="Times New Roman" w:cs="Times New Roman"/>
          <w:bCs/>
          <w:sz w:val="24"/>
          <w:szCs w:val="24"/>
        </w:rPr>
        <w:t xml:space="preserve"> group, TEAESIs of ‘any ALT or AST elevations &gt;3× ULN’ were reported in 15 (19%) participants. </w:t>
      </w:r>
      <w:r>
        <w:rPr>
          <w:rFonts w:ascii="Times New Roman" w:eastAsia="MS Gothic" w:hAnsi="Times New Roman" w:cs="Times New Roman"/>
          <w:bCs/>
          <w:sz w:val="24"/>
          <w:szCs w:val="24"/>
        </w:rPr>
        <w:t xml:space="preserve">All were classified by the investigator as non-serious and mild-to-moderate in severity. Initial events resulted in interruption or withdrawal of </w:t>
      </w:r>
      <w:proofErr w:type="spellStart"/>
      <w:r>
        <w:rPr>
          <w:rFonts w:ascii="Times New Roman" w:eastAsia="MS Gothic" w:hAnsi="Times New Roman" w:cs="Times New Roman"/>
          <w:bCs/>
          <w:sz w:val="24"/>
          <w:szCs w:val="24"/>
        </w:rPr>
        <w:t>fitusiran</w:t>
      </w:r>
      <w:proofErr w:type="spellEnd"/>
      <w:r>
        <w:rPr>
          <w:rFonts w:ascii="Times New Roman" w:eastAsia="MS Gothic" w:hAnsi="Times New Roman" w:cs="Times New Roman"/>
          <w:bCs/>
          <w:sz w:val="24"/>
          <w:szCs w:val="24"/>
        </w:rPr>
        <w:t xml:space="preserve"> prophylaxis in five participants. In all five of these participants, the initial events were reported by the investigator as recovered or resolved; median time to event resolution was 57 days (minimum 15 days; maximum 243 days). In one of these participants, recurrent elevations &gt;3x ULN were reported and in two of these participants, initial events of ALT increased were ongoing while additional events of AST increased were reported</w:t>
      </w:r>
      <w:r w:rsidR="00F43BE6">
        <w:rPr>
          <w:rFonts w:ascii="Times New Roman" w:eastAsia="MS Gothic" w:hAnsi="Times New Roman" w:cs="Times New Roman"/>
          <w:bCs/>
          <w:sz w:val="24"/>
          <w:szCs w:val="24"/>
        </w:rPr>
        <w:t xml:space="preserve"> </w:t>
      </w:r>
      <w:r w:rsidR="001F2D5C">
        <w:rPr>
          <w:rFonts w:ascii="Times New Roman" w:eastAsia="MS Gothic" w:hAnsi="Times New Roman" w:cs="Times New Roman"/>
          <w:bCs/>
          <w:sz w:val="24"/>
          <w:szCs w:val="24"/>
        </w:rPr>
        <w:t xml:space="preserve">(see appendix </w:t>
      </w:r>
      <w:r w:rsidR="00C735DA">
        <w:rPr>
          <w:rFonts w:ascii="Times New Roman" w:eastAsia="MS Gothic" w:hAnsi="Times New Roman" w:cs="Times New Roman"/>
          <w:bCs/>
          <w:sz w:val="24"/>
          <w:szCs w:val="24"/>
        </w:rPr>
        <w:t xml:space="preserve">p </w:t>
      </w:r>
      <w:r w:rsidR="004633EC">
        <w:rPr>
          <w:rFonts w:ascii="Times New Roman" w:eastAsia="MS Gothic" w:hAnsi="Times New Roman" w:cs="Times New Roman"/>
          <w:bCs/>
          <w:sz w:val="24"/>
          <w:szCs w:val="24"/>
        </w:rPr>
        <w:t>9</w:t>
      </w:r>
      <w:r w:rsidR="00C735DA">
        <w:rPr>
          <w:rFonts w:ascii="Times New Roman" w:eastAsia="MS Gothic" w:hAnsi="Times New Roman" w:cs="Times New Roman"/>
          <w:bCs/>
          <w:sz w:val="24"/>
          <w:szCs w:val="24"/>
        </w:rPr>
        <w:t xml:space="preserve"> </w:t>
      </w:r>
      <w:r w:rsidR="001F2D5C">
        <w:rPr>
          <w:rFonts w:ascii="Times New Roman" w:eastAsia="MS Gothic" w:hAnsi="Times New Roman" w:cs="Times New Roman"/>
          <w:bCs/>
          <w:sz w:val="24"/>
          <w:szCs w:val="24"/>
        </w:rPr>
        <w:t>for further details)</w:t>
      </w:r>
      <w:r>
        <w:rPr>
          <w:rFonts w:ascii="Times New Roman" w:eastAsia="MS Gothic" w:hAnsi="Times New Roman" w:cs="Times New Roman"/>
          <w:bCs/>
          <w:sz w:val="24"/>
          <w:szCs w:val="24"/>
        </w:rPr>
        <w:t xml:space="preserve">. </w:t>
      </w:r>
    </w:p>
    <w:p w14:paraId="5D93A13D" w14:textId="53C9E90E" w:rsidR="00DD7F18" w:rsidRPr="003C413F" w:rsidRDefault="00DD7F18" w:rsidP="008B3DDE">
      <w:pPr>
        <w:spacing w:line="360" w:lineRule="auto"/>
        <w:rPr>
          <w:rFonts w:ascii="Times New Roman" w:eastAsia="MS Gothic" w:hAnsi="Times New Roman" w:cs="Times New Roman"/>
          <w:bCs/>
          <w:sz w:val="24"/>
          <w:szCs w:val="24"/>
        </w:rPr>
      </w:pPr>
      <w:r>
        <w:rPr>
          <w:rFonts w:ascii="Times New Roman" w:eastAsia="MS Gothic" w:hAnsi="Times New Roman" w:cs="Times New Roman"/>
          <w:bCs/>
          <w:sz w:val="24"/>
          <w:szCs w:val="24"/>
        </w:rPr>
        <w:t xml:space="preserve">Of the ten participants who continued on </w:t>
      </w:r>
      <w:proofErr w:type="spellStart"/>
      <w:r>
        <w:rPr>
          <w:rFonts w:ascii="Times New Roman" w:eastAsia="MS Gothic" w:hAnsi="Times New Roman" w:cs="Times New Roman"/>
          <w:bCs/>
          <w:sz w:val="24"/>
          <w:szCs w:val="24"/>
        </w:rPr>
        <w:t>fitusiran</w:t>
      </w:r>
      <w:proofErr w:type="spellEnd"/>
      <w:r>
        <w:rPr>
          <w:rFonts w:ascii="Times New Roman" w:eastAsia="MS Gothic" w:hAnsi="Times New Roman" w:cs="Times New Roman"/>
          <w:bCs/>
          <w:sz w:val="24"/>
          <w:szCs w:val="24"/>
        </w:rPr>
        <w:t xml:space="preserve"> prophylaxis, initial TEAESIs of ‘any ALT or AST elevations &gt;3x ULN’ were reported by the investigator as recovered or resolved in nine participants; median time to event resolution was 106 days (minimum 13 days; maximum 262 days</w:t>
      </w:r>
      <w:r w:rsidR="001F2D5C">
        <w:rPr>
          <w:rFonts w:ascii="Times New Roman" w:eastAsia="MS Gothic" w:hAnsi="Times New Roman" w:cs="Times New Roman"/>
          <w:bCs/>
          <w:sz w:val="24"/>
          <w:szCs w:val="24"/>
        </w:rPr>
        <w:t xml:space="preserve">; see appendix </w:t>
      </w:r>
      <w:r w:rsidR="00C735DA">
        <w:rPr>
          <w:rFonts w:ascii="Times New Roman" w:eastAsia="MS Gothic" w:hAnsi="Times New Roman" w:cs="Times New Roman"/>
          <w:bCs/>
          <w:sz w:val="24"/>
          <w:szCs w:val="24"/>
        </w:rPr>
        <w:t xml:space="preserve">p </w:t>
      </w:r>
      <w:r w:rsidR="004633EC">
        <w:rPr>
          <w:rFonts w:ascii="Times New Roman" w:eastAsia="MS Gothic" w:hAnsi="Times New Roman" w:cs="Times New Roman"/>
          <w:bCs/>
          <w:sz w:val="24"/>
          <w:szCs w:val="24"/>
        </w:rPr>
        <w:t>9</w:t>
      </w:r>
      <w:r w:rsidR="00C735DA">
        <w:rPr>
          <w:rFonts w:ascii="Times New Roman" w:eastAsia="MS Gothic" w:hAnsi="Times New Roman" w:cs="Times New Roman"/>
          <w:bCs/>
          <w:sz w:val="24"/>
          <w:szCs w:val="24"/>
        </w:rPr>
        <w:t xml:space="preserve"> </w:t>
      </w:r>
      <w:r w:rsidR="001F2D5C">
        <w:rPr>
          <w:rFonts w:ascii="Times New Roman" w:eastAsia="MS Gothic" w:hAnsi="Times New Roman" w:cs="Times New Roman"/>
          <w:bCs/>
          <w:sz w:val="24"/>
          <w:szCs w:val="24"/>
        </w:rPr>
        <w:t>for further details</w:t>
      </w:r>
      <w:r>
        <w:rPr>
          <w:rFonts w:ascii="Times New Roman" w:eastAsia="MS Gothic" w:hAnsi="Times New Roman" w:cs="Times New Roman"/>
          <w:bCs/>
          <w:sz w:val="24"/>
          <w:szCs w:val="24"/>
        </w:rPr>
        <w:t xml:space="preserve">). Recurrent elevations &gt;3x ULN were reported in one of these participants. Laboratory abnormalities consistent with Hy’s </w:t>
      </w:r>
      <w:r>
        <w:rPr>
          <w:rFonts w:ascii="Times New Roman" w:eastAsia="MS Gothic" w:hAnsi="Times New Roman" w:cs="Times New Roman"/>
          <w:bCs/>
          <w:sz w:val="24"/>
          <w:szCs w:val="24"/>
        </w:rPr>
        <w:lastRenderedPageBreak/>
        <w:t>Law were not identified</w:t>
      </w:r>
      <w:r w:rsidR="00F43BE6">
        <w:rPr>
          <w:rFonts w:ascii="Times New Roman" w:eastAsia="MS Gothic" w:hAnsi="Times New Roman" w:cs="Times New Roman"/>
          <w:bCs/>
          <w:sz w:val="24"/>
          <w:szCs w:val="24"/>
        </w:rPr>
        <w:t>;</w:t>
      </w:r>
      <w:r w:rsidR="00F43BE6" w:rsidRPr="00F43BE6">
        <w:t xml:space="preserve"> </w:t>
      </w:r>
      <w:r w:rsidR="00F43BE6" w:rsidRPr="00F43BE6">
        <w:rPr>
          <w:rFonts w:ascii="Times New Roman" w:eastAsia="MS Gothic" w:hAnsi="Times New Roman" w:cs="Times New Roman"/>
          <w:bCs/>
          <w:sz w:val="24"/>
          <w:szCs w:val="24"/>
        </w:rPr>
        <w:t>there were no participants in the study with ALT or AST &gt;3x ULN and total bilirubin &gt;2x UL</w:t>
      </w:r>
      <w:r w:rsidR="00F43BE6">
        <w:rPr>
          <w:rFonts w:ascii="Times New Roman" w:eastAsia="MS Gothic" w:hAnsi="Times New Roman" w:cs="Times New Roman"/>
          <w:bCs/>
          <w:sz w:val="24"/>
          <w:szCs w:val="24"/>
        </w:rPr>
        <w:t>N</w:t>
      </w:r>
      <w:r>
        <w:rPr>
          <w:rFonts w:ascii="Times New Roman" w:eastAsia="MS Gothic" w:hAnsi="Times New Roman" w:cs="Times New Roman"/>
          <w:bCs/>
          <w:sz w:val="24"/>
          <w:szCs w:val="24"/>
        </w:rPr>
        <w:t>. One (</w:t>
      </w:r>
      <w:r w:rsidR="00A84DB7">
        <w:rPr>
          <w:rFonts w:ascii="Times New Roman" w:eastAsia="MS Gothic" w:hAnsi="Times New Roman" w:cs="Times New Roman"/>
          <w:bCs/>
          <w:sz w:val="24"/>
          <w:szCs w:val="24"/>
        </w:rPr>
        <w:t>3</w:t>
      </w:r>
      <w:r>
        <w:rPr>
          <w:rFonts w:ascii="Times New Roman" w:eastAsia="MS Gothic" w:hAnsi="Times New Roman" w:cs="Times New Roman"/>
          <w:bCs/>
          <w:sz w:val="24"/>
          <w:szCs w:val="24"/>
        </w:rPr>
        <w:t>%) participant in the CFC group experienced a TEAESI of ‘any ALT or AST elevations &gt;3x ULN.’</w:t>
      </w:r>
      <w:r w:rsidRPr="003C413F">
        <w:rPr>
          <w:rFonts w:ascii="Times New Roman" w:eastAsia="MS Gothic" w:hAnsi="Times New Roman" w:cs="Times New Roman"/>
          <w:bCs/>
          <w:sz w:val="24"/>
          <w:szCs w:val="24"/>
        </w:rPr>
        <w:t xml:space="preserve"> There were no TEAESIs of suspected or confirmed thromboembolism, severe or serious injection site reactions, or injection associated systemic reactions reported.</w:t>
      </w:r>
    </w:p>
    <w:p w14:paraId="039D7A54" w14:textId="03FE9FCC" w:rsidR="00DD7F18" w:rsidRPr="003C413F" w:rsidRDefault="00DD7F18">
      <w:pPr>
        <w:spacing w:line="360" w:lineRule="auto"/>
        <w:rPr>
          <w:rFonts w:ascii="Times New Roman" w:eastAsia="MS Gothic" w:hAnsi="Times New Roman" w:cs="Times New Roman"/>
          <w:bCs/>
          <w:sz w:val="24"/>
          <w:szCs w:val="24"/>
        </w:rPr>
      </w:pPr>
      <w:r w:rsidRPr="003C413F">
        <w:rPr>
          <w:rFonts w:ascii="Times New Roman" w:eastAsia="MS Gothic" w:hAnsi="Times New Roman" w:cs="Times New Roman"/>
          <w:bCs/>
          <w:sz w:val="24"/>
          <w:szCs w:val="24"/>
        </w:rPr>
        <w:t xml:space="preserve">Of the 79 participants exposed to </w:t>
      </w:r>
      <w:proofErr w:type="spellStart"/>
      <w:r w:rsidRPr="003C413F">
        <w:rPr>
          <w:rFonts w:ascii="Times New Roman" w:eastAsia="MS Gothic" w:hAnsi="Times New Roman" w:cs="Times New Roman"/>
          <w:bCs/>
          <w:sz w:val="24"/>
          <w:szCs w:val="24"/>
        </w:rPr>
        <w:t>fitusiran</w:t>
      </w:r>
      <w:proofErr w:type="spellEnd"/>
      <w:r w:rsidRPr="003C413F">
        <w:rPr>
          <w:rFonts w:ascii="Times New Roman" w:eastAsia="MS Gothic" w:hAnsi="Times New Roman" w:cs="Times New Roman"/>
          <w:bCs/>
          <w:sz w:val="24"/>
          <w:szCs w:val="24"/>
        </w:rPr>
        <w:t>, five experienced TEAEs of cholecystitis and/or cholelithiasis. Of those five participants, cholecystitis and cholelithiasis were reported concomitantly in two participants, acalculous cholecystitis was reported in one participant, and cholelithiasis alone was reported in two participants. Events of cholecystitis and/or cholelithiasis were managed by cholecystectomy in two participants</w:t>
      </w:r>
      <w:r w:rsidR="009F2BBB">
        <w:rPr>
          <w:rFonts w:ascii="Times New Roman" w:eastAsia="MS Gothic" w:hAnsi="Times New Roman" w:cs="Times New Roman"/>
          <w:bCs/>
          <w:sz w:val="24"/>
          <w:szCs w:val="24"/>
        </w:rPr>
        <w:t xml:space="preserve"> (see appendix </w:t>
      </w:r>
      <w:r w:rsidR="00BB4ACC">
        <w:rPr>
          <w:rFonts w:ascii="Times New Roman" w:eastAsia="MS Gothic" w:hAnsi="Times New Roman" w:cs="Times New Roman"/>
          <w:bCs/>
          <w:sz w:val="24"/>
          <w:szCs w:val="24"/>
        </w:rPr>
        <w:t xml:space="preserve">p </w:t>
      </w:r>
      <w:r w:rsidR="004633EC">
        <w:rPr>
          <w:rFonts w:ascii="Times New Roman" w:eastAsia="MS Gothic" w:hAnsi="Times New Roman" w:cs="Times New Roman"/>
          <w:bCs/>
          <w:sz w:val="24"/>
          <w:szCs w:val="24"/>
        </w:rPr>
        <w:t xml:space="preserve">9 </w:t>
      </w:r>
      <w:r w:rsidR="009F2BBB">
        <w:rPr>
          <w:rFonts w:ascii="Times New Roman" w:eastAsia="MS Gothic" w:hAnsi="Times New Roman" w:cs="Times New Roman"/>
          <w:bCs/>
          <w:sz w:val="24"/>
          <w:szCs w:val="24"/>
        </w:rPr>
        <w:t xml:space="preserve">for further details). </w:t>
      </w:r>
      <w:r w:rsidRPr="003C413F">
        <w:rPr>
          <w:rFonts w:ascii="Times New Roman" w:eastAsia="MS Gothic" w:hAnsi="Times New Roman" w:cs="Times New Roman"/>
          <w:bCs/>
          <w:sz w:val="24"/>
          <w:szCs w:val="24"/>
        </w:rPr>
        <w:t xml:space="preserve">There were no events of cholecystitis or cholelithiasis in the on-demand CFC group. </w:t>
      </w:r>
    </w:p>
    <w:p w14:paraId="778BA531" w14:textId="6943E20A" w:rsidR="00BB4ACC" w:rsidRPr="00D653EE" w:rsidRDefault="00BB4ACC" w:rsidP="00BB4ACC">
      <w:pPr>
        <w:spacing w:line="360" w:lineRule="auto"/>
        <w:rPr>
          <w:rFonts w:ascii="Times New Roman" w:eastAsia="MS Gothic" w:hAnsi="Times New Roman" w:cs="Times New Roman"/>
          <w:bCs/>
          <w:sz w:val="24"/>
          <w:szCs w:val="24"/>
        </w:rPr>
      </w:pPr>
      <w:bookmarkStart w:id="29" w:name="_Hlk120888522"/>
      <w:r>
        <w:rPr>
          <w:rFonts w:ascii="Times New Roman" w:eastAsia="MS Gothic" w:hAnsi="Times New Roman" w:cs="Times New Roman"/>
          <w:bCs/>
          <w:sz w:val="24"/>
          <w:szCs w:val="24"/>
        </w:rPr>
        <w:t xml:space="preserve">The mean values of coagulation parameters at baseline were generally similar between the two treatment arms. </w:t>
      </w:r>
      <w:r w:rsidRPr="00D02155">
        <w:rPr>
          <w:rFonts w:ascii="Times New Roman" w:eastAsia="MS Gothic" w:hAnsi="Times New Roman" w:cs="Times New Roman"/>
          <w:bCs/>
          <w:sz w:val="24"/>
          <w:szCs w:val="24"/>
        </w:rPr>
        <w:t>A trend towards increased values for D-dimer (</w:t>
      </w:r>
      <w:r>
        <w:rPr>
          <w:rFonts w:ascii="Times New Roman" w:eastAsia="MS Gothic" w:hAnsi="Times New Roman" w:cs="Times New Roman"/>
          <w:bCs/>
          <w:sz w:val="24"/>
          <w:szCs w:val="24"/>
        </w:rPr>
        <w:t>f</w:t>
      </w:r>
      <w:r w:rsidRPr="00D02155">
        <w:rPr>
          <w:rFonts w:ascii="Times New Roman" w:eastAsia="MS Gothic" w:hAnsi="Times New Roman" w:cs="Times New Roman"/>
          <w:bCs/>
          <w:sz w:val="24"/>
          <w:szCs w:val="24"/>
        </w:rPr>
        <w:t xml:space="preserve">igure </w:t>
      </w:r>
      <w:r w:rsidR="00566A30">
        <w:rPr>
          <w:rFonts w:ascii="Times New Roman" w:eastAsia="MS Gothic" w:hAnsi="Times New Roman" w:cs="Times New Roman"/>
          <w:bCs/>
          <w:sz w:val="24"/>
          <w:szCs w:val="24"/>
        </w:rPr>
        <w:t>S</w:t>
      </w:r>
      <w:r>
        <w:rPr>
          <w:rFonts w:ascii="Times New Roman" w:eastAsia="MS Gothic" w:hAnsi="Times New Roman" w:cs="Times New Roman"/>
          <w:bCs/>
          <w:sz w:val="24"/>
          <w:szCs w:val="24"/>
        </w:rPr>
        <w:t>4</w:t>
      </w:r>
      <w:r w:rsidRPr="00D02155">
        <w:rPr>
          <w:rFonts w:ascii="Times New Roman" w:eastAsia="MS Gothic" w:hAnsi="Times New Roman" w:cs="Times New Roman"/>
          <w:bCs/>
          <w:sz w:val="24"/>
          <w:szCs w:val="24"/>
        </w:rPr>
        <w:t xml:space="preserve">) was observed in the </w:t>
      </w:r>
      <w:proofErr w:type="spellStart"/>
      <w:r w:rsidRPr="00D02155">
        <w:rPr>
          <w:rFonts w:ascii="Times New Roman" w:eastAsia="MS Gothic" w:hAnsi="Times New Roman" w:cs="Times New Roman"/>
          <w:bCs/>
          <w:sz w:val="24"/>
          <w:szCs w:val="24"/>
        </w:rPr>
        <w:t>fitusiran</w:t>
      </w:r>
      <w:proofErr w:type="spellEnd"/>
      <w:r w:rsidRPr="00D02155">
        <w:rPr>
          <w:rFonts w:ascii="Times New Roman" w:eastAsia="MS Gothic" w:hAnsi="Times New Roman" w:cs="Times New Roman"/>
          <w:bCs/>
          <w:sz w:val="24"/>
          <w:szCs w:val="24"/>
        </w:rPr>
        <w:t xml:space="preserve"> group compared with the on-demand CFC group</w:t>
      </w:r>
      <w:r w:rsidR="00195806">
        <w:rPr>
          <w:rFonts w:ascii="Times New Roman" w:eastAsia="MS Gothic" w:hAnsi="Times New Roman" w:cs="Times New Roman"/>
          <w:bCs/>
          <w:sz w:val="24"/>
          <w:szCs w:val="24"/>
        </w:rPr>
        <w:t xml:space="preserve"> (further coagulation parameter results are reported in the supplementary appendix p </w:t>
      </w:r>
      <w:r w:rsidR="004633EC">
        <w:rPr>
          <w:rFonts w:ascii="Times New Roman" w:eastAsia="MS Gothic" w:hAnsi="Times New Roman" w:cs="Times New Roman"/>
          <w:bCs/>
          <w:sz w:val="24"/>
          <w:szCs w:val="24"/>
        </w:rPr>
        <w:t>9</w:t>
      </w:r>
      <w:r w:rsidR="00195806">
        <w:rPr>
          <w:rFonts w:ascii="Times New Roman" w:eastAsia="MS Gothic" w:hAnsi="Times New Roman" w:cs="Times New Roman"/>
          <w:bCs/>
          <w:sz w:val="24"/>
          <w:szCs w:val="24"/>
        </w:rPr>
        <w:t xml:space="preserve">; </w:t>
      </w:r>
      <w:r w:rsidR="00195806" w:rsidRPr="00566A30">
        <w:rPr>
          <w:rFonts w:ascii="Times New Roman" w:eastAsia="MS Gothic" w:hAnsi="Times New Roman" w:cs="Times New Roman"/>
          <w:bCs/>
          <w:sz w:val="24"/>
          <w:szCs w:val="24"/>
        </w:rPr>
        <w:t>figure S</w:t>
      </w:r>
      <w:r w:rsidR="00566A30">
        <w:rPr>
          <w:rFonts w:ascii="Times New Roman" w:eastAsia="MS Gothic" w:hAnsi="Times New Roman" w:cs="Times New Roman"/>
          <w:bCs/>
          <w:sz w:val="24"/>
          <w:szCs w:val="24"/>
        </w:rPr>
        <w:t>5</w:t>
      </w:r>
      <w:r w:rsidR="00195806">
        <w:rPr>
          <w:rFonts w:ascii="Times New Roman" w:eastAsia="MS Gothic" w:hAnsi="Times New Roman" w:cs="Times New Roman"/>
          <w:bCs/>
          <w:sz w:val="24"/>
          <w:szCs w:val="24"/>
        </w:rPr>
        <w:t>)</w:t>
      </w:r>
      <w:r>
        <w:rPr>
          <w:rFonts w:ascii="Times New Roman" w:eastAsia="MS Gothic" w:hAnsi="Times New Roman" w:cs="Times New Roman"/>
          <w:bCs/>
          <w:sz w:val="24"/>
          <w:szCs w:val="24"/>
        </w:rPr>
        <w:t>.</w:t>
      </w:r>
    </w:p>
    <w:p w14:paraId="4B6AA1D6" w14:textId="30C43E9C" w:rsidR="00DD7F18" w:rsidRDefault="00276FA8" w:rsidP="00C260AA">
      <w:pPr>
        <w:spacing w:line="360" w:lineRule="auto"/>
        <w:rPr>
          <w:rFonts w:ascii="Times New Roman" w:eastAsia="MS Gothic" w:hAnsi="Times New Roman" w:cs="Times New Roman"/>
          <w:bCs/>
          <w:sz w:val="24"/>
          <w:szCs w:val="24"/>
        </w:rPr>
      </w:pPr>
      <w:r w:rsidRPr="00821E77">
        <w:rPr>
          <w:rFonts w:ascii="Times New Roman" w:eastAsia="MS Gothic" w:hAnsi="Times New Roman" w:cs="Times New Roman"/>
          <w:bCs/>
          <w:sz w:val="24"/>
          <w:szCs w:val="24"/>
        </w:rPr>
        <w:t xml:space="preserve">On Day 15, </w:t>
      </w:r>
      <w:r w:rsidR="00F43BE6">
        <w:rPr>
          <w:rFonts w:ascii="Times New Roman" w:eastAsia="MS Gothic" w:hAnsi="Times New Roman" w:cs="Times New Roman"/>
          <w:bCs/>
          <w:sz w:val="24"/>
          <w:szCs w:val="24"/>
        </w:rPr>
        <w:t xml:space="preserve">mean </w:t>
      </w:r>
      <w:r w:rsidRPr="00821E77">
        <w:rPr>
          <w:rFonts w:ascii="Times New Roman" w:eastAsia="MS Gothic" w:hAnsi="Times New Roman" w:cs="Times New Roman"/>
          <w:bCs/>
          <w:sz w:val="24"/>
          <w:szCs w:val="24"/>
        </w:rPr>
        <w:t xml:space="preserve">AT levels were 29% (standard deviation [SD]: 10.35) in the </w:t>
      </w:r>
      <w:proofErr w:type="spellStart"/>
      <w:r w:rsidRPr="00821E77">
        <w:rPr>
          <w:rFonts w:ascii="Times New Roman" w:eastAsia="MS Gothic" w:hAnsi="Times New Roman" w:cs="Times New Roman"/>
          <w:bCs/>
          <w:sz w:val="24"/>
          <w:szCs w:val="24"/>
        </w:rPr>
        <w:t>fitusiran</w:t>
      </w:r>
      <w:proofErr w:type="spellEnd"/>
      <w:r w:rsidR="00BD5405">
        <w:rPr>
          <w:rFonts w:ascii="Times New Roman" w:eastAsia="MS Gothic" w:hAnsi="Times New Roman" w:cs="Times New Roman"/>
          <w:bCs/>
          <w:sz w:val="24"/>
          <w:szCs w:val="24"/>
        </w:rPr>
        <w:t xml:space="preserve"> group</w:t>
      </w:r>
      <w:r w:rsidRPr="00821E77">
        <w:rPr>
          <w:rFonts w:ascii="Times New Roman" w:eastAsia="MS Gothic" w:hAnsi="Times New Roman" w:cs="Times New Roman"/>
          <w:bCs/>
          <w:sz w:val="24"/>
          <w:szCs w:val="24"/>
        </w:rPr>
        <w:t xml:space="preserve">, with a further reduction to 20% (8.40) on Day 29 and </w:t>
      </w:r>
      <w:r w:rsidR="00F43BE6">
        <w:rPr>
          <w:rFonts w:ascii="Times New Roman" w:eastAsia="MS Gothic" w:hAnsi="Times New Roman" w:cs="Times New Roman"/>
          <w:bCs/>
          <w:sz w:val="24"/>
          <w:szCs w:val="24"/>
        </w:rPr>
        <w:t xml:space="preserve">mean </w:t>
      </w:r>
      <w:r w:rsidRPr="00821E77">
        <w:rPr>
          <w:rFonts w:ascii="Times New Roman" w:eastAsia="MS Gothic" w:hAnsi="Times New Roman" w:cs="Times New Roman"/>
          <w:bCs/>
          <w:sz w:val="24"/>
          <w:szCs w:val="24"/>
        </w:rPr>
        <w:t xml:space="preserve">AT levels remained between 12% and 14% from Day 43 to trial end (figure </w:t>
      </w:r>
      <w:r w:rsidR="00566A30">
        <w:rPr>
          <w:rFonts w:ascii="Times New Roman" w:eastAsia="MS Gothic" w:hAnsi="Times New Roman" w:cs="Times New Roman"/>
          <w:bCs/>
          <w:sz w:val="24"/>
          <w:szCs w:val="24"/>
        </w:rPr>
        <w:t>S6</w:t>
      </w:r>
      <w:r w:rsidR="00566A30" w:rsidRPr="00821E77">
        <w:rPr>
          <w:rFonts w:ascii="Times New Roman" w:eastAsia="MS Gothic" w:hAnsi="Times New Roman" w:cs="Times New Roman"/>
          <w:bCs/>
          <w:sz w:val="24"/>
          <w:szCs w:val="24"/>
        </w:rPr>
        <w:t>A</w:t>
      </w:r>
      <w:r w:rsidRPr="00821E77">
        <w:rPr>
          <w:rFonts w:ascii="Times New Roman" w:eastAsia="MS Gothic" w:hAnsi="Times New Roman" w:cs="Times New Roman"/>
          <w:bCs/>
          <w:sz w:val="24"/>
          <w:szCs w:val="24"/>
        </w:rPr>
        <w:t>)</w:t>
      </w:r>
      <w:r>
        <w:rPr>
          <w:rFonts w:ascii="Times New Roman" w:eastAsia="MS Gothic" w:hAnsi="Times New Roman" w:cs="Times New Roman"/>
          <w:bCs/>
          <w:sz w:val="24"/>
          <w:szCs w:val="24"/>
        </w:rPr>
        <w:t xml:space="preserve">. </w:t>
      </w:r>
      <w:bookmarkEnd w:id="29"/>
      <w:r w:rsidR="00DD7F18" w:rsidRPr="00D653EE">
        <w:rPr>
          <w:rFonts w:ascii="Times New Roman" w:eastAsia="MS Gothic" w:hAnsi="Times New Roman" w:cs="Times New Roman"/>
          <w:bCs/>
          <w:sz w:val="24"/>
          <w:szCs w:val="24"/>
        </w:rPr>
        <w:t xml:space="preserve">There was </w:t>
      </w:r>
      <w:r w:rsidR="00DD7F18" w:rsidRPr="00D653EE">
        <w:rPr>
          <w:rFonts w:ascii="Times New Roman" w:hAnsi="Times New Roman" w:cs="Times New Roman"/>
          <w:sz w:val="24"/>
          <w:szCs w:val="24"/>
        </w:rPr>
        <w:t>a mean (SD) increase in peak thrombin generation of 17</w:t>
      </w:r>
      <w:r w:rsidR="00DD7F18" w:rsidRPr="0043334E">
        <w:rPr>
          <w:rFonts w:ascii="Times New Roman" w:hAnsi="Times New Roman" w:cs="Times New Roman"/>
          <w:sz w:val="24"/>
          <w:szCs w:val="24"/>
        </w:rPr>
        <w:t>·</w:t>
      </w:r>
      <w:r w:rsidR="00DD7F18" w:rsidRPr="00D653EE">
        <w:rPr>
          <w:rFonts w:ascii="Times New Roman" w:hAnsi="Times New Roman" w:cs="Times New Roman"/>
          <w:sz w:val="24"/>
          <w:szCs w:val="24"/>
        </w:rPr>
        <w:t xml:space="preserve">1 </w:t>
      </w:r>
      <w:proofErr w:type="spellStart"/>
      <w:r w:rsidR="00DD7F18" w:rsidRPr="00D653EE">
        <w:rPr>
          <w:rFonts w:ascii="Times New Roman" w:hAnsi="Times New Roman" w:cs="Times New Roman"/>
          <w:sz w:val="24"/>
          <w:szCs w:val="24"/>
        </w:rPr>
        <w:t>nM</w:t>
      </w:r>
      <w:proofErr w:type="spellEnd"/>
      <w:r w:rsidR="00DD7F18" w:rsidRPr="00D653EE">
        <w:rPr>
          <w:rFonts w:ascii="Times New Roman" w:hAnsi="Times New Roman" w:cs="Times New Roman"/>
          <w:sz w:val="24"/>
          <w:szCs w:val="24"/>
        </w:rPr>
        <w:t xml:space="preserve"> (14</w:t>
      </w:r>
      <w:r w:rsidR="00DD7F18" w:rsidRPr="0043334E">
        <w:rPr>
          <w:rFonts w:ascii="Times New Roman" w:hAnsi="Times New Roman" w:cs="Times New Roman"/>
          <w:sz w:val="24"/>
          <w:szCs w:val="24"/>
        </w:rPr>
        <w:t>·</w:t>
      </w:r>
      <w:r w:rsidR="00DD7F18" w:rsidRPr="00D653EE">
        <w:rPr>
          <w:rFonts w:ascii="Times New Roman" w:hAnsi="Times New Roman" w:cs="Times New Roman"/>
          <w:sz w:val="24"/>
          <w:szCs w:val="24"/>
        </w:rPr>
        <w:t xml:space="preserve">4) from baseline in the </w:t>
      </w:r>
      <w:proofErr w:type="spellStart"/>
      <w:r w:rsidR="00DD7F18" w:rsidRPr="00D653EE">
        <w:rPr>
          <w:rFonts w:ascii="Times New Roman" w:hAnsi="Times New Roman" w:cs="Times New Roman"/>
          <w:sz w:val="24"/>
          <w:szCs w:val="24"/>
        </w:rPr>
        <w:t>fitusiran</w:t>
      </w:r>
      <w:proofErr w:type="spellEnd"/>
      <w:r w:rsidR="00DD7F18" w:rsidRPr="00D653EE">
        <w:rPr>
          <w:rFonts w:ascii="Times New Roman" w:hAnsi="Times New Roman" w:cs="Times New Roman"/>
          <w:sz w:val="24"/>
          <w:szCs w:val="24"/>
        </w:rPr>
        <w:t xml:space="preserve"> group on Day 15, increasing to 24</w:t>
      </w:r>
      <w:r w:rsidR="00DD7F18" w:rsidRPr="0043334E">
        <w:rPr>
          <w:rFonts w:ascii="Times New Roman" w:hAnsi="Times New Roman" w:cs="Times New Roman"/>
          <w:sz w:val="24"/>
          <w:szCs w:val="24"/>
        </w:rPr>
        <w:t>·</w:t>
      </w:r>
      <w:r w:rsidR="00DD7F18" w:rsidRPr="00D653EE">
        <w:rPr>
          <w:rFonts w:ascii="Times New Roman" w:hAnsi="Times New Roman" w:cs="Times New Roman"/>
          <w:sz w:val="24"/>
          <w:szCs w:val="24"/>
        </w:rPr>
        <w:t xml:space="preserve">4 </w:t>
      </w:r>
      <w:proofErr w:type="spellStart"/>
      <w:r w:rsidR="00DD7F18" w:rsidRPr="00D653EE">
        <w:rPr>
          <w:rFonts w:ascii="Times New Roman" w:hAnsi="Times New Roman" w:cs="Times New Roman"/>
          <w:sz w:val="24"/>
          <w:szCs w:val="24"/>
        </w:rPr>
        <w:t>nM</w:t>
      </w:r>
      <w:proofErr w:type="spellEnd"/>
      <w:r w:rsidR="00DD7F18" w:rsidRPr="00D653EE">
        <w:rPr>
          <w:rFonts w:ascii="Times New Roman" w:hAnsi="Times New Roman" w:cs="Times New Roman"/>
          <w:sz w:val="24"/>
          <w:szCs w:val="24"/>
        </w:rPr>
        <w:t xml:space="preserve"> (18</w:t>
      </w:r>
      <w:r w:rsidR="00DD7F18" w:rsidRPr="0043334E">
        <w:rPr>
          <w:rFonts w:ascii="Times New Roman" w:hAnsi="Times New Roman" w:cs="Times New Roman"/>
          <w:sz w:val="24"/>
          <w:szCs w:val="24"/>
        </w:rPr>
        <w:t>·</w:t>
      </w:r>
      <w:r w:rsidR="00DD7F18" w:rsidRPr="00D653EE">
        <w:rPr>
          <w:rFonts w:ascii="Times New Roman" w:hAnsi="Times New Roman" w:cs="Times New Roman"/>
          <w:sz w:val="24"/>
          <w:szCs w:val="24"/>
        </w:rPr>
        <w:t>0) on Day 29, and maintained a mean increase of 29</w:t>
      </w:r>
      <w:r w:rsidR="00DD7F18" w:rsidRPr="0043334E">
        <w:rPr>
          <w:rFonts w:ascii="Times New Roman" w:hAnsi="Times New Roman" w:cs="Times New Roman"/>
          <w:sz w:val="24"/>
          <w:szCs w:val="24"/>
        </w:rPr>
        <w:t>·</w:t>
      </w:r>
      <w:r w:rsidR="00DD7F18" w:rsidRPr="00D653EE">
        <w:rPr>
          <w:rFonts w:ascii="Times New Roman" w:hAnsi="Times New Roman" w:cs="Times New Roman"/>
          <w:sz w:val="24"/>
          <w:szCs w:val="24"/>
        </w:rPr>
        <w:t>8</w:t>
      </w:r>
      <w:r w:rsidR="00DD7F18" w:rsidRPr="00D653EE">
        <w:rPr>
          <w:rFonts w:ascii="Times New Roman" w:eastAsia="MS Gothic" w:hAnsi="Times New Roman" w:cs="Times New Roman"/>
          <w:bCs/>
          <w:sz w:val="24"/>
          <w:szCs w:val="24"/>
        </w:rPr>
        <w:t>–43</w:t>
      </w:r>
      <w:r w:rsidR="00DD7F18" w:rsidRPr="0043334E">
        <w:rPr>
          <w:rFonts w:ascii="Times New Roman" w:eastAsia="MS Gothic" w:hAnsi="Times New Roman" w:cs="Times New Roman"/>
          <w:sz w:val="24"/>
          <w:szCs w:val="24"/>
        </w:rPr>
        <w:t>·</w:t>
      </w:r>
      <w:r w:rsidR="00DD7F18" w:rsidRPr="00D653EE">
        <w:rPr>
          <w:rFonts w:ascii="Times New Roman" w:eastAsia="MS Gothic" w:hAnsi="Times New Roman" w:cs="Times New Roman"/>
          <w:bCs/>
          <w:sz w:val="24"/>
          <w:szCs w:val="24"/>
        </w:rPr>
        <w:t xml:space="preserve">1 </w:t>
      </w:r>
      <w:proofErr w:type="spellStart"/>
      <w:r w:rsidR="00DD7F18" w:rsidRPr="00D653EE">
        <w:rPr>
          <w:rFonts w:ascii="Times New Roman" w:eastAsia="MS Gothic" w:hAnsi="Times New Roman" w:cs="Times New Roman"/>
          <w:bCs/>
          <w:sz w:val="24"/>
          <w:szCs w:val="24"/>
        </w:rPr>
        <w:t>nM</w:t>
      </w:r>
      <w:proofErr w:type="spellEnd"/>
      <w:r w:rsidR="00DD7F18" w:rsidRPr="00D653EE">
        <w:rPr>
          <w:rFonts w:ascii="Times New Roman" w:hAnsi="Times New Roman" w:cs="Times New Roman"/>
          <w:sz w:val="24"/>
          <w:szCs w:val="24"/>
        </w:rPr>
        <w:t xml:space="preserve"> from Day 43 to trial end </w:t>
      </w:r>
      <w:r w:rsidR="00DD7F18" w:rsidRPr="003C413F">
        <w:rPr>
          <w:rFonts w:ascii="Times New Roman" w:hAnsi="Times New Roman" w:cs="Times New Roman"/>
          <w:sz w:val="24"/>
          <w:szCs w:val="24"/>
        </w:rPr>
        <w:t xml:space="preserve">(figure </w:t>
      </w:r>
      <w:r w:rsidR="00566A30">
        <w:rPr>
          <w:rFonts w:ascii="Times New Roman" w:hAnsi="Times New Roman" w:cs="Times New Roman"/>
          <w:sz w:val="24"/>
          <w:szCs w:val="24"/>
        </w:rPr>
        <w:t>S6B</w:t>
      </w:r>
      <w:r w:rsidR="00DD7F18" w:rsidRPr="003C413F">
        <w:rPr>
          <w:rFonts w:ascii="Times New Roman" w:hAnsi="Times New Roman" w:cs="Times New Roman"/>
          <w:sz w:val="24"/>
          <w:szCs w:val="24"/>
        </w:rPr>
        <w:t>)</w:t>
      </w:r>
      <w:r w:rsidR="00DD7F18" w:rsidRPr="00D653EE">
        <w:rPr>
          <w:rFonts w:ascii="Times New Roman" w:hAnsi="Times New Roman" w:cs="Times New Roman"/>
          <w:sz w:val="24"/>
          <w:szCs w:val="24"/>
        </w:rPr>
        <w:t>.</w:t>
      </w:r>
      <w:r w:rsidR="00DD7F18" w:rsidRPr="00D653EE">
        <w:rPr>
          <w:rFonts w:ascii="Times New Roman" w:eastAsia="MS Gothic" w:hAnsi="Times New Roman" w:cs="Times New Roman"/>
          <w:bCs/>
          <w:sz w:val="24"/>
          <w:szCs w:val="24"/>
        </w:rPr>
        <w:t xml:space="preserve"> </w:t>
      </w:r>
      <w:bookmarkStart w:id="30" w:name="_Hlk101857769"/>
      <w:r w:rsidR="00DD7F18" w:rsidRPr="00D653EE">
        <w:rPr>
          <w:rFonts w:ascii="Times New Roman" w:eastAsia="MS Gothic" w:hAnsi="Times New Roman" w:cs="Times New Roman"/>
          <w:bCs/>
          <w:sz w:val="24"/>
          <w:szCs w:val="24"/>
        </w:rPr>
        <w:t xml:space="preserve">Four participants (5%) in the </w:t>
      </w:r>
      <w:proofErr w:type="spellStart"/>
      <w:r w:rsidR="00DD7F18" w:rsidRPr="00D653EE">
        <w:rPr>
          <w:rFonts w:ascii="Times New Roman" w:eastAsia="MS Gothic" w:hAnsi="Times New Roman" w:cs="Times New Roman"/>
          <w:bCs/>
          <w:sz w:val="24"/>
          <w:szCs w:val="24"/>
        </w:rPr>
        <w:t>fitusiran</w:t>
      </w:r>
      <w:proofErr w:type="spellEnd"/>
      <w:r w:rsidR="00DD7F18" w:rsidRPr="00D653EE">
        <w:rPr>
          <w:rFonts w:ascii="Times New Roman" w:eastAsia="MS Gothic" w:hAnsi="Times New Roman" w:cs="Times New Roman"/>
          <w:bCs/>
          <w:sz w:val="24"/>
          <w:szCs w:val="24"/>
        </w:rPr>
        <w:t xml:space="preserve"> group and three (</w:t>
      </w:r>
      <w:r w:rsidR="00A84DB7">
        <w:rPr>
          <w:rFonts w:ascii="Times New Roman" w:eastAsia="MS Gothic" w:hAnsi="Times New Roman" w:cs="Times New Roman"/>
          <w:bCs/>
          <w:sz w:val="24"/>
          <w:szCs w:val="24"/>
        </w:rPr>
        <w:t>8</w:t>
      </w:r>
      <w:r w:rsidR="00DD7F18" w:rsidRPr="00D653EE">
        <w:rPr>
          <w:rFonts w:ascii="Times New Roman" w:eastAsia="MS Gothic" w:hAnsi="Times New Roman" w:cs="Times New Roman"/>
          <w:bCs/>
          <w:sz w:val="24"/>
          <w:szCs w:val="24"/>
        </w:rPr>
        <w:t xml:space="preserve">%) in the on-demand CFC group had ≥1 sample(s) that were confirmed ADA positive, all with a titre of 50, equivalent to the minimum required dilution of the assay. In the </w:t>
      </w:r>
      <w:proofErr w:type="spellStart"/>
      <w:r w:rsidR="00DD7F18" w:rsidRPr="00D653EE">
        <w:rPr>
          <w:rFonts w:ascii="Times New Roman" w:eastAsia="MS Gothic" w:hAnsi="Times New Roman" w:cs="Times New Roman"/>
          <w:bCs/>
          <w:sz w:val="24"/>
          <w:szCs w:val="24"/>
        </w:rPr>
        <w:t>fitusiran</w:t>
      </w:r>
      <w:proofErr w:type="spellEnd"/>
      <w:r w:rsidR="00DD7F18" w:rsidRPr="00D653EE">
        <w:rPr>
          <w:rFonts w:ascii="Times New Roman" w:eastAsia="MS Gothic" w:hAnsi="Times New Roman" w:cs="Times New Roman"/>
          <w:bCs/>
          <w:sz w:val="24"/>
          <w:szCs w:val="24"/>
        </w:rPr>
        <w:t xml:space="preserve"> group, three (</w:t>
      </w:r>
      <w:r w:rsidR="00A84DB7">
        <w:rPr>
          <w:rFonts w:ascii="Times New Roman" w:eastAsia="MS Gothic" w:hAnsi="Times New Roman" w:cs="Times New Roman"/>
          <w:bCs/>
          <w:sz w:val="24"/>
          <w:szCs w:val="24"/>
        </w:rPr>
        <w:t>4</w:t>
      </w:r>
      <w:r w:rsidR="00DD7F18" w:rsidRPr="00D653EE">
        <w:rPr>
          <w:rFonts w:ascii="Times New Roman" w:eastAsia="MS Gothic" w:hAnsi="Times New Roman" w:cs="Times New Roman"/>
          <w:bCs/>
          <w:sz w:val="24"/>
          <w:szCs w:val="24"/>
        </w:rPr>
        <w:t>%) participants had positive samples post-</w:t>
      </w:r>
      <w:proofErr w:type="spellStart"/>
      <w:r w:rsidR="00DD7F18" w:rsidRPr="00D653EE">
        <w:rPr>
          <w:rFonts w:ascii="Times New Roman" w:eastAsia="MS Gothic" w:hAnsi="Times New Roman" w:cs="Times New Roman"/>
          <w:bCs/>
          <w:sz w:val="24"/>
          <w:szCs w:val="24"/>
        </w:rPr>
        <w:t>fitusiran</w:t>
      </w:r>
      <w:proofErr w:type="spellEnd"/>
      <w:r w:rsidR="00DD7F18" w:rsidRPr="00D653EE">
        <w:rPr>
          <w:rFonts w:ascii="Times New Roman" w:eastAsia="MS Gothic" w:hAnsi="Times New Roman" w:cs="Times New Roman"/>
          <w:bCs/>
          <w:sz w:val="24"/>
          <w:szCs w:val="24"/>
        </w:rPr>
        <w:t xml:space="preserve"> prophylaxis; one participant had pre-existing antibodies and in two participants the ADA responses were transient. </w:t>
      </w:r>
      <w:r w:rsidR="00DD7F18">
        <w:rPr>
          <w:rFonts w:ascii="Times New Roman" w:eastAsia="MS Gothic" w:hAnsi="Times New Roman" w:cs="Times New Roman"/>
          <w:bCs/>
          <w:sz w:val="24"/>
          <w:szCs w:val="24"/>
        </w:rPr>
        <w:t>However, these had no effect on</w:t>
      </w:r>
      <w:r w:rsidR="00DD7F18" w:rsidRPr="00D653EE">
        <w:rPr>
          <w:rFonts w:ascii="Times New Roman" w:eastAsia="MS Gothic" w:hAnsi="Times New Roman" w:cs="Times New Roman"/>
          <w:bCs/>
          <w:sz w:val="24"/>
          <w:szCs w:val="24"/>
        </w:rPr>
        <w:t xml:space="preserve"> AT reduction in these participants.</w:t>
      </w:r>
    </w:p>
    <w:p w14:paraId="54CF66DB" w14:textId="292E32EC" w:rsidR="00DD7F18" w:rsidRPr="00D653EE" w:rsidRDefault="00DD7F18" w:rsidP="00C260AA">
      <w:pPr>
        <w:spacing w:line="360" w:lineRule="auto"/>
        <w:rPr>
          <w:rFonts w:ascii="Times New Roman" w:eastAsiaTheme="majorEastAsia" w:hAnsi="Times New Roman" w:cs="Times New Roman"/>
          <w:b/>
          <w:color w:val="000000"/>
          <w:sz w:val="24"/>
          <w:szCs w:val="24"/>
        </w:rPr>
      </w:pPr>
      <w:r w:rsidRPr="00D653EE">
        <w:rPr>
          <w:rFonts w:ascii="Times New Roman" w:eastAsia="MS Gothic" w:hAnsi="Times New Roman" w:cs="Times New Roman"/>
          <w:bCs/>
          <w:sz w:val="24"/>
          <w:szCs w:val="24"/>
        </w:rPr>
        <w:t xml:space="preserve">In the </w:t>
      </w:r>
      <w:proofErr w:type="spellStart"/>
      <w:r w:rsidRPr="00D653EE">
        <w:rPr>
          <w:rFonts w:ascii="Times New Roman" w:eastAsia="MS Gothic" w:hAnsi="Times New Roman" w:cs="Times New Roman"/>
          <w:bCs/>
          <w:sz w:val="24"/>
          <w:szCs w:val="24"/>
        </w:rPr>
        <w:t>fitusiran</w:t>
      </w:r>
      <w:proofErr w:type="spellEnd"/>
      <w:r w:rsidRPr="00D653EE">
        <w:rPr>
          <w:rFonts w:ascii="Times New Roman" w:eastAsia="MS Gothic" w:hAnsi="Times New Roman" w:cs="Times New Roman"/>
          <w:bCs/>
          <w:sz w:val="24"/>
          <w:szCs w:val="24"/>
        </w:rPr>
        <w:t xml:space="preserve"> group, three participants underwent four surgeries during the study, of which, two participants had a total of two major surgeries and two participants had a total of two minor surgeries. In on-demand CFC group, a total of 12 surgeries were reported by five participants, including two participants with eight major surgeries and three participants with four minor surgeries. No treatment pauses occurred in either group. H</w:t>
      </w:r>
      <w:r>
        <w:rPr>
          <w:rFonts w:ascii="Times New Roman" w:eastAsia="MS Gothic" w:hAnsi="Times New Roman" w:cs="Times New Roman"/>
          <w:bCs/>
          <w:sz w:val="24"/>
          <w:szCs w:val="24"/>
        </w:rPr>
        <w:t>a</w:t>
      </w:r>
      <w:r w:rsidRPr="00D653EE">
        <w:rPr>
          <w:rFonts w:ascii="Times New Roman" w:eastAsia="MS Gothic" w:hAnsi="Times New Roman" w:cs="Times New Roman"/>
          <w:bCs/>
          <w:sz w:val="24"/>
          <w:szCs w:val="24"/>
        </w:rPr>
        <w:t xml:space="preserve">emostatic ratings were </w:t>
      </w:r>
      <w:r w:rsidRPr="00D653EE">
        <w:rPr>
          <w:rFonts w:ascii="Times New Roman" w:eastAsia="MS Gothic" w:hAnsi="Times New Roman" w:cs="Times New Roman"/>
          <w:bCs/>
          <w:sz w:val="24"/>
          <w:szCs w:val="24"/>
        </w:rPr>
        <w:lastRenderedPageBreak/>
        <w:t xml:space="preserve">consistently good to excellent for both groups on the day of surgery and final postoperative visit and during all surgery visits </w:t>
      </w:r>
      <w:r w:rsidRPr="003C413F">
        <w:rPr>
          <w:rFonts w:ascii="Times New Roman" w:eastAsia="MS Gothic" w:hAnsi="Times New Roman" w:cs="Times New Roman"/>
          <w:bCs/>
          <w:sz w:val="24"/>
          <w:szCs w:val="24"/>
        </w:rPr>
        <w:t>(</w:t>
      </w:r>
      <w:r>
        <w:rPr>
          <w:rFonts w:ascii="Times New Roman" w:eastAsia="MS Gothic" w:hAnsi="Times New Roman" w:cs="Times New Roman"/>
          <w:bCs/>
          <w:sz w:val="24"/>
          <w:szCs w:val="24"/>
        </w:rPr>
        <w:t>t</w:t>
      </w:r>
      <w:r w:rsidRPr="003C413F">
        <w:rPr>
          <w:rFonts w:ascii="Times New Roman" w:eastAsia="MS Gothic" w:hAnsi="Times New Roman" w:cs="Times New Roman"/>
          <w:bCs/>
          <w:sz w:val="24"/>
          <w:szCs w:val="24"/>
        </w:rPr>
        <w:t xml:space="preserve">able </w:t>
      </w:r>
      <w:r w:rsidR="00BB4ACC" w:rsidRPr="003C413F">
        <w:rPr>
          <w:rFonts w:ascii="Times New Roman" w:eastAsia="MS Gothic" w:hAnsi="Times New Roman" w:cs="Times New Roman"/>
          <w:bCs/>
          <w:sz w:val="24"/>
          <w:szCs w:val="24"/>
        </w:rPr>
        <w:t>S</w:t>
      </w:r>
      <w:r w:rsidR="00BB4ACC">
        <w:rPr>
          <w:rFonts w:ascii="Times New Roman" w:eastAsia="MS Gothic" w:hAnsi="Times New Roman" w:cs="Times New Roman"/>
          <w:bCs/>
          <w:sz w:val="24"/>
          <w:szCs w:val="24"/>
        </w:rPr>
        <w:t>5</w:t>
      </w:r>
      <w:r w:rsidRPr="003C413F">
        <w:rPr>
          <w:rFonts w:ascii="Times New Roman" w:eastAsia="MS Gothic" w:hAnsi="Times New Roman" w:cs="Times New Roman"/>
          <w:bCs/>
          <w:sz w:val="24"/>
          <w:szCs w:val="24"/>
        </w:rPr>
        <w:t>).</w:t>
      </w:r>
      <w:bookmarkEnd w:id="30"/>
    </w:p>
    <w:p w14:paraId="33A9D0C7" w14:textId="7E060122" w:rsidR="00DD7F18" w:rsidRPr="00D653EE" w:rsidRDefault="00DD7F18" w:rsidP="00C260AA">
      <w:pPr>
        <w:spacing w:line="360" w:lineRule="auto"/>
        <w:rPr>
          <w:rFonts w:ascii="Times New Roman" w:eastAsiaTheme="majorEastAsia" w:hAnsi="Times New Roman" w:cs="Times New Roman"/>
          <w:bCs/>
          <w:color w:val="000000"/>
          <w:sz w:val="24"/>
          <w:szCs w:val="24"/>
        </w:rPr>
      </w:pPr>
      <w:r w:rsidRPr="00D653EE">
        <w:rPr>
          <w:rFonts w:ascii="Times New Roman" w:eastAsiaTheme="majorEastAsia" w:hAnsi="Times New Roman" w:cs="Times New Roman"/>
          <w:bCs/>
          <w:color w:val="000000"/>
          <w:sz w:val="24"/>
          <w:szCs w:val="24"/>
        </w:rPr>
        <w:t xml:space="preserve">Sensitivity analyses of the intent-to-treat analysis set, the per-protocol </w:t>
      </w:r>
      <w:r>
        <w:rPr>
          <w:rFonts w:ascii="Times New Roman" w:eastAsiaTheme="majorEastAsia" w:hAnsi="Times New Roman" w:cs="Times New Roman"/>
          <w:bCs/>
          <w:color w:val="000000"/>
          <w:sz w:val="24"/>
          <w:szCs w:val="24"/>
        </w:rPr>
        <w:t xml:space="preserve">analysis </w:t>
      </w:r>
      <w:r w:rsidRPr="00D653EE">
        <w:rPr>
          <w:rFonts w:ascii="Times New Roman" w:eastAsiaTheme="majorEastAsia" w:hAnsi="Times New Roman" w:cs="Times New Roman"/>
          <w:bCs/>
          <w:color w:val="000000"/>
          <w:sz w:val="24"/>
          <w:szCs w:val="24"/>
        </w:rPr>
        <w:t>set and the COVID-19 unaffected</w:t>
      </w:r>
      <w:r>
        <w:rPr>
          <w:rFonts w:ascii="Times New Roman" w:eastAsiaTheme="majorEastAsia" w:hAnsi="Times New Roman" w:cs="Times New Roman"/>
          <w:bCs/>
          <w:color w:val="000000"/>
          <w:sz w:val="24"/>
          <w:szCs w:val="24"/>
        </w:rPr>
        <w:t xml:space="preserve"> </w:t>
      </w:r>
      <w:r w:rsidRPr="00D653EE">
        <w:rPr>
          <w:rFonts w:ascii="Times New Roman" w:eastAsiaTheme="majorEastAsia" w:hAnsi="Times New Roman" w:cs="Times New Roman"/>
          <w:bCs/>
          <w:color w:val="000000"/>
          <w:sz w:val="24"/>
          <w:szCs w:val="24"/>
        </w:rPr>
        <w:t xml:space="preserve">set were consistent with the primary analysis </w:t>
      </w:r>
      <w:r w:rsidRPr="003C413F">
        <w:rPr>
          <w:rFonts w:ascii="Times New Roman" w:eastAsiaTheme="majorEastAsia" w:hAnsi="Times New Roman" w:cs="Times New Roman"/>
          <w:bCs/>
          <w:color w:val="000000"/>
          <w:sz w:val="24"/>
          <w:szCs w:val="24"/>
        </w:rPr>
        <w:t xml:space="preserve">(table </w:t>
      </w:r>
      <w:r w:rsidR="00BB4ACC" w:rsidRPr="003C413F">
        <w:rPr>
          <w:rFonts w:ascii="Times New Roman" w:eastAsiaTheme="majorEastAsia" w:hAnsi="Times New Roman" w:cs="Times New Roman"/>
          <w:bCs/>
          <w:color w:val="000000"/>
          <w:sz w:val="24"/>
          <w:szCs w:val="24"/>
        </w:rPr>
        <w:t>S</w:t>
      </w:r>
      <w:r w:rsidR="00BB4ACC">
        <w:rPr>
          <w:rFonts w:ascii="Times New Roman" w:eastAsiaTheme="majorEastAsia" w:hAnsi="Times New Roman" w:cs="Times New Roman"/>
          <w:bCs/>
          <w:color w:val="000000"/>
          <w:sz w:val="24"/>
          <w:szCs w:val="24"/>
        </w:rPr>
        <w:t>6</w:t>
      </w:r>
      <w:r w:rsidRPr="003C413F">
        <w:rPr>
          <w:rFonts w:ascii="Times New Roman" w:eastAsiaTheme="majorEastAsia" w:hAnsi="Times New Roman" w:cs="Times New Roman"/>
          <w:bCs/>
          <w:color w:val="000000"/>
          <w:sz w:val="24"/>
          <w:szCs w:val="24"/>
        </w:rPr>
        <w:t>).</w:t>
      </w:r>
      <w:r w:rsidRPr="00D653EE">
        <w:rPr>
          <w:rFonts w:ascii="Times New Roman" w:eastAsiaTheme="majorEastAsia" w:hAnsi="Times New Roman" w:cs="Times New Roman"/>
          <w:b/>
          <w:color w:val="000000"/>
          <w:sz w:val="24"/>
          <w:szCs w:val="24"/>
        </w:rPr>
        <w:t xml:space="preserve"> </w:t>
      </w:r>
      <w:r w:rsidRPr="00D653EE">
        <w:rPr>
          <w:rFonts w:ascii="Times New Roman" w:eastAsiaTheme="majorEastAsia" w:hAnsi="Times New Roman" w:cs="Times New Roman"/>
          <w:bCs/>
          <w:color w:val="000000"/>
          <w:sz w:val="24"/>
          <w:szCs w:val="24"/>
        </w:rPr>
        <w:t>There was no notable impact on the primary analysis due to the COVID-19 pandemic.</w:t>
      </w:r>
    </w:p>
    <w:p w14:paraId="14BB2761" w14:textId="77777777" w:rsidR="00DD7F18" w:rsidRPr="00D653EE" w:rsidRDefault="00DD7F18" w:rsidP="008B3DDE">
      <w:pPr>
        <w:spacing w:line="360" w:lineRule="auto"/>
        <w:rPr>
          <w:rFonts w:ascii="Times New Roman" w:eastAsiaTheme="majorEastAsia" w:hAnsi="Times New Roman" w:cs="Times New Roman"/>
          <w:b/>
          <w:color w:val="000000"/>
          <w:sz w:val="24"/>
          <w:szCs w:val="24"/>
        </w:rPr>
      </w:pPr>
    </w:p>
    <w:p w14:paraId="6AE279D8" w14:textId="77777777" w:rsidR="00DD7F18" w:rsidRPr="00D653EE" w:rsidRDefault="00DD7F18" w:rsidP="00017444">
      <w:pPr>
        <w:rPr>
          <w:rFonts w:ascii="Times New Roman" w:eastAsiaTheme="majorEastAsia" w:hAnsi="Times New Roman" w:cs="Times New Roman"/>
          <w:b/>
          <w:color w:val="000000"/>
          <w:sz w:val="24"/>
          <w:szCs w:val="24"/>
        </w:rPr>
      </w:pPr>
      <w:r w:rsidRPr="00D653EE">
        <w:rPr>
          <w:rFonts w:ascii="Times New Roman" w:eastAsiaTheme="majorEastAsia" w:hAnsi="Times New Roman" w:cs="Times New Roman"/>
          <w:b/>
          <w:color w:val="000000"/>
          <w:sz w:val="24"/>
          <w:szCs w:val="24"/>
        </w:rPr>
        <w:br w:type="page"/>
      </w:r>
      <w:r w:rsidRPr="00D653EE">
        <w:rPr>
          <w:rFonts w:ascii="Times New Roman" w:eastAsiaTheme="majorEastAsia" w:hAnsi="Times New Roman" w:cs="Times New Roman"/>
          <w:b/>
          <w:color w:val="000000"/>
          <w:sz w:val="24"/>
          <w:szCs w:val="24"/>
        </w:rPr>
        <w:lastRenderedPageBreak/>
        <w:t>Discussion</w:t>
      </w:r>
    </w:p>
    <w:p w14:paraId="0D6949DC" w14:textId="77777777" w:rsidR="00DD7F18" w:rsidRPr="00D653EE" w:rsidRDefault="00DD7F18" w:rsidP="486D63BF">
      <w:pPr>
        <w:spacing w:line="360" w:lineRule="auto"/>
        <w:rPr>
          <w:rFonts w:ascii="Times New Roman" w:eastAsiaTheme="majorEastAsia" w:hAnsi="Times New Roman" w:cs="Times New Roman"/>
          <w:color w:val="000000"/>
          <w:sz w:val="24"/>
          <w:szCs w:val="24"/>
        </w:rPr>
      </w:pPr>
      <w:r w:rsidRPr="486D63BF">
        <w:rPr>
          <w:rFonts w:ascii="Times New Roman" w:eastAsiaTheme="majorEastAsia" w:hAnsi="Times New Roman" w:cs="Times New Roman"/>
          <w:color w:val="000000"/>
          <w:sz w:val="24"/>
          <w:szCs w:val="24"/>
        </w:rPr>
        <w:t xml:space="preserve">Once-monthly 80 mg subcutaneous </w:t>
      </w:r>
      <w:proofErr w:type="spellStart"/>
      <w:r w:rsidRPr="486D63BF">
        <w:rPr>
          <w:rFonts w:ascii="Times New Roman" w:eastAsiaTheme="majorEastAsia" w:hAnsi="Times New Roman" w:cs="Times New Roman"/>
          <w:color w:val="000000"/>
          <w:sz w:val="24"/>
          <w:szCs w:val="24"/>
        </w:rPr>
        <w:t>fitusiran</w:t>
      </w:r>
      <w:proofErr w:type="spellEnd"/>
      <w:r w:rsidRPr="486D63BF">
        <w:rPr>
          <w:rFonts w:ascii="Times New Roman" w:eastAsiaTheme="majorEastAsia" w:hAnsi="Times New Roman" w:cs="Times New Roman"/>
          <w:color w:val="000000"/>
          <w:sz w:val="24"/>
          <w:szCs w:val="24"/>
        </w:rPr>
        <w:t xml:space="preserve"> prophylaxis resulted in a median ABR of zero, with zero treated bleeds in approximately half of the participants who received </w:t>
      </w:r>
      <w:proofErr w:type="spellStart"/>
      <w:r w:rsidRPr="486D63BF">
        <w:rPr>
          <w:rFonts w:ascii="Times New Roman" w:eastAsiaTheme="majorEastAsia" w:hAnsi="Times New Roman" w:cs="Times New Roman"/>
          <w:color w:val="000000"/>
          <w:sz w:val="24"/>
          <w:szCs w:val="24"/>
        </w:rPr>
        <w:t>fitusiran</w:t>
      </w:r>
      <w:proofErr w:type="spellEnd"/>
      <w:r w:rsidRPr="486D63BF">
        <w:rPr>
          <w:rFonts w:ascii="Times New Roman" w:eastAsiaTheme="majorEastAsia" w:hAnsi="Times New Roman" w:cs="Times New Roman"/>
          <w:color w:val="000000"/>
          <w:sz w:val="24"/>
          <w:szCs w:val="24"/>
        </w:rPr>
        <w:t xml:space="preserve"> and ≤3 treated bleeds in &gt;80% of participants during the 9-month study period, demonstrating </w:t>
      </w:r>
      <w:proofErr w:type="spellStart"/>
      <w:r w:rsidRPr="486D63BF">
        <w:rPr>
          <w:rFonts w:ascii="Times New Roman" w:eastAsiaTheme="majorEastAsia" w:hAnsi="Times New Roman" w:cs="Times New Roman"/>
          <w:color w:val="000000"/>
          <w:sz w:val="24"/>
          <w:szCs w:val="24"/>
        </w:rPr>
        <w:t>fitusiran</w:t>
      </w:r>
      <w:proofErr w:type="spellEnd"/>
      <w:r w:rsidRPr="486D63BF">
        <w:rPr>
          <w:rFonts w:ascii="Times New Roman" w:eastAsiaTheme="majorEastAsia" w:hAnsi="Times New Roman" w:cs="Times New Roman"/>
          <w:color w:val="000000"/>
          <w:sz w:val="24"/>
          <w:szCs w:val="24"/>
        </w:rPr>
        <w:t xml:space="preserve"> prophylaxis provided sustained protection against bleeding and improved bleeding phenotype in participants with haemophilia A or B without inhibitors compared with on-demand CFCs. Subgroup and sensitivity analyses were consistent with the primary efficacy endpoint, which was also supported by clinically meaningful reductions in spontaneous and joint bleeding events. These positive outcomes confirm previously reported results from Phase 1/2 studies.</w:t>
      </w:r>
      <w:r>
        <w:rPr>
          <w:rFonts w:ascii="Times New Roman" w:eastAsiaTheme="majorEastAsia" w:hAnsi="Times New Roman" w:cs="Times New Roman"/>
          <w:color w:val="000000"/>
          <w:sz w:val="24"/>
          <w:szCs w:val="24"/>
          <w:vertAlign w:val="superscript"/>
        </w:rPr>
        <w:t>19,20,22</w:t>
      </w:r>
      <w:r w:rsidRPr="486D63BF">
        <w:rPr>
          <w:rFonts w:ascii="Times New Roman" w:eastAsiaTheme="majorEastAsia" w:hAnsi="Times New Roman" w:cs="Times New Roman"/>
          <w:color w:val="000000"/>
          <w:sz w:val="24"/>
          <w:szCs w:val="24"/>
        </w:rPr>
        <w:t xml:space="preserve"> Furthermore, </w:t>
      </w:r>
      <w:r w:rsidRPr="00D653EE">
        <w:rPr>
          <w:rFonts w:ascii="Times New Roman" w:eastAsia="MS Gothic" w:hAnsi="Times New Roman" w:cs="Times New Roman"/>
          <w:sz w:val="24"/>
          <w:szCs w:val="24"/>
        </w:rPr>
        <w:t xml:space="preserve">in the ATLAS-INH trial in people with haemophilia A or B with inhibitors, </w:t>
      </w:r>
      <w:proofErr w:type="spellStart"/>
      <w:r w:rsidRPr="00D653EE">
        <w:rPr>
          <w:rFonts w:ascii="Times New Roman" w:eastAsia="MS Gothic" w:hAnsi="Times New Roman" w:cs="Times New Roman"/>
          <w:sz w:val="24"/>
          <w:szCs w:val="24"/>
        </w:rPr>
        <w:t>fitusiran</w:t>
      </w:r>
      <w:proofErr w:type="spellEnd"/>
      <w:r w:rsidRPr="00D653EE">
        <w:rPr>
          <w:rFonts w:ascii="Times New Roman" w:eastAsia="MS Gothic" w:hAnsi="Times New Roman" w:cs="Times New Roman"/>
          <w:sz w:val="24"/>
          <w:szCs w:val="24"/>
        </w:rPr>
        <w:t xml:space="preserve"> prophylaxis also resulted in a median ABR of zero.</w:t>
      </w:r>
      <w:r>
        <w:rPr>
          <w:rFonts w:ascii="Times New Roman" w:eastAsia="MS Gothic" w:hAnsi="Times New Roman" w:cs="Times New Roman"/>
          <w:sz w:val="24"/>
          <w:szCs w:val="24"/>
          <w:vertAlign w:val="superscript"/>
        </w:rPr>
        <w:t>23</w:t>
      </w:r>
      <w:r w:rsidRPr="00D653EE">
        <w:rPr>
          <w:rFonts w:ascii="Times New Roman" w:eastAsia="MS Gothic" w:hAnsi="Times New Roman" w:cs="Times New Roman"/>
          <w:sz w:val="24"/>
          <w:szCs w:val="24"/>
        </w:rPr>
        <w:t xml:space="preserve"> Results from both Phase 3 trials suggest </w:t>
      </w:r>
      <w:proofErr w:type="spellStart"/>
      <w:r w:rsidRPr="00D653EE">
        <w:rPr>
          <w:rFonts w:ascii="Times New Roman" w:eastAsia="MS Gothic" w:hAnsi="Times New Roman" w:cs="Times New Roman"/>
          <w:sz w:val="24"/>
          <w:szCs w:val="24"/>
        </w:rPr>
        <w:t>f</w:t>
      </w:r>
      <w:r w:rsidRPr="486D63BF">
        <w:rPr>
          <w:rFonts w:ascii="Times New Roman" w:eastAsia="MS Gothic" w:hAnsi="Times New Roman" w:cs="Times New Roman"/>
          <w:sz w:val="24"/>
          <w:szCs w:val="24"/>
        </w:rPr>
        <w:t>itusiran</w:t>
      </w:r>
      <w:proofErr w:type="spellEnd"/>
      <w:r w:rsidRPr="486D63BF">
        <w:rPr>
          <w:rFonts w:ascii="Times New Roman" w:eastAsia="MS Gothic" w:hAnsi="Times New Roman" w:cs="Times New Roman"/>
          <w:sz w:val="24"/>
          <w:szCs w:val="24"/>
        </w:rPr>
        <w:t xml:space="preserve"> may provide an effective, subcutaneous, prophylactic option for people with haemophilia A or B, irrespective of inhibitor status. </w:t>
      </w:r>
    </w:p>
    <w:p w14:paraId="1B43301A" w14:textId="77777777" w:rsidR="00DD7F18" w:rsidRPr="00D653EE" w:rsidRDefault="00DD7F18" w:rsidP="008B3DDE">
      <w:pPr>
        <w:spacing w:line="360" w:lineRule="auto"/>
        <w:rPr>
          <w:rFonts w:ascii="Times New Roman" w:eastAsiaTheme="majorEastAsia" w:hAnsi="Times New Roman" w:cs="Times New Roman"/>
          <w:bCs/>
          <w:color w:val="000000"/>
          <w:sz w:val="24"/>
          <w:szCs w:val="24"/>
        </w:rPr>
      </w:pPr>
      <w:r w:rsidRPr="00D653EE">
        <w:rPr>
          <w:rFonts w:ascii="Times New Roman" w:eastAsiaTheme="majorEastAsia" w:hAnsi="Times New Roman" w:cs="Times New Roman"/>
          <w:bCs/>
          <w:color w:val="000000"/>
          <w:sz w:val="24"/>
          <w:szCs w:val="24"/>
        </w:rPr>
        <w:t>Prevention of spontaneous and joint bleeds are an indicator of a significant level of protection in severe haemophilia and a primary goal of prophylactic therapy.</w:t>
      </w:r>
      <w:r w:rsidRPr="007E43E0">
        <w:rPr>
          <w:rFonts w:ascii="Times New Roman" w:eastAsiaTheme="majorEastAsia" w:hAnsi="Times New Roman" w:cs="Times New Roman"/>
          <w:bCs/>
          <w:noProof/>
          <w:color w:val="000000"/>
          <w:sz w:val="24"/>
          <w:szCs w:val="24"/>
          <w:vertAlign w:val="superscript"/>
        </w:rPr>
        <w:t>2</w:t>
      </w:r>
      <w:r w:rsidRPr="00D653EE">
        <w:rPr>
          <w:rFonts w:ascii="Times New Roman" w:eastAsiaTheme="majorEastAsia" w:hAnsi="Times New Roman" w:cs="Times New Roman"/>
          <w:bCs/>
          <w:color w:val="000000"/>
          <w:sz w:val="24"/>
          <w:szCs w:val="24"/>
        </w:rPr>
        <w:t xml:space="preserve"> Recurrent joint bleeds lead to the development of haemophilic arthropathy, a leading cause of morbidity in people with haemophilia, and worsening quality of life.</w:t>
      </w:r>
      <w:r>
        <w:rPr>
          <w:rFonts w:ascii="Times New Roman" w:eastAsiaTheme="majorEastAsia" w:hAnsi="Times New Roman" w:cs="Times New Roman"/>
          <w:bCs/>
          <w:color w:val="000000"/>
          <w:sz w:val="24"/>
          <w:szCs w:val="24"/>
          <w:vertAlign w:val="superscript"/>
        </w:rPr>
        <w:t>24</w:t>
      </w:r>
      <w:r w:rsidRPr="00D653EE">
        <w:rPr>
          <w:rFonts w:ascii="Times New Roman" w:eastAsiaTheme="majorEastAsia" w:hAnsi="Times New Roman" w:cs="Times New Roman"/>
          <w:bCs/>
          <w:color w:val="000000"/>
          <w:sz w:val="24"/>
          <w:szCs w:val="24"/>
        </w:rPr>
        <w:t xml:space="preserve"> </w:t>
      </w:r>
      <w:proofErr w:type="spellStart"/>
      <w:r w:rsidRPr="00D653EE">
        <w:rPr>
          <w:rFonts w:ascii="Times New Roman" w:eastAsiaTheme="majorEastAsia" w:hAnsi="Times New Roman" w:cs="Times New Roman"/>
          <w:bCs/>
          <w:color w:val="000000"/>
          <w:sz w:val="24"/>
          <w:szCs w:val="24"/>
        </w:rPr>
        <w:t>Fitusiran</w:t>
      </w:r>
      <w:proofErr w:type="spellEnd"/>
      <w:r w:rsidRPr="00D653EE">
        <w:rPr>
          <w:rFonts w:ascii="Times New Roman" w:eastAsiaTheme="majorEastAsia" w:hAnsi="Times New Roman" w:cs="Times New Roman"/>
          <w:bCs/>
          <w:color w:val="000000"/>
          <w:sz w:val="24"/>
          <w:szCs w:val="24"/>
        </w:rPr>
        <w:t xml:space="preserve"> prophylaxis demonstrated low annuali</w:t>
      </w:r>
      <w:r>
        <w:rPr>
          <w:rFonts w:ascii="Times New Roman" w:eastAsiaTheme="majorEastAsia" w:hAnsi="Times New Roman" w:cs="Times New Roman"/>
          <w:bCs/>
          <w:color w:val="000000"/>
          <w:sz w:val="24"/>
          <w:szCs w:val="24"/>
        </w:rPr>
        <w:t>s</w:t>
      </w:r>
      <w:r w:rsidRPr="00D653EE">
        <w:rPr>
          <w:rFonts w:ascii="Times New Roman" w:eastAsiaTheme="majorEastAsia" w:hAnsi="Times New Roman" w:cs="Times New Roman"/>
          <w:bCs/>
          <w:color w:val="000000"/>
          <w:sz w:val="24"/>
          <w:szCs w:val="24"/>
        </w:rPr>
        <w:t>ed spontaneous and joint bleeding rates, which resulted in statistically significant and clinically meaningful improvements in health-related quality of life as measured by Haem-A-QoL.</w:t>
      </w:r>
      <w:r>
        <w:rPr>
          <w:rFonts w:ascii="Times New Roman" w:eastAsiaTheme="majorEastAsia" w:hAnsi="Times New Roman" w:cs="Times New Roman"/>
          <w:bCs/>
          <w:color w:val="000000"/>
          <w:sz w:val="24"/>
          <w:szCs w:val="24"/>
          <w:vertAlign w:val="superscript"/>
        </w:rPr>
        <w:t>25</w:t>
      </w:r>
      <w:r w:rsidRPr="00D653EE">
        <w:rPr>
          <w:rFonts w:ascii="Times New Roman" w:eastAsiaTheme="majorEastAsia" w:hAnsi="Times New Roman" w:cs="Times New Roman"/>
          <w:bCs/>
          <w:color w:val="000000"/>
          <w:sz w:val="24"/>
          <w:szCs w:val="24"/>
        </w:rPr>
        <w:t xml:space="preserve"> Further studies are needed to assess the long-term impact of </w:t>
      </w:r>
      <w:proofErr w:type="spellStart"/>
      <w:r w:rsidRPr="00D653EE">
        <w:rPr>
          <w:rFonts w:ascii="Times New Roman" w:eastAsiaTheme="majorEastAsia" w:hAnsi="Times New Roman" w:cs="Times New Roman"/>
          <w:bCs/>
          <w:color w:val="000000"/>
          <w:sz w:val="24"/>
          <w:szCs w:val="24"/>
        </w:rPr>
        <w:t>fitusiran</w:t>
      </w:r>
      <w:proofErr w:type="spellEnd"/>
      <w:r w:rsidRPr="00D653EE">
        <w:rPr>
          <w:rFonts w:ascii="Times New Roman" w:eastAsiaTheme="majorEastAsia" w:hAnsi="Times New Roman" w:cs="Times New Roman"/>
          <w:bCs/>
          <w:color w:val="000000"/>
          <w:sz w:val="24"/>
          <w:szCs w:val="24"/>
        </w:rPr>
        <w:t xml:space="preserve"> prophylaxis on joint health and quality of life.</w:t>
      </w:r>
    </w:p>
    <w:p w14:paraId="7B990B3E" w14:textId="77777777" w:rsidR="00DD7F18" w:rsidRPr="00D653EE" w:rsidRDefault="00DD7F18" w:rsidP="008B3DDE">
      <w:pPr>
        <w:spacing w:line="360" w:lineRule="auto"/>
        <w:rPr>
          <w:rFonts w:ascii="Times New Roman" w:eastAsiaTheme="majorEastAsia" w:hAnsi="Times New Roman" w:cs="Times New Roman"/>
          <w:bCs/>
          <w:color w:val="000000"/>
          <w:sz w:val="24"/>
          <w:szCs w:val="24"/>
        </w:rPr>
      </w:pPr>
      <w:proofErr w:type="spellStart"/>
      <w:r w:rsidRPr="00D653EE">
        <w:rPr>
          <w:rFonts w:ascii="Times New Roman" w:eastAsiaTheme="majorEastAsia" w:hAnsi="Times New Roman" w:cs="Times New Roman"/>
          <w:bCs/>
          <w:color w:val="000000"/>
          <w:sz w:val="24"/>
          <w:szCs w:val="24"/>
        </w:rPr>
        <w:t>Fitusiran</w:t>
      </w:r>
      <w:proofErr w:type="spellEnd"/>
      <w:r w:rsidRPr="00D653EE">
        <w:rPr>
          <w:rFonts w:ascii="Times New Roman" w:eastAsiaTheme="majorEastAsia" w:hAnsi="Times New Roman" w:cs="Times New Roman"/>
          <w:bCs/>
          <w:color w:val="000000"/>
          <w:sz w:val="24"/>
          <w:szCs w:val="24"/>
        </w:rPr>
        <w:t xml:space="preserve"> prophylaxis was well tolerated and reported TEAEs were generally consistent with what is anticipated in an adult and adolescent population with severe haemophilia A or B or with previously identified risks of </w:t>
      </w:r>
      <w:proofErr w:type="spellStart"/>
      <w:r w:rsidRPr="00D653EE">
        <w:rPr>
          <w:rFonts w:ascii="Times New Roman" w:eastAsiaTheme="majorEastAsia" w:hAnsi="Times New Roman" w:cs="Times New Roman"/>
          <w:bCs/>
          <w:color w:val="000000"/>
          <w:sz w:val="24"/>
          <w:szCs w:val="24"/>
        </w:rPr>
        <w:t>fitusiran</w:t>
      </w:r>
      <w:proofErr w:type="spellEnd"/>
      <w:r w:rsidRPr="00D653EE">
        <w:rPr>
          <w:rFonts w:ascii="Times New Roman" w:eastAsiaTheme="majorEastAsia" w:hAnsi="Times New Roman" w:cs="Times New Roman"/>
          <w:bCs/>
          <w:color w:val="000000"/>
          <w:sz w:val="24"/>
          <w:szCs w:val="24"/>
        </w:rPr>
        <w:t>, including hepatotoxicity, cholecystitis, and symptomatic cholelithiasis.</w:t>
      </w:r>
      <w:r w:rsidRPr="003C413F">
        <w:rPr>
          <w:rFonts w:ascii="Times New Roman" w:eastAsia="MS Gothic" w:hAnsi="Times New Roman" w:cs="Times New Roman"/>
          <w:bCs/>
          <w:sz w:val="24"/>
          <w:szCs w:val="24"/>
        </w:rPr>
        <w:t xml:space="preserve"> ALT and AST elevations &gt;3× ULN occurred in participants who received </w:t>
      </w:r>
      <w:proofErr w:type="spellStart"/>
      <w:r w:rsidRPr="003C413F">
        <w:rPr>
          <w:rFonts w:ascii="Times New Roman" w:eastAsia="MS Gothic" w:hAnsi="Times New Roman" w:cs="Times New Roman"/>
          <w:bCs/>
          <w:sz w:val="24"/>
          <w:szCs w:val="24"/>
        </w:rPr>
        <w:t>fitusiran</w:t>
      </w:r>
      <w:proofErr w:type="spellEnd"/>
      <w:r w:rsidRPr="003C413F">
        <w:rPr>
          <w:rFonts w:ascii="Times New Roman" w:eastAsia="MS Gothic" w:hAnsi="Times New Roman" w:cs="Times New Roman"/>
          <w:bCs/>
          <w:sz w:val="24"/>
          <w:szCs w:val="24"/>
        </w:rPr>
        <w:t xml:space="preserve">. Similar results have been reported in previous </w:t>
      </w:r>
      <w:proofErr w:type="spellStart"/>
      <w:r w:rsidRPr="003C413F">
        <w:rPr>
          <w:rFonts w:ascii="Times New Roman" w:eastAsia="MS Gothic" w:hAnsi="Times New Roman" w:cs="Times New Roman"/>
          <w:bCs/>
          <w:sz w:val="24"/>
          <w:szCs w:val="24"/>
        </w:rPr>
        <w:t>fitusiran</w:t>
      </w:r>
      <w:proofErr w:type="spellEnd"/>
      <w:r w:rsidRPr="003C413F">
        <w:rPr>
          <w:rFonts w:ascii="Times New Roman" w:eastAsia="MS Gothic" w:hAnsi="Times New Roman" w:cs="Times New Roman"/>
          <w:bCs/>
          <w:sz w:val="24"/>
          <w:szCs w:val="24"/>
        </w:rPr>
        <w:t xml:space="preserve"> studies;</w:t>
      </w:r>
      <w:r>
        <w:rPr>
          <w:rFonts w:ascii="Times New Roman" w:eastAsia="MS Gothic" w:hAnsi="Times New Roman" w:cs="Times New Roman"/>
          <w:bCs/>
          <w:sz w:val="24"/>
          <w:szCs w:val="24"/>
          <w:vertAlign w:val="superscript"/>
        </w:rPr>
        <w:t>19,20</w:t>
      </w:r>
      <w:r w:rsidRPr="003C413F">
        <w:rPr>
          <w:rFonts w:ascii="Times New Roman" w:eastAsia="MS Gothic" w:hAnsi="Times New Roman" w:cs="Times New Roman"/>
          <w:bCs/>
          <w:sz w:val="24"/>
          <w:szCs w:val="24"/>
        </w:rPr>
        <w:t xml:space="preserve"> </w:t>
      </w:r>
      <w:r w:rsidRPr="00D653EE">
        <w:rPr>
          <w:rFonts w:ascii="Times New Roman" w:eastAsiaTheme="majorEastAsia" w:hAnsi="Times New Roman" w:cs="Times New Roman"/>
          <w:bCs/>
          <w:color w:val="000000"/>
          <w:sz w:val="24"/>
          <w:szCs w:val="24"/>
        </w:rPr>
        <w:t>transaminase elevations have also been reported in approved siRNA therapies outside of haemophilia.</w:t>
      </w:r>
      <w:r>
        <w:rPr>
          <w:rFonts w:ascii="Times New Roman" w:eastAsiaTheme="majorEastAsia" w:hAnsi="Times New Roman" w:cs="Times New Roman"/>
          <w:bCs/>
          <w:color w:val="000000"/>
          <w:sz w:val="24"/>
          <w:szCs w:val="24"/>
          <w:vertAlign w:val="superscript"/>
        </w:rPr>
        <w:t>26,27</w:t>
      </w:r>
      <w:r w:rsidRPr="00D653EE">
        <w:rPr>
          <w:rFonts w:ascii="Times New Roman" w:eastAsiaTheme="majorEastAsia" w:hAnsi="Times New Roman" w:cs="Times New Roman"/>
          <w:bCs/>
          <w:color w:val="000000"/>
          <w:sz w:val="24"/>
          <w:szCs w:val="24"/>
        </w:rPr>
        <w:t xml:space="preserve"> </w:t>
      </w:r>
      <w:r>
        <w:rPr>
          <w:rFonts w:ascii="Times New Roman" w:eastAsiaTheme="majorEastAsia" w:hAnsi="Times New Roman" w:cs="Times New Roman"/>
          <w:bCs/>
          <w:color w:val="000000"/>
          <w:sz w:val="24"/>
          <w:szCs w:val="24"/>
        </w:rPr>
        <w:t>The underlying pathophysiologic mechanism for events of t</w:t>
      </w:r>
      <w:r w:rsidRPr="00D653EE">
        <w:rPr>
          <w:rFonts w:ascii="Times New Roman" w:eastAsiaTheme="majorEastAsia" w:hAnsi="Times New Roman" w:cs="Times New Roman"/>
          <w:bCs/>
          <w:color w:val="000000"/>
          <w:sz w:val="24"/>
          <w:szCs w:val="24"/>
        </w:rPr>
        <w:t>ransaminase elevations and gallbladder-related findings</w:t>
      </w:r>
      <w:r>
        <w:rPr>
          <w:rFonts w:ascii="Times New Roman" w:eastAsiaTheme="majorEastAsia" w:hAnsi="Times New Roman" w:cs="Times New Roman"/>
          <w:bCs/>
          <w:color w:val="000000"/>
          <w:sz w:val="24"/>
          <w:szCs w:val="24"/>
        </w:rPr>
        <w:t xml:space="preserve"> is currently unknown; these events</w:t>
      </w:r>
      <w:r w:rsidRPr="00D653EE">
        <w:rPr>
          <w:rFonts w:ascii="Times New Roman" w:eastAsiaTheme="majorEastAsia" w:hAnsi="Times New Roman" w:cs="Times New Roman"/>
          <w:bCs/>
          <w:color w:val="000000"/>
          <w:sz w:val="24"/>
          <w:szCs w:val="24"/>
        </w:rPr>
        <w:t xml:space="preserve"> remain under investigation in participants exposed to </w:t>
      </w:r>
      <w:proofErr w:type="spellStart"/>
      <w:r w:rsidRPr="00D653EE">
        <w:rPr>
          <w:rFonts w:ascii="Times New Roman" w:eastAsiaTheme="majorEastAsia" w:hAnsi="Times New Roman" w:cs="Times New Roman"/>
          <w:bCs/>
          <w:color w:val="000000"/>
          <w:sz w:val="24"/>
          <w:szCs w:val="24"/>
        </w:rPr>
        <w:t>fitusiran</w:t>
      </w:r>
      <w:proofErr w:type="spellEnd"/>
      <w:r w:rsidRPr="00D653EE">
        <w:rPr>
          <w:rFonts w:ascii="Times New Roman" w:eastAsiaTheme="majorEastAsia" w:hAnsi="Times New Roman" w:cs="Times New Roman"/>
          <w:bCs/>
          <w:color w:val="000000"/>
          <w:sz w:val="24"/>
          <w:szCs w:val="24"/>
        </w:rPr>
        <w:t xml:space="preserve"> in ongoing clinical studies. </w:t>
      </w:r>
      <w:bookmarkStart w:id="31" w:name="_Hlk120792437"/>
      <w:r w:rsidRPr="00D653EE">
        <w:rPr>
          <w:rFonts w:ascii="Times New Roman" w:eastAsiaTheme="majorEastAsia" w:hAnsi="Times New Roman" w:cs="Times New Roman"/>
          <w:bCs/>
          <w:color w:val="000000"/>
          <w:sz w:val="24"/>
          <w:szCs w:val="24"/>
        </w:rPr>
        <w:t>There were no thromboembolic events reported during this trial; however, these have been previously reported in participants receiving fitusiran.</w:t>
      </w:r>
      <w:r w:rsidRPr="007E43E0">
        <w:rPr>
          <w:rFonts w:ascii="Times New Roman" w:eastAsiaTheme="majorEastAsia" w:hAnsi="Times New Roman" w:cs="Times New Roman"/>
          <w:bCs/>
          <w:noProof/>
          <w:color w:val="000000"/>
          <w:sz w:val="24"/>
          <w:szCs w:val="24"/>
          <w:vertAlign w:val="superscript"/>
        </w:rPr>
        <w:t>28</w:t>
      </w:r>
      <w:r w:rsidRPr="00D653EE">
        <w:rPr>
          <w:rFonts w:ascii="Times New Roman" w:eastAsiaTheme="majorEastAsia" w:hAnsi="Times New Roman" w:cs="Times New Roman"/>
          <w:bCs/>
          <w:color w:val="000000"/>
          <w:sz w:val="24"/>
          <w:szCs w:val="24"/>
        </w:rPr>
        <w:t xml:space="preserve"> To minimise the risk of vascular thrombotic events in </w:t>
      </w:r>
      <w:r>
        <w:rPr>
          <w:rFonts w:ascii="Times New Roman" w:eastAsiaTheme="majorEastAsia" w:hAnsi="Times New Roman" w:cs="Times New Roman"/>
          <w:bCs/>
          <w:color w:val="000000"/>
          <w:sz w:val="24"/>
          <w:szCs w:val="24"/>
        </w:rPr>
        <w:t>the clinical program</w:t>
      </w:r>
      <w:r w:rsidRPr="00D653EE">
        <w:rPr>
          <w:rFonts w:ascii="Times New Roman" w:eastAsiaTheme="majorEastAsia" w:hAnsi="Times New Roman" w:cs="Times New Roman"/>
          <w:bCs/>
          <w:color w:val="000000"/>
          <w:sz w:val="24"/>
          <w:szCs w:val="24"/>
        </w:rPr>
        <w:t xml:space="preserve">, the CFC dose to treat breakthrough bleeding episodes in the </w:t>
      </w:r>
      <w:proofErr w:type="spellStart"/>
      <w:r w:rsidRPr="00D653EE">
        <w:rPr>
          <w:rFonts w:ascii="Times New Roman" w:eastAsiaTheme="majorEastAsia" w:hAnsi="Times New Roman" w:cs="Times New Roman"/>
          <w:bCs/>
          <w:color w:val="000000"/>
          <w:sz w:val="24"/>
          <w:szCs w:val="24"/>
        </w:rPr>
        <w:lastRenderedPageBreak/>
        <w:t>fitusiran</w:t>
      </w:r>
      <w:proofErr w:type="spellEnd"/>
      <w:r w:rsidRPr="00D653EE">
        <w:rPr>
          <w:rFonts w:ascii="Times New Roman" w:eastAsiaTheme="majorEastAsia" w:hAnsi="Times New Roman" w:cs="Times New Roman"/>
          <w:bCs/>
          <w:color w:val="000000"/>
          <w:sz w:val="24"/>
          <w:szCs w:val="24"/>
        </w:rPr>
        <w:t xml:space="preserve"> prophylaxis group was reduced</w:t>
      </w:r>
      <w:r>
        <w:rPr>
          <w:rFonts w:ascii="Times New Roman" w:eastAsiaTheme="majorEastAsia" w:hAnsi="Times New Roman" w:cs="Times New Roman"/>
          <w:bCs/>
          <w:color w:val="000000"/>
          <w:sz w:val="24"/>
          <w:szCs w:val="24"/>
        </w:rPr>
        <w:t xml:space="preserve"> based on modelling</w:t>
      </w:r>
      <w:r w:rsidRPr="00D653EE">
        <w:rPr>
          <w:rFonts w:ascii="Times New Roman" w:eastAsiaTheme="majorEastAsia" w:hAnsi="Times New Roman" w:cs="Times New Roman"/>
          <w:bCs/>
          <w:color w:val="000000"/>
          <w:sz w:val="24"/>
          <w:szCs w:val="24"/>
        </w:rPr>
        <w:t xml:space="preserve">. Additional risk mitigation strategies, including </w:t>
      </w:r>
      <w:bookmarkStart w:id="32" w:name="_Hlk121215001"/>
      <w:r w:rsidRPr="00D653EE">
        <w:rPr>
          <w:rFonts w:ascii="Times New Roman" w:eastAsiaTheme="majorEastAsia" w:hAnsi="Times New Roman" w:cs="Times New Roman"/>
          <w:bCs/>
          <w:color w:val="000000"/>
          <w:sz w:val="24"/>
          <w:szCs w:val="24"/>
        </w:rPr>
        <w:t xml:space="preserve">a revised </w:t>
      </w:r>
      <w:proofErr w:type="spellStart"/>
      <w:r w:rsidRPr="00D653EE">
        <w:rPr>
          <w:rFonts w:ascii="Times New Roman" w:eastAsiaTheme="majorEastAsia" w:hAnsi="Times New Roman" w:cs="Times New Roman"/>
          <w:bCs/>
          <w:color w:val="000000"/>
          <w:sz w:val="24"/>
          <w:szCs w:val="24"/>
        </w:rPr>
        <w:t>fitusiran</w:t>
      </w:r>
      <w:proofErr w:type="spellEnd"/>
      <w:r w:rsidRPr="00D653EE">
        <w:rPr>
          <w:rFonts w:ascii="Times New Roman" w:eastAsiaTheme="majorEastAsia" w:hAnsi="Times New Roman" w:cs="Times New Roman"/>
          <w:bCs/>
          <w:color w:val="000000"/>
          <w:sz w:val="24"/>
          <w:szCs w:val="24"/>
        </w:rPr>
        <w:t xml:space="preserve"> dose and regimen aimed at enhancing the benefit/risk profile of </w:t>
      </w:r>
      <w:proofErr w:type="spellStart"/>
      <w:r w:rsidRPr="00D653EE">
        <w:rPr>
          <w:rFonts w:ascii="Times New Roman" w:eastAsiaTheme="majorEastAsia" w:hAnsi="Times New Roman" w:cs="Times New Roman"/>
          <w:bCs/>
          <w:color w:val="000000"/>
          <w:sz w:val="24"/>
          <w:szCs w:val="24"/>
        </w:rPr>
        <w:t>fitusiran</w:t>
      </w:r>
      <w:bookmarkEnd w:id="32"/>
      <w:proofErr w:type="spellEnd"/>
      <w:r w:rsidRPr="00D653EE">
        <w:rPr>
          <w:rFonts w:ascii="Times New Roman" w:eastAsiaTheme="majorEastAsia" w:hAnsi="Times New Roman" w:cs="Times New Roman"/>
          <w:bCs/>
          <w:color w:val="000000"/>
          <w:sz w:val="24"/>
          <w:szCs w:val="24"/>
        </w:rPr>
        <w:t xml:space="preserve">, are being evaluated in ongoing Phase 3 clinical studies. The potential for personalisation and optimisation of </w:t>
      </w:r>
      <w:proofErr w:type="spellStart"/>
      <w:r w:rsidRPr="00D653EE">
        <w:rPr>
          <w:rFonts w:ascii="Times New Roman" w:eastAsiaTheme="majorEastAsia" w:hAnsi="Times New Roman" w:cs="Times New Roman"/>
          <w:bCs/>
          <w:color w:val="000000"/>
          <w:sz w:val="24"/>
          <w:szCs w:val="24"/>
        </w:rPr>
        <w:t>fitusiran</w:t>
      </w:r>
      <w:proofErr w:type="spellEnd"/>
      <w:r w:rsidRPr="00D653EE">
        <w:rPr>
          <w:rFonts w:ascii="Times New Roman" w:eastAsiaTheme="majorEastAsia" w:hAnsi="Times New Roman" w:cs="Times New Roman"/>
          <w:bCs/>
          <w:color w:val="000000"/>
          <w:sz w:val="24"/>
          <w:szCs w:val="24"/>
        </w:rPr>
        <w:t xml:space="preserve"> therapy based on an individual’s response</w:t>
      </w:r>
      <w:r>
        <w:rPr>
          <w:rFonts w:ascii="Times New Roman" w:eastAsiaTheme="majorEastAsia" w:hAnsi="Times New Roman" w:cs="Times New Roman"/>
          <w:bCs/>
          <w:color w:val="000000"/>
          <w:sz w:val="24"/>
          <w:szCs w:val="24"/>
        </w:rPr>
        <w:t>, as assessed by AT levels as a specific biomarker,</w:t>
      </w:r>
      <w:r w:rsidRPr="00D653EE">
        <w:rPr>
          <w:rFonts w:ascii="Times New Roman" w:eastAsiaTheme="majorEastAsia" w:hAnsi="Times New Roman" w:cs="Times New Roman"/>
          <w:bCs/>
          <w:color w:val="000000"/>
          <w:sz w:val="24"/>
          <w:szCs w:val="24"/>
        </w:rPr>
        <w:t xml:space="preserve"> is currently under investigation.</w:t>
      </w:r>
      <w:r w:rsidRPr="00D653EE" w:rsidDel="002B62C7">
        <w:rPr>
          <w:rFonts w:ascii="Times New Roman" w:eastAsiaTheme="majorEastAsia" w:hAnsi="Times New Roman" w:cs="Times New Roman"/>
          <w:bCs/>
          <w:color w:val="000000"/>
          <w:sz w:val="24"/>
          <w:szCs w:val="24"/>
        </w:rPr>
        <w:t xml:space="preserve"> </w:t>
      </w:r>
      <w:bookmarkEnd w:id="31"/>
    </w:p>
    <w:p w14:paraId="39513366" w14:textId="5C7A1B49" w:rsidR="00DD7F18" w:rsidRPr="00D653EE" w:rsidRDefault="00DD7F18" w:rsidP="008B3DDE">
      <w:pPr>
        <w:spacing w:line="360" w:lineRule="auto"/>
        <w:rPr>
          <w:rFonts w:ascii="Times New Roman" w:hAnsi="Times New Roman" w:cs="Times New Roman"/>
          <w:b/>
          <w:bCs/>
          <w:sz w:val="24"/>
          <w:szCs w:val="24"/>
        </w:rPr>
      </w:pPr>
      <w:bookmarkStart w:id="33" w:name="_Hlk89778701"/>
      <w:r w:rsidRPr="00D653EE">
        <w:rPr>
          <w:rFonts w:ascii="Times New Roman" w:eastAsiaTheme="majorEastAsia" w:hAnsi="Times New Roman" w:cs="Times New Roman"/>
          <w:bCs/>
          <w:color w:val="000000"/>
          <w:sz w:val="24"/>
          <w:szCs w:val="24"/>
        </w:rPr>
        <w:t xml:space="preserve">The pharmacokinetic profile of </w:t>
      </w:r>
      <w:proofErr w:type="spellStart"/>
      <w:r w:rsidRPr="00D653EE">
        <w:rPr>
          <w:rFonts w:ascii="Times New Roman" w:eastAsiaTheme="majorEastAsia" w:hAnsi="Times New Roman" w:cs="Times New Roman"/>
          <w:bCs/>
          <w:color w:val="000000"/>
          <w:sz w:val="24"/>
          <w:szCs w:val="24"/>
        </w:rPr>
        <w:t>fitusiran</w:t>
      </w:r>
      <w:proofErr w:type="spellEnd"/>
      <w:r w:rsidRPr="00D653EE">
        <w:rPr>
          <w:rFonts w:ascii="Times New Roman" w:eastAsiaTheme="majorEastAsia" w:hAnsi="Times New Roman" w:cs="Times New Roman"/>
          <w:bCs/>
          <w:color w:val="000000"/>
          <w:sz w:val="24"/>
          <w:szCs w:val="24"/>
        </w:rPr>
        <w:t xml:space="preserve"> has been reported previously</w:t>
      </w:r>
      <w:r>
        <w:rPr>
          <w:rFonts w:ascii="Times New Roman" w:eastAsiaTheme="majorEastAsia" w:hAnsi="Times New Roman" w:cs="Times New Roman"/>
          <w:bCs/>
          <w:color w:val="000000"/>
          <w:sz w:val="24"/>
          <w:szCs w:val="24"/>
        </w:rPr>
        <w:t>.</w:t>
      </w:r>
      <w:r>
        <w:rPr>
          <w:rFonts w:ascii="Times New Roman" w:eastAsiaTheme="majorEastAsia" w:hAnsi="Times New Roman" w:cs="Times New Roman"/>
          <w:bCs/>
          <w:color w:val="000000"/>
          <w:sz w:val="24"/>
          <w:szCs w:val="24"/>
          <w:vertAlign w:val="superscript"/>
        </w:rPr>
        <w:t>19,20</w:t>
      </w:r>
      <w:r w:rsidRPr="00D653EE">
        <w:rPr>
          <w:rFonts w:ascii="Times New Roman" w:eastAsiaTheme="majorEastAsia" w:hAnsi="Times New Roman" w:cs="Times New Roman"/>
          <w:bCs/>
          <w:color w:val="000000"/>
          <w:sz w:val="24"/>
          <w:szCs w:val="24"/>
        </w:rPr>
        <w:t xml:space="preserve"> </w:t>
      </w:r>
      <w:proofErr w:type="spellStart"/>
      <w:r w:rsidRPr="00D653EE">
        <w:rPr>
          <w:rFonts w:ascii="Times New Roman" w:eastAsia="MS Gothic" w:hAnsi="Times New Roman" w:cs="Times New Roman"/>
          <w:bCs/>
          <w:sz w:val="24"/>
          <w:szCs w:val="24"/>
        </w:rPr>
        <w:t>Fitusiran</w:t>
      </w:r>
      <w:proofErr w:type="spellEnd"/>
      <w:r w:rsidRPr="00D653EE">
        <w:rPr>
          <w:rFonts w:ascii="Times New Roman" w:eastAsia="MS Gothic" w:hAnsi="Times New Roman" w:cs="Times New Roman"/>
          <w:bCs/>
          <w:sz w:val="24"/>
          <w:szCs w:val="24"/>
        </w:rPr>
        <w:t xml:space="preserve"> reached target pharmacodynamic effect of AT lowering and increased peak thrombin generation by Day 29. </w:t>
      </w:r>
      <w:proofErr w:type="spellStart"/>
      <w:r w:rsidRPr="00D653EE">
        <w:rPr>
          <w:rFonts w:ascii="Times New Roman" w:eastAsia="MS Gothic" w:hAnsi="Times New Roman" w:cs="Times New Roman"/>
          <w:bCs/>
          <w:sz w:val="24"/>
          <w:szCs w:val="24"/>
        </w:rPr>
        <w:t>Fitusiran</w:t>
      </w:r>
      <w:proofErr w:type="spellEnd"/>
      <w:r w:rsidRPr="00D653EE">
        <w:rPr>
          <w:rFonts w:ascii="Times New Roman" w:eastAsia="MS Gothic" w:hAnsi="Times New Roman" w:cs="Times New Roman"/>
          <w:bCs/>
          <w:sz w:val="24"/>
          <w:szCs w:val="24"/>
        </w:rPr>
        <w:t xml:space="preserve"> demonstrated a consistent effect of AT lowering during the efficacy period</w:t>
      </w:r>
      <w:r w:rsidR="00F43BE6">
        <w:rPr>
          <w:rFonts w:ascii="Times New Roman" w:eastAsia="MS Gothic" w:hAnsi="Times New Roman" w:cs="Times New Roman"/>
          <w:bCs/>
          <w:sz w:val="24"/>
          <w:szCs w:val="24"/>
        </w:rPr>
        <w:t>, with mean AT levels between 12–20%</w:t>
      </w:r>
      <w:r w:rsidRPr="00D653EE">
        <w:rPr>
          <w:rFonts w:ascii="Times New Roman" w:eastAsia="MS Gothic" w:hAnsi="Times New Roman" w:cs="Times New Roman"/>
          <w:bCs/>
          <w:sz w:val="24"/>
          <w:szCs w:val="24"/>
        </w:rPr>
        <w:t>. As previously reported, thrombin generation values associated with lowering in AT levels &gt;75% are consistent with those reported for mild haemophilia</w:t>
      </w:r>
      <w:r>
        <w:rPr>
          <w:rFonts w:ascii="Times New Roman" w:eastAsia="MS Gothic" w:hAnsi="Times New Roman" w:cs="Times New Roman"/>
          <w:bCs/>
          <w:sz w:val="24"/>
          <w:szCs w:val="24"/>
        </w:rPr>
        <w:t>.</w:t>
      </w:r>
      <w:r>
        <w:rPr>
          <w:rFonts w:ascii="Times New Roman" w:eastAsia="MS Gothic" w:hAnsi="Times New Roman" w:cs="Times New Roman"/>
          <w:bCs/>
          <w:sz w:val="24"/>
          <w:szCs w:val="24"/>
          <w:vertAlign w:val="superscript"/>
        </w:rPr>
        <w:t>20,29</w:t>
      </w:r>
      <w:r w:rsidRPr="00D653EE">
        <w:rPr>
          <w:rFonts w:ascii="Times New Roman" w:eastAsia="MS Gothic" w:hAnsi="Times New Roman" w:cs="Times New Roman"/>
          <w:bCs/>
          <w:sz w:val="24"/>
          <w:szCs w:val="24"/>
        </w:rPr>
        <w:t xml:space="preserve"> </w:t>
      </w:r>
      <w:r w:rsidRPr="00D653EE">
        <w:rPr>
          <w:rFonts w:ascii="Times New Roman" w:hAnsi="Times New Roman" w:cs="Times New Roman"/>
          <w:sz w:val="24"/>
          <w:szCs w:val="24"/>
        </w:rPr>
        <w:t xml:space="preserve">These findings and a low ABR suggest that </w:t>
      </w:r>
      <w:proofErr w:type="spellStart"/>
      <w:r w:rsidRPr="00D653EE">
        <w:rPr>
          <w:rFonts w:ascii="Times New Roman" w:hAnsi="Times New Roman" w:cs="Times New Roman"/>
          <w:sz w:val="24"/>
          <w:szCs w:val="24"/>
        </w:rPr>
        <w:t>fitusiran</w:t>
      </w:r>
      <w:proofErr w:type="spellEnd"/>
      <w:r w:rsidRPr="00D653EE">
        <w:rPr>
          <w:rFonts w:ascii="Times New Roman" w:hAnsi="Times New Roman" w:cs="Times New Roman"/>
          <w:sz w:val="24"/>
          <w:szCs w:val="24"/>
        </w:rPr>
        <w:t xml:space="preserve"> rebalances haemostasis and provides continuous steady-state bleed protection in people with haemophilia regardless of inhibitors and may allow for the functional change of severe haemophilia to a mild clinical phenotype.</w:t>
      </w:r>
      <w:r w:rsidRPr="00D653EE">
        <w:rPr>
          <w:rFonts w:ascii="Times New Roman" w:hAnsi="Times New Roman" w:cs="Times New Roman"/>
          <w:b/>
          <w:bCs/>
          <w:sz w:val="24"/>
          <w:szCs w:val="24"/>
        </w:rPr>
        <w:t xml:space="preserve"> </w:t>
      </w:r>
      <w:bookmarkEnd w:id="33"/>
    </w:p>
    <w:p w14:paraId="7B2D9CDA" w14:textId="73A2B3C5" w:rsidR="00DD7F18" w:rsidRPr="00D653EE" w:rsidRDefault="00DD7F18">
      <w:pPr>
        <w:spacing w:line="360" w:lineRule="auto"/>
        <w:rPr>
          <w:rFonts w:ascii="Times New Roman" w:hAnsi="Times New Roman" w:cs="Times New Roman"/>
          <w:sz w:val="24"/>
          <w:szCs w:val="24"/>
        </w:rPr>
      </w:pPr>
      <w:bookmarkStart w:id="34" w:name="_Hlk121907392"/>
      <w:r w:rsidRPr="486D63BF">
        <w:rPr>
          <w:rFonts w:ascii="Times New Roman" w:hAnsi="Times New Roman" w:cs="Times New Roman"/>
          <w:sz w:val="24"/>
          <w:szCs w:val="24"/>
        </w:rPr>
        <w:t xml:space="preserve">The main limitation of this study was the comparator arm receiving on-demand (episodic) replacement therapy rather than prophylaxis. </w:t>
      </w:r>
      <w:r w:rsidR="00012EC6" w:rsidRPr="486D63BF">
        <w:rPr>
          <w:rFonts w:ascii="Times New Roman" w:hAnsi="Times New Roman" w:cs="Times New Roman"/>
          <w:sz w:val="24"/>
          <w:szCs w:val="24"/>
        </w:rPr>
        <w:t>Prophylaxis is recommended as the standard of care for people with haemophilia A or B with a severe bleeding phenotype</w:t>
      </w:r>
      <w:r w:rsidR="00012EC6">
        <w:rPr>
          <w:rFonts w:ascii="Times New Roman" w:hAnsi="Times New Roman" w:cs="Times New Roman"/>
          <w:sz w:val="24"/>
          <w:szCs w:val="24"/>
          <w:vertAlign w:val="superscript"/>
        </w:rPr>
        <w:t>2</w:t>
      </w:r>
      <w:r w:rsidR="00F90DFD">
        <w:rPr>
          <w:rFonts w:ascii="Times New Roman" w:hAnsi="Times New Roman" w:cs="Times New Roman"/>
          <w:sz w:val="24"/>
          <w:szCs w:val="24"/>
        </w:rPr>
        <w:t>;</w:t>
      </w:r>
      <w:r w:rsidR="00012EC6" w:rsidRPr="486D63BF">
        <w:rPr>
          <w:rFonts w:ascii="Times New Roman" w:hAnsi="Times New Roman" w:cs="Times New Roman"/>
          <w:sz w:val="24"/>
          <w:szCs w:val="24"/>
        </w:rPr>
        <w:t xml:space="preserve"> </w:t>
      </w:r>
      <w:r w:rsidR="00F90DFD">
        <w:rPr>
          <w:rFonts w:ascii="Times New Roman" w:hAnsi="Times New Roman" w:cs="Times New Roman"/>
          <w:sz w:val="24"/>
          <w:szCs w:val="24"/>
        </w:rPr>
        <w:t xml:space="preserve">therefore, this study does not provide a comparison of </w:t>
      </w:r>
      <w:proofErr w:type="spellStart"/>
      <w:r w:rsidR="00F90DFD">
        <w:rPr>
          <w:rFonts w:ascii="Times New Roman" w:hAnsi="Times New Roman" w:cs="Times New Roman"/>
          <w:sz w:val="24"/>
          <w:szCs w:val="24"/>
        </w:rPr>
        <w:t>fitusiran</w:t>
      </w:r>
      <w:proofErr w:type="spellEnd"/>
      <w:r w:rsidR="00F90DFD">
        <w:rPr>
          <w:rFonts w:ascii="Times New Roman" w:hAnsi="Times New Roman" w:cs="Times New Roman"/>
          <w:sz w:val="24"/>
          <w:szCs w:val="24"/>
        </w:rPr>
        <w:t xml:space="preserve"> prophylaxis with the standard of care. Additionally, a regimen of regularly administered therapeutics aimed at maintaining haemostasis </w:t>
      </w:r>
      <w:r w:rsidR="00E4337F">
        <w:rPr>
          <w:rFonts w:ascii="Times New Roman" w:hAnsi="Times New Roman" w:cs="Times New Roman"/>
          <w:sz w:val="24"/>
          <w:szCs w:val="24"/>
        </w:rPr>
        <w:t>and</w:t>
      </w:r>
      <w:r w:rsidR="00F90DFD">
        <w:rPr>
          <w:rFonts w:ascii="Times New Roman" w:hAnsi="Times New Roman" w:cs="Times New Roman"/>
          <w:sz w:val="24"/>
          <w:szCs w:val="24"/>
        </w:rPr>
        <w:t xml:space="preserve"> prevent</w:t>
      </w:r>
      <w:r w:rsidR="00A64667">
        <w:rPr>
          <w:rFonts w:ascii="Times New Roman" w:hAnsi="Times New Roman" w:cs="Times New Roman"/>
          <w:sz w:val="24"/>
          <w:szCs w:val="24"/>
        </w:rPr>
        <w:t>ing</w:t>
      </w:r>
      <w:r w:rsidR="00F90DFD">
        <w:rPr>
          <w:rFonts w:ascii="Times New Roman" w:hAnsi="Times New Roman" w:cs="Times New Roman"/>
          <w:sz w:val="24"/>
          <w:szCs w:val="24"/>
        </w:rPr>
        <w:t xml:space="preserve"> bleed</w:t>
      </w:r>
      <w:r w:rsidR="00A64667">
        <w:rPr>
          <w:rFonts w:ascii="Times New Roman" w:hAnsi="Times New Roman" w:cs="Times New Roman"/>
          <w:sz w:val="24"/>
          <w:szCs w:val="24"/>
        </w:rPr>
        <w:t>ing</w:t>
      </w:r>
      <w:r w:rsidR="00F90DFD">
        <w:rPr>
          <w:rFonts w:ascii="Times New Roman" w:hAnsi="Times New Roman" w:cs="Times New Roman"/>
          <w:sz w:val="24"/>
          <w:szCs w:val="24"/>
        </w:rPr>
        <w:t xml:space="preserve"> is expected to result in a greater reduction in bleeding events </w:t>
      </w:r>
      <w:r w:rsidR="00A64667">
        <w:rPr>
          <w:rFonts w:ascii="Times New Roman" w:hAnsi="Times New Roman" w:cs="Times New Roman"/>
          <w:sz w:val="24"/>
          <w:szCs w:val="24"/>
        </w:rPr>
        <w:t xml:space="preserve">than treatment with on-demand CFCs. </w:t>
      </w:r>
      <w:r w:rsidR="00012EC6">
        <w:rPr>
          <w:rFonts w:ascii="Times New Roman" w:hAnsi="Times New Roman" w:cs="Times New Roman"/>
          <w:sz w:val="24"/>
          <w:szCs w:val="24"/>
        </w:rPr>
        <w:t>However, a</w:t>
      </w:r>
      <w:r w:rsidR="00012EC6" w:rsidRPr="486D63BF">
        <w:rPr>
          <w:rFonts w:ascii="Times New Roman" w:hAnsi="Times New Roman" w:cs="Times New Roman"/>
          <w:sz w:val="24"/>
          <w:szCs w:val="24"/>
        </w:rPr>
        <w:t xml:space="preserve">t </w:t>
      </w:r>
      <w:r w:rsidRPr="486D63BF">
        <w:rPr>
          <w:rFonts w:ascii="Times New Roman" w:hAnsi="Times New Roman" w:cs="Times New Roman"/>
          <w:sz w:val="24"/>
          <w:szCs w:val="24"/>
        </w:rPr>
        <w:t>the time of design and initiation</w:t>
      </w:r>
      <w:r>
        <w:rPr>
          <w:rFonts w:ascii="Times New Roman" w:hAnsi="Times New Roman" w:cs="Times New Roman"/>
          <w:sz w:val="24"/>
          <w:szCs w:val="24"/>
        </w:rPr>
        <w:t xml:space="preserve"> of this study</w:t>
      </w:r>
      <w:r w:rsidRPr="486D63BF">
        <w:rPr>
          <w:rFonts w:ascii="Times New Roman" w:hAnsi="Times New Roman" w:cs="Times New Roman"/>
          <w:sz w:val="24"/>
          <w:szCs w:val="24"/>
        </w:rPr>
        <w:t xml:space="preserve">, </w:t>
      </w:r>
      <w:r>
        <w:rPr>
          <w:rFonts w:ascii="Times New Roman" w:hAnsi="Times New Roman" w:cs="Times New Roman"/>
          <w:sz w:val="24"/>
          <w:szCs w:val="24"/>
        </w:rPr>
        <w:t>international guidelines were not as unequivocal regarding prophylaxis as the only standard of care for people with haemophilia with a severe bleeding phenotype,</w:t>
      </w:r>
      <w:r w:rsidRPr="486D63BF">
        <w:rPr>
          <w:rFonts w:ascii="Times New Roman" w:hAnsi="Times New Roman" w:cs="Times New Roman"/>
          <w:noProof/>
          <w:sz w:val="24"/>
          <w:szCs w:val="24"/>
          <w:vertAlign w:val="superscript"/>
        </w:rPr>
        <w:t>30</w:t>
      </w:r>
      <w:r>
        <w:rPr>
          <w:rFonts w:ascii="Times New Roman" w:hAnsi="Times New Roman" w:cs="Times New Roman"/>
          <w:sz w:val="24"/>
          <w:szCs w:val="24"/>
        </w:rPr>
        <w:t xml:space="preserve"> as they are currently.</w:t>
      </w:r>
      <w:r>
        <w:rPr>
          <w:rFonts w:ascii="Times New Roman" w:hAnsi="Times New Roman" w:cs="Times New Roman"/>
          <w:sz w:val="24"/>
          <w:szCs w:val="24"/>
          <w:vertAlign w:val="superscript"/>
        </w:rPr>
        <w:t>2</w:t>
      </w:r>
      <w:r w:rsidRPr="486D63BF">
        <w:rPr>
          <w:rFonts w:ascii="Times New Roman" w:hAnsi="Times New Roman" w:cs="Times New Roman"/>
          <w:sz w:val="24"/>
          <w:szCs w:val="24"/>
        </w:rPr>
        <w:t xml:space="preserve"> It has </w:t>
      </w:r>
      <w:r>
        <w:rPr>
          <w:rFonts w:ascii="Times New Roman" w:hAnsi="Times New Roman" w:cs="Times New Roman"/>
          <w:sz w:val="24"/>
          <w:szCs w:val="24"/>
        </w:rPr>
        <w:t xml:space="preserve">also </w:t>
      </w:r>
      <w:r w:rsidRPr="486D63BF">
        <w:rPr>
          <w:rFonts w:ascii="Times New Roman" w:hAnsi="Times New Roman" w:cs="Times New Roman"/>
          <w:sz w:val="24"/>
          <w:szCs w:val="24"/>
        </w:rPr>
        <w:t xml:space="preserve">been standard practice to compare all new haemophilia therapies with an on-demand group first rather than a prophylaxis group as it would be unconventional for people responding to prophylaxis to switch to an investigational agent. Even though the relative reduction in bleeding episodes may be expected in such a comparison, the parameters used to demonstrate high levels of haemostatic efficacy in this study are not just the ABR but also the number of people with zero bleeds and those with ABR &lt;3, both of which are the new benchmarks for efficacy assessment in haemophilia being the best predictors of long-term outcomes. While a comparison with prophylaxis is warranted and is part of the wider </w:t>
      </w:r>
      <w:proofErr w:type="spellStart"/>
      <w:r w:rsidRPr="486D63BF">
        <w:rPr>
          <w:rFonts w:ascii="Times New Roman" w:hAnsi="Times New Roman" w:cs="Times New Roman"/>
          <w:sz w:val="24"/>
          <w:szCs w:val="24"/>
        </w:rPr>
        <w:t>fitusiran</w:t>
      </w:r>
      <w:proofErr w:type="spellEnd"/>
      <w:r w:rsidRPr="486D63BF">
        <w:rPr>
          <w:rFonts w:ascii="Times New Roman" w:hAnsi="Times New Roman" w:cs="Times New Roman"/>
          <w:sz w:val="24"/>
          <w:szCs w:val="24"/>
        </w:rPr>
        <w:t xml:space="preserve"> ATLAS Phase 3 program (NCT03549871), these parameters suggest that the haemostatic efficacy of </w:t>
      </w:r>
      <w:proofErr w:type="spellStart"/>
      <w:r w:rsidRPr="486D63BF">
        <w:rPr>
          <w:rFonts w:ascii="Times New Roman" w:hAnsi="Times New Roman" w:cs="Times New Roman"/>
          <w:sz w:val="24"/>
          <w:szCs w:val="24"/>
        </w:rPr>
        <w:t>fitusiran</w:t>
      </w:r>
      <w:proofErr w:type="spellEnd"/>
      <w:r w:rsidRPr="486D63BF">
        <w:rPr>
          <w:rFonts w:ascii="Times New Roman" w:hAnsi="Times New Roman" w:cs="Times New Roman"/>
          <w:sz w:val="24"/>
          <w:szCs w:val="24"/>
        </w:rPr>
        <w:t xml:space="preserve"> compares well with currently available haemostatic </w:t>
      </w:r>
      <w:r w:rsidRPr="486D63BF">
        <w:rPr>
          <w:rFonts w:ascii="Times New Roman" w:hAnsi="Times New Roman" w:cs="Times New Roman"/>
          <w:sz w:val="24"/>
          <w:szCs w:val="24"/>
        </w:rPr>
        <w:lastRenderedPageBreak/>
        <w:t>therapies.</w:t>
      </w:r>
      <w:r>
        <w:rPr>
          <w:rFonts w:ascii="Times New Roman" w:hAnsi="Times New Roman" w:cs="Times New Roman"/>
          <w:sz w:val="24"/>
          <w:szCs w:val="24"/>
          <w:vertAlign w:val="superscript"/>
        </w:rPr>
        <w:t>6-10,</w:t>
      </w:r>
      <w:r w:rsidRPr="00D96C56">
        <w:rPr>
          <w:rFonts w:ascii="Times New Roman" w:hAnsi="Times New Roman" w:cs="Times New Roman"/>
          <w:sz w:val="24"/>
          <w:szCs w:val="24"/>
          <w:vertAlign w:val="superscript"/>
        </w:rPr>
        <w:t>12-14</w:t>
      </w:r>
      <w:r w:rsidRPr="486D63BF">
        <w:rPr>
          <w:rFonts w:ascii="Times New Roman" w:hAnsi="Times New Roman" w:cs="Times New Roman"/>
          <w:sz w:val="24"/>
          <w:szCs w:val="24"/>
        </w:rPr>
        <w:t xml:space="preserve"> </w:t>
      </w:r>
      <w:r>
        <w:rPr>
          <w:rFonts w:ascii="Times New Roman" w:hAnsi="Times New Roman" w:cs="Times New Roman"/>
          <w:sz w:val="24"/>
          <w:szCs w:val="24"/>
        </w:rPr>
        <w:t xml:space="preserve">Furthermore, the association of </w:t>
      </w:r>
      <w:proofErr w:type="spellStart"/>
      <w:r>
        <w:rPr>
          <w:rFonts w:ascii="Times New Roman" w:hAnsi="Times New Roman" w:cs="Times New Roman"/>
          <w:sz w:val="24"/>
          <w:szCs w:val="24"/>
        </w:rPr>
        <w:t>fitusiran</w:t>
      </w:r>
      <w:proofErr w:type="spellEnd"/>
      <w:r>
        <w:rPr>
          <w:rFonts w:ascii="Times New Roman" w:hAnsi="Times New Roman" w:cs="Times New Roman"/>
          <w:sz w:val="24"/>
          <w:szCs w:val="24"/>
        </w:rPr>
        <w:t xml:space="preserve"> efficacy with AT levels provides additional corroboration of its clinical efficacy.</w:t>
      </w:r>
    </w:p>
    <w:p w14:paraId="1FE75E5E" w14:textId="36B929EB" w:rsidR="00DD7F18" w:rsidRPr="00BD2DF7" w:rsidRDefault="00DD7F18" w:rsidP="008B3DDE">
      <w:pPr>
        <w:spacing w:line="360" w:lineRule="auto"/>
        <w:rPr>
          <w:rFonts w:ascii="Times New Roman" w:hAnsi="Times New Roman" w:cs="Times New Roman"/>
          <w:sz w:val="24"/>
          <w:szCs w:val="24"/>
          <w:vertAlign w:val="superscript"/>
        </w:rPr>
      </w:pPr>
      <w:bookmarkStart w:id="35" w:name="_Hlk121845916"/>
      <w:bookmarkEnd w:id="34"/>
      <w:r w:rsidRPr="00D653EE">
        <w:rPr>
          <w:rFonts w:ascii="Times New Roman" w:hAnsi="Times New Roman" w:cs="Times New Roman"/>
          <w:sz w:val="24"/>
          <w:szCs w:val="24"/>
        </w:rPr>
        <w:t xml:space="preserve">The open-label nature of this study </w:t>
      </w:r>
      <w:r w:rsidR="002036ED">
        <w:rPr>
          <w:rFonts w:ascii="Times New Roman" w:hAnsi="Times New Roman" w:cs="Times New Roman"/>
          <w:sz w:val="24"/>
          <w:szCs w:val="24"/>
        </w:rPr>
        <w:t>is</w:t>
      </w:r>
      <w:r w:rsidRPr="00D653EE">
        <w:rPr>
          <w:rFonts w:ascii="Times New Roman" w:hAnsi="Times New Roman" w:cs="Times New Roman"/>
          <w:sz w:val="24"/>
          <w:szCs w:val="24"/>
        </w:rPr>
        <w:t xml:space="preserve"> a </w:t>
      </w:r>
      <w:r w:rsidR="002036ED">
        <w:rPr>
          <w:rFonts w:ascii="Times New Roman" w:hAnsi="Times New Roman" w:cs="Times New Roman"/>
          <w:sz w:val="24"/>
          <w:szCs w:val="24"/>
        </w:rPr>
        <w:t xml:space="preserve">further </w:t>
      </w:r>
      <w:r w:rsidRPr="00D653EE">
        <w:rPr>
          <w:rFonts w:ascii="Times New Roman" w:hAnsi="Times New Roman" w:cs="Times New Roman"/>
          <w:sz w:val="24"/>
          <w:szCs w:val="24"/>
        </w:rPr>
        <w:t>limitation due to potential biases, particularly in patient-reported outcomes</w:t>
      </w:r>
      <w:r w:rsidR="002036ED">
        <w:rPr>
          <w:rFonts w:ascii="Times New Roman" w:hAnsi="Times New Roman" w:cs="Times New Roman"/>
          <w:sz w:val="24"/>
          <w:szCs w:val="24"/>
        </w:rPr>
        <w:t xml:space="preserve">. </w:t>
      </w:r>
      <w:r w:rsidR="002036ED" w:rsidRPr="002036ED">
        <w:rPr>
          <w:rFonts w:ascii="Times New Roman" w:hAnsi="Times New Roman" w:cs="Times New Roman"/>
          <w:sz w:val="24"/>
          <w:szCs w:val="24"/>
        </w:rPr>
        <w:t xml:space="preserve">Blinding was not considered feasible for this study since the differences in </w:t>
      </w:r>
      <w:r w:rsidR="007A7F3C">
        <w:rPr>
          <w:rFonts w:ascii="Times New Roman" w:hAnsi="Times New Roman" w:cs="Times New Roman"/>
          <w:sz w:val="24"/>
          <w:szCs w:val="24"/>
        </w:rPr>
        <w:t xml:space="preserve">the </w:t>
      </w:r>
      <w:r w:rsidR="002036ED" w:rsidRPr="002036ED">
        <w:rPr>
          <w:rFonts w:ascii="Times New Roman" w:hAnsi="Times New Roman" w:cs="Times New Roman"/>
          <w:sz w:val="24"/>
          <w:szCs w:val="24"/>
        </w:rPr>
        <w:t xml:space="preserve">treatment of breakthrough bleeds for each </w:t>
      </w:r>
      <w:r w:rsidR="007A7F3C">
        <w:rPr>
          <w:rFonts w:ascii="Times New Roman" w:hAnsi="Times New Roman" w:cs="Times New Roman"/>
          <w:sz w:val="24"/>
          <w:szCs w:val="24"/>
        </w:rPr>
        <w:t>group could not</w:t>
      </w:r>
      <w:r w:rsidR="002036ED" w:rsidRPr="002036ED">
        <w:rPr>
          <w:rFonts w:ascii="Times New Roman" w:hAnsi="Times New Roman" w:cs="Times New Roman"/>
          <w:sz w:val="24"/>
          <w:szCs w:val="24"/>
        </w:rPr>
        <w:t xml:space="preserve"> be blinded</w:t>
      </w:r>
      <w:r w:rsidR="002036ED">
        <w:rPr>
          <w:rFonts w:ascii="Times New Roman" w:hAnsi="Times New Roman" w:cs="Times New Roman"/>
          <w:sz w:val="24"/>
          <w:szCs w:val="24"/>
        </w:rPr>
        <w:t>. H</w:t>
      </w:r>
      <w:r w:rsidRPr="00D653EE">
        <w:rPr>
          <w:rFonts w:ascii="Times New Roman" w:hAnsi="Times New Roman" w:cs="Times New Roman"/>
          <w:sz w:val="24"/>
          <w:szCs w:val="24"/>
        </w:rPr>
        <w:t>owever, this design was consistent with previous trials in haemophilia. Additionally, participants were required to have had ≥6 bleeding episodes requiring episodic treatment with clotting factor concentrates 6 months prior to screening. These participants may have had the potential to demonstrate a substantial decrease in bleeding events than participants with lower pre-trial bleeding rates, had they been eligible. To mitigate this potential bias, randomi</w:t>
      </w:r>
      <w:r>
        <w:rPr>
          <w:rFonts w:ascii="Times New Roman" w:hAnsi="Times New Roman" w:cs="Times New Roman"/>
          <w:sz w:val="24"/>
          <w:szCs w:val="24"/>
        </w:rPr>
        <w:t>s</w:t>
      </w:r>
      <w:r w:rsidRPr="00D653EE">
        <w:rPr>
          <w:rFonts w:ascii="Times New Roman" w:hAnsi="Times New Roman" w:cs="Times New Roman"/>
          <w:sz w:val="24"/>
          <w:szCs w:val="24"/>
        </w:rPr>
        <w:t xml:space="preserve">ation was stratified by number of bleeds 6 months prior to screening (≤10 and &gt;10). </w:t>
      </w:r>
      <w:r>
        <w:rPr>
          <w:rFonts w:ascii="Times New Roman" w:hAnsi="Times New Roman" w:cs="Times New Roman"/>
          <w:sz w:val="24"/>
          <w:szCs w:val="24"/>
        </w:rPr>
        <w:t xml:space="preserve">Even though this trial had only 18 participants with haemophilia B in the </w:t>
      </w:r>
      <w:proofErr w:type="spellStart"/>
      <w:r>
        <w:rPr>
          <w:rFonts w:ascii="Times New Roman" w:hAnsi="Times New Roman" w:cs="Times New Roman"/>
          <w:sz w:val="24"/>
          <w:szCs w:val="24"/>
        </w:rPr>
        <w:t>fitusiran</w:t>
      </w:r>
      <w:proofErr w:type="spellEnd"/>
      <w:r>
        <w:rPr>
          <w:rFonts w:ascii="Times New Roman" w:hAnsi="Times New Roman" w:cs="Times New Roman"/>
          <w:sz w:val="24"/>
          <w:szCs w:val="24"/>
        </w:rPr>
        <w:t xml:space="preserve"> prophylaxis group, this is consistent with numbers evaluated for previous products for haemophilia B,</w:t>
      </w:r>
      <w:r w:rsidRPr="00356D26">
        <w:rPr>
          <w:rFonts w:ascii="Times New Roman" w:hAnsi="Times New Roman" w:cs="Times New Roman"/>
          <w:sz w:val="24"/>
          <w:szCs w:val="24"/>
        </w:rPr>
        <w:t xml:space="preserve"> reflective </w:t>
      </w:r>
      <w:r>
        <w:rPr>
          <w:rFonts w:ascii="Times New Roman" w:hAnsi="Times New Roman" w:cs="Times New Roman"/>
          <w:sz w:val="24"/>
          <w:szCs w:val="24"/>
        </w:rPr>
        <w:t>of the lower prevalence of</w:t>
      </w:r>
      <w:r w:rsidRPr="00356D26">
        <w:rPr>
          <w:rFonts w:ascii="Times New Roman" w:hAnsi="Times New Roman" w:cs="Times New Roman"/>
          <w:sz w:val="24"/>
          <w:szCs w:val="24"/>
        </w:rPr>
        <w:t xml:space="preserve"> haemophilia B</w:t>
      </w:r>
      <w:r>
        <w:rPr>
          <w:rFonts w:ascii="Times New Roman" w:hAnsi="Times New Roman" w:cs="Times New Roman"/>
          <w:sz w:val="24"/>
          <w:szCs w:val="24"/>
        </w:rPr>
        <w:t>.</w:t>
      </w:r>
      <w:r>
        <w:rPr>
          <w:rFonts w:ascii="Times New Roman" w:hAnsi="Times New Roman" w:cs="Times New Roman"/>
          <w:sz w:val="24"/>
          <w:szCs w:val="24"/>
          <w:vertAlign w:val="superscript"/>
        </w:rPr>
        <w:t>2</w:t>
      </w:r>
    </w:p>
    <w:bookmarkEnd w:id="35"/>
    <w:p w14:paraId="0A1C09B4" w14:textId="77777777" w:rsidR="00DD7F18" w:rsidRPr="00D653EE" w:rsidRDefault="00DD7F18" w:rsidP="008B3DDE">
      <w:pPr>
        <w:spacing w:line="360" w:lineRule="auto"/>
        <w:rPr>
          <w:rFonts w:ascii="Times New Roman" w:eastAsiaTheme="majorEastAsia" w:hAnsi="Times New Roman" w:cs="Times New Roman"/>
          <w:bCs/>
          <w:color w:val="000000"/>
          <w:sz w:val="24"/>
          <w:szCs w:val="24"/>
        </w:rPr>
      </w:pPr>
      <w:r w:rsidRPr="00D653EE">
        <w:rPr>
          <w:rFonts w:ascii="Times New Roman" w:eastAsiaTheme="majorEastAsia" w:hAnsi="Times New Roman" w:cs="Times New Roman"/>
          <w:bCs/>
          <w:color w:val="000000"/>
          <w:sz w:val="24"/>
          <w:szCs w:val="24"/>
        </w:rPr>
        <w:t xml:space="preserve">In conclusion, subcutaneous </w:t>
      </w:r>
      <w:proofErr w:type="spellStart"/>
      <w:r w:rsidRPr="00D653EE">
        <w:rPr>
          <w:rFonts w:ascii="Times New Roman" w:eastAsiaTheme="majorEastAsia" w:hAnsi="Times New Roman" w:cs="Times New Roman"/>
          <w:bCs/>
          <w:color w:val="000000"/>
          <w:sz w:val="24"/>
          <w:szCs w:val="24"/>
        </w:rPr>
        <w:t>fitusiran</w:t>
      </w:r>
      <w:proofErr w:type="spellEnd"/>
      <w:r w:rsidRPr="00D653EE">
        <w:rPr>
          <w:rFonts w:ascii="Times New Roman" w:eastAsiaTheme="majorEastAsia" w:hAnsi="Times New Roman" w:cs="Times New Roman"/>
          <w:bCs/>
          <w:color w:val="000000"/>
          <w:sz w:val="24"/>
          <w:szCs w:val="24"/>
        </w:rPr>
        <w:t xml:space="preserve"> prophylaxis resulted in a low median ABR in people with severe haemophilia A or B without inhibitors and approximately half of the participants receiving </w:t>
      </w:r>
      <w:proofErr w:type="spellStart"/>
      <w:r w:rsidRPr="00D653EE">
        <w:rPr>
          <w:rFonts w:ascii="Times New Roman" w:eastAsiaTheme="majorEastAsia" w:hAnsi="Times New Roman" w:cs="Times New Roman"/>
          <w:bCs/>
          <w:color w:val="000000"/>
          <w:sz w:val="24"/>
          <w:szCs w:val="24"/>
        </w:rPr>
        <w:t>fitusiran</w:t>
      </w:r>
      <w:proofErr w:type="spellEnd"/>
      <w:r w:rsidRPr="00D653EE">
        <w:rPr>
          <w:rFonts w:ascii="Times New Roman" w:eastAsiaTheme="majorEastAsia" w:hAnsi="Times New Roman" w:cs="Times New Roman"/>
          <w:bCs/>
          <w:color w:val="000000"/>
          <w:sz w:val="24"/>
          <w:szCs w:val="24"/>
        </w:rPr>
        <w:t xml:space="preserve"> experienced zero treated bleeds, demonstrating a significant level of protection against bleeding associated with a meaningful improvement in quality of life, resulting in an overall reduction of treatment and disease burden. </w:t>
      </w:r>
      <w:bookmarkStart w:id="36" w:name="_Hlk97124932"/>
      <w:r w:rsidRPr="00D653EE">
        <w:rPr>
          <w:rFonts w:ascii="Times New Roman" w:eastAsiaTheme="majorEastAsia" w:hAnsi="Times New Roman" w:cs="Times New Roman"/>
          <w:bCs/>
          <w:color w:val="000000"/>
          <w:sz w:val="24"/>
          <w:szCs w:val="24"/>
        </w:rPr>
        <w:t xml:space="preserve">Reported TEAEs were generally consistent with previously identified risks of </w:t>
      </w:r>
      <w:proofErr w:type="spellStart"/>
      <w:r w:rsidRPr="00D653EE">
        <w:rPr>
          <w:rFonts w:ascii="Times New Roman" w:eastAsiaTheme="majorEastAsia" w:hAnsi="Times New Roman" w:cs="Times New Roman"/>
          <w:bCs/>
          <w:color w:val="000000"/>
          <w:sz w:val="24"/>
          <w:szCs w:val="24"/>
        </w:rPr>
        <w:t>fitusiran</w:t>
      </w:r>
      <w:proofErr w:type="spellEnd"/>
      <w:r w:rsidRPr="00D653EE">
        <w:rPr>
          <w:rFonts w:ascii="Times New Roman" w:eastAsiaTheme="majorEastAsia" w:hAnsi="Times New Roman" w:cs="Times New Roman"/>
          <w:bCs/>
          <w:color w:val="000000"/>
          <w:sz w:val="24"/>
          <w:szCs w:val="24"/>
        </w:rPr>
        <w:t xml:space="preserve"> or what is anticipated in an adult and adolescent population with severe </w:t>
      </w:r>
      <w:bookmarkEnd w:id="36"/>
      <w:r w:rsidRPr="00D653EE">
        <w:rPr>
          <w:rFonts w:ascii="Times New Roman" w:eastAsiaTheme="majorEastAsia" w:hAnsi="Times New Roman" w:cs="Times New Roman"/>
          <w:bCs/>
          <w:color w:val="000000"/>
          <w:sz w:val="24"/>
          <w:szCs w:val="24"/>
        </w:rPr>
        <w:t xml:space="preserve">haemophilia. </w:t>
      </w:r>
      <w:bookmarkStart w:id="37" w:name="_Hlk103769388"/>
      <w:proofErr w:type="spellStart"/>
      <w:r w:rsidRPr="00D653EE">
        <w:rPr>
          <w:rFonts w:ascii="Times New Roman" w:eastAsiaTheme="majorEastAsia" w:hAnsi="Times New Roman" w:cs="Times New Roman"/>
          <w:bCs/>
          <w:color w:val="000000"/>
          <w:sz w:val="24"/>
          <w:szCs w:val="24"/>
        </w:rPr>
        <w:t>Fitusiran</w:t>
      </w:r>
      <w:proofErr w:type="spellEnd"/>
      <w:r w:rsidRPr="00D653EE">
        <w:rPr>
          <w:rFonts w:ascii="Times New Roman" w:eastAsiaTheme="majorEastAsia" w:hAnsi="Times New Roman" w:cs="Times New Roman"/>
          <w:bCs/>
          <w:color w:val="000000"/>
          <w:sz w:val="24"/>
          <w:szCs w:val="24"/>
        </w:rPr>
        <w:t xml:space="preserve"> prophylaxis is the first therapy to demonstrate haemostatic efficacy in both haemophilia A or B, irrespective of inhibitor status, and therefore has the potential to be transformative in the management of all people with </w:t>
      </w:r>
      <w:bookmarkEnd w:id="37"/>
      <w:r w:rsidRPr="00D653EE">
        <w:rPr>
          <w:rFonts w:ascii="Times New Roman" w:eastAsiaTheme="majorEastAsia" w:hAnsi="Times New Roman" w:cs="Times New Roman"/>
          <w:bCs/>
          <w:color w:val="000000"/>
          <w:sz w:val="24"/>
          <w:szCs w:val="24"/>
        </w:rPr>
        <w:t>haemophilia.</w:t>
      </w:r>
    </w:p>
    <w:p w14:paraId="70ACF1CA" w14:textId="77777777" w:rsidR="00DD7F18" w:rsidRPr="00D653EE" w:rsidRDefault="00DD7F18" w:rsidP="008B3DDE">
      <w:pPr>
        <w:spacing w:line="360" w:lineRule="auto"/>
        <w:rPr>
          <w:rFonts w:ascii="Times New Roman" w:eastAsiaTheme="majorEastAsia" w:hAnsi="Times New Roman" w:cs="Times New Roman"/>
          <w:b/>
          <w:color w:val="000000"/>
          <w:sz w:val="24"/>
          <w:szCs w:val="24"/>
        </w:rPr>
      </w:pPr>
      <w:r w:rsidRPr="00D653EE">
        <w:rPr>
          <w:rFonts w:ascii="Times New Roman" w:eastAsiaTheme="majorEastAsia" w:hAnsi="Times New Roman" w:cs="Times New Roman"/>
          <w:b/>
          <w:color w:val="000000"/>
          <w:sz w:val="24"/>
          <w:szCs w:val="24"/>
        </w:rPr>
        <w:br w:type="page"/>
      </w:r>
    </w:p>
    <w:p w14:paraId="35C4C373" w14:textId="77777777" w:rsidR="00DD7F18" w:rsidRPr="00D653EE" w:rsidRDefault="00DD7F18" w:rsidP="006867AA">
      <w:pPr>
        <w:spacing w:line="360" w:lineRule="auto"/>
        <w:rPr>
          <w:rFonts w:ascii="Times New Roman" w:eastAsiaTheme="majorEastAsia" w:hAnsi="Times New Roman" w:cs="Times New Roman"/>
          <w:b/>
          <w:color w:val="000000"/>
          <w:sz w:val="24"/>
          <w:szCs w:val="24"/>
        </w:rPr>
      </w:pPr>
      <w:r w:rsidRPr="00D653EE">
        <w:rPr>
          <w:rFonts w:ascii="Times New Roman" w:eastAsiaTheme="majorEastAsia" w:hAnsi="Times New Roman" w:cs="Times New Roman"/>
          <w:b/>
          <w:color w:val="000000"/>
          <w:sz w:val="24"/>
          <w:szCs w:val="24"/>
        </w:rPr>
        <w:lastRenderedPageBreak/>
        <w:t>Author contributions</w:t>
      </w:r>
    </w:p>
    <w:p w14:paraId="588AF05D" w14:textId="77777777" w:rsidR="00DD7F18" w:rsidRPr="00D653EE" w:rsidRDefault="00DD7F18" w:rsidP="006867AA">
      <w:pPr>
        <w:spacing w:line="360" w:lineRule="auto"/>
        <w:rPr>
          <w:rFonts w:ascii="Times New Roman" w:eastAsiaTheme="majorEastAsia" w:hAnsi="Times New Roman" w:cs="Times New Roman"/>
          <w:bCs/>
          <w:color w:val="000000"/>
          <w:sz w:val="24"/>
          <w:szCs w:val="24"/>
        </w:rPr>
      </w:pPr>
      <w:r w:rsidRPr="00D653EE">
        <w:rPr>
          <w:rFonts w:ascii="Times New Roman" w:eastAsiaTheme="majorEastAsia" w:hAnsi="Times New Roman" w:cs="Times New Roman"/>
          <w:bCs/>
          <w:color w:val="000000"/>
          <w:sz w:val="24"/>
          <w:szCs w:val="24"/>
        </w:rPr>
        <w:t>AS, SR, KK, GK, C-WY, WX, NM, ZQ, SA, BM and SWP</w:t>
      </w:r>
      <w:r w:rsidRPr="00D653EE">
        <w:rPr>
          <w:rFonts w:ascii="Times New Roman" w:eastAsiaTheme="majorEastAsia" w:hAnsi="Times New Roman" w:cs="Times New Roman"/>
          <w:b/>
          <w:color w:val="000000"/>
          <w:sz w:val="24"/>
          <w:szCs w:val="24"/>
        </w:rPr>
        <w:t xml:space="preserve"> </w:t>
      </w:r>
      <w:r w:rsidRPr="00D653EE">
        <w:rPr>
          <w:rFonts w:ascii="Times New Roman" w:eastAsiaTheme="majorEastAsia" w:hAnsi="Times New Roman" w:cs="Times New Roman"/>
          <w:bCs/>
          <w:color w:val="000000"/>
          <w:sz w:val="24"/>
          <w:szCs w:val="24"/>
        </w:rPr>
        <w:t>contributed substantially to the conception and design of the trial. AS, SR, KK, RK, GK, C-WY, WX, NM, LF, CB, OS, C-YC, ZQ, BM and SWP contributed substantially to the data acquisition. AS, SR, KK, RK, GK, LK, C-WY, NM, LF, C-YC, SP, ZQ, SA, BM and SWP contributed substantially to data analysis or interpretation of data. All authors revised the manuscript critically for important intellectual content and approved the final submitted version.</w:t>
      </w:r>
    </w:p>
    <w:p w14:paraId="6533F49A" w14:textId="77777777" w:rsidR="00DD7F18" w:rsidRPr="00D653EE" w:rsidRDefault="00DD7F18" w:rsidP="006867AA">
      <w:pPr>
        <w:spacing w:line="360" w:lineRule="auto"/>
        <w:rPr>
          <w:rFonts w:ascii="Times New Roman" w:hAnsi="Times New Roman" w:cs="Times New Roman"/>
          <w:color w:val="000000"/>
          <w:sz w:val="24"/>
          <w:szCs w:val="24"/>
          <w:shd w:val="clear" w:color="auto" w:fill="FFFFFF"/>
        </w:rPr>
      </w:pPr>
      <w:r w:rsidRPr="00D653EE">
        <w:rPr>
          <w:rFonts w:ascii="Times New Roman" w:hAnsi="Times New Roman" w:cs="Times New Roman"/>
          <w:color w:val="000000"/>
          <w:sz w:val="24"/>
          <w:szCs w:val="24"/>
          <w:shd w:val="clear" w:color="auto" w:fill="FFFFFF"/>
        </w:rPr>
        <w:t xml:space="preserve">A. </w:t>
      </w:r>
      <w:r w:rsidRPr="00D653EE">
        <w:rPr>
          <w:rFonts w:ascii="Times New Roman" w:hAnsi="Times New Roman" w:cs="Times New Roman"/>
          <w:sz w:val="24"/>
          <w:szCs w:val="24"/>
        </w:rPr>
        <w:t>Srivastava</w:t>
      </w:r>
      <w:r w:rsidRPr="00D653EE">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and B. Mei </w:t>
      </w:r>
      <w:r w:rsidRPr="00D653EE">
        <w:rPr>
          <w:rFonts w:ascii="Times New Roman" w:hAnsi="Times New Roman" w:cs="Times New Roman"/>
          <w:color w:val="000000"/>
          <w:sz w:val="24"/>
          <w:szCs w:val="24"/>
          <w:shd w:val="clear" w:color="auto" w:fill="FFFFFF"/>
        </w:rPr>
        <w:t>directly accessed and verified the underlying data reported in the manuscript.</w:t>
      </w:r>
    </w:p>
    <w:p w14:paraId="153BA977" w14:textId="77777777" w:rsidR="00DD7F18" w:rsidRPr="00D653EE" w:rsidRDefault="00DD7F18" w:rsidP="006867AA">
      <w:pPr>
        <w:spacing w:line="360" w:lineRule="auto"/>
        <w:rPr>
          <w:rFonts w:ascii="Times New Roman" w:eastAsiaTheme="majorEastAsia" w:hAnsi="Times New Roman" w:cs="Times New Roman"/>
          <w:b/>
          <w:color w:val="000000"/>
          <w:sz w:val="24"/>
          <w:szCs w:val="24"/>
        </w:rPr>
      </w:pPr>
      <w:r w:rsidRPr="00D653EE">
        <w:rPr>
          <w:rFonts w:ascii="Times New Roman" w:eastAsiaTheme="majorEastAsia" w:hAnsi="Times New Roman" w:cs="Times New Roman"/>
          <w:b/>
          <w:color w:val="000000"/>
          <w:sz w:val="24"/>
          <w:szCs w:val="24"/>
        </w:rPr>
        <w:t>Declarations of interest</w:t>
      </w:r>
    </w:p>
    <w:p w14:paraId="2CE0F4D3" w14:textId="3CD08981" w:rsidR="00DD7F18" w:rsidRPr="00D653EE" w:rsidRDefault="00DD7F18" w:rsidP="006867AA">
      <w:pPr>
        <w:spacing w:line="360" w:lineRule="auto"/>
        <w:rPr>
          <w:rFonts w:ascii="Times New Roman" w:hAnsi="Times New Roman" w:cs="Times New Roman"/>
          <w:sz w:val="24"/>
          <w:szCs w:val="24"/>
        </w:rPr>
      </w:pPr>
      <w:r w:rsidRPr="00D653EE">
        <w:rPr>
          <w:rFonts w:ascii="Times New Roman" w:hAnsi="Times New Roman" w:cs="Times New Roman"/>
          <w:sz w:val="24"/>
          <w:szCs w:val="24"/>
        </w:rPr>
        <w:t xml:space="preserve">Alok Srivastava has membership on advisory committees/ grant review committee for Sanofi, Takeda, Novo Nordisk, Roche, Pfizer and Bayer Healthcare and received research funding from Roche, Novo Nordisk, Sanofi and Pfizer. </w:t>
      </w:r>
      <w:r w:rsidRPr="003C413F">
        <w:rPr>
          <w:rFonts w:ascii="Times New Roman" w:eastAsia="MS Gothic" w:hAnsi="Times New Roman" w:cs="Times New Roman"/>
          <w:bCs/>
          <w:sz w:val="24"/>
          <w:szCs w:val="24"/>
        </w:rPr>
        <w:t>Savita Rangarajan</w:t>
      </w:r>
      <w:r w:rsidRPr="00D653EE">
        <w:rPr>
          <w:rFonts w:ascii="Times New Roman" w:hAnsi="Times New Roman" w:cs="Times New Roman"/>
          <w:sz w:val="24"/>
          <w:szCs w:val="24"/>
        </w:rPr>
        <w:t xml:space="preserve"> received honoraria for consulting from Reliance Life Sciences, has participated in a speaker's bureau for Takeda and advisory boards for Pfizer, Sanofi and </w:t>
      </w:r>
      <w:proofErr w:type="spellStart"/>
      <w:r w:rsidRPr="00D653EE">
        <w:rPr>
          <w:rFonts w:ascii="Times New Roman" w:hAnsi="Times New Roman" w:cs="Times New Roman"/>
          <w:sz w:val="24"/>
          <w:szCs w:val="24"/>
        </w:rPr>
        <w:t>Sigilon</w:t>
      </w:r>
      <w:proofErr w:type="spellEnd"/>
      <w:r w:rsidRPr="00D653EE">
        <w:rPr>
          <w:rFonts w:ascii="Times New Roman" w:hAnsi="Times New Roman" w:cs="Times New Roman"/>
          <w:sz w:val="24"/>
          <w:szCs w:val="24"/>
        </w:rPr>
        <w:t xml:space="preserve">. </w:t>
      </w:r>
      <w:r w:rsidRPr="003C413F">
        <w:rPr>
          <w:rFonts w:ascii="Times New Roman" w:eastAsia="MS Gothic" w:hAnsi="Times New Roman" w:cs="Times New Roman"/>
          <w:bCs/>
          <w:sz w:val="24"/>
          <w:szCs w:val="24"/>
        </w:rPr>
        <w:t>Kaan Kavakli</w:t>
      </w:r>
      <w:r w:rsidRPr="00D653EE">
        <w:rPr>
          <w:rFonts w:ascii="Times New Roman" w:hAnsi="Times New Roman" w:cs="Times New Roman"/>
          <w:sz w:val="24"/>
          <w:szCs w:val="24"/>
        </w:rPr>
        <w:t xml:space="preserve"> received honoraria from Pfizer, Bayer, Takeda, Roche and Novo Nordisk, has attended speaker bureau’s for Pfizer, Bayer, Takeda, Roche and Novo Nordisk and has a membership on an entity's Board of Directors or advisory committees for Pfizer, Bayer, Takeda, Roche and Novo Nordisk. Robert Klamroth received research funding from Bayer and Leo. honoraria from Bayer, Biotest, </w:t>
      </w:r>
      <w:proofErr w:type="spellStart"/>
      <w:r w:rsidRPr="00D653EE">
        <w:rPr>
          <w:rFonts w:ascii="Times New Roman" w:hAnsi="Times New Roman" w:cs="Times New Roman"/>
          <w:sz w:val="24"/>
          <w:szCs w:val="24"/>
        </w:rPr>
        <w:t>Biomarin</w:t>
      </w:r>
      <w:proofErr w:type="spellEnd"/>
      <w:r w:rsidRPr="00D653EE">
        <w:rPr>
          <w:rFonts w:ascii="Times New Roman" w:hAnsi="Times New Roman" w:cs="Times New Roman"/>
          <w:sz w:val="24"/>
          <w:szCs w:val="24"/>
        </w:rPr>
        <w:t xml:space="preserve">, BMS, CSL Behring, Daiichi Sankyo, LEO, Novo Nordisk, </w:t>
      </w:r>
      <w:proofErr w:type="spellStart"/>
      <w:r w:rsidRPr="00D653EE">
        <w:rPr>
          <w:rFonts w:ascii="Times New Roman" w:hAnsi="Times New Roman" w:cs="Times New Roman"/>
          <w:sz w:val="24"/>
          <w:szCs w:val="24"/>
        </w:rPr>
        <w:t>Octapharma</w:t>
      </w:r>
      <w:proofErr w:type="spellEnd"/>
      <w:r w:rsidRPr="00D653EE">
        <w:rPr>
          <w:rFonts w:ascii="Times New Roman" w:hAnsi="Times New Roman" w:cs="Times New Roman"/>
          <w:sz w:val="24"/>
          <w:szCs w:val="24"/>
        </w:rPr>
        <w:t xml:space="preserve">, Pfizer, Roche, Sanofi, SOBI, and Takeda and attended speaker bureaus for Bayer, Biotest, </w:t>
      </w:r>
      <w:proofErr w:type="spellStart"/>
      <w:r w:rsidRPr="00D653EE">
        <w:rPr>
          <w:rFonts w:ascii="Times New Roman" w:hAnsi="Times New Roman" w:cs="Times New Roman"/>
          <w:sz w:val="24"/>
          <w:szCs w:val="24"/>
        </w:rPr>
        <w:t>Biomarin</w:t>
      </w:r>
      <w:proofErr w:type="spellEnd"/>
      <w:r w:rsidRPr="00D653EE">
        <w:rPr>
          <w:rFonts w:ascii="Times New Roman" w:hAnsi="Times New Roman" w:cs="Times New Roman"/>
          <w:sz w:val="24"/>
          <w:szCs w:val="24"/>
        </w:rPr>
        <w:t xml:space="preserve">, BMS, CSL Behring, Daiichi Sankyo, Novo Nordisk, </w:t>
      </w:r>
      <w:proofErr w:type="spellStart"/>
      <w:r w:rsidRPr="00D653EE">
        <w:rPr>
          <w:rFonts w:ascii="Times New Roman" w:hAnsi="Times New Roman" w:cs="Times New Roman"/>
          <w:sz w:val="24"/>
          <w:szCs w:val="24"/>
        </w:rPr>
        <w:t>Octapharma</w:t>
      </w:r>
      <w:proofErr w:type="spellEnd"/>
      <w:r w:rsidRPr="00D653EE">
        <w:rPr>
          <w:rFonts w:ascii="Times New Roman" w:hAnsi="Times New Roman" w:cs="Times New Roman"/>
          <w:sz w:val="24"/>
          <w:szCs w:val="24"/>
        </w:rPr>
        <w:t xml:space="preserve">, Pfizer, Roche, Sanofi, SOBI and Takeda. Gili Kenet consults for Alnylam, Bayer, BioMarin Pharmaceutical, CSL, Novo Nordisk, </w:t>
      </w:r>
      <w:proofErr w:type="spellStart"/>
      <w:r w:rsidRPr="00D653EE">
        <w:rPr>
          <w:rFonts w:ascii="Times New Roman" w:hAnsi="Times New Roman" w:cs="Times New Roman"/>
          <w:sz w:val="24"/>
          <w:szCs w:val="24"/>
        </w:rPr>
        <w:t>Opko</w:t>
      </w:r>
      <w:proofErr w:type="spellEnd"/>
      <w:r w:rsidRPr="00D653EE">
        <w:rPr>
          <w:rFonts w:ascii="Times New Roman" w:hAnsi="Times New Roman" w:cs="Times New Roman"/>
          <w:sz w:val="24"/>
          <w:szCs w:val="24"/>
        </w:rPr>
        <w:t xml:space="preserve"> Biologics, Pfizer, Takeda, Roche, Sanofi and </w:t>
      </w:r>
      <w:proofErr w:type="spellStart"/>
      <w:r w:rsidRPr="00D653EE">
        <w:rPr>
          <w:rFonts w:ascii="Times New Roman" w:hAnsi="Times New Roman" w:cs="Times New Roman"/>
          <w:sz w:val="24"/>
          <w:szCs w:val="24"/>
        </w:rPr>
        <w:t>Uniquore</w:t>
      </w:r>
      <w:proofErr w:type="spellEnd"/>
      <w:r w:rsidRPr="00D653EE">
        <w:rPr>
          <w:rFonts w:ascii="Times New Roman" w:hAnsi="Times New Roman" w:cs="Times New Roman"/>
          <w:sz w:val="24"/>
          <w:szCs w:val="24"/>
        </w:rPr>
        <w:t xml:space="preserve"> and received research funding from Alnylam, Bayer, BPL, </w:t>
      </w:r>
      <w:proofErr w:type="spellStart"/>
      <w:r w:rsidRPr="00D653EE">
        <w:rPr>
          <w:rFonts w:ascii="Times New Roman" w:hAnsi="Times New Roman" w:cs="Times New Roman"/>
          <w:sz w:val="24"/>
          <w:szCs w:val="24"/>
        </w:rPr>
        <w:t>Opko</w:t>
      </w:r>
      <w:proofErr w:type="spellEnd"/>
      <w:r w:rsidRPr="00D653EE">
        <w:rPr>
          <w:rFonts w:ascii="Times New Roman" w:hAnsi="Times New Roman" w:cs="Times New Roman"/>
          <w:sz w:val="24"/>
          <w:szCs w:val="24"/>
        </w:rPr>
        <w:t xml:space="preserve"> Biologics, Pfizer, Roche and Takeda and attended speaker bureaus for Bayer, Pfizer, CSL, Shire, Novo Nordisk and Roche, and has a membership on an entity's Board of Directors or advisory committees for Alnylam, Bayer, BioMarin Pharmaceutical, CSL, Novo Nordisk, </w:t>
      </w:r>
      <w:proofErr w:type="spellStart"/>
      <w:r w:rsidRPr="00D653EE">
        <w:rPr>
          <w:rFonts w:ascii="Times New Roman" w:hAnsi="Times New Roman" w:cs="Times New Roman"/>
          <w:sz w:val="24"/>
          <w:szCs w:val="24"/>
        </w:rPr>
        <w:t>Opko</w:t>
      </w:r>
      <w:proofErr w:type="spellEnd"/>
      <w:r w:rsidRPr="00D653EE">
        <w:rPr>
          <w:rFonts w:ascii="Times New Roman" w:hAnsi="Times New Roman" w:cs="Times New Roman"/>
          <w:sz w:val="24"/>
          <w:szCs w:val="24"/>
        </w:rPr>
        <w:t xml:space="preserve"> Biologics, Pfizer, Takeda, Roche, Sanofi and </w:t>
      </w:r>
      <w:proofErr w:type="spellStart"/>
      <w:r w:rsidRPr="00D653EE">
        <w:rPr>
          <w:rFonts w:ascii="Times New Roman" w:hAnsi="Times New Roman" w:cs="Times New Roman"/>
          <w:sz w:val="24"/>
          <w:szCs w:val="24"/>
        </w:rPr>
        <w:t>Uniquore</w:t>
      </w:r>
      <w:proofErr w:type="spellEnd"/>
      <w:r w:rsidRPr="00D653EE">
        <w:rPr>
          <w:rFonts w:ascii="Times New Roman" w:hAnsi="Times New Roman" w:cs="Times New Roman"/>
          <w:sz w:val="24"/>
          <w:szCs w:val="24"/>
        </w:rPr>
        <w:t xml:space="preserve">. Liane Khoo received research funding from Roche, honoraria from Sanofi, Novo Nordisk and Roche, participated in speaker's bureau’s for Roche, Sanofi, Novo Nordisk and Takeda, and holds a membership on an entity's Board of Directors or advisory committees for Roche, Sanofi and Novo Nordisk. Chur-Woo You, </w:t>
      </w:r>
      <w:proofErr w:type="spellStart"/>
      <w:r w:rsidRPr="00D653EE">
        <w:rPr>
          <w:rFonts w:ascii="Times New Roman" w:hAnsi="Times New Roman" w:cs="Times New Roman"/>
          <w:sz w:val="24"/>
          <w:szCs w:val="24"/>
        </w:rPr>
        <w:t>Weiqun</w:t>
      </w:r>
      <w:proofErr w:type="spellEnd"/>
      <w:r w:rsidRPr="00D653EE">
        <w:rPr>
          <w:rFonts w:ascii="Times New Roman" w:hAnsi="Times New Roman" w:cs="Times New Roman"/>
          <w:sz w:val="24"/>
          <w:szCs w:val="24"/>
        </w:rPr>
        <w:t xml:space="preserve"> Xu</w:t>
      </w:r>
      <w:r>
        <w:rPr>
          <w:rFonts w:ascii="Times New Roman" w:hAnsi="Times New Roman" w:cs="Times New Roman"/>
          <w:sz w:val="24"/>
          <w:szCs w:val="24"/>
        </w:rPr>
        <w:t xml:space="preserve"> and</w:t>
      </w:r>
      <w:r w:rsidRPr="00D653EE">
        <w:rPr>
          <w:rFonts w:ascii="Times New Roman" w:hAnsi="Times New Roman" w:cs="Times New Roman"/>
          <w:sz w:val="24"/>
          <w:szCs w:val="24"/>
        </w:rPr>
        <w:t xml:space="preserve"> Catherine </w:t>
      </w:r>
      <w:r w:rsidRPr="00D653EE">
        <w:rPr>
          <w:rFonts w:ascii="Times New Roman" w:hAnsi="Times New Roman" w:cs="Times New Roman"/>
          <w:sz w:val="24"/>
          <w:szCs w:val="24"/>
        </w:rPr>
        <w:lastRenderedPageBreak/>
        <w:t xml:space="preserve">N. Bagot have no disclosures to declare. Chia-Yau Chang received research funding from </w:t>
      </w:r>
      <w:r>
        <w:rPr>
          <w:rFonts w:ascii="Times New Roman" w:hAnsi="Times New Roman" w:cs="Times New Roman"/>
          <w:sz w:val="24"/>
          <w:szCs w:val="24"/>
        </w:rPr>
        <w:t>Bayer and</w:t>
      </w:r>
      <w:r w:rsidRPr="00D653EE">
        <w:rPr>
          <w:rFonts w:ascii="Times New Roman" w:hAnsi="Times New Roman" w:cs="Times New Roman"/>
          <w:sz w:val="24"/>
          <w:szCs w:val="24"/>
        </w:rPr>
        <w:t xml:space="preserve"> Sanofi</w:t>
      </w:r>
      <w:r>
        <w:rPr>
          <w:rFonts w:ascii="Times New Roman" w:hAnsi="Times New Roman" w:cs="Times New Roman"/>
          <w:sz w:val="24"/>
          <w:szCs w:val="24"/>
        </w:rPr>
        <w:t xml:space="preserve">, </w:t>
      </w:r>
      <w:r w:rsidRPr="00D653EE">
        <w:rPr>
          <w:rFonts w:ascii="Times New Roman" w:hAnsi="Times New Roman" w:cs="Times New Roman"/>
          <w:sz w:val="24"/>
          <w:szCs w:val="24"/>
        </w:rPr>
        <w:t xml:space="preserve">honoraria from </w:t>
      </w:r>
      <w:r>
        <w:rPr>
          <w:rFonts w:ascii="Times New Roman" w:hAnsi="Times New Roman" w:cs="Times New Roman"/>
          <w:sz w:val="24"/>
          <w:szCs w:val="24"/>
        </w:rPr>
        <w:t xml:space="preserve">Bay, </w:t>
      </w:r>
      <w:r w:rsidRPr="00D653EE">
        <w:rPr>
          <w:rFonts w:ascii="Times New Roman" w:hAnsi="Times New Roman" w:cs="Times New Roman"/>
          <w:sz w:val="24"/>
          <w:szCs w:val="24"/>
        </w:rPr>
        <w:t>Sanofi, Novo Nordisk</w:t>
      </w:r>
      <w:r>
        <w:rPr>
          <w:rFonts w:ascii="Times New Roman" w:hAnsi="Times New Roman" w:cs="Times New Roman" w:hint="eastAsia"/>
          <w:sz w:val="24"/>
          <w:szCs w:val="24"/>
          <w:lang w:eastAsia="zh-TW"/>
        </w:rPr>
        <w:t>,</w:t>
      </w:r>
      <w:r w:rsidRPr="00D653EE" w:rsidDel="00B05A19">
        <w:rPr>
          <w:rFonts w:ascii="Times New Roman" w:hAnsi="Times New Roman" w:cs="Times New Roman"/>
          <w:sz w:val="24"/>
          <w:szCs w:val="24"/>
        </w:rPr>
        <w:t xml:space="preserve"> </w:t>
      </w:r>
      <w:r w:rsidRPr="00D653EE">
        <w:rPr>
          <w:rFonts w:ascii="Times New Roman" w:hAnsi="Times New Roman" w:cs="Times New Roman"/>
          <w:sz w:val="24"/>
          <w:szCs w:val="24"/>
        </w:rPr>
        <w:t xml:space="preserve">Takeda, </w:t>
      </w:r>
      <w:r>
        <w:rPr>
          <w:rFonts w:ascii="Times New Roman" w:hAnsi="Times New Roman" w:cs="Times New Roman" w:hint="eastAsia"/>
          <w:sz w:val="24"/>
          <w:szCs w:val="24"/>
          <w:lang w:eastAsia="zh-TW"/>
        </w:rPr>
        <w:t>C</w:t>
      </w:r>
      <w:r>
        <w:rPr>
          <w:rFonts w:ascii="Times New Roman" w:hAnsi="Times New Roman" w:cs="Times New Roman"/>
          <w:sz w:val="24"/>
          <w:szCs w:val="24"/>
        </w:rPr>
        <w:t>hugai and</w:t>
      </w:r>
      <w:r w:rsidRPr="00D653EE">
        <w:rPr>
          <w:rFonts w:ascii="Times New Roman" w:hAnsi="Times New Roman" w:cs="Times New Roman"/>
          <w:sz w:val="24"/>
          <w:szCs w:val="24"/>
        </w:rPr>
        <w:t xml:space="preserve"> Pfizer</w:t>
      </w:r>
      <w:r>
        <w:rPr>
          <w:rFonts w:ascii="Times New Roman" w:hAnsi="Times New Roman" w:cs="Times New Roman"/>
          <w:sz w:val="24"/>
          <w:szCs w:val="24"/>
        </w:rPr>
        <w:t xml:space="preserve">, and </w:t>
      </w:r>
      <w:r w:rsidRPr="00D653EE">
        <w:rPr>
          <w:rFonts w:ascii="Times New Roman" w:hAnsi="Times New Roman" w:cs="Times New Roman"/>
          <w:sz w:val="24"/>
          <w:szCs w:val="24"/>
        </w:rPr>
        <w:t>participated in advisory boards for Sanofi, Novo Nordisk</w:t>
      </w:r>
      <w:r>
        <w:rPr>
          <w:rFonts w:ascii="Times New Roman" w:hAnsi="Times New Roman" w:cs="Times New Roman"/>
          <w:sz w:val="24"/>
          <w:szCs w:val="24"/>
        </w:rPr>
        <w:t>,</w:t>
      </w:r>
      <w:r w:rsidRPr="00D653EE" w:rsidDel="00B05A19">
        <w:rPr>
          <w:rFonts w:ascii="Times New Roman" w:hAnsi="Times New Roman" w:cs="Times New Roman"/>
          <w:sz w:val="24"/>
          <w:szCs w:val="24"/>
        </w:rPr>
        <w:t xml:space="preserve"> </w:t>
      </w:r>
      <w:r>
        <w:rPr>
          <w:rFonts w:ascii="Times New Roman" w:hAnsi="Times New Roman" w:cs="Times New Roman"/>
          <w:sz w:val="24"/>
          <w:szCs w:val="24"/>
        </w:rPr>
        <w:t xml:space="preserve">Bayer and </w:t>
      </w:r>
      <w:r>
        <w:rPr>
          <w:rFonts w:ascii="Times New Roman" w:hAnsi="Times New Roman" w:cs="Times New Roman" w:hint="eastAsia"/>
          <w:sz w:val="24"/>
          <w:szCs w:val="24"/>
          <w:lang w:eastAsia="zh-TW"/>
        </w:rPr>
        <w:t>C</w:t>
      </w:r>
      <w:r>
        <w:rPr>
          <w:rFonts w:ascii="Times New Roman" w:hAnsi="Times New Roman" w:cs="Times New Roman"/>
          <w:sz w:val="24"/>
          <w:szCs w:val="24"/>
        </w:rPr>
        <w:t xml:space="preserve">hugai. </w:t>
      </w:r>
      <w:proofErr w:type="spellStart"/>
      <w:r w:rsidRPr="00D653EE">
        <w:rPr>
          <w:rFonts w:ascii="Times New Roman" w:hAnsi="Times New Roman" w:cs="Times New Roman"/>
          <w:sz w:val="24"/>
          <w:szCs w:val="24"/>
        </w:rPr>
        <w:t>Niel</w:t>
      </w:r>
      <w:proofErr w:type="spellEnd"/>
      <w:r w:rsidRPr="00D653EE">
        <w:rPr>
          <w:rFonts w:ascii="Times New Roman" w:hAnsi="Times New Roman" w:cs="Times New Roman"/>
          <w:sz w:val="24"/>
          <w:szCs w:val="24"/>
        </w:rPr>
        <w:t xml:space="preserve"> Malan received research funding for clinical research to be conducted and is vice-chair of St Francis Hospice in South Africa. Laurent Frenzel received research funding from Pfizer, Roche, </w:t>
      </w:r>
      <w:proofErr w:type="spellStart"/>
      <w:r w:rsidRPr="00D653EE">
        <w:rPr>
          <w:rFonts w:ascii="Times New Roman" w:hAnsi="Times New Roman" w:cs="Times New Roman"/>
          <w:sz w:val="24"/>
          <w:szCs w:val="24"/>
        </w:rPr>
        <w:t>Sobi</w:t>
      </w:r>
      <w:proofErr w:type="spellEnd"/>
      <w:r w:rsidRPr="00D653EE">
        <w:rPr>
          <w:rFonts w:ascii="Times New Roman" w:hAnsi="Times New Roman" w:cs="Times New Roman"/>
          <w:sz w:val="24"/>
          <w:szCs w:val="24"/>
        </w:rPr>
        <w:t xml:space="preserve"> and CSL Behring. </w:t>
      </w:r>
      <w:proofErr w:type="spellStart"/>
      <w:r w:rsidRPr="00D653EE">
        <w:rPr>
          <w:rFonts w:ascii="Times New Roman" w:hAnsi="Times New Roman" w:cs="Times New Roman"/>
          <w:sz w:val="24"/>
          <w:szCs w:val="24"/>
        </w:rPr>
        <w:t>Oleksandra</w:t>
      </w:r>
      <w:proofErr w:type="spellEnd"/>
      <w:r w:rsidRPr="00D653EE">
        <w:rPr>
          <w:rFonts w:ascii="Times New Roman" w:hAnsi="Times New Roman" w:cs="Times New Roman"/>
          <w:sz w:val="24"/>
          <w:szCs w:val="24"/>
        </w:rPr>
        <w:t xml:space="preserve"> </w:t>
      </w:r>
      <w:proofErr w:type="spellStart"/>
      <w:r w:rsidRPr="00D653EE">
        <w:rPr>
          <w:rFonts w:ascii="Times New Roman" w:hAnsi="Times New Roman" w:cs="Times New Roman"/>
          <w:sz w:val="24"/>
          <w:szCs w:val="24"/>
        </w:rPr>
        <w:t>Stasyshyn</w:t>
      </w:r>
      <w:proofErr w:type="spellEnd"/>
      <w:r w:rsidRPr="00D653EE">
        <w:rPr>
          <w:rFonts w:ascii="Times New Roman" w:hAnsi="Times New Roman" w:cs="Times New Roman"/>
          <w:sz w:val="24"/>
          <w:szCs w:val="24"/>
        </w:rPr>
        <w:t xml:space="preserve"> received research funding and honoraria from Novo Nordisk, Shire, CSL Behring, Sanofi, Pfizer and LFB and participated in speaker bureau’s for Novo Nordisk, Pfizer, Shire, </w:t>
      </w:r>
      <w:proofErr w:type="spellStart"/>
      <w:r w:rsidRPr="00D653EE">
        <w:rPr>
          <w:rFonts w:ascii="Times New Roman" w:hAnsi="Times New Roman" w:cs="Times New Roman"/>
          <w:sz w:val="24"/>
          <w:szCs w:val="24"/>
        </w:rPr>
        <w:t>Octapharma</w:t>
      </w:r>
      <w:proofErr w:type="spellEnd"/>
      <w:r w:rsidRPr="00D653EE">
        <w:rPr>
          <w:rFonts w:ascii="Times New Roman" w:hAnsi="Times New Roman" w:cs="Times New Roman"/>
          <w:sz w:val="24"/>
          <w:szCs w:val="24"/>
        </w:rPr>
        <w:t xml:space="preserve"> and Roche. Stacey Poloskey, Zhiying Qiu and Shauna Andersson are current employees of Sanofi and equity holders in Sanofi. </w:t>
      </w:r>
      <w:r w:rsidR="000000EC" w:rsidRPr="1AD3B062">
        <w:rPr>
          <w:rFonts w:ascii="Times New Roman" w:hAnsi="Times New Roman" w:cs="Times New Roman"/>
          <w:sz w:val="24"/>
          <w:szCs w:val="24"/>
        </w:rPr>
        <w:t>B</w:t>
      </w:r>
      <w:r w:rsidR="000000EC">
        <w:rPr>
          <w:rFonts w:ascii="Times New Roman" w:hAnsi="Times New Roman" w:cs="Times New Roman"/>
          <w:sz w:val="24"/>
          <w:szCs w:val="24"/>
        </w:rPr>
        <w:t>aisong</w:t>
      </w:r>
      <w:r w:rsidR="000000EC" w:rsidRPr="1AD3B062">
        <w:rPr>
          <w:rFonts w:ascii="Times New Roman" w:hAnsi="Times New Roman" w:cs="Times New Roman"/>
          <w:sz w:val="24"/>
          <w:szCs w:val="24"/>
        </w:rPr>
        <w:t xml:space="preserve"> Mei </w:t>
      </w:r>
      <w:r w:rsidR="000000EC">
        <w:rPr>
          <w:rFonts w:ascii="Times New Roman" w:hAnsi="Times New Roman" w:cs="Times New Roman"/>
          <w:sz w:val="24"/>
          <w:szCs w:val="24"/>
        </w:rPr>
        <w:t>was</w:t>
      </w:r>
      <w:r w:rsidR="000000EC" w:rsidRPr="1AD3B062">
        <w:rPr>
          <w:rFonts w:ascii="Times New Roman" w:hAnsi="Times New Roman" w:cs="Times New Roman"/>
          <w:sz w:val="24"/>
          <w:szCs w:val="24"/>
        </w:rPr>
        <w:t xml:space="preserve"> an employee and equity holder in Sanofi</w:t>
      </w:r>
      <w:r w:rsidR="000000EC">
        <w:rPr>
          <w:rFonts w:ascii="Times New Roman" w:hAnsi="Times New Roman" w:cs="Times New Roman"/>
          <w:sz w:val="24"/>
          <w:szCs w:val="24"/>
        </w:rPr>
        <w:t xml:space="preserve"> at the time of the study</w:t>
      </w:r>
      <w:r w:rsidR="000000EC" w:rsidRPr="1AD3B062">
        <w:rPr>
          <w:rFonts w:ascii="Times New Roman" w:hAnsi="Times New Roman" w:cs="Times New Roman"/>
          <w:sz w:val="24"/>
          <w:szCs w:val="24"/>
        </w:rPr>
        <w:t>, he also has divested equity in Sanofi in the past 24 months</w:t>
      </w:r>
      <w:r w:rsidR="000000EC">
        <w:rPr>
          <w:rFonts w:ascii="Times New Roman" w:hAnsi="Times New Roman" w:cs="Times New Roman"/>
          <w:sz w:val="24"/>
          <w:szCs w:val="24"/>
        </w:rPr>
        <w:t xml:space="preserve">; he is an employee of </w:t>
      </w:r>
      <w:proofErr w:type="spellStart"/>
      <w:r w:rsidR="000000EC">
        <w:rPr>
          <w:rFonts w:ascii="Times New Roman" w:hAnsi="Times New Roman" w:cs="Times New Roman"/>
          <w:sz w:val="24"/>
          <w:szCs w:val="24"/>
        </w:rPr>
        <w:t>Editas</w:t>
      </w:r>
      <w:proofErr w:type="spellEnd"/>
      <w:r w:rsidR="000000EC">
        <w:rPr>
          <w:rFonts w:ascii="Times New Roman" w:hAnsi="Times New Roman" w:cs="Times New Roman"/>
          <w:sz w:val="24"/>
          <w:szCs w:val="24"/>
        </w:rPr>
        <w:t xml:space="preserve"> Medicine</w:t>
      </w:r>
      <w:r w:rsidRPr="00D653EE">
        <w:rPr>
          <w:rFonts w:ascii="Times New Roman" w:hAnsi="Times New Roman" w:cs="Times New Roman"/>
          <w:sz w:val="24"/>
          <w:szCs w:val="24"/>
        </w:rPr>
        <w:t xml:space="preserve">. Steven W. Pipe has received consultancy fees from for </w:t>
      </w:r>
      <w:proofErr w:type="spellStart"/>
      <w:r w:rsidRPr="00D653EE">
        <w:rPr>
          <w:rFonts w:ascii="Times New Roman" w:hAnsi="Times New Roman" w:cs="Times New Roman"/>
          <w:sz w:val="24"/>
          <w:szCs w:val="24"/>
        </w:rPr>
        <w:t>Apcintex</w:t>
      </w:r>
      <w:proofErr w:type="spellEnd"/>
      <w:r w:rsidRPr="00D653EE">
        <w:rPr>
          <w:rFonts w:ascii="Times New Roman" w:hAnsi="Times New Roman" w:cs="Times New Roman"/>
          <w:sz w:val="24"/>
          <w:szCs w:val="24"/>
        </w:rPr>
        <w:t xml:space="preserve">, ASC Therapeutics, Bayer, BioMarin, CSL Behring, </w:t>
      </w:r>
      <w:proofErr w:type="spellStart"/>
      <w:r w:rsidRPr="00D653EE">
        <w:rPr>
          <w:rFonts w:ascii="Times New Roman" w:hAnsi="Times New Roman" w:cs="Times New Roman"/>
          <w:sz w:val="24"/>
          <w:szCs w:val="24"/>
        </w:rPr>
        <w:t>GeneVentiv</w:t>
      </w:r>
      <w:proofErr w:type="spellEnd"/>
      <w:r w:rsidRPr="00D653EE">
        <w:rPr>
          <w:rFonts w:ascii="Times New Roman" w:hAnsi="Times New Roman" w:cs="Times New Roman"/>
          <w:sz w:val="24"/>
          <w:szCs w:val="24"/>
        </w:rPr>
        <w:t xml:space="preserve">, HEMA Biologics, Freeline, Novo Nordisk, Pfizer, </w:t>
      </w:r>
      <w:r>
        <w:rPr>
          <w:rFonts w:ascii="Times New Roman" w:hAnsi="Times New Roman" w:cs="Times New Roman"/>
          <w:sz w:val="24"/>
          <w:szCs w:val="24"/>
        </w:rPr>
        <w:t>Regeneron/</w:t>
      </w:r>
      <w:proofErr w:type="spellStart"/>
      <w:r>
        <w:rPr>
          <w:rFonts w:ascii="Times New Roman" w:hAnsi="Times New Roman" w:cs="Times New Roman"/>
          <w:sz w:val="24"/>
          <w:szCs w:val="24"/>
        </w:rPr>
        <w:t>Intellia</w:t>
      </w:r>
      <w:proofErr w:type="spellEnd"/>
      <w:r>
        <w:rPr>
          <w:rFonts w:ascii="Times New Roman" w:hAnsi="Times New Roman" w:cs="Times New Roman"/>
          <w:sz w:val="24"/>
          <w:szCs w:val="24"/>
        </w:rPr>
        <w:t xml:space="preserve">, </w:t>
      </w:r>
      <w:r w:rsidRPr="00D653EE">
        <w:rPr>
          <w:rFonts w:ascii="Times New Roman" w:hAnsi="Times New Roman" w:cs="Times New Roman"/>
          <w:sz w:val="24"/>
          <w:szCs w:val="24"/>
        </w:rPr>
        <w:t xml:space="preserve">Roche/Genentech, Sanofi, Takeda, Spark Therapeutics and </w:t>
      </w:r>
      <w:proofErr w:type="spellStart"/>
      <w:r>
        <w:rPr>
          <w:rFonts w:ascii="Times New Roman" w:hAnsi="Times New Roman" w:cs="Times New Roman"/>
          <w:sz w:val="24"/>
          <w:szCs w:val="24"/>
        </w:rPr>
        <w:t>u</w:t>
      </w:r>
      <w:r w:rsidRPr="00D653EE">
        <w:rPr>
          <w:rFonts w:ascii="Times New Roman" w:hAnsi="Times New Roman" w:cs="Times New Roman"/>
          <w:sz w:val="24"/>
          <w:szCs w:val="24"/>
        </w:rPr>
        <w:t>niQure</w:t>
      </w:r>
      <w:proofErr w:type="spellEnd"/>
      <w:r w:rsidRPr="00D653EE">
        <w:rPr>
          <w:rFonts w:ascii="Times New Roman" w:hAnsi="Times New Roman" w:cs="Times New Roman"/>
          <w:sz w:val="24"/>
          <w:szCs w:val="24"/>
        </w:rPr>
        <w:t xml:space="preserve">, and research funding from Siemens and holds a membership on a Scientific advisory committee for </w:t>
      </w:r>
      <w:proofErr w:type="spellStart"/>
      <w:r w:rsidRPr="00D653EE">
        <w:rPr>
          <w:rFonts w:ascii="Times New Roman" w:hAnsi="Times New Roman" w:cs="Times New Roman"/>
          <w:sz w:val="24"/>
          <w:szCs w:val="24"/>
        </w:rPr>
        <w:t>GeneVentiv</w:t>
      </w:r>
      <w:proofErr w:type="spellEnd"/>
      <w:r w:rsidRPr="00D653EE">
        <w:rPr>
          <w:rFonts w:ascii="Times New Roman" w:hAnsi="Times New Roman" w:cs="Times New Roman"/>
          <w:sz w:val="24"/>
          <w:szCs w:val="24"/>
        </w:rPr>
        <w:t>.</w:t>
      </w:r>
    </w:p>
    <w:p w14:paraId="4D1D1E24" w14:textId="77777777" w:rsidR="00DD7F18" w:rsidRPr="000A37A3" w:rsidRDefault="00DD7F18" w:rsidP="006867AA">
      <w:pPr>
        <w:spacing w:line="360" w:lineRule="auto"/>
        <w:rPr>
          <w:rFonts w:ascii="Times New Roman" w:hAnsi="Times New Roman" w:cs="Times New Roman"/>
          <w:sz w:val="24"/>
          <w:szCs w:val="24"/>
        </w:rPr>
      </w:pPr>
      <w:r>
        <w:rPr>
          <w:rFonts w:ascii="Times New Roman" w:hAnsi="Times New Roman" w:cs="Times New Roman"/>
          <w:sz w:val="24"/>
          <w:szCs w:val="24"/>
        </w:rPr>
        <w:t>Efficacy and safety d</w:t>
      </w:r>
      <w:r w:rsidRPr="00D653EE">
        <w:rPr>
          <w:rFonts w:ascii="Times New Roman" w:hAnsi="Times New Roman" w:cs="Times New Roman"/>
          <w:sz w:val="24"/>
          <w:szCs w:val="24"/>
        </w:rPr>
        <w:t>ata were presented in part at the 63</w:t>
      </w:r>
      <w:r w:rsidRPr="00D653EE">
        <w:rPr>
          <w:rFonts w:ascii="Times New Roman" w:hAnsi="Times New Roman" w:cs="Times New Roman"/>
          <w:sz w:val="24"/>
          <w:szCs w:val="24"/>
          <w:vertAlign w:val="superscript"/>
        </w:rPr>
        <w:t>rd</w:t>
      </w:r>
      <w:r w:rsidRPr="00D653EE">
        <w:rPr>
          <w:rFonts w:ascii="Times New Roman" w:hAnsi="Times New Roman" w:cs="Times New Roman"/>
          <w:sz w:val="24"/>
          <w:szCs w:val="24"/>
        </w:rPr>
        <w:t xml:space="preserve"> American Society of </w:t>
      </w:r>
      <w:proofErr w:type="spellStart"/>
      <w:r w:rsidRPr="00D653EE">
        <w:rPr>
          <w:rFonts w:ascii="Times New Roman" w:hAnsi="Times New Roman" w:cs="Times New Roman"/>
          <w:sz w:val="24"/>
          <w:szCs w:val="24"/>
        </w:rPr>
        <w:t>Hematology</w:t>
      </w:r>
      <w:proofErr w:type="spellEnd"/>
      <w:r w:rsidRPr="00D653EE">
        <w:rPr>
          <w:rFonts w:ascii="Times New Roman" w:hAnsi="Times New Roman" w:cs="Times New Roman"/>
          <w:sz w:val="24"/>
          <w:szCs w:val="24"/>
        </w:rPr>
        <w:t xml:space="preserve"> (ASH) Annual Meeting and Exposition, December 11–14, 2021</w:t>
      </w:r>
      <w:r>
        <w:rPr>
          <w:rFonts w:ascii="Times New Roman" w:hAnsi="Times New Roman" w:cs="Times New Roman"/>
          <w:sz w:val="28"/>
          <w:szCs w:val="28"/>
        </w:rPr>
        <w:t xml:space="preserve"> </w:t>
      </w:r>
      <w:r w:rsidRPr="000A37A3">
        <w:rPr>
          <w:rFonts w:ascii="Times New Roman" w:hAnsi="Times New Roman" w:cs="Times New Roman"/>
          <w:sz w:val="24"/>
          <w:szCs w:val="24"/>
        </w:rPr>
        <w:t>and as an encore at the 15th Congress of the European Association for Haemophilia and Allied Disorders (EAHAD) February 2–4, 2022. Pharmacodynamic data was presented at the 30th Congress of the International Society on Thrombosis and Haemostasis (ISTH), July 9–12, 2022.</w:t>
      </w:r>
    </w:p>
    <w:p w14:paraId="711A1C99" w14:textId="77777777" w:rsidR="00DD7F18" w:rsidRPr="00D653EE" w:rsidRDefault="00DD7F18" w:rsidP="006867AA">
      <w:pPr>
        <w:spacing w:line="360" w:lineRule="auto"/>
        <w:rPr>
          <w:rFonts w:ascii="Times New Roman" w:hAnsi="Times New Roman" w:cs="Times New Roman"/>
          <w:b/>
          <w:bCs/>
          <w:sz w:val="24"/>
          <w:szCs w:val="24"/>
        </w:rPr>
      </w:pPr>
      <w:r w:rsidRPr="00D653EE">
        <w:rPr>
          <w:rFonts w:ascii="Times New Roman" w:hAnsi="Times New Roman" w:cs="Times New Roman"/>
          <w:b/>
          <w:bCs/>
          <w:sz w:val="24"/>
          <w:szCs w:val="24"/>
        </w:rPr>
        <w:t>Data Sharing</w:t>
      </w:r>
    </w:p>
    <w:p w14:paraId="11C80B67" w14:textId="77777777" w:rsidR="00DD7F18" w:rsidRPr="00D653EE" w:rsidRDefault="00DD7F18" w:rsidP="006867AA">
      <w:pPr>
        <w:spacing w:line="360" w:lineRule="auto"/>
        <w:rPr>
          <w:rFonts w:ascii="Times New Roman" w:hAnsi="Times New Roman" w:cs="Times New Roman"/>
          <w:b/>
          <w:sz w:val="24"/>
          <w:szCs w:val="24"/>
        </w:rPr>
      </w:pPr>
      <w:r w:rsidRPr="00D653EE">
        <w:rPr>
          <w:rFonts w:ascii="Times New Roman" w:hAnsi="Times New Roman" w:cs="Times New Roman"/>
          <w:sz w:val="24"/>
          <w:szCs w:val="24"/>
        </w:rPr>
        <w:t xml:space="preserve">Qualified researchers may request access to patient-level data and related study documents including the study protocol with any amendments, statistical analysis plan, and dataset specifications. Further details on Sanofi’s data sharing criteria, eligible studies, and process for requesting access can be found at: </w:t>
      </w:r>
      <w:hyperlink r:id="rId10" w:history="1">
        <w:r w:rsidRPr="00D653EE">
          <w:rPr>
            <w:rStyle w:val="Hyperlink"/>
            <w:sz w:val="24"/>
            <w:szCs w:val="24"/>
          </w:rPr>
          <w:t>https://www.vivli.org/</w:t>
        </w:r>
      </w:hyperlink>
      <w:r w:rsidRPr="00D653EE">
        <w:rPr>
          <w:rFonts w:ascii="Times New Roman" w:hAnsi="Times New Roman" w:cs="Times New Roman"/>
          <w:sz w:val="24"/>
          <w:szCs w:val="24"/>
        </w:rPr>
        <w:t xml:space="preserve"> </w:t>
      </w:r>
    </w:p>
    <w:p w14:paraId="426A1E99" w14:textId="77777777" w:rsidR="00DD7F18" w:rsidRPr="00D653EE" w:rsidRDefault="00DD7F18" w:rsidP="008B3DDE">
      <w:pPr>
        <w:spacing w:line="360" w:lineRule="auto"/>
        <w:rPr>
          <w:rFonts w:ascii="Times New Roman" w:eastAsiaTheme="majorEastAsia" w:hAnsi="Times New Roman" w:cs="Times New Roman"/>
          <w:b/>
          <w:color w:val="000000"/>
          <w:sz w:val="24"/>
          <w:szCs w:val="24"/>
        </w:rPr>
      </w:pPr>
      <w:r w:rsidRPr="00D653EE">
        <w:rPr>
          <w:rFonts w:ascii="Times New Roman" w:eastAsiaTheme="majorEastAsia" w:hAnsi="Times New Roman" w:cs="Times New Roman"/>
          <w:b/>
          <w:color w:val="000000"/>
          <w:sz w:val="24"/>
          <w:szCs w:val="24"/>
        </w:rPr>
        <w:t>Acknowledgements</w:t>
      </w:r>
    </w:p>
    <w:p w14:paraId="7C24A58D" w14:textId="77777777" w:rsidR="00DD7F18" w:rsidRPr="00D705EC" w:rsidRDefault="00DD7F18" w:rsidP="008B3DDE">
      <w:pPr>
        <w:spacing w:line="360" w:lineRule="auto"/>
        <w:rPr>
          <w:rFonts w:ascii="Times New Roman" w:eastAsiaTheme="majorEastAsia" w:hAnsi="Times New Roman" w:cs="Times New Roman"/>
          <w:bCs/>
          <w:color w:val="000000"/>
          <w:sz w:val="24"/>
          <w:szCs w:val="24"/>
        </w:rPr>
      </w:pPr>
      <w:r w:rsidRPr="00D653EE">
        <w:rPr>
          <w:rFonts w:ascii="Times New Roman" w:eastAsiaTheme="majorEastAsia" w:hAnsi="Times New Roman" w:cs="Times New Roman"/>
          <w:bCs/>
          <w:color w:val="000000"/>
          <w:sz w:val="24"/>
          <w:szCs w:val="24"/>
        </w:rPr>
        <w:t xml:space="preserve">The authors would like to thank all the participants, their families, and the investigators and staff from participating sites involved in this trial. The authors would like to thank Sajida Iqbal, PhD, for contributions to the analysis and interpretation of pharmacodynamics and antidrug antibody analysis, </w:t>
      </w:r>
      <w:r w:rsidRPr="00D653EE">
        <w:rPr>
          <w:rFonts w:ascii="Times New Roman" w:hAnsi="Times New Roman" w:cs="Times New Roman"/>
          <w:sz w:val="24"/>
          <w:szCs w:val="24"/>
        </w:rPr>
        <w:t>José Bartelt-Hofer, PhD,</w:t>
      </w:r>
      <w:r w:rsidRPr="00D653EE">
        <w:rPr>
          <w:rFonts w:ascii="Times New Roman" w:eastAsiaTheme="majorEastAsia" w:hAnsi="Times New Roman" w:cs="Times New Roman"/>
          <w:bCs/>
          <w:color w:val="000000"/>
          <w:sz w:val="24"/>
          <w:szCs w:val="24"/>
        </w:rPr>
        <w:t xml:space="preserve"> for analysis and interpretation of the health-related quality of life data, and</w:t>
      </w:r>
      <w:r>
        <w:rPr>
          <w:rFonts w:ascii="Times New Roman" w:eastAsiaTheme="majorEastAsia" w:hAnsi="Times New Roman" w:cs="Times New Roman"/>
          <w:bCs/>
          <w:color w:val="000000"/>
          <w:sz w:val="24"/>
          <w:szCs w:val="24"/>
        </w:rPr>
        <w:t xml:space="preserve"> Julia Xiong, PhD, and</w:t>
      </w:r>
      <w:r w:rsidRPr="00D653EE">
        <w:rPr>
          <w:rFonts w:ascii="Times New Roman" w:eastAsiaTheme="majorEastAsia" w:hAnsi="Times New Roman" w:cs="Times New Roman"/>
          <w:bCs/>
          <w:color w:val="000000"/>
          <w:sz w:val="24"/>
          <w:szCs w:val="24"/>
        </w:rPr>
        <w:t xml:space="preserve"> Yue Cui, PhD, for contributions </w:t>
      </w:r>
      <w:r w:rsidRPr="00D653EE">
        <w:rPr>
          <w:rFonts w:ascii="Times New Roman" w:eastAsiaTheme="majorEastAsia" w:hAnsi="Times New Roman" w:cs="Times New Roman"/>
          <w:bCs/>
          <w:color w:val="000000"/>
          <w:sz w:val="24"/>
          <w:szCs w:val="24"/>
        </w:rPr>
        <w:lastRenderedPageBreak/>
        <w:t xml:space="preserve">to the statistical analysis and critical review of the manuscript. Medical writing support for the development of this manuscript, under the direction of the authors, was provided by Jack Wigham, of Ashfield </w:t>
      </w:r>
      <w:proofErr w:type="spellStart"/>
      <w:r w:rsidRPr="00D653EE">
        <w:rPr>
          <w:rFonts w:ascii="Times New Roman" w:eastAsiaTheme="majorEastAsia" w:hAnsi="Times New Roman" w:cs="Times New Roman"/>
          <w:bCs/>
          <w:color w:val="000000"/>
          <w:sz w:val="24"/>
          <w:szCs w:val="24"/>
        </w:rPr>
        <w:t>MedComms</w:t>
      </w:r>
      <w:proofErr w:type="spellEnd"/>
      <w:r w:rsidRPr="00D653EE">
        <w:rPr>
          <w:rFonts w:ascii="Times New Roman" w:eastAsiaTheme="majorEastAsia" w:hAnsi="Times New Roman" w:cs="Times New Roman"/>
          <w:bCs/>
          <w:color w:val="000000"/>
          <w:sz w:val="24"/>
          <w:szCs w:val="24"/>
        </w:rPr>
        <w:t xml:space="preserve">, an </w:t>
      </w:r>
      <w:proofErr w:type="spellStart"/>
      <w:r>
        <w:rPr>
          <w:rFonts w:ascii="Times New Roman" w:eastAsiaTheme="majorEastAsia" w:hAnsi="Times New Roman" w:cs="Times New Roman"/>
          <w:bCs/>
          <w:color w:val="000000"/>
          <w:sz w:val="24"/>
          <w:szCs w:val="24"/>
        </w:rPr>
        <w:t>Inizio</w:t>
      </w:r>
      <w:proofErr w:type="spellEnd"/>
      <w:r w:rsidRPr="00D653EE">
        <w:rPr>
          <w:rFonts w:ascii="Times New Roman" w:eastAsiaTheme="majorEastAsia" w:hAnsi="Times New Roman" w:cs="Times New Roman"/>
          <w:bCs/>
          <w:color w:val="000000"/>
          <w:sz w:val="24"/>
          <w:szCs w:val="24"/>
        </w:rPr>
        <w:t xml:space="preserve"> company, and funded by Sanofi</w:t>
      </w:r>
      <w:r w:rsidRPr="00D653EE">
        <w:rPr>
          <w:rFonts w:ascii="Times New Roman" w:hAnsi="Times New Roman" w:cs="Times New Roman"/>
          <w:sz w:val="24"/>
          <w:szCs w:val="24"/>
        </w:rPr>
        <w:t xml:space="preserve"> in accordance with Good Publication Practice guidelines</w:t>
      </w:r>
      <w:r w:rsidRPr="00D653EE">
        <w:rPr>
          <w:rFonts w:ascii="Times New Roman" w:eastAsiaTheme="majorEastAsia" w:hAnsi="Times New Roman" w:cs="Times New Roman"/>
          <w:bCs/>
          <w:color w:val="000000"/>
          <w:sz w:val="24"/>
          <w:szCs w:val="24"/>
        </w:rPr>
        <w:t>.</w:t>
      </w:r>
      <w:r w:rsidRPr="00D653EE">
        <w:rPr>
          <w:rFonts w:ascii="Times New Roman" w:eastAsiaTheme="majorEastAsia" w:hAnsi="Times New Roman" w:cs="Times New Roman"/>
          <w:b/>
          <w:color w:val="000000"/>
          <w:sz w:val="24"/>
          <w:szCs w:val="24"/>
        </w:rPr>
        <w:br w:type="page"/>
      </w:r>
    </w:p>
    <w:p w14:paraId="24F0077D" w14:textId="77777777" w:rsidR="00DD7F18" w:rsidRPr="0068710B" w:rsidRDefault="00DD7F18" w:rsidP="0068710B">
      <w:pPr>
        <w:spacing w:line="360" w:lineRule="auto"/>
        <w:rPr>
          <w:rFonts w:ascii="Times New Roman" w:eastAsiaTheme="majorEastAsia" w:hAnsi="Times New Roman" w:cs="Times New Roman"/>
          <w:b/>
          <w:color w:val="000000"/>
          <w:sz w:val="24"/>
          <w:szCs w:val="24"/>
        </w:rPr>
      </w:pPr>
      <w:r w:rsidRPr="00D653EE">
        <w:rPr>
          <w:rFonts w:ascii="Times New Roman" w:eastAsiaTheme="majorEastAsia" w:hAnsi="Times New Roman" w:cs="Times New Roman"/>
          <w:b/>
          <w:color w:val="000000"/>
          <w:sz w:val="24"/>
          <w:szCs w:val="24"/>
        </w:rPr>
        <w:lastRenderedPageBreak/>
        <w:t xml:space="preserve">References </w:t>
      </w:r>
    </w:p>
    <w:p w14:paraId="275C043A" w14:textId="77777777" w:rsidR="00DD7F18" w:rsidRPr="0068710B" w:rsidRDefault="00DD7F18" w:rsidP="0068710B">
      <w:pPr>
        <w:pStyle w:val="ListParagraph"/>
        <w:numPr>
          <w:ilvl w:val="0"/>
          <w:numId w:val="41"/>
        </w:numPr>
        <w:rPr>
          <w:rFonts w:ascii="Times New Roman" w:hAnsi="Times New Roman" w:cs="Times New Roman"/>
        </w:rPr>
      </w:pPr>
      <w:proofErr w:type="spellStart"/>
      <w:r w:rsidRPr="0068710B">
        <w:rPr>
          <w:rFonts w:ascii="Times New Roman" w:hAnsi="Times New Roman" w:cs="Times New Roman"/>
        </w:rPr>
        <w:t>Negrier</w:t>
      </w:r>
      <w:proofErr w:type="spellEnd"/>
      <w:r w:rsidRPr="0068710B">
        <w:rPr>
          <w:rFonts w:ascii="Times New Roman" w:hAnsi="Times New Roman" w:cs="Times New Roman"/>
        </w:rPr>
        <w:t xml:space="preserve"> C, </w:t>
      </w:r>
      <w:proofErr w:type="spellStart"/>
      <w:r w:rsidRPr="0068710B">
        <w:rPr>
          <w:rFonts w:ascii="Times New Roman" w:hAnsi="Times New Roman" w:cs="Times New Roman"/>
        </w:rPr>
        <w:t>Shima</w:t>
      </w:r>
      <w:proofErr w:type="spellEnd"/>
      <w:r w:rsidRPr="0068710B">
        <w:rPr>
          <w:rFonts w:ascii="Times New Roman" w:hAnsi="Times New Roman" w:cs="Times New Roman"/>
        </w:rPr>
        <w:t xml:space="preserve"> M, Hoffman M. The central role of thrombin in bleeding disorders. </w:t>
      </w:r>
      <w:r w:rsidRPr="0068710B">
        <w:rPr>
          <w:rFonts w:ascii="Times New Roman" w:hAnsi="Times New Roman" w:cs="Times New Roman"/>
          <w:i/>
          <w:iCs/>
        </w:rPr>
        <w:t xml:space="preserve">Blood reviews </w:t>
      </w:r>
      <w:r w:rsidRPr="0068710B">
        <w:rPr>
          <w:rFonts w:ascii="Times New Roman" w:hAnsi="Times New Roman" w:cs="Times New Roman"/>
        </w:rPr>
        <w:t xml:space="preserve">2019; </w:t>
      </w:r>
      <w:r w:rsidRPr="0068710B">
        <w:rPr>
          <w:rFonts w:ascii="Times New Roman" w:hAnsi="Times New Roman" w:cs="Times New Roman"/>
          <w:b/>
          <w:bCs/>
        </w:rPr>
        <w:t>38</w:t>
      </w:r>
      <w:r w:rsidRPr="0068710B">
        <w:rPr>
          <w:rFonts w:ascii="Times New Roman" w:hAnsi="Times New Roman" w:cs="Times New Roman"/>
        </w:rPr>
        <w:t>: 100582.</w:t>
      </w:r>
    </w:p>
    <w:p w14:paraId="101AF94B" w14:textId="77777777" w:rsidR="00DD7F18" w:rsidRPr="0068710B" w:rsidRDefault="00DD7F18" w:rsidP="0068710B">
      <w:pPr>
        <w:pStyle w:val="ListParagraph"/>
        <w:numPr>
          <w:ilvl w:val="0"/>
          <w:numId w:val="41"/>
        </w:numPr>
        <w:rPr>
          <w:rFonts w:ascii="Times New Roman" w:hAnsi="Times New Roman" w:cs="Times New Roman"/>
        </w:rPr>
      </w:pPr>
      <w:r w:rsidRPr="0068710B">
        <w:rPr>
          <w:rFonts w:ascii="Times New Roman" w:hAnsi="Times New Roman" w:cs="Times New Roman"/>
        </w:rPr>
        <w:t xml:space="preserve">Srivastava A, </w:t>
      </w:r>
      <w:proofErr w:type="spellStart"/>
      <w:r w:rsidRPr="0068710B">
        <w:rPr>
          <w:rFonts w:ascii="Times New Roman" w:hAnsi="Times New Roman" w:cs="Times New Roman"/>
        </w:rPr>
        <w:t>Santagostino</w:t>
      </w:r>
      <w:proofErr w:type="spellEnd"/>
      <w:r w:rsidRPr="0068710B">
        <w:rPr>
          <w:rFonts w:ascii="Times New Roman" w:hAnsi="Times New Roman" w:cs="Times New Roman"/>
        </w:rPr>
        <w:t xml:space="preserve"> E, </w:t>
      </w:r>
      <w:proofErr w:type="spellStart"/>
      <w:r w:rsidRPr="0068710B">
        <w:rPr>
          <w:rFonts w:ascii="Times New Roman" w:hAnsi="Times New Roman" w:cs="Times New Roman"/>
        </w:rPr>
        <w:t>Dougall</w:t>
      </w:r>
      <w:proofErr w:type="spellEnd"/>
      <w:r w:rsidRPr="0068710B">
        <w:rPr>
          <w:rFonts w:ascii="Times New Roman" w:hAnsi="Times New Roman" w:cs="Times New Roman"/>
        </w:rPr>
        <w:t xml:space="preserve"> A, et al. WFH Guidelines for the Management of </w:t>
      </w:r>
      <w:proofErr w:type="spellStart"/>
      <w:r w:rsidRPr="0068710B">
        <w:rPr>
          <w:rFonts w:ascii="Times New Roman" w:hAnsi="Times New Roman" w:cs="Times New Roman"/>
        </w:rPr>
        <w:t>Hemophilia</w:t>
      </w:r>
      <w:proofErr w:type="spellEnd"/>
      <w:r w:rsidRPr="0068710B">
        <w:rPr>
          <w:rFonts w:ascii="Times New Roman" w:hAnsi="Times New Roman" w:cs="Times New Roman"/>
        </w:rPr>
        <w:t>, 3</w:t>
      </w:r>
      <w:r w:rsidRPr="0068710B">
        <w:rPr>
          <w:rFonts w:ascii="Times New Roman" w:hAnsi="Times New Roman" w:cs="Times New Roman"/>
          <w:vertAlign w:val="superscript"/>
        </w:rPr>
        <w:t>rd</w:t>
      </w:r>
      <w:r w:rsidRPr="0068710B">
        <w:rPr>
          <w:rFonts w:ascii="Times New Roman" w:hAnsi="Times New Roman" w:cs="Times New Roman"/>
        </w:rPr>
        <w:t xml:space="preserve"> edition. </w:t>
      </w:r>
      <w:r w:rsidRPr="0068710B">
        <w:rPr>
          <w:rFonts w:ascii="Times New Roman" w:hAnsi="Times New Roman" w:cs="Times New Roman"/>
          <w:i/>
          <w:iCs/>
        </w:rPr>
        <w:t xml:space="preserve">Haemophilia : the official journal of the World Federation of </w:t>
      </w:r>
      <w:proofErr w:type="spellStart"/>
      <w:r w:rsidRPr="0068710B">
        <w:rPr>
          <w:rFonts w:ascii="Times New Roman" w:hAnsi="Times New Roman" w:cs="Times New Roman"/>
          <w:i/>
          <w:iCs/>
        </w:rPr>
        <w:t>Hemophilia</w:t>
      </w:r>
      <w:proofErr w:type="spellEnd"/>
      <w:r w:rsidRPr="0068710B">
        <w:rPr>
          <w:rFonts w:ascii="Times New Roman" w:hAnsi="Times New Roman" w:cs="Times New Roman"/>
        </w:rPr>
        <w:t xml:space="preserve"> 2020; </w:t>
      </w:r>
      <w:r w:rsidRPr="0068710B">
        <w:rPr>
          <w:rFonts w:ascii="Times New Roman" w:hAnsi="Times New Roman" w:cs="Times New Roman"/>
          <w:b/>
          <w:bCs/>
        </w:rPr>
        <w:t xml:space="preserve">26 </w:t>
      </w:r>
      <w:proofErr w:type="spellStart"/>
      <w:r w:rsidRPr="0068710B">
        <w:rPr>
          <w:rFonts w:ascii="Times New Roman" w:hAnsi="Times New Roman" w:cs="Times New Roman"/>
          <w:b/>
          <w:bCs/>
        </w:rPr>
        <w:t>suppl</w:t>
      </w:r>
      <w:proofErr w:type="spellEnd"/>
      <w:r w:rsidRPr="0068710B">
        <w:rPr>
          <w:rFonts w:ascii="Times New Roman" w:hAnsi="Times New Roman" w:cs="Times New Roman"/>
          <w:b/>
          <w:bCs/>
        </w:rPr>
        <w:t xml:space="preserve"> 6</w:t>
      </w:r>
      <w:r w:rsidRPr="0068710B">
        <w:rPr>
          <w:rFonts w:ascii="Times New Roman" w:hAnsi="Times New Roman" w:cs="Times New Roman"/>
        </w:rPr>
        <w:t>:1-158.</w:t>
      </w:r>
    </w:p>
    <w:p w14:paraId="75DA6C03" w14:textId="77777777" w:rsidR="00DD7F18" w:rsidRPr="0068710B" w:rsidRDefault="00DD7F18" w:rsidP="0068710B">
      <w:pPr>
        <w:pStyle w:val="ListParagraph"/>
        <w:numPr>
          <w:ilvl w:val="0"/>
          <w:numId w:val="41"/>
        </w:numPr>
        <w:rPr>
          <w:rFonts w:ascii="Times New Roman" w:hAnsi="Times New Roman" w:cs="Times New Roman"/>
        </w:rPr>
      </w:pPr>
      <w:proofErr w:type="spellStart"/>
      <w:r w:rsidRPr="0068710B">
        <w:rPr>
          <w:rFonts w:ascii="Times New Roman" w:hAnsi="Times New Roman" w:cs="Times New Roman"/>
        </w:rPr>
        <w:t>Peyvandi</w:t>
      </w:r>
      <w:proofErr w:type="spellEnd"/>
      <w:r w:rsidRPr="0068710B">
        <w:rPr>
          <w:rFonts w:ascii="Times New Roman" w:hAnsi="Times New Roman" w:cs="Times New Roman"/>
        </w:rPr>
        <w:t xml:space="preserve"> F, Garagiola I, </w:t>
      </w:r>
      <w:proofErr w:type="spellStart"/>
      <w:r w:rsidRPr="0068710B">
        <w:rPr>
          <w:rFonts w:ascii="Times New Roman" w:hAnsi="Times New Roman" w:cs="Times New Roman"/>
        </w:rPr>
        <w:t>Seregni</w:t>
      </w:r>
      <w:proofErr w:type="spellEnd"/>
      <w:r w:rsidRPr="0068710B">
        <w:rPr>
          <w:rFonts w:ascii="Times New Roman" w:hAnsi="Times New Roman" w:cs="Times New Roman"/>
        </w:rPr>
        <w:t xml:space="preserve"> S. Future of coagulation factor replacement therapy. </w:t>
      </w:r>
      <w:r w:rsidRPr="0068710B">
        <w:rPr>
          <w:rFonts w:ascii="Times New Roman" w:hAnsi="Times New Roman" w:cs="Times New Roman"/>
          <w:i/>
          <w:iCs/>
        </w:rPr>
        <w:t>Journal of Thrombosis and Haemostasis</w:t>
      </w:r>
      <w:r w:rsidRPr="0068710B">
        <w:rPr>
          <w:rFonts w:ascii="Times New Roman" w:hAnsi="Times New Roman" w:cs="Times New Roman"/>
        </w:rPr>
        <w:t xml:space="preserve"> 2013; </w:t>
      </w:r>
      <w:r w:rsidRPr="0068710B">
        <w:rPr>
          <w:rFonts w:ascii="Times New Roman" w:hAnsi="Times New Roman" w:cs="Times New Roman"/>
          <w:b/>
          <w:bCs/>
        </w:rPr>
        <w:t xml:space="preserve">11 </w:t>
      </w:r>
      <w:proofErr w:type="spellStart"/>
      <w:r w:rsidRPr="0068710B">
        <w:rPr>
          <w:rFonts w:ascii="Times New Roman" w:hAnsi="Times New Roman" w:cs="Times New Roman"/>
          <w:b/>
          <w:bCs/>
        </w:rPr>
        <w:t>Suppl</w:t>
      </w:r>
      <w:proofErr w:type="spellEnd"/>
      <w:r w:rsidRPr="0068710B">
        <w:rPr>
          <w:rFonts w:ascii="Times New Roman" w:hAnsi="Times New Roman" w:cs="Times New Roman"/>
          <w:b/>
          <w:bCs/>
        </w:rPr>
        <w:t xml:space="preserve"> 1</w:t>
      </w:r>
      <w:r w:rsidRPr="0068710B">
        <w:rPr>
          <w:rFonts w:ascii="Times New Roman" w:hAnsi="Times New Roman" w:cs="Times New Roman"/>
        </w:rPr>
        <w:t>:84-98.</w:t>
      </w:r>
    </w:p>
    <w:p w14:paraId="576EB104" w14:textId="77777777" w:rsidR="00DD7F18" w:rsidRDefault="00DD7F18" w:rsidP="0068710B">
      <w:pPr>
        <w:pStyle w:val="ListParagraph"/>
        <w:numPr>
          <w:ilvl w:val="0"/>
          <w:numId w:val="41"/>
        </w:numPr>
        <w:rPr>
          <w:rFonts w:ascii="Times New Roman" w:hAnsi="Times New Roman" w:cs="Times New Roman"/>
        </w:rPr>
      </w:pPr>
      <w:r w:rsidRPr="0068710B">
        <w:rPr>
          <w:rFonts w:ascii="Times New Roman" w:hAnsi="Times New Roman" w:cs="Times New Roman"/>
        </w:rPr>
        <w:t xml:space="preserve">Bauer KA. Current challenges in the management of </w:t>
      </w:r>
      <w:proofErr w:type="spellStart"/>
      <w:r w:rsidRPr="0068710B">
        <w:rPr>
          <w:rFonts w:ascii="Times New Roman" w:hAnsi="Times New Roman" w:cs="Times New Roman"/>
        </w:rPr>
        <w:t>hemophilia</w:t>
      </w:r>
      <w:proofErr w:type="spellEnd"/>
      <w:r w:rsidRPr="0068710B">
        <w:rPr>
          <w:rFonts w:ascii="Times New Roman" w:hAnsi="Times New Roman" w:cs="Times New Roman"/>
        </w:rPr>
        <w:t xml:space="preserve">. </w:t>
      </w:r>
      <w:r w:rsidRPr="0068710B">
        <w:rPr>
          <w:rFonts w:ascii="Times New Roman" w:hAnsi="Times New Roman" w:cs="Times New Roman"/>
          <w:i/>
          <w:iCs/>
        </w:rPr>
        <w:t>The American Journal of Managed Care</w:t>
      </w:r>
      <w:r w:rsidRPr="0068710B">
        <w:rPr>
          <w:rFonts w:ascii="Times New Roman" w:hAnsi="Times New Roman" w:cs="Times New Roman"/>
        </w:rPr>
        <w:t xml:space="preserve"> 2015; </w:t>
      </w:r>
      <w:r w:rsidRPr="0068710B">
        <w:rPr>
          <w:rFonts w:ascii="Times New Roman" w:hAnsi="Times New Roman" w:cs="Times New Roman"/>
          <w:b/>
          <w:bCs/>
        </w:rPr>
        <w:t>21</w:t>
      </w:r>
      <w:r w:rsidRPr="0068710B">
        <w:rPr>
          <w:rFonts w:ascii="Times New Roman" w:hAnsi="Times New Roman" w:cs="Times New Roman"/>
        </w:rPr>
        <w:t>:S112-22.</w:t>
      </w:r>
    </w:p>
    <w:p w14:paraId="4C89BF18" w14:textId="77777777" w:rsidR="00DD7F18" w:rsidRPr="0068710B" w:rsidRDefault="00DD7F18" w:rsidP="0068710B">
      <w:pPr>
        <w:pStyle w:val="ListParagraph"/>
        <w:numPr>
          <w:ilvl w:val="0"/>
          <w:numId w:val="41"/>
        </w:numPr>
        <w:rPr>
          <w:rFonts w:ascii="Times New Roman" w:hAnsi="Times New Roman" w:cs="Times New Roman"/>
        </w:rPr>
      </w:pPr>
      <w:r w:rsidRPr="009E3663">
        <w:rPr>
          <w:rFonts w:ascii="Times New Roman" w:hAnsi="Times New Roman" w:cs="Times New Roman"/>
          <w:lang w:val="it-IT"/>
        </w:rPr>
        <w:t xml:space="preserve">Male C, Andersson NG, Rafowicz A, et al. </w:t>
      </w:r>
      <w:r w:rsidRPr="00D96C56">
        <w:rPr>
          <w:rFonts w:ascii="Times New Roman" w:hAnsi="Times New Roman" w:cs="Times New Roman"/>
        </w:rPr>
        <w:t xml:space="preserve">Inhibitor incidence in an unselected cohort of previously untreated patients with severe </w:t>
      </w:r>
      <w:proofErr w:type="spellStart"/>
      <w:r w:rsidRPr="00D96C56">
        <w:rPr>
          <w:rFonts w:ascii="Times New Roman" w:hAnsi="Times New Roman" w:cs="Times New Roman"/>
        </w:rPr>
        <w:t>hemophilia</w:t>
      </w:r>
      <w:proofErr w:type="spellEnd"/>
      <w:r w:rsidRPr="00D96C56">
        <w:rPr>
          <w:rFonts w:ascii="Times New Roman" w:hAnsi="Times New Roman" w:cs="Times New Roman"/>
        </w:rPr>
        <w:t xml:space="preserve"> B: a </w:t>
      </w:r>
      <w:proofErr w:type="spellStart"/>
      <w:r w:rsidRPr="00D96C56">
        <w:rPr>
          <w:rFonts w:ascii="Times New Roman" w:hAnsi="Times New Roman" w:cs="Times New Roman"/>
        </w:rPr>
        <w:t>PedNet</w:t>
      </w:r>
      <w:proofErr w:type="spellEnd"/>
      <w:r w:rsidRPr="00D96C56">
        <w:rPr>
          <w:rFonts w:ascii="Times New Roman" w:hAnsi="Times New Roman" w:cs="Times New Roman"/>
        </w:rPr>
        <w:t xml:space="preserve"> study. </w:t>
      </w:r>
      <w:proofErr w:type="spellStart"/>
      <w:r w:rsidRPr="00D96C56">
        <w:rPr>
          <w:rFonts w:ascii="Times New Roman" w:hAnsi="Times New Roman" w:cs="Times New Roman"/>
          <w:i/>
          <w:iCs/>
        </w:rPr>
        <w:t>Haematologica</w:t>
      </w:r>
      <w:proofErr w:type="spellEnd"/>
      <w:r w:rsidRPr="00D96C56">
        <w:rPr>
          <w:rFonts w:ascii="Times New Roman" w:hAnsi="Times New Roman" w:cs="Times New Roman"/>
          <w:i/>
          <w:iCs/>
        </w:rPr>
        <w:t xml:space="preserve"> </w:t>
      </w:r>
      <w:r w:rsidRPr="00D96C56">
        <w:rPr>
          <w:rFonts w:ascii="Times New Roman" w:hAnsi="Times New Roman" w:cs="Times New Roman"/>
        </w:rPr>
        <w:t xml:space="preserve">2021; </w:t>
      </w:r>
      <w:r w:rsidRPr="00D96C56">
        <w:rPr>
          <w:rFonts w:ascii="Times New Roman" w:hAnsi="Times New Roman" w:cs="Times New Roman"/>
          <w:b/>
          <w:bCs/>
        </w:rPr>
        <w:t>106</w:t>
      </w:r>
      <w:r w:rsidRPr="00D96C56">
        <w:rPr>
          <w:rFonts w:ascii="Times New Roman" w:hAnsi="Times New Roman" w:cs="Times New Roman"/>
        </w:rPr>
        <w:t>(1): 123–12.</w:t>
      </w:r>
    </w:p>
    <w:p w14:paraId="5B74D0FC" w14:textId="77777777" w:rsidR="00DD7F18" w:rsidRPr="0068710B" w:rsidRDefault="00DD7F18" w:rsidP="0068710B">
      <w:pPr>
        <w:pStyle w:val="ListParagraph"/>
        <w:numPr>
          <w:ilvl w:val="0"/>
          <w:numId w:val="41"/>
        </w:numPr>
        <w:rPr>
          <w:rFonts w:ascii="Times New Roman" w:hAnsi="Times New Roman" w:cs="Times New Roman"/>
        </w:rPr>
      </w:pPr>
      <w:r w:rsidRPr="0068710B">
        <w:rPr>
          <w:rFonts w:ascii="Times New Roman" w:hAnsi="Times New Roman" w:cs="Times New Roman"/>
        </w:rPr>
        <w:t xml:space="preserve">Collins PW, </w:t>
      </w:r>
      <w:proofErr w:type="spellStart"/>
      <w:r w:rsidRPr="0068710B">
        <w:rPr>
          <w:rFonts w:ascii="Times New Roman" w:hAnsi="Times New Roman" w:cs="Times New Roman"/>
        </w:rPr>
        <w:t>Quon</w:t>
      </w:r>
      <w:proofErr w:type="spellEnd"/>
      <w:r w:rsidRPr="0068710B">
        <w:rPr>
          <w:rFonts w:ascii="Times New Roman" w:hAnsi="Times New Roman" w:cs="Times New Roman"/>
        </w:rPr>
        <w:t xml:space="preserve"> </w:t>
      </w:r>
      <w:proofErr w:type="spellStart"/>
      <w:r w:rsidRPr="0068710B">
        <w:rPr>
          <w:rFonts w:ascii="Times New Roman" w:hAnsi="Times New Roman" w:cs="Times New Roman"/>
        </w:rPr>
        <w:t>DVKm</w:t>
      </w:r>
      <w:proofErr w:type="spellEnd"/>
      <w:r w:rsidRPr="0068710B">
        <w:rPr>
          <w:rFonts w:ascii="Times New Roman" w:hAnsi="Times New Roman" w:cs="Times New Roman"/>
        </w:rPr>
        <w:t xml:space="preserve"> Makris M, et al. Pharmacokinetics, safety and efficacy of a recombinant factor IX product, </w:t>
      </w:r>
      <w:proofErr w:type="spellStart"/>
      <w:r w:rsidRPr="0068710B">
        <w:rPr>
          <w:rFonts w:ascii="Times New Roman" w:hAnsi="Times New Roman" w:cs="Times New Roman"/>
        </w:rPr>
        <w:t>trenonacog</w:t>
      </w:r>
      <w:proofErr w:type="spellEnd"/>
      <w:r w:rsidRPr="0068710B">
        <w:rPr>
          <w:rFonts w:ascii="Times New Roman" w:hAnsi="Times New Roman" w:cs="Times New Roman"/>
        </w:rPr>
        <w:t xml:space="preserve"> alfa in previously treated haemophilia B patients. </w:t>
      </w:r>
      <w:r w:rsidRPr="0068710B">
        <w:rPr>
          <w:rFonts w:ascii="Times New Roman" w:hAnsi="Times New Roman" w:cs="Times New Roman"/>
          <w:i/>
          <w:iCs/>
        </w:rPr>
        <w:t>Haemophilia</w:t>
      </w:r>
      <w:r w:rsidRPr="0068710B">
        <w:rPr>
          <w:rFonts w:ascii="Times New Roman" w:hAnsi="Times New Roman" w:cs="Times New Roman"/>
        </w:rPr>
        <w:t xml:space="preserve"> 2018; </w:t>
      </w:r>
      <w:r w:rsidRPr="0068710B">
        <w:rPr>
          <w:rFonts w:ascii="Times New Roman" w:hAnsi="Times New Roman" w:cs="Times New Roman"/>
          <w:b/>
          <w:bCs/>
        </w:rPr>
        <w:t>24</w:t>
      </w:r>
      <w:r w:rsidRPr="0068710B">
        <w:rPr>
          <w:rFonts w:ascii="Times New Roman" w:hAnsi="Times New Roman" w:cs="Times New Roman"/>
        </w:rPr>
        <w:t>:104-12.</w:t>
      </w:r>
    </w:p>
    <w:p w14:paraId="2B824883" w14:textId="77777777" w:rsidR="00DD7F18" w:rsidRPr="0068710B" w:rsidRDefault="00DD7F18" w:rsidP="0068710B">
      <w:pPr>
        <w:pStyle w:val="ListParagraph"/>
        <w:numPr>
          <w:ilvl w:val="0"/>
          <w:numId w:val="41"/>
        </w:numPr>
        <w:rPr>
          <w:rFonts w:ascii="Times New Roman" w:hAnsi="Times New Roman" w:cs="Times New Roman"/>
        </w:rPr>
      </w:pPr>
      <w:r w:rsidRPr="0068710B">
        <w:rPr>
          <w:rFonts w:ascii="Times New Roman" w:hAnsi="Times New Roman" w:cs="Times New Roman"/>
        </w:rPr>
        <w:t xml:space="preserve">Kavakli K, Smith L, </w:t>
      </w:r>
      <w:proofErr w:type="spellStart"/>
      <w:r w:rsidRPr="0068710B">
        <w:rPr>
          <w:rFonts w:ascii="Times New Roman" w:hAnsi="Times New Roman" w:cs="Times New Roman"/>
        </w:rPr>
        <w:t>Kuliczkowski</w:t>
      </w:r>
      <w:proofErr w:type="spellEnd"/>
      <w:r w:rsidRPr="0068710B">
        <w:rPr>
          <w:rFonts w:ascii="Times New Roman" w:hAnsi="Times New Roman" w:cs="Times New Roman"/>
        </w:rPr>
        <w:t xml:space="preserve"> K, et al. Once-weekly prophylactic treatment vs. on-demand treatment with </w:t>
      </w:r>
      <w:proofErr w:type="spellStart"/>
      <w:r w:rsidRPr="0068710B">
        <w:rPr>
          <w:rFonts w:ascii="Times New Roman" w:hAnsi="Times New Roman" w:cs="Times New Roman"/>
        </w:rPr>
        <w:t>nonacog</w:t>
      </w:r>
      <w:proofErr w:type="spellEnd"/>
      <w:r w:rsidRPr="0068710B">
        <w:rPr>
          <w:rFonts w:ascii="Times New Roman" w:hAnsi="Times New Roman" w:cs="Times New Roman"/>
        </w:rPr>
        <w:t xml:space="preserve"> alfa in patients with moderately severe to severe haemophilia B. </w:t>
      </w:r>
      <w:r w:rsidRPr="0068710B">
        <w:rPr>
          <w:rFonts w:ascii="Times New Roman" w:hAnsi="Times New Roman" w:cs="Times New Roman"/>
          <w:i/>
          <w:iCs/>
        </w:rPr>
        <w:t>Haemophilia</w:t>
      </w:r>
      <w:r w:rsidRPr="0068710B">
        <w:rPr>
          <w:rFonts w:ascii="Times New Roman" w:hAnsi="Times New Roman" w:cs="Times New Roman"/>
        </w:rPr>
        <w:t xml:space="preserve"> 2016; </w:t>
      </w:r>
      <w:r w:rsidRPr="0068710B">
        <w:rPr>
          <w:rFonts w:ascii="Times New Roman" w:hAnsi="Times New Roman" w:cs="Times New Roman"/>
          <w:b/>
          <w:bCs/>
        </w:rPr>
        <w:t>22</w:t>
      </w:r>
      <w:r w:rsidRPr="0068710B">
        <w:rPr>
          <w:rFonts w:ascii="Times New Roman" w:hAnsi="Times New Roman" w:cs="Times New Roman"/>
        </w:rPr>
        <w:t>:381-8.</w:t>
      </w:r>
    </w:p>
    <w:p w14:paraId="402491D2" w14:textId="77777777" w:rsidR="00DD7F18" w:rsidRPr="0068710B" w:rsidRDefault="00DD7F18" w:rsidP="0068710B">
      <w:pPr>
        <w:pStyle w:val="ListParagraph"/>
        <w:numPr>
          <w:ilvl w:val="0"/>
          <w:numId w:val="41"/>
        </w:numPr>
        <w:rPr>
          <w:rFonts w:ascii="Times New Roman" w:hAnsi="Times New Roman" w:cs="Times New Roman"/>
        </w:rPr>
      </w:pPr>
      <w:r w:rsidRPr="009E3663">
        <w:rPr>
          <w:rFonts w:ascii="Times New Roman" w:hAnsi="Times New Roman" w:cs="Times New Roman"/>
          <w:lang w:val="da-DK"/>
        </w:rPr>
        <w:t xml:space="preserve">Kavakli K, Yang R, Rusen L, et al. </w:t>
      </w:r>
      <w:r w:rsidRPr="0068710B">
        <w:rPr>
          <w:rFonts w:ascii="Times New Roman" w:hAnsi="Times New Roman" w:cs="Times New Roman"/>
        </w:rPr>
        <w:t xml:space="preserve">Prophylaxis vs. on-demand treatment with BAY 81-8973, a full-length plasma protein-free recombinant factor VIII product: results from a randomized trial (LEOPOLD II). </w:t>
      </w:r>
      <w:r w:rsidRPr="0068710B">
        <w:rPr>
          <w:rFonts w:ascii="Times New Roman" w:hAnsi="Times New Roman" w:cs="Times New Roman"/>
          <w:i/>
          <w:iCs/>
        </w:rPr>
        <w:t>Journal of Thrombosis and Haemostasis</w:t>
      </w:r>
      <w:r w:rsidRPr="0068710B">
        <w:rPr>
          <w:rFonts w:ascii="Times New Roman" w:hAnsi="Times New Roman" w:cs="Times New Roman"/>
        </w:rPr>
        <w:t xml:space="preserve"> 2015; </w:t>
      </w:r>
      <w:r w:rsidRPr="0068710B">
        <w:rPr>
          <w:rFonts w:ascii="Times New Roman" w:hAnsi="Times New Roman" w:cs="Times New Roman"/>
          <w:b/>
          <w:bCs/>
        </w:rPr>
        <w:t>13</w:t>
      </w:r>
      <w:r w:rsidRPr="0068710B">
        <w:rPr>
          <w:rFonts w:ascii="Times New Roman" w:hAnsi="Times New Roman" w:cs="Times New Roman"/>
        </w:rPr>
        <w:t>:360-9.</w:t>
      </w:r>
    </w:p>
    <w:p w14:paraId="55FB0306" w14:textId="77777777" w:rsidR="00DD7F18" w:rsidRPr="0068710B" w:rsidRDefault="00DD7F18" w:rsidP="0068710B">
      <w:pPr>
        <w:pStyle w:val="ListParagraph"/>
        <w:numPr>
          <w:ilvl w:val="0"/>
          <w:numId w:val="41"/>
        </w:numPr>
        <w:rPr>
          <w:rFonts w:ascii="Times New Roman" w:hAnsi="Times New Roman" w:cs="Times New Roman"/>
        </w:rPr>
      </w:pPr>
      <w:proofErr w:type="spellStart"/>
      <w:r w:rsidRPr="0068710B">
        <w:rPr>
          <w:rFonts w:ascii="Times New Roman" w:hAnsi="Times New Roman" w:cs="Times New Roman"/>
        </w:rPr>
        <w:t>Lissitchkov</w:t>
      </w:r>
      <w:proofErr w:type="spellEnd"/>
      <w:r w:rsidRPr="0068710B">
        <w:rPr>
          <w:rFonts w:ascii="Times New Roman" w:hAnsi="Times New Roman" w:cs="Times New Roman"/>
        </w:rPr>
        <w:t xml:space="preserve"> T, Hampton K, von </w:t>
      </w:r>
      <w:proofErr w:type="spellStart"/>
      <w:r w:rsidRPr="0068710B">
        <w:rPr>
          <w:rFonts w:ascii="Times New Roman" w:hAnsi="Times New Roman" w:cs="Times New Roman"/>
        </w:rPr>
        <w:t>Depka</w:t>
      </w:r>
      <w:proofErr w:type="spellEnd"/>
      <w:r w:rsidRPr="0068710B">
        <w:rPr>
          <w:rFonts w:ascii="Times New Roman" w:hAnsi="Times New Roman" w:cs="Times New Roman"/>
        </w:rPr>
        <w:t xml:space="preserve"> M, et al. Human cell line-derived recombinant factor VIII (human-cl </w:t>
      </w:r>
      <w:proofErr w:type="spellStart"/>
      <w:r w:rsidRPr="0068710B">
        <w:rPr>
          <w:rFonts w:ascii="Times New Roman" w:hAnsi="Times New Roman" w:cs="Times New Roman"/>
        </w:rPr>
        <w:t>rhFVIII</w:t>
      </w:r>
      <w:proofErr w:type="spellEnd"/>
      <w:r w:rsidRPr="0068710B">
        <w:rPr>
          <w:rFonts w:ascii="Times New Roman" w:hAnsi="Times New Roman" w:cs="Times New Roman"/>
        </w:rPr>
        <w:t xml:space="preserve">; </w:t>
      </w:r>
      <w:proofErr w:type="spellStart"/>
      <w:r w:rsidRPr="0068710B">
        <w:rPr>
          <w:rFonts w:ascii="Times New Roman" w:hAnsi="Times New Roman" w:cs="Times New Roman"/>
        </w:rPr>
        <w:t>Nuwiq</w:t>
      </w:r>
      <w:proofErr w:type="spellEnd"/>
      <w:r w:rsidRPr="0068710B">
        <w:rPr>
          <w:rFonts w:ascii="Times New Roman" w:hAnsi="Times New Roman" w:cs="Times New Roman"/>
        </w:rPr>
        <w:t xml:space="preserve">(®) ) in adults with severe haemophilia A: efficacy and safety. </w:t>
      </w:r>
      <w:r w:rsidRPr="0068710B">
        <w:rPr>
          <w:rFonts w:ascii="Times New Roman" w:hAnsi="Times New Roman" w:cs="Times New Roman"/>
          <w:i/>
          <w:iCs/>
        </w:rPr>
        <w:t>Haemophilia</w:t>
      </w:r>
      <w:r w:rsidRPr="0068710B">
        <w:rPr>
          <w:rFonts w:ascii="Times New Roman" w:hAnsi="Times New Roman" w:cs="Times New Roman"/>
        </w:rPr>
        <w:t xml:space="preserve"> 2016; </w:t>
      </w:r>
      <w:r w:rsidRPr="0068710B">
        <w:rPr>
          <w:rFonts w:ascii="Times New Roman" w:hAnsi="Times New Roman" w:cs="Times New Roman"/>
          <w:b/>
          <w:bCs/>
        </w:rPr>
        <w:t>22</w:t>
      </w:r>
      <w:r w:rsidRPr="0068710B">
        <w:rPr>
          <w:rFonts w:ascii="Times New Roman" w:hAnsi="Times New Roman" w:cs="Times New Roman"/>
        </w:rPr>
        <w:t>:225-31.</w:t>
      </w:r>
    </w:p>
    <w:p w14:paraId="19AFDFF0" w14:textId="77777777" w:rsidR="00DD7F18" w:rsidRPr="0068710B" w:rsidRDefault="00DD7F18" w:rsidP="0068710B">
      <w:pPr>
        <w:pStyle w:val="ListParagraph"/>
        <w:numPr>
          <w:ilvl w:val="0"/>
          <w:numId w:val="41"/>
        </w:numPr>
        <w:rPr>
          <w:rFonts w:ascii="Times New Roman" w:hAnsi="Times New Roman" w:cs="Times New Roman"/>
        </w:rPr>
      </w:pPr>
      <w:r w:rsidRPr="0068710B">
        <w:rPr>
          <w:rFonts w:ascii="Times New Roman" w:hAnsi="Times New Roman" w:cs="Times New Roman"/>
        </w:rPr>
        <w:t xml:space="preserve">Mahlangu J, </w:t>
      </w:r>
      <w:proofErr w:type="spellStart"/>
      <w:r w:rsidRPr="0068710B">
        <w:rPr>
          <w:rFonts w:ascii="Times New Roman" w:hAnsi="Times New Roman" w:cs="Times New Roman"/>
        </w:rPr>
        <w:t>Kuliczkowski</w:t>
      </w:r>
      <w:proofErr w:type="spellEnd"/>
      <w:r w:rsidRPr="0068710B">
        <w:rPr>
          <w:rFonts w:ascii="Times New Roman" w:hAnsi="Times New Roman" w:cs="Times New Roman"/>
        </w:rPr>
        <w:t xml:space="preserve"> K, Karim FA, et al. Efficacy and safety of </w:t>
      </w:r>
      <w:proofErr w:type="spellStart"/>
      <w:r w:rsidRPr="0068710B">
        <w:rPr>
          <w:rFonts w:ascii="Times New Roman" w:hAnsi="Times New Roman" w:cs="Times New Roman"/>
        </w:rPr>
        <w:t>rVIII-SingleChain</w:t>
      </w:r>
      <w:proofErr w:type="spellEnd"/>
      <w:r w:rsidRPr="0068710B">
        <w:rPr>
          <w:rFonts w:ascii="Times New Roman" w:hAnsi="Times New Roman" w:cs="Times New Roman"/>
        </w:rPr>
        <w:t xml:space="preserve">: results of a phase 1/3 </w:t>
      </w:r>
      <w:proofErr w:type="spellStart"/>
      <w:r w:rsidRPr="0068710B">
        <w:rPr>
          <w:rFonts w:ascii="Times New Roman" w:hAnsi="Times New Roman" w:cs="Times New Roman"/>
        </w:rPr>
        <w:t>multicenter</w:t>
      </w:r>
      <w:proofErr w:type="spellEnd"/>
      <w:r w:rsidRPr="0068710B">
        <w:rPr>
          <w:rFonts w:ascii="Times New Roman" w:hAnsi="Times New Roman" w:cs="Times New Roman"/>
        </w:rPr>
        <w:t xml:space="preserve"> trial severe </w:t>
      </w:r>
      <w:proofErr w:type="spellStart"/>
      <w:r w:rsidRPr="0068710B">
        <w:rPr>
          <w:rFonts w:ascii="Times New Roman" w:hAnsi="Times New Roman" w:cs="Times New Roman"/>
        </w:rPr>
        <w:t>hemophilia</w:t>
      </w:r>
      <w:proofErr w:type="spellEnd"/>
      <w:r w:rsidRPr="0068710B">
        <w:rPr>
          <w:rFonts w:ascii="Times New Roman" w:hAnsi="Times New Roman" w:cs="Times New Roman"/>
        </w:rPr>
        <w:t xml:space="preserve"> A. </w:t>
      </w:r>
      <w:r w:rsidRPr="0068710B">
        <w:rPr>
          <w:rFonts w:ascii="Times New Roman" w:hAnsi="Times New Roman" w:cs="Times New Roman"/>
          <w:i/>
          <w:iCs/>
        </w:rPr>
        <w:t>Blood</w:t>
      </w:r>
      <w:r w:rsidRPr="0068710B">
        <w:rPr>
          <w:rFonts w:ascii="Times New Roman" w:hAnsi="Times New Roman" w:cs="Times New Roman"/>
        </w:rPr>
        <w:t xml:space="preserve"> 2016; </w:t>
      </w:r>
      <w:r w:rsidRPr="0068710B">
        <w:rPr>
          <w:rFonts w:ascii="Times New Roman" w:hAnsi="Times New Roman" w:cs="Times New Roman"/>
          <w:b/>
          <w:bCs/>
        </w:rPr>
        <w:t>128</w:t>
      </w:r>
      <w:r w:rsidRPr="0068710B">
        <w:rPr>
          <w:rFonts w:ascii="Times New Roman" w:hAnsi="Times New Roman" w:cs="Times New Roman"/>
        </w:rPr>
        <w:t>:630-7.</w:t>
      </w:r>
    </w:p>
    <w:p w14:paraId="0B2EBD1A" w14:textId="77777777" w:rsidR="00DD7F18" w:rsidRPr="0068710B" w:rsidRDefault="00DD7F18" w:rsidP="0068710B">
      <w:pPr>
        <w:pStyle w:val="ListParagraph"/>
        <w:numPr>
          <w:ilvl w:val="0"/>
          <w:numId w:val="41"/>
        </w:numPr>
        <w:rPr>
          <w:rFonts w:ascii="Times New Roman" w:hAnsi="Times New Roman" w:cs="Times New Roman"/>
        </w:rPr>
      </w:pPr>
      <w:r w:rsidRPr="0068710B">
        <w:rPr>
          <w:rFonts w:ascii="Times New Roman" w:hAnsi="Times New Roman" w:cs="Times New Roman"/>
        </w:rPr>
        <w:t xml:space="preserve">Warren BB, Thornhill D, Stein J, et al. Young adult outcomes of childhood prophylaxis for severe </w:t>
      </w:r>
      <w:proofErr w:type="spellStart"/>
      <w:r w:rsidRPr="0068710B">
        <w:rPr>
          <w:rFonts w:ascii="Times New Roman" w:hAnsi="Times New Roman" w:cs="Times New Roman"/>
        </w:rPr>
        <w:t>hemophilia</w:t>
      </w:r>
      <w:proofErr w:type="spellEnd"/>
      <w:r w:rsidRPr="0068710B">
        <w:rPr>
          <w:rFonts w:ascii="Times New Roman" w:hAnsi="Times New Roman" w:cs="Times New Roman"/>
        </w:rPr>
        <w:t xml:space="preserve"> A: results of the Joint Outcome Continuation Study. </w:t>
      </w:r>
      <w:r w:rsidRPr="0068710B">
        <w:rPr>
          <w:rFonts w:ascii="Times New Roman" w:hAnsi="Times New Roman" w:cs="Times New Roman"/>
          <w:i/>
          <w:iCs/>
        </w:rPr>
        <w:t>Blood Advances</w:t>
      </w:r>
      <w:r w:rsidRPr="0068710B">
        <w:rPr>
          <w:rFonts w:ascii="Times New Roman" w:hAnsi="Times New Roman" w:cs="Times New Roman"/>
        </w:rPr>
        <w:t xml:space="preserve"> 2020; </w:t>
      </w:r>
      <w:r w:rsidRPr="0068710B">
        <w:rPr>
          <w:rFonts w:ascii="Times New Roman" w:hAnsi="Times New Roman" w:cs="Times New Roman"/>
          <w:b/>
          <w:bCs/>
        </w:rPr>
        <w:t>4</w:t>
      </w:r>
      <w:r w:rsidRPr="0068710B">
        <w:rPr>
          <w:rFonts w:ascii="Times New Roman" w:hAnsi="Times New Roman" w:cs="Times New Roman"/>
        </w:rPr>
        <w:t xml:space="preserve">:2451-9. </w:t>
      </w:r>
    </w:p>
    <w:p w14:paraId="1B1949CB" w14:textId="77777777" w:rsidR="00DD7F18" w:rsidRPr="0068710B" w:rsidRDefault="00DD7F18" w:rsidP="0068710B">
      <w:pPr>
        <w:pStyle w:val="ListParagraph"/>
        <w:numPr>
          <w:ilvl w:val="0"/>
          <w:numId w:val="41"/>
        </w:numPr>
        <w:rPr>
          <w:rFonts w:ascii="Times New Roman" w:hAnsi="Times New Roman" w:cs="Times New Roman"/>
        </w:rPr>
      </w:pPr>
      <w:r w:rsidRPr="0068710B">
        <w:rPr>
          <w:rFonts w:ascii="Times New Roman" w:hAnsi="Times New Roman" w:cs="Times New Roman"/>
        </w:rPr>
        <w:t>Mahlangu J, Oldenburg J, Paz-</w:t>
      </w:r>
      <w:proofErr w:type="spellStart"/>
      <w:r w:rsidRPr="0068710B">
        <w:rPr>
          <w:rFonts w:ascii="Times New Roman" w:hAnsi="Times New Roman" w:cs="Times New Roman"/>
        </w:rPr>
        <w:t>Priel</w:t>
      </w:r>
      <w:proofErr w:type="spellEnd"/>
      <w:r w:rsidRPr="0068710B">
        <w:rPr>
          <w:rFonts w:ascii="Times New Roman" w:hAnsi="Times New Roman" w:cs="Times New Roman"/>
        </w:rPr>
        <w:t xml:space="preserve"> I, et al. </w:t>
      </w:r>
      <w:proofErr w:type="spellStart"/>
      <w:r w:rsidRPr="0068710B">
        <w:rPr>
          <w:rFonts w:ascii="Times New Roman" w:hAnsi="Times New Roman" w:cs="Times New Roman"/>
        </w:rPr>
        <w:t>Emicizumab</w:t>
      </w:r>
      <w:proofErr w:type="spellEnd"/>
      <w:r w:rsidRPr="0068710B">
        <w:rPr>
          <w:rFonts w:ascii="Times New Roman" w:hAnsi="Times New Roman" w:cs="Times New Roman"/>
        </w:rPr>
        <w:t xml:space="preserve"> Prophylaxis in Patients Who Have </w:t>
      </w:r>
      <w:proofErr w:type="spellStart"/>
      <w:r w:rsidRPr="0068710B">
        <w:rPr>
          <w:rFonts w:ascii="Times New Roman" w:hAnsi="Times New Roman" w:cs="Times New Roman"/>
        </w:rPr>
        <w:t>Hemophilia</w:t>
      </w:r>
      <w:proofErr w:type="spellEnd"/>
      <w:r w:rsidRPr="0068710B">
        <w:rPr>
          <w:rFonts w:ascii="Times New Roman" w:hAnsi="Times New Roman" w:cs="Times New Roman"/>
        </w:rPr>
        <w:t xml:space="preserve"> A without Inhibitors. </w:t>
      </w:r>
      <w:r w:rsidRPr="0068710B">
        <w:rPr>
          <w:rFonts w:ascii="Times New Roman" w:hAnsi="Times New Roman" w:cs="Times New Roman"/>
          <w:i/>
          <w:iCs/>
        </w:rPr>
        <w:t>The New England Journal of Medicine</w:t>
      </w:r>
      <w:r w:rsidRPr="0068710B">
        <w:rPr>
          <w:rFonts w:ascii="Times New Roman" w:hAnsi="Times New Roman" w:cs="Times New Roman"/>
        </w:rPr>
        <w:t xml:space="preserve"> 2018; </w:t>
      </w:r>
      <w:r w:rsidRPr="0068710B">
        <w:rPr>
          <w:rFonts w:ascii="Times New Roman" w:hAnsi="Times New Roman" w:cs="Times New Roman"/>
          <w:b/>
          <w:bCs/>
        </w:rPr>
        <w:t>379</w:t>
      </w:r>
      <w:r w:rsidRPr="0068710B">
        <w:rPr>
          <w:rFonts w:ascii="Times New Roman" w:hAnsi="Times New Roman" w:cs="Times New Roman"/>
        </w:rPr>
        <w:t>:811-822.</w:t>
      </w:r>
    </w:p>
    <w:p w14:paraId="34309ED4" w14:textId="77777777" w:rsidR="00DD7F18" w:rsidRPr="0068710B" w:rsidRDefault="00DD7F18" w:rsidP="0068710B">
      <w:pPr>
        <w:pStyle w:val="ListParagraph"/>
        <w:numPr>
          <w:ilvl w:val="0"/>
          <w:numId w:val="41"/>
        </w:numPr>
        <w:rPr>
          <w:rFonts w:ascii="Times New Roman" w:hAnsi="Times New Roman" w:cs="Times New Roman"/>
        </w:rPr>
      </w:pPr>
      <w:r w:rsidRPr="0068710B">
        <w:rPr>
          <w:rFonts w:ascii="Times New Roman" w:hAnsi="Times New Roman" w:cs="Times New Roman"/>
        </w:rPr>
        <w:t xml:space="preserve">Oldenburg J, Mahlangu J, Kim B, et al. </w:t>
      </w:r>
      <w:proofErr w:type="spellStart"/>
      <w:r w:rsidRPr="0068710B">
        <w:rPr>
          <w:rFonts w:ascii="Times New Roman" w:hAnsi="Times New Roman" w:cs="Times New Roman"/>
        </w:rPr>
        <w:t>Emicizumab</w:t>
      </w:r>
      <w:proofErr w:type="spellEnd"/>
      <w:r w:rsidRPr="0068710B">
        <w:rPr>
          <w:rFonts w:ascii="Times New Roman" w:hAnsi="Times New Roman" w:cs="Times New Roman"/>
        </w:rPr>
        <w:t xml:space="preserve"> Prophylaxis in </w:t>
      </w:r>
      <w:proofErr w:type="spellStart"/>
      <w:r w:rsidRPr="0068710B">
        <w:rPr>
          <w:rFonts w:ascii="Times New Roman" w:hAnsi="Times New Roman" w:cs="Times New Roman"/>
        </w:rPr>
        <w:t>Hemophilia</w:t>
      </w:r>
      <w:proofErr w:type="spellEnd"/>
      <w:r w:rsidRPr="0068710B">
        <w:rPr>
          <w:rFonts w:ascii="Times New Roman" w:hAnsi="Times New Roman" w:cs="Times New Roman"/>
        </w:rPr>
        <w:t xml:space="preserve"> A with Inhibitors. </w:t>
      </w:r>
      <w:r w:rsidRPr="0068710B">
        <w:rPr>
          <w:rFonts w:ascii="Times New Roman" w:hAnsi="Times New Roman" w:cs="Times New Roman"/>
          <w:i/>
          <w:iCs/>
        </w:rPr>
        <w:t>The New England Journal of Medicine</w:t>
      </w:r>
      <w:r w:rsidRPr="0068710B">
        <w:rPr>
          <w:rFonts w:ascii="Times New Roman" w:hAnsi="Times New Roman" w:cs="Times New Roman"/>
        </w:rPr>
        <w:t xml:space="preserve"> 2017; </w:t>
      </w:r>
      <w:r w:rsidRPr="0068710B">
        <w:rPr>
          <w:rFonts w:ascii="Times New Roman" w:hAnsi="Times New Roman" w:cs="Times New Roman"/>
          <w:b/>
          <w:bCs/>
        </w:rPr>
        <w:t>377</w:t>
      </w:r>
      <w:r w:rsidRPr="0068710B">
        <w:rPr>
          <w:rFonts w:ascii="Times New Roman" w:hAnsi="Times New Roman" w:cs="Times New Roman"/>
        </w:rPr>
        <w:t>:2194-5.</w:t>
      </w:r>
    </w:p>
    <w:p w14:paraId="4849F9B1" w14:textId="77777777" w:rsidR="00DD7F18" w:rsidRPr="0068710B" w:rsidRDefault="00DD7F18" w:rsidP="0068710B">
      <w:pPr>
        <w:pStyle w:val="ListParagraph"/>
        <w:numPr>
          <w:ilvl w:val="0"/>
          <w:numId w:val="41"/>
        </w:numPr>
        <w:rPr>
          <w:rFonts w:ascii="Times New Roman" w:hAnsi="Times New Roman" w:cs="Times New Roman"/>
        </w:rPr>
      </w:pPr>
      <w:r w:rsidRPr="009E3663">
        <w:rPr>
          <w:rFonts w:ascii="Times New Roman" w:hAnsi="Times New Roman" w:cs="Times New Roman"/>
          <w:lang w:val="da-DK"/>
        </w:rPr>
        <w:t xml:space="preserve">Callaghan MU, Negirer C, Paz-Priel I, et al. </w:t>
      </w:r>
      <w:r w:rsidRPr="0068710B">
        <w:rPr>
          <w:rFonts w:ascii="Times New Roman" w:hAnsi="Times New Roman" w:cs="Times New Roman"/>
        </w:rPr>
        <w:t xml:space="preserve">Long-term outcomes with </w:t>
      </w:r>
      <w:proofErr w:type="spellStart"/>
      <w:r w:rsidRPr="0068710B">
        <w:rPr>
          <w:rFonts w:ascii="Times New Roman" w:hAnsi="Times New Roman" w:cs="Times New Roman"/>
        </w:rPr>
        <w:t>emicizumab</w:t>
      </w:r>
      <w:proofErr w:type="spellEnd"/>
      <w:r w:rsidRPr="0068710B">
        <w:rPr>
          <w:rFonts w:ascii="Times New Roman" w:hAnsi="Times New Roman" w:cs="Times New Roman"/>
        </w:rPr>
        <w:t xml:space="preserve"> prophylaxis for </w:t>
      </w:r>
      <w:proofErr w:type="spellStart"/>
      <w:r w:rsidRPr="0068710B">
        <w:rPr>
          <w:rFonts w:ascii="Times New Roman" w:hAnsi="Times New Roman" w:cs="Times New Roman"/>
        </w:rPr>
        <w:t>hemophilia</w:t>
      </w:r>
      <w:proofErr w:type="spellEnd"/>
      <w:r w:rsidRPr="0068710B">
        <w:rPr>
          <w:rFonts w:ascii="Times New Roman" w:hAnsi="Times New Roman" w:cs="Times New Roman"/>
        </w:rPr>
        <w:t xml:space="preserve"> A with or without FVIII inhibitors from the HAVEN 1-4 studies. </w:t>
      </w:r>
      <w:r w:rsidRPr="0068710B">
        <w:rPr>
          <w:rFonts w:ascii="Times New Roman" w:hAnsi="Times New Roman" w:cs="Times New Roman"/>
          <w:i/>
          <w:iCs/>
        </w:rPr>
        <w:t>Blood</w:t>
      </w:r>
      <w:r w:rsidRPr="0068710B">
        <w:rPr>
          <w:rFonts w:ascii="Times New Roman" w:hAnsi="Times New Roman" w:cs="Times New Roman"/>
        </w:rPr>
        <w:t xml:space="preserve"> 2021; </w:t>
      </w:r>
      <w:r w:rsidRPr="0068710B">
        <w:rPr>
          <w:rFonts w:ascii="Times New Roman" w:hAnsi="Times New Roman" w:cs="Times New Roman"/>
          <w:b/>
          <w:bCs/>
        </w:rPr>
        <w:t>137</w:t>
      </w:r>
      <w:r w:rsidRPr="0068710B">
        <w:rPr>
          <w:rFonts w:ascii="Times New Roman" w:hAnsi="Times New Roman" w:cs="Times New Roman"/>
        </w:rPr>
        <w:t>:2231-42.</w:t>
      </w:r>
    </w:p>
    <w:p w14:paraId="58FCCA80" w14:textId="77777777" w:rsidR="00DD7F18" w:rsidRPr="0068710B" w:rsidRDefault="00DD7F18" w:rsidP="0068710B">
      <w:pPr>
        <w:pStyle w:val="ListParagraph"/>
        <w:numPr>
          <w:ilvl w:val="0"/>
          <w:numId w:val="41"/>
        </w:numPr>
        <w:rPr>
          <w:rFonts w:ascii="Times New Roman" w:hAnsi="Times New Roman" w:cs="Times New Roman"/>
        </w:rPr>
      </w:pPr>
      <w:r w:rsidRPr="0068710B">
        <w:rPr>
          <w:rFonts w:ascii="Times New Roman" w:hAnsi="Times New Roman" w:cs="Times New Roman"/>
        </w:rPr>
        <w:t xml:space="preserve">Arruda VR, Doshi BS, </w:t>
      </w:r>
      <w:proofErr w:type="spellStart"/>
      <w:r w:rsidRPr="0068710B">
        <w:rPr>
          <w:rFonts w:ascii="Times New Roman" w:hAnsi="Times New Roman" w:cs="Times New Roman"/>
        </w:rPr>
        <w:t>Samelson</w:t>
      </w:r>
      <w:proofErr w:type="spellEnd"/>
      <w:r w:rsidRPr="0068710B">
        <w:rPr>
          <w:rFonts w:ascii="Times New Roman" w:hAnsi="Times New Roman" w:cs="Times New Roman"/>
        </w:rPr>
        <w:t xml:space="preserve">-Jones BJ. Novel approaches to </w:t>
      </w:r>
      <w:proofErr w:type="spellStart"/>
      <w:r w:rsidRPr="0068710B">
        <w:rPr>
          <w:rFonts w:ascii="Times New Roman" w:hAnsi="Times New Roman" w:cs="Times New Roman"/>
        </w:rPr>
        <w:t>hemophilia</w:t>
      </w:r>
      <w:proofErr w:type="spellEnd"/>
      <w:r w:rsidRPr="0068710B">
        <w:rPr>
          <w:rFonts w:ascii="Times New Roman" w:hAnsi="Times New Roman" w:cs="Times New Roman"/>
        </w:rPr>
        <w:t xml:space="preserve"> therapy: successes and challenges. </w:t>
      </w:r>
      <w:r w:rsidRPr="0068710B">
        <w:rPr>
          <w:rFonts w:ascii="Times New Roman" w:hAnsi="Times New Roman" w:cs="Times New Roman"/>
          <w:i/>
          <w:iCs/>
        </w:rPr>
        <w:t>Blood</w:t>
      </w:r>
      <w:r w:rsidRPr="0068710B">
        <w:rPr>
          <w:rFonts w:ascii="Times New Roman" w:hAnsi="Times New Roman" w:cs="Times New Roman"/>
        </w:rPr>
        <w:t xml:space="preserve"> 2017; </w:t>
      </w:r>
      <w:r w:rsidRPr="0068710B">
        <w:rPr>
          <w:rFonts w:ascii="Times New Roman" w:hAnsi="Times New Roman" w:cs="Times New Roman"/>
          <w:b/>
          <w:bCs/>
        </w:rPr>
        <w:t>130</w:t>
      </w:r>
      <w:r w:rsidRPr="0068710B">
        <w:rPr>
          <w:rFonts w:ascii="Times New Roman" w:hAnsi="Times New Roman" w:cs="Times New Roman"/>
        </w:rPr>
        <w:t>:2251-6.</w:t>
      </w:r>
    </w:p>
    <w:p w14:paraId="74F16A1D" w14:textId="77777777" w:rsidR="00DD7F18" w:rsidRPr="0068710B" w:rsidRDefault="00DD7F18" w:rsidP="0068710B">
      <w:pPr>
        <w:pStyle w:val="ListParagraph"/>
        <w:numPr>
          <w:ilvl w:val="0"/>
          <w:numId w:val="41"/>
        </w:numPr>
        <w:rPr>
          <w:rFonts w:ascii="Times New Roman" w:hAnsi="Times New Roman" w:cs="Times New Roman"/>
        </w:rPr>
      </w:pPr>
      <w:proofErr w:type="spellStart"/>
      <w:r w:rsidRPr="0068710B">
        <w:rPr>
          <w:rFonts w:ascii="Times New Roman" w:hAnsi="Times New Roman" w:cs="Times New Roman"/>
        </w:rPr>
        <w:t>Mannucci</w:t>
      </w:r>
      <w:proofErr w:type="spellEnd"/>
      <w:r w:rsidRPr="0068710B">
        <w:rPr>
          <w:rFonts w:ascii="Times New Roman" w:hAnsi="Times New Roman" w:cs="Times New Roman"/>
        </w:rPr>
        <w:t xml:space="preserve"> PM. </w:t>
      </w:r>
      <w:proofErr w:type="spellStart"/>
      <w:r w:rsidRPr="0068710B">
        <w:rPr>
          <w:rFonts w:ascii="Times New Roman" w:hAnsi="Times New Roman" w:cs="Times New Roman"/>
        </w:rPr>
        <w:t>Hemophilia</w:t>
      </w:r>
      <w:proofErr w:type="spellEnd"/>
      <w:r w:rsidRPr="0068710B">
        <w:rPr>
          <w:rFonts w:ascii="Times New Roman" w:hAnsi="Times New Roman" w:cs="Times New Roman"/>
        </w:rPr>
        <w:t xml:space="preserve"> therapy: the future has begun. </w:t>
      </w:r>
      <w:proofErr w:type="spellStart"/>
      <w:r w:rsidRPr="0068710B">
        <w:rPr>
          <w:rFonts w:ascii="Times New Roman" w:hAnsi="Times New Roman" w:cs="Times New Roman"/>
          <w:i/>
          <w:iCs/>
        </w:rPr>
        <w:t>Haematologica</w:t>
      </w:r>
      <w:proofErr w:type="spellEnd"/>
      <w:r w:rsidRPr="0068710B">
        <w:rPr>
          <w:rFonts w:ascii="Times New Roman" w:hAnsi="Times New Roman" w:cs="Times New Roman"/>
        </w:rPr>
        <w:t xml:space="preserve"> 2020; </w:t>
      </w:r>
      <w:r w:rsidRPr="0068710B">
        <w:rPr>
          <w:rFonts w:ascii="Times New Roman" w:hAnsi="Times New Roman" w:cs="Times New Roman"/>
          <w:b/>
          <w:bCs/>
        </w:rPr>
        <w:t>105</w:t>
      </w:r>
      <w:r w:rsidRPr="0068710B">
        <w:rPr>
          <w:rFonts w:ascii="Times New Roman" w:hAnsi="Times New Roman" w:cs="Times New Roman"/>
        </w:rPr>
        <w:t>:545-53.</w:t>
      </w:r>
    </w:p>
    <w:p w14:paraId="6C80BDAA" w14:textId="77777777" w:rsidR="00DD7F18" w:rsidRPr="0068710B" w:rsidRDefault="00DD7F18" w:rsidP="0068710B">
      <w:pPr>
        <w:pStyle w:val="ListParagraph"/>
        <w:numPr>
          <w:ilvl w:val="0"/>
          <w:numId w:val="41"/>
        </w:numPr>
        <w:rPr>
          <w:rFonts w:ascii="Times New Roman" w:hAnsi="Times New Roman" w:cs="Times New Roman"/>
        </w:rPr>
      </w:pPr>
      <w:r w:rsidRPr="0068710B">
        <w:rPr>
          <w:rFonts w:ascii="Times New Roman" w:hAnsi="Times New Roman" w:cs="Times New Roman"/>
        </w:rPr>
        <w:t xml:space="preserve">Machin N, </w:t>
      </w:r>
      <w:proofErr w:type="spellStart"/>
      <w:r w:rsidRPr="0068710B">
        <w:rPr>
          <w:rFonts w:ascii="Times New Roman" w:hAnsi="Times New Roman" w:cs="Times New Roman"/>
        </w:rPr>
        <w:t>Ragni</w:t>
      </w:r>
      <w:proofErr w:type="spellEnd"/>
      <w:r w:rsidRPr="0068710B">
        <w:rPr>
          <w:rFonts w:ascii="Times New Roman" w:hAnsi="Times New Roman" w:cs="Times New Roman"/>
        </w:rPr>
        <w:t xml:space="preserve"> MV. An investigational RNAi therapeutic targeting antithrombin for the treatment of </w:t>
      </w:r>
      <w:proofErr w:type="spellStart"/>
      <w:r w:rsidRPr="0068710B">
        <w:rPr>
          <w:rFonts w:ascii="Times New Roman" w:hAnsi="Times New Roman" w:cs="Times New Roman"/>
        </w:rPr>
        <w:t>hemophilia</w:t>
      </w:r>
      <w:proofErr w:type="spellEnd"/>
      <w:r w:rsidRPr="0068710B">
        <w:rPr>
          <w:rFonts w:ascii="Times New Roman" w:hAnsi="Times New Roman" w:cs="Times New Roman"/>
        </w:rPr>
        <w:t xml:space="preserve"> A and B. </w:t>
      </w:r>
      <w:r w:rsidRPr="0068710B">
        <w:rPr>
          <w:rFonts w:ascii="Times New Roman" w:hAnsi="Times New Roman" w:cs="Times New Roman"/>
          <w:i/>
          <w:iCs/>
        </w:rPr>
        <w:t>Journal of Blood Medicine</w:t>
      </w:r>
      <w:r w:rsidRPr="0068710B">
        <w:rPr>
          <w:rFonts w:ascii="Times New Roman" w:hAnsi="Times New Roman" w:cs="Times New Roman"/>
        </w:rPr>
        <w:t xml:space="preserve"> 2018; </w:t>
      </w:r>
      <w:r w:rsidRPr="0068710B">
        <w:rPr>
          <w:rFonts w:ascii="Times New Roman" w:hAnsi="Times New Roman" w:cs="Times New Roman"/>
          <w:b/>
          <w:bCs/>
        </w:rPr>
        <w:t>9</w:t>
      </w:r>
      <w:r w:rsidRPr="0068710B">
        <w:rPr>
          <w:rFonts w:ascii="Times New Roman" w:hAnsi="Times New Roman" w:cs="Times New Roman"/>
        </w:rPr>
        <w:t>:135-40.</w:t>
      </w:r>
    </w:p>
    <w:p w14:paraId="21F90896" w14:textId="77777777" w:rsidR="00DD7F18" w:rsidRPr="0068710B" w:rsidRDefault="00DD7F18" w:rsidP="0068710B">
      <w:pPr>
        <w:pStyle w:val="ListParagraph"/>
        <w:numPr>
          <w:ilvl w:val="0"/>
          <w:numId w:val="41"/>
        </w:numPr>
        <w:rPr>
          <w:rFonts w:ascii="Times New Roman" w:hAnsi="Times New Roman" w:cs="Times New Roman"/>
        </w:rPr>
      </w:pPr>
      <w:r w:rsidRPr="009E3663">
        <w:rPr>
          <w:rFonts w:ascii="Times New Roman" w:hAnsi="Times New Roman" w:cs="Times New Roman"/>
          <w:lang w:val="pt-PT"/>
        </w:rPr>
        <w:t xml:space="preserve">Sehgal A, Barros S, Ivanciu L, et al. </w:t>
      </w:r>
      <w:r w:rsidRPr="0068710B">
        <w:rPr>
          <w:rFonts w:ascii="Times New Roman" w:hAnsi="Times New Roman" w:cs="Times New Roman"/>
        </w:rPr>
        <w:t xml:space="preserve">An RNAi therapeutic targeting antithrombin to rebalance the coagulation system and promote </w:t>
      </w:r>
      <w:proofErr w:type="spellStart"/>
      <w:r w:rsidRPr="0068710B">
        <w:rPr>
          <w:rFonts w:ascii="Times New Roman" w:hAnsi="Times New Roman" w:cs="Times New Roman"/>
        </w:rPr>
        <w:t>hemostasis</w:t>
      </w:r>
      <w:proofErr w:type="spellEnd"/>
      <w:r w:rsidRPr="0068710B">
        <w:rPr>
          <w:rFonts w:ascii="Times New Roman" w:hAnsi="Times New Roman" w:cs="Times New Roman"/>
        </w:rPr>
        <w:t xml:space="preserve"> in </w:t>
      </w:r>
      <w:proofErr w:type="spellStart"/>
      <w:r w:rsidRPr="0068710B">
        <w:rPr>
          <w:rFonts w:ascii="Times New Roman" w:hAnsi="Times New Roman" w:cs="Times New Roman"/>
        </w:rPr>
        <w:t>hemophilia</w:t>
      </w:r>
      <w:proofErr w:type="spellEnd"/>
      <w:r w:rsidRPr="0068710B">
        <w:rPr>
          <w:rFonts w:ascii="Times New Roman" w:hAnsi="Times New Roman" w:cs="Times New Roman"/>
        </w:rPr>
        <w:t xml:space="preserve">. </w:t>
      </w:r>
      <w:r w:rsidRPr="0068710B">
        <w:rPr>
          <w:rFonts w:ascii="Times New Roman" w:hAnsi="Times New Roman" w:cs="Times New Roman"/>
          <w:i/>
          <w:iCs/>
        </w:rPr>
        <w:t>Nature Medicine</w:t>
      </w:r>
      <w:r w:rsidRPr="0068710B">
        <w:rPr>
          <w:rFonts w:ascii="Times New Roman" w:hAnsi="Times New Roman" w:cs="Times New Roman"/>
        </w:rPr>
        <w:t xml:space="preserve"> 2015; </w:t>
      </w:r>
      <w:r w:rsidRPr="0068710B">
        <w:rPr>
          <w:rFonts w:ascii="Times New Roman" w:hAnsi="Times New Roman" w:cs="Times New Roman"/>
          <w:b/>
          <w:bCs/>
        </w:rPr>
        <w:t>21</w:t>
      </w:r>
      <w:r w:rsidRPr="0068710B">
        <w:rPr>
          <w:rFonts w:ascii="Times New Roman" w:hAnsi="Times New Roman" w:cs="Times New Roman"/>
        </w:rPr>
        <w:t>:492-7.</w:t>
      </w:r>
    </w:p>
    <w:p w14:paraId="69CB36A2" w14:textId="77777777" w:rsidR="00DD7F18" w:rsidRPr="0068710B" w:rsidRDefault="00DD7F18" w:rsidP="0068710B">
      <w:pPr>
        <w:pStyle w:val="ListParagraph"/>
        <w:numPr>
          <w:ilvl w:val="0"/>
          <w:numId w:val="41"/>
        </w:numPr>
        <w:rPr>
          <w:rFonts w:ascii="Times New Roman" w:hAnsi="Times New Roman" w:cs="Times New Roman"/>
        </w:rPr>
      </w:pPr>
      <w:proofErr w:type="spellStart"/>
      <w:r w:rsidRPr="0068710B">
        <w:rPr>
          <w:rFonts w:ascii="Times New Roman" w:hAnsi="Times New Roman" w:cs="Times New Roman"/>
        </w:rPr>
        <w:t>Pasi</w:t>
      </w:r>
      <w:proofErr w:type="spellEnd"/>
      <w:r w:rsidRPr="0068710B">
        <w:rPr>
          <w:rFonts w:ascii="Times New Roman" w:hAnsi="Times New Roman" w:cs="Times New Roman"/>
        </w:rPr>
        <w:t xml:space="preserve"> KJ, </w:t>
      </w:r>
      <w:proofErr w:type="spellStart"/>
      <w:r w:rsidRPr="0068710B">
        <w:rPr>
          <w:rFonts w:ascii="Times New Roman" w:hAnsi="Times New Roman" w:cs="Times New Roman"/>
        </w:rPr>
        <w:t>Lissitchkov</w:t>
      </w:r>
      <w:proofErr w:type="spellEnd"/>
      <w:r w:rsidRPr="0068710B">
        <w:rPr>
          <w:rFonts w:ascii="Times New Roman" w:hAnsi="Times New Roman" w:cs="Times New Roman"/>
        </w:rPr>
        <w:t xml:space="preserve"> T, </w:t>
      </w:r>
      <w:proofErr w:type="spellStart"/>
      <w:r w:rsidRPr="0068710B">
        <w:rPr>
          <w:rFonts w:ascii="Times New Roman" w:hAnsi="Times New Roman" w:cs="Times New Roman"/>
        </w:rPr>
        <w:t>Mamonov</w:t>
      </w:r>
      <w:proofErr w:type="spellEnd"/>
      <w:r w:rsidRPr="0068710B">
        <w:rPr>
          <w:rFonts w:ascii="Times New Roman" w:hAnsi="Times New Roman" w:cs="Times New Roman"/>
        </w:rPr>
        <w:t xml:space="preserve"> V, et al. Targeting of antithrombin in </w:t>
      </w:r>
      <w:proofErr w:type="spellStart"/>
      <w:r w:rsidRPr="0068710B">
        <w:rPr>
          <w:rFonts w:ascii="Times New Roman" w:hAnsi="Times New Roman" w:cs="Times New Roman"/>
        </w:rPr>
        <w:t>hemophilia</w:t>
      </w:r>
      <w:proofErr w:type="spellEnd"/>
      <w:r w:rsidRPr="0068710B">
        <w:rPr>
          <w:rFonts w:ascii="Times New Roman" w:hAnsi="Times New Roman" w:cs="Times New Roman"/>
        </w:rPr>
        <w:t xml:space="preserve"> A or B with investigational siRNA therapeutic </w:t>
      </w:r>
      <w:proofErr w:type="spellStart"/>
      <w:r w:rsidRPr="0068710B">
        <w:rPr>
          <w:rFonts w:ascii="Times New Roman" w:hAnsi="Times New Roman" w:cs="Times New Roman"/>
        </w:rPr>
        <w:t>fitusiran</w:t>
      </w:r>
      <w:proofErr w:type="spellEnd"/>
      <w:r w:rsidRPr="0068710B">
        <w:rPr>
          <w:rFonts w:ascii="Times New Roman" w:hAnsi="Times New Roman" w:cs="Times New Roman"/>
        </w:rPr>
        <w:t xml:space="preserve">- Results of the phase 1 inhibitor cohort. </w:t>
      </w:r>
      <w:r w:rsidRPr="0068710B">
        <w:rPr>
          <w:rFonts w:ascii="Times New Roman" w:hAnsi="Times New Roman" w:cs="Times New Roman"/>
          <w:i/>
          <w:iCs/>
        </w:rPr>
        <w:t>Journal of Thrombosis and Haemostasis</w:t>
      </w:r>
      <w:r w:rsidRPr="0068710B">
        <w:rPr>
          <w:rFonts w:ascii="Times New Roman" w:hAnsi="Times New Roman" w:cs="Times New Roman"/>
        </w:rPr>
        <w:t xml:space="preserve"> 2021; </w:t>
      </w:r>
      <w:r w:rsidRPr="0068710B">
        <w:rPr>
          <w:rFonts w:ascii="Times New Roman" w:hAnsi="Times New Roman" w:cs="Times New Roman"/>
          <w:b/>
          <w:bCs/>
        </w:rPr>
        <w:t>19</w:t>
      </w:r>
      <w:r w:rsidRPr="0068710B">
        <w:rPr>
          <w:rFonts w:ascii="Times New Roman" w:hAnsi="Times New Roman" w:cs="Times New Roman"/>
        </w:rPr>
        <w:t>:1436-46.</w:t>
      </w:r>
    </w:p>
    <w:p w14:paraId="33FBE461" w14:textId="77777777" w:rsidR="00DD7F18" w:rsidRPr="0068710B" w:rsidRDefault="00DD7F18" w:rsidP="0068710B">
      <w:pPr>
        <w:pStyle w:val="ListParagraph"/>
        <w:numPr>
          <w:ilvl w:val="0"/>
          <w:numId w:val="41"/>
        </w:numPr>
        <w:rPr>
          <w:rFonts w:ascii="Times New Roman" w:hAnsi="Times New Roman" w:cs="Times New Roman"/>
        </w:rPr>
      </w:pPr>
      <w:proofErr w:type="spellStart"/>
      <w:r w:rsidRPr="0068710B">
        <w:rPr>
          <w:rFonts w:ascii="Times New Roman" w:hAnsi="Times New Roman" w:cs="Times New Roman"/>
        </w:rPr>
        <w:t>Pasi</w:t>
      </w:r>
      <w:proofErr w:type="spellEnd"/>
      <w:r w:rsidRPr="0068710B">
        <w:rPr>
          <w:rFonts w:ascii="Times New Roman" w:hAnsi="Times New Roman" w:cs="Times New Roman"/>
        </w:rPr>
        <w:t xml:space="preserve"> KJ, Rangarajan S, </w:t>
      </w:r>
      <w:proofErr w:type="spellStart"/>
      <w:r w:rsidRPr="0068710B">
        <w:rPr>
          <w:rFonts w:ascii="Times New Roman" w:hAnsi="Times New Roman" w:cs="Times New Roman"/>
        </w:rPr>
        <w:t>Georgiev</w:t>
      </w:r>
      <w:proofErr w:type="spellEnd"/>
      <w:r w:rsidRPr="0068710B">
        <w:rPr>
          <w:rFonts w:ascii="Times New Roman" w:hAnsi="Times New Roman" w:cs="Times New Roman"/>
        </w:rPr>
        <w:t xml:space="preserve"> P, et al. Targeting of Antithrombin in </w:t>
      </w:r>
      <w:proofErr w:type="spellStart"/>
      <w:r w:rsidRPr="0068710B">
        <w:rPr>
          <w:rFonts w:ascii="Times New Roman" w:hAnsi="Times New Roman" w:cs="Times New Roman"/>
        </w:rPr>
        <w:t>Hemophilia</w:t>
      </w:r>
      <w:proofErr w:type="spellEnd"/>
      <w:r w:rsidRPr="0068710B">
        <w:rPr>
          <w:rFonts w:ascii="Times New Roman" w:hAnsi="Times New Roman" w:cs="Times New Roman"/>
        </w:rPr>
        <w:t xml:space="preserve"> A or B with RNAi Therapy. </w:t>
      </w:r>
      <w:r w:rsidRPr="0068710B">
        <w:rPr>
          <w:rFonts w:ascii="Times New Roman" w:hAnsi="Times New Roman" w:cs="Times New Roman"/>
          <w:i/>
          <w:iCs/>
        </w:rPr>
        <w:t>The New England Journal of Medicine</w:t>
      </w:r>
      <w:r w:rsidRPr="0068710B">
        <w:rPr>
          <w:rFonts w:ascii="Times New Roman" w:hAnsi="Times New Roman" w:cs="Times New Roman"/>
        </w:rPr>
        <w:t xml:space="preserve"> 2017; </w:t>
      </w:r>
      <w:r w:rsidRPr="0068710B">
        <w:rPr>
          <w:rFonts w:ascii="Times New Roman" w:hAnsi="Times New Roman" w:cs="Times New Roman"/>
          <w:b/>
          <w:bCs/>
        </w:rPr>
        <w:t>377</w:t>
      </w:r>
      <w:r w:rsidRPr="0068710B">
        <w:rPr>
          <w:rFonts w:ascii="Times New Roman" w:hAnsi="Times New Roman" w:cs="Times New Roman"/>
        </w:rPr>
        <w:t>:819-28.</w:t>
      </w:r>
    </w:p>
    <w:p w14:paraId="61753CEC" w14:textId="77777777" w:rsidR="00DD7F18" w:rsidRPr="0068710B" w:rsidRDefault="00DD7F18" w:rsidP="0068710B">
      <w:pPr>
        <w:pStyle w:val="ListParagraph"/>
        <w:numPr>
          <w:ilvl w:val="0"/>
          <w:numId w:val="41"/>
        </w:numPr>
        <w:rPr>
          <w:rFonts w:ascii="Times New Roman" w:hAnsi="Times New Roman" w:cs="Times New Roman"/>
        </w:rPr>
      </w:pPr>
      <w:r w:rsidRPr="0068710B">
        <w:rPr>
          <w:rFonts w:ascii="Times New Roman" w:hAnsi="Times New Roman" w:cs="Times New Roman"/>
        </w:rPr>
        <w:lastRenderedPageBreak/>
        <w:t xml:space="preserve">Blanchette VS, Key NS, </w:t>
      </w:r>
      <w:proofErr w:type="spellStart"/>
      <w:r w:rsidRPr="0068710B">
        <w:rPr>
          <w:rFonts w:ascii="Times New Roman" w:hAnsi="Times New Roman" w:cs="Times New Roman"/>
        </w:rPr>
        <w:t>Ljung</w:t>
      </w:r>
      <w:proofErr w:type="spellEnd"/>
      <w:r w:rsidRPr="0068710B">
        <w:rPr>
          <w:rFonts w:ascii="Times New Roman" w:hAnsi="Times New Roman" w:cs="Times New Roman"/>
        </w:rPr>
        <w:t xml:space="preserve"> LR, Manco-Johnson MJ, et al. Definitions in </w:t>
      </w:r>
      <w:proofErr w:type="spellStart"/>
      <w:r w:rsidRPr="0068710B">
        <w:rPr>
          <w:rFonts w:ascii="Times New Roman" w:hAnsi="Times New Roman" w:cs="Times New Roman"/>
        </w:rPr>
        <w:t>hemophilia</w:t>
      </w:r>
      <w:proofErr w:type="spellEnd"/>
      <w:r w:rsidRPr="0068710B">
        <w:rPr>
          <w:rFonts w:ascii="Times New Roman" w:hAnsi="Times New Roman" w:cs="Times New Roman"/>
        </w:rPr>
        <w:t xml:space="preserve">: communication from the SSC of the ISTH. </w:t>
      </w:r>
      <w:r w:rsidRPr="0068710B">
        <w:rPr>
          <w:rFonts w:ascii="Times New Roman" w:hAnsi="Times New Roman" w:cs="Times New Roman"/>
          <w:i/>
          <w:iCs/>
        </w:rPr>
        <w:t>Journal of Thrombosis and Haemostasis</w:t>
      </w:r>
      <w:r w:rsidRPr="0068710B">
        <w:rPr>
          <w:rFonts w:ascii="Times New Roman" w:hAnsi="Times New Roman" w:cs="Times New Roman"/>
        </w:rPr>
        <w:t xml:space="preserve"> 2014; </w:t>
      </w:r>
      <w:r w:rsidRPr="0068710B">
        <w:rPr>
          <w:rFonts w:ascii="Times New Roman" w:hAnsi="Times New Roman" w:cs="Times New Roman"/>
          <w:b/>
          <w:bCs/>
        </w:rPr>
        <w:t>12</w:t>
      </w:r>
      <w:r w:rsidRPr="0068710B">
        <w:rPr>
          <w:rFonts w:ascii="Times New Roman" w:hAnsi="Times New Roman" w:cs="Times New Roman"/>
        </w:rPr>
        <w:t>:1935-9.</w:t>
      </w:r>
    </w:p>
    <w:p w14:paraId="69AF01D9" w14:textId="77777777" w:rsidR="00DD7F18" w:rsidRPr="0068710B" w:rsidRDefault="00DD7F18" w:rsidP="0068710B">
      <w:pPr>
        <w:pStyle w:val="ListParagraph"/>
        <w:numPr>
          <w:ilvl w:val="0"/>
          <w:numId w:val="41"/>
        </w:numPr>
        <w:rPr>
          <w:rFonts w:ascii="Times New Roman" w:hAnsi="Times New Roman" w:cs="Times New Roman"/>
        </w:rPr>
      </w:pPr>
      <w:r w:rsidRPr="009E3663">
        <w:rPr>
          <w:rFonts w:ascii="Times New Roman" w:hAnsi="Times New Roman" w:cs="Times New Roman"/>
          <w:lang w:val="fr-FR"/>
        </w:rPr>
        <w:t xml:space="preserve">Pipe SW, </w:t>
      </w:r>
      <w:proofErr w:type="spellStart"/>
      <w:r w:rsidRPr="009E3663">
        <w:rPr>
          <w:rFonts w:ascii="Times New Roman" w:hAnsi="Times New Roman" w:cs="Times New Roman"/>
          <w:lang w:val="fr-FR"/>
        </w:rPr>
        <w:t>Pasi</w:t>
      </w:r>
      <w:proofErr w:type="spellEnd"/>
      <w:r w:rsidRPr="009E3663">
        <w:rPr>
          <w:rFonts w:ascii="Times New Roman" w:hAnsi="Times New Roman" w:cs="Times New Roman"/>
          <w:lang w:val="fr-FR"/>
        </w:rPr>
        <w:t xml:space="preserve"> J, </w:t>
      </w:r>
      <w:proofErr w:type="spellStart"/>
      <w:r w:rsidRPr="009E3663">
        <w:rPr>
          <w:rFonts w:ascii="Times New Roman" w:hAnsi="Times New Roman" w:cs="Times New Roman"/>
          <w:lang w:val="fr-FR"/>
        </w:rPr>
        <w:t>Lissitchkov</w:t>
      </w:r>
      <w:proofErr w:type="spellEnd"/>
      <w:r w:rsidRPr="009E3663">
        <w:rPr>
          <w:rFonts w:ascii="Times New Roman" w:hAnsi="Times New Roman" w:cs="Times New Roman"/>
          <w:lang w:val="fr-FR"/>
        </w:rPr>
        <w:t xml:space="preserve"> T, et al. </w:t>
      </w:r>
      <w:r w:rsidRPr="0068710B">
        <w:rPr>
          <w:rFonts w:ascii="Times New Roman" w:hAnsi="Times New Roman" w:cs="Times New Roman"/>
        </w:rPr>
        <w:t xml:space="preserve">Long-term durability, safety and efficacy of </w:t>
      </w:r>
      <w:proofErr w:type="spellStart"/>
      <w:r w:rsidRPr="0068710B">
        <w:rPr>
          <w:rFonts w:ascii="Times New Roman" w:hAnsi="Times New Roman" w:cs="Times New Roman"/>
        </w:rPr>
        <w:t>fitusiran</w:t>
      </w:r>
      <w:proofErr w:type="spellEnd"/>
      <w:r w:rsidRPr="0068710B">
        <w:rPr>
          <w:rFonts w:ascii="Times New Roman" w:hAnsi="Times New Roman" w:cs="Times New Roman"/>
        </w:rPr>
        <w:t xml:space="preserve"> prophylaxis in people with </w:t>
      </w:r>
      <w:proofErr w:type="spellStart"/>
      <w:r w:rsidRPr="0068710B">
        <w:rPr>
          <w:rFonts w:ascii="Times New Roman" w:hAnsi="Times New Roman" w:cs="Times New Roman"/>
        </w:rPr>
        <w:t>hemophilia</w:t>
      </w:r>
      <w:proofErr w:type="spellEnd"/>
      <w:r w:rsidRPr="0068710B">
        <w:rPr>
          <w:rFonts w:ascii="Times New Roman" w:hAnsi="Times New Roman" w:cs="Times New Roman"/>
        </w:rPr>
        <w:t xml:space="preserve"> A or B, with or without inhibitors – results from the phase II study. </w:t>
      </w:r>
      <w:r w:rsidRPr="0068710B">
        <w:rPr>
          <w:rFonts w:ascii="Times New Roman" w:hAnsi="Times New Roman" w:cs="Times New Roman"/>
          <w:i/>
          <w:iCs/>
        </w:rPr>
        <w:t>Blood</w:t>
      </w:r>
      <w:r w:rsidRPr="0068710B">
        <w:rPr>
          <w:rFonts w:ascii="Times New Roman" w:hAnsi="Times New Roman" w:cs="Times New Roman"/>
        </w:rPr>
        <w:t xml:space="preserve"> 2020; </w:t>
      </w:r>
      <w:r w:rsidRPr="0068710B">
        <w:rPr>
          <w:rFonts w:ascii="Times New Roman" w:hAnsi="Times New Roman" w:cs="Times New Roman"/>
          <w:b/>
          <w:bCs/>
        </w:rPr>
        <w:t>126 (</w:t>
      </w:r>
      <w:proofErr w:type="spellStart"/>
      <w:r w:rsidRPr="0068710B">
        <w:rPr>
          <w:rFonts w:ascii="Times New Roman" w:hAnsi="Times New Roman" w:cs="Times New Roman"/>
          <w:b/>
          <w:bCs/>
        </w:rPr>
        <w:t>suppl</w:t>
      </w:r>
      <w:proofErr w:type="spellEnd"/>
      <w:r w:rsidRPr="0068710B">
        <w:rPr>
          <w:rFonts w:ascii="Times New Roman" w:hAnsi="Times New Roman" w:cs="Times New Roman"/>
          <w:b/>
          <w:bCs/>
        </w:rPr>
        <w:t xml:space="preserve"> 1)</w:t>
      </w:r>
      <w:r w:rsidRPr="0068710B">
        <w:rPr>
          <w:rFonts w:ascii="Times New Roman" w:hAnsi="Times New Roman" w:cs="Times New Roman"/>
        </w:rPr>
        <w:t>:3-4.</w:t>
      </w:r>
    </w:p>
    <w:p w14:paraId="79E6D30C" w14:textId="77777777" w:rsidR="00DD7F18" w:rsidRPr="0068710B" w:rsidRDefault="00DD7F18" w:rsidP="0068710B">
      <w:pPr>
        <w:pStyle w:val="ListParagraph"/>
        <w:numPr>
          <w:ilvl w:val="0"/>
          <w:numId w:val="41"/>
        </w:numPr>
        <w:rPr>
          <w:rFonts w:ascii="Times New Roman" w:hAnsi="Times New Roman" w:cs="Times New Roman"/>
        </w:rPr>
      </w:pPr>
      <w:r w:rsidRPr="009E3663">
        <w:rPr>
          <w:rFonts w:ascii="Times New Roman" w:hAnsi="Times New Roman" w:cs="Times New Roman"/>
          <w:lang w:val="fi-FI"/>
        </w:rPr>
        <w:t xml:space="preserve">Young G, Srivastava A, Kavakli K, et al. </w:t>
      </w:r>
      <w:r w:rsidRPr="0068710B">
        <w:rPr>
          <w:rFonts w:ascii="Times New Roman" w:hAnsi="Times New Roman" w:cs="Times New Roman"/>
        </w:rPr>
        <w:t xml:space="preserve">Efficacy and Safety of </w:t>
      </w:r>
      <w:proofErr w:type="spellStart"/>
      <w:r w:rsidRPr="0068710B">
        <w:rPr>
          <w:rFonts w:ascii="Times New Roman" w:hAnsi="Times New Roman" w:cs="Times New Roman"/>
        </w:rPr>
        <w:t>fitusiran</w:t>
      </w:r>
      <w:proofErr w:type="spellEnd"/>
      <w:r w:rsidRPr="0068710B">
        <w:rPr>
          <w:rFonts w:ascii="Times New Roman" w:hAnsi="Times New Roman" w:cs="Times New Roman"/>
        </w:rPr>
        <w:t xml:space="preserve"> prophylaxis, an siRNA therapeutic, in a </w:t>
      </w:r>
      <w:proofErr w:type="spellStart"/>
      <w:r w:rsidRPr="0068710B">
        <w:rPr>
          <w:rFonts w:ascii="Times New Roman" w:hAnsi="Times New Roman" w:cs="Times New Roman"/>
        </w:rPr>
        <w:t>multicenter</w:t>
      </w:r>
      <w:proofErr w:type="spellEnd"/>
      <w:r w:rsidRPr="0068710B">
        <w:rPr>
          <w:rFonts w:ascii="Times New Roman" w:hAnsi="Times New Roman" w:cs="Times New Roman"/>
        </w:rPr>
        <w:t xml:space="preserve"> phase 3 study (ATLAS-INH) in people with </w:t>
      </w:r>
      <w:proofErr w:type="spellStart"/>
      <w:r w:rsidRPr="0068710B">
        <w:rPr>
          <w:rFonts w:ascii="Times New Roman" w:hAnsi="Times New Roman" w:cs="Times New Roman"/>
        </w:rPr>
        <w:t>hemophilia</w:t>
      </w:r>
      <w:proofErr w:type="spellEnd"/>
      <w:r w:rsidRPr="0068710B">
        <w:rPr>
          <w:rFonts w:ascii="Times New Roman" w:hAnsi="Times New Roman" w:cs="Times New Roman"/>
        </w:rPr>
        <w:t xml:space="preserve"> A or B, with inhibitors (</w:t>
      </w:r>
      <w:proofErr w:type="spellStart"/>
      <w:r w:rsidRPr="0068710B">
        <w:rPr>
          <w:rFonts w:ascii="Times New Roman" w:hAnsi="Times New Roman" w:cs="Times New Roman"/>
        </w:rPr>
        <w:t>PwHI</w:t>
      </w:r>
      <w:proofErr w:type="spellEnd"/>
      <w:r w:rsidRPr="0068710B">
        <w:rPr>
          <w:rFonts w:ascii="Times New Roman" w:hAnsi="Times New Roman" w:cs="Times New Roman"/>
        </w:rPr>
        <w:t xml:space="preserve">). </w:t>
      </w:r>
      <w:r w:rsidRPr="0068710B">
        <w:rPr>
          <w:rFonts w:ascii="Times New Roman" w:hAnsi="Times New Roman" w:cs="Times New Roman"/>
          <w:i/>
          <w:iCs/>
        </w:rPr>
        <w:t>Blood</w:t>
      </w:r>
      <w:r w:rsidRPr="0068710B">
        <w:rPr>
          <w:rFonts w:ascii="Times New Roman" w:hAnsi="Times New Roman" w:cs="Times New Roman"/>
        </w:rPr>
        <w:t xml:space="preserve"> 2021; </w:t>
      </w:r>
      <w:r w:rsidRPr="0068710B">
        <w:rPr>
          <w:rFonts w:ascii="Times New Roman" w:hAnsi="Times New Roman" w:cs="Times New Roman"/>
          <w:b/>
          <w:bCs/>
        </w:rPr>
        <w:t>138 (</w:t>
      </w:r>
      <w:proofErr w:type="spellStart"/>
      <w:r w:rsidRPr="0068710B">
        <w:rPr>
          <w:rFonts w:ascii="Times New Roman" w:hAnsi="Times New Roman" w:cs="Times New Roman"/>
          <w:b/>
          <w:bCs/>
        </w:rPr>
        <w:t>suppl</w:t>
      </w:r>
      <w:proofErr w:type="spellEnd"/>
      <w:r w:rsidRPr="0068710B">
        <w:rPr>
          <w:rFonts w:ascii="Times New Roman" w:hAnsi="Times New Roman" w:cs="Times New Roman"/>
          <w:b/>
          <w:bCs/>
        </w:rPr>
        <w:t xml:space="preserve"> 1)</w:t>
      </w:r>
      <w:r w:rsidRPr="0068710B">
        <w:rPr>
          <w:rFonts w:ascii="Times New Roman" w:hAnsi="Times New Roman" w:cs="Times New Roman"/>
        </w:rPr>
        <w:t>:4.</w:t>
      </w:r>
    </w:p>
    <w:p w14:paraId="273B5ECF" w14:textId="77777777" w:rsidR="00DD7F18" w:rsidRPr="0068710B" w:rsidRDefault="00DD7F18" w:rsidP="0068710B">
      <w:pPr>
        <w:pStyle w:val="ListParagraph"/>
        <w:numPr>
          <w:ilvl w:val="0"/>
          <w:numId w:val="41"/>
        </w:numPr>
        <w:rPr>
          <w:rFonts w:ascii="Times New Roman" w:hAnsi="Times New Roman" w:cs="Times New Roman"/>
        </w:rPr>
      </w:pPr>
      <w:proofErr w:type="spellStart"/>
      <w:r w:rsidRPr="0068710B">
        <w:rPr>
          <w:rFonts w:ascii="Times New Roman" w:hAnsi="Times New Roman" w:cs="Times New Roman"/>
        </w:rPr>
        <w:t>Mannucci</w:t>
      </w:r>
      <w:proofErr w:type="spellEnd"/>
      <w:r w:rsidRPr="0068710B">
        <w:rPr>
          <w:rFonts w:ascii="Times New Roman" w:hAnsi="Times New Roman" w:cs="Times New Roman"/>
        </w:rPr>
        <w:t xml:space="preserve"> PM, </w:t>
      </w:r>
      <w:proofErr w:type="spellStart"/>
      <w:r w:rsidRPr="0068710B">
        <w:rPr>
          <w:rFonts w:ascii="Times New Roman" w:hAnsi="Times New Roman" w:cs="Times New Roman"/>
        </w:rPr>
        <w:t>Iacobelli</w:t>
      </w:r>
      <w:proofErr w:type="spellEnd"/>
      <w:r w:rsidRPr="0068710B">
        <w:rPr>
          <w:rFonts w:ascii="Times New Roman" w:hAnsi="Times New Roman" w:cs="Times New Roman"/>
        </w:rPr>
        <w:t xml:space="preserve"> M. Progress in the contemporary management of </w:t>
      </w:r>
      <w:proofErr w:type="spellStart"/>
      <w:r w:rsidRPr="0068710B">
        <w:rPr>
          <w:rFonts w:ascii="Times New Roman" w:hAnsi="Times New Roman" w:cs="Times New Roman"/>
        </w:rPr>
        <w:t>hemophila</w:t>
      </w:r>
      <w:proofErr w:type="spellEnd"/>
      <w:r w:rsidRPr="0068710B">
        <w:rPr>
          <w:rFonts w:ascii="Times New Roman" w:hAnsi="Times New Roman" w:cs="Times New Roman"/>
        </w:rPr>
        <w:t xml:space="preserve">: The new issue of patient aging. </w:t>
      </w:r>
      <w:r w:rsidRPr="0068710B">
        <w:rPr>
          <w:rFonts w:ascii="Times New Roman" w:hAnsi="Times New Roman" w:cs="Times New Roman"/>
          <w:i/>
          <w:iCs/>
        </w:rPr>
        <w:t>European Journal of Internal Medicine</w:t>
      </w:r>
      <w:r w:rsidRPr="0068710B">
        <w:rPr>
          <w:rFonts w:ascii="Times New Roman" w:hAnsi="Times New Roman" w:cs="Times New Roman"/>
        </w:rPr>
        <w:t xml:space="preserve"> 2017; </w:t>
      </w:r>
      <w:r w:rsidRPr="0068710B">
        <w:rPr>
          <w:rFonts w:ascii="Times New Roman" w:hAnsi="Times New Roman" w:cs="Times New Roman"/>
          <w:b/>
          <w:bCs/>
        </w:rPr>
        <w:t>43</w:t>
      </w:r>
      <w:r w:rsidRPr="0068710B">
        <w:rPr>
          <w:rFonts w:ascii="Times New Roman" w:hAnsi="Times New Roman" w:cs="Times New Roman"/>
        </w:rPr>
        <w:t>:16-21</w:t>
      </w:r>
    </w:p>
    <w:p w14:paraId="2BB0F0F6" w14:textId="77777777" w:rsidR="00DD7F18" w:rsidRPr="0068710B" w:rsidRDefault="00DD7F18" w:rsidP="0068710B">
      <w:pPr>
        <w:pStyle w:val="ListParagraph"/>
        <w:numPr>
          <w:ilvl w:val="0"/>
          <w:numId w:val="41"/>
        </w:numPr>
        <w:rPr>
          <w:rFonts w:ascii="Times New Roman" w:hAnsi="Times New Roman" w:cs="Times New Roman"/>
        </w:rPr>
      </w:pPr>
      <w:r w:rsidRPr="0068710B">
        <w:rPr>
          <w:rFonts w:ascii="Times New Roman" w:hAnsi="Times New Roman" w:cs="Times New Roman"/>
        </w:rPr>
        <w:t xml:space="preserve">von </w:t>
      </w:r>
      <w:proofErr w:type="spellStart"/>
      <w:r w:rsidRPr="0068710B">
        <w:rPr>
          <w:rFonts w:ascii="Times New Roman" w:hAnsi="Times New Roman" w:cs="Times New Roman"/>
        </w:rPr>
        <w:t>Mackensen</w:t>
      </w:r>
      <w:proofErr w:type="spellEnd"/>
      <w:r w:rsidRPr="0068710B">
        <w:rPr>
          <w:rFonts w:ascii="Times New Roman" w:hAnsi="Times New Roman" w:cs="Times New Roman"/>
        </w:rPr>
        <w:t xml:space="preserve"> S, </w:t>
      </w:r>
      <w:proofErr w:type="spellStart"/>
      <w:r w:rsidRPr="0068710B">
        <w:rPr>
          <w:rFonts w:ascii="Times New Roman" w:hAnsi="Times New Roman" w:cs="Times New Roman"/>
        </w:rPr>
        <w:t>Catalani</w:t>
      </w:r>
      <w:proofErr w:type="spellEnd"/>
      <w:r w:rsidRPr="0068710B">
        <w:rPr>
          <w:rFonts w:ascii="Times New Roman" w:hAnsi="Times New Roman" w:cs="Times New Roman"/>
        </w:rPr>
        <w:t xml:space="preserve"> O, </w:t>
      </w:r>
      <w:proofErr w:type="spellStart"/>
      <w:r w:rsidRPr="0068710B">
        <w:rPr>
          <w:rFonts w:ascii="Times New Roman" w:hAnsi="Times New Roman" w:cs="Times New Roman"/>
        </w:rPr>
        <w:t>Asikanius</w:t>
      </w:r>
      <w:proofErr w:type="spellEnd"/>
      <w:r w:rsidRPr="0068710B">
        <w:rPr>
          <w:rFonts w:ascii="Times New Roman" w:hAnsi="Times New Roman" w:cs="Times New Roman"/>
        </w:rPr>
        <w:t xml:space="preserve"> E, et al. Determining meaningful health-related quality-of-life improvement in persons with </w:t>
      </w:r>
      <w:proofErr w:type="spellStart"/>
      <w:r w:rsidRPr="0068710B">
        <w:rPr>
          <w:rFonts w:ascii="Times New Roman" w:hAnsi="Times New Roman" w:cs="Times New Roman"/>
        </w:rPr>
        <w:t>hemophilia</w:t>
      </w:r>
      <w:proofErr w:type="spellEnd"/>
      <w:r w:rsidRPr="0068710B">
        <w:rPr>
          <w:rFonts w:ascii="Times New Roman" w:hAnsi="Times New Roman" w:cs="Times New Roman"/>
        </w:rPr>
        <w:t xml:space="preserve"> A using the Haemophilia Quality of Life </w:t>
      </w:r>
      <w:proofErr w:type="spellStart"/>
      <w:r w:rsidRPr="0068710B">
        <w:rPr>
          <w:rFonts w:ascii="Times New Roman" w:hAnsi="Times New Roman" w:cs="Times New Roman"/>
        </w:rPr>
        <w:t>Quetionnaire</w:t>
      </w:r>
      <w:proofErr w:type="spellEnd"/>
      <w:r w:rsidRPr="0068710B">
        <w:rPr>
          <w:rFonts w:ascii="Times New Roman" w:hAnsi="Times New Roman" w:cs="Times New Roman"/>
        </w:rPr>
        <w:t xml:space="preserve"> for Adults (Haem-A-QoL). </w:t>
      </w:r>
      <w:r w:rsidRPr="0068710B">
        <w:rPr>
          <w:rFonts w:ascii="Times New Roman" w:hAnsi="Times New Roman" w:cs="Times New Roman"/>
          <w:i/>
          <w:iCs/>
        </w:rPr>
        <w:t>Haemophilia</w:t>
      </w:r>
      <w:r w:rsidRPr="0068710B">
        <w:rPr>
          <w:rFonts w:ascii="Times New Roman" w:hAnsi="Times New Roman" w:cs="Times New Roman"/>
        </w:rPr>
        <w:t xml:space="preserve"> 2020; </w:t>
      </w:r>
      <w:r w:rsidRPr="0068710B">
        <w:rPr>
          <w:rFonts w:ascii="Times New Roman" w:hAnsi="Times New Roman" w:cs="Times New Roman"/>
          <w:b/>
          <w:bCs/>
        </w:rPr>
        <w:t>26</w:t>
      </w:r>
      <w:r w:rsidRPr="0068710B">
        <w:rPr>
          <w:rFonts w:ascii="Times New Roman" w:hAnsi="Times New Roman" w:cs="Times New Roman"/>
        </w:rPr>
        <w:t>:1019–30.</w:t>
      </w:r>
    </w:p>
    <w:p w14:paraId="3E18C4F7" w14:textId="77777777" w:rsidR="00DD7F18" w:rsidRPr="0068710B" w:rsidRDefault="00DD7F18" w:rsidP="0068710B">
      <w:pPr>
        <w:pStyle w:val="ListParagraph"/>
        <w:numPr>
          <w:ilvl w:val="0"/>
          <w:numId w:val="41"/>
        </w:numPr>
        <w:rPr>
          <w:rFonts w:ascii="Times New Roman" w:hAnsi="Times New Roman" w:cs="Times New Roman"/>
        </w:rPr>
      </w:pPr>
      <w:r w:rsidRPr="0068710B">
        <w:rPr>
          <w:rFonts w:ascii="Times New Roman" w:hAnsi="Times New Roman" w:cs="Times New Roman"/>
        </w:rPr>
        <w:t>Food and Drug Administration. GIVLAARI Prescribing information. 2019.</w:t>
      </w:r>
    </w:p>
    <w:p w14:paraId="57490907" w14:textId="77777777" w:rsidR="00DD7F18" w:rsidRPr="0068710B" w:rsidRDefault="00DD7F18" w:rsidP="0068710B">
      <w:pPr>
        <w:pStyle w:val="ListParagraph"/>
        <w:numPr>
          <w:ilvl w:val="0"/>
          <w:numId w:val="41"/>
        </w:numPr>
        <w:rPr>
          <w:rFonts w:ascii="Times New Roman" w:hAnsi="Times New Roman" w:cs="Times New Roman"/>
        </w:rPr>
      </w:pPr>
      <w:proofErr w:type="spellStart"/>
      <w:r w:rsidRPr="0068710B">
        <w:rPr>
          <w:rFonts w:ascii="Times New Roman" w:hAnsi="Times New Roman" w:cs="Times New Roman"/>
        </w:rPr>
        <w:t>Setten</w:t>
      </w:r>
      <w:proofErr w:type="spellEnd"/>
      <w:r w:rsidRPr="0068710B">
        <w:rPr>
          <w:rFonts w:ascii="Times New Roman" w:hAnsi="Times New Roman" w:cs="Times New Roman"/>
        </w:rPr>
        <w:t xml:space="preserve"> RL, Rossi JJ, Han S-p. The current state and future directions of RNAi-based therapeutics. </w:t>
      </w:r>
      <w:r w:rsidRPr="0068710B">
        <w:rPr>
          <w:rFonts w:ascii="Times New Roman" w:hAnsi="Times New Roman" w:cs="Times New Roman"/>
          <w:i/>
          <w:iCs/>
        </w:rPr>
        <w:t>Nature Reviews Drug Discovery</w:t>
      </w:r>
      <w:r w:rsidRPr="0068710B">
        <w:rPr>
          <w:rFonts w:ascii="Times New Roman" w:hAnsi="Times New Roman" w:cs="Times New Roman"/>
        </w:rPr>
        <w:t xml:space="preserve"> 2019; </w:t>
      </w:r>
      <w:r w:rsidRPr="0068710B">
        <w:rPr>
          <w:rFonts w:ascii="Times New Roman" w:hAnsi="Times New Roman" w:cs="Times New Roman"/>
          <w:b/>
          <w:bCs/>
        </w:rPr>
        <w:t>18</w:t>
      </w:r>
      <w:r w:rsidRPr="0068710B">
        <w:rPr>
          <w:rFonts w:ascii="Times New Roman" w:hAnsi="Times New Roman" w:cs="Times New Roman"/>
        </w:rPr>
        <w:t>:421-46.</w:t>
      </w:r>
    </w:p>
    <w:p w14:paraId="27EC2E75" w14:textId="77777777" w:rsidR="00DD7F18" w:rsidRPr="0068710B" w:rsidRDefault="00DD7F18" w:rsidP="0068710B">
      <w:pPr>
        <w:pStyle w:val="ListParagraph"/>
        <w:numPr>
          <w:ilvl w:val="0"/>
          <w:numId w:val="41"/>
        </w:numPr>
        <w:rPr>
          <w:rFonts w:ascii="Times New Roman" w:hAnsi="Times New Roman" w:cs="Times New Roman"/>
        </w:rPr>
      </w:pPr>
      <w:proofErr w:type="spellStart"/>
      <w:r w:rsidRPr="0068710B">
        <w:rPr>
          <w:rFonts w:ascii="Times New Roman" w:hAnsi="Times New Roman" w:cs="Times New Roman"/>
        </w:rPr>
        <w:t>Negrier</w:t>
      </w:r>
      <w:proofErr w:type="spellEnd"/>
      <w:r w:rsidRPr="0068710B">
        <w:rPr>
          <w:rFonts w:ascii="Times New Roman" w:hAnsi="Times New Roman" w:cs="Times New Roman"/>
        </w:rPr>
        <w:t xml:space="preserve"> C, </w:t>
      </w:r>
      <w:proofErr w:type="spellStart"/>
      <w:r w:rsidRPr="0068710B">
        <w:rPr>
          <w:rFonts w:ascii="Times New Roman" w:hAnsi="Times New Roman" w:cs="Times New Roman"/>
        </w:rPr>
        <w:t>Pasi</w:t>
      </w:r>
      <w:proofErr w:type="spellEnd"/>
      <w:r w:rsidRPr="0068710B">
        <w:rPr>
          <w:rFonts w:ascii="Times New Roman" w:hAnsi="Times New Roman" w:cs="Times New Roman"/>
        </w:rPr>
        <w:t xml:space="preserve"> KJ, </w:t>
      </w:r>
      <w:proofErr w:type="spellStart"/>
      <w:r w:rsidRPr="0068710B">
        <w:rPr>
          <w:rFonts w:ascii="Times New Roman" w:hAnsi="Times New Roman" w:cs="Times New Roman"/>
        </w:rPr>
        <w:t>RAgni</w:t>
      </w:r>
      <w:proofErr w:type="spellEnd"/>
      <w:r w:rsidRPr="0068710B">
        <w:rPr>
          <w:rFonts w:ascii="Times New Roman" w:hAnsi="Times New Roman" w:cs="Times New Roman"/>
        </w:rPr>
        <w:t xml:space="preserve"> MV, et al. </w:t>
      </w:r>
      <w:proofErr w:type="spellStart"/>
      <w:r w:rsidRPr="0068710B">
        <w:rPr>
          <w:rFonts w:ascii="Times New Roman" w:hAnsi="Times New Roman" w:cs="Times New Roman"/>
        </w:rPr>
        <w:t>Fitusiran</w:t>
      </w:r>
      <w:proofErr w:type="spellEnd"/>
      <w:r w:rsidRPr="0068710B">
        <w:rPr>
          <w:rFonts w:ascii="Times New Roman" w:hAnsi="Times New Roman" w:cs="Times New Roman"/>
        </w:rPr>
        <w:t>, an SiRNA Therapeutic Targeting Antithrombin for the Treatment of Haemophilia: Proposed revisions to dose and regimen as a risk mitigation for vascular thrombosis. Presented at Virtual Congress of the European Association for Haemophilia and Allied Disorders 2021, 3–5 February 2021.</w:t>
      </w:r>
    </w:p>
    <w:p w14:paraId="2ABEFAF9" w14:textId="77777777" w:rsidR="00DD7F18" w:rsidRPr="0068710B" w:rsidRDefault="00DD7F18" w:rsidP="0068710B">
      <w:pPr>
        <w:pStyle w:val="ListParagraph"/>
        <w:numPr>
          <w:ilvl w:val="0"/>
          <w:numId w:val="41"/>
        </w:numPr>
        <w:rPr>
          <w:rFonts w:ascii="Times New Roman" w:hAnsi="Times New Roman" w:cs="Times New Roman"/>
        </w:rPr>
      </w:pPr>
      <w:proofErr w:type="spellStart"/>
      <w:r w:rsidRPr="0068710B">
        <w:rPr>
          <w:rFonts w:ascii="Times New Roman" w:hAnsi="Times New Roman" w:cs="Times New Roman"/>
        </w:rPr>
        <w:t>Dargaud</w:t>
      </w:r>
      <w:proofErr w:type="spellEnd"/>
      <w:r w:rsidRPr="0068710B">
        <w:rPr>
          <w:rFonts w:ascii="Times New Roman" w:hAnsi="Times New Roman" w:cs="Times New Roman"/>
        </w:rPr>
        <w:t xml:space="preserve"> Y, </w:t>
      </w:r>
      <w:proofErr w:type="spellStart"/>
      <w:r w:rsidRPr="0068710B">
        <w:rPr>
          <w:rFonts w:ascii="Times New Roman" w:hAnsi="Times New Roman" w:cs="Times New Roman"/>
        </w:rPr>
        <w:t>Beguin</w:t>
      </w:r>
      <w:proofErr w:type="spellEnd"/>
      <w:r w:rsidRPr="0068710B">
        <w:rPr>
          <w:rFonts w:ascii="Times New Roman" w:hAnsi="Times New Roman" w:cs="Times New Roman"/>
        </w:rPr>
        <w:t xml:space="preserve"> S, </w:t>
      </w:r>
      <w:proofErr w:type="spellStart"/>
      <w:r w:rsidRPr="0068710B">
        <w:rPr>
          <w:rFonts w:ascii="Times New Roman" w:hAnsi="Times New Roman" w:cs="Times New Roman"/>
        </w:rPr>
        <w:t>Lienhart</w:t>
      </w:r>
      <w:proofErr w:type="spellEnd"/>
      <w:r w:rsidRPr="0068710B">
        <w:rPr>
          <w:rFonts w:ascii="Times New Roman" w:hAnsi="Times New Roman" w:cs="Times New Roman"/>
        </w:rPr>
        <w:t xml:space="preserve"> A, et al. Evaluation of thrombin generating capacity in plasma from patients with haemophilia A and B. </w:t>
      </w:r>
      <w:r w:rsidRPr="0068710B">
        <w:rPr>
          <w:rFonts w:ascii="Times New Roman" w:hAnsi="Times New Roman" w:cs="Times New Roman"/>
          <w:i/>
          <w:iCs/>
        </w:rPr>
        <w:t>Thrombosis and Haemostasis</w:t>
      </w:r>
      <w:r w:rsidRPr="0068710B">
        <w:rPr>
          <w:rFonts w:ascii="Times New Roman" w:hAnsi="Times New Roman" w:cs="Times New Roman"/>
        </w:rPr>
        <w:t xml:space="preserve"> 2005; </w:t>
      </w:r>
      <w:r w:rsidRPr="0068710B">
        <w:rPr>
          <w:rFonts w:ascii="Times New Roman" w:hAnsi="Times New Roman" w:cs="Times New Roman"/>
          <w:b/>
          <w:bCs/>
        </w:rPr>
        <w:t>93</w:t>
      </w:r>
      <w:r w:rsidRPr="0068710B">
        <w:rPr>
          <w:rFonts w:ascii="Times New Roman" w:hAnsi="Times New Roman" w:cs="Times New Roman"/>
        </w:rPr>
        <w:t>:475-80.</w:t>
      </w:r>
    </w:p>
    <w:p w14:paraId="7BAEEC55" w14:textId="77777777" w:rsidR="00DD7F18" w:rsidRPr="0068710B" w:rsidRDefault="00DD7F18" w:rsidP="0068710B">
      <w:pPr>
        <w:pStyle w:val="ListParagraph"/>
        <w:numPr>
          <w:ilvl w:val="0"/>
          <w:numId w:val="41"/>
        </w:numPr>
        <w:rPr>
          <w:rFonts w:ascii="Times New Roman" w:hAnsi="Times New Roman" w:cs="Times New Roman"/>
        </w:rPr>
      </w:pPr>
      <w:r w:rsidRPr="0068710B">
        <w:rPr>
          <w:rFonts w:ascii="Times New Roman" w:hAnsi="Times New Roman" w:cs="Times New Roman"/>
        </w:rPr>
        <w:t>Srivastava A, Brewer AK, Mauser-</w:t>
      </w:r>
      <w:proofErr w:type="spellStart"/>
      <w:r w:rsidRPr="0068710B">
        <w:rPr>
          <w:rFonts w:ascii="Times New Roman" w:hAnsi="Times New Roman" w:cs="Times New Roman"/>
        </w:rPr>
        <w:t>Bunschoten</w:t>
      </w:r>
      <w:proofErr w:type="spellEnd"/>
      <w:r w:rsidRPr="0068710B">
        <w:rPr>
          <w:rFonts w:ascii="Times New Roman" w:hAnsi="Times New Roman" w:cs="Times New Roman"/>
        </w:rPr>
        <w:t xml:space="preserve"> EP, et al. Guidelines for the management of </w:t>
      </w:r>
      <w:proofErr w:type="spellStart"/>
      <w:r w:rsidRPr="0068710B">
        <w:rPr>
          <w:rFonts w:ascii="Times New Roman" w:hAnsi="Times New Roman" w:cs="Times New Roman"/>
        </w:rPr>
        <w:t>hemophilia</w:t>
      </w:r>
      <w:proofErr w:type="spellEnd"/>
      <w:r w:rsidRPr="0068710B">
        <w:rPr>
          <w:rFonts w:ascii="Times New Roman" w:hAnsi="Times New Roman" w:cs="Times New Roman"/>
        </w:rPr>
        <w:t xml:space="preserve">. </w:t>
      </w:r>
      <w:r w:rsidRPr="0068710B">
        <w:rPr>
          <w:rFonts w:ascii="Times New Roman" w:hAnsi="Times New Roman" w:cs="Times New Roman"/>
          <w:i/>
          <w:iCs/>
        </w:rPr>
        <w:t>Haemophilia</w:t>
      </w:r>
      <w:r w:rsidRPr="0068710B">
        <w:rPr>
          <w:rFonts w:ascii="Times New Roman" w:hAnsi="Times New Roman" w:cs="Times New Roman"/>
        </w:rPr>
        <w:t xml:space="preserve"> 2013; </w:t>
      </w:r>
      <w:r w:rsidRPr="0068710B">
        <w:rPr>
          <w:rFonts w:ascii="Times New Roman" w:hAnsi="Times New Roman" w:cs="Times New Roman"/>
          <w:b/>
          <w:bCs/>
        </w:rPr>
        <w:t>19</w:t>
      </w:r>
      <w:r w:rsidRPr="0068710B">
        <w:rPr>
          <w:rFonts w:ascii="Times New Roman" w:hAnsi="Times New Roman" w:cs="Times New Roman"/>
        </w:rPr>
        <w:t>:e1-47.</w:t>
      </w:r>
    </w:p>
    <w:p w14:paraId="00AD7CD5" w14:textId="77777777" w:rsidR="00DD7F18" w:rsidRPr="000F43D5" w:rsidRDefault="00DD7F18" w:rsidP="003D4C11">
      <w:pPr>
        <w:spacing w:line="360" w:lineRule="auto"/>
        <w:rPr>
          <w:rFonts w:ascii="Times New Roman" w:hAnsi="Times New Roman" w:cs="Times New Roman"/>
          <w:b/>
          <w:bCs/>
          <w:noProof/>
        </w:rPr>
        <w:sectPr w:rsidR="00DD7F18" w:rsidRPr="000F43D5" w:rsidSect="0096487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lnNumType w:countBy="1" w:restart="continuous"/>
          <w:cols w:space="708"/>
          <w:docGrid w:linePitch="360"/>
        </w:sectPr>
      </w:pPr>
    </w:p>
    <w:p w14:paraId="64E863F7" w14:textId="77777777" w:rsidR="0033328D" w:rsidRPr="00D653EE" w:rsidRDefault="0033328D" w:rsidP="0033328D">
      <w:pPr>
        <w:spacing w:line="360" w:lineRule="auto"/>
        <w:rPr>
          <w:rFonts w:ascii="Times New Roman" w:hAnsi="Times New Roman" w:cs="Times New Roman"/>
          <w:b/>
          <w:sz w:val="24"/>
          <w:szCs w:val="24"/>
        </w:rPr>
      </w:pPr>
      <w:bookmarkStart w:id="38" w:name="_Hlk122084153"/>
      <w:r w:rsidRPr="003C413F">
        <w:rPr>
          <w:rFonts w:ascii="Times New Roman" w:hAnsi="Times New Roman" w:cs="Times New Roman"/>
          <w:b/>
          <w:bCs/>
          <w:sz w:val="24"/>
          <w:szCs w:val="24"/>
        </w:rPr>
        <w:lastRenderedPageBreak/>
        <w:t>Table 1</w:t>
      </w:r>
      <w:r w:rsidRPr="00D653EE">
        <w:rPr>
          <w:rFonts w:ascii="Times New Roman" w:hAnsi="Times New Roman" w:cs="Times New Roman"/>
          <w:b/>
          <w:bCs/>
          <w:sz w:val="24"/>
          <w:szCs w:val="24"/>
        </w:rPr>
        <w:t>: D</w:t>
      </w:r>
      <w:r w:rsidRPr="00D653EE">
        <w:rPr>
          <w:rFonts w:ascii="Times New Roman" w:hAnsi="Times New Roman" w:cs="Times New Roman"/>
          <w:b/>
          <w:sz w:val="24"/>
          <w:szCs w:val="24"/>
        </w:rPr>
        <w:t>emographics and baseline characteristics (intent-to-treat analysis set)</w:t>
      </w:r>
    </w:p>
    <w:tbl>
      <w:tblPr>
        <w:tblStyle w:val="TableGrid"/>
        <w:tblpPr w:leftFromText="180" w:rightFromText="180" w:vertAnchor="text" w:horzAnchor="margin" w:tblpY="163"/>
        <w:tblW w:w="5000" w:type="pct"/>
        <w:tblLook w:val="0420" w:firstRow="1" w:lastRow="0" w:firstColumn="0" w:lastColumn="0" w:noHBand="0" w:noVBand="1"/>
      </w:tblPr>
      <w:tblGrid>
        <w:gridCol w:w="3955"/>
        <w:gridCol w:w="2666"/>
        <w:gridCol w:w="2395"/>
      </w:tblGrid>
      <w:tr w:rsidR="0033328D" w:rsidRPr="00D653EE" w14:paraId="1DE27349" w14:textId="77777777" w:rsidTr="002C6B92">
        <w:trPr>
          <w:trHeight w:val="624"/>
        </w:trPr>
        <w:tc>
          <w:tcPr>
            <w:tcW w:w="2193" w:type="pct"/>
            <w:hideMark/>
          </w:tcPr>
          <w:p w14:paraId="424FDACA" w14:textId="77777777" w:rsidR="0033328D" w:rsidRPr="00D653EE" w:rsidRDefault="0033328D" w:rsidP="002C6B92">
            <w:pPr>
              <w:spacing w:line="360" w:lineRule="auto"/>
              <w:rPr>
                <w:rFonts w:ascii="Times New Roman" w:eastAsia="Times New Roman" w:hAnsi="Times New Roman" w:cs="Times New Roman"/>
                <w:sz w:val="24"/>
                <w:szCs w:val="24"/>
                <w:lang w:eastAsia="en-GB"/>
              </w:rPr>
            </w:pPr>
            <w:r w:rsidRPr="003C413F">
              <w:rPr>
                <w:rFonts w:ascii="Times New Roman" w:eastAsia="Times New Roman" w:hAnsi="Times New Roman" w:cs="Times New Roman"/>
                <w:b/>
                <w:bCs/>
                <w:kern w:val="24"/>
                <w:sz w:val="24"/>
                <w:szCs w:val="24"/>
                <w:lang w:eastAsia="en-GB"/>
              </w:rPr>
              <w:t>Characteristics</w:t>
            </w:r>
          </w:p>
        </w:tc>
        <w:tc>
          <w:tcPr>
            <w:tcW w:w="1478" w:type="pct"/>
            <w:hideMark/>
          </w:tcPr>
          <w:p w14:paraId="0C894BFB" w14:textId="77777777" w:rsidR="0033328D" w:rsidRPr="00C02231" w:rsidRDefault="0033328D" w:rsidP="002C6B92">
            <w:pPr>
              <w:spacing w:line="360" w:lineRule="auto"/>
              <w:jc w:val="center"/>
              <w:rPr>
                <w:rFonts w:ascii="Times New Roman" w:eastAsia="Times New Roman" w:hAnsi="Times New Roman" w:cs="Times New Roman"/>
                <w:sz w:val="24"/>
                <w:szCs w:val="24"/>
                <w:lang w:eastAsia="en-GB"/>
              </w:rPr>
            </w:pPr>
            <w:r w:rsidRPr="00C02231">
              <w:rPr>
                <w:rFonts w:ascii="Times New Roman" w:eastAsia="Times New Roman" w:hAnsi="Times New Roman" w:cs="Times New Roman"/>
                <w:b/>
                <w:bCs/>
                <w:kern w:val="24"/>
                <w:sz w:val="24"/>
                <w:szCs w:val="24"/>
                <w:lang w:eastAsia="en-GB"/>
              </w:rPr>
              <w:t>On-demand clotting factor concentrates (n=40)</w:t>
            </w:r>
          </w:p>
        </w:tc>
        <w:tc>
          <w:tcPr>
            <w:tcW w:w="1328" w:type="pct"/>
            <w:hideMark/>
          </w:tcPr>
          <w:p w14:paraId="0A34926F" w14:textId="77777777" w:rsidR="0033328D" w:rsidRPr="00C02231" w:rsidRDefault="0033328D" w:rsidP="002C6B92">
            <w:pPr>
              <w:spacing w:line="360" w:lineRule="auto"/>
              <w:jc w:val="center"/>
              <w:rPr>
                <w:rFonts w:ascii="Times New Roman" w:eastAsia="Times New Roman" w:hAnsi="Times New Roman" w:cs="Times New Roman"/>
                <w:sz w:val="24"/>
                <w:szCs w:val="24"/>
                <w:lang w:eastAsia="en-GB"/>
              </w:rPr>
            </w:pPr>
            <w:proofErr w:type="spellStart"/>
            <w:r w:rsidRPr="00C02231">
              <w:rPr>
                <w:rFonts w:ascii="Times New Roman" w:eastAsia="Times New Roman" w:hAnsi="Times New Roman" w:cs="Times New Roman"/>
                <w:b/>
                <w:bCs/>
                <w:kern w:val="24"/>
                <w:sz w:val="24"/>
                <w:szCs w:val="24"/>
                <w:lang w:eastAsia="en-GB"/>
              </w:rPr>
              <w:t>Fitusiran</w:t>
            </w:r>
            <w:proofErr w:type="spellEnd"/>
            <w:r w:rsidRPr="00C02231">
              <w:rPr>
                <w:rFonts w:ascii="Times New Roman" w:eastAsia="Times New Roman" w:hAnsi="Times New Roman" w:cs="Times New Roman"/>
                <w:b/>
                <w:bCs/>
                <w:kern w:val="24"/>
                <w:sz w:val="24"/>
                <w:szCs w:val="24"/>
                <w:lang w:eastAsia="en-GB"/>
              </w:rPr>
              <w:t xml:space="preserve"> 80 mg prophylaxis (n=80)</w:t>
            </w:r>
          </w:p>
        </w:tc>
      </w:tr>
      <w:tr w:rsidR="0033328D" w:rsidRPr="00D653EE" w14:paraId="2083AC0C" w14:textId="77777777" w:rsidTr="002C6B92">
        <w:trPr>
          <w:trHeight w:val="378"/>
        </w:trPr>
        <w:tc>
          <w:tcPr>
            <w:tcW w:w="2193" w:type="pct"/>
            <w:hideMark/>
          </w:tcPr>
          <w:p w14:paraId="136D6B86" w14:textId="77777777" w:rsidR="0033328D" w:rsidRDefault="0033328D" w:rsidP="002C6B92">
            <w:pPr>
              <w:spacing w:line="360" w:lineRule="auto"/>
              <w:rPr>
                <w:rFonts w:ascii="Times New Roman" w:eastAsia="Times New Roman" w:hAnsi="Times New Roman" w:cs="Times New Roman"/>
                <w:kern w:val="24"/>
                <w:sz w:val="24"/>
                <w:szCs w:val="24"/>
                <w:lang w:eastAsia="en-GB"/>
              </w:rPr>
            </w:pPr>
            <w:r w:rsidRPr="003C413F">
              <w:rPr>
                <w:rFonts w:ascii="Times New Roman" w:eastAsia="Times New Roman" w:hAnsi="Times New Roman" w:cs="Times New Roman"/>
                <w:kern w:val="24"/>
                <w:sz w:val="24"/>
                <w:szCs w:val="24"/>
                <w:lang w:eastAsia="en-GB"/>
              </w:rPr>
              <w:t>Age, years, mean (SD)</w:t>
            </w:r>
          </w:p>
          <w:p w14:paraId="67C2A967" w14:textId="77777777" w:rsidR="0033328D" w:rsidRPr="00D653EE" w:rsidRDefault="0033328D" w:rsidP="002C6B92">
            <w:pPr>
              <w:spacing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[minimum-maximum]</w:t>
            </w:r>
          </w:p>
        </w:tc>
        <w:tc>
          <w:tcPr>
            <w:tcW w:w="1478" w:type="pct"/>
            <w:hideMark/>
          </w:tcPr>
          <w:p w14:paraId="31E9B753" w14:textId="77777777" w:rsidR="0033328D" w:rsidRPr="00821E77" w:rsidRDefault="0033328D" w:rsidP="002C6B92">
            <w:pPr>
              <w:spacing w:line="360" w:lineRule="auto"/>
              <w:jc w:val="center"/>
              <w:rPr>
                <w:rFonts w:ascii="Times New Roman" w:eastAsia="Times New Roman" w:hAnsi="Times New Roman" w:cs="Times New Roman"/>
                <w:kern w:val="24"/>
                <w:sz w:val="24"/>
                <w:szCs w:val="24"/>
                <w:lang w:eastAsia="en-GB"/>
              </w:rPr>
            </w:pPr>
            <w:r w:rsidRPr="00C02231">
              <w:rPr>
                <w:rFonts w:ascii="Times New Roman" w:eastAsia="Times New Roman" w:hAnsi="Times New Roman" w:cs="Times New Roman"/>
                <w:kern w:val="24"/>
                <w:sz w:val="24"/>
                <w:szCs w:val="24"/>
                <w:lang w:eastAsia="en-GB"/>
              </w:rPr>
              <w:t>33·6 (13·6)</w:t>
            </w:r>
          </w:p>
          <w:p w14:paraId="6E2ABBFF" w14:textId="77777777" w:rsidR="0033328D" w:rsidRPr="00C02231" w:rsidRDefault="0033328D" w:rsidP="002C6B92">
            <w:pPr>
              <w:spacing w:line="360" w:lineRule="auto"/>
              <w:jc w:val="center"/>
              <w:rPr>
                <w:rFonts w:ascii="Times New Roman" w:eastAsia="Times New Roman" w:hAnsi="Times New Roman" w:cs="Times New Roman"/>
                <w:sz w:val="24"/>
                <w:szCs w:val="24"/>
                <w:lang w:eastAsia="en-GB"/>
              </w:rPr>
            </w:pPr>
            <w:r w:rsidRPr="00821E77">
              <w:rPr>
                <w:rFonts w:ascii="Times New Roman" w:eastAsia="Times New Roman" w:hAnsi="Times New Roman" w:cs="Times New Roman"/>
                <w:kern w:val="24"/>
                <w:sz w:val="24"/>
                <w:szCs w:val="24"/>
                <w:lang w:eastAsia="en-GB"/>
              </w:rPr>
              <w:t>[12; 60]</w:t>
            </w:r>
          </w:p>
        </w:tc>
        <w:tc>
          <w:tcPr>
            <w:tcW w:w="1328" w:type="pct"/>
            <w:hideMark/>
          </w:tcPr>
          <w:p w14:paraId="787B2576" w14:textId="77777777" w:rsidR="0033328D" w:rsidRPr="00821E77" w:rsidRDefault="0033328D" w:rsidP="002C6B92">
            <w:pPr>
              <w:spacing w:line="360" w:lineRule="auto"/>
              <w:jc w:val="center"/>
              <w:rPr>
                <w:rFonts w:ascii="Times New Roman" w:eastAsia="Times New Roman" w:hAnsi="Times New Roman" w:cs="Times New Roman"/>
                <w:kern w:val="24"/>
                <w:sz w:val="24"/>
                <w:szCs w:val="24"/>
                <w:lang w:eastAsia="en-GB"/>
              </w:rPr>
            </w:pPr>
            <w:r w:rsidRPr="00761A8E">
              <w:rPr>
                <w:rFonts w:ascii="Times New Roman" w:eastAsia="Times New Roman" w:hAnsi="Times New Roman" w:cs="Times New Roman"/>
                <w:kern w:val="24"/>
                <w:sz w:val="24"/>
                <w:szCs w:val="24"/>
                <w:lang w:eastAsia="en-GB"/>
              </w:rPr>
              <w:t>33</w:t>
            </w:r>
            <w:r w:rsidRPr="00C02231">
              <w:rPr>
                <w:rFonts w:ascii="Times New Roman" w:eastAsia="Times New Roman" w:hAnsi="Times New Roman" w:cs="Times New Roman"/>
                <w:kern w:val="24"/>
                <w:sz w:val="24"/>
                <w:szCs w:val="24"/>
                <w:lang w:eastAsia="en-GB"/>
              </w:rPr>
              <w:t>·9 (14·6)</w:t>
            </w:r>
          </w:p>
          <w:p w14:paraId="27591B93" w14:textId="77777777" w:rsidR="0033328D" w:rsidRPr="00C02231" w:rsidRDefault="0033328D" w:rsidP="002C6B92">
            <w:pPr>
              <w:spacing w:line="360" w:lineRule="auto"/>
              <w:jc w:val="center"/>
              <w:rPr>
                <w:rFonts w:ascii="Times New Roman" w:eastAsia="Times New Roman" w:hAnsi="Times New Roman" w:cs="Times New Roman"/>
                <w:sz w:val="24"/>
                <w:szCs w:val="24"/>
                <w:lang w:eastAsia="en-GB"/>
              </w:rPr>
            </w:pPr>
            <w:r w:rsidRPr="00821E77">
              <w:rPr>
                <w:rFonts w:ascii="Times New Roman" w:eastAsia="Times New Roman" w:hAnsi="Times New Roman" w:cs="Times New Roman"/>
                <w:kern w:val="24"/>
                <w:sz w:val="24"/>
                <w:szCs w:val="24"/>
                <w:lang w:eastAsia="en-GB"/>
              </w:rPr>
              <w:t>[12; 68]</w:t>
            </w:r>
          </w:p>
        </w:tc>
      </w:tr>
      <w:tr w:rsidR="0033328D" w:rsidRPr="00D653EE" w14:paraId="2B53E686" w14:textId="77777777" w:rsidTr="002C6B92">
        <w:trPr>
          <w:trHeight w:val="378"/>
        </w:trPr>
        <w:tc>
          <w:tcPr>
            <w:tcW w:w="2193" w:type="pct"/>
            <w:hideMark/>
          </w:tcPr>
          <w:p w14:paraId="766C136F" w14:textId="77777777" w:rsidR="0033328D" w:rsidRPr="00D653EE" w:rsidRDefault="0033328D" w:rsidP="002C6B92">
            <w:pPr>
              <w:spacing w:line="360" w:lineRule="auto"/>
              <w:rPr>
                <w:rFonts w:ascii="Times New Roman" w:eastAsia="Times New Roman" w:hAnsi="Times New Roman" w:cs="Times New Roman"/>
                <w:sz w:val="24"/>
                <w:szCs w:val="24"/>
                <w:lang w:eastAsia="en-GB"/>
              </w:rPr>
            </w:pPr>
            <w:r w:rsidRPr="003C413F">
              <w:rPr>
                <w:rFonts w:ascii="Times New Roman" w:eastAsia="Times New Roman" w:hAnsi="Times New Roman" w:cs="Times New Roman"/>
                <w:kern w:val="24"/>
                <w:sz w:val="24"/>
                <w:szCs w:val="24"/>
                <w:lang w:eastAsia="en-GB"/>
              </w:rPr>
              <w:t>Weight, kg, mean (SD)</w:t>
            </w:r>
          </w:p>
        </w:tc>
        <w:tc>
          <w:tcPr>
            <w:tcW w:w="1478" w:type="pct"/>
            <w:hideMark/>
          </w:tcPr>
          <w:p w14:paraId="2B3289AE" w14:textId="77777777" w:rsidR="0033328D" w:rsidRPr="00C02231" w:rsidRDefault="0033328D" w:rsidP="002C6B92">
            <w:pPr>
              <w:spacing w:line="360" w:lineRule="auto"/>
              <w:jc w:val="center"/>
              <w:rPr>
                <w:rFonts w:ascii="Times New Roman" w:eastAsia="Times New Roman" w:hAnsi="Times New Roman" w:cs="Times New Roman"/>
                <w:sz w:val="24"/>
                <w:szCs w:val="24"/>
                <w:lang w:eastAsia="en-GB"/>
              </w:rPr>
            </w:pPr>
            <w:r w:rsidRPr="00C02231">
              <w:rPr>
                <w:rFonts w:ascii="Times New Roman" w:eastAsia="Times New Roman" w:hAnsi="Times New Roman" w:cs="Times New Roman"/>
                <w:kern w:val="24"/>
                <w:sz w:val="24"/>
                <w:szCs w:val="24"/>
                <w:lang w:eastAsia="en-GB"/>
              </w:rPr>
              <w:t>75·3 (17·3)</w:t>
            </w:r>
          </w:p>
        </w:tc>
        <w:tc>
          <w:tcPr>
            <w:tcW w:w="1328" w:type="pct"/>
            <w:hideMark/>
          </w:tcPr>
          <w:p w14:paraId="4CD89188" w14:textId="77777777" w:rsidR="0033328D" w:rsidRPr="00C02231" w:rsidRDefault="0033328D" w:rsidP="002C6B92">
            <w:pPr>
              <w:spacing w:line="360" w:lineRule="auto"/>
              <w:jc w:val="center"/>
              <w:rPr>
                <w:rFonts w:ascii="Times New Roman" w:eastAsia="Times New Roman" w:hAnsi="Times New Roman" w:cs="Times New Roman"/>
                <w:sz w:val="24"/>
                <w:szCs w:val="24"/>
                <w:lang w:eastAsia="en-GB"/>
              </w:rPr>
            </w:pPr>
            <w:r w:rsidRPr="00C02231">
              <w:rPr>
                <w:rFonts w:ascii="Times New Roman" w:eastAsia="Times New Roman" w:hAnsi="Times New Roman" w:cs="Times New Roman"/>
                <w:kern w:val="24"/>
                <w:sz w:val="24"/>
                <w:szCs w:val="24"/>
                <w:lang w:eastAsia="en-GB"/>
              </w:rPr>
              <w:t>73·0 (19·1)</w:t>
            </w:r>
          </w:p>
        </w:tc>
      </w:tr>
      <w:tr w:rsidR="0033328D" w:rsidRPr="00D653EE" w14:paraId="3932E9A5" w14:textId="77777777" w:rsidTr="002C6B92">
        <w:trPr>
          <w:trHeight w:val="337"/>
        </w:trPr>
        <w:tc>
          <w:tcPr>
            <w:tcW w:w="2193" w:type="pct"/>
            <w:hideMark/>
          </w:tcPr>
          <w:p w14:paraId="4CBF6D88" w14:textId="77777777" w:rsidR="0033328D" w:rsidRPr="00D653EE" w:rsidRDefault="0033328D" w:rsidP="002C6B92">
            <w:pPr>
              <w:spacing w:line="360" w:lineRule="auto"/>
              <w:rPr>
                <w:rFonts w:ascii="Times New Roman" w:eastAsia="Times New Roman" w:hAnsi="Times New Roman" w:cs="Times New Roman"/>
                <w:sz w:val="24"/>
                <w:szCs w:val="24"/>
                <w:lang w:eastAsia="en-GB"/>
              </w:rPr>
            </w:pPr>
            <w:r w:rsidRPr="003C413F">
              <w:rPr>
                <w:rFonts w:ascii="Times New Roman" w:eastAsia="Times New Roman" w:hAnsi="Times New Roman" w:cs="Times New Roman"/>
                <w:kern w:val="24"/>
                <w:sz w:val="24"/>
                <w:szCs w:val="24"/>
                <w:lang w:eastAsia="en-GB"/>
              </w:rPr>
              <w:t>Haemophilia type, n (%)</w:t>
            </w:r>
          </w:p>
        </w:tc>
        <w:tc>
          <w:tcPr>
            <w:tcW w:w="1478" w:type="pct"/>
            <w:hideMark/>
          </w:tcPr>
          <w:p w14:paraId="66D9E5DA" w14:textId="77777777" w:rsidR="0033328D" w:rsidRPr="00C02231" w:rsidRDefault="0033328D" w:rsidP="002C6B92">
            <w:pPr>
              <w:spacing w:line="360" w:lineRule="auto"/>
              <w:rPr>
                <w:rFonts w:ascii="Times New Roman" w:eastAsia="Times New Roman" w:hAnsi="Times New Roman" w:cs="Times New Roman"/>
                <w:sz w:val="24"/>
                <w:szCs w:val="24"/>
                <w:lang w:eastAsia="en-GB"/>
              </w:rPr>
            </w:pPr>
          </w:p>
        </w:tc>
        <w:tc>
          <w:tcPr>
            <w:tcW w:w="1328" w:type="pct"/>
            <w:hideMark/>
          </w:tcPr>
          <w:p w14:paraId="5053C82B" w14:textId="77777777" w:rsidR="0033328D" w:rsidRPr="00C02231" w:rsidRDefault="0033328D" w:rsidP="002C6B92">
            <w:pPr>
              <w:spacing w:line="360" w:lineRule="auto"/>
              <w:rPr>
                <w:rFonts w:ascii="Times New Roman" w:eastAsia="Times New Roman" w:hAnsi="Times New Roman" w:cs="Times New Roman"/>
                <w:sz w:val="24"/>
                <w:szCs w:val="24"/>
                <w:lang w:eastAsia="en-GB"/>
              </w:rPr>
            </w:pPr>
          </w:p>
        </w:tc>
      </w:tr>
      <w:tr w:rsidR="0033328D" w:rsidRPr="00D653EE" w14:paraId="28591670" w14:textId="77777777" w:rsidTr="002C6B92">
        <w:trPr>
          <w:trHeight w:val="337"/>
        </w:trPr>
        <w:tc>
          <w:tcPr>
            <w:tcW w:w="2193" w:type="pct"/>
            <w:hideMark/>
          </w:tcPr>
          <w:p w14:paraId="713A387A" w14:textId="77777777" w:rsidR="0033328D" w:rsidRPr="00D653EE" w:rsidRDefault="0033328D" w:rsidP="002C6B92">
            <w:pPr>
              <w:spacing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kern w:val="24"/>
                <w:sz w:val="24"/>
                <w:szCs w:val="24"/>
                <w:lang w:eastAsia="en-GB"/>
              </w:rPr>
              <w:t xml:space="preserve">   </w:t>
            </w:r>
            <w:r w:rsidRPr="003C413F">
              <w:rPr>
                <w:rFonts w:ascii="Times New Roman" w:eastAsia="Times New Roman" w:hAnsi="Times New Roman" w:cs="Times New Roman"/>
                <w:kern w:val="24"/>
                <w:sz w:val="24"/>
                <w:szCs w:val="24"/>
                <w:lang w:eastAsia="en-GB"/>
              </w:rPr>
              <w:t>Haemophilia A</w:t>
            </w:r>
          </w:p>
        </w:tc>
        <w:tc>
          <w:tcPr>
            <w:tcW w:w="1478" w:type="pct"/>
            <w:hideMark/>
          </w:tcPr>
          <w:p w14:paraId="6195A2D8" w14:textId="77777777" w:rsidR="0033328D" w:rsidRPr="00C02231" w:rsidRDefault="0033328D" w:rsidP="002C6B92">
            <w:pPr>
              <w:spacing w:line="360" w:lineRule="auto"/>
              <w:jc w:val="center"/>
              <w:rPr>
                <w:rFonts w:ascii="Times New Roman" w:eastAsia="Times New Roman" w:hAnsi="Times New Roman" w:cs="Times New Roman"/>
                <w:sz w:val="24"/>
                <w:szCs w:val="24"/>
                <w:lang w:eastAsia="en-GB"/>
              </w:rPr>
            </w:pPr>
            <w:r w:rsidRPr="00C02231">
              <w:rPr>
                <w:rFonts w:ascii="Times New Roman" w:eastAsia="Times New Roman" w:hAnsi="Times New Roman" w:cs="Times New Roman"/>
                <w:kern w:val="24"/>
                <w:sz w:val="24"/>
                <w:szCs w:val="24"/>
                <w:lang w:eastAsia="en-GB"/>
              </w:rPr>
              <w:t>31 (7</w:t>
            </w:r>
            <w:r>
              <w:rPr>
                <w:rFonts w:ascii="Times New Roman" w:eastAsia="Times New Roman" w:hAnsi="Times New Roman" w:cs="Times New Roman"/>
                <w:kern w:val="24"/>
                <w:sz w:val="24"/>
                <w:szCs w:val="24"/>
                <w:lang w:eastAsia="en-GB"/>
              </w:rPr>
              <w:t>8</w:t>
            </w:r>
            <w:r w:rsidRPr="00C02231">
              <w:rPr>
                <w:rFonts w:ascii="Times New Roman" w:eastAsia="Times New Roman" w:hAnsi="Times New Roman" w:cs="Times New Roman"/>
                <w:kern w:val="24"/>
                <w:sz w:val="24"/>
                <w:szCs w:val="24"/>
                <w:lang w:eastAsia="en-GB"/>
              </w:rPr>
              <w:t>)</w:t>
            </w:r>
          </w:p>
        </w:tc>
        <w:tc>
          <w:tcPr>
            <w:tcW w:w="1328" w:type="pct"/>
            <w:hideMark/>
          </w:tcPr>
          <w:p w14:paraId="4495227E" w14:textId="77777777" w:rsidR="0033328D" w:rsidRPr="00C02231" w:rsidRDefault="0033328D" w:rsidP="002C6B92">
            <w:pPr>
              <w:spacing w:line="360" w:lineRule="auto"/>
              <w:jc w:val="center"/>
              <w:rPr>
                <w:rFonts w:ascii="Times New Roman" w:eastAsia="Times New Roman" w:hAnsi="Times New Roman" w:cs="Times New Roman"/>
                <w:sz w:val="24"/>
                <w:szCs w:val="24"/>
                <w:lang w:eastAsia="en-GB"/>
              </w:rPr>
            </w:pPr>
            <w:r w:rsidRPr="00C02231">
              <w:rPr>
                <w:rFonts w:ascii="Times New Roman" w:eastAsia="Times New Roman" w:hAnsi="Times New Roman" w:cs="Times New Roman"/>
                <w:kern w:val="24"/>
                <w:sz w:val="24"/>
                <w:szCs w:val="24"/>
                <w:lang w:eastAsia="en-GB"/>
              </w:rPr>
              <w:t>62 (7</w:t>
            </w:r>
            <w:r>
              <w:rPr>
                <w:rFonts w:ascii="Times New Roman" w:eastAsia="Times New Roman" w:hAnsi="Times New Roman" w:cs="Times New Roman"/>
                <w:kern w:val="24"/>
                <w:sz w:val="24"/>
                <w:szCs w:val="24"/>
                <w:lang w:eastAsia="en-GB"/>
              </w:rPr>
              <w:t>8</w:t>
            </w:r>
            <w:r w:rsidRPr="00C02231">
              <w:rPr>
                <w:rFonts w:ascii="Times New Roman" w:eastAsia="Times New Roman" w:hAnsi="Times New Roman" w:cs="Times New Roman"/>
                <w:kern w:val="24"/>
                <w:sz w:val="24"/>
                <w:szCs w:val="24"/>
                <w:lang w:eastAsia="en-GB"/>
              </w:rPr>
              <w:t>)</w:t>
            </w:r>
          </w:p>
        </w:tc>
      </w:tr>
      <w:tr w:rsidR="0033328D" w:rsidRPr="00D653EE" w14:paraId="6BCA5FEE" w14:textId="77777777" w:rsidTr="002C6B92">
        <w:trPr>
          <w:trHeight w:val="337"/>
        </w:trPr>
        <w:tc>
          <w:tcPr>
            <w:tcW w:w="2193" w:type="pct"/>
            <w:hideMark/>
          </w:tcPr>
          <w:p w14:paraId="7CBE9848" w14:textId="77777777" w:rsidR="0033328D" w:rsidRPr="00D653EE" w:rsidRDefault="0033328D" w:rsidP="002C6B92">
            <w:pPr>
              <w:spacing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kern w:val="24"/>
                <w:sz w:val="24"/>
                <w:szCs w:val="24"/>
                <w:lang w:eastAsia="en-GB"/>
              </w:rPr>
              <w:t xml:space="preserve">   </w:t>
            </w:r>
            <w:r w:rsidRPr="003C413F">
              <w:rPr>
                <w:rFonts w:ascii="Times New Roman" w:eastAsia="Times New Roman" w:hAnsi="Times New Roman" w:cs="Times New Roman"/>
                <w:kern w:val="24"/>
                <w:sz w:val="24"/>
                <w:szCs w:val="24"/>
                <w:lang w:eastAsia="en-GB"/>
              </w:rPr>
              <w:t>Haemophilia B</w:t>
            </w:r>
          </w:p>
        </w:tc>
        <w:tc>
          <w:tcPr>
            <w:tcW w:w="1478" w:type="pct"/>
            <w:hideMark/>
          </w:tcPr>
          <w:p w14:paraId="36E4FAF1" w14:textId="77777777" w:rsidR="0033328D" w:rsidRPr="00C02231" w:rsidRDefault="0033328D" w:rsidP="002C6B92">
            <w:pPr>
              <w:spacing w:line="360" w:lineRule="auto"/>
              <w:jc w:val="center"/>
              <w:rPr>
                <w:rFonts w:ascii="Times New Roman" w:eastAsia="Times New Roman" w:hAnsi="Times New Roman" w:cs="Times New Roman"/>
                <w:sz w:val="24"/>
                <w:szCs w:val="24"/>
                <w:lang w:eastAsia="en-GB"/>
              </w:rPr>
            </w:pPr>
            <w:r w:rsidRPr="00C02231">
              <w:rPr>
                <w:rFonts w:ascii="Times New Roman" w:eastAsia="Times New Roman" w:hAnsi="Times New Roman" w:cs="Times New Roman"/>
                <w:kern w:val="24"/>
                <w:sz w:val="24"/>
                <w:szCs w:val="24"/>
                <w:lang w:eastAsia="en-GB"/>
              </w:rPr>
              <w:t>9 (2</w:t>
            </w:r>
            <w:r>
              <w:rPr>
                <w:rFonts w:ascii="Times New Roman" w:eastAsia="Times New Roman" w:hAnsi="Times New Roman" w:cs="Times New Roman"/>
                <w:kern w:val="24"/>
                <w:sz w:val="24"/>
                <w:szCs w:val="24"/>
                <w:lang w:eastAsia="en-GB"/>
              </w:rPr>
              <w:t>3</w:t>
            </w:r>
            <w:r w:rsidRPr="00C02231">
              <w:rPr>
                <w:rFonts w:ascii="Times New Roman" w:eastAsia="Times New Roman" w:hAnsi="Times New Roman" w:cs="Times New Roman"/>
                <w:kern w:val="24"/>
                <w:sz w:val="24"/>
                <w:szCs w:val="24"/>
                <w:lang w:eastAsia="en-GB"/>
              </w:rPr>
              <w:t>)</w:t>
            </w:r>
          </w:p>
        </w:tc>
        <w:tc>
          <w:tcPr>
            <w:tcW w:w="1328" w:type="pct"/>
            <w:hideMark/>
          </w:tcPr>
          <w:p w14:paraId="097BC1E7" w14:textId="77777777" w:rsidR="0033328D" w:rsidRPr="00C02231" w:rsidRDefault="0033328D" w:rsidP="002C6B92">
            <w:pPr>
              <w:spacing w:line="360" w:lineRule="auto"/>
              <w:jc w:val="center"/>
              <w:rPr>
                <w:rFonts w:ascii="Times New Roman" w:eastAsia="Times New Roman" w:hAnsi="Times New Roman" w:cs="Times New Roman"/>
                <w:sz w:val="24"/>
                <w:szCs w:val="24"/>
                <w:lang w:eastAsia="en-GB"/>
              </w:rPr>
            </w:pPr>
            <w:r w:rsidRPr="00C02231">
              <w:rPr>
                <w:rFonts w:ascii="Times New Roman" w:eastAsia="Times New Roman" w:hAnsi="Times New Roman" w:cs="Times New Roman"/>
                <w:kern w:val="24"/>
                <w:sz w:val="24"/>
                <w:szCs w:val="24"/>
                <w:lang w:eastAsia="en-GB"/>
              </w:rPr>
              <w:t>18 (2</w:t>
            </w:r>
            <w:r>
              <w:rPr>
                <w:rFonts w:ascii="Times New Roman" w:eastAsia="Times New Roman" w:hAnsi="Times New Roman" w:cs="Times New Roman"/>
                <w:kern w:val="24"/>
                <w:sz w:val="24"/>
                <w:szCs w:val="24"/>
                <w:lang w:eastAsia="en-GB"/>
              </w:rPr>
              <w:t>3</w:t>
            </w:r>
            <w:r w:rsidRPr="00C02231">
              <w:rPr>
                <w:rFonts w:ascii="Times New Roman" w:eastAsia="Times New Roman" w:hAnsi="Times New Roman" w:cs="Times New Roman"/>
                <w:kern w:val="24"/>
                <w:sz w:val="24"/>
                <w:szCs w:val="24"/>
                <w:lang w:eastAsia="en-GB"/>
              </w:rPr>
              <w:t>)</w:t>
            </w:r>
          </w:p>
        </w:tc>
      </w:tr>
      <w:tr w:rsidR="0033328D" w:rsidRPr="00D653EE" w14:paraId="3EBED9D1" w14:textId="77777777" w:rsidTr="002C6B92">
        <w:trPr>
          <w:trHeight w:val="337"/>
        </w:trPr>
        <w:tc>
          <w:tcPr>
            <w:tcW w:w="2193" w:type="pct"/>
          </w:tcPr>
          <w:p w14:paraId="4DCF2353" w14:textId="77777777" w:rsidR="0033328D" w:rsidRPr="003C413F" w:rsidRDefault="0033328D" w:rsidP="002C6B92">
            <w:pPr>
              <w:spacing w:line="360" w:lineRule="auto"/>
              <w:rPr>
                <w:rFonts w:ascii="Times New Roman" w:eastAsia="Times New Roman" w:hAnsi="Times New Roman" w:cs="Times New Roman"/>
                <w:kern w:val="24"/>
                <w:sz w:val="24"/>
                <w:szCs w:val="24"/>
                <w:lang w:eastAsia="en-GB"/>
              </w:rPr>
            </w:pPr>
            <w:r>
              <w:rPr>
                <w:rFonts w:ascii="Times New Roman" w:eastAsia="Times New Roman" w:hAnsi="Times New Roman" w:cs="Times New Roman"/>
                <w:kern w:val="24"/>
                <w:sz w:val="24"/>
                <w:szCs w:val="24"/>
                <w:lang w:eastAsia="en-GB"/>
              </w:rPr>
              <w:t>Follow-up time, months, median (IQR) [minimum-maximum]</w:t>
            </w:r>
          </w:p>
        </w:tc>
        <w:tc>
          <w:tcPr>
            <w:tcW w:w="1478" w:type="pct"/>
          </w:tcPr>
          <w:p w14:paraId="1E8AF65B" w14:textId="77777777" w:rsidR="0033328D" w:rsidRDefault="0033328D" w:rsidP="002C6B92">
            <w:pPr>
              <w:spacing w:line="360" w:lineRule="auto"/>
              <w:jc w:val="center"/>
              <w:rPr>
                <w:rFonts w:ascii="Times New Roman" w:eastAsia="Times New Roman" w:hAnsi="Times New Roman" w:cs="Times New Roman"/>
                <w:kern w:val="24"/>
                <w:sz w:val="24"/>
                <w:szCs w:val="24"/>
                <w:lang w:eastAsia="en-GB"/>
              </w:rPr>
            </w:pPr>
            <w:r>
              <w:rPr>
                <w:rFonts w:ascii="Times New Roman" w:eastAsia="Times New Roman" w:hAnsi="Times New Roman" w:cs="Times New Roman"/>
                <w:kern w:val="24"/>
                <w:sz w:val="24"/>
                <w:szCs w:val="24"/>
                <w:lang w:eastAsia="en-GB"/>
              </w:rPr>
              <w:t>7</w:t>
            </w:r>
            <w:r w:rsidRPr="00B85A3D">
              <w:rPr>
                <w:rFonts w:ascii="Times New Roman" w:eastAsia="Times New Roman" w:hAnsi="Times New Roman" w:cs="Times New Roman"/>
                <w:b/>
                <w:bCs/>
                <w:kern w:val="24"/>
                <w:sz w:val="24"/>
                <w:szCs w:val="24"/>
                <w:lang w:eastAsia="en-GB"/>
              </w:rPr>
              <w:t>·</w:t>
            </w:r>
            <w:r>
              <w:rPr>
                <w:rFonts w:ascii="Times New Roman" w:eastAsia="Times New Roman" w:hAnsi="Times New Roman" w:cs="Times New Roman"/>
                <w:kern w:val="24"/>
                <w:sz w:val="24"/>
                <w:szCs w:val="24"/>
                <w:lang w:eastAsia="en-GB"/>
              </w:rPr>
              <w:t>8 (7</w:t>
            </w:r>
            <w:r w:rsidRPr="00B85A3D">
              <w:rPr>
                <w:rFonts w:ascii="Times New Roman" w:eastAsia="Times New Roman" w:hAnsi="Times New Roman" w:cs="Times New Roman"/>
                <w:b/>
                <w:bCs/>
                <w:kern w:val="24"/>
                <w:sz w:val="24"/>
                <w:szCs w:val="24"/>
                <w:lang w:eastAsia="en-GB"/>
              </w:rPr>
              <w:t>·</w:t>
            </w:r>
            <w:r>
              <w:rPr>
                <w:rFonts w:ascii="Times New Roman" w:eastAsia="Times New Roman" w:hAnsi="Times New Roman" w:cs="Times New Roman"/>
                <w:kern w:val="24"/>
                <w:sz w:val="24"/>
                <w:szCs w:val="24"/>
                <w:lang w:eastAsia="en-GB"/>
              </w:rPr>
              <w:t>8; 7</w:t>
            </w:r>
            <w:r w:rsidRPr="00B85A3D">
              <w:rPr>
                <w:rFonts w:ascii="Times New Roman" w:eastAsia="Times New Roman" w:hAnsi="Times New Roman" w:cs="Times New Roman"/>
                <w:b/>
                <w:bCs/>
                <w:kern w:val="24"/>
                <w:sz w:val="24"/>
                <w:szCs w:val="24"/>
                <w:lang w:eastAsia="en-GB"/>
              </w:rPr>
              <w:t>·</w:t>
            </w:r>
            <w:r>
              <w:rPr>
                <w:rFonts w:ascii="Times New Roman" w:eastAsia="Times New Roman" w:hAnsi="Times New Roman" w:cs="Times New Roman"/>
                <w:kern w:val="24"/>
                <w:sz w:val="24"/>
                <w:szCs w:val="24"/>
                <w:lang w:eastAsia="en-GB"/>
              </w:rPr>
              <w:t>8)</w:t>
            </w:r>
          </w:p>
          <w:p w14:paraId="5419B44F" w14:textId="77777777" w:rsidR="0033328D" w:rsidRPr="00C02231" w:rsidRDefault="0033328D" w:rsidP="002C6B92">
            <w:pPr>
              <w:spacing w:line="360" w:lineRule="auto"/>
              <w:jc w:val="center"/>
              <w:rPr>
                <w:rFonts w:ascii="Times New Roman" w:eastAsia="Times New Roman" w:hAnsi="Times New Roman" w:cs="Times New Roman"/>
                <w:kern w:val="24"/>
                <w:sz w:val="24"/>
                <w:szCs w:val="24"/>
                <w:lang w:eastAsia="en-GB"/>
              </w:rPr>
            </w:pPr>
            <w:r>
              <w:rPr>
                <w:rFonts w:ascii="Times New Roman" w:eastAsia="Times New Roman" w:hAnsi="Times New Roman" w:cs="Times New Roman"/>
                <w:kern w:val="24"/>
                <w:sz w:val="24"/>
                <w:szCs w:val="24"/>
                <w:lang w:eastAsia="en-GB"/>
              </w:rPr>
              <w:t>[0</w:t>
            </w:r>
            <w:r w:rsidRPr="00B85A3D">
              <w:rPr>
                <w:rFonts w:ascii="Times New Roman" w:eastAsia="Times New Roman" w:hAnsi="Times New Roman" w:cs="Times New Roman"/>
                <w:b/>
                <w:bCs/>
                <w:kern w:val="24"/>
                <w:sz w:val="24"/>
                <w:szCs w:val="24"/>
                <w:lang w:eastAsia="en-GB"/>
              </w:rPr>
              <w:t>·</w:t>
            </w:r>
            <w:r>
              <w:rPr>
                <w:rFonts w:ascii="Times New Roman" w:eastAsia="Times New Roman" w:hAnsi="Times New Roman" w:cs="Times New Roman"/>
                <w:kern w:val="24"/>
                <w:sz w:val="24"/>
                <w:szCs w:val="24"/>
                <w:lang w:eastAsia="en-GB"/>
              </w:rPr>
              <w:t>04, 7</w:t>
            </w:r>
            <w:r w:rsidRPr="00B85A3D">
              <w:rPr>
                <w:rFonts w:ascii="Times New Roman" w:eastAsia="Times New Roman" w:hAnsi="Times New Roman" w:cs="Times New Roman"/>
                <w:b/>
                <w:bCs/>
                <w:kern w:val="24"/>
                <w:sz w:val="24"/>
                <w:szCs w:val="24"/>
                <w:lang w:eastAsia="en-GB"/>
              </w:rPr>
              <w:t>·</w:t>
            </w:r>
            <w:r>
              <w:rPr>
                <w:rFonts w:ascii="Times New Roman" w:eastAsia="Times New Roman" w:hAnsi="Times New Roman" w:cs="Times New Roman"/>
                <w:kern w:val="24"/>
                <w:sz w:val="24"/>
                <w:szCs w:val="24"/>
                <w:lang w:eastAsia="en-GB"/>
              </w:rPr>
              <w:t>8]</w:t>
            </w:r>
          </w:p>
        </w:tc>
        <w:tc>
          <w:tcPr>
            <w:tcW w:w="1328" w:type="pct"/>
          </w:tcPr>
          <w:p w14:paraId="79271DD4" w14:textId="77777777" w:rsidR="0033328D" w:rsidRDefault="0033328D" w:rsidP="002C6B92">
            <w:pPr>
              <w:spacing w:line="360" w:lineRule="auto"/>
              <w:jc w:val="center"/>
              <w:rPr>
                <w:rFonts w:ascii="Times New Roman" w:eastAsia="Times New Roman" w:hAnsi="Times New Roman" w:cs="Times New Roman"/>
                <w:kern w:val="24"/>
                <w:sz w:val="24"/>
                <w:szCs w:val="24"/>
                <w:lang w:eastAsia="en-GB"/>
              </w:rPr>
            </w:pPr>
            <w:r>
              <w:rPr>
                <w:rFonts w:ascii="Times New Roman" w:eastAsia="Times New Roman" w:hAnsi="Times New Roman" w:cs="Times New Roman"/>
                <w:kern w:val="24"/>
                <w:sz w:val="24"/>
                <w:szCs w:val="24"/>
                <w:lang w:eastAsia="en-GB"/>
              </w:rPr>
              <w:t>7.8* (7</w:t>
            </w:r>
            <w:r w:rsidRPr="00B85A3D">
              <w:rPr>
                <w:rFonts w:ascii="Times New Roman" w:eastAsia="Times New Roman" w:hAnsi="Times New Roman" w:cs="Times New Roman"/>
                <w:b/>
                <w:bCs/>
                <w:kern w:val="24"/>
                <w:sz w:val="24"/>
                <w:szCs w:val="24"/>
                <w:lang w:eastAsia="en-GB"/>
              </w:rPr>
              <w:t>·</w:t>
            </w:r>
            <w:r>
              <w:rPr>
                <w:rFonts w:ascii="Times New Roman" w:eastAsia="Times New Roman" w:hAnsi="Times New Roman" w:cs="Times New Roman"/>
                <w:kern w:val="24"/>
                <w:sz w:val="24"/>
                <w:szCs w:val="24"/>
                <w:lang w:eastAsia="en-GB"/>
              </w:rPr>
              <w:t>8; 7</w:t>
            </w:r>
            <w:r w:rsidRPr="00B85A3D">
              <w:rPr>
                <w:rFonts w:ascii="Times New Roman" w:eastAsia="Times New Roman" w:hAnsi="Times New Roman" w:cs="Times New Roman"/>
                <w:b/>
                <w:bCs/>
                <w:kern w:val="24"/>
                <w:sz w:val="24"/>
                <w:szCs w:val="24"/>
                <w:lang w:eastAsia="en-GB"/>
              </w:rPr>
              <w:t>·</w:t>
            </w:r>
            <w:r>
              <w:rPr>
                <w:rFonts w:ascii="Times New Roman" w:eastAsia="Times New Roman" w:hAnsi="Times New Roman" w:cs="Times New Roman"/>
                <w:kern w:val="24"/>
                <w:sz w:val="24"/>
                <w:szCs w:val="24"/>
                <w:lang w:eastAsia="en-GB"/>
              </w:rPr>
              <w:t>8)</w:t>
            </w:r>
          </w:p>
          <w:p w14:paraId="6CB033C4" w14:textId="77777777" w:rsidR="0033328D" w:rsidRPr="00C02231" w:rsidRDefault="0033328D" w:rsidP="002C6B92">
            <w:pPr>
              <w:spacing w:line="360" w:lineRule="auto"/>
              <w:jc w:val="center"/>
              <w:rPr>
                <w:rFonts w:ascii="Times New Roman" w:eastAsia="Times New Roman" w:hAnsi="Times New Roman" w:cs="Times New Roman"/>
                <w:kern w:val="24"/>
                <w:sz w:val="24"/>
                <w:szCs w:val="24"/>
                <w:lang w:eastAsia="en-GB"/>
              </w:rPr>
            </w:pPr>
            <w:r>
              <w:rPr>
                <w:rFonts w:ascii="Times New Roman" w:eastAsia="Times New Roman" w:hAnsi="Times New Roman" w:cs="Times New Roman"/>
                <w:kern w:val="24"/>
                <w:sz w:val="24"/>
                <w:szCs w:val="24"/>
                <w:lang w:eastAsia="en-GB"/>
              </w:rPr>
              <w:t>[3</w:t>
            </w:r>
            <w:r w:rsidRPr="00B85A3D">
              <w:rPr>
                <w:rFonts w:ascii="Times New Roman" w:eastAsia="Times New Roman" w:hAnsi="Times New Roman" w:cs="Times New Roman"/>
                <w:b/>
                <w:bCs/>
                <w:kern w:val="24"/>
                <w:sz w:val="24"/>
                <w:szCs w:val="24"/>
                <w:lang w:eastAsia="en-GB"/>
              </w:rPr>
              <w:t>·</w:t>
            </w:r>
            <w:r w:rsidRPr="003557BE">
              <w:rPr>
                <w:rFonts w:ascii="Times New Roman" w:eastAsia="Times New Roman" w:hAnsi="Times New Roman" w:cs="Times New Roman"/>
                <w:kern w:val="24"/>
                <w:sz w:val="24"/>
                <w:szCs w:val="24"/>
                <w:lang w:eastAsia="en-GB"/>
              </w:rPr>
              <w:t>3, 7·8</w:t>
            </w:r>
            <w:r>
              <w:rPr>
                <w:rFonts w:ascii="Times New Roman" w:eastAsia="Times New Roman" w:hAnsi="Times New Roman" w:cs="Times New Roman"/>
                <w:kern w:val="24"/>
                <w:sz w:val="24"/>
                <w:szCs w:val="24"/>
                <w:lang w:eastAsia="en-GB"/>
              </w:rPr>
              <w:t>]</w:t>
            </w:r>
          </w:p>
        </w:tc>
      </w:tr>
      <w:tr w:rsidR="0033328D" w:rsidRPr="00D653EE" w14:paraId="13A13BD2" w14:textId="77777777" w:rsidTr="002C6B92">
        <w:trPr>
          <w:trHeight w:val="624"/>
        </w:trPr>
        <w:tc>
          <w:tcPr>
            <w:tcW w:w="2193" w:type="pct"/>
            <w:hideMark/>
          </w:tcPr>
          <w:p w14:paraId="3AB70B41" w14:textId="77777777" w:rsidR="0033328D" w:rsidRPr="00D653EE" w:rsidRDefault="0033328D" w:rsidP="002C6B92">
            <w:pPr>
              <w:spacing w:line="360" w:lineRule="auto"/>
              <w:rPr>
                <w:rFonts w:ascii="Times New Roman" w:eastAsia="Times New Roman" w:hAnsi="Times New Roman" w:cs="Times New Roman"/>
                <w:sz w:val="24"/>
                <w:szCs w:val="24"/>
                <w:lang w:eastAsia="en-GB"/>
              </w:rPr>
            </w:pPr>
            <w:r w:rsidRPr="003C413F">
              <w:rPr>
                <w:rFonts w:ascii="Times New Roman" w:eastAsia="Times New Roman" w:hAnsi="Times New Roman" w:cs="Times New Roman"/>
                <w:kern w:val="24"/>
                <w:sz w:val="24"/>
                <w:szCs w:val="24"/>
                <w:lang w:eastAsia="en-GB"/>
              </w:rPr>
              <w:t>Bleeding episodes in the last 6 months prior to screening, median (IQR)</w:t>
            </w:r>
          </w:p>
        </w:tc>
        <w:tc>
          <w:tcPr>
            <w:tcW w:w="1478" w:type="pct"/>
            <w:hideMark/>
          </w:tcPr>
          <w:p w14:paraId="1B379EC6" w14:textId="77777777" w:rsidR="0033328D" w:rsidRPr="00C02231" w:rsidRDefault="0033328D" w:rsidP="002C6B92">
            <w:pPr>
              <w:spacing w:line="360" w:lineRule="auto"/>
              <w:jc w:val="center"/>
              <w:rPr>
                <w:rFonts w:ascii="Times New Roman" w:eastAsia="Times New Roman" w:hAnsi="Times New Roman" w:cs="Times New Roman"/>
                <w:sz w:val="24"/>
                <w:szCs w:val="24"/>
                <w:lang w:eastAsia="en-GB"/>
              </w:rPr>
            </w:pPr>
            <w:r w:rsidRPr="00C02231">
              <w:rPr>
                <w:rFonts w:ascii="Times New Roman" w:eastAsia="Times New Roman" w:hAnsi="Times New Roman" w:cs="Times New Roman"/>
                <w:kern w:val="24"/>
                <w:sz w:val="24"/>
                <w:szCs w:val="24"/>
                <w:lang w:eastAsia="en-GB"/>
              </w:rPr>
              <w:t>10 (7·0; 14·5)</w:t>
            </w:r>
          </w:p>
        </w:tc>
        <w:tc>
          <w:tcPr>
            <w:tcW w:w="1328" w:type="pct"/>
            <w:hideMark/>
          </w:tcPr>
          <w:p w14:paraId="3FD2C375" w14:textId="77777777" w:rsidR="0033328D" w:rsidRPr="00C02231" w:rsidRDefault="0033328D" w:rsidP="002C6B92">
            <w:pPr>
              <w:spacing w:line="360" w:lineRule="auto"/>
              <w:jc w:val="center"/>
              <w:rPr>
                <w:rFonts w:ascii="Times New Roman" w:eastAsia="Times New Roman" w:hAnsi="Times New Roman" w:cs="Times New Roman"/>
                <w:sz w:val="24"/>
                <w:szCs w:val="24"/>
                <w:lang w:eastAsia="en-GB"/>
              </w:rPr>
            </w:pPr>
            <w:r w:rsidRPr="00C02231">
              <w:rPr>
                <w:rFonts w:ascii="Times New Roman" w:eastAsia="Times New Roman" w:hAnsi="Times New Roman" w:cs="Times New Roman"/>
                <w:kern w:val="24"/>
                <w:sz w:val="24"/>
                <w:szCs w:val="24"/>
                <w:lang w:eastAsia="en-GB"/>
              </w:rPr>
              <w:t>10 (8·0; 16·5)</w:t>
            </w:r>
          </w:p>
        </w:tc>
      </w:tr>
      <w:tr w:rsidR="0033328D" w:rsidRPr="00D653EE" w14:paraId="76C24ACA" w14:textId="77777777" w:rsidTr="002C6B92">
        <w:trPr>
          <w:trHeight w:val="378"/>
        </w:trPr>
        <w:tc>
          <w:tcPr>
            <w:tcW w:w="2193" w:type="pct"/>
            <w:hideMark/>
          </w:tcPr>
          <w:p w14:paraId="2B809260" w14:textId="77777777" w:rsidR="0033328D" w:rsidRPr="00D653EE" w:rsidRDefault="0033328D" w:rsidP="002C6B92">
            <w:pPr>
              <w:spacing w:line="360" w:lineRule="auto"/>
              <w:rPr>
                <w:rFonts w:ascii="Times New Roman" w:eastAsia="Times New Roman" w:hAnsi="Times New Roman" w:cs="Times New Roman"/>
                <w:sz w:val="24"/>
                <w:szCs w:val="24"/>
                <w:lang w:eastAsia="en-GB"/>
              </w:rPr>
            </w:pPr>
            <w:r w:rsidRPr="003C413F">
              <w:rPr>
                <w:rFonts w:ascii="Times New Roman" w:eastAsia="Times New Roman" w:hAnsi="Times New Roman" w:cs="Times New Roman"/>
                <w:kern w:val="24"/>
                <w:sz w:val="24"/>
                <w:szCs w:val="24"/>
                <w:lang w:eastAsia="en-GB"/>
              </w:rPr>
              <w:t>Target joints at baseline, median (IQR)</w:t>
            </w:r>
          </w:p>
        </w:tc>
        <w:tc>
          <w:tcPr>
            <w:tcW w:w="1478" w:type="pct"/>
            <w:hideMark/>
          </w:tcPr>
          <w:p w14:paraId="7E7C315B" w14:textId="77777777" w:rsidR="0033328D" w:rsidRPr="00C02231" w:rsidRDefault="0033328D" w:rsidP="002C6B92">
            <w:pPr>
              <w:spacing w:line="360" w:lineRule="auto"/>
              <w:jc w:val="center"/>
              <w:rPr>
                <w:rFonts w:ascii="Times New Roman" w:eastAsia="Times New Roman" w:hAnsi="Times New Roman" w:cs="Times New Roman"/>
                <w:sz w:val="24"/>
                <w:szCs w:val="24"/>
                <w:lang w:eastAsia="en-GB"/>
              </w:rPr>
            </w:pPr>
            <w:r w:rsidRPr="00C02231">
              <w:rPr>
                <w:rFonts w:ascii="Times New Roman" w:eastAsia="Times New Roman" w:hAnsi="Times New Roman" w:cs="Times New Roman"/>
                <w:kern w:val="24"/>
                <w:sz w:val="24"/>
                <w:szCs w:val="24"/>
                <w:lang w:eastAsia="en-GB"/>
              </w:rPr>
              <w:t>1·0 (0·0; 2·0)</w:t>
            </w:r>
          </w:p>
        </w:tc>
        <w:tc>
          <w:tcPr>
            <w:tcW w:w="1328" w:type="pct"/>
            <w:hideMark/>
          </w:tcPr>
          <w:p w14:paraId="7D7E7102" w14:textId="77777777" w:rsidR="0033328D" w:rsidRPr="00C02231" w:rsidRDefault="0033328D" w:rsidP="002C6B92">
            <w:pPr>
              <w:spacing w:line="360" w:lineRule="auto"/>
              <w:jc w:val="center"/>
              <w:rPr>
                <w:rFonts w:ascii="Times New Roman" w:eastAsia="Times New Roman" w:hAnsi="Times New Roman" w:cs="Times New Roman"/>
                <w:sz w:val="24"/>
                <w:szCs w:val="24"/>
                <w:lang w:eastAsia="en-GB"/>
              </w:rPr>
            </w:pPr>
            <w:r w:rsidRPr="00C02231">
              <w:rPr>
                <w:rFonts w:ascii="Times New Roman" w:eastAsia="Times New Roman" w:hAnsi="Times New Roman" w:cs="Times New Roman"/>
                <w:kern w:val="24"/>
                <w:sz w:val="24"/>
                <w:szCs w:val="24"/>
                <w:lang w:eastAsia="en-GB"/>
              </w:rPr>
              <w:t>1·0 (0·0; 2·0)</w:t>
            </w:r>
          </w:p>
        </w:tc>
      </w:tr>
    </w:tbl>
    <w:p w14:paraId="16BC2B56" w14:textId="77777777" w:rsidR="0033328D" w:rsidRPr="009E3663" w:rsidRDefault="0033328D" w:rsidP="0033328D">
      <w:pPr>
        <w:spacing w:line="360" w:lineRule="auto"/>
        <w:rPr>
          <w:rFonts w:ascii="Times New Roman" w:hAnsi="Times New Roman" w:cs="Times New Roman"/>
          <w:bCs/>
          <w:lang w:val="fr-FR"/>
        </w:rPr>
      </w:pPr>
      <w:r>
        <w:rPr>
          <w:rFonts w:ascii="Times New Roman" w:hAnsi="Times New Roman" w:cs="Times New Roman"/>
          <w:bCs/>
          <w:lang w:val="fr-FR"/>
        </w:rPr>
        <w:t xml:space="preserve">*n=79; one participant </w:t>
      </w:r>
      <w:proofErr w:type="spellStart"/>
      <w:r>
        <w:rPr>
          <w:rFonts w:ascii="Times New Roman" w:hAnsi="Times New Roman" w:cs="Times New Roman"/>
          <w:bCs/>
          <w:lang w:val="fr-FR"/>
        </w:rPr>
        <w:t>was</w:t>
      </w:r>
      <w:proofErr w:type="spellEnd"/>
      <w:r>
        <w:rPr>
          <w:rFonts w:ascii="Times New Roman" w:hAnsi="Times New Roman" w:cs="Times New Roman"/>
          <w:bCs/>
          <w:lang w:val="fr-FR"/>
        </w:rPr>
        <w:t xml:space="preserve"> </w:t>
      </w:r>
      <w:proofErr w:type="spellStart"/>
      <w:r>
        <w:rPr>
          <w:rFonts w:ascii="Times New Roman" w:hAnsi="Times New Roman" w:cs="Times New Roman"/>
          <w:bCs/>
          <w:lang w:val="fr-FR"/>
        </w:rPr>
        <w:t>randomised</w:t>
      </w:r>
      <w:proofErr w:type="spellEnd"/>
      <w:r>
        <w:rPr>
          <w:rFonts w:ascii="Times New Roman" w:hAnsi="Times New Roman" w:cs="Times New Roman"/>
          <w:bCs/>
          <w:lang w:val="fr-FR"/>
        </w:rPr>
        <w:t xml:space="preserve"> but not </w:t>
      </w:r>
      <w:proofErr w:type="spellStart"/>
      <w:r>
        <w:rPr>
          <w:rFonts w:ascii="Times New Roman" w:hAnsi="Times New Roman" w:cs="Times New Roman"/>
          <w:bCs/>
          <w:lang w:val="fr-FR"/>
        </w:rPr>
        <w:t>treated</w:t>
      </w:r>
      <w:proofErr w:type="spellEnd"/>
      <w:r>
        <w:rPr>
          <w:rFonts w:ascii="Times New Roman" w:hAnsi="Times New Roman" w:cs="Times New Roman"/>
          <w:bCs/>
          <w:lang w:val="fr-FR"/>
        </w:rPr>
        <w:t xml:space="preserve"> in the </w:t>
      </w:r>
      <w:proofErr w:type="spellStart"/>
      <w:r>
        <w:rPr>
          <w:rFonts w:ascii="Times New Roman" w:hAnsi="Times New Roman" w:cs="Times New Roman"/>
          <w:bCs/>
          <w:lang w:val="fr-FR"/>
        </w:rPr>
        <w:t>fitusiran</w:t>
      </w:r>
      <w:proofErr w:type="spellEnd"/>
      <w:r>
        <w:rPr>
          <w:rFonts w:ascii="Times New Roman" w:hAnsi="Times New Roman" w:cs="Times New Roman"/>
          <w:bCs/>
          <w:lang w:val="fr-FR"/>
        </w:rPr>
        <w:t xml:space="preserve"> 80 mg </w:t>
      </w:r>
      <w:proofErr w:type="spellStart"/>
      <w:r>
        <w:rPr>
          <w:rFonts w:ascii="Times New Roman" w:hAnsi="Times New Roman" w:cs="Times New Roman"/>
          <w:bCs/>
          <w:lang w:val="fr-FR"/>
        </w:rPr>
        <w:t>prophylaxis</w:t>
      </w:r>
      <w:proofErr w:type="spellEnd"/>
      <w:r>
        <w:rPr>
          <w:rFonts w:ascii="Times New Roman" w:hAnsi="Times New Roman" w:cs="Times New Roman"/>
          <w:bCs/>
          <w:lang w:val="fr-FR"/>
        </w:rPr>
        <w:t xml:space="preserve"> group.</w:t>
      </w:r>
      <w:r>
        <w:rPr>
          <w:rFonts w:ascii="Times New Roman" w:hAnsi="Times New Roman" w:cs="Times New Roman"/>
          <w:bCs/>
          <w:lang w:val="fr-FR"/>
        </w:rPr>
        <w:br/>
      </w:r>
      <w:r w:rsidRPr="009E3663">
        <w:rPr>
          <w:rFonts w:ascii="Times New Roman" w:hAnsi="Times New Roman" w:cs="Times New Roman"/>
          <w:bCs/>
          <w:lang w:val="fr-FR"/>
        </w:rPr>
        <w:t xml:space="preserve">IQR, interquartile range; SD, standard </w:t>
      </w:r>
      <w:proofErr w:type="spellStart"/>
      <w:r w:rsidRPr="009E3663">
        <w:rPr>
          <w:rFonts w:ascii="Times New Roman" w:hAnsi="Times New Roman" w:cs="Times New Roman"/>
          <w:bCs/>
          <w:lang w:val="fr-FR"/>
        </w:rPr>
        <w:t>deviation</w:t>
      </w:r>
      <w:proofErr w:type="spellEnd"/>
      <w:r w:rsidRPr="009E3663">
        <w:rPr>
          <w:rFonts w:ascii="Times New Roman" w:hAnsi="Times New Roman" w:cs="Times New Roman"/>
          <w:bCs/>
          <w:lang w:val="fr-FR"/>
        </w:rPr>
        <w:t>.</w:t>
      </w:r>
    </w:p>
    <w:p w14:paraId="4BD730C6" w14:textId="77777777" w:rsidR="0033328D" w:rsidRPr="009E3663" w:rsidRDefault="0033328D" w:rsidP="0033328D">
      <w:pPr>
        <w:spacing w:line="360" w:lineRule="auto"/>
        <w:rPr>
          <w:rFonts w:ascii="Times New Roman" w:hAnsi="Times New Roman" w:cs="Times New Roman"/>
          <w:b/>
          <w:sz w:val="24"/>
          <w:szCs w:val="24"/>
          <w:lang w:val="fr-FR"/>
        </w:rPr>
      </w:pPr>
      <w:r w:rsidRPr="009E3663">
        <w:rPr>
          <w:rFonts w:ascii="Times New Roman" w:hAnsi="Times New Roman" w:cs="Times New Roman"/>
          <w:b/>
          <w:sz w:val="24"/>
          <w:szCs w:val="24"/>
          <w:lang w:val="fr-FR"/>
        </w:rPr>
        <w:br w:type="page"/>
      </w:r>
    </w:p>
    <w:p w14:paraId="1976EE0E" w14:textId="77777777" w:rsidR="0033328D" w:rsidRPr="00D653EE" w:rsidRDefault="0033328D" w:rsidP="0033328D">
      <w:pPr>
        <w:spacing w:line="360" w:lineRule="auto"/>
        <w:rPr>
          <w:rFonts w:ascii="Times New Roman" w:hAnsi="Times New Roman" w:cs="Times New Roman"/>
          <w:b/>
          <w:sz w:val="24"/>
          <w:szCs w:val="24"/>
        </w:rPr>
      </w:pPr>
      <w:bookmarkStart w:id="39" w:name="_Hlk122078349"/>
      <w:r w:rsidRPr="00D653EE">
        <w:rPr>
          <w:rFonts w:ascii="Times New Roman" w:hAnsi="Times New Roman" w:cs="Times New Roman"/>
          <w:b/>
          <w:sz w:val="24"/>
          <w:szCs w:val="24"/>
        </w:rPr>
        <w:lastRenderedPageBreak/>
        <w:t>Table 2: Summary of treatment-emergent adverse events (safety analysis set)</w:t>
      </w:r>
    </w:p>
    <w:tbl>
      <w:tblPr>
        <w:tblStyle w:val="TableGrid"/>
        <w:tblW w:w="5000" w:type="pct"/>
        <w:tblLook w:val="0600" w:firstRow="0" w:lastRow="0" w:firstColumn="0" w:lastColumn="0" w:noHBand="1" w:noVBand="1"/>
      </w:tblPr>
      <w:tblGrid>
        <w:gridCol w:w="3623"/>
        <w:gridCol w:w="2764"/>
        <w:gridCol w:w="2629"/>
      </w:tblGrid>
      <w:tr w:rsidR="0033328D" w:rsidRPr="00D653EE" w14:paraId="2FBEA786" w14:textId="77777777" w:rsidTr="002C6B92">
        <w:trPr>
          <w:trHeight w:val="693"/>
        </w:trPr>
        <w:tc>
          <w:tcPr>
            <w:tcW w:w="2009" w:type="pct"/>
            <w:hideMark/>
          </w:tcPr>
          <w:p w14:paraId="02974590" w14:textId="77777777" w:rsidR="0033328D" w:rsidRPr="00D653EE" w:rsidRDefault="0033328D" w:rsidP="002C6B92">
            <w:pPr>
              <w:spacing w:after="160" w:line="360" w:lineRule="auto"/>
              <w:rPr>
                <w:rFonts w:ascii="Times New Roman" w:hAnsi="Times New Roman" w:cs="Times New Roman"/>
                <w:b/>
                <w:bCs/>
                <w:sz w:val="24"/>
                <w:szCs w:val="24"/>
              </w:rPr>
            </w:pPr>
            <w:r w:rsidRPr="003C413F">
              <w:rPr>
                <w:rFonts w:ascii="Times New Roman" w:hAnsi="Times New Roman" w:cs="Times New Roman"/>
                <w:b/>
                <w:bCs/>
                <w:sz w:val="24"/>
                <w:szCs w:val="24"/>
              </w:rPr>
              <w:t>TEAE category, n (%)</w:t>
            </w:r>
          </w:p>
        </w:tc>
        <w:tc>
          <w:tcPr>
            <w:tcW w:w="1533" w:type="pct"/>
            <w:vAlign w:val="center"/>
            <w:hideMark/>
          </w:tcPr>
          <w:p w14:paraId="00545AD1" w14:textId="77777777" w:rsidR="0033328D" w:rsidRPr="00D653EE" w:rsidRDefault="0033328D" w:rsidP="002C6B92">
            <w:pPr>
              <w:spacing w:after="160" w:line="360" w:lineRule="auto"/>
              <w:jc w:val="center"/>
              <w:rPr>
                <w:rFonts w:ascii="Times New Roman" w:hAnsi="Times New Roman" w:cs="Times New Roman"/>
                <w:b/>
                <w:bCs/>
                <w:sz w:val="24"/>
                <w:szCs w:val="24"/>
              </w:rPr>
            </w:pPr>
            <w:r w:rsidRPr="003C413F">
              <w:rPr>
                <w:rFonts w:ascii="Times New Roman" w:hAnsi="Times New Roman" w:cs="Times New Roman"/>
                <w:b/>
                <w:bCs/>
                <w:sz w:val="24"/>
                <w:szCs w:val="24"/>
              </w:rPr>
              <w:t>On-demand clotting factor concentrates (n=40)</w:t>
            </w:r>
          </w:p>
        </w:tc>
        <w:tc>
          <w:tcPr>
            <w:tcW w:w="1458" w:type="pct"/>
            <w:vAlign w:val="center"/>
            <w:hideMark/>
          </w:tcPr>
          <w:p w14:paraId="3F2CAB91" w14:textId="77777777" w:rsidR="0033328D" w:rsidRPr="00D653EE" w:rsidRDefault="0033328D" w:rsidP="002C6B92">
            <w:pPr>
              <w:spacing w:after="160" w:line="360" w:lineRule="auto"/>
              <w:jc w:val="center"/>
              <w:rPr>
                <w:rFonts w:ascii="Times New Roman" w:hAnsi="Times New Roman" w:cs="Times New Roman"/>
                <w:b/>
                <w:bCs/>
                <w:sz w:val="24"/>
                <w:szCs w:val="24"/>
              </w:rPr>
            </w:pPr>
            <w:proofErr w:type="spellStart"/>
            <w:r w:rsidRPr="003C413F">
              <w:rPr>
                <w:rFonts w:ascii="Times New Roman" w:hAnsi="Times New Roman" w:cs="Times New Roman"/>
                <w:b/>
                <w:bCs/>
                <w:sz w:val="24"/>
                <w:szCs w:val="24"/>
              </w:rPr>
              <w:t>Fitusiran</w:t>
            </w:r>
            <w:proofErr w:type="spellEnd"/>
            <w:r w:rsidRPr="003C413F">
              <w:rPr>
                <w:rFonts w:ascii="Times New Roman" w:hAnsi="Times New Roman" w:cs="Times New Roman"/>
                <w:b/>
                <w:bCs/>
                <w:sz w:val="24"/>
                <w:szCs w:val="24"/>
              </w:rPr>
              <w:t xml:space="preserve"> 80 mg </w:t>
            </w:r>
            <w:proofErr w:type="spellStart"/>
            <w:r w:rsidRPr="003C413F">
              <w:rPr>
                <w:rFonts w:ascii="Times New Roman" w:hAnsi="Times New Roman" w:cs="Times New Roman"/>
                <w:b/>
                <w:bCs/>
                <w:sz w:val="24"/>
                <w:szCs w:val="24"/>
              </w:rPr>
              <w:t>prophlyaxis</w:t>
            </w:r>
            <w:proofErr w:type="spellEnd"/>
            <w:r w:rsidRPr="003C413F">
              <w:rPr>
                <w:rFonts w:ascii="Times New Roman" w:hAnsi="Times New Roman" w:cs="Times New Roman"/>
                <w:b/>
                <w:bCs/>
                <w:sz w:val="24"/>
                <w:szCs w:val="24"/>
              </w:rPr>
              <w:t xml:space="preserve"> (n=79)</w:t>
            </w:r>
          </w:p>
        </w:tc>
      </w:tr>
      <w:tr w:rsidR="0033328D" w:rsidRPr="00D653EE" w14:paraId="5EE7FA9B" w14:textId="77777777" w:rsidTr="002C6B92">
        <w:trPr>
          <w:trHeight w:val="437"/>
        </w:trPr>
        <w:tc>
          <w:tcPr>
            <w:tcW w:w="2009" w:type="pct"/>
            <w:hideMark/>
          </w:tcPr>
          <w:p w14:paraId="402D7EB2" w14:textId="77777777" w:rsidR="0033328D" w:rsidRPr="00D653EE" w:rsidRDefault="0033328D" w:rsidP="002C6B92">
            <w:pPr>
              <w:spacing w:after="160" w:line="360" w:lineRule="auto"/>
              <w:rPr>
                <w:rFonts w:ascii="Times New Roman" w:hAnsi="Times New Roman" w:cs="Times New Roman"/>
                <w:sz w:val="24"/>
                <w:szCs w:val="24"/>
              </w:rPr>
            </w:pPr>
            <w:r w:rsidRPr="003C413F">
              <w:rPr>
                <w:rFonts w:ascii="Times New Roman" w:hAnsi="Times New Roman" w:cs="Times New Roman"/>
                <w:sz w:val="24"/>
                <w:szCs w:val="24"/>
              </w:rPr>
              <w:t>Participants with any TEAE</w:t>
            </w:r>
          </w:p>
        </w:tc>
        <w:tc>
          <w:tcPr>
            <w:tcW w:w="1533" w:type="pct"/>
            <w:vAlign w:val="center"/>
            <w:hideMark/>
          </w:tcPr>
          <w:p w14:paraId="2C62434A" w14:textId="77777777" w:rsidR="0033328D" w:rsidRPr="00D653EE" w:rsidRDefault="0033328D" w:rsidP="002C6B92">
            <w:pPr>
              <w:spacing w:after="160" w:line="360" w:lineRule="auto"/>
              <w:jc w:val="center"/>
              <w:rPr>
                <w:rFonts w:ascii="Times New Roman" w:hAnsi="Times New Roman" w:cs="Times New Roman"/>
                <w:sz w:val="24"/>
                <w:szCs w:val="24"/>
              </w:rPr>
            </w:pPr>
            <w:r w:rsidRPr="00D653EE">
              <w:rPr>
                <w:rFonts w:ascii="Times New Roman" w:hAnsi="Times New Roman" w:cs="Times New Roman"/>
                <w:sz w:val="24"/>
                <w:szCs w:val="24"/>
              </w:rPr>
              <w:t>18 (45)</w:t>
            </w:r>
          </w:p>
        </w:tc>
        <w:tc>
          <w:tcPr>
            <w:tcW w:w="1458" w:type="pct"/>
            <w:vAlign w:val="center"/>
            <w:hideMark/>
          </w:tcPr>
          <w:p w14:paraId="50BC3271" w14:textId="77777777" w:rsidR="0033328D" w:rsidRPr="00D653EE" w:rsidRDefault="0033328D" w:rsidP="002C6B92">
            <w:pPr>
              <w:spacing w:after="160" w:line="360" w:lineRule="auto"/>
              <w:jc w:val="center"/>
              <w:rPr>
                <w:rFonts w:ascii="Times New Roman" w:hAnsi="Times New Roman" w:cs="Times New Roman"/>
                <w:sz w:val="24"/>
                <w:szCs w:val="24"/>
              </w:rPr>
            </w:pPr>
            <w:r w:rsidRPr="00D653EE">
              <w:rPr>
                <w:rFonts w:ascii="Times New Roman" w:hAnsi="Times New Roman" w:cs="Times New Roman"/>
                <w:sz w:val="24"/>
                <w:szCs w:val="24"/>
              </w:rPr>
              <w:t>62 (7</w:t>
            </w:r>
            <w:r>
              <w:rPr>
                <w:rFonts w:ascii="Times New Roman" w:hAnsi="Times New Roman" w:cs="Times New Roman"/>
                <w:sz w:val="24"/>
                <w:szCs w:val="24"/>
              </w:rPr>
              <w:t>9</w:t>
            </w:r>
            <w:r w:rsidRPr="00D653EE">
              <w:rPr>
                <w:rFonts w:ascii="Times New Roman" w:hAnsi="Times New Roman" w:cs="Times New Roman"/>
                <w:sz w:val="24"/>
                <w:szCs w:val="24"/>
              </w:rPr>
              <w:t>)</w:t>
            </w:r>
          </w:p>
        </w:tc>
      </w:tr>
      <w:tr w:rsidR="0033328D" w:rsidRPr="00D653EE" w14:paraId="47A1FDD8" w14:textId="77777777" w:rsidTr="002C6B92">
        <w:trPr>
          <w:trHeight w:val="437"/>
        </w:trPr>
        <w:tc>
          <w:tcPr>
            <w:tcW w:w="2009" w:type="pct"/>
          </w:tcPr>
          <w:p w14:paraId="0485F92F" w14:textId="77777777" w:rsidR="0033328D" w:rsidRPr="003C413F" w:rsidRDefault="0033328D" w:rsidP="002C6B92">
            <w:pPr>
              <w:spacing w:line="360" w:lineRule="auto"/>
              <w:rPr>
                <w:rFonts w:ascii="Times New Roman" w:hAnsi="Times New Roman" w:cs="Times New Roman"/>
                <w:sz w:val="24"/>
                <w:szCs w:val="24"/>
                <w:vertAlign w:val="superscript"/>
              </w:rPr>
            </w:pPr>
            <w:r w:rsidRPr="003C413F">
              <w:rPr>
                <w:rFonts w:ascii="Times New Roman" w:hAnsi="Times New Roman" w:cs="Times New Roman"/>
                <w:sz w:val="24"/>
                <w:szCs w:val="24"/>
              </w:rPr>
              <w:t xml:space="preserve">Most common TEAEs in </w:t>
            </w:r>
            <w:proofErr w:type="spellStart"/>
            <w:r w:rsidRPr="003C413F">
              <w:rPr>
                <w:rFonts w:ascii="Times New Roman" w:hAnsi="Times New Roman" w:cs="Times New Roman"/>
                <w:sz w:val="24"/>
                <w:szCs w:val="24"/>
              </w:rPr>
              <w:t>fitusiran</w:t>
            </w:r>
            <w:proofErr w:type="spellEnd"/>
            <w:r w:rsidRPr="003C413F">
              <w:rPr>
                <w:rFonts w:ascii="Times New Roman" w:hAnsi="Times New Roman" w:cs="Times New Roman"/>
                <w:sz w:val="24"/>
                <w:szCs w:val="24"/>
              </w:rPr>
              <w:t xml:space="preserve"> group*</w:t>
            </w:r>
          </w:p>
        </w:tc>
        <w:tc>
          <w:tcPr>
            <w:tcW w:w="1533" w:type="pct"/>
            <w:vAlign w:val="center"/>
          </w:tcPr>
          <w:p w14:paraId="22B530A1" w14:textId="77777777" w:rsidR="0033328D" w:rsidRPr="00D653EE" w:rsidRDefault="0033328D" w:rsidP="002C6B92">
            <w:pPr>
              <w:spacing w:line="360" w:lineRule="auto"/>
              <w:jc w:val="center"/>
              <w:rPr>
                <w:rFonts w:ascii="Times New Roman" w:hAnsi="Times New Roman" w:cs="Times New Roman"/>
                <w:sz w:val="24"/>
                <w:szCs w:val="24"/>
              </w:rPr>
            </w:pPr>
          </w:p>
        </w:tc>
        <w:tc>
          <w:tcPr>
            <w:tcW w:w="1458" w:type="pct"/>
            <w:vAlign w:val="center"/>
          </w:tcPr>
          <w:p w14:paraId="1C175EF1" w14:textId="77777777" w:rsidR="0033328D" w:rsidRPr="00D653EE" w:rsidRDefault="0033328D" w:rsidP="002C6B92">
            <w:pPr>
              <w:spacing w:line="360" w:lineRule="auto"/>
              <w:jc w:val="center"/>
              <w:rPr>
                <w:rFonts w:ascii="Times New Roman" w:hAnsi="Times New Roman" w:cs="Times New Roman"/>
                <w:sz w:val="24"/>
                <w:szCs w:val="24"/>
              </w:rPr>
            </w:pPr>
          </w:p>
        </w:tc>
      </w:tr>
      <w:tr w:rsidR="0033328D" w:rsidRPr="00D653EE" w14:paraId="2D7F5AFE" w14:textId="77777777" w:rsidTr="002C6B92">
        <w:trPr>
          <w:trHeight w:val="437"/>
        </w:trPr>
        <w:tc>
          <w:tcPr>
            <w:tcW w:w="2009" w:type="pct"/>
          </w:tcPr>
          <w:p w14:paraId="2C942D73" w14:textId="77777777" w:rsidR="0033328D" w:rsidRPr="003C413F" w:rsidRDefault="0033328D" w:rsidP="002C6B92">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3C413F">
              <w:rPr>
                <w:rFonts w:ascii="Times New Roman" w:hAnsi="Times New Roman" w:cs="Times New Roman"/>
                <w:sz w:val="24"/>
                <w:szCs w:val="24"/>
              </w:rPr>
              <w:t>ALT increased</w:t>
            </w:r>
          </w:p>
        </w:tc>
        <w:tc>
          <w:tcPr>
            <w:tcW w:w="1533" w:type="pct"/>
            <w:vAlign w:val="center"/>
          </w:tcPr>
          <w:p w14:paraId="4BA0506B" w14:textId="77777777" w:rsidR="0033328D" w:rsidRPr="00D653EE" w:rsidRDefault="0033328D" w:rsidP="002C6B92">
            <w:pPr>
              <w:spacing w:line="360" w:lineRule="auto"/>
              <w:jc w:val="center"/>
              <w:rPr>
                <w:rFonts w:ascii="Times New Roman" w:hAnsi="Times New Roman" w:cs="Times New Roman"/>
                <w:sz w:val="24"/>
                <w:szCs w:val="24"/>
              </w:rPr>
            </w:pPr>
            <w:r w:rsidRPr="00D653EE">
              <w:rPr>
                <w:rFonts w:ascii="Times New Roman" w:hAnsi="Times New Roman" w:cs="Times New Roman"/>
                <w:sz w:val="24"/>
                <w:szCs w:val="24"/>
              </w:rPr>
              <w:t>1 (</w:t>
            </w:r>
            <w:r>
              <w:rPr>
                <w:rFonts w:ascii="Times New Roman" w:hAnsi="Times New Roman" w:cs="Times New Roman"/>
                <w:sz w:val="24"/>
                <w:szCs w:val="24"/>
              </w:rPr>
              <w:t>3</w:t>
            </w:r>
            <w:r w:rsidRPr="00D653EE">
              <w:rPr>
                <w:rFonts w:ascii="Times New Roman" w:hAnsi="Times New Roman" w:cs="Times New Roman"/>
                <w:sz w:val="24"/>
                <w:szCs w:val="24"/>
              </w:rPr>
              <w:t>)</w:t>
            </w:r>
          </w:p>
        </w:tc>
        <w:tc>
          <w:tcPr>
            <w:tcW w:w="1458" w:type="pct"/>
            <w:vAlign w:val="center"/>
          </w:tcPr>
          <w:p w14:paraId="603A0930" w14:textId="77777777" w:rsidR="0033328D" w:rsidRPr="00D653EE" w:rsidRDefault="0033328D" w:rsidP="002C6B92">
            <w:pPr>
              <w:spacing w:line="360" w:lineRule="auto"/>
              <w:jc w:val="center"/>
              <w:rPr>
                <w:rFonts w:ascii="Times New Roman" w:hAnsi="Times New Roman" w:cs="Times New Roman"/>
                <w:sz w:val="24"/>
                <w:szCs w:val="24"/>
              </w:rPr>
            </w:pPr>
            <w:r w:rsidRPr="00D653EE">
              <w:rPr>
                <w:rFonts w:ascii="Times New Roman" w:hAnsi="Times New Roman" w:cs="Times New Roman"/>
                <w:sz w:val="24"/>
                <w:szCs w:val="24"/>
              </w:rPr>
              <w:t>18 (2</w:t>
            </w:r>
            <w:r>
              <w:rPr>
                <w:rFonts w:ascii="Times New Roman" w:hAnsi="Times New Roman" w:cs="Times New Roman"/>
                <w:sz w:val="24"/>
                <w:szCs w:val="24"/>
              </w:rPr>
              <w:t>3</w:t>
            </w:r>
            <w:r w:rsidRPr="00D653EE">
              <w:rPr>
                <w:rFonts w:ascii="Times New Roman" w:hAnsi="Times New Roman" w:cs="Times New Roman"/>
                <w:sz w:val="24"/>
                <w:szCs w:val="24"/>
              </w:rPr>
              <w:t>)</w:t>
            </w:r>
          </w:p>
        </w:tc>
      </w:tr>
      <w:tr w:rsidR="0033328D" w:rsidRPr="00D653EE" w14:paraId="06C9B782" w14:textId="77777777" w:rsidTr="002C6B92">
        <w:trPr>
          <w:trHeight w:val="437"/>
        </w:trPr>
        <w:tc>
          <w:tcPr>
            <w:tcW w:w="2009" w:type="pct"/>
          </w:tcPr>
          <w:p w14:paraId="09D292FA" w14:textId="77777777" w:rsidR="0033328D" w:rsidRPr="003C413F" w:rsidRDefault="0033328D" w:rsidP="002C6B92">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3C413F">
              <w:rPr>
                <w:rFonts w:ascii="Times New Roman" w:hAnsi="Times New Roman" w:cs="Times New Roman"/>
                <w:sz w:val="24"/>
                <w:szCs w:val="24"/>
              </w:rPr>
              <w:t>Upper respiratory tract infection</w:t>
            </w:r>
          </w:p>
        </w:tc>
        <w:tc>
          <w:tcPr>
            <w:tcW w:w="1533" w:type="pct"/>
            <w:vAlign w:val="center"/>
          </w:tcPr>
          <w:p w14:paraId="6E5D25FB" w14:textId="77777777" w:rsidR="0033328D" w:rsidRPr="00D653EE" w:rsidRDefault="0033328D" w:rsidP="002C6B92">
            <w:pPr>
              <w:spacing w:line="360" w:lineRule="auto"/>
              <w:jc w:val="center"/>
              <w:rPr>
                <w:rFonts w:ascii="Times New Roman" w:hAnsi="Times New Roman" w:cs="Times New Roman"/>
                <w:sz w:val="24"/>
                <w:szCs w:val="24"/>
              </w:rPr>
            </w:pPr>
            <w:r w:rsidRPr="00D653EE">
              <w:rPr>
                <w:rFonts w:ascii="Times New Roman" w:hAnsi="Times New Roman" w:cs="Times New Roman"/>
                <w:sz w:val="24"/>
                <w:szCs w:val="24"/>
              </w:rPr>
              <w:t>0 (0)</w:t>
            </w:r>
          </w:p>
        </w:tc>
        <w:tc>
          <w:tcPr>
            <w:tcW w:w="1458" w:type="pct"/>
            <w:vAlign w:val="center"/>
          </w:tcPr>
          <w:p w14:paraId="068711FC" w14:textId="77777777" w:rsidR="0033328D" w:rsidRPr="00D653EE" w:rsidRDefault="0033328D" w:rsidP="002C6B92">
            <w:pPr>
              <w:spacing w:line="360" w:lineRule="auto"/>
              <w:jc w:val="center"/>
              <w:rPr>
                <w:rFonts w:ascii="Times New Roman" w:hAnsi="Times New Roman" w:cs="Times New Roman"/>
                <w:sz w:val="24"/>
                <w:szCs w:val="24"/>
              </w:rPr>
            </w:pPr>
            <w:r w:rsidRPr="00D653EE">
              <w:rPr>
                <w:rFonts w:ascii="Times New Roman" w:hAnsi="Times New Roman" w:cs="Times New Roman"/>
                <w:sz w:val="24"/>
                <w:szCs w:val="24"/>
              </w:rPr>
              <w:t>9 (11)</w:t>
            </w:r>
          </w:p>
        </w:tc>
      </w:tr>
      <w:tr w:rsidR="0033328D" w:rsidRPr="00D653EE" w14:paraId="1B0C5D8A" w14:textId="77777777" w:rsidTr="002C6B92">
        <w:trPr>
          <w:trHeight w:val="437"/>
        </w:trPr>
        <w:tc>
          <w:tcPr>
            <w:tcW w:w="2009" w:type="pct"/>
          </w:tcPr>
          <w:p w14:paraId="0391AA3B" w14:textId="77777777" w:rsidR="0033328D" w:rsidRPr="003C413F" w:rsidRDefault="0033328D" w:rsidP="002C6B92">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3C413F">
              <w:rPr>
                <w:rFonts w:ascii="Times New Roman" w:hAnsi="Times New Roman" w:cs="Times New Roman"/>
                <w:sz w:val="24"/>
                <w:szCs w:val="24"/>
              </w:rPr>
              <w:t>Nasopharyngitis</w:t>
            </w:r>
          </w:p>
        </w:tc>
        <w:tc>
          <w:tcPr>
            <w:tcW w:w="1533" w:type="pct"/>
            <w:vAlign w:val="center"/>
          </w:tcPr>
          <w:p w14:paraId="063C4F29" w14:textId="77777777" w:rsidR="0033328D" w:rsidRPr="00D653EE" w:rsidRDefault="0033328D" w:rsidP="002C6B92">
            <w:pPr>
              <w:spacing w:line="360" w:lineRule="auto"/>
              <w:jc w:val="center"/>
              <w:rPr>
                <w:rFonts w:ascii="Times New Roman" w:hAnsi="Times New Roman" w:cs="Times New Roman"/>
                <w:sz w:val="24"/>
                <w:szCs w:val="24"/>
              </w:rPr>
            </w:pPr>
            <w:r w:rsidRPr="00D653EE">
              <w:rPr>
                <w:rFonts w:ascii="Times New Roman" w:hAnsi="Times New Roman" w:cs="Times New Roman"/>
                <w:sz w:val="24"/>
                <w:szCs w:val="24"/>
              </w:rPr>
              <w:t>3 (</w:t>
            </w:r>
            <w:r>
              <w:rPr>
                <w:rFonts w:ascii="Times New Roman" w:hAnsi="Times New Roman" w:cs="Times New Roman"/>
                <w:sz w:val="24"/>
                <w:szCs w:val="24"/>
              </w:rPr>
              <w:t>8</w:t>
            </w:r>
            <w:r w:rsidRPr="00D653EE">
              <w:rPr>
                <w:rFonts w:ascii="Times New Roman" w:hAnsi="Times New Roman" w:cs="Times New Roman"/>
                <w:sz w:val="24"/>
                <w:szCs w:val="24"/>
              </w:rPr>
              <w:t>)</w:t>
            </w:r>
          </w:p>
        </w:tc>
        <w:tc>
          <w:tcPr>
            <w:tcW w:w="1458" w:type="pct"/>
            <w:vAlign w:val="center"/>
          </w:tcPr>
          <w:p w14:paraId="52B59470" w14:textId="77777777" w:rsidR="0033328D" w:rsidRPr="00D653EE" w:rsidRDefault="0033328D" w:rsidP="002C6B92">
            <w:pPr>
              <w:spacing w:line="360" w:lineRule="auto"/>
              <w:jc w:val="center"/>
              <w:rPr>
                <w:rFonts w:ascii="Times New Roman" w:hAnsi="Times New Roman" w:cs="Times New Roman"/>
                <w:sz w:val="24"/>
                <w:szCs w:val="24"/>
              </w:rPr>
            </w:pPr>
            <w:r w:rsidRPr="00D653EE">
              <w:rPr>
                <w:rFonts w:ascii="Times New Roman" w:hAnsi="Times New Roman" w:cs="Times New Roman"/>
                <w:sz w:val="24"/>
                <w:szCs w:val="24"/>
              </w:rPr>
              <w:t>7 (9)</w:t>
            </w:r>
          </w:p>
        </w:tc>
      </w:tr>
      <w:tr w:rsidR="0033328D" w:rsidRPr="00D653EE" w14:paraId="53AF5FA2" w14:textId="77777777" w:rsidTr="002C6B92">
        <w:trPr>
          <w:trHeight w:val="437"/>
        </w:trPr>
        <w:tc>
          <w:tcPr>
            <w:tcW w:w="2009" w:type="pct"/>
          </w:tcPr>
          <w:p w14:paraId="446D2A3C" w14:textId="77777777" w:rsidR="0033328D" w:rsidRPr="003C413F" w:rsidRDefault="0033328D" w:rsidP="002C6B92">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3C413F">
              <w:rPr>
                <w:rFonts w:ascii="Times New Roman" w:hAnsi="Times New Roman" w:cs="Times New Roman"/>
                <w:sz w:val="24"/>
                <w:szCs w:val="24"/>
              </w:rPr>
              <w:t>Abdominal pain</w:t>
            </w:r>
          </w:p>
        </w:tc>
        <w:tc>
          <w:tcPr>
            <w:tcW w:w="1533" w:type="pct"/>
            <w:vAlign w:val="center"/>
          </w:tcPr>
          <w:p w14:paraId="2AFA14FE" w14:textId="77777777" w:rsidR="0033328D" w:rsidRPr="00D653EE" w:rsidRDefault="0033328D" w:rsidP="002C6B92">
            <w:pPr>
              <w:spacing w:line="360" w:lineRule="auto"/>
              <w:jc w:val="center"/>
              <w:rPr>
                <w:rFonts w:ascii="Times New Roman" w:hAnsi="Times New Roman" w:cs="Times New Roman"/>
                <w:sz w:val="24"/>
                <w:szCs w:val="24"/>
              </w:rPr>
            </w:pPr>
            <w:r w:rsidRPr="00D653EE">
              <w:rPr>
                <w:rFonts w:ascii="Times New Roman" w:hAnsi="Times New Roman" w:cs="Times New Roman"/>
                <w:sz w:val="24"/>
                <w:szCs w:val="24"/>
              </w:rPr>
              <w:t>1 (</w:t>
            </w:r>
            <w:r>
              <w:rPr>
                <w:rFonts w:ascii="Times New Roman" w:hAnsi="Times New Roman" w:cs="Times New Roman"/>
                <w:sz w:val="24"/>
                <w:szCs w:val="24"/>
              </w:rPr>
              <w:t>3</w:t>
            </w:r>
            <w:r w:rsidRPr="00D653EE">
              <w:rPr>
                <w:rFonts w:ascii="Times New Roman" w:hAnsi="Times New Roman" w:cs="Times New Roman"/>
                <w:sz w:val="24"/>
                <w:szCs w:val="24"/>
              </w:rPr>
              <w:t>)</w:t>
            </w:r>
          </w:p>
        </w:tc>
        <w:tc>
          <w:tcPr>
            <w:tcW w:w="1458" w:type="pct"/>
            <w:vAlign w:val="center"/>
          </w:tcPr>
          <w:p w14:paraId="57041BE7" w14:textId="77777777" w:rsidR="0033328D" w:rsidRPr="00D653EE" w:rsidRDefault="0033328D" w:rsidP="002C6B92">
            <w:pPr>
              <w:spacing w:line="360" w:lineRule="auto"/>
              <w:jc w:val="center"/>
              <w:rPr>
                <w:rFonts w:ascii="Times New Roman" w:hAnsi="Times New Roman" w:cs="Times New Roman"/>
                <w:sz w:val="24"/>
                <w:szCs w:val="24"/>
              </w:rPr>
            </w:pPr>
            <w:r w:rsidRPr="00D653EE">
              <w:rPr>
                <w:rFonts w:ascii="Times New Roman" w:hAnsi="Times New Roman" w:cs="Times New Roman"/>
                <w:sz w:val="24"/>
                <w:szCs w:val="24"/>
              </w:rPr>
              <w:t>6 (</w:t>
            </w:r>
            <w:r>
              <w:rPr>
                <w:rFonts w:ascii="Times New Roman" w:hAnsi="Times New Roman" w:cs="Times New Roman"/>
                <w:sz w:val="24"/>
                <w:szCs w:val="24"/>
              </w:rPr>
              <w:t>8</w:t>
            </w:r>
            <w:r w:rsidRPr="00D653EE">
              <w:rPr>
                <w:rFonts w:ascii="Times New Roman" w:hAnsi="Times New Roman" w:cs="Times New Roman"/>
                <w:sz w:val="24"/>
                <w:szCs w:val="24"/>
              </w:rPr>
              <w:t>)</w:t>
            </w:r>
          </w:p>
        </w:tc>
      </w:tr>
      <w:tr w:rsidR="0033328D" w:rsidRPr="00D653EE" w14:paraId="79BC6F96" w14:textId="77777777" w:rsidTr="002C6B92">
        <w:trPr>
          <w:trHeight w:val="437"/>
        </w:trPr>
        <w:tc>
          <w:tcPr>
            <w:tcW w:w="2009" w:type="pct"/>
          </w:tcPr>
          <w:p w14:paraId="09F4A737" w14:textId="77777777" w:rsidR="0033328D" w:rsidRPr="003C413F" w:rsidRDefault="0033328D" w:rsidP="002C6B92">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3C413F">
              <w:rPr>
                <w:rFonts w:ascii="Times New Roman" w:hAnsi="Times New Roman" w:cs="Times New Roman"/>
                <w:sz w:val="24"/>
                <w:szCs w:val="24"/>
              </w:rPr>
              <w:t>AST increased</w:t>
            </w:r>
          </w:p>
        </w:tc>
        <w:tc>
          <w:tcPr>
            <w:tcW w:w="1533" w:type="pct"/>
            <w:vAlign w:val="center"/>
          </w:tcPr>
          <w:p w14:paraId="09BFA8E6" w14:textId="77777777" w:rsidR="0033328D" w:rsidRPr="00D653EE" w:rsidRDefault="0033328D" w:rsidP="002C6B92">
            <w:pPr>
              <w:spacing w:line="360" w:lineRule="auto"/>
              <w:jc w:val="center"/>
              <w:rPr>
                <w:rFonts w:ascii="Times New Roman" w:hAnsi="Times New Roman" w:cs="Times New Roman"/>
                <w:sz w:val="24"/>
                <w:szCs w:val="24"/>
              </w:rPr>
            </w:pPr>
            <w:r w:rsidRPr="00D653EE">
              <w:rPr>
                <w:rFonts w:ascii="Times New Roman" w:hAnsi="Times New Roman" w:cs="Times New Roman"/>
                <w:sz w:val="24"/>
                <w:szCs w:val="24"/>
              </w:rPr>
              <w:t>2 (5)</w:t>
            </w:r>
          </w:p>
        </w:tc>
        <w:tc>
          <w:tcPr>
            <w:tcW w:w="1458" w:type="pct"/>
            <w:vAlign w:val="center"/>
          </w:tcPr>
          <w:p w14:paraId="18BF30B6" w14:textId="77777777" w:rsidR="0033328D" w:rsidRPr="00D653EE" w:rsidRDefault="0033328D" w:rsidP="002C6B92">
            <w:pPr>
              <w:spacing w:line="360" w:lineRule="auto"/>
              <w:jc w:val="center"/>
              <w:rPr>
                <w:rFonts w:ascii="Times New Roman" w:hAnsi="Times New Roman" w:cs="Times New Roman"/>
                <w:sz w:val="24"/>
                <w:szCs w:val="24"/>
              </w:rPr>
            </w:pPr>
            <w:r w:rsidRPr="00D653EE">
              <w:rPr>
                <w:rFonts w:ascii="Times New Roman" w:hAnsi="Times New Roman" w:cs="Times New Roman"/>
                <w:sz w:val="24"/>
                <w:szCs w:val="24"/>
              </w:rPr>
              <w:t>6 (</w:t>
            </w:r>
            <w:r>
              <w:rPr>
                <w:rFonts w:ascii="Times New Roman" w:hAnsi="Times New Roman" w:cs="Times New Roman"/>
                <w:sz w:val="24"/>
                <w:szCs w:val="24"/>
              </w:rPr>
              <w:t>8</w:t>
            </w:r>
            <w:r w:rsidRPr="00D653EE">
              <w:rPr>
                <w:rFonts w:ascii="Times New Roman" w:hAnsi="Times New Roman" w:cs="Times New Roman"/>
                <w:sz w:val="24"/>
                <w:szCs w:val="24"/>
              </w:rPr>
              <w:t>)</w:t>
            </w:r>
          </w:p>
        </w:tc>
      </w:tr>
      <w:tr w:rsidR="0033328D" w:rsidRPr="00D653EE" w14:paraId="7F72CD17" w14:textId="77777777" w:rsidTr="002C6B92">
        <w:trPr>
          <w:trHeight w:val="437"/>
        </w:trPr>
        <w:tc>
          <w:tcPr>
            <w:tcW w:w="2009" w:type="pct"/>
          </w:tcPr>
          <w:p w14:paraId="4D11B38B" w14:textId="77777777" w:rsidR="0033328D" w:rsidRPr="003C413F" w:rsidRDefault="0033328D" w:rsidP="002C6B92">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3C413F">
              <w:rPr>
                <w:rFonts w:ascii="Times New Roman" w:hAnsi="Times New Roman" w:cs="Times New Roman"/>
                <w:sz w:val="24"/>
                <w:szCs w:val="24"/>
              </w:rPr>
              <w:t>Cough</w:t>
            </w:r>
          </w:p>
        </w:tc>
        <w:tc>
          <w:tcPr>
            <w:tcW w:w="1533" w:type="pct"/>
            <w:vAlign w:val="center"/>
          </w:tcPr>
          <w:p w14:paraId="3B21C49F" w14:textId="77777777" w:rsidR="0033328D" w:rsidRPr="00D653EE" w:rsidRDefault="0033328D" w:rsidP="002C6B92">
            <w:pPr>
              <w:spacing w:line="360" w:lineRule="auto"/>
              <w:jc w:val="center"/>
              <w:rPr>
                <w:rFonts w:ascii="Times New Roman" w:hAnsi="Times New Roman" w:cs="Times New Roman"/>
                <w:sz w:val="24"/>
                <w:szCs w:val="24"/>
              </w:rPr>
            </w:pPr>
            <w:r w:rsidRPr="00D653EE">
              <w:rPr>
                <w:rFonts w:ascii="Times New Roman" w:hAnsi="Times New Roman" w:cs="Times New Roman"/>
                <w:sz w:val="24"/>
                <w:szCs w:val="24"/>
              </w:rPr>
              <w:t>0 (0)</w:t>
            </w:r>
          </w:p>
        </w:tc>
        <w:tc>
          <w:tcPr>
            <w:tcW w:w="1458" w:type="pct"/>
            <w:vAlign w:val="center"/>
          </w:tcPr>
          <w:p w14:paraId="1980DB89" w14:textId="77777777" w:rsidR="0033328D" w:rsidRPr="00D653EE" w:rsidRDefault="0033328D" w:rsidP="002C6B92">
            <w:pPr>
              <w:spacing w:line="360" w:lineRule="auto"/>
              <w:jc w:val="center"/>
              <w:rPr>
                <w:rFonts w:ascii="Times New Roman" w:hAnsi="Times New Roman" w:cs="Times New Roman"/>
                <w:sz w:val="24"/>
                <w:szCs w:val="24"/>
              </w:rPr>
            </w:pPr>
            <w:r w:rsidRPr="00D653EE">
              <w:rPr>
                <w:rFonts w:ascii="Times New Roman" w:hAnsi="Times New Roman" w:cs="Times New Roman"/>
                <w:sz w:val="24"/>
                <w:szCs w:val="24"/>
              </w:rPr>
              <w:t>6 (</w:t>
            </w:r>
            <w:r>
              <w:rPr>
                <w:rFonts w:ascii="Times New Roman" w:hAnsi="Times New Roman" w:cs="Times New Roman"/>
                <w:sz w:val="24"/>
                <w:szCs w:val="24"/>
              </w:rPr>
              <w:t>8</w:t>
            </w:r>
            <w:r w:rsidRPr="00D653EE">
              <w:rPr>
                <w:rFonts w:ascii="Times New Roman" w:hAnsi="Times New Roman" w:cs="Times New Roman"/>
                <w:sz w:val="24"/>
                <w:szCs w:val="24"/>
              </w:rPr>
              <w:t>)</w:t>
            </w:r>
          </w:p>
        </w:tc>
      </w:tr>
      <w:tr w:rsidR="0033328D" w:rsidRPr="00D653EE" w14:paraId="27AD9D07" w14:textId="77777777" w:rsidTr="002C6B92">
        <w:trPr>
          <w:trHeight w:val="437"/>
        </w:trPr>
        <w:tc>
          <w:tcPr>
            <w:tcW w:w="2009" w:type="pct"/>
          </w:tcPr>
          <w:p w14:paraId="7232DFA4" w14:textId="77777777" w:rsidR="0033328D" w:rsidRPr="003C413F" w:rsidRDefault="0033328D" w:rsidP="002C6B92">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3C413F">
              <w:rPr>
                <w:rFonts w:ascii="Times New Roman" w:hAnsi="Times New Roman" w:cs="Times New Roman"/>
                <w:sz w:val="24"/>
                <w:szCs w:val="24"/>
              </w:rPr>
              <w:t>Arthralgia</w:t>
            </w:r>
          </w:p>
        </w:tc>
        <w:tc>
          <w:tcPr>
            <w:tcW w:w="1533" w:type="pct"/>
            <w:vAlign w:val="center"/>
          </w:tcPr>
          <w:p w14:paraId="24BA9330" w14:textId="77777777" w:rsidR="0033328D" w:rsidRPr="00D653EE" w:rsidRDefault="0033328D" w:rsidP="002C6B92">
            <w:pPr>
              <w:spacing w:line="360" w:lineRule="auto"/>
              <w:jc w:val="center"/>
              <w:rPr>
                <w:rFonts w:ascii="Times New Roman" w:hAnsi="Times New Roman" w:cs="Times New Roman"/>
                <w:sz w:val="24"/>
                <w:szCs w:val="24"/>
              </w:rPr>
            </w:pPr>
            <w:r w:rsidRPr="00D653EE">
              <w:rPr>
                <w:rFonts w:ascii="Times New Roman" w:hAnsi="Times New Roman" w:cs="Times New Roman"/>
                <w:sz w:val="24"/>
                <w:szCs w:val="24"/>
              </w:rPr>
              <w:t>1 (</w:t>
            </w:r>
            <w:r>
              <w:rPr>
                <w:rFonts w:ascii="Times New Roman" w:hAnsi="Times New Roman" w:cs="Times New Roman"/>
                <w:sz w:val="24"/>
                <w:szCs w:val="24"/>
              </w:rPr>
              <w:t>3</w:t>
            </w:r>
            <w:r w:rsidRPr="00D653EE">
              <w:rPr>
                <w:rFonts w:ascii="Times New Roman" w:hAnsi="Times New Roman" w:cs="Times New Roman"/>
                <w:sz w:val="24"/>
                <w:szCs w:val="24"/>
              </w:rPr>
              <w:t>)</w:t>
            </w:r>
          </w:p>
        </w:tc>
        <w:tc>
          <w:tcPr>
            <w:tcW w:w="1458" w:type="pct"/>
            <w:vAlign w:val="center"/>
          </w:tcPr>
          <w:p w14:paraId="24AD4E9D" w14:textId="77777777" w:rsidR="0033328D" w:rsidRPr="00D653EE" w:rsidRDefault="0033328D" w:rsidP="002C6B92">
            <w:pPr>
              <w:spacing w:line="360" w:lineRule="auto"/>
              <w:jc w:val="center"/>
              <w:rPr>
                <w:rFonts w:ascii="Times New Roman" w:hAnsi="Times New Roman" w:cs="Times New Roman"/>
                <w:sz w:val="24"/>
                <w:szCs w:val="24"/>
              </w:rPr>
            </w:pPr>
            <w:r w:rsidRPr="00D653EE">
              <w:rPr>
                <w:rFonts w:ascii="Times New Roman" w:hAnsi="Times New Roman" w:cs="Times New Roman"/>
                <w:sz w:val="24"/>
                <w:szCs w:val="24"/>
              </w:rPr>
              <w:t>5 (6)</w:t>
            </w:r>
          </w:p>
        </w:tc>
      </w:tr>
      <w:tr w:rsidR="0033328D" w:rsidRPr="00D653EE" w14:paraId="46F87D58" w14:textId="77777777" w:rsidTr="002C6B92">
        <w:trPr>
          <w:trHeight w:val="437"/>
        </w:trPr>
        <w:tc>
          <w:tcPr>
            <w:tcW w:w="2009" w:type="pct"/>
          </w:tcPr>
          <w:p w14:paraId="4A6DCDAA" w14:textId="77777777" w:rsidR="0033328D" w:rsidRPr="003C413F" w:rsidRDefault="0033328D" w:rsidP="002C6B92">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3C413F">
              <w:rPr>
                <w:rFonts w:ascii="Times New Roman" w:hAnsi="Times New Roman" w:cs="Times New Roman"/>
                <w:sz w:val="24"/>
                <w:szCs w:val="24"/>
              </w:rPr>
              <w:t>Asthma</w:t>
            </w:r>
          </w:p>
        </w:tc>
        <w:tc>
          <w:tcPr>
            <w:tcW w:w="1533" w:type="pct"/>
            <w:vAlign w:val="center"/>
          </w:tcPr>
          <w:p w14:paraId="7177CE78" w14:textId="77777777" w:rsidR="0033328D" w:rsidRPr="00D653EE" w:rsidRDefault="0033328D" w:rsidP="002C6B92">
            <w:pPr>
              <w:spacing w:line="360" w:lineRule="auto"/>
              <w:jc w:val="center"/>
              <w:rPr>
                <w:rFonts w:ascii="Times New Roman" w:hAnsi="Times New Roman" w:cs="Times New Roman"/>
                <w:sz w:val="24"/>
                <w:szCs w:val="24"/>
              </w:rPr>
            </w:pPr>
            <w:r w:rsidRPr="00D653EE">
              <w:rPr>
                <w:rFonts w:ascii="Times New Roman" w:hAnsi="Times New Roman" w:cs="Times New Roman"/>
                <w:sz w:val="24"/>
                <w:szCs w:val="24"/>
              </w:rPr>
              <w:t>0 (0)</w:t>
            </w:r>
          </w:p>
        </w:tc>
        <w:tc>
          <w:tcPr>
            <w:tcW w:w="1458" w:type="pct"/>
            <w:vAlign w:val="center"/>
          </w:tcPr>
          <w:p w14:paraId="1C38B806" w14:textId="77777777" w:rsidR="0033328D" w:rsidRPr="00D653EE" w:rsidRDefault="0033328D" w:rsidP="002C6B92">
            <w:pPr>
              <w:spacing w:line="360" w:lineRule="auto"/>
              <w:jc w:val="center"/>
              <w:rPr>
                <w:rFonts w:ascii="Times New Roman" w:hAnsi="Times New Roman" w:cs="Times New Roman"/>
                <w:sz w:val="24"/>
                <w:szCs w:val="24"/>
              </w:rPr>
            </w:pPr>
            <w:r w:rsidRPr="00D653EE">
              <w:rPr>
                <w:rFonts w:ascii="Times New Roman" w:hAnsi="Times New Roman" w:cs="Times New Roman"/>
                <w:sz w:val="24"/>
                <w:szCs w:val="24"/>
              </w:rPr>
              <w:t>5 (6)</w:t>
            </w:r>
          </w:p>
        </w:tc>
      </w:tr>
      <w:tr w:rsidR="0033328D" w:rsidRPr="00D653EE" w14:paraId="59E6EE6B" w14:textId="77777777" w:rsidTr="002C6B92">
        <w:trPr>
          <w:trHeight w:val="437"/>
        </w:trPr>
        <w:tc>
          <w:tcPr>
            <w:tcW w:w="2009" w:type="pct"/>
          </w:tcPr>
          <w:p w14:paraId="45ED7787" w14:textId="77777777" w:rsidR="0033328D" w:rsidRPr="003C413F" w:rsidRDefault="0033328D" w:rsidP="002C6B92">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3C413F">
              <w:rPr>
                <w:rFonts w:ascii="Times New Roman" w:hAnsi="Times New Roman" w:cs="Times New Roman"/>
                <w:sz w:val="24"/>
                <w:szCs w:val="24"/>
              </w:rPr>
              <w:t>Gastritis</w:t>
            </w:r>
          </w:p>
        </w:tc>
        <w:tc>
          <w:tcPr>
            <w:tcW w:w="1533" w:type="pct"/>
            <w:vAlign w:val="center"/>
          </w:tcPr>
          <w:p w14:paraId="420F58B9" w14:textId="77777777" w:rsidR="0033328D" w:rsidRPr="00D653EE" w:rsidRDefault="0033328D" w:rsidP="002C6B92">
            <w:pPr>
              <w:spacing w:line="360" w:lineRule="auto"/>
              <w:jc w:val="center"/>
              <w:rPr>
                <w:rFonts w:ascii="Times New Roman" w:hAnsi="Times New Roman" w:cs="Times New Roman"/>
                <w:sz w:val="24"/>
                <w:szCs w:val="24"/>
              </w:rPr>
            </w:pPr>
            <w:r w:rsidRPr="00D653EE">
              <w:rPr>
                <w:rFonts w:ascii="Times New Roman" w:hAnsi="Times New Roman" w:cs="Times New Roman"/>
                <w:sz w:val="24"/>
                <w:szCs w:val="24"/>
              </w:rPr>
              <w:t>1 (</w:t>
            </w:r>
            <w:r>
              <w:rPr>
                <w:rFonts w:ascii="Times New Roman" w:hAnsi="Times New Roman" w:cs="Times New Roman"/>
                <w:sz w:val="24"/>
                <w:szCs w:val="24"/>
              </w:rPr>
              <w:t>3</w:t>
            </w:r>
            <w:r w:rsidRPr="00D653EE">
              <w:rPr>
                <w:rFonts w:ascii="Times New Roman" w:hAnsi="Times New Roman" w:cs="Times New Roman"/>
                <w:sz w:val="24"/>
                <w:szCs w:val="24"/>
              </w:rPr>
              <w:t>)</w:t>
            </w:r>
          </w:p>
        </w:tc>
        <w:tc>
          <w:tcPr>
            <w:tcW w:w="1458" w:type="pct"/>
            <w:vAlign w:val="center"/>
          </w:tcPr>
          <w:p w14:paraId="61CB9383" w14:textId="77777777" w:rsidR="0033328D" w:rsidRPr="00D653EE" w:rsidRDefault="0033328D" w:rsidP="002C6B92">
            <w:pPr>
              <w:spacing w:line="360" w:lineRule="auto"/>
              <w:jc w:val="center"/>
              <w:rPr>
                <w:rFonts w:ascii="Times New Roman" w:hAnsi="Times New Roman" w:cs="Times New Roman"/>
                <w:sz w:val="24"/>
                <w:szCs w:val="24"/>
              </w:rPr>
            </w:pPr>
            <w:r w:rsidRPr="00D653EE">
              <w:rPr>
                <w:rFonts w:ascii="Times New Roman" w:hAnsi="Times New Roman" w:cs="Times New Roman"/>
                <w:sz w:val="24"/>
                <w:szCs w:val="24"/>
              </w:rPr>
              <w:t>5 (6)</w:t>
            </w:r>
          </w:p>
        </w:tc>
      </w:tr>
      <w:tr w:rsidR="0033328D" w:rsidRPr="00D653EE" w14:paraId="6434078A" w14:textId="77777777" w:rsidTr="002C6B92">
        <w:trPr>
          <w:trHeight w:val="437"/>
        </w:trPr>
        <w:tc>
          <w:tcPr>
            <w:tcW w:w="2009" w:type="pct"/>
          </w:tcPr>
          <w:p w14:paraId="0B5552F2" w14:textId="77777777" w:rsidR="0033328D" w:rsidRPr="003C413F" w:rsidRDefault="0033328D" w:rsidP="002C6B92">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3C413F">
              <w:rPr>
                <w:rFonts w:ascii="Times New Roman" w:hAnsi="Times New Roman" w:cs="Times New Roman"/>
                <w:sz w:val="24"/>
                <w:szCs w:val="24"/>
              </w:rPr>
              <w:t>Headache</w:t>
            </w:r>
          </w:p>
        </w:tc>
        <w:tc>
          <w:tcPr>
            <w:tcW w:w="1533" w:type="pct"/>
            <w:vAlign w:val="center"/>
          </w:tcPr>
          <w:p w14:paraId="635BB9BF" w14:textId="77777777" w:rsidR="0033328D" w:rsidRPr="00D653EE" w:rsidRDefault="0033328D" w:rsidP="002C6B92">
            <w:pPr>
              <w:spacing w:line="360" w:lineRule="auto"/>
              <w:jc w:val="center"/>
              <w:rPr>
                <w:rFonts w:ascii="Times New Roman" w:hAnsi="Times New Roman" w:cs="Times New Roman"/>
                <w:sz w:val="24"/>
                <w:szCs w:val="24"/>
              </w:rPr>
            </w:pPr>
            <w:r w:rsidRPr="00D653EE">
              <w:rPr>
                <w:rFonts w:ascii="Times New Roman" w:hAnsi="Times New Roman" w:cs="Times New Roman"/>
                <w:sz w:val="24"/>
                <w:szCs w:val="24"/>
              </w:rPr>
              <w:t>0 (0)</w:t>
            </w:r>
          </w:p>
        </w:tc>
        <w:tc>
          <w:tcPr>
            <w:tcW w:w="1458" w:type="pct"/>
            <w:vAlign w:val="center"/>
          </w:tcPr>
          <w:p w14:paraId="50F1B831" w14:textId="77777777" w:rsidR="0033328D" w:rsidRPr="00D653EE" w:rsidRDefault="0033328D" w:rsidP="002C6B92">
            <w:pPr>
              <w:spacing w:line="360" w:lineRule="auto"/>
              <w:jc w:val="center"/>
              <w:rPr>
                <w:rFonts w:ascii="Times New Roman" w:hAnsi="Times New Roman" w:cs="Times New Roman"/>
                <w:sz w:val="24"/>
                <w:szCs w:val="24"/>
              </w:rPr>
            </w:pPr>
            <w:r w:rsidRPr="00D653EE">
              <w:rPr>
                <w:rFonts w:ascii="Times New Roman" w:hAnsi="Times New Roman" w:cs="Times New Roman"/>
                <w:sz w:val="24"/>
                <w:szCs w:val="24"/>
              </w:rPr>
              <w:t>5 (6)</w:t>
            </w:r>
          </w:p>
        </w:tc>
      </w:tr>
      <w:tr w:rsidR="0033328D" w:rsidRPr="00D653EE" w14:paraId="0B999B43" w14:textId="77777777" w:rsidTr="002C6B92">
        <w:trPr>
          <w:trHeight w:val="437"/>
        </w:trPr>
        <w:tc>
          <w:tcPr>
            <w:tcW w:w="2009" w:type="pct"/>
          </w:tcPr>
          <w:p w14:paraId="3B122DDF" w14:textId="77777777" w:rsidR="0033328D" w:rsidRPr="003C413F" w:rsidRDefault="0033328D" w:rsidP="002C6B92">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3C413F">
              <w:rPr>
                <w:rFonts w:ascii="Times New Roman" w:hAnsi="Times New Roman" w:cs="Times New Roman"/>
                <w:sz w:val="24"/>
                <w:szCs w:val="24"/>
              </w:rPr>
              <w:t>Abdominal pain upper</w:t>
            </w:r>
          </w:p>
        </w:tc>
        <w:tc>
          <w:tcPr>
            <w:tcW w:w="1533" w:type="pct"/>
            <w:vAlign w:val="center"/>
          </w:tcPr>
          <w:p w14:paraId="43769DB3" w14:textId="77777777" w:rsidR="0033328D" w:rsidRPr="00D653EE" w:rsidRDefault="0033328D" w:rsidP="002C6B92">
            <w:pPr>
              <w:spacing w:line="360" w:lineRule="auto"/>
              <w:jc w:val="center"/>
              <w:rPr>
                <w:rFonts w:ascii="Times New Roman" w:hAnsi="Times New Roman" w:cs="Times New Roman"/>
                <w:sz w:val="24"/>
                <w:szCs w:val="24"/>
              </w:rPr>
            </w:pPr>
            <w:r w:rsidRPr="00D653EE">
              <w:rPr>
                <w:rFonts w:ascii="Times New Roman" w:hAnsi="Times New Roman" w:cs="Times New Roman"/>
                <w:sz w:val="24"/>
                <w:szCs w:val="24"/>
              </w:rPr>
              <w:t>0 (0)</w:t>
            </w:r>
          </w:p>
        </w:tc>
        <w:tc>
          <w:tcPr>
            <w:tcW w:w="1458" w:type="pct"/>
            <w:vAlign w:val="center"/>
          </w:tcPr>
          <w:p w14:paraId="388CC620" w14:textId="77777777" w:rsidR="0033328D" w:rsidRPr="00D653EE" w:rsidRDefault="0033328D" w:rsidP="002C6B92">
            <w:pPr>
              <w:spacing w:line="360" w:lineRule="auto"/>
              <w:jc w:val="center"/>
              <w:rPr>
                <w:rFonts w:ascii="Times New Roman" w:hAnsi="Times New Roman" w:cs="Times New Roman"/>
                <w:sz w:val="24"/>
                <w:szCs w:val="24"/>
              </w:rPr>
            </w:pPr>
            <w:r w:rsidRPr="00D653EE">
              <w:rPr>
                <w:rFonts w:ascii="Times New Roman" w:hAnsi="Times New Roman" w:cs="Times New Roman"/>
                <w:sz w:val="24"/>
                <w:szCs w:val="24"/>
              </w:rPr>
              <w:t>4 (5)</w:t>
            </w:r>
          </w:p>
        </w:tc>
      </w:tr>
      <w:tr w:rsidR="0033328D" w:rsidRPr="00D653EE" w14:paraId="66C21239" w14:textId="77777777" w:rsidTr="002C6B92">
        <w:trPr>
          <w:trHeight w:val="437"/>
        </w:trPr>
        <w:tc>
          <w:tcPr>
            <w:tcW w:w="2009" w:type="pct"/>
          </w:tcPr>
          <w:p w14:paraId="1EE60074" w14:textId="77777777" w:rsidR="0033328D" w:rsidRPr="003C413F" w:rsidRDefault="0033328D" w:rsidP="002C6B92">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3C413F">
              <w:rPr>
                <w:rFonts w:ascii="Times New Roman" w:hAnsi="Times New Roman" w:cs="Times New Roman"/>
                <w:sz w:val="24"/>
                <w:szCs w:val="24"/>
              </w:rPr>
              <w:t>Blood bilirubin increased</w:t>
            </w:r>
          </w:p>
        </w:tc>
        <w:tc>
          <w:tcPr>
            <w:tcW w:w="1533" w:type="pct"/>
            <w:vAlign w:val="center"/>
          </w:tcPr>
          <w:p w14:paraId="78AC34EF" w14:textId="77777777" w:rsidR="0033328D" w:rsidRPr="00D653EE" w:rsidRDefault="0033328D" w:rsidP="002C6B92">
            <w:pPr>
              <w:spacing w:line="360" w:lineRule="auto"/>
              <w:jc w:val="center"/>
              <w:rPr>
                <w:rFonts w:ascii="Times New Roman" w:hAnsi="Times New Roman" w:cs="Times New Roman"/>
                <w:sz w:val="24"/>
                <w:szCs w:val="24"/>
              </w:rPr>
            </w:pPr>
            <w:r w:rsidRPr="00D653EE">
              <w:rPr>
                <w:rFonts w:ascii="Times New Roman" w:hAnsi="Times New Roman" w:cs="Times New Roman"/>
                <w:sz w:val="24"/>
                <w:szCs w:val="24"/>
              </w:rPr>
              <w:t>0 (0)</w:t>
            </w:r>
          </w:p>
        </w:tc>
        <w:tc>
          <w:tcPr>
            <w:tcW w:w="1458" w:type="pct"/>
            <w:vAlign w:val="center"/>
          </w:tcPr>
          <w:p w14:paraId="0177AA04" w14:textId="77777777" w:rsidR="0033328D" w:rsidRPr="00D653EE" w:rsidRDefault="0033328D" w:rsidP="002C6B92">
            <w:pPr>
              <w:spacing w:line="360" w:lineRule="auto"/>
              <w:jc w:val="center"/>
              <w:rPr>
                <w:rFonts w:ascii="Times New Roman" w:hAnsi="Times New Roman" w:cs="Times New Roman"/>
                <w:sz w:val="24"/>
                <w:szCs w:val="24"/>
              </w:rPr>
            </w:pPr>
            <w:r w:rsidRPr="00D653EE">
              <w:rPr>
                <w:rFonts w:ascii="Times New Roman" w:hAnsi="Times New Roman" w:cs="Times New Roman"/>
                <w:sz w:val="24"/>
                <w:szCs w:val="24"/>
              </w:rPr>
              <w:t>4 (5)</w:t>
            </w:r>
          </w:p>
        </w:tc>
      </w:tr>
      <w:tr w:rsidR="0033328D" w:rsidRPr="00D653EE" w14:paraId="493E8E82" w14:textId="77777777" w:rsidTr="002C6B92">
        <w:trPr>
          <w:trHeight w:val="462"/>
        </w:trPr>
        <w:tc>
          <w:tcPr>
            <w:tcW w:w="2009" w:type="pct"/>
            <w:hideMark/>
          </w:tcPr>
          <w:p w14:paraId="3E420C72" w14:textId="77777777" w:rsidR="0033328D" w:rsidRPr="00D653EE" w:rsidRDefault="0033328D" w:rsidP="002C6B92">
            <w:pPr>
              <w:spacing w:after="160" w:line="360" w:lineRule="auto"/>
              <w:rPr>
                <w:rFonts w:ascii="Times New Roman" w:hAnsi="Times New Roman" w:cs="Times New Roman"/>
                <w:sz w:val="24"/>
                <w:szCs w:val="24"/>
                <w:vertAlign w:val="superscript"/>
              </w:rPr>
            </w:pPr>
            <w:r w:rsidRPr="00D653EE">
              <w:rPr>
                <w:rFonts w:ascii="Times New Roman" w:hAnsi="Times New Roman" w:cs="Times New Roman"/>
                <w:sz w:val="24"/>
                <w:szCs w:val="24"/>
              </w:rPr>
              <w:t>Participants with any TESAE</w:t>
            </w:r>
            <w:r w:rsidRPr="00D653EE">
              <w:rPr>
                <w:rFonts w:ascii="Times New Roman" w:hAnsi="Times New Roman" w:cs="Times New Roman"/>
                <w:sz w:val="24"/>
                <w:szCs w:val="24"/>
                <w:vertAlign w:val="superscript"/>
              </w:rPr>
              <w:t>†</w:t>
            </w:r>
          </w:p>
        </w:tc>
        <w:tc>
          <w:tcPr>
            <w:tcW w:w="1533" w:type="pct"/>
            <w:vAlign w:val="center"/>
            <w:hideMark/>
          </w:tcPr>
          <w:p w14:paraId="06E43A66" w14:textId="77777777" w:rsidR="0033328D" w:rsidRPr="00D653EE" w:rsidRDefault="0033328D" w:rsidP="002C6B92">
            <w:pPr>
              <w:spacing w:after="160" w:line="360" w:lineRule="auto"/>
              <w:jc w:val="center"/>
              <w:rPr>
                <w:rFonts w:ascii="Times New Roman" w:hAnsi="Times New Roman" w:cs="Times New Roman"/>
                <w:sz w:val="24"/>
                <w:szCs w:val="24"/>
              </w:rPr>
            </w:pPr>
            <w:r w:rsidRPr="00D653EE">
              <w:rPr>
                <w:rFonts w:ascii="Times New Roman" w:hAnsi="Times New Roman" w:cs="Times New Roman"/>
                <w:sz w:val="24"/>
                <w:szCs w:val="24"/>
              </w:rPr>
              <w:t>5 (1</w:t>
            </w:r>
            <w:r>
              <w:rPr>
                <w:rFonts w:ascii="Times New Roman" w:hAnsi="Times New Roman" w:cs="Times New Roman"/>
                <w:sz w:val="24"/>
                <w:szCs w:val="24"/>
              </w:rPr>
              <w:t>3</w:t>
            </w:r>
            <w:r w:rsidRPr="00D653EE">
              <w:rPr>
                <w:rFonts w:ascii="Times New Roman" w:hAnsi="Times New Roman" w:cs="Times New Roman"/>
                <w:sz w:val="24"/>
                <w:szCs w:val="24"/>
              </w:rPr>
              <w:t>)</w:t>
            </w:r>
          </w:p>
        </w:tc>
        <w:tc>
          <w:tcPr>
            <w:tcW w:w="1458" w:type="pct"/>
            <w:vAlign w:val="center"/>
            <w:hideMark/>
          </w:tcPr>
          <w:p w14:paraId="7CA10B61" w14:textId="77777777" w:rsidR="0033328D" w:rsidRPr="00D653EE" w:rsidRDefault="0033328D" w:rsidP="002C6B92">
            <w:pPr>
              <w:spacing w:after="160" w:line="360" w:lineRule="auto"/>
              <w:jc w:val="center"/>
              <w:rPr>
                <w:rFonts w:ascii="Times New Roman" w:hAnsi="Times New Roman" w:cs="Times New Roman"/>
                <w:sz w:val="24"/>
                <w:szCs w:val="24"/>
              </w:rPr>
            </w:pPr>
            <w:r w:rsidRPr="00D653EE">
              <w:rPr>
                <w:rFonts w:ascii="Times New Roman" w:hAnsi="Times New Roman" w:cs="Times New Roman"/>
                <w:sz w:val="24"/>
                <w:szCs w:val="24"/>
              </w:rPr>
              <w:t>5 (6)</w:t>
            </w:r>
          </w:p>
        </w:tc>
      </w:tr>
      <w:tr w:rsidR="0033328D" w:rsidRPr="00D653EE" w14:paraId="0CD10E96" w14:textId="77777777" w:rsidTr="002C6B92">
        <w:trPr>
          <w:trHeight w:val="462"/>
        </w:trPr>
        <w:tc>
          <w:tcPr>
            <w:tcW w:w="2009" w:type="pct"/>
          </w:tcPr>
          <w:p w14:paraId="7FEDFE3E" w14:textId="77777777" w:rsidR="0033328D" w:rsidRPr="00D653EE" w:rsidRDefault="0033328D" w:rsidP="002C6B92">
            <w:pPr>
              <w:spacing w:line="360" w:lineRule="auto"/>
              <w:rPr>
                <w:rFonts w:ascii="Times New Roman" w:hAnsi="Times New Roman" w:cs="Times New Roman"/>
                <w:sz w:val="24"/>
                <w:szCs w:val="24"/>
              </w:rPr>
            </w:pPr>
            <w:r>
              <w:rPr>
                <w:rFonts w:ascii="Times New Roman" w:hAnsi="Times New Roman" w:cs="Times New Roman"/>
                <w:sz w:val="24"/>
                <w:szCs w:val="24"/>
              </w:rPr>
              <w:t>Participants with any severe TEAE</w:t>
            </w:r>
            <w:r w:rsidRPr="00D653EE">
              <w:rPr>
                <w:rFonts w:ascii="Times New Roman" w:hAnsi="Times New Roman" w:cs="Times New Roman"/>
                <w:sz w:val="24"/>
                <w:szCs w:val="24"/>
                <w:vertAlign w:val="superscript"/>
              </w:rPr>
              <w:t>‡</w:t>
            </w:r>
          </w:p>
        </w:tc>
        <w:tc>
          <w:tcPr>
            <w:tcW w:w="1533" w:type="pct"/>
            <w:vAlign w:val="center"/>
          </w:tcPr>
          <w:p w14:paraId="683F9BBD" w14:textId="77777777" w:rsidR="0033328D" w:rsidRPr="00D653EE" w:rsidRDefault="0033328D" w:rsidP="002C6B92">
            <w:pPr>
              <w:spacing w:line="360" w:lineRule="auto"/>
              <w:jc w:val="center"/>
              <w:rPr>
                <w:rFonts w:ascii="Times New Roman" w:hAnsi="Times New Roman" w:cs="Times New Roman"/>
                <w:sz w:val="24"/>
                <w:szCs w:val="24"/>
              </w:rPr>
            </w:pPr>
            <w:r>
              <w:rPr>
                <w:rFonts w:ascii="Times New Roman" w:hAnsi="Times New Roman" w:cs="Times New Roman"/>
                <w:sz w:val="24"/>
                <w:szCs w:val="24"/>
              </w:rPr>
              <w:t>3 (8)</w:t>
            </w:r>
          </w:p>
        </w:tc>
        <w:tc>
          <w:tcPr>
            <w:tcW w:w="1458" w:type="pct"/>
            <w:vAlign w:val="center"/>
          </w:tcPr>
          <w:p w14:paraId="6B468E61" w14:textId="77777777" w:rsidR="0033328D" w:rsidRPr="00D653EE" w:rsidRDefault="0033328D" w:rsidP="002C6B92">
            <w:pPr>
              <w:spacing w:line="360" w:lineRule="auto"/>
              <w:jc w:val="center"/>
              <w:rPr>
                <w:rFonts w:ascii="Times New Roman" w:hAnsi="Times New Roman" w:cs="Times New Roman"/>
                <w:sz w:val="24"/>
                <w:szCs w:val="24"/>
              </w:rPr>
            </w:pPr>
            <w:r>
              <w:rPr>
                <w:rFonts w:ascii="Times New Roman" w:hAnsi="Times New Roman" w:cs="Times New Roman"/>
                <w:sz w:val="24"/>
                <w:szCs w:val="24"/>
              </w:rPr>
              <w:t>2 (3)</w:t>
            </w:r>
          </w:p>
        </w:tc>
      </w:tr>
      <w:tr w:rsidR="0033328D" w:rsidRPr="00D653EE" w14:paraId="2C90C756" w14:textId="77777777" w:rsidTr="002C6B92">
        <w:trPr>
          <w:trHeight w:val="420"/>
        </w:trPr>
        <w:tc>
          <w:tcPr>
            <w:tcW w:w="2009" w:type="pct"/>
            <w:hideMark/>
          </w:tcPr>
          <w:p w14:paraId="4B2940F8" w14:textId="77777777" w:rsidR="0033328D" w:rsidRPr="00D653EE" w:rsidRDefault="0033328D" w:rsidP="002C6B92">
            <w:pPr>
              <w:spacing w:after="160" w:line="360" w:lineRule="auto"/>
              <w:rPr>
                <w:rFonts w:ascii="Times New Roman" w:hAnsi="Times New Roman" w:cs="Times New Roman"/>
                <w:sz w:val="24"/>
                <w:szCs w:val="24"/>
                <w:vertAlign w:val="superscript"/>
              </w:rPr>
            </w:pPr>
            <w:r w:rsidRPr="00D653EE">
              <w:rPr>
                <w:rFonts w:ascii="Times New Roman" w:hAnsi="Times New Roman" w:cs="Times New Roman"/>
                <w:sz w:val="24"/>
                <w:szCs w:val="24"/>
              </w:rPr>
              <w:t xml:space="preserve">Any TEAE leading to </w:t>
            </w:r>
            <w:proofErr w:type="spellStart"/>
            <w:r w:rsidRPr="00D653EE">
              <w:rPr>
                <w:rFonts w:ascii="Times New Roman" w:hAnsi="Times New Roman" w:cs="Times New Roman"/>
                <w:sz w:val="24"/>
                <w:szCs w:val="24"/>
              </w:rPr>
              <w:t>fitusiran</w:t>
            </w:r>
            <w:proofErr w:type="spellEnd"/>
            <w:r w:rsidRPr="00D653EE">
              <w:rPr>
                <w:rFonts w:ascii="Times New Roman" w:hAnsi="Times New Roman" w:cs="Times New Roman"/>
                <w:sz w:val="24"/>
                <w:szCs w:val="24"/>
              </w:rPr>
              <w:t xml:space="preserve"> discontinuation</w:t>
            </w:r>
            <w:r w:rsidRPr="00D653EE">
              <w:rPr>
                <w:rFonts w:ascii="Times New Roman" w:hAnsi="Times New Roman" w:cs="Times New Roman"/>
                <w:sz w:val="24"/>
                <w:szCs w:val="24"/>
                <w:vertAlign w:val="superscript"/>
              </w:rPr>
              <w:t>§</w:t>
            </w:r>
          </w:p>
        </w:tc>
        <w:tc>
          <w:tcPr>
            <w:tcW w:w="1533" w:type="pct"/>
            <w:vAlign w:val="center"/>
            <w:hideMark/>
          </w:tcPr>
          <w:p w14:paraId="08AE57F1" w14:textId="77777777" w:rsidR="0033328D" w:rsidRPr="00D653EE" w:rsidRDefault="0033328D" w:rsidP="002C6B92">
            <w:pPr>
              <w:spacing w:after="160" w:line="360" w:lineRule="auto"/>
              <w:jc w:val="center"/>
              <w:rPr>
                <w:rFonts w:ascii="Times New Roman" w:hAnsi="Times New Roman" w:cs="Times New Roman"/>
                <w:sz w:val="24"/>
                <w:szCs w:val="24"/>
              </w:rPr>
            </w:pPr>
            <w:r w:rsidRPr="00D653EE">
              <w:rPr>
                <w:rFonts w:ascii="Times New Roman" w:hAnsi="Times New Roman" w:cs="Times New Roman"/>
                <w:sz w:val="24"/>
                <w:szCs w:val="24"/>
              </w:rPr>
              <w:t>-</w:t>
            </w:r>
          </w:p>
        </w:tc>
        <w:tc>
          <w:tcPr>
            <w:tcW w:w="1458" w:type="pct"/>
            <w:vAlign w:val="center"/>
            <w:hideMark/>
          </w:tcPr>
          <w:p w14:paraId="237076F8" w14:textId="77777777" w:rsidR="0033328D" w:rsidRPr="00D653EE" w:rsidRDefault="0033328D" w:rsidP="002C6B92">
            <w:pPr>
              <w:spacing w:after="160" w:line="360" w:lineRule="auto"/>
              <w:jc w:val="center"/>
              <w:rPr>
                <w:rFonts w:ascii="Times New Roman" w:hAnsi="Times New Roman" w:cs="Times New Roman"/>
                <w:sz w:val="24"/>
                <w:szCs w:val="24"/>
              </w:rPr>
            </w:pPr>
            <w:r w:rsidRPr="00D653EE">
              <w:rPr>
                <w:rFonts w:ascii="Times New Roman" w:hAnsi="Times New Roman" w:cs="Times New Roman"/>
                <w:sz w:val="24"/>
                <w:szCs w:val="24"/>
              </w:rPr>
              <w:t>2 (</w:t>
            </w:r>
            <w:r>
              <w:rPr>
                <w:rFonts w:ascii="Times New Roman" w:hAnsi="Times New Roman" w:cs="Times New Roman"/>
                <w:sz w:val="24"/>
                <w:szCs w:val="24"/>
              </w:rPr>
              <w:t>3</w:t>
            </w:r>
            <w:r w:rsidRPr="00D653EE">
              <w:rPr>
                <w:rFonts w:ascii="Times New Roman" w:hAnsi="Times New Roman" w:cs="Times New Roman"/>
                <w:sz w:val="24"/>
                <w:szCs w:val="24"/>
              </w:rPr>
              <w:t>)</w:t>
            </w:r>
          </w:p>
        </w:tc>
      </w:tr>
      <w:tr w:rsidR="0033328D" w:rsidRPr="00D653EE" w14:paraId="39D943D3" w14:textId="77777777" w:rsidTr="002C6B92">
        <w:trPr>
          <w:trHeight w:val="420"/>
        </w:trPr>
        <w:tc>
          <w:tcPr>
            <w:tcW w:w="2009" w:type="pct"/>
          </w:tcPr>
          <w:p w14:paraId="493BED68" w14:textId="77777777" w:rsidR="0033328D" w:rsidRPr="00D653EE" w:rsidRDefault="0033328D" w:rsidP="002C6B92">
            <w:pPr>
              <w:spacing w:line="360" w:lineRule="auto"/>
              <w:rPr>
                <w:rFonts w:ascii="Times New Roman" w:hAnsi="Times New Roman" w:cs="Times New Roman"/>
                <w:sz w:val="24"/>
                <w:szCs w:val="24"/>
                <w:vertAlign w:val="superscript"/>
              </w:rPr>
            </w:pPr>
            <w:r w:rsidRPr="00D653EE">
              <w:rPr>
                <w:rFonts w:ascii="Times New Roman" w:hAnsi="Times New Roman" w:cs="Times New Roman"/>
                <w:sz w:val="24"/>
                <w:szCs w:val="24"/>
              </w:rPr>
              <w:t>Any TEAE leading to trial withdrawal</w:t>
            </w:r>
            <w:bookmarkStart w:id="40" w:name="_Hlk122077900"/>
            <w:r w:rsidRPr="008B290B">
              <w:rPr>
                <w:rFonts w:ascii="Times New Roman" w:hAnsi="Times New Roman" w:cs="Times New Roman"/>
                <w:b/>
                <w:bCs/>
                <w:color w:val="202124"/>
                <w:sz w:val="24"/>
                <w:szCs w:val="24"/>
                <w:shd w:val="clear" w:color="auto" w:fill="FFFFFF"/>
                <w:vertAlign w:val="superscript"/>
              </w:rPr>
              <w:t>¶</w:t>
            </w:r>
            <w:bookmarkEnd w:id="40"/>
          </w:p>
        </w:tc>
        <w:tc>
          <w:tcPr>
            <w:tcW w:w="1533" w:type="pct"/>
            <w:vAlign w:val="center"/>
          </w:tcPr>
          <w:p w14:paraId="1B0F8D58" w14:textId="77777777" w:rsidR="0033328D" w:rsidRPr="00D653EE" w:rsidRDefault="0033328D" w:rsidP="002C6B92">
            <w:pPr>
              <w:spacing w:line="360" w:lineRule="auto"/>
              <w:jc w:val="center"/>
              <w:rPr>
                <w:rFonts w:ascii="Times New Roman" w:hAnsi="Times New Roman" w:cs="Times New Roman"/>
                <w:sz w:val="24"/>
                <w:szCs w:val="24"/>
              </w:rPr>
            </w:pPr>
            <w:r w:rsidRPr="00D653EE">
              <w:rPr>
                <w:rFonts w:ascii="Times New Roman" w:hAnsi="Times New Roman" w:cs="Times New Roman"/>
                <w:sz w:val="24"/>
                <w:szCs w:val="24"/>
              </w:rPr>
              <w:t>1 (</w:t>
            </w:r>
            <w:r>
              <w:rPr>
                <w:rFonts w:ascii="Times New Roman" w:hAnsi="Times New Roman" w:cs="Times New Roman"/>
                <w:sz w:val="24"/>
                <w:szCs w:val="24"/>
              </w:rPr>
              <w:t>3</w:t>
            </w:r>
            <w:r w:rsidRPr="00D653EE">
              <w:rPr>
                <w:rFonts w:ascii="Times New Roman" w:hAnsi="Times New Roman" w:cs="Times New Roman"/>
                <w:sz w:val="24"/>
                <w:szCs w:val="24"/>
              </w:rPr>
              <w:t>)</w:t>
            </w:r>
          </w:p>
        </w:tc>
        <w:tc>
          <w:tcPr>
            <w:tcW w:w="1458" w:type="pct"/>
            <w:vAlign w:val="center"/>
          </w:tcPr>
          <w:p w14:paraId="3EAE2549" w14:textId="77777777" w:rsidR="0033328D" w:rsidRPr="00D653EE" w:rsidRDefault="0033328D" w:rsidP="002C6B92">
            <w:pPr>
              <w:spacing w:line="360" w:lineRule="auto"/>
              <w:jc w:val="center"/>
              <w:rPr>
                <w:rFonts w:ascii="Times New Roman" w:hAnsi="Times New Roman" w:cs="Times New Roman"/>
                <w:sz w:val="24"/>
                <w:szCs w:val="24"/>
              </w:rPr>
            </w:pPr>
            <w:r w:rsidRPr="00D653EE">
              <w:rPr>
                <w:rFonts w:ascii="Times New Roman" w:hAnsi="Times New Roman" w:cs="Times New Roman"/>
                <w:sz w:val="24"/>
                <w:szCs w:val="24"/>
              </w:rPr>
              <w:t>-</w:t>
            </w:r>
          </w:p>
        </w:tc>
      </w:tr>
      <w:tr w:rsidR="0033328D" w:rsidRPr="00D653EE" w14:paraId="680ED980" w14:textId="77777777" w:rsidTr="002C6B92">
        <w:trPr>
          <w:trHeight w:val="462"/>
        </w:trPr>
        <w:tc>
          <w:tcPr>
            <w:tcW w:w="2009" w:type="pct"/>
            <w:hideMark/>
          </w:tcPr>
          <w:p w14:paraId="5F0BDB7A" w14:textId="77777777" w:rsidR="0033328D" w:rsidRPr="00D653EE" w:rsidRDefault="0033328D" w:rsidP="002C6B92">
            <w:pPr>
              <w:spacing w:after="160" w:line="360" w:lineRule="auto"/>
              <w:rPr>
                <w:rFonts w:ascii="Times New Roman" w:hAnsi="Times New Roman" w:cs="Times New Roman"/>
                <w:sz w:val="24"/>
                <w:szCs w:val="24"/>
              </w:rPr>
            </w:pPr>
            <w:r w:rsidRPr="00D653EE">
              <w:rPr>
                <w:rFonts w:ascii="Times New Roman" w:hAnsi="Times New Roman" w:cs="Times New Roman"/>
                <w:sz w:val="24"/>
                <w:szCs w:val="24"/>
              </w:rPr>
              <w:t xml:space="preserve">Any TEAE leading to death </w:t>
            </w:r>
          </w:p>
        </w:tc>
        <w:tc>
          <w:tcPr>
            <w:tcW w:w="1533" w:type="pct"/>
            <w:vAlign w:val="center"/>
            <w:hideMark/>
          </w:tcPr>
          <w:p w14:paraId="64EFD1C0" w14:textId="77777777" w:rsidR="0033328D" w:rsidRPr="00D653EE" w:rsidRDefault="0033328D" w:rsidP="002C6B92">
            <w:pPr>
              <w:spacing w:after="160" w:line="360" w:lineRule="auto"/>
              <w:jc w:val="center"/>
              <w:rPr>
                <w:rFonts w:ascii="Times New Roman" w:hAnsi="Times New Roman" w:cs="Times New Roman"/>
                <w:sz w:val="24"/>
                <w:szCs w:val="24"/>
              </w:rPr>
            </w:pPr>
            <w:r w:rsidRPr="00D653EE">
              <w:rPr>
                <w:rFonts w:ascii="Times New Roman" w:hAnsi="Times New Roman" w:cs="Times New Roman"/>
                <w:sz w:val="24"/>
                <w:szCs w:val="24"/>
              </w:rPr>
              <w:t>0 (0)</w:t>
            </w:r>
          </w:p>
        </w:tc>
        <w:tc>
          <w:tcPr>
            <w:tcW w:w="1458" w:type="pct"/>
            <w:vAlign w:val="center"/>
            <w:hideMark/>
          </w:tcPr>
          <w:p w14:paraId="5F4EAB4F" w14:textId="77777777" w:rsidR="0033328D" w:rsidRPr="00D653EE" w:rsidRDefault="0033328D" w:rsidP="002C6B92">
            <w:pPr>
              <w:spacing w:after="160" w:line="360" w:lineRule="auto"/>
              <w:jc w:val="center"/>
              <w:rPr>
                <w:rFonts w:ascii="Times New Roman" w:hAnsi="Times New Roman" w:cs="Times New Roman"/>
                <w:sz w:val="24"/>
                <w:szCs w:val="24"/>
              </w:rPr>
            </w:pPr>
            <w:r w:rsidRPr="00D653EE">
              <w:rPr>
                <w:rFonts w:ascii="Times New Roman" w:hAnsi="Times New Roman" w:cs="Times New Roman"/>
                <w:sz w:val="24"/>
                <w:szCs w:val="24"/>
              </w:rPr>
              <w:t>0 (0)</w:t>
            </w:r>
          </w:p>
        </w:tc>
      </w:tr>
    </w:tbl>
    <w:p w14:paraId="1CBB019B" w14:textId="77777777" w:rsidR="0033328D" w:rsidRPr="00D653EE" w:rsidRDefault="0033328D" w:rsidP="0033328D">
      <w:pPr>
        <w:spacing w:line="360" w:lineRule="auto"/>
        <w:rPr>
          <w:rFonts w:ascii="Times New Roman" w:hAnsi="Times New Roman" w:cs="Times New Roman"/>
          <w:bCs/>
        </w:rPr>
      </w:pPr>
      <w:r w:rsidRPr="00D653EE">
        <w:rPr>
          <w:rFonts w:ascii="Times New Roman" w:hAnsi="Times New Roman" w:cs="Times New Roman"/>
          <w:bCs/>
        </w:rPr>
        <w:t xml:space="preserve">*Events that occurred in at least 5% of participants who received </w:t>
      </w:r>
      <w:proofErr w:type="spellStart"/>
      <w:r w:rsidRPr="00D653EE">
        <w:rPr>
          <w:rFonts w:ascii="Times New Roman" w:hAnsi="Times New Roman" w:cs="Times New Roman"/>
          <w:bCs/>
        </w:rPr>
        <w:t>fitusiran</w:t>
      </w:r>
      <w:proofErr w:type="spellEnd"/>
      <w:r w:rsidRPr="00D653EE">
        <w:rPr>
          <w:rFonts w:ascii="Times New Roman" w:hAnsi="Times New Roman" w:cs="Times New Roman"/>
          <w:bCs/>
        </w:rPr>
        <w:t xml:space="preserve"> prophylaxis.</w:t>
      </w:r>
      <w:r w:rsidRPr="00D653EE">
        <w:rPr>
          <w:rFonts w:ascii="Times New Roman" w:hAnsi="Times New Roman" w:cs="Times New Roman"/>
          <w:bCs/>
        </w:rPr>
        <w:br/>
      </w:r>
      <w:r w:rsidRPr="00D653EE">
        <w:rPr>
          <w:rFonts w:ascii="Times New Roman" w:hAnsi="Times New Roman" w:cs="Times New Roman"/>
          <w:bCs/>
          <w:vertAlign w:val="superscript"/>
        </w:rPr>
        <w:t>†</w:t>
      </w:r>
      <w:r w:rsidRPr="00D653EE">
        <w:rPr>
          <w:rFonts w:ascii="Times New Roman" w:hAnsi="Times New Roman" w:cs="Times New Roman"/>
          <w:bCs/>
        </w:rPr>
        <w:t xml:space="preserve">TESAEs in the </w:t>
      </w:r>
      <w:proofErr w:type="spellStart"/>
      <w:r w:rsidRPr="00D653EE">
        <w:rPr>
          <w:rFonts w:ascii="Times New Roman" w:hAnsi="Times New Roman" w:cs="Times New Roman"/>
          <w:bCs/>
        </w:rPr>
        <w:t>fitusiran</w:t>
      </w:r>
      <w:proofErr w:type="spellEnd"/>
      <w:r w:rsidRPr="00D653EE">
        <w:rPr>
          <w:rFonts w:ascii="Times New Roman" w:hAnsi="Times New Roman" w:cs="Times New Roman"/>
          <w:bCs/>
        </w:rPr>
        <w:t xml:space="preserve"> group included cholelithiasis (n=2, </w:t>
      </w:r>
      <w:r>
        <w:rPr>
          <w:rFonts w:ascii="Times New Roman" w:hAnsi="Times New Roman" w:cs="Times New Roman"/>
          <w:bCs/>
        </w:rPr>
        <w:t>3</w:t>
      </w:r>
      <w:r w:rsidRPr="00D653EE">
        <w:rPr>
          <w:rFonts w:ascii="Times New Roman" w:hAnsi="Times New Roman" w:cs="Times New Roman"/>
          <w:bCs/>
        </w:rPr>
        <w:t xml:space="preserve">%), cholecystitis (n=1, 1%), lower respiratory tract infection (n=1, 1%) and asthma (n=1, 1%). TESAEs in the on-demand factor group </w:t>
      </w:r>
      <w:r w:rsidRPr="00D653EE">
        <w:rPr>
          <w:rFonts w:ascii="Times New Roman" w:hAnsi="Times New Roman" w:cs="Times New Roman"/>
          <w:bCs/>
        </w:rPr>
        <w:lastRenderedPageBreak/>
        <w:t xml:space="preserve">included gastroenteritis, pneumonia, suicidal ideation, diplopia, osteoarthritis, epidural haemorrhage, humerus fracture, subdural haemorrhage and tibia fracture (all n=1, </w:t>
      </w:r>
      <w:r>
        <w:rPr>
          <w:rFonts w:ascii="Times New Roman" w:hAnsi="Times New Roman" w:cs="Times New Roman"/>
          <w:bCs/>
        </w:rPr>
        <w:t>3</w:t>
      </w:r>
      <w:r w:rsidRPr="00D653EE">
        <w:rPr>
          <w:rFonts w:ascii="Times New Roman" w:hAnsi="Times New Roman" w:cs="Times New Roman"/>
          <w:bCs/>
        </w:rPr>
        <w:t>%).</w:t>
      </w:r>
      <w:r w:rsidRPr="00D653EE">
        <w:rPr>
          <w:rFonts w:ascii="Times New Roman" w:hAnsi="Times New Roman" w:cs="Times New Roman"/>
          <w:bCs/>
        </w:rPr>
        <w:br/>
      </w:r>
      <w:r w:rsidRPr="00D653EE">
        <w:rPr>
          <w:rFonts w:ascii="Times New Roman" w:hAnsi="Times New Roman" w:cs="Times New Roman"/>
          <w:sz w:val="24"/>
          <w:szCs w:val="24"/>
          <w:vertAlign w:val="superscript"/>
        </w:rPr>
        <w:t>‡</w:t>
      </w:r>
      <w:r w:rsidRPr="008B290B">
        <w:rPr>
          <w:rFonts w:ascii="Times New Roman" w:hAnsi="Times New Roman" w:cs="Times New Roman"/>
          <w:bCs/>
        </w:rPr>
        <w:t xml:space="preserve">Severe TEAEs in the </w:t>
      </w:r>
      <w:proofErr w:type="spellStart"/>
      <w:r w:rsidRPr="008B290B">
        <w:rPr>
          <w:rFonts w:ascii="Times New Roman" w:hAnsi="Times New Roman" w:cs="Times New Roman"/>
          <w:bCs/>
        </w:rPr>
        <w:t>fitusiran</w:t>
      </w:r>
      <w:proofErr w:type="spellEnd"/>
      <w:r w:rsidRPr="008B290B">
        <w:rPr>
          <w:rFonts w:ascii="Times New Roman" w:hAnsi="Times New Roman" w:cs="Times New Roman"/>
          <w:bCs/>
        </w:rPr>
        <w:t xml:space="preserve"> group included cholelithiasis and pruritu</w:t>
      </w:r>
      <w:r>
        <w:rPr>
          <w:rFonts w:ascii="Times New Roman" w:hAnsi="Times New Roman" w:cs="Times New Roman"/>
          <w:bCs/>
        </w:rPr>
        <w:t>s (both n=1, 1%).</w:t>
      </w:r>
      <w:r>
        <w:rPr>
          <w:rFonts w:ascii="Times New Roman" w:hAnsi="Times New Roman" w:cs="Times New Roman"/>
          <w:bCs/>
          <w:vertAlign w:val="superscript"/>
        </w:rPr>
        <w:br/>
      </w:r>
      <w:r w:rsidRPr="00D653EE">
        <w:rPr>
          <w:rFonts w:ascii="Times New Roman" w:hAnsi="Times New Roman" w:cs="Times New Roman"/>
          <w:bCs/>
          <w:vertAlign w:val="superscript"/>
        </w:rPr>
        <w:t>§</w:t>
      </w:r>
      <w:r w:rsidRPr="00D653EE">
        <w:rPr>
          <w:rFonts w:ascii="Times New Roman" w:hAnsi="Times New Roman" w:cs="Times New Roman"/>
          <w:bCs/>
        </w:rPr>
        <w:t xml:space="preserve">In the </w:t>
      </w:r>
      <w:proofErr w:type="spellStart"/>
      <w:r w:rsidRPr="00D653EE">
        <w:rPr>
          <w:rFonts w:ascii="Times New Roman" w:hAnsi="Times New Roman" w:cs="Times New Roman"/>
          <w:bCs/>
        </w:rPr>
        <w:t>fitusiran</w:t>
      </w:r>
      <w:proofErr w:type="spellEnd"/>
      <w:r w:rsidRPr="00D653EE">
        <w:rPr>
          <w:rFonts w:ascii="Times New Roman" w:hAnsi="Times New Roman" w:cs="Times New Roman"/>
          <w:bCs/>
        </w:rPr>
        <w:t xml:space="preserve"> group, 2 participants (</w:t>
      </w:r>
      <w:r>
        <w:rPr>
          <w:rFonts w:ascii="Times New Roman" w:hAnsi="Times New Roman" w:cs="Times New Roman"/>
          <w:bCs/>
        </w:rPr>
        <w:t>3</w:t>
      </w:r>
      <w:r w:rsidRPr="00D653EE">
        <w:rPr>
          <w:rFonts w:ascii="Times New Roman" w:hAnsi="Times New Roman" w:cs="Times New Roman"/>
          <w:bCs/>
        </w:rPr>
        <w:t xml:space="preserve">%) experienced TEAEs that resulted in </w:t>
      </w:r>
      <w:proofErr w:type="spellStart"/>
      <w:r w:rsidRPr="00D653EE">
        <w:rPr>
          <w:rFonts w:ascii="Times New Roman" w:hAnsi="Times New Roman" w:cs="Times New Roman"/>
          <w:bCs/>
        </w:rPr>
        <w:t>fitusiran</w:t>
      </w:r>
      <w:proofErr w:type="spellEnd"/>
      <w:r w:rsidRPr="00D653EE">
        <w:rPr>
          <w:rFonts w:ascii="Times New Roman" w:hAnsi="Times New Roman" w:cs="Times New Roman"/>
          <w:bCs/>
        </w:rPr>
        <w:t xml:space="preserve"> discontinuation (cholecystitis and ALT increased, in 1 participant each). </w:t>
      </w:r>
      <w:proofErr w:type="spellStart"/>
      <w:r w:rsidRPr="00D653EE">
        <w:rPr>
          <w:rFonts w:ascii="Times New Roman" w:hAnsi="Times New Roman" w:cs="Times New Roman"/>
          <w:bCs/>
        </w:rPr>
        <w:t>Fitusiran</w:t>
      </w:r>
      <w:proofErr w:type="spellEnd"/>
      <w:r w:rsidRPr="00D653EE">
        <w:rPr>
          <w:rFonts w:ascii="Times New Roman" w:hAnsi="Times New Roman" w:cs="Times New Roman"/>
          <w:bCs/>
        </w:rPr>
        <w:t xml:space="preserve"> was stopped at the discretion of the investigator due to an event of ALT increased and the participant subsequently resumed </w:t>
      </w:r>
      <w:proofErr w:type="spellStart"/>
      <w:r w:rsidRPr="00D653EE">
        <w:rPr>
          <w:rFonts w:ascii="Times New Roman" w:hAnsi="Times New Roman" w:cs="Times New Roman"/>
          <w:bCs/>
        </w:rPr>
        <w:t>fitusiran</w:t>
      </w:r>
      <w:proofErr w:type="spellEnd"/>
      <w:r w:rsidRPr="00D653EE">
        <w:rPr>
          <w:rFonts w:ascii="Times New Roman" w:hAnsi="Times New Roman" w:cs="Times New Roman"/>
          <w:bCs/>
        </w:rPr>
        <w:t xml:space="preserve"> in the extension study.</w:t>
      </w:r>
      <w:r w:rsidRPr="00D653EE">
        <w:rPr>
          <w:rFonts w:ascii="Times New Roman" w:hAnsi="Times New Roman" w:cs="Times New Roman"/>
          <w:bCs/>
        </w:rPr>
        <w:br/>
      </w:r>
      <w:r w:rsidRPr="008C5F11">
        <w:rPr>
          <w:rFonts w:ascii="Times New Roman" w:hAnsi="Times New Roman" w:cs="Times New Roman"/>
          <w:bCs/>
          <w:vertAlign w:val="superscript"/>
        </w:rPr>
        <w:t>¶</w:t>
      </w:r>
      <w:r w:rsidRPr="00D653EE">
        <w:rPr>
          <w:rFonts w:ascii="Times New Roman" w:hAnsi="Times New Roman" w:cs="Times New Roman"/>
          <w:bCs/>
        </w:rPr>
        <w:t>In the on-demand factor group, 1 participant (</w:t>
      </w:r>
      <w:r>
        <w:rPr>
          <w:rFonts w:ascii="Times New Roman" w:hAnsi="Times New Roman" w:cs="Times New Roman"/>
          <w:bCs/>
        </w:rPr>
        <w:t>3</w:t>
      </w:r>
      <w:r w:rsidRPr="00D653EE">
        <w:rPr>
          <w:rFonts w:ascii="Times New Roman" w:hAnsi="Times New Roman" w:cs="Times New Roman"/>
          <w:bCs/>
        </w:rPr>
        <w:t>%) experienced a TEAE (suicidal ideation) that resulted in trial withdrawal.</w:t>
      </w:r>
      <w:r w:rsidRPr="00D653EE">
        <w:rPr>
          <w:rFonts w:ascii="Times New Roman" w:hAnsi="Times New Roman" w:cs="Times New Roman"/>
          <w:bCs/>
        </w:rPr>
        <w:br/>
        <w:t>ALT, alanine aminotransferase; AST, aspartate aminotransferase; TEAE, treatment-emergent adverse event; TESAE, treatment-emergent serious adverse event.</w:t>
      </w:r>
    </w:p>
    <w:bookmarkEnd w:id="39"/>
    <w:p w14:paraId="4D3965AF" w14:textId="77777777" w:rsidR="0033328D" w:rsidRDefault="0033328D" w:rsidP="0033328D"/>
    <w:p w14:paraId="1EFD60BC" w14:textId="77777777" w:rsidR="0033328D" w:rsidRDefault="0033328D">
      <w:pPr>
        <w:rPr>
          <w:rFonts w:ascii="Times New Roman" w:hAnsi="Times New Roman" w:cs="Times New Roman"/>
          <w:b/>
          <w:sz w:val="24"/>
          <w:szCs w:val="24"/>
        </w:rPr>
      </w:pPr>
      <w:r>
        <w:rPr>
          <w:rFonts w:ascii="Times New Roman" w:hAnsi="Times New Roman" w:cs="Times New Roman"/>
          <w:b/>
          <w:sz w:val="24"/>
          <w:szCs w:val="24"/>
        </w:rPr>
        <w:br w:type="page"/>
      </w:r>
    </w:p>
    <w:p w14:paraId="44FFDC2D" w14:textId="612336E2" w:rsidR="00DD7F18" w:rsidRPr="00D653EE" w:rsidRDefault="00DD7F18" w:rsidP="008B3DDE">
      <w:pPr>
        <w:spacing w:line="360" w:lineRule="auto"/>
        <w:rPr>
          <w:rFonts w:ascii="Times New Roman" w:hAnsi="Times New Roman" w:cs="Times New Roman"/>
          <w:b/>
          <w:sz w:val="24"/>
          <w:szCs w:val="24"/>
        </w:rPr>
      </w:pPr>
      <w:r w:rsidRPr="00D653EE">
        <w:rPr>
          <w:rFonts w:ascii="Times New Roman" w:hAnsi="Times New Roman" w:cs="Times New Roman"/>
          <w:b/>
          <w:sz w:val="24"/>
          <w:szCs w:val="24"/>
        </w:rPr>
        <w:lastRenderedPageBreak/>
        <w:t>Figure 1: Participant disposition</w:t>
      </w:r>
    </w:p>
    <w:bookmarkEnd w:id="38"/>
    <w:p w14:paraId="26AE8C22" w14:textId="2F3D4890" w:rsidR="00DD7F18" w:rsidRPr="00D653EE" w:rsidRDefault="00A250AE">
      <w:pPr>
        <w:spacing w:line="360" w:lineRule="auto"/>
        <w:rPr>
          <w:rFonts w:ascii="Times New Roman" w:hAnsi="Times New Roman" w:cs="Times New Roman"/>
          <w:b/>
          <w:sz w:val="24"/>
          <w:szCs w:val="24"/>
        </w:rPr>
      </w:pPr>
      <w:r>
        <w:rPr>
          <w:noProof/>
        </w:rPr>
        <w:drawing>
          <wp:inline distT="0" distB="0" distL="0" distR="0" wp14:anchorId="5D157DF3" wp14:editId="04947F4B">
            <wp:extent cx="5922010" cy="4089507"/>
            <wp:effectExtent l="0" t="0" r="254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23936" cy="4090837"/>
                    </a:xfrm>
                    <a:prstGeom prst="rect">
                      <a:avLst/>
                    </a:prstGeom>
                  </pic:spPr>
                </pic:pic>
              </a:graphicData>
            </a:graphic>
          </wp:inline>
        </w:drawing>
      </w:r>
      <w:r w:rsidR="00DD7F18" w:rsidRPr="00D653EE">
        <w:rPr>
          <w:rFonts w:ascii="Times New Roman" w:hAnsi="Times New Roman" w:cs="Times New Roman"/>
          <w:bCs/>
        </w:rPr>
        <w:t xml:space="preserve">*Had a minimum of 6 bleeding episodes requiring on-demand treatment with </w:t>
      </w:r>
      <w:r w:rsidR="00D31562">
        <w:rPr>
          <w:rFonts w:ascii="Times New Roman" w:hAnsi="Times New Roman" w:cs="Times New Roman"/>
          <w:bCs/>
        </w:rPr>
        <w:t xml:space="preserve">clotting </w:t>
      </w:r>
      <w:r w:rsidR="00DD7F18" w:rsidRPr="00D653EE">
        <w:rPr>
          <w:rFonts w:ascii="Times New Roman" w:hAnsi="Times New Roman" w:cs="Times New Roman"/>
          <w:bCs/>
        </w:rPr>
        <w:t>factor concentrates within the last 6 months prior to screening.</w:t>
      </w:r>
      <w:r w:rsidR="00DD7F18" w:rsidRPr="00D653EE">
        <w:rPr>
          <w:rFonts w:ascii="Times New Roman" w:hAnsi="Times New Roman" w:cs="Times New Roman"/>
          <w:bCs/>
        </w:rPr>
        <w:br/>
        <w:t xml:space="preserve">Diagnosis of severe haemophilia A or B is based on a central laboratory measurement or documented medical record evidence of FVIII level &lt;1% or FIX level ≤2% at screening. </w:t>
      </w:r>
      <w:r w:rsidR="00DD7F18" w:rsidRPr="00D653EE">
        <w:rPr>
          <w:rFonts w:ascii="Times New Roman" w:hAnsi="Times New Roman" w:cs="Times New Roman"/>
          <w:bCs/>
        </w:rPr>
        <w:br/>
      </w:r>
      <w:r w:rsidR="00DD7F18" w:rsidRPr="00D653EE">
        <w:rPr>
          <w:rFonts w:ascii="Times New Roman" w:hAnsi="Times New Roman" w:cs="Times New Roman"/>
          <w:bCs/>
          <w:vertAlign w:val="superscript"/>
        </w:rPr>
        <w:t>†</w:t>
      </w:r>
      <w:r w:rsidR="00DD7F18" w:rsidRPr="00D653EE">
        <w:rPr>
          <w:rFonts w:ascii="Times New Roman" w:hAnsi="Times New Roman" w:cs="Times New Roman"/>
          <w:bCs/>
        </w:rPr>
        <w:t xml:space="preserve">The voluntary pause in dosing initiated by the sponsor was in response to reports of non-fatal vascular thrombotic events in separate trials within the </w:t>
      </w:r>
      <w:proofErr w:type="spellStart"/>
      <w:r w:rsidR="00DD7F18" w:rsidRPr="00D653EE">
        <w:rPr>
          <w:rFonts w:ascii="Times New Roman" w:hAnsi="Times New Roman" w:cs="Times New Roman"/>
          <w:bCs/>
        </w:rPr>
        <w:t>fitusiran</w:t>
      </w:r>
      <w:proofErr w:type="spellEnd"/>
      <w:r w:rsidR="00DD7F18" w:rsidRPr="00D653EE">
        <w:rPr>
          <w:rFonts w:ascii="Times New Roman" w:hAnsi="Times New Roman" w:cs="Times New Roman"/>
          <w:bCs/>
        </w:rPr>
        <w:t xml:space="preserve"> clinical development program.</w:t>
      </w:r>
      <w:r w:rsidR="00DD7F18" w:rsidRPr="00D653EE">
        <w:rPr>
          <w:rFonts w:ascii="Times New Roman" w:hAnsi="Times New Roman" w:cs="Times New Roman"/>
          <w:bCs/>
        </w:rPr>
        <w:br/>
      </w:r>
    </w:p>
    <w:p w14:paraId="507E57C8" w14:textId="77777777" w:rsidR="00A250AE" w:rsidRDefault="00A250AE">
      <w:pPr>
        <w:rPr>
          <w:rFonts w:ascii="Times New Roman" w:hAnsi="Times New Roman" w:cs="Times New Roman"/>
          <w:b/>
          <w:sz w:val="24"/>
          <w:szCs w:val="24"/>
        </w:rPr>
      </w:pPr>
      <w:r>
        <w:rPr>
          <w:rFonts w:ascii="Times New Roman" w:hAnsi="Times New Roman" w:cs="Times New Roman"/>
          <w:b/>
          <w:sz w:val="24"/>
          <w:szCs w:val="24"/>
        </w:rPr>
        <w:br w:type="page"/>
      </w:r>
    </w:p>
    <w:p w14:paraId="00048609" w14:textId="6D1818DA" w:rsidR="00DD7F18" w:rsidRPr="005E6DB4" w:rsidRDefault="00DD7F18" w:rsidP="005E6DB4">
      <w:pPr>
        <w:rPr>
          <w:rFonts w:ascii="Times New Roman" w:hAnsi="Times New Roman" w:cs="Times New Roman"/>
          <w:b/>
          <w:sz w:val="24"/>
          <w:szCs w:val="24"/>
        </w:rPr>
      </w:pPr>
      <w:r w:rsidRPr="00D653EE">
        <w:rPr>
          <w:rFonts w:ascii="Times New Roman" w:hAnsi="Times New Roman" w:cs="Times New Roman"/>
          <w:b/>
          <w:sz w:val="24"/>
          <w:szCs w:val="24"/>
        </w:rPr>
        <w:lastRenderedPageBreak/>
        <w:t>Figure 2:</w:t>
      </w:r>
      <w:r w:rsidRPr="00D653EE">
        <w:rPr>
          <w:rFonts w:ascii="Times New Roman" w:eastAsiaTheme="minorEastAsia" w:hAnsi="Times New Roman" w:cs="Times New Roman"/>
          <w:b/>
          <w:bCs/>
          <w:color w:val="002060"/>
          <w:kern w:val="24"/>
          <w:sz w:val="24"/>
          <w:szCs w:val="24"/>
          <w:lang w:eastAsia="en-GB"/>
        </w:rPr>
        <w:t xml:space="preserve"> </w:t>
      </w:r>
      <w:r w:rsidRPr="003C413F">
        <w:rPr>
          <w:rFonts w:ascii="Times New Roman" w:eastAsia="MS Gothic" w:hAnsi="Times New Roman" w:cs="Times New Roman"/>
          <w:b/>
          <w:sz w:val="24"/>
          <w:szCs w:val="24"/>
        </w:rPr>
        <w:t>Bleeding events in the efficacy period</w:t>
      </w:r>
      <w:r w:rsidRPr="00D653EE" w:rsidDel="001F5C9D">
        <w:rPr>
          <w:rFonts w:ascii="Times New Roman" w:eastAsiaTheme="minorEastAsia" w:hAnsi="Times New Roman" w:cs="Times New Roman"/>
          <w:b/>
          <w:bCs/>
          <w:kern w:val="24"/>
          <w:sz w:val="24"/>
          <w:szCs w:val="24"/>
          <w:lang w:eastAsia="en-GB"/>
        </w:rPr>
        <w:t xml:space="preserve"> </w:t>
      </w:r>
      <w:r w:rsidRPr="00D653EE">
        <w:rPr>
          <w:rFonts w:ascii="Times New Roman" w:hAnsi="Times New Roman" w:cs="Times New Roman"/>
          <w:b/>
          <w:sz w:val="24"/>
          <w:szCs w:val="24"/>
        </w:rPr>
        <w:t>(intent-to-treat analysis set)</w:t>
      </w:r>
    </w:p>
    <w:p w14:paraId="1418CFD6" w14:textId="54C654DC" w:rsidR="00162C4E" w:rsidRDefault="00DD7F18" w:rsidP="005E6DB4">
      <w:pPr>
        <w:pStyle w:val="ListParagraph"/>
        <w:numPr>
          <w:ilvl w:val="0"/>
          <w:numId w:val="39"/>
        </w:numPr>
        <w:spacing w:line="360" w:lineRule="auto"/>
        <w:rPr>
          <w:rFonts w:ascii="Times New Roman" w:eastAsiaTheme="minorEastAsia" w:hAnsi="Times New Roman" w:cs="Times New Roman"/>
          <w:b/>
          <w:bCs/>
          <w:kern w:val="24"/>
          <w:sz w:val="24"/>
          <w:szCs w:val="24"/>
          <w:lang w:eastAsia="en-GB"/>
        </w:rPr>
      </w:pPr>
      <w:r w:rsidRPr="00777824">
        <w:rPr>
          <w:rFonts w:ascii="Times New Roman" w:eastAsiaTheme="minorEastAsia" w:hAnsi="Times New Roman" w:cs="Times New Roman"/>
          <w:b/>
          <w:bCs/>
          <w:kern w:val="24"/>
          <w:sz w:val="24"/>
          <w:szCs w:val="24"/>
          <w:lang w:eastAsia="en-GB"/>
        </w:rPr>
        <w:t>Median observed annualised bleeding rates for treated bleeds in the efficacy period</w:t>
      </w:r>
    </w:p>
    <w:p w14:paraId="57B25F0D" w14:textId="2D192381" w:rsidR="00A250AE" w:rsidRPr="00A250AE" w:rsidRDefault="00A250AE" w:rsidP="00A250AE">
      <w:pPr>
        <w:spacing w:line="360" w:lineRule="auto"/>
        <w:rPr>
          <w:rFonts w:ascii="Times New Roman" w:eastAsiaTheme="minorEastAsia" w:hAnsi="Times New Roman" w:cs="Times New Roman"/>
          <w:b/>
          <w:bCs/>
          <w:kern w:val="24"/>
          <w:sz w:val="24"/>
          <w:szCs w:val="24"/>
          <w:lang w:eastAsia="en-GB"/>
        </w:rPr>
      </w:pPr>
      <w:r>
        <w:rPr>
          <w:noProof/>
        </w:rPr>
        <w:drawing>
          <wp:inline distT="0" distB="0" distL="0" distR="0" wp14:anchorId="3873D72B" wp14:editId="5A9118DC">
            <wp:extent cx="5731510" cy="213868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31510" cy="2138680"/>
                    </a:xfrm>
                    <a:prstGeom prst="rect">
                      <a:avLst/>
                    </a:prstGeom>
                  </pic:spPr>
                </pic:pic>
              </a:graphicData>
            </a:graphic>
          </wp:inline>
        </w:drawing>
      </w:r>
    </w:p>
    <w:p w14:paraId="3E4728D0" w14:textId="0B738618" w:rsidR="00162C4E" w:rsidRDefault="00DD7F18" w:rsidP="005E6DB4">
      <w:pPr>
        <w:pStyle w:val="ListParagraph"/>
        <w:numPr>
          <w:ilvl w:val="0"/>
          <w:numId w:val="39"/>
        </w:numPr>
        <w:spacing w:line="360" w:lineRule="auto"/>
        <w:rPr>
          <w:rFonts w:ascii="Times New Roman" w:eastAsiaTheme="minorEastAsia" w:hAnsi="Times New Roman" w:cs="Times New Roman"/>
          <w:b/>
          <w:bCs/>
          <w:kern w:val="24"/>
          <w:sz w:val="24"/>
          <w:szCs w:val="24"/>
          <w:lang w:eastAsia="en-GB"/>
        </w:rPr>
      </w:pPr>
      <w:r w:rsidRPr="00D653EE">
        <w:rPr>
          <w:rFonts w:ascii="Times New Roman" w:eastAsiaTheme="minorEastAsia" w:hAnsi="Times New Roman" w:cs="Times New Roman"/>
          <w:b/>
          <w:bCs/>
          <w:kern w:val="24"/>
          <w:sz w:val="24"/>
          <w:szCs w:val="24"/>
          <w:lang w:eastAsia="en-GB"/>
        </w:rPr>
        <w:t>Annuali</w:t>
      </w:r>
      <w:r>
        <w:rPr>
          <w:rFonts w:ascii="Times New Roman" w:eastAsiaTheme="minorEastAsia" w:hAnsi="Times New Roman" w:cs="Times New Roman"/>
          <w:b/>
          <w:bCs/>
          <w:kern w:val="24"/>
          <w:sz w:val="24"/>
          <w:szCs w:val="24"/>
          <w:lang w:eastAsia="en-GB"/>
        </w:rPr>
        <w:t>s</w:t>
      </w:r>
      <w:r w:rsidRPr="00D653EE">
        <w:rPr>
          <w:rFonts w:ascii="Times New Roman" w:eastAsiaTheme="minorEastAsia" w:hAnsi="Times New Roman" w:cs="Times New Roman"/>
          <w:b/>
          <w:bCs/>
          <w:kern w:val="24"/>
          <w:sz w:val="24"/>
          <w:szCs w:val="24"/>
          <w:lang w:eastAsia="en-GB"/>
        </w:rPr>
        <w:t>ed bleeding rates for treated bleeds in the efficacy period estimated by negative binomial model</w:t>
      </w:r>
    </w:p>
    <w:p w14:paraId="69EBF5D9" w14:textId="5C2A4D2A" w:rsidR="00A250AE" w:rsidRDefault="00A250AE" w:rsidP="00A250AE">
      <w:pPr>
        <w:spacing w:line="360" w:lineRule="auto"/>
        <w:ind w:left="360"/>
        <w:rPr>
          <w:rFonts w:ascii="Times New Roman" w:eastAsiaTheme="minorEastAsia" w:hAnsi="Times New Roman" w:cs="Times New Roman"/>
          <w:b/>
          <w:bCs/>
          <w:kern w:val="24"/>
          <w:sz w:val="24"/>
          <w:szCs w:val="24"/>
          <w:lang w:eastAsia="en-GB"/>
        </w:rPr>
      </w:pPr>
      <w:r>
        <w:rPr>
          <w:noProof/>
        </w:rPr>
        <w:drawing>
          <wp:inline distT="0" distB="0" distL="0" distR="0" wp14:anchorId="0B6397DB" wp14:editId="199CC439">
            <wp:extent cx="5731510" cy="2794635"/>
            <wp:effectExtent l="0" t="0" r="254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31510" cy="2794635"/>
                    </a:xfrm>
                    <a:prstGeom prst="rect">
                      <a:avLst/>
                    </a:prstGeom>
                  </pic:spPr>
                </pic:pic>
              </a:graphicData>
            </a:graphic>
          </wp:inline>
        </w:drawing>
      </w:r>
    </w:p>
    <w:p w14:paraId="3AEAC8E8" w14:textId="23AE66EB" w:rsidR="00A250AE" w:rsidRPr="00A250AE" w:rsidRDefault="00A250AE" w:rsidP="00A250AE">
      <w:pPr>
        <w:rPr>
          <w:rFonts w:ascii="Times New Roman" w:eastAsiaTheme="minorEastAsia" w:hAnsi="Times New Roman" w:cs="Times New Roman"/>
          <w:b/>
          <w:bCs/>
          <w:kern w:val="24"/>
          <w:sz w:val="24"/>
          <w:szCs w:val="24"/>
          <w:lang w:eastAsia="en-GB"/>
        </w:rPr>
      </w:pPr>
      <w:r>
        <w:rPr>
          <w:rFonts w:ascii="Times New Roman" w:eastAsiaTheme="minorEastAsia" w:hAnsi="Times New Roman" w:cs="Times New Roman"/>
          <w:b/>
          <w:bCs/>
          <w:kern w:val="24"/>
          <w:sz w:val="24"/>
          <w:szCs w:val="24"/>
          <w:lang w:eastAsia="en-GB"/>
        </w:rPr>
        <w:br w:type="page"/>
      </w:r>
    </w:p>
    <w:p w14:paraId="30F3E247" w14:textId="77777777" w:rsidR="00A250AE" w:rsidRDefault="00DD7F18" w:rsidP="00852124">
      <w:pPr>
        <w:pStyle w:val="ListParagraph"/>
        <w:numPr>
          <w:ilvl w:val="0"/>
          <w:numId w:val="39"/>
        </w:numPr>
        <w:spacing w:line="360" w:lineRule="auto"/>
        <w:rPr>
          <w:rFonts w:ascii="Times New Roman" w:hAnsi="Times New Roman" w:cs="Times New Roman"/>
          <w:b/>
          <w:bCs/>
          <w:sz w:val="24"/>
          <w:szCs w:val="24"/>
        </w:rPr>
      </w:pPr>
      <w:r w:rsidRPr="00D653EE">
        <w:rPr>
          <w:rFonts w:ascii="Times New Roman" w:hAnsi="Times New Roman" w:cs="Times New Roman"/>
          <w:b/>
          <w:bCs/>
          <w:sz w:val="24"/>
          <w:szCs w:val="24"/>
        </w:rPr>
        <w:lastRenderedPageBreak/>
        <w:t>Proportion of participants with zero and ≤3 treated bleeds in the efficacy perio</w:t>
      </w:r>
      <w:r w:rsidR="00162C4E">
        <w:rPr>
          <w:rFonts w:ascii="Times New Roman" w:hAnsi="Times New Roman" w:cs="Times New Roman"/>
          <w:b/>
          <w:bCs/>
          <w:sz w:val="24"/>
          <w:szCs w:val="24"/>
        </w:rPr>
        <w:t>d</w:t>
      </w:r>
    </w:p>
    <w:p w14:paraId="6438DB72" w14:textId="4614F559" w:rsidR="00852124" w:rsidRPr="00A250AE" w:rsidRDefault="00A250AE" w:rsidP="00A250AE">
      <w:pPr>
        <w:spacing w:line="360" w:lineRule="auto"/>
        <w:ind w:left="360"/>
        <w:rPr>
          <w:rFonts w:ascii="Times New Roman" w:hAnsi="Times New Roman" w:cs="Times New Roman"/>
          <w:b/>
          <w:bCs/>
          <w:sz w:val="24"/>
          <w:szCs w:val="24"/>
        </w:rPr>
      </w:pPr>
      <w:r>
        <w:rPr>
          <w:noProof/>
        </w:rPr>
        <w:drawing>
          <wp:inline distT="0" distB="0" distL="0" distR="0" wp14:anchorId="2D1522C9" wp14:editId="172477E4">
            <wp:extent cx="5731510" cy="2372995"/>
            <wp:effectExtent l="0" t="0" r="254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31510" cy="2372995"/>
                    </a:xfrm>
                    <a:prstGeom prst="rect">
                      <a:avLst/>
                    </a:prstGeom>
                  </pic:spPr>
                </pic:pic>
              </a:graphicData>
            </a:graphic>
          </wp:inline>
        </w:drawing>
      </w:r>
      <w:r w:rsidR="00CC0C76" w:rsidRPr="00A250AE">
        <w:rPr>
          <w:rFonts w:ascii="Times New Roman" w:hAnsi="Times New Roman" w:cs="Times New Roman"/>
          <w:vertAlign w:val="superscript"/>
        </w:rPr>
        <w:br/>
      </w:r>
    </w:p>
    <w:p w14:paraId="7873F316" w14:textId="7D5FEDF5" w:rsidR="00DD7F18" w:rsidRPr="00852124" w:rsidRDefault="00852124" w:rsidP="00852124">
      <w:pPr>
        <w:spacing w:line="360" w:lineRule="auto"/>
        <w:rPr>
          <w:rFonts w:ascii="Times New Roman" w:hAnsi="Times New Roman" w:cs="Times New Roman"/>
          <w:b/>
          <w:bCs/>
          <w:sz w:val="24"/>
          <w:szCs w:val="24"/>
        </w:rPr>
      </w:pPr>
      <w:r w:rsidRPr="00852124">
        <w:rPr>
          <w:rFonts w:ascii="Times New Roman" w:hAnsi="Times New Roman" w:cs="Times New Roman"/>
        </w:rPr>
        <w:t>Rate</w:t>
      </w:r>
      <w:r w:rsidRPr="00852124">
        <w:rPr>
          <w:rFonts w:ascii="Times New Roman" w:hAnsi="Times New Roman" w:cs="Times New Roman"/>
          <w:vertAlign w:val="superscript"/>
        </w:rPr>
        <w:t xml:space="preserve"> </w:t>
      </w:r>
      <w:r w:rsidRPr="00852124">
        <w:rPr>
          <w:rFonts w:ascii="Times New Roman" w:hAnsi="Times New Roman" w:cs="Times New Roman"/>
        </w:rPr>
        <w:t xml:space="preserve">ratio is the </w:t>
      </w:r>
      <w:proofErr w:type="spellStart"/>
      <w:r w:rsidRPr="00852124">
        <w:rPr>
          <w:rFonts w:ascii="Times New Roman" w:hAnsi="Times New Roman" w:cs="Times New Roman"/>
        </w:rPr>
        <w:t>Fitusiran</w:t>
      </w:r>
      <w:proofErr w:type="spellEnd"/>
      <w:r w:rsidRPr="00852124">
        <w:rPr>
          <w:rFonts w:ascii="Times New Roman" w:hAnsi="Times New Roman" w:cs="Times New Roman"/>
        </w:rPr>
        <w:t xml:space="preserve"> rate divided by on-demand clotting factor concentrate rate.</w:t>
      </w:r>
      <w:r w:rsidRPr="00852124">
        <w:rPr>
          <w:rFonts w:ascii="Times New Roman" w:hAnsi="Times New Roman" w:cs="Times New Roman"/>
          <w:vertAlign w:val="superscript"/>
        </w:rPr>
        <w:t xml:space="preserve"> </w:t>
      </w:r>
      <w:r w:rsidR="00DD7F18" w:rsidRPr="00852124">
        <w:rPr>
          <w:rFonts w:ascii="Times New Roman" w:hAnsi="Times New Roman" w:cs="Times New Roman"/>
        </w:rPr>
        <w:t>P-value from a negative binomial regression model with treatment group, randomisation strata of number of bleeds in the 6 months prior to study (&lt;=10, &gt; 10) and randomisation strata of haemophilia type (A vs. B) as fixed effects, and the logarithm of the duration that each participant spent in the efficacy period matching the bleeding episode being analysed as an offset variable (P-value versus null hypothesis of ratio = 1). CI, confidence interval; IQR, interquartile range.</w:t>
      </w:r>
      <w:bookmarkStart w:id="41" w:name="_Hlk89695597"/>
    </w:p>
    <w:bookmarkEnd w:id="41"/>
    <w:p w14:paraId="175B8D71" w14:textId="7DACCCBA" w:rsidR="00D966FD" w:rsidRPr="00821E77" w:rsidRDefault="00D966FD">
      <w:pPr>
        <w:rPr>
          <w:rFonts w:ascii="Times New Roman" w:hAnsi="Times New Roman" w:cs="Times New Roman"/>
          <w:b/>
          <w:bCs/>
          <w:sz w:val="24"/>
          <w:szCs w:val="24"/>
        </w:rPr>
      </w:pPr>
    </w:p>
    <w:sectPr w:rsidR="00D966FD" w:rsidRPr="00821E77" w:rsidSect="0085212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A1B6D" w14:textId="77777777" w:rsidR="00666AB0" w:rsidRDefault="00666AB0">
      <w:pPr>
        <w:spacing w:after="0" w:line="240" w:lineRule="auto"/>
      </w:pPr>
      <w:r>
        <w:separator/>
      </w:r>
    </w:p>
  </w:endnote>
  <w:endnote w:type="continuationSeparator" w:id="0">
    <w:p w14:paraId="11DC22B1" w14:textId="77777777" w:rsidR="00666AB0" w:rsidRDefault="00666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pyright TYPE BY">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3600C" w14:textId="77777777" w:rsidR="00904A06" w:rsidRDefault="00904A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609169"/>
      <w:docPartObj>
        <w:docPartGallery w:val="Page Numbers (Bottom of Page)"/>
        <w:docPartUnique/>
      </w:docPartObj>
    </w:sdtPr>
    <w:sdtEndPr>
      <w:rPr>
        <w:rFonts w:ascii="Times New Roman" w:hAnsi="Times New Roman" w:cs="Times New Roman"/>
        <w:noProof/>
      </w:rPr>
    </w:sdtEndPr>
    <w:sdtContent>
      <w:p w14:paraId="6A1B38FC" w14:textId="77777777" w:rsidR="001F5C9D" w:rsidRPr="003C413F" w:rsidRDefault="00DD7F18">
        <w:pPr>
          <w:pStyle w:val="Footer"/>
          <w:jc w:val="right"/>
          <w:rPr>
            <w:rFonts w:ascii="Arial" w:hAnsi="Arial" w:cs="Arial"/>
          </w:rPr>
        </w:pPr>
        <w:r w:rsidRPr="003C413F">
          <w:rPr>
            <w:rFonts w:ascii="Times New Roman" w:hAnsi="Times New Roman" w:cs="Times New Roman"/>
          </w:rPr>
          <w:fldChar w:fldCharType="begin"/>
        </w:r>
        <w:r w:rsidRPr="003C413F">
          <w:rPr>
            <w:rFonts w:ascii="Times New Roman" w:hAnsi="Times New Roman" w:cs="Times New Roman"/>
          </w:rPr>
          <w:instrText xml:space="preserve"> PAGE   \* MERGEFORMAT </w:instrText>
        </w:r>
        <w:r w:rsidRPr="003C413F">
          <w:rPr>
            <w:rFonts w:ascii="Times New Roman" w:hAnsi="Times New Roman" w:cs="Times New Roman"/>
          </w:rPr>
          <w:fldChar w:fldCharType="separate"/>
        </w:r>
        <w:r w:rsidRPr="003C413F">
          <w:rPr>
            <w:rFonts w:ascii="Times New Roman" w:hAnsi="Times New Roman" w:cs="Times New Roman"/>
            <w:noProof/>
          </w:rPr>
          <w:t>2</w:t>
        </w:r>
        <w:r w:rsidRPr="003C413F">
          <w:rPr>
            <w:rFonts w:ascii="Times New Roman" w:hAnsi="Times New Roman" w:cs="Times New Roman"/>
            <w:noProof/>
          </w:rPr>
          <w:fldChar w:fldCharType="end"/>
        </w:r>
      </w:p>
    </w:sdtContent>
  </w:sdt>
  <w:p w14:paraId="316603EC" w14:textId="77777777" w:rsidR="00FC2202" w:rsidRDefault="003332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AFC4F" w14:textId="77777777" w:rsidR="00904A06" w:rsidRDefault="00904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59E95" w14:textId="77777777" w:rsidR="00666AB0" w:rsidRDefault="00666AB0">
      <w:pPr>
        <w:spacing w:after="0" w:line="240" w:lineRule="auto"/>
      </w:pPr>
      <w:r>
        <w:separator/>
      </w:r>
    </w:p>
  </w:footnote>
  <w:footnote w:type="continuationSeparator" w:id="0">
    <w:p w14:paraId="22D310EC" w14:textId="77777777" w:rsidR="00666AB0" w:rsidRDefault="00666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77BA1" w14:textId="77777777" w:rsidR="00904A06" w:rsidRDefault="00904A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EE511" w14:textId="77777777" w:rsidR="00904A06" w:rsidRDefault="00904A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80835" w14:textId="77777777" w:rsidR="00904A06" w:rsidRDefault="00904A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0211"/>
    <w:multiLevelType w:val="hybridMultilevel"/>
    <w:tmpl w:val="F12483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C7FF1"/>
    <w:multiLevelType w:val="multilevel"/>
    <w:tmpl w:val="428A2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2A10DD"/>
    <w:multiLevelType w:val="hybridMultilevel"/>
    <w:tmpl w:val="5386A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97AA8"/>
    <w:multiLevelType w:val="hybridMultilevel"/>
    <w:tmpl w:val="8C308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4F4723"/>
    <w:multiLevelType w:val="hybridMultilevel"/>
    <w:tmpl w:val="8FF090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470A46"/>
    <w:multiLevelType w:val="hybridMultilevel"/>
    <w:tmpl w:val="648014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465EED"/>
    <w:multiLevelType w:val="hybridMultilevel"/>
    <w:tmpl w:val="0B64669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5592908"/>
    <w:multiLevelType w:val="hybridMultilevel"/>
    <w:tmpl w:val="59B269B8"/>
    <w:lvl w:ilvl="0" w:tplc="4724C2D0">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AA3CF6"/>
    <w:multiLevelType w:val="hybridMultilevel"/>
    <w:tmpl w:val="EA461F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A64072"/>
    <w:multiLevelType w:val="hybridMultilevel"/>
    <w:tmpl w:val="33442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305C53"/>
    <w:multiLevelType w:val="hybridMultilevel"/>
    <w:tmpl w:val="452C2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CC74B3"/>
    <w:multiLevelType w:val="hybridMultilevel"/>
    <w:tmpl w:val="7C1EE9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875450"/>
    <w:multiLevelType w:val="hybridMultilevel"/>
    <w:tmpl w:val="F33873E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957C5E"/>
    <w:multiLevelType w:val="hybridMultilevel"/>
    <w:tmpl w:val="EDEABE0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401EA8"/>
    <w:multiLevelType w:val="hybridMultilevel"/>
    <w:tmpl w:val="F30802BC"/>
    <w:lvl w:ilvl="0" w:tplc="A15E0B1E">
      <w:start w:val="5"/>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D612DDA"/>
    <w:multiLevelType w:val="hybridMultilevel"/>
    <w:tmpl w:val="61742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A66F07"/>
    <w:multiLevelType w:val="hybridMultilevel"/>
    <w:tmpl w:val="6C8C990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FD2396"/>
    <w:multiLevelType w:val="hybridMultilevel"/>
    <w:tmpl w:val="E6A878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9FE7E45"/>
    <w:multiLevelType w:val="hybridMultilevel"/>
    <w:tmpl w:val="6FF22DE0"/>
    <w:lvl w:ilvl="0" w:tplc="7F22DB8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7831FE"/>
    <w:multiLevelType w:val="hybridMultilevel"/>
    <w:tmpl w:val="13A851D8"/>
    <w:lvl w:ilvl="0" w:tplc="1EAC1482">
      <w:start w:val="1"/>
      <w:numFmt w:val="bullet"/>
      <w:lvlText w:val="•"/>
      <w:lvlJc w:val="left"/>
      <w:pPr>
        <w:tabs>
          <w:tab w:val="num" w:pos="720"/>
        </w:tabs>
        <w:ind w:left="720" w:hanging="360"/>
      </w:pPr>
      <w:rPr>
        <w:rFonts w:ascii="Arial" w:hAnsi="Arial" w:hint="default"/>
      </w:rPr>
    </w:lvl>
    <w:lvl w:ilvl="1" w:tplc="4484E964" w:tentative="1">
      <w:start w:val="1"/>
      <w:numFmt w:val="bullet"/>
      <w:lvlText w:val="•"/>
      <w:lvlJc w:val="left"/>
      <w:pPr>
        <w:tabs>
          <w:tab w:val="num" w:pos="1440"/>
        </w:tabs>
        <w:ind w:left="1440" w:hanging="360"/>
      </w:pPr>
      <w:rPr>
        <w:rFonts w:ascii="Arial" w:hAnsi="Arial" w:hint="default"/>
      </w:rPr>
    </w:lvl>
    <w:lvl w:ilvl="2" w:tplc="3B8017A4" w:tentative="1">
      <w:start w:val="1"/>
      <w:numFmt w:val="bullet"/>
      <w:lvlText w:val="•"/>
      <w:lvlJc w:val="left"/>
      <w:pPr>
        <w:tabs>
          <w:tab w:val="num" w:pos="2160"/>
        </w:tabs>
        <w:ind w:left="2160" w:hanging="360"/>
      </w:pPr>
      <w:rPr>
        <w:rFonts w:ascii="Arial" w:hAnsi="Arial" w:hint="default"/>
      </w:rPr>
    </w:lvl>
    <w:lvl w:ilvl="3" w:tplc="32BCE10A" w:tentative="1">
      <w:start w:val="1"/>
      <w:numFmt w:val="bullet"/>
      <w:lvlText w:val="•"/>
      <w:lvlJc w:val="left"/>
      <w:pPr>
        <w:tabs>
          <w:tab w:val="num" w:pos="2880"/>
        </w:tabs>
        <w:ind w:left="2880" w:hanging="360"/>
      </w:pPr>
      <w:rPr>
        <w:rFonts w:ascii="Arial" w:hAnsi="Arial" w:hint="default"/>
      </w:rPr>
    </w:lvl>
    <w:lvl w:ilvl="4" w:tplc="FA60D4B4" w:tentative="1">
      <w:start w:val="1"/>
      <w:numFmt w:val="bullet"/>
      <w:lvlText w:val="•"/>
      <w:lvlJc w:val="left"/>
      <w:pPr>
        <w:tabs>
          <w:tab w:val="num" w:pos="3600"/>
        </w:tabs>
        <w:ind w:left="3600" w:hanging="360"/>
      </w:pPr>
      <w:rPr>
        <w:rFonts w:ascii="Arial" w:hAnsi="Arial" w:hint="default"/>
      </w:rPr>
    </w:lvl>
    <w:lvl w:ilvl="5" w:tplc="9D4289D0" w:tentative="1">
      <w:start w:val="1"/>
      <w:numFmt w:val="bullet"/>
      <w:lvlText w:val="•"/>
      <w:lvlJc w:val="left"/>
      <w:pPr>
        <w:tabs>
          <w:tab w:val="num" w:pos="4320"/>
        </w:tabs>
        <w:ind w:left="4320" w:hanging="360"/>
      </w:pPr>
      <w:rPr>
        <w:rFonts w:ascii="Arial" w:hAnsi="Arial" w:hint="default"/>
      </w:rPr>
    </w:lvl>
    <w:lvl w:ilvl="6" w:tplc="88A46706" w:tentative="1">
      <w:start w:val="1"/>
      <w:numFmt w:val="bullet"/>
      <w:lvlText w:val="•"/>
      <w:lvlJc w:val="left"/>
      <w:pPr>
        <w:tabs>
          <w:tab w:val="num" w:pos="5040"/>
        </w:tabs>
        <w:ind w:left="5040" w:hanging="360"/>
      </w:pPr>
      <w:rPr>
        <w:rFonts w:ascii="Arial" w:hAnsi="Arial" w:hint="default"/>
      </w:rPr>
    </w:lvl>
    <w:lvl w:ilvl="7" w:tplc="D0947992" w:tentative="1">
      <w:start w:val="1"/>
      <w:numFmt w:val="bullet"/>
      <w:lvlText w:val="•"/>
      <w:lvlJc w:val="left"/>
      <w:pPr>
        <w:tabs>
          <w:tab w:val="num" w:pos="5760"/>
        </w:tabs>
        <w:ind w:left="5760" w:hanging="360"/>
      </w:pPr>
      <w:rPr>
        <w:rFonts w:ascii="Arial" w:hAnsi="Arial" w:hint="default"/>
      </w:rPr>
    </w:lvl>
    <w:lvl w:ilvl="8" w:tplc="712C3D6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BD1072A"/>
    <w:multiLevelType w:val="multilevel"/>
    <w:tmpl w:val="EBEEB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B531BB"/>
    <w:multiLevelType w:val="hybridMultilevel"/>
    <w:tmpl w:val="3D76310A"/>
    <w:lvl w:ilvl="0" w:tplc="BC86E8DA">
      <w:start w:val="1"/>
      <w:numFmt w:val="bullet"/>
      <w:lvlText w:val="•"/>
      <w:lvlJc w:val="left"/>
      <w:pPr>
        <w:tabs>
          <w:tab w:val="num" w:pos="720"/>
        </w:tabs>
        <w:ind w:left="720" w:hanging="360"/>
      </w:pPr>
      <w:rPr>
        <w:rFonts w:ascii="Arial" w:hAnsi="Arial" w:hint="default"/>
      </w:rPr>
    </w:lvl>
    <w:lvl w:ilvl="1" w:tplc="72801284">
      <w:start w:val="1"/>
      <w:numFmt w:val="bullet"/>
      <w:lvlText w:val="•"/>
      <w:lvlJc w:val="left"/>
      <w:pPr>
        <w:tabs>
          <w:tab w:val="num" w:pos="1440"/>
        </w:tabs>
        <w:ind w:left="1440" w:hanging="360"/>
      </w:pPr>
      <w:rPr>
        <w:rFonts w:ascii="Arial" w:hAnsi="Arial" w:hint="default"/>
      </w:rPr>
    </w:lvl>
    <w:lvl w:ilvl="2" w:tplc="B8BA5C30" w:tentative="1">
      <w:start w:val="1"/>
      <w:numFmt w:val="bullet"/>
      <w:lvlText w:val="•"/>
      <w:lvlJc w:val="left"/>
      <w:pPr>
        <w:tabs>
          <w:tab w:val="num" w:pos="2160"/>
        </w:tabs>
        <w:ind w:left="2160" w:hanging="360"/>
      </w:pPr>
      <w:rPr>
        <w:rFonts w:ascii="Arial" w:hAnsi="Arial" w:hint="default"/>
      </w:rPr>
    </w:lvl>
    <w:lvl w:ilvl="3" w:tplc="10FACD8C" w:tentative="1">
      <w:start w:val="1"/>
      <w:numFmt w:val="bullet"/>
      <w:lvlText w:val="•"/>
      <w:lvlJc w:val="left"/>
      <w:pPr>
        <w:tabs>
          <w:tab w:val="num" w:pos="2880"/>
        </w:tabs>
        <w:ind w:left="2880" w:hanging="360"/>
      </w:pPr>
      <w:rPr>
        <w:rFonts w:ascii="Arial" w:hAnsi="Arial" w:hint="default"/>
      </w:rPr>
    </w:lvl>
    <w:lvl w:ilvl="4" w:tplc="F29A90A4" w:tentative="1">
      <w:start w:val="1"/>
      <w:numFmt w:val="bullet"/>
      <w:lvlText w:val="•"/>
      <w:lvlJc w:val="left"/>
      <w:pPr>
        <w:tabs>
          <w:tab w:val="num" w:pos="3600"/>
        </w:tabs>
        <w:ind w:left="3600" w:hanging="360"/>
      </w:pPr>
      <w:rPr>
        <w:rFonts w:ascii="Arial" w:hAnsi="Arial" w:hint="default"/>
      </w:rPr>
    </w:lvl>
    <w:lvl w:ilvl="5" w:tplc="8146E006" w:tentative="1">
      <w:start w:val="1"/>
      <w:numFmt w:val="bullet"/>
      <w:lvlText w:val="•"/>
      <w:lvlJc w:val="left"/>
      <w:pPr>
        <w:tabs>
          <w:tab w:val="num" w:pos="4320"/>
        </w:tabs>
        <w:ind w:left="4320" w:hanging="360"/>
      </w:pPr>
      <w:rPr>
        <w:rFonts w:ascii="Arial" w:hAnsi="Arial" w:hint="default"/>
      </w:rPr>
    </w:lvl>
    <w:lvl w:ilvl="6" w:tplc="BF886B7A" w:tentative="1">
      <w:start w:val="1"/>
      <w:numFmt w:val="bullet"/>
      <w:lvlText w:val="•"/>
      <w:lvlJc w:val="left"/>
      <w:pPr>
        <w:tabs>
          <w:tab w:val="num" w:pos="5040"/>
        </w:tabs>
        <w:ind w:left="5040" w:hanging="360"/>
      </w:pPr>
      <w:rPr>
        <w:rFonts w:ascii="Arial" w:hAnsi="Arial" w:hint="default"/>
      </w:rPr>
    </w:lvl>
    <w:lvl w:ilvl="7" w:tplc="B9CA2E80" w:tentative="1">
      <w:start w:val="1"/>
      <w:numFmt w:val="bullet"/>
      <w:lvlText w:val="•"/>
      <w:lvlJc w:val="left"/>
      <w:pPr>
        <w:tabs>
          <w:tab w:val="num" w:pos="5760"/>
        </w:tabs>
        <w:ind w:left="5760" w:hanging="360"/>
      </w:pPr>
      <w:rPr>
        <w:rFonts w:ascii="Arial" w:hAnsi="Arial" w:hint="default"/>
      </w:rPr>
    </w:lvl>
    <w:lvl w:ilvl="8" w:tplc="6448730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D77516D"/>
    <w:multiLevelType w:val="hybridMultilevel"/>
    <w:tmpl w:val="DD8A7CE8"/>
    <w:lvl w:ilvl="0" w:tplc="F90E288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3DD6777B"/>
    <w:multiLevelType w:val="hybridMultilevel"/>
    <w:tmpl w:val="16AE73A0"/>
    <w:lvl w:ilvl="0" w:tplc="1DA81E38">
      <w:start w:val="1"/>
      <w:numFmt w:val="bullet"/>
      <w:lvlText w:val="•"/>
      <w:lvlJc w:val="left"/>
      <w:pPr>
        <w:tabs>
          <w:tab w:val="num" w:pos="720"/>
        </w:tabs>
        <w:ind w:left="720" w:hanging="360"/>
      </w:pPr>
      <w:rPr>
        <w:rFonts w:ascii="Arial" w:hAnsi="Arial" w:hint="default"/>
      </w:rPr>
    </w:lvl>
    <w:lvl w:ilvl="1" w:tplc="B5621ED6">
      <w:start w:val="1"/>
      <w:numFmt w:val="bullet"/>
      <w:lvlText w:val="•"/>
      <w:lvlJc w:val="left"/>
      <w:pPr>
        <w:tabs>
          <w:tab w:val="num" w:pos="1440"/>
        </w:tabs>
        <w:ind w:left="1440" w:hanging="360"/>
      </w:pPr>
      <w:rPr>
        <w:rFonts w:ascii="Arial" w:hAnsi="Arial" w:hint="default"/>
      </w:rPr>
    </w:lvl>
    <w:lvl w:ilvl="2" w:tplc="62DC17D2" w:tentative="1">
      <w:start w:val="1"/>
      <w:numFmt w:val="bullet"/>
      <w:lvlText w:val="•"/>
      <w:lvlJc w:val="left"/>
      <w:pPr>
        <w:tabs>
          <w:tab w:val="num" w:pos="2160"/>
        </w:tabs>
        <w:ind w:left="2160" w:hanging="360"/>
      </w:pPr>
      <w:rPr>
        <w:rFonts w:ascii="Arial" w:hAnsi="Arial" w:hint="default"/>
      </w:rPr>
    </w:lvl>
    <w:lvl w:ilvl="3" w:tplc="5CE639BC" w:tentative="1">
      <w:start w:val="1"/>
      <w:numFmt w:val="bullet"/>
      <w:lvlText w:val="•"/>
      <w:lvlJc w:val="left"/>
      <w:pPr>
        <w:tabs>
          <w:tab w:val="num" w:pos="2880"/>
        </w:tabs>
        <w:ind w:left="2880" w:hanging="360"/>
      </w:pPr>
      <w:rPr>
        <w:rFonts w:ascii="Arial" w:hAnsi="Arial" w:hint="default"/>
      </w:rPr>
    </w:lvl>
    <w:lvl w:ilvl="4" w:tplc="326CCE18" w:tentative="1">
      <w:start w:val="1"/>
      <w:numFmt w:val="bullet"/>
      <w:lvlText w:val="•"/>
      <w:lvlJc w:val="left"/>
      <w:pPr>
        <w:tabs>
          <w:tab w:val="num" w:pos="3600"/>
        </w:tabs>
        <w:ind w:left="3600" w:hanging="360"/>
      </w:pPr>
      <w:rPr>
        <w:rFonts w:ascii="Arial" w:hAnsi="Arial" w:hint="default"/>
      </w:rPr>
    </w:lvl>
    <w:lvl w:ilvl="5" w:tplc="0D04C9A4" w:tentative="1">
      <w:start w:val="1"/>
      <w:numFmt w:val="bullet"/>
      <w:lvlText w:val="•"/>
      <w:lvlJc w:val="left"/>
      <w:pPr>
        <w:tabs>
          <w:tab w:val="num" w:pos="4320"/>
        </w:tabs>
        <w:ind w:left="4320" w:hanging="360"/>
      </w:pPr>
      <w:rPr>
        <w:rFonts w:ascii="Arial" w:hAnsi="Arial" w:hint="default"/>
      </w:rPr>
    </w:lvl>
    <w:lvl w:ilvl="6" w:tplc="4F1C517E" w:tentative="1">
      <w:start w:val="1"/>
      <w:numFmt w:val="bullet"/>
      <w:lvlText w:val="•"/>
      <w:lvlJc w:val="left"/>
      <w:pPr>
        <w:tabs>
          <w:tab w:val="num" w:pos="5040"/>
        </w:tabs>
        <w:ind w:left="5040" w:hanging="360"/>
      </w:pPr>
      <w:rPr>
        <w:rFonts w:ascii="Arial" w:hAnsi="Arial" w:hint="default"/>
      </w:rPr>
    </w:lvl>
    <w:lvl w:ilvl="7" w:tplc="B54A639C" w:tentative="1">
      <w:start w:val="1"/>
      <w:numFmt w:val="bullet"/>
      <w:lvlText w:val="•"/>
      <w:lvlJc w:val="left"/>
      <w:pPr>
        <w:tabs>
          <w:tab w:val="num" w:pos="5760"/>
        </w:tabs>
        <w:ind w:left="5760" w:hanging="360"/>
      </w:pPr>
      <w:rPr>
        <w:rFonts w:ascii="Arial" w:hAnsi="Arial" w:hint="default"/>
      </w:rPr>
    </w:lvl>
    <w:lvl w:ilvl="8" w:tplc="F2EE24F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72C1A54"/>
    <w:multiLevelType w:val="hybridMultilevel"/>
    <w:tmpl w:val="871226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ABE1EA4"/>
    <w:multiLevelType w:val="multilevel"/>
    <w:tmpl w:val="44224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4C1EBB"/>
    <w:multiLevelType w:val="hybridMultilevel"/>
    <w:tmpl w:val="5D60C9F8"/>
    <w:lvl w:ilvl="0" w:tplc="A2B6974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9444C13"/>
    <w:multiLevelType w:val="multilevel"/>
    <w:tmpl w:val="68E20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F419E4"/>
    <w:multiLevelType w:val="hybridMultilevel"/>
    <w:tmpl w:val="E4B819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C56348"/>
    <w:multiLevelType w:val="hybridMultilevel"/>
    <w:tmpl w:val="8CC4DE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CC7A4B"/>
    <w:multiLevelType w:val="hybridMultilevel"/>
    <w:tmpl w:val="CA489FF0"/>
    <w:lvl w:ilvl="0" w:tplc="567C35B6">
      <w:start w:val="1"/>
      <w:numFmt w:val="bullet"/>
      <w:lvlText w:val="•"/>
      <w:lvlJc w:val="left"/>
      <w:pPr>
        <w:tabs>
          <w:tab w:val="num" w:pos="720"/>
        </w:tabs>
        <w:ind w:left="720" w:hanging="360"/>
      </w:pPr>
      <w:rPr>
        <w:rFonts w:ascii="Arial" w:hAnsi="Arial" w:hint="default"/>
      </w:rPr>
    </w:lvl>
    <w:lvl w:ilvl="1" w:tplc="E2DA69AE" w:tentative="1">
      <w:start w:val="1"/>
      <w:numFmt w:val="bullet"/>
      <w:lvlText w:val="•"/>
      <w:lvlJc w:val="left"/>
      <w:pPr>
        <w:tabs>
          <w:tab w:val="num" w:pos="1440"/>
        </w:tabs>
        <w:ind w:left="1440" w:hanging="360"/>
      </w:pPr>
      <w:rPr>
        <w:rFonts w:ascii="Arial" w:hAnsi="Arial" w:hint="default"/>
      </w:rPr>
    </w:lvl>
    <w:lvl w:ilvl="2" w:tplc="D89432EC" w:tentative="1">
      <w:start w:val="1"/>
      <w:numFmt w:val="bullet"/>
      <w:lvlText w:val="•"/>
      <w:lvlJc w:val="left"/>
      <w:pPr>
        <w:tabs>
          <w:tab w:val="num" w:pos="2160"/>
        </w:tabs>
        <w:ind w:left="2160" w:hanging="360"/>
      </w:pPr>
      <w:rPr>
        <w:rFonts w:ascii="Arial" w:hAnsi="Arial" w:hint="default"/>
      </w:rPr>
    </w:lvl>
    <w:lvl w:ilvl="3" w:tplc="F0F0C2C8" w:tentative="1">
      <w:start w:val="1"/>
      <w:numFmt w:val="bullet"/>
      <w:lvlText w:val="•"/>
      <w:lvlJc w:val="left"/>
      <w:pPr>
        <w:tabs>
          <w:tab w:val="num" w:pos="2880"/>
        </w:tabs>
        <w:ind w:left="2880" w:hanging="360"/>
      </w:pPr>
      <w:rPr>
        <w:rFonts w:ascii="Arial" w:hAnsi="Arial" w:hint="default"/>
      </w:rPr>
    </w:lvl>
    <w:lvl w:ilvl="4" w:tplc="FCB42A56" w:tentative="1">
      <w:start w:val="1"/>
      <w:numFmt w:val="bullet"/>
      <w:lvlText w:val="•"/>
      <w:lvlJc w:val="left"/>
      <w:pPr>
        <w:tabs>
          <w:tab w:val="num" w:pos="3600"/>
        </w:tabs>
        <w:ind w:left="3600" w:hanging="360"/>
      </w:pPr>
      <w:rPr>
        <w:rFonts w:ascii="Arial" w:hAnsi="Arial" w:hint="default"/>
      </w:rPr>
    </w:lvl>
    <w:lvl w:ilvl="5" w:tplc="72549A54" w:tentative="1">
      <w:start w:val="1"/>
      <w:numFmt w:val="bullet"/>
      <w:lvlText w:val="•"/>
      <w:lvlJc w:val="left"/>
      <w:pPr>
        <w:tabs>
          <w:tab w:val="num" w:pos="4320"/>
        </w:tabs>
        <w:ind w:left="4320" w:hanging="360"/>
      </w:pPr>
      <w:rPr>
        <w:rFonts w:ascii="Arial" w:hAnsi="Arial" w:hint="default"/>
      </w:rPr>
    </w:lvl>
    <w:lvl w:ilvl="6" w:tplc="0AB0436C" w:tentative="1">
      <w:start w:val="1"/>
      <w:numFmt w:val="bullet"/>
      <w:lvlText w:val="•"/>
      <w:lvlJc w:val="left"/>
      <w:pPr>
        <w:tabs>
          <w:tab w:val="num" w:pos="5040"/>
        </w:tabs>
        <w:ind w:left="5040" w:hanging="360"/>
      </w:pPr>
      <w:rPr>
        <w:rFonts w:ascii="Arial" w:hAnsi="Arial" w:hint="default"/>
      </w:rPr>
    </w:lvl>
    <w:lvl w:ilvl="7" w:tplc="E99E0A74" w:tentative="1">
      <w:start w:val="1"/>
      <w:numFmt w:val="bullet"/>
      <w:lvlText w:val="•"/>
      <w:lvlJc w:val="left"/>
      <w:pPr>
        <w:tabs>
          <w:tab w:val="num" w:pos="5760"/>
        </w:tabs>
        <w:ind w:left="5760" w:hanging="360"/>
      </w:pPr>
      <w:rPr>
        <w:rFonts w:ascii="Arial" w:hAnsi="Arial" w:hint="default"/>
      </w:rPr>
    </w:lvl>
    <w:lvl w:ilvl="8" w:tplc="7932D88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9C318FB"/>
    <w:multiLevelType w:val="hybridMultilevel"/>
    <w:tmpl w:val="011831C2"/>
    <w:lvl w:ilvl="0" w:tplc="4370950E">
      <w:start w:val="1"/>
      <w:numFmt w:val="bullet"/>
      <w:lvlText w:val="•"/>
      <w:lvlJc w:val="left"/>
      <w:pPr>
        <w:tabs>
          <w:tab w:val="num" w:pos="720"/>
        </w:tabs>
        <w:ind w:left="720" w:hanging="360"/>
      </w:pPr>
      <w:rPr>
        <w:rFonts w:ascii="Arial" w:hAnsi="Arial" w:hint="default"/>
      </w:rPr>
    </w:lvl>
    <w:lvl w:ilvl="1" w:tplc="D1623C7A" w:tentative="1">
      <w:start w:val="1"/>
      <w:numFmt w:val="bullet"/>
      <w:lvlText w:val="•"/>
      <w:lvlJc w:val="left"/>
      <w:pPr>
        <w:tabs>
          <w:tab w:val="num" w:pos="1440"/>
        </w:tabs>
        <w:ind w:left="1440" w:hanging="360"/>
      </w:pPr>
      <w:rPr>
        <w:rFonts w:ascii="Arial" w:hAnsi="Arial" w:hint="default"/>
      </w:rPr>
    </w:lvl>
    <w:lvl w:ilvl="2" w:tplc="759C78DE" w:tentative="1">
      <w:start w:val="1"/>
      <w:numFmt w:val="bullet"/>
      <w:lvlText w:val="•"/>
      <w:lvlJc w:val="left"/>
      <w:pPr>
        <w:tabs>
          <w:tab w:val="num" w:pos="2160"/>
        </w:tabs>
        <w:ind w:left="2160" w:hanging="360"/>
      </w:pPr>
      <w:rPr>
        <w:rFonts w:ascii="Arial" w:hAnsi="Arial" w:hint="default"/>
      </w:rPr>
    </w:lvl>
    <w:lvl w:ilvl="3" w:tplc="692C22F4" w:tentative="1">
      <w:start w:val="1"/>
      <w:numFmt w:val="bullet"/>
      <w:lvlText w:val="•"/>
      <w:lvlJc w:val="left"/>
      <w:pPr>
        <w:tabs>
          <w:tab w:val="num" w:pos="2880"/>
        </w:tabs>
        <w:ind w:left="2880" w:hanging="360"/>
      </w:pPr>
      <w:rPr>
        <w:rFonts w:ascii="Arial" w:hAnsi="Arial" w:hint="default"/>
      </w:rPr>
    </w:lvl>
    <w:lvl w:ilvl="4" w:tplc="39BE7778" w:tentative="1">
      <w:start w:val="1"/>
      <w:numFmt w:val="bullet"/>
      <w:lvlText w:val="•"/>
      <w:lvlJc w:val="left"/>
      <w:pPr>
        <w:tabs>
          <w:tab w:val="num" w:pos="3600"/>
        </w:tabs>
        <w:ind w:left="3600" w:hanging="360"/>
      </w:pPr>
      <w:rPr>
        <w:rFonts w:ascii="Arial" w:hAnsi="Arial" w:hint="default"/>
      </w:rPr>
    </w:lvl>
    <w:lvl w:ilvl="5" w:tplc="927C3AAA" w:tentative="1">
      <w:start w:val="1"/>
      <w:numFmt w:val="bullet"/>
      <w:lvlText w:val="•"/>
      <w:lvlJc w:val="left"/>
      <w:pPr>
        <w:tabs>
          <w:tab w:val="num" w:pos="4320"/>
        </w:tabs>
        <w:ind w:left="4320" w:hanging="360"/>
      </w:pPr>
      <w:rPr>
        <w:rFonts w:ascii="Arial" w:hAnsi="Arial" w:hint="default"/>
      </w:rPr>
    </w:lvl>
    <w:lvl w:ilvl="6" w:tplc="09F66E28" w:tentative="1">
      <w:start w:val="1"/>
      <w:numFmt w:val="bullet"/>
      <w:lvlText w:val="•"/>
      <w:lvlJc w:val="left"/>
      <w:pPr>
        <w:tabs>
          <w:tab w:val="num" w:pos="5040"/>
        </w:tabs>
        <w:ind w:left="5040" w:hanging="360"/>
      </w:pPr>
      <w:rPr>
        <w:rFonts w:ascii="Arial" w:hAnsi="Arial" w:hint="default"/>
      </w:rPr>
    </w:lvl>
    <w:lvl w:ilvl="7" w:tplc="70C25C1A" w:tentative="1">
      <w:start w:val="1"/>
      <w:numFmt w:val="bullet"/>
      <w:lvlText w:val="•"/>
      <w:lvlJc w:val="left"/>
      <w:pPr>
        <w:tabs>
          <w:tab w:val="num" w:pos="5760"/>
        </w:tabs>
        <w:ind w:left="5760" w:hanging="360"/>
      </w:pPr>
      <w:rPr>
        <w:rFonts w:ascii="Arial" w:hAnsi="Arial" w:hint="default"/>
      </w:rPr>
    </w:lvl>
    <w:lvl w:ilvl="8" w:tplc="B4CEED2E"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A7A1137"/>
    <w:multiLevelType w:val="hybridMultilevel"/>
    <w:tmpl w:val="2EFCF3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E25485"/>
    <w:multiLevelType w:val="hybridMultilevel"/>
    <w:tmpl w:val="7396AD9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BD19DB"/>
    <w:multiLevelType w:val="hybridMultilevel"/>
    <w:tmpl w:val="2F30C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4A4581"/>
    <w:multiLevelType w:val="hybridMultilevel"/>
    <w:tmpl w:val="76E4A0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0E51D0"/>
    <w:multiLevelType w:val="hybridMultilevel"/>
    <w:tmpl w:val="CBEEF8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4D066C"/>
    <w:multiLevelType w:val="hybridMultilevel"/>
    <w:tmpl w:val="24729BE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9CE1FB9"/>
    <w:multiLevelType w:val="multilevel"/>
    <w:tmpl w:val="7222D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7C284F"/>
    <w:multiLevelType w:val="hybridMultilevel"/>
    <w:tmpl w:val="0E2CF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8A3D89"/>
    <w:multiLevelType w:val="multilevel"/>
    <w:tmpl w:val="E21E442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7FB92B0D"/>
    <w:multiLevelType w:val="hybridMultilevel"/>
    <w:tmpl w:val="18A0F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41"/>
  </w:num>
  <w:num w:numId="3">
    <w:abstractNumId w:val="29"/>
  </w:num>
  <w:num w:numId="4">
    <w:abstractNumId w:val="4"/>
  </w:num>
  <w:num w:numId="5">
    <w:abstractNumId w:val="37"/>
  </w:num>
  <w:num w:numId="6">
    <w:abstractNumId w:val="32"/>
  </w:num>
  <w:num w:numId="7">
    <w:abstractNumId w:val="3"/>
  </w:num>
  <w:num w:numId="8">
    <w:abstractNumId w:val="10"/>
  </w:num>
  <w:num w:numId="9">
    <w:abstractNumId w:val="0"/>
  </w:num>
  <w:num w:numId="10">
    <w:abstractNumId w:val="36"/>
  </w:num>
  <w:num w:numId="11">
    <w:abstractNumId w:val="11"/>
  </w:num>
  <w:num w:numId="12">
    <w:abstractNumId w:val="8"/>
  </w:num>
  <w:num w:numId="13">
    <w:abstractNumId w:val="35"/>
  </w:num>
  <w:num w:numId="14">
    <w:abstractNumId w:val="34"/>
  </w:num>
  <w:num w:numId="15">
    <w:abstractNumId w:val="33"/>
  </w:num>
  <w:num w:numId="16">
    <w:abstractNumId w:val="15"/>
  </w:num>
  <w:num w:numId="17">
    <w:abstractNumId w:val="31"/>
  </w:num>
  <w:num w:numId="18">
    <w:abstractNumId w:val="13"/>
  </w:num>
  <w:num w:numId="19">
    <w:abstractNumId w:val="2"/>
  </w:num>
  <w:num w:numId="20">
    <w:abstractNumId w:val="9"/>
  </w:num>
  <w:num w:numId="21">
    <w:abstractNumId w:val="21"/>
  </w:num>
  <w:num w:numId="22">
    <w:abstractNumId w:val="30"/>
  </w:num>
  <w:num w:numId="23">
    <w:abstractNumId w:val="23"/>
  </w:num>
  <w:num w:numId="24">
    <w:abstractNumId w:val="19"/>
  </w:num>
  <w:num w:numId="25">
    <w:abstractNumId w:val="16"/>
  </w:num>
  <w:num w:numId="26">
    <w:abstractNumId w:val="39"/>
  </w:num>
  <w:num w:numId="27">
    <w:abstractNumId w:val="6"/>
  </w:num>
  <w:num w:numId="28">
    <w:abstractNumId w:val="17"/>
  </w:num>
  <w:num w:numId="29">
    <w:abstractNumId w:val="7"/>
  </w:num>
  <w:num w:numId="30">
    <w:abstractNumId w:val="14"/>
  </w:num>
  <w:num w:numId="31">
    <w:abstractNumId w:val="24"/>
  </w:num>
  <w:num w:numId="32">
    <w:abstractNumId w:val="27"/>
  </w:num>
  <w:num w:numId="33">
    <w:abstractNumId w:val="12"/>
  </w:num>
  <w:num w:numId="34">
    <w:abstractNumId w:val="20"/>
  </w:num>
  <w:num w:numId="35">
    <w:abstractNumId w:val="25"/>
  </w:num>
  <w:num w:numId="36">
    <w:abstractNumId w:val="22"/>
  </w:num>
  <w:num w:numId="37">
    <w:abstractNumId w:val="1"/>
  </w:num>
  <w:num w:numId="38">
    <w:abstractNumId w:val="38"/>
  </w:num>
  <w:num w:numId="39">
    <w:abstractNumId w:val="18"/>
  </w:num>
  <w:num w:numId="40">
    <w:abstractNumId w:val="26"/>
  </w:num>
  <w:num w:numId="41">
    <w:abstractNumId w:val="5"/>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DD7F18"/>
    <w:rsid w:val="000000EC"/>
    <w:rsid w:val="00012EC6"/>
    <w:rsid w:val="00023629"/>
    <w:rsid w:val="000512DF"/>
    <w:rsid w:val="00052384"/>
    <w:rsid w:val="00054C37"/>
    <w:rsid w:val="0005672E"/>
    <w:rsid w:val="00064AF4"/>
    <w:rsid w:val="000F0658"/>
    <w:rsid w:val="001223A4"/>
    <w:rsid w:val="001352EC"/>
    <w:rsid w:val="001418BB"/>
    <w:rsid w:val="00162C4E"/>
    <w:rsid w:val="00195806"/>
    <w:rsid w:val="001F2D5C"/>
    <w:rsid w:val="002036ED"/>
    <w:rsid w:val="00213BB8"/>
    <w:rsid w:val="00262826"/>
    <w:rsid w:val="00272CBA"/>
    <w:rsid w:val="00276FA8"/>
    <w:rsid w:val="00291A94"/>
    <w:rsid w:val="002F01A6"/>
    <w:rsid w:val="0033328D"/>
    <w:rsid w:val="00392DF5"/>
    <w:rsid w:val="0039496C"/>
    <w:rsid w:val="003D4C11"/>
    <w:rsid w:val="004633EC"/>
    <w:rsid w:val="00473BD2"/>
    <w:rsid w:val="004A3289"/>
    <w:rsid w:val="004A49B1"/>
    <w:rsid w:val="004C336C"/>
    <w:rsid w:val="004D7C2F"/>
    <w:rsid w:val="004F6D7D"/>
    <w:rsid w:val="00532DE5"/>
    <w:rsid w:val="005564AC"/>
    <w:rsid w:val="00566A30"/>
    <w:rsid w:val="005B1A70"/>
    <w:rsid w:val="005C4CDF"/>
    <w:rsid w:val="005E6DB4"/>
    <w:rsid w:val="00613A31"/>
    <w:rsid w:val="006610E8"/>
    <w:rsid w:val="00666AB0"/>
    <w:rsid w:val="00674C73"/>
    <w:rsid w:val="006E0218"/>
    <w:rsid w:val="006F3471"/>
    <w:rsid w:val="007002E7"/>
    <w:rsid w:val="00727780"/>
    <w:rsid w:val="00761A8E"/>
    <w:rsid w:val="007A7F3C"/>
    <w:rsid w:val="0081016E"/>
    <w:rsid w:val="00821E77"/>
    <w:rsid w:val="00841274"/>
    <w:rsid w:val="00844CE3"/>
    <w:rsid w:val="00852124"/>
    <w:rsid w:val="008A1CC5"/>
    <w:rsid w:val="008B6038"/>
    <w:rsid w:val="008E64B5"/>
    <w:rsid w:val="00904A06"/>
    <w:rsid w:val="00912691"/>
    <w:rsid w:val="00933E7E"/>
    <w:rsid w:val="00937C8B"/>
    <w:rsid w:val="00964870"/>
    <w:rsid w:val="009B0E80"/>
    <w:rsid w:val="009D237F"/>
    <w:rsid w:val="009E36C1"/>
    <w:rsid w:val="009F2BBB"/>
    <w:rsid w:val="00A052EC"/>
    <w:rsid w:val="00A250AE"/>
    <w:rsid w:val="00A37AA4"/>
    <w:rsid w:val="00A5429B"/>
    <w:rsid w:val="00A64667"/>
    <w:rsid w:val="00A84DB7"/>
    <w:rsid w:val="00A96866"/>
    <w:rsid w:val="00AC47A5"/>
    <w:rsid w:val="00B72A57"/>
    <w:rsid w:val="00BB4ACC"/>
    <w:rsid w:val="00BD5405"/>
    <w:rsid w:val="00BF5202"/>
    <w:rsid w:val="00C002DA"/>
    <w:rsid w:val="00C02231"/>
    <w:rsid w:val="00C0296F"/>
    <w:rsid w:val="00C20E3A"/>
    <w:rsid w:val="00C2514B"/>
    <w:rsid w:val="00C56494"/>
    <w:rsid w:val="00C735DA"/>
    <w:rsid w:val="00C73E0F"/>
    <w:rsid w:val="00C85EEB"/>
    <w:rsid w:val="00CA296B"/>
    <w:rsid w:val="00CC0C76"/>
    <w:rsid w:val="00D31562"/>
    <w:rsid w:val="00D42BEC"/>
    <w:rsid w:val="00D513B0"/>
    <w:rsid w:val="00D966FD"/>
    <w:rsid w:val="00DD7F18"/>
    <w:rsid w:val="00DF0F5E"/>
    <w:rsid w:val="00DF1B13"/>
    <w:rsid w:val="00DF2515"/>
    <w:rsid w:val="00E163CE"/>
    <w:rsid w:val="00E4337F"/>
    <w:rsid w:val="00E600C4"/>
    <w:rsid w:val="00E70686"/>
    <w:rsid w:val="00E8076B"/>
    <w:rsid w:val="00E86282"/>
    <w:rsid w:val="00E97B45"/>
    <w:rsid w:val="00ED22C5"/>
    <w:rsid w:val="00F22426"/>
    <w:rsid w:val="00F32D5A"/>
    <w:rsid w:val="00F353F8"/>
    <w:rsid w:val="00F43BE6"/>
    <w:rsid w:val="00F575C8"/>
    <w:rsid w:val="00F60366"/>
    <w:rsid w:val="00F67FAE"/>
    <w:rsid w:val="00F90DFD"/>
    <w:rsid w:val="00FE053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08703"/>
  <w15:chartTrackingRefBased/>
  <w15:docId w15:val="{9D933D80-932C-4AD7-A841-CBC0B5A5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F18"/>
  </w:style>
  <w:style w:type="paragraph" w:styleId="Heading1">
    <w:name w:val="heading 1"/>
    <w:basedOn w:val="Normal"/>
    <w:link w:val="Heading1Char"/>
    <w:uiPriority w:val="9"/>
    <w:qFormat/>
    <w:rsid w:val="00DD7F1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F18"/>
    <w:rPr>
      <w:rFonts w:ascii="Times New Roman" w:eastAsia="Times New Roman" w:hAnsi="Times New Roman" w:cs="Times New Roman"/>
      <w:b/>
      <w:bCs/>
      <w:kern w:val="36"/>
      <w:sz w:val="48"/>
      <w:szCs w:val="48"/>
      <w:lang w:eastAsia="ja-JP"/>
    </w:rPr>
  </w:style>
  <w:style w:type="character" w:styleId="Hyperlink">
    <w:name w:val="Hyperlink"/>
    <w:basedOn w:val="DefaultParagraphFont"/>
    <w:uiPriority w:val="99"/>
    <w:unhideWhenUsed/>
    <w:rsid w:val="00DD7F18"/>
    <w:rPr>
      <w:color w:val="0563C1" w:themeColor="hyperlink"/>
      <w:u w:val="single"/>
    </w:rPr>
  </w:style>
  <w:style w:type="paragraph" w:styleId="ListParagraph">
    <w:name w:val="List Paragraph"/>
    <w:basedOn w:val="Normal"/>
    <w:uiPriority w:val="34"/>
    <w:qFormat/>
    <w:rsid w:val="00DD7F18"/>
    <w:pPr>
      <w:ind w:left="720"/>
      <w:contextualSpacing/>
    </w:pPr>
  </w:style>
  <w:style w:type="character" w:styleId="CommentReference">
    <w:name w:val="annotation reference"/>
    <w:basedOn w:val="DefaultParagraphFont"/>
    <w:uiPriority w:val="99"/>
    <w:unhideWhenUsed/>
    <w:rsid w:val="00DD7F18"/>
    <w:rPr>
      <w:sz w:val="16"/>
      <w:szCs w:val="16"/>
    </w:rPr>
  </w:style>
  <w:style w:type="paragraph" w:styleId="CommentText">
    <w:name w:val="annotation text"/>
    <w:basedOn w:val="Normal"/>
    <w:link w:val="CommentTextChar"/>
    <w:uiPriority w:val="99"/>
    <w:unhideWhenUsed/>
    <w:rsid w:val="00DD7F18"/>
    <w:pPr>
      <w:spacing w:line="240" w:lineRule="auto"/>
    </w:pPr>
    <w:rPr>
      <w:sz w:val="20"/>
      <w:szCs w:val="20"/>
    </w:rPr>
  </w:style>
  <w:style w:type="character" w:customStyle="1" w:styleId="CommentTextChar">
    <w:name w:val="Comment Text Char"/>
    <w:basedOn w:val="DefaultParagraphFont"/>
    <w:link w:val="CommentText"/>
    <w:uiPriority w:val="99"/>
    <w:rsid w:val="00DD7F18"/>
    <w:rPr>
      <w:sz w:val="20"/>
      <w:szCs w:val="20"/>
    </w:rPr>
  </w:style>
  <w:style w:type="paragraph" w:styleId="CommentSubject">
    <w:name w:val="annotation subject"/>
    <w:basedOn w:val="CommentText"/>
    <w:next w:val="CommentText"/>
    <w:link w:val="CommentSubjectChar"/>
    <w:uiPriority w:val="99"/>
    <w:semiHidden/>
    <w:unhideWhenUsed/>
    <w:rsid w:val="00DD7F18"/>
    <w:rPr>
      <w:b/>
      <w:bCs/>
    </w:rPr>
  </w:style>
  <w:style w:type="character" w:customStyle="1" w:styleId="CommentSubjectChar">
    <w:name w:val="Comment Subject Char"/>
    <w:basedOn w:val="CommentTextChar"/>
    <w:link w:val="CommentSubject"/>
    <w:uiPriority w:val="99"/>
    <w:semiHidden/>
    <w:rsid w:val="00DD7F18"/>
    <w:rPr>
      <w:b/>
      <w:bCs/>
      <w:sz w:val="20"/>
      <w:szCs w:val="20"/>
    </w:rPr>
  </w:style>
  <w:style w:type="character" w:styleId="UnresolvedMention">
    <w:name w:val="Unresolved Mention"/>
    <w:basedOn w:val="DefaultParagraphFont"/>
    <w:uiPriority w:val="99"/>
    <w:unhideWhenUsed/>
    <w:rsid w:val="00DD7F18"/>
    <w:rPr>
      <w:color w:val="605E5C"/>
      <w:shd w:val="clear" w:color="auto" w:fill="E1DFDD"/>
    </w:rPr>
  </w:style>
  <w:style w:type="table" w:styleId="TableGrid">
    <w:name w:val="Table Grid"/>
    <w:basedOn w:val="TableNormal"/>
    <w:uiPriority w:val="39"/>
    <w:rsid w:val="00DD7F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D7F1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DD7F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7F18"/>
  </w:style>
  <w:style w:type="paragraph" w:styleId="Footer">
    <w:name w:val="footer"/>
    <w:basedOn w:val="Normal"/>
    <w:link w:val="FooterChar"/>
    <w:uiPriority w:val="99"/>
    <w:unhideWhenUsed/>
    <w:rsid w:val="00DD7F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7F18"/>
  </w:style>
  <w:style w:type="paragraph" w:styleId="Bibliography">
    <w:name w:val="Bibliography"/>
    <w:basedOn w:val="Normal"/>
    <w:next w:val="Normal"/>
    <w:uiPriority w:val="37"/>
    <w:semiHidden/>
    <w:unhideWhenUsed/>
    <w:rsid w:val="00DD7F18"/>
  </w:style>
  <w:style w:type="character" w:customStyle="1" w:styleId="titledefault">
    <w:name w:val="title_default"/>
    <w:basedOn w:val="DefaultParagraphFont"/>
    <w:rsid w:val="00DD7F18"/>
  </w:style>
  <w:style w:type="paragraph" w:customStyle="1" w:styleId="Default">
    <w:name w:val="Default"/>
    <w:rsid w:val="00DD7F18"/>
    <w:pPr>
      <w:autoSpaceDE w:val="0"/>
      <w:autoSpaceDN w:val="0"/>
      <w:adjustRightInd w:val="0"/>
      <w:spacing w:after="0" w:line="240" w:lineRule="auto"/>
    </w:pPr>
    <w:rPr>
      <w:rFonts w:ascii="Copyright TYPE BY" w:hAnsi="Copyright TYPE BY" w:cs="Copyright TYPE BY"/>
      <w:color w:val="000000"/>
      <w:sz w:val="24"/>
      <w:szCs w:val="24"/>
    </w:rPr>
  </w:style>
  <w:style w:type="paragraph" w:customStyle="1" w:styleId="f-body">
    <w:name w:val="f-body"/>
    <w:basedOn w:val="Normal"/>
    <w:rsid w:val="00DD7F18"/>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styleId="FollowedHyperlink">
    <w:name w:val="FollowedHyperlink"/>
    <w:basedOn w:val="DefaultParagraphFont"/>
    <w:uiPriority w:val="99"/>
    <w:semiHidden/>
    <w:unhideWhenUsed/>
    <w:rsid w:val="00DD7F18"/>
    <w:rPr>
      <w:color w:val="954F72" w:themeColor="followedHyperlink"/>
      <w:u w:val="single"/>
    </w:rPr>
  </w:style>
  <w:style w:type="character" w:customStyle="1" w:styleId="citationsource-journal">
    <w:name w:val="citation_source-journal"/>
    <w:basedOn w:val="DefaultParagraphFont"/>
    <w:rsid w:val="00DD7F18"/>
  </w:style>
  <w:style w:type="character" w:customStyle="1" w:styleId="nlmyear">
    <w:name w:val="nlm_year"/>
    <w:basedOn w:val="DefaultParagraphFont"/>
    <w:rsid w:val="00DD7F18"/>
  </w:style>
  <w:style w:type="character" w:customStyle="1" w:styleId="nlmfpage">
    <w:name w:val="nlm_fpage"/>
    <w:basedOn w:val="DefaultParagraphFont"/>
    <w:rsid w:val="00DD7F18"/>
  </w:style>
  <w:style w:type="character" w:customStyle="1" w:styleId="nlmlpage">
    <w:name w:val="nlm_lpage"/>
    <w:basedOn w:val="DefaultParagraphFont"/>
    <w:rsid w:val="00DD7F18"/>
  </w:style>
  <w:style w:type="paragraph" w:customStyle="1" w:styleId="EndNoteBibliographyTitle">
    <w:name w:val="EndNote Bibliography Title"/>
    <w:basedOn w:val="Normal"/>
    <w:link w:val="EndNoteBibliographyTitleChar"/>
    <w:rsid w:val="00DD7F18"/>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DD7F18"/>
    <w:rPr>
      <w:rFonts w:ascii="Calibri" w:hAnsi="Calibri" w:cs="Calibri"/>
      <w:noProof/>
      <w:lang w:val="en-US"/>
    </w:rPr>
  </w:style>
  <w:style w:type="paragraph" w:customStyle="1" w:styleId="EndNoteBibliography">
    <w:name w:val="EndNote Bibliography"/>
    <w:basedOn w:val="Normal"/>
    <w:link w:val="EndNoteBibliographyChar"/>
    <w:rsid w:val="00DD7F18"/>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DD7F18"/>
    <w:rPr>
      <w:rFonts w:ascii="Calibri" w:hAnsi="Calibri" w:cs="Calibri"/>
      <w:noProof/>
      <w:lang w:val="en-US"/>
    </w:rPr>
  </w:style>
  <w:style w:type="paragraph" w:styleId="Revision">
    <w:name w:val="Revision"/>
    <w:hidden/>
    <w:uiPriority w:val="99"/>
    <w:semiHidden/>
    <w:rsid w:val="00DD7F18"/>
    <w:pPr>
      <w:spacing w:after="0" w:line="240" w:lineRule="auto"/>
    </w:pPr>
  </w:style>
  <w:style w:type="character" w:styleId="LineNumber">
    <w:name w:val="line number"/>
    <w:basedOn w:val="DefaultParagraphFont"/>
    <w:uiPriority w:val="99"/>
    <w:semiHidden/>
    <w:unhideWhenUsed/>
    <w:rsid w:val="00A542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nicaltrials.gov/ProvidedDocs/45/NCT03417245/Prot_000.pdf" TargetMode="Externa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aloks@cmcvellore.ac.in" TargetMode="Externa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vivli.org/"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www.clinicaltrials.gov"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8144</Words>
  <Characters>46427</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Ashfield Health</dc:creator>
  <cp:keywords/>
  <dc:description/>
  <cp:lastModifiedBy>Jack Wigham</cp:lastModifiedBy>
  <cp:revision>2</cp:revision>
  <dcterms:created xsi:type="dcterms:W3CDTF">2023-02-02T12:39:00Z</dcterms:created>
  <dcterms:modified xsi:type="dcterms:W3CDTF">2023-02-02T12:39:00Z</dcterms:modified>
</cp:coreProperties>
</file>