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D4D36D" w14:textId="77777777" w:rsidR="00D5553F" w:rsidRDefault="00D5553F" w:rsidP="00D5553F">
      <w:pPr>
        <w:rPr>
          <w:rFonts w:ascii="Segoe UI" w:eastAsia="DengXian Light" w:hAnsi="Segoe UI" w:cs="Segoe UI"/>
          <w:color w:val="000000" w:themeColor="text1"/>
          <w:spacing w:val="10"/>
          <w:sz w:val="32"/>
          <w:szCs w:val="32"/>
        </w:rPr>
      </w:pPr>
      <w:bookmarkStart w:id="0" w:name="_Toc74564791"/>
      <w:r>
        <w:rPr>
          <w:rFonts w:ascii="Segoe UI" w:eastAsia="DengXian Light" w:hAnsi="Segoe UI" w:cs="Segoe UI"/>
          <w:b/>
          <w:bCs/>
          <w:color w:val="000000" w:themeColor="text1"/>
          <w:spacing w:val="10"/>
          <w:sz w:val="32"/>
          <w:szCs w:val="32"/>
        </w:rPr>
        <w:t>A genotype-to-phenotype approach suggests under-reporting of single nucleotide variants in Nephrocystin-1 (</w:t>
      </w:r>
      <w:r>
        <w:rPr>
          <w:rFonts w:ascii="Segoe UI" w:eastAsia="DengXian Light" w:hAnsi="Segoe UI" w:cs="Segoe UI"/>
          <w:b/>
          <w:bCs/>
          <w:i/>
          <w:iCs/>
          <w:color w:val="000000" w:themeColor="text1"/>
          <w:spacing w:val="10"/>
          <w:sz w:val="32"/>
          <w:szCs w:val="32"/>
        </w:rPr>
        <w:t>NPHP1</w:t>
      </w:r>
      <w:r>
        <w:rPr>
          <w:rFonts w:ascii="Segoe UI" w:eastAsia="DengXian Light" w:hAnsi="Segoe UI" w:cs="Segoe UI"/>
          <w:b/>
          <w:bCs/>
          <w:color w:val="000000" w:themeColor="text1"/>
          <w:spacing w:val="10"/>
          <w:sz w:val="32"/>
          <w:szCs w:val="32"/>
        </w:rPr>
        <w:t>) related disease</w:t>
      </w:r>
      <w:r>
        <w:rPr>
          <w:rFonts w:ascii="Segoe UI" w:eastAsia="DengXian Light" w:hAnsi="Segoe UI" w:cs="Segoe UI"/>
          <w:color w:val="000000" w:themeColor="text1"/>
          <w:spacing w:val="10"/>
          <w:sz w:val="32"/>
          <w:szCs w:val="32"/>
        </w:rPr>
        <w:t xml:space="preserve"> (</w:t>
      </w:r>
      <w:r>
        <w:rPr>
          <w:rFonts w:ascii="Segoe UI" w:eastAsia="DengXian Light" w:hAnsi="Segoe UI" w:cs="Segoe UI"/>
          <w:b/>
          <w:bCs/>
          <w:color w:val="000000" w:themeColor="text1"/>
          <w:spacing w:val="10"/>
          <w:sz w:val="32"/>
          <w:szCs w:val="32"/>
        </w:rPr>
        <w:t>UK 100,000 Genomes Project).</w:t>
      </w:r>
    </w:p>
    <w:p w14:paraId="5FF3B922" w14:textId="60F2173A" w:rsidR="00F859A1" w:rsidRPr="00F0254C" w:rsidRDefault="00F859A1" w:rsidP="00F859A1">
      <w:pPr>
        <w:rPr>
          <w:rFonts w:ascii="Segoe UI" w:hAnsi="Segoe UI" w:cs="Segoe UI"/>
        </w:rPr>
      </w:pPr>
    </w:p>
    <w:p w14:paraId="7A17F1E5" w14:textId="0625B77D" w:rsidR="00583DAC" w:rsidRDefault="001031FC" w:rsidP="001031FC">
      <w:pPr>
        <w:pStyle w:val="Subtitle"/>
        <w:spacing w:line="480" w:lineRule="auto"/>
        <w:rPr>
          <w:rFonts w:ascii="Segoe UI" w:hAnsi="Segoe UI" w:cs="Segoe UI"/>
        </w:rPr>
      </w:pPr>
      <w:r>
        <w:rPr>
          <w:rFonts w:ascii="Segoe UI" w:hAnsi="Segoe UI" w:cs="Segoe UI"/>
        </w:rPr>
        <w:t>Gary Leggatt*</w:t>
      </w:r>
      <w:r w:rsidR="00626074" w:rsidRPr="00626074">
        <w:rPr>
          <w:rFonts w:ascii="Segoe UI" w:hAnsi="Segoe UI" w:cs="Segoe UI"/>
          <w:vertAlign w:val="superscript"/>
        </w:rPr>
        <w:t>1,3</w:t>
      </w:r>
      <w:r w:rsidR="00583DAC" w:rsidRPr="00F0254C">
        <w:rPr>
          <w:rFonts w:ascii="Segoe UI" w:hAnsi="Segoe UI" w:cs="Segoe UI"/>
        </w:rPr>
        <w:t xml:space="preserve">, </w:t>
      </w:r>
      <w:r>
        <w:rPr>
          <w:rFonts w:ascii="Segoe UI" w:hAnsi="Segoe UI" w:cs="Segoe UI"/>
        </w:rPr>
        <w:t>Guo Cheng</w:t>
      </w:r>
      <w:r w:rsidR="00626074" w:rsidRPr="00626074">
        <w:rPr>
          <w:rFonts w:ascii="Segoe UI" w:hAnsi="Segoe UI" w:cs="Segoe UI"/>
          <w:vertAlign w:val="superscript"/>
        </w:rPr>
        <w:t>1</w:t>
      </w:r>
      <w:r>
        <w:rPr>
          <w:rFonts w:ascii="Segoe UI" w:hAnsi="Segoe UI" w:cs="Segoe UI"/>
        </w:rPr>
        <w:t>, Sumit Narain</w:t>
      </w:r>
      <w:r w:rsidR="00626074" w:rsidRPr="00626074">
        <w:rPr>
          <w:rFonts w:ascii="Segoe UI" w:hAnsi="Segoe UI" w:cs="Segoe UI"/>
          <w:vertAlign w:val="superscript"/>
        </w:rPr>
        <w:t>1</w:t>
      </w:r>
      <w:r w:rsidR="005A1891" w:rsidRPr="00F0254C">
        <w:rPr>
          <w:rFonts w:ascii="Segoe UI" w:hAnsi="Segoe UI" w:cs="Segoe UI"/>
        </w:rPr>
        <w:t xml:space="preserve">, </w:t>
      </w:r>
      <w:r>
        <w:rPr>
          <w:rFonts w:ascii="Segoe UI" w:hAnsi="Segoe UI" w:cs="Segoe UI"/>
        </w:rPr>
        <w:t>Luis Briseño-Roa</w:t>
      </w:r>
      <w:r w:rsidR="00626074" w:rsidRPr="00626074">
        <w:rPr>
          <w:rFonts w:ascii="Segoe UI" w:hAnsi="Segoe UI" w:cs="Segoe UI"/>
          <w:vertAlign w:val="superscript"/>
        </w:rPr>
        <w:t>2</w:t>
      </w:r>
      <w:r w:rsidR="00583DAC" w:rsidRPr="00F0254C">
        <w:rPr>
          <w:rFonts w:ascii="Segoe UI" w:hAnsi="Segoe UI" w:cs="Segoe UI"/>
        </w:rPr>
        <w:t xml:space="preserve">, </w:t>
      </w:r>
      <w:r>
        <w:rPr>
          <w:rFonts w:ascii="Segoe UI" w:hAnsi="Segoe UI" w:cs="Segoe UI"/>
        </w:rPr>
        <w:t xml:space="preserve">Jean-Philippe </w:t>
      </w:r>
      <w:r w:rsidR="008E3852" w:rsidRPr="00F0254C">
        <w:rPr>
          <w:rFonts w:ascii="Segoe UI" w:hAnsi="Segoe UI" w:cs="Segoe UI"/>
        </w:rPr>
        <w:t>Annereau</w:t>
      </w:r>
      <w:r w:rsidR="00626074" w:rsidRPr="00626074">
        <w:rPr>
          <w:rFonts w:ascii="Segoe UI" w:hAnsi="Segoe UI" w:cs="Segoe UI"/>
          <w:vertAlign w:val="superscript"/>
        </w:rPr>
        <w:t>2</w:t>
      </w:r>
      <w:r w:rsidR="008E3852" w:rsidRPr="00F0254C">
        <w:rPr>
          <w:rFonts w:ascii="Segoe UI" w:hAnsi="Segoe UI" w:cs="Segoe UI"/>
        </w:rPr>
        <w:t xml:space="preserve">, </w:t>
      </w:r>
      <w:r w:rsidR="00583DAC" w:rsidRPr="00F0254C">
        <w:rPr>
          <w:rFonts w:ascii="Segoe UI" w:hAnsi="Segoe UI" w:cs="Segoe UI"/>
        </w:rPr>
        <w:t>Genomics England</w:t>
      </w:r>
      <w:r w:rsidR="005E6CCE" w:rsidRPr="00F0254C">
        <w:rPr>
          <w:rFonts w:ascii="Segoe UI" w:hAnsi="Segoe UI" w:cs="Segoe UI"/>
        </w:rPr>
        <w:t xml:space="preserve"> </w:t>
      </w:r>
      <w:r w:rsidR="001B258D" w:rsidRPr="00F0254C">
        <w:rPr>
          <w:rFonts w:ascii="Segoe UI" w:hAnsi="Segoe UI" w:cs="Segoe UI"/>
        </w:rPr>
        <w:t xml:space="preserve">Research </w:t>
      </w:r>
      <w:r w:rsidR="005E6CCE" w:rsidRPr="00F0254C">
        <w:rPr>
          <w:rFonts w:ascii="Segoe UI" w:hAnsi="Segoe UI" w:cs="Segoe UI"/>
        </w:rPr>
        <w:t>Consortium</w:t>
      </w:r>
      <w:r w:rsidR="00583DAC" w:rsidRPr="00F0254C">
        <w:rPr>
          <w:rFonts w:ascii="Segoe UI" w:hAnsi="Segoe UI" w:cs="Segoe UI"/>
        </w:rPr>
        <w:t xml:space="preserve">, </w:t>
      </w:r>
      <w:r>
        <w:rPr>
          <w:rFonts w:ascii="Segoe UI" w:hAnsi="Segoe UI" w:cs="Segoe UI"/>
        </w:rPr>
        <w:t xml:space="preserve">Christine </w:t>
      </w:r>
      <w:r w:rsidR="0083424B" w:rsidRPr="00F0254C">
        <w:rPr>
          <w:rFonts w:ascii="Segoe UI" w:hAnsi="Segoe UI" w:cs="Segoe UI"/>
        </w:rPr>
        <w:t>Gast</w:t>
      </w:r>
      <w:r w:rsidR="00626074" w:rsidRPr="00626074">
        <w:rPr>
          <w:rFonts w:ascii="Segoe UI" w:hAnsi="Segoe UI" w:cs="Segoe UI"/>
          <w:vertAlign w:val="superscript"/>
        </w:rPr>
        <w:t>1,3</w:t>
      </w:r>
      <w:r w:rsidR="0083424B" w:rsidRPr="00F0254C">
        <w:rPr>
          <w:rFonts w:ascii="Segoe UI" w:hAnsi="Segoe UI" w:cs="Segoe UI"/>
        </w:rPr>
        <w:t xml:space="preserve">, </w:t>
      </w:r>
      <w:r>
        <w:rPr>
          <w:rFonts w:ascii="Segoe UI" w:hAnsi="Segoe UI" w:cs="Segoe UI"/>
        </w:rPr>
        <w:t xml:space="preserve">Rodney D </w:t>
      </w:r>
      <w:r w:rsidR="005A1891" w:rsidRPr="00F0254C">
        <w:rPr>
          <w:rFonts w:ascii="Segoe UI" w:hAnsi="Segoe UI" w:cs="Segoe UI"/>
        </w:rPr>
        <w:t>Gilbert</w:t>
      </w:r>
      <w:r w:rsidR="00626074" w:rsidRPr="00626074">
        <w:rPr>
          <w:rFonts w:ascii="Segoe UI" w:hAnsi="Segoe UI" w:cs="Segoe UI"/>
          <w:vertAlign w:val="superscript"/>
        </w:rPr>
        <w:t>1,4</w:t>
      </w:r>
      <w:r w:rsidR="005A1891" w:rsidRPr="00F0254C">
        <w:rPr>
          <w:rFonts w:ascii="Segoe UI" w:hAnsi="Segoe UI" w:cs="Segoe UI"/>
        </w:rPr>
        <w:t xml:space="preserve">, </w:t>
      </w:r>
      <w:r>
        <w:rPr>
          <w:rFonts w:ascii="Segoe UI" w:hAnsi="Segoe UI" w:cs="Segoe UI"/>
        </w:rPr>
        <w:t>Sarah Ennis</w:t>
      </w:r>
      <w:r w:rsidR="00626074" w:rsidRPr="00626074">
        <w:rPr>
          <w:rFonts w:ascii="Segoe UI" w:hAnsi="Segoe UI" w:cs="Segoe UI"/>
          <w:vertAlign w:val="superscript"/>
        </w:rPr>
        <w:t>1</w:t>
      </w:r>
      <w:r w:rsidR="001D1755" w:rsidRPr="00F0254C">
        <w:rPr>
          <w:rFonts w:ascii="Segoe UI" w:hAnsi="Segoe UI" w:cs="Segoe UI"/>
        </w:rPr>
        <w:t>.</w:t>
      </w:r>
    </w:p>
    <w:p w14:paraId="72AFFB27" w14:textId="662E6765" w:rsidR="00626074" w:rsidRDefault="00626074" w:rsidP="00626074">
      <w:r>
        <w:t>1 - University of Southampton, United Kingdom</w:t>
      </w:r>
    </w:p>
    <w:p w14:paraId="6442EF64" w14:textId="03610792" w:rsidR="00626074" w:rsidRDefault="00626074" w:rsidP="00626074">
      <w:r>
        <w:t>2 - Imagine Institute for Genetic Diseases, France</w:t>
      </w:r>
    </w:p>
    <w:p w14:paraId="76E6C2A4" w14:textId="49CF22FE" w:rsidR="00626074" w:rsidRDefault="00626074" w:rsidP="00626074">
      <w:r>
        <w:t>3 - Portsmouth Hospitals NHS Trust, United Kingdom</w:t>
      </w:r>
    </w:p>
    <w:p w14:paraId="2AA97BBF" w14:textId="597F2771" w:rsidR="00626074" w:rsidRPr="00626074" w:rsidRDefault="00626074" w:rsidP="00626074">
      <w:r>
        <w:t>4 - Southampton Children's Hospital, United Kingdom</w:t>
      </w:r>
    </w:p>
    <w:p w14:paraId="03A7E059" w14:textId="33023149" w:rsidR="00ED7D05" w:rsidRDefault="00ED7D05" w:rsidP="007043C2">
      <w:pPr>
        <w:pStyle w:val="Heading1"/>
        <w:spacing w:line="480" w:lineRule="auto"/>
        <w:rPr>
          <w:rFonts w:ascii="Segoe UI" w:hAnsi="Segoe UI" w:cs="Segoe UI"/>
        </w:rPr>
      </w:pPr>
      <w:bookmarkStart w:id="1" w:name="_Toc74564792"/>
      <w:bookmarkEnd w:id="0"/>
      <w:r w:rsidRPr="00F0254C">
        <w:rPr>
          <w:rFonts w:ascii="Segoe UI" w:hAnsi="Segoe UI" w:cs="Segoe UI"/>
        </w:rPr>
        <w:t>Abstract</w:t>
      </w:r>
    </w:p>
    <w:p w14:paraId="76298D2A" w14:textId="7756B7BA" w:rsidR="0034686B" w:rsidRPr="0034686B" w:rsidRDefault="0034686B" w:rsidP="0034686B">
      <w:pPr>
        <w:spacing w:line="480" w:lineRule="auto"/>
        <w:rPr>
          <w:rFonts w:ascii="Segoe UI" w:hAnsi="Segoe UI" w:cs="Segoe UI"/>
        </w:rPr>
      </w:pPr>
      <w:r w:rsidRPr="0034686B">
        <w:rPr>
          <w:rFonts w:ascii="Segoe UI" w:hAnsi="Segoe UI" w:cs="Segoe UI"/>
        </w:rPr>
        <w:t>Autosomal recessive whole gene deletions of nephrocystin-1 (</w:t>
      </w:r>
      <w:r w:rsidRPr="001064BB">
        <w:rPr>
          <w:rFonts w:ascii="Segoe UI" w:hAnsi="Segoe UI" w:cs="Segoe UI"/>
          <w:i/>
          <w:iCs/>
        </w:rPr>
        <w:t>NPHP1</w:t>
      </w:r>
      <w:r w:rsidRPr="0034686B">
        <w:rPr>
          <w:rFonts w:ascii="Segoe UI" w:hAnsi="Segoe UI" w:cs="Segoe UI"/>
        </w:rPr>
        <w:t xml:space="preserve">) result in abnormal structure and function of the primary cilia. These deletions can result in a tubulointerstitial kidney disease known as nephronophthisis and retinal (Senior–Løken syndrome) and neurological (Joubert syndrome) diseases. Nephronophthisis is a common cause of end-stage kidney disease (ESKD) in children and up to 1% of adult onset ESKD. Single nucleotide variants (SNVs) and small insertions and deletions (Indels) have been less well characterised. We used a gene pathogenicity scoring system (GenePy) and a genotype-to-phenotype approach on individuals recruited to the UK Genomics England (GEL) 100,000 Genomes Project (100kGP) (n=78,050). This approach identified all participants with </w:t>
      </w:r>
      <w:r w:rsidRPr="001064BB">
        <w:rPr>
          <w:rFonts w:ascii="Segoe UI" w:hAnsi="Segoe UI" w:cs="Segoe UI"/>
          <w:i/>
          <w:iCs/>
        </w:rPr>
        <w:t>NPHP1</w:t>
      </w:r>
      <w:r w:rsidRPr="0034686B">
        <w:rPr>
          <w:rFonts w:ascii="Segoe UI" w:hAnsi="Segoe UI" w:cs="Segoe UI"/>
        </w:rPr>
        <w:t xml:space="preserve">-related diseases reported by NHS Genomics Medical Centres and an additional eight participants. Extreme </w:t>
      </w:r>
      <w:r w:rsidRPr="001064BB">
        <w:rPr>
          <w:rFonts w:ascii="Segoe UI" w:hAnsi="Segoe UI" w:cs="Segoe UI"/>
          <w:i/>
          <w:iCs/>
        </w:rPr>
        <w:t>NPHP1</w:t>
      </w:r>
      <w:r w:rsidRPr="0034686B">
        <w:rPr>
          <w:rFonts w:ascii="Segoe UI" w:hAnsi="Segoe UI" w:cs="Segoe UI"/>
        </w:rPr>
        <w:t xml:space="preserve"> gene </w:t>
      </w:r>
      <w:r w:rsidRPr="0034686B">
        <w:rPr>
          <w:rFonts w:ascii="Segoe UI" w:hAnsi="Segoe UI" w:cs="Segoe UI"/>
        </w:rPr>
        <w:lastRenderedPageBreak/>
        <w:t xml:space="preserve">scores, often underpinned by clear recessive inheritance, were observed in patients from diverse recruitment categories, including cancer, suggesting the possibility of a more widespread disease than previously appreciated. In total, ten participants had homozygous CNV deletions with eight homozygous or compound heterozygous with SNVs. Our data also reveals strong in-silico evidence that approximately 44% of </w:t>
      </w:r>
      <w:r w:rsidRPr="001064BB">
        <w:rPr>
          <w:rFonts w:ascii="Segoe UI" w:hAnsi="Segoe UI" w:cs="Segoe UI"/>
          <w:i/>
          <w:iCs/>
        </w:rPr>
        <w:t>NPHP1</w:t>
      </w:r>
      <w:r w:rsidR="00C9492B">
        <w:rPr>
          <w:rFonts w:ascii="Segoe UI" w:hAnsi="Segoe UI" w:cs="Segoe UI"/>
        </w:rPr>
        <w:t xml:space="preserve"> </w:t>
      </w:r>
      <w:r w:rsidRPr="0034686B">
        <w:rPr>
          <w:rFonts w:ascii="Segoe UI" w:hAnsi="Segoe UI" w:cs="Segoe UI"/>
        </w:rPr>
        <w:t>related</w:t>
      </w:r>
      <w:r w:rsidR="00C9492B">
        <w:rPr>
          <w:rFonts w:ascii="Segoe UI" w:hAnsi="Segoe UI" w:cs="Segoe UI"/>
        </w:rPr>
        <w:t xml:space="preserve"> </w:t>
      </w:r>
      <w:r w:rsidRPr="0034686B">
        <w:rPr>
          <w:rFonts w:ascii="Segoe UI" w:hAnsi="Segoe UI" w:cs="Segoe UI"/>
        </w:rPr>
        <w:t xml:space="preserve">disease may be due to SNVs with AlphaFold structural modelling evidence for a significant impact on protein structure. This study suggests historical under-reporting of SNVS in </w:t>
      </w:r>
      <w:r w:rsidRPr="001064BB">
        <w:rPr>
          <w:rFonts w:ascii="Segoe UI" w:hAnsi="Segoe UI" w:cs="Segoe UI"/>
          <w:i/>
          <w:iCs/>
        </w:rPr>
        <w:t>NPHP1</w:t>
      </w:r>
      <w:r w:rsidRPr="0034686B">
        <w:rPr>
          <w:rFonts w:ascii="Segoe UI" w:hAnsi="Segoe UI" w:cs="Segoe UI"/>
        </w:rPr>
        <w:t xml:space="preserve"> related diseases compared with CNVs.</w:t>
      </w:r>
    </w:p>
    <w:p w14:paraId="3D575C34" w14:textId="77777777" w:rsidR="00DB0D17" w:rsidRPr="00F0254C" w:rsidRDefault="00315E15" w:rsidP="007043C2">
      <w:pPr>
        <w:pStyle w:val="Heading1"/>
        <w:spacing w:line="480" w:lineRule="auto"/>
        <w:rPr>
          <w:rFonts w:ascii="Segoe UI" w:hAnsi="Segoe UI" w:cs="Segoe UI"/>
        </w:rPr>
      </w:pPr>
      <w:r w:rsidRPr="00F0254C">
        <w:rPr>
          <w:rFonts w:ascii="Segoe UI" w:hAnsi="Segoe UI" w:cs="Segoe UI"/>
        </w:rPr>
        <w:t>Introduction</w:t>
      </w:r>
    </w:p>
    <w:p w14:paraId="3388CF7E" w14:textId="59B82A6E" w:rsidR="002F5222" w:rsidRPr="00F0254C" w:rsidRDefault="008C3DE8" w:rsidP="00621F24">
      <w:pPr>
        <w:spacing w:line="480" w:lineRule="auto"/>
        <w:rPr>
          <w:rFonts w:ascii="Segoe UI" w:hAnsi="Segoe UI" w:cs="Segoe UI"/>
        </w:rPr>
      </w:pPr>
      <w:r w:rsidRPr="00F0254C">
        <w:rPr>
          <w:rFonts w:ascii="Segoe UI" w:hAnsi="Segoe UI" w:cs="Segoe UI"/>
        </w:rPr>
        <w:t xml:space="preserve">Nephrocystin-1 </w:t>
      </w:r>
      <w:r w:rsidR="00EB613C" w:rsidRPr="00F0254C">
        <w:rPr>
          <w:rFonts w:ascii="Segoe UI" w:hAnsi="Segoe UI" w:cs="Segoe UI"/>
        </w:rPr>
        <w:t>(</w:t>
      </w:r>
      <w:r w:rsidR="00EB613C" w:rsidRPr="00F0254C">
        <w:rPr>
          <w:rFonts w:ascii="Segoe UI" w:hAnsi="Segoe UI" w:cs="Segoe UI"/>
          <w:i/>
          <w:iCs/>
        </w:rPr>
        <w:t>NPHP1</w:t>
      </w:r>
      <w:r w:rsidR="00EB613C" w:rsidRPr="00F0254C">
        <w:rPr>
          <w:rFonts w:ascii="Segoe UI" w:hAnsi="Segoe UI" w:cs="Segoe UI"/>
        </w:rPr>
        <w:t xml:space="preserve">) </w:t>
      </w:r>
      <w:r w:rsidR="007922D5" w:rsidRPr="00F0254C">
        <w:rPr>
          <w:rFonts w:ascii="Segoe UI" w:hAnsi="Segoe UI" w:cs="Segoe UI"/>
        </w:rPr>
        <w:t xml:space="preserve">was </w:t>
      </w:r>
      <w:r w:rsidRPr="00F0254C">
        <w:rPr>
          <w:rFonts w:ascii="Segoe UI" w:hAnsi="Segoe UI" w:cs="Segoe UI"/>
        </w:rPr>
        <w:t xml:space="preserve">first localised to </w:t>
      </w:r>
      <w:r w:rsidR="00247CC2" w:rsidRPr="00F0254C">
        <w:rPr>
          <w:rFonts w:ascii="Segoe UI" w:hAnsi="Segoe UI" w:cs="Segoe UI"/>
        </w:rPr>
        <w:t xml:space="preserve">chromosome </w:t>
      </w:r>
      <w:r w:rsidRPr="00F0254C">
        <w:rPr>
          <w:rFonts w:ascii="Segoe UI" w:hAnsi="Segoe UI" w:cs="Segoe UI"/>
        </w:rPr>
        <w:t>2q</w:t>
      </w:r>
      <w:r w:rsidR="00247CC2" w:rsidRPr="00F0254C">
        <w:rPr>
          <w:rFonts w:ascii="Segoe UI" w:hAnsi="Segoe UI" w:cs="Segoe UI"/>
        </w:rPr>
        <w:t>13</w:t>
      </w:r>
      <w:r w:rsidRPr="00F0254C">
        <w:rPr>
          <w:rFonts w:ascii="Segoe UI" w:hAnsi="Segoe UI" w:cs="Segoe UI"/>
        </w:rPr>
        <w:t xml:space="preserve"> </w:t>
      </w:r>
      <w:r w:rsidR="00247CC2" w:rsidRPr="00F0254C">
        <w:rPr>
          <w:rFonts w:ascii="Segoe UI" w:hAnsi="Segoe UI" w:cs="Segoe UI"/>
        </w:rPr>
        <w:t xml:space="preserve">before a </w:t>
      </w:r>
      <w:r w:rsidR="00036216" w:rsidRPr="00F0254C">
        <w:rPr>
          <w:rFonts w:ascii="Segoe UI" w:hAnsi="Segoe UI" w:cs="Segoe UI"/>
        </w:rPr>
        <w:t>sizeabl</w:t>
      </w:r>
      <w:r w:rsidR="00247CC2" w:rsidRPr="00F0254C">
        <w:rPr>
          <w:rFonts w:ascii="Segoe UI" w:hAnsi="Segoe UI" w:cs="Segoe UI"/>
        </w:rPr>
        <w:t xml:space="preserve">e homozygous deletion was </w:t>
      </w:r>
      <w:r w:rsidR="007922D5" w:rsidRPr="00F0254C">
        <w:rPr>
          <w:rFonts w:ascii="Segoe UI" w:hAnsi="Segoe UI" w:cs="Segoe UI"/>
        </w:rPr>
        <w:t>found</w:t>
      </w:r>
      <w:r w:rsidR="00247CC2" w:rsidRPr="00F0254C">
        <w:rPr>
          <w:rFonts w:ascii="Segoe UI" w:hAnsi="Segoe UI" w:cs="Segoe UI"/>
        </w:rPr>
        <w:t xml:space="preserve"> in this same region.</w:t>
      </w:r>
      <w:r w:rsidR="00247CC2" w:rsidRPr="00F0254C">
        <w:rPr>
          <w:rFonts w:ascii="Segoe UI" w:hAnsi="Segoe UI" w:cs="Segoe UI"/>
        </w:rPr>
        <w:fldChar w:fldCharType="begin" w:fldLock="1"/>
      </w:r>
      <w:r w:rsidR="00C275EA">
        <w:rPr>
          <w:rFonts w:ascii="Segoe UI" w:hAnsi="Segoe UI" w:cs="Segoe UI"/>
        </w:rPr>
        <w:instrText>ADDIN CSL_CITATION {"citationItems":[{"id":"ITEM-1","itemData":{"DOI":"10.1093/hmg/5.3.367","ISSN":"09646906","abstract":"Juvenile nephronophthisis (NPH) is a genetically heterogeneous disorder representing the most frequent inherited cause of chronic renal failure in children. We recently assigned a gene (NPH1) to the 2q13 region which is responsible for approximately 85% of cases. Cloning this region in a yeast artificial chromosome contig revealed the presence of low copy repeats. Large-scale rearrangements were detected in 80% of the patients belonging to inbred or multiplex NPH1 families and in 65% of the sporadic cases. Surprisingly, these rearrangements seem to be, in most cases, large homozygous deletions of approximately 250 kb involving an 100 kb inverted duplication. This suggests a common genetic disease-causing mechanism, which could be responsible for the highest frequency of large rearrangements reported in an autosomal recessive trait. Our findings are also of major clinical interest, as they permit the diagnosis in the majority of sporadic cases without the need for kidney biopsy.","author":[{"dropping-particle":"","family":"Konrad","given":"Martin","non-dropping-particle":"","parse-names":false,"suffix":""},{"dropping-particle":"","family":"Saunier","given":"Sophie","non-dropping-particle":"","parse-names":false,"suffix":""},{"dropping-particle":"","family":"Heidet","given":"Laurence","non-dropping-particle":"","parse-names":false,"suffix":""},{"dropping-particle":"","family":"Silbermann","given":"Flora","non-dropping-particle":"","parse-names":false,"suffix":""},{"dropping-particle":"","family":"Benessy","given":"France","non-dropping-particle":"","parse-names":false,"suffix":""},{"dropping-particle":"","family":"Calado","given":"Joaquim","non-dropping-particle":"","parse-names":false,"suffix":""},{"dropping-particle":"","family":"Paslier","given":"Denis","non-dropping-particle":"Le","parse-names":false,"suffix":""},{"dropping-particle":"","family":"Broyer","given":"Michel","non-dropping-particle":"","parse-names":false,"suffix":""},{"dropping-particle":"","family":"Gubler","given":"Marie Claire","non-dropping-particle":"","parse-names":false,"suffix":""},{"dropping-particle":"","family":"Antignac","given":"Corinne","non-dropping-particle":"","parse-names":false,"suffix":""}],"container-title":"Human Molecular Genetics","id":"ITEM-1","issue":"3","issued":{"date-parts":[["1996","3","1"]]},"page":"367-371","publisher":"Narnia","title":"Large homozygous deletions of the 2q13 region are a major cause of juvenile nephronophthisis","type":"article-journal","volume":"5"},"uris":["http://www.mendeley.com/documents/?uuid=eb7290b0-447c-33e0-91fd-29c40cf74125"]}],"mendeley":{"formattedCitation":"&lt;span style=\"baseline\"&gt;[1]&lt;/span&gt;","plainTextFormattedCitation":"[1]","previouslyFormattedCitation":"&lt;span style=\"baseline\"&gt;[1]&lt;/span&gt;"},"properties":{"noteIndex":0},"schema":"https://github.com/citation-style-language/schema/raw/master/csl-citation.json"}</w:instrText>
      </w:r>
      <w:r w:rsidR="00247CC2" w:rsidRPr="00F0254C">
        <w:rPr>
          <w:rFonts w:ascii="Segoe UI" w:hAnsi="Segoe UI" w:cs="Segoe UI"/>
        </w:rPr>
        <w:fldChar w:fldCharType="separate"/>
      </w:r>
      <w:r w:rsidR="00621F24" w:rsidRPr="00621F24">
        <w:rPr>
          <w:rFonts w:ascii="Segoe UI" w:hAnsi="Segoe UI" w:cs="Segoe UI"/>
          <w:noProof/>
        </w:rPr>
        <w:t>[1]</w:t>
      </w:r>
      <w:r w:rsidR="00247CC2" w:rsidRPr="00F0254C">
        <w:rPr>
          <w:rFonts w:ascii="Segoe UI" w:hAnsi="Segoe UI" w:cs="Segoe UI"/>
        </w:rPr>
        <w:fldChar w:fldCharType="end"/>
      </w:r>
      <w:r w:rsidR="00247CC2" w:rsidRPr="00F0254C">
        <w:rPr>
          <w:rFonts w:ascii="Segoe UI" w:hAnsi="Segoe UI" w:cs="Segoe UI"/>
        </w:rPr>
        <w:t xml:space="preserve"> Saunier et al. and Hildebrandt et al</w:t>
      </w:r>
      <w:r w:rsidR="002152BC" w:rsidRPr="00F0254C">
        <w:rPr>
          <w:rFonts w:ascii="Segoe UI" w:hAnsi="Segoe UI" w:cs="Segoe UI"/>
        </w:rPr>
        <w:t>.</w:t>
      </w:r>
      <w:r w:rsidR="00247CC2" w:rsidRPr="00F0254C">
        <w:rPr>
          <w:rFonts w:ascii="Segoe UI" w:hAnsi="Segoe UI" w:cs="Segoe UI"/>
        </w:rPr>
        <w:t xml:space="preserve"> identified </w:t>
      </w:r>
      <w:r w:rsidR="00552D71" w:rsidRPr="00F0254C">
        <w:rPr>
          <w:rFonts w:ascii="Segoe UI" w:hAnsi="Segoe UI" w:cs="Segoe UI"/>
          <w:i/>
          <w:iCs/>
        </w:rPr>
        <w:t>NPHP1</w:t>
      </w:r>
      <w:r w:rsidR="00552D71" w:rsidRPr="00F0254C">
        <w:rPr>
          <w:rFonts w:ascii="Segoe UI" w:hAnsi="Segoe UI" w:cs="Segoe UI"/>
        </w:rPr>
        <w:t xml:space="preserve"> within the</w:t>
      </w:r>
      <w:r w:rsidR="00247CC2" w:rsidRPr="00F0254C">
        <w:rPr>
          <w:rFonts w:ascii="Segoe UI" w:hAnsi="Segoe UI" w:cs="Segoe UI"/>
        </w:rPr>
        <w:t xml:space="preserve"> minimum deletion </w:t>
      </w:r>
      <w:r w:rsidR="00552D71" w:rsidRPr="00F0254C">
        <w:rPr>
          <w:rFonts w:ascii="Segoe UI" w:hAnsi="Segoe UI" w:cs="Segoe UI"/>
        </w:rPr>
        <w:t>interval along with another gene</w:t>
      </w:r>
      <w:r w:rsidR="002152BC" w:rsidRPr="00F0254C">
        <w:rPr>
          <w:rFonts w:ascii="Segoe UI" w:hAnsi="Segoe UI" w:cs="Segoe UI"/>
        </w:rPr>
        <w:t>,</w:t>
      </w:r>
      <w:r w:rsidR="00552D71" w:rsidRPr="00F0254C">
        <w:rPr>
          <w:rFonts w:ascii="Segoe UI" w:hAnsi="Segoe UI" w:cs="Segoe UI"/>
        </w:rPr>
        <w:t xml:space="preserve"> </w:t>
      </w:r>
      <w:r w:rsidR="00552D71" w:rsidRPr="00F0254C">
        <w:rPr>
          <w:rFonts w:ascii="Segoe UI" w:hAnsi="Segoe UI" w:cs="Segoe UI"/>
          <w:i/>
          <w:iCs/>
        </w:rPr>
        <w:t>MALL</w:t>
      </w:r>
      <w:r w:rsidR="00552D71" w:rsidRPr="00F0254C">
        <w:rPr>
          <w:rFonts w:ascii="Segoe UI" w:hAnsi="Segoe UI" w:cs="Segoe UI"/>
        </w:rPr>
        <w:t>.</w:t>
      </w:r>
      <w:r w:rsidR="00552D71" w:rsidRPr="00F0254C">
        <w:rPr>
          <w:rFonts w:ascii="Segoe UI" w:hAnsi="Segoe UI" w:cs="Segoe UI"/>
        </w:rPr>
        <w:fldChar w:fldCharType="begin" w:fldLock="1"/>
      </w:r>
      <w:r w:rsidR="00C275EA">
        <w:rPr>
          <w:rFonts w:ascii="Segoe UI" w:hAnsi="Segoe UI" w:cs="Segoe UI"/>
        </w:rPr>
        <w:instrText>ADDIN CSL_CITATION {"citationItems":[{"id":"ITEM-1","itemData":{"DOI":"10.1038/ng1097-149","ISSN":"10614036","abstract":"Juvenile nephronophthisis (NPH), an autosomal recessive cystic kidney disease, is the primary genetic cause of chronic renal failure in children. About two thirds of patients with NPH carry a large homozygous deletion at the gene locus NPH1 on 2q13. We here identify a novel gene. NPHP1, which extends over most of this common deletion. The 4.5-kb transcript encodes a protein with an SH3 domain, which is highly conserved throughout evolution. The 11-kb interval between the 3' end of NPHP1 and an inverted repeat containing the distal deletion breakpoint was found to contain the first exon of a second gene, MALL. In patients with a hemizygous deletion of the NPH1 region, additional point mutations were found in NPHP1 but not in MALL.","author":[{"dropping-particle":"","family":"Hildebrandt","given":"Friedheim","non-dropping-particle":"","parse-names":false,"suffix":""},{"dropping-particle":"","family":"Otto","given":"Edgar","non-dropping-particle":"","parse-names":false,"suffix":""},{"dropping-particle":"","family":"Rensing","given":"Cornelia","non-dropping-particle":"","parse-names":false,"suffix":""},{"dropping-particle":"","family":"Nothwang","given":"H. G.","non-dropping-particle":"","parse-names":false,"suffix":""},{"dropping-particle":"","family":"Vollmer","given":"Martin","non-dropping-particle":"","parse-names":false,"suffix":""},{"dropping-particle":"","family":"Adolphs","given":"Jorn","non-dropping-particle":"","parse-names":false,"suffix":""},{"dropping-particle":"","family":"Hanusch","given":"Helge","non-dropping-particle":"","parse-names":false,"suffix":""},{"dropping-particle":"","family":"Brandis","given":"Matthias","non-dropping-particle":"","parse-names":false,"suffix":""}],"container-title":"Nature Genetics","id":"ITEM-1","issue":"2","issued":{"date-parts":[["1997"]]},"page":"149-153","title":"A novel gene encoding an SH3 domain protein is mutated in nephronophthisis type 1","type":"article-journal","volume":"17"},"uris":["http://www.mendeley.com/documents/?uuid=bbd7a138-a541-3985-80e9-67e53ae6e181"]},{"id":"ITEM-2","itemData":{"DOI":"10.1093/hmg/6.13.2317","ISSN":"0964-6906","PMID":"9361039","abstract":"Familial juvenile nephronophthisis (NPH) is an autosomal recessive, genetically heterogeneous disorder, representing the most frequent inherited cause of chronic renal failure in children. One of the responsible loci, NPH1 , has been mapped to 2q13. The presence of large homozygous deletions of approximately 250 kb in the majority of affected patients allowed us to define a minimal deletion interval for NPH1 . A BAC contig covering this interval was established. Combination of large scale genomic sequencing, cDNA selection and computer-aided analysis led to the characterization of two transcriptional units. One encodes the already known BENE protein, and the other encodes a novel protein of at least 732 amino acids containing a putative src homology 3 domain. In two patients carrying the large deletion of the NPH1 region on only one allele, two mutations were detected in two independent exons of the novel gene. One consists of a single base deletion, causing a frameshift, and the other is a G--&gt;A substitution in the consensus 5' splice donor site. Both mutations thus potentially generate null mutants. One of these mutations was found to segregate with the disease in the family, and the second appeared to be a de novo mutation. We therefore conclude that this novel gene is a strong candidate for NPH.","author":[{"dropping-particle":"","family":"Saunier","given":"S","non-dropping-particle":"","parse-names":false,"suffix":""}],"container-title":"Human Molecular Genetics","id":"ITEM-2","issue":"13","issued":{"date-parts":[["1997","12","1"]]},"page":"2317-2323","publisher":"Narnia","title":"A novel gene that encodes a protein with a putative src homology 3 domain is a candidate gene for familial juvenile nephronophthisis","type":"article-journal","volume":"6"},"uris":["http://www.mendeley.com/documents/?uuid=43eb92a8-35fa-36ed-93b5-00cf14ac2010"]}],"mendeley":{"formattedCitation":"&lt;span style=\"baseline\"&gt;[2,3]&lt;/span&gt;","plainTextFormattedCitation":"[2,3]","previouslyFormattedCitation":"&lt;span style=\"baseline\"&gt;[2,3]&lt;/span&gt;"},"properties":{"noteIndex":0},"schema":"https://github.com/citation-style-language/schema/raw/master/csl-citation.json"}</w:instrText>
      </w:r>
      <w:r w:rsidR="00552D71" w:rsidRPr="00F0254C">
        <w:rPr>
          <w:rFonts w:ascii="Segoe UI" w:hAnsi="Segoe UI" w:cs="Segoe UI"/>
        </w:rPr>
        <w:fldChar w:fldCharType="separate"/>
      </w:r>
      <w:r w:rsidR="00621F24" w:rsidRPr="00621F24">
        <w:rPr>
          <w:rFonts w:ascii="Segoe UI" w:hAnsi="Segoe UI" w:cs="Segoe UI"/>
          <w:noProof/>
        </w:rPr>
        <w:t>[2,3]</w:t>
      </w:r>
      <w:r w:rsidR="00552D71" w:rsidRPr="00F0254C">
        <w:rPr>
          <w:rFonts w:ascii="Segoe UI" w:hAnsi="Segoe UI" w:cs="Segoe UI"/>
        </w:rPr>
        <w:fldChar w:fldCharType="end"/>
      </w:r>
      <w:r w:rsidR="00552D71" w:rsidRPr="00F0254C">
        <w:rPr>
          <w:rFonts w:ascii="Segoe UI" w:hAnsi="Segoe UI" w:cs="Segoe UI"/>
        </w:rPr>
        <w:t xml:space="preserve"> </w:t>
      </w:r>
      <w:r w:rsidR="003E42BB" w:rsidRPr="00F0254C">
        <w:rPr>
          <w:rFonts w:ascii="Segoe UI" w:hAnsi="Segoe UI" w:cs="Segoe UI"/>
        </w:rPr>
        <w:t>They both noted additional</w:t>
      </w:r>
      <w:r w:rsidR="00552D71" w:rsidRPr="00F0254C">
        <w:rPr>
          <w:rFonts w:ascii="Segoe UI" w:hAnsi="Segoe UI" w:cs="Segoe UI"/>
        </w:rPr>
        <w:t xml:space="preserve"> </w:t>
      </w:r>
      <w:r w:rsidR="003E42BB" w:rsidRPr="00F0254C">
        <w:rPr>
          <w:rFonts w:ascii="Segoe UI" w:hAnsi="Segoe UI" w:cs="Segoe UI"/>
        </w:rPr>
        <w:t>single nucleotide variants (SNVs)</w:t>
      </w:r>
      <w:r w:rsidR="00897B53" w:rsidRPr="00F0254C">
        <w:rPr>
          <w:rFonts w:ascii="Segoe UI" w:hAnsi="Segoe UI" w:cs="Segoe UI"/>
        </w:rPr>
        <w:t xml:space="preserve"> in </w:t>
      </w:r>
      <w:r w:rsidR="00897B53" w:rsidRPr="00F0254C">
        <w:rPr>
          <w:rFonts w:ascii="Segoe UI" w:hAnsi="Segoe UI" w:cs="Segoe UI"/>
          <w:i/>
          <w:iCs/>
        </w:rPr>
        <w:t>NPHP1</w:t>
      </w:r>
      <w:r w:rsidR="00897B53" w:rsidRPr="00F0254C">
        <w:rPr>
          <w:rFonts w:ascii="Segoe UI" w:hAnsi="Segoe UI" w:cs="Segoe UI"/>
        </w:rPr>
        <w:t xml:space="preserve"> but not in </w:t>
      </w:r>
      <w:r w:rsidR="00897B53" w:rsidRPr="00F0254C">
        <w:rPr>
          <w:rFonts w:ascii="Segoe UI" w:hAnsi="Segoe UI" w:cs="Segoe UI"/>
          <w:i/>
          <w:iCs/>
        </w:rPr>
        <w:t>MALL</w:t>
      </w:r>
      <w:r w:rsidR="00552D71" w:rsidRPr="00F0254C">
        <w:rPr>
          <w:rFonts w:ascii="Segoe UI" w:hAnsi="Segoe UI" w:cs="Segoe UI"/>
        </w:rPr>
        <w:t xml:space="preserve"> in patients with a heterozygous deletion.</w:t>
      </w:r>
      <w:r w:rsidR="002507B4" w:rsidRPr="00F0254C">
        <w:rPr>
          <w:rFonts w:ascii="Segoe UI" w:hAnsi="Segoe UI" w:cs="Segoe UI"/>
        </w:rPr>
        <w:t xml:space="preserve"> Saunier</w:t>
      </w:r>
      <w:r w:rsidR="002507B4" w:rsidRPr="00F0254C">
        <w:rPr>
          <w:rFonts w:ascii="Segoe UI" w:hAnsi="Segoe UI" w:cs="Segoe UI"/>
          <w:i/>
          <w:iCs/>
        </w:rPr>
        <w:t xml:space="preserve"> </w:t>
      </w:r>
      <w:r w:rsidR="002507B4" w:rsidRPr="00F0254C">
        <w:rPr>
          <w:rFonts w:ascii="Segoe UI" w:hAnsi="Segoe UI" w:cs="Segoe UI"/>
          <w:i/>
        </w:rPr>
        <w:t>et al.</w:t>
      </w:r>
      <w:r w:rsidR="002507B4" w:rsidRPr="00F0254C">
        <w:rPr>
          <w:rFonts w:ascii="Segoe UI" w:hAnsi="Segoe UI" w:cs="Segoe UI"/>
        </w:rPr>
        <w:t xml:space="preserve"> later demonstrated that the </w:t>
      </w:r>
      <w:r w:rsidR="002507B4" w:rsidRPr="00F0254C">
        <w:rPr>
          <w:rFonts w:ascii="Segoe UI" w:hAnsi="Segoe UI" w:cs="Segoe UI"/>
          <w:i/>
          <w:iCs/>
        </w:rPr>
        <w:t>NPHP1</w:t>
      </w:r>
      <w:r w:rsidR="002507B4" w:rsidRPr="00F0254C">
        <w:rPr>
          <w:rFonts w:ascii="Segoe UI" w:hAnsi="Segoe UI" w:cs="Segoe UI"/>
        </w:rPr>
        <w:t xml:space="preserve"> gene </w:t>
      </w:r>
      <w:r w:rsidR="00897B53" w:rsidRPr="00F0254C">
        <w:rPr>
          <w:rFonts w:ascii="Segoe UI" w:hAnsi="Segoe UI" w:cs="Segoe UI"/>
        </w:rPr>
        <w:t>wa</w:t>
      </w:r>
      <w:r w:rsidR="002507B4" w:rsidRPr="00F0254C">
        <w:rPr>
          <w:rFonts w:ascii="Segoe UI" w:hAnsi="Segoe UI" w:cs="Segoe UI"/>
        </w:rPr>
        <w:t xml:space="preserve">s flanked by two inverted 358 </w:t>
      </w:r>
      <w:r w:rsidR="007922D5" w:rsidRPr="00F0254C">
        <w:rPr>
          <w:rFonts w:ascii="Segoe UI" w:hAnsi="Segoe UI" w:cs="Segoe UI"/>
        </w:rPr>
        <w:t>kilobase (</w:t>
      </w:r>
      <w:r w:rsidR="002507B4" w:rsidRPr="00F0254C">
        <w:rPr>
          <w:rFonts w:ascii="Segoe UI" w:hAnsi="Segoe UI" w:cs="Segoe UI"/>
        </w:rPr>
        <w:t>kb</w:t>
      </w:r>
      <w:r w:rsidR="007922D5" w:rsidRPr="00F0254C">
        <w:rPr>
          <w:rFonts w:ascii="Segoe UI" w:hAnsi="Segoe UI" w:cs="Segoe UI"/>
        </w:rPr>
        <w:t>)</w:t>
      </w:r>
      <w:r w:rsidR="002507B4" w:rsidRPr="00F0254C">
        <w:rPr>
          <w:rFonts w:ascii="Segoe UI" w:hAnsi="Segoe UI" w:cs="Segoe UI"/>
        </w:rPr>
        <w:t xml:space="preserve"> low copy repeats (LCRs) and that these both </w:t>
      </w:r>
      <w:r w:rsidR="007922D5" w:rsidRPr="00F0254C">
        <w:rPr>
          <w:rFonts w:ascii="Segoe UI" w:hAnsi="Segoe UI" w:cs="Segoe UI"/>
        </w:rPr>
        <w:t>included</w:t>
      </w:r>
      <w:r w:rsidR="002507B4" w:rsidRPr="00F0254C">
        <w:rPr>
          <w:rFonts w:ascii="Segoe UI" w:hAnsi="Segoe UI" w:cs="Segoe UI"/>
        </w:rPr>
        <w:t xml:space="preserve"> a smaller LCR of 45kb, containing the patient</w:t>
      </w:r>
      <w:r w:rsidR="001B7943" w:rsidRPr="00F0254C">
        <w:rPr>
          <w:rFonts w:ascii="Segoe UI" w:hAnsi="Segoe UI" w:cs="Segoe UI"/>
        </w:rPr>
        <w:t>'</w:t>
      </w:r>
      <w:r w:rsidR="002507B4" w:rsidRPr="00F0254C">
        <w:rPr>
          <w:rFonts w:ascii="Segoe UI" w:hAnsi="Segoe UI" w:cs="Segoe UI"/>
        </w:rPr>
        <w:t>s deletion breakpoints.</w:t>
      </w:r>
      <w:r w:rsidR="002507B4" w:rsidRPr="00F0254C">
        <w:rPr>
          <w:rFonts w:ascii="Segoe UI" w:hAnsi="Segoe UI" w:cs="Segoe UI"/>
        </w:rPr>
        <w:fldChar w:fldCharType="begin" w:fldLock="1"/>
      </w:r>
      <w:r w:rsidR="00C275EA">
        <w:rPr>
          <w:rFonts w:ascii="Segoe UI" w:hAnsi="Segoe UI" w:cs="Segoe UI"/>
        </w:rPr>
        <w:instrText>ADDIN CSL_CITATION {"citationItems":[{"id":"ITEM-1","itemData":{"DOI":"10.1086/302819","ISSN":"00029297","PMID":"10712196","abstract":"Familial juvenile nephronophthisis is an autosomal recessive, genetically heterogeneous kidney disorder representing the most frequent inherited cause of chronic renal failure in children. A gene, NPHP1, responsible for ~85% of the purely renal form of nephronophthisis, has been mapped to 2q13 and characterized. The major NPHP1 gene defect is a large homozygous deletion found in ~80% of the patients. In this study, by large- scale genomic sequencing and pulsed-field gel electrophoresis analysis, we characterized the complex organization of the NPHP1 locus and determined the mutational mechanism that results in the large deletion observed in most patients. We showed that the deletion is 290 kb in size and that NPHP1 is flanked by two large inverted repeats of ~330 kb. In addition, a second sequence of 45 kb located adjacent to the proximal 330-kb repeat was shown to be directly repeated 250 kb away within the distal 330-kb repeat deleting the sequence tag site (STS) 804H10R present in the proximal copy. The patients' deletion breakpoints appear to be located within the 45-kb repeat, suggesting an unequal recombination between the two homologous copies of this smaller repeat. Moreover, we demonstrated a non-pathologic rearrangement involving the two 330-kb inverted repeats found in 11 patients and, in the homozygous state, in 2 (1.3%) control individuals. This could be explained by interchromosomal mispairing of the 330-kb inverted repeat, followed by double recombination or by a prior intrachromosomal mispairing of these repeats, leading to an inversion of the NPHP1 region, followed by an interchromosomal unequal crossover event. This complex rearrangement, as well as the common deletion found in most patients, illustrates the high level of rearrangements occurring in the centromeric region of chromosome 2.","author":[{"dropping-particle":"","family":"Saunier","given":"Sophie","non-dropping-particle":"","parse-names":false,"suffix":""},{"dropping-particle":"","family":"Calado","given":"Joaquim","non-dropping-particle":"","parse-names":false,"suffix":""},{"dropping-particle":"","family":"Benessy","given":"France","non-dropping-particle":"","parse-names":false,"suffix":""},{"dropping-particle":"","family":"Silbermann","given":"Flora","non-dropping-particle":"","parse-names":false,"suffix":""},{"dropping-particle":"","family":"Heilig","given":"Roland","non-dropping-particle":"","parse-names":false,"suffix":""},{"dropping-particle":"","family":"Weissenbach","given":"Jean","non-dropping-particle":"","parse-names":false,"suffix":""},{"dropping-particle":"","family":"Antignac","given":"Corinne","non-dropping-particle":"","parse-names":false,"suffix":""}],"container-title":"American Journal of Human Genetics","id":"ITEM-1","issue":"3","issued":{"date-parts":[["2000","3","1"]]},"page":"778-789","publisher":"Cell Press","title":"Characterization of the NPHP1 locus: Mutational mechanism involved in deletions in familial juvenile nephronophthisis","type":"article-journal","volume":"66"},"uris":["http://www.mendeley.com/documents/?uuid=06af176b-2301-352f-be28-a36365c0a7f7"]}],"mendeley":{"formattedCitation":"&lt;span style=\"baseline\"&gt;[4]&lt;/span&gt;","plainTextFormattedCitation":"[4]","previouslyFormattedCitation":"&lt;span style=\"baseline\"&gt;[4]&lt;/span&gt;"},"properties":{"noteIndex":0},"schema":"https://github.com/citation-style-language/schema/raw/master/csl-citation.json"}</w:instrText>
      </w:r>
      <w:r w:rsidR="002507B4" w:rsidRPr="00F0254C">
        <w:rPr>
          <w:rFonts w:ascii="Segoe UI" w:hAnsi="Segoe UI" w:cs="Segoe UI"/>
        </w:rPr>
        <w:fldChar w:fldCharType="separate"/>
      </w:r>
      <w:r w:rsidR="00621F24" w:rsidRPr="00621F24">
        <w:rPr>
          <w:rFonts w:ascii="Segoe UI" w:hAnsi="Segoe UI" w:cs="Segoe UI"/>
          <w:noProof/>
        </w:rPr>
        <w:t>[4]</w:t>
      </w:r>
      <w:r w:rsidR="002507B4" w:rsidRPr="00F0254C">
        <w:rPr>
          <w:rFonts w:ascii="Segoe UI" w:hAnsi="Segoe UI" w:cs="Segoe UI"/>
        </w:rPr>
        <w:fldChar w:fldCharType="end"/>
      </w:r>
    </w:p>
    <w:p w14:paraId="5E7FCC6C" w14:textId="39AB1FCA" w:rsidR="002507B4" w:rsidRPr="00F0254C" w:rsidRDefault="002507B4" w:rsidP="00621F24">
      <w:pPr>
        <w:spacing w:line="480" w:lineRule="auto"/>
        <w:rPr>
          <w:rFonts w:ascii="Segoe UI" w:hAnsi="Segoe UI" w:cs="Segoe UI"/>
        </w:rPr>
      </w:pPr>
      <w:r w:rsidRPr="00F0254C">
        <w:rPr>
          <w:rFonts w:ascii="Segoe UI" w:hAnsi="Segoe UI" w:cs="Segoe UI"/>
        </w:rPr>
        <w:t>Human chromosome two has arisen from the fusion of two ancestral great ape chromosomes, and the telomere-telomere fusion point is located at 2q13.</w:t>
      </w:r>
      <w:r w:rsidR="00396DF9" w:rsidRPr="00F0254C">
        <w:rPr>
          <w:rFonts w:ascii="Segoe UI" w:hAnsi="Segoe UI" w:cs="Segoe UI"/>
        </w:rPr>
        <w:t xml:space="preserve"> T</w:t>
      </w:r>
      <w:r w:rsidRPr="00F0254C">
        <w:rPr>
          <w:rFonts w:ascii="Segoe UI" w:hAnsi="Segoe UI" w:cs="Segoe UI"/>
        </w:rPr>
        <w:t xml:space="preserve">elomeres have several repeat sequences, </w:t>
      </w:r>
      <w:r w:rsidR="00396DF9" w:rsidRPr="00F0254C">
        <w:rPr>
          <w:rFonts w:ascii="Segoe UI" w:hAnsi="Segoe UI" w:cs="Segoe UI"/>
        </w:rPr>
        <w:t>which</w:t>
      </w:r>
      <w:r w:rsidRPr="00F0254C">
        <w:rPr>
          <w:rFonts w:ascii="Segoe UI" w:hAnsi="Segoe UI" w:cs="Segoe UI"/>
        </w:rPr>
        <w:t xml:space="preserve"> may explain the presence of these LCRs.</w:t>
      </w:r>
      <w:r w:rsidRPr="00F0254C">
        <w:rPr>
          <w:rFonts w:ascii="Segoe UI" w:hAnsi="Segoe UI" w:cs="Segoe UI"/>
        </w:rPr>
        <w:fldChar w:fldCharType="begin" w:fldLock="1"/>
      </w:r>
      <w:r w:rsidR="00C275EA">
        <w:rPr>
          <w:rFonts w:ascii="Segoe UI" w:hAnsi="Segoe UI" w:cs="Segoe UI"/>
        </w:rPr>
        <w:instrText>ADDIN CSL_CITATION {"citationItems":[{"id":"ITEM-1","itemData":{"DOI":"10.1371/journal.pgen.1005686","ISSN":"15537404","abstract":"© 2015 Yuan et al. Many loci in the human genome harbor complex genomic structures that can result in susceptibility to genomic rearrangements leading to various genomic disorders. Nephronophthisis 1 (NPHP1, MIM# 256100) is an autosomal recessive disorder that can be caused by defects of NPHP1; the gene maps within the human 2q13 region where low copy repeats (LCRs) are abundant. Loss of function of NPHP1 is responsible for approximately 85% of the NPHP1 cases—about 80% of such individuals carry a large recurrent homozygous NPHP1 deletion that occurs via nonallelic homologous recombination (NAHR) between two flanking directly oriented ~45 kb LCRs. Published data revealed a non-pathogenic inversion polymorphism involving the NPHP1 gene flanked by two inverted ~358 kb LCRs. Using optical mapping and array-comparative genomic hybridization, we identified three potential novel structural variant (SV) haplotypes at the NPHP1 locus that may protect a haploid genome from the NPHP1 deletion. Inter-species comparative genomic analyses among primate genomes revealed massive genomic changes during evolution. The aggregated data suggest that dynamic genomic rearrangements occurred historically within the NPHP1 locus and generated SV haplotypes observed in the human population today, which may confer differential susceptibility to genomic instability and the NPHP1 deletion within a personal genome. Our study documents diverse SV haplotypes at a complex LCR-laden human genomic region. Comparative analyses provide a model for how this complex region arose during primate evolution, and studies among humans suggest that intra-species polymorphism may potentially modulate an individual’s susceptibility to acquiring disease-associated alleles.","author":[{"dropping-particle":"","family":"Yuan","given":"Bo","non-dropping-particle":"","parse-names":false,"suffix":""},{"dropping-particle":"","family":"Liu","given":"Pengfei","non-dropping-particle":"","parse-names":false,"suffix":""},{"dropping-particle":"","family":"Gupta","given":"Aditya","non-dropping-particle":"","parse-names":false,"suffix":""},{"dropping-particle":"","family":"Beck","given":"Christine R","non-dropping-particle":"","parse-names":false,"suffix":""},{"dropping-particle":"","family":"Tejomurtula","given":"Anusha","non-dropping-particle":"","parse-names":false,"suffix":""},{"dropping-particle":"","family":"Campbell","given":"Ian M","non-dropping-particle":"","parse-names":false,"suffix":""},{"dropping-particle":"","family":"Gambin","given":"Tomasz","non-dropping-particle":"","parse-names":false,"suffix":""},{"dropping-particle":"","family":"Simmons","given":"Alexandra D","non-dropping-particle":"","parse-names":false,"suffix":""},{"dropping-particle":"","family":"Withers","given":"Marjorie A","non-dropping-particle":"","parse-names":false,"suffix":""},{"dropping-particle":"","family":"Harris","given":"R Alan","non-dropping-particle":"","parse-names":false,"suffix":""},{"dropping-particle":"","family":"Rogers","given":"Jeffrey","non-dropping-particle":"","parse-names":false,"suffix":""},{"dropping-particle":"","family":"Schwartz","given":"David C","non-dropping-particle":"","parse-names":false,"suffix":""},{"dropping-particle":"","family":"Lupski","given":"James R","non-dropping-particle":"","parse-names":false,"suffix":""}],"container-title":"PLoS Genetics","id":"ITEM-1","issue":"12","issued":{"date-parts":[["2015"]]},"publisher":"School of Health Professions","title":"Comparative Genomic Analyses of the Human NPHP1 Locus Reveal Complex Genomic Architecture and Its Regional Evolution in Primates","type":"article-journal","volume":"11"},"uris":["http://www.mendeley.com/documents/?uuid=74dcd5c7-8a8b-38ab-bfdc-02076d263887"]}],"mendeley":{"formattedCitation":"&lt;span style=\"baseline\"&gt;[5]&lt;/span&gt;","plainTextFormattedCitation":"[5]","previouslyFormattedCitation":"&lt;span style=\"baseline\"&gt;[5]&lt;/span&gt;"},"properties":{"noteIndex":0},"schema":"https://github.com/citation-style-language/schema/raw/master/csl-citation.json"}</w:instrText>
      </w:r>
      <w:r w:rsidRPr="00F0254C">
        <w:rPr>
          <w:rFonts w:ascii="Segoe UI" w:hAnsi="Segoe UI" w:cs="Segoe UI"/>
        </w:rPr>
        <w:fldChar w:fldCharType="separate"/>
      </w:r>
      <w:r w:rsidR="00621F24" w:rsidRPr="00621F24">
        <w:rPr>
          <w:rFonts w:ascii="Segoe UI" w:hAnsi="Segoe UI" w:cs="Segoe UI"/>
          <w:noProof/>
        </w:rPr>
        <w:t>[5]</w:t>
      </w:r>
      <w:r w:rsidRPr="00F0254C">
        <w:rPr>
          <w:rFonts w:ascii="Segoe UI" w:hAnsi="Segoe UI" w:cs="Segoe UI"/>
        </w:rPr>
        <w:fldChar w:fldCharType="end"/>
      </w:r>
      <w:r w:rsidRPr="00F0254C">
        <w:rPr>
          <w:rFonts w:ascii="Segoe UI" w:hAnsi="Segoe UI" w:cs="Segoe UI"/>
        </w:rPr>
        <w:t xml:space="preserve"> LCRs are found in 5-15% of the human genome and provide a point </w:t>
      </w:r>
      <w:r w:rsidR="002152BC" w:rsidRPr="00F0254C">
        <w:rPr>
          <w:rFonts w:ascii="Segoe UI" w:hAnsi="Segoe UI" w:cs="Segoe UI"/>
        </w:rPr>
        <w:t>where</w:t>
      </w:r>
      <w:r w:rsidRPr="00F0254C">
        <w:rPr>
          <w:rFonts w:ascii="Segoe UI" w:hAnsi="Segoe UI" w:cs="Segoe UI"/>
        </w:rPr>
        <w:t xml:space="preserve"> nonallelic homologous recombination (NAHR) mediated cross-over can occur.</w:t>
      </w:r>
      <w:r w:rsidRPr="00F0254C">
        <w:rPr>
          <w:rFonts w:ascii="Segoe UI" w:hAnsi="Segoe UI" w:cs="Segoe UI"/>
        </w:rPr>
        <w:fldChar w:fldCharType="begin" w:fldLock="1"/>
      </w:r>
      <w:r w:rsidR="00C275EA">
        <w:rPr>
          <w:rFonts w:ascii="Segoe UI" w:hAnsi="Segoe UI" w:cs="Segoe UI"/>
        </w:rPr>
        <w:instrText>ADDIN CSL_CITATION {"citationItems":[{"id":"ITEM-1","itemData":{"DOI":"10.1101/gr.GR-1871R","ISSN":"10889051","PMID":"11381028","abstract":"Segmental duplications play fundamental roles in both genomic disease and gene evolution. To understand their organization within the human genome, we have developed the computational tools and methods necessary to detect identity between long stretches of genomic sequence despite the presence of high copy repeats and large insertion-deletions. Here we present our analysis of the most recent genome assembly (January 2001) in which we focus on the global organization of these segments and the role they play in the whole-genome assembly process. Initially, we considered only large recent duplication events that fell wel</w:instrText>
      </w:r>
      <w:r w:rsidR="00C275EA">
        <w:rPr>
          <w:rFonts w:ascii="Segoe UI" w:hAnsi="Segoe UI" w:cs="Segoe UI" w:hint="eastAsia"/>
        </w:rPr>
        <w:instrText xml:space="preserve">l-below levels of draft sequencing error (alignments 90%-98% similar and </w:instrText>
      </w:r>
      <w:r w:rsidR="00C275EA">
        <w:rPr>
          <w:rFonts w:ascii="Segoe UI" w:hAnsi="Segoe UI" w:cs="Segoe UI" w:hint="eastAsia"/>
        </w:rPr>
        <w:instrText>≥</w:instrText>
      </w:r>
      <w:r w:rsidR="00C275EA">
        <w:rPr>
          <w:rFonts w:ascii="Segoe UI" w:hAnsi="Segoe UI" w:cs="Segoe UI" w:hint="eastAsia"/>
        </w:rPr>
        <w:instrText xml:space="preserve">1 kb in length). Duplications (90%-98%; </w:instrText>
      </w:r>
      <w:r w:rsidR="00C275EA">
        <w:rPr>
          <w:rFonts w:ascii="Segoe UI" w:hAnsi="Segoe UI" w:cs="Segoe UI" w:hint="eastAsia"/>
        </w:rPr>
        <w:instrText>≥</w:instrText>
      </w:r>
      <w:r w:rsidR="00C275EA">
        <w:rPr>
          <w:rFonts w:ascii="Segoe UI" w:hAnsi="Segoe UI" w:cs="Segoe UI" w:hint="eastAsia"/>
        </w:rPr>
        <w:instrText>1 kb) comprise 3.6% of all human sequence. These duplications show clustering and up to 10-fold enrichment within pericentromeric and subtel</w:instrText>
      </w:r>
      <w:r w:rsidR="00C275EA">
        <w:rPr>
          <w:rFonts w:ascii="Segoe UI" w:hAnsi="Segoe UI" w:cs="Segoe UI"/>
        </w:rPr>
        <w:instrText>omeric regions. In terms of assembly, duplicated sequences were found to be over-represented in unordered and unassigned contigs indicating that duplicated sequences are difficult to assign to their proper position. To assess coverage of these regions within the genome, we selected BACs containing interchromosomal duplications and characterized their duplication pattern by FISH. Only 47% (106/224) of chromosomes positive by FISH had a corresponding chromosomal position by BLAST comparison. We present data that indicate that this is attributable to misassembly, misassignment, and/or decreased sequencing coverage within duplicated regions. Surprisingly, if we consider putative duplications &gt;98% identity, we identify 10.6% (286 Mb) of the current assembly as paralogous. The majority of these alignments, we believe, represent unmerged overlaps within unique regions. Taken together the above data indicate that segmental duplications represent a significant impediment to accurate human genome assembly, requiring the development of specialized techniques to finish these exceptional regions of the genome. The identification and characterization of these highly duplicated regions represents an important step in the complete sequencing of a human reference genome.","author":[{"dropping-particle":"","family":"Bailey","given":"Jeffrey A.","non-dropping-particle":"","parse-names":false,"suffix":""},{"dropping-particle":"","family":"Yavor","given":"Amy M.","non-dropping-particle":"","parse-names":false,"suffix":""},{"dropping-particle":"","family":"Massa","given":"Hillary F.","non-dropping-particle":"","parse-names":false,"suffix":""},{"dropping-particle":"","family":"Trask","given":"Barbara J.","non-dropping-particle":"","parse-names":false,"suffix":""},{"dropping-particle":"","family":"Eichler","given":"Evan E.","non-dropping-particle":"","parse-names":false,"suffix":""}],"container-title":"Genome Research","id":"ITEM-1","issue":"6","issued":{"date-parts":[["2001","6","1"]]},"page":"1005-1017","publisher":"Cold Spring Harbor Laboratory Press","title":"Segmental duplications: Organization and impact within the current human genome project assembly","type":"article-journal","volume":"11"},"uris":["http://www.mendeley.com/documents/?uuid=3a0955e7-17da-3de6-a411-6d9fef13f2e4"]},{"id":"ITEM-2","itemData":{"DOI":"10.1371/journal.pgen.1005686","ISSN":"15537404","abstract":"© 2015 Yuan et al. Many loci in the human genome harbor complex genomic structures that can result in susceptibility to genomic rearrangements leading to various genomic disorders. Nephronophthisis 1 (NPHP1, MIM# 256100) is an autosomal recessive disorder that can be caused by defects of NPHP1; the gene maps within the human 2q13 region where low copy repeats (LCRs) are abundant. Loss of function of NPHP1 is responsible for approximately 85% of the NPHP1 cases—about 80% of such individuals carry a large recurrent homozygous NPHP1 deletion that occurs via nonallelic homologous recombination (NAHR) between two flanking directly oriented ~45 kb LCRs. Published data revealed a non-pathogenic inversion polymorphism involving the NPHP1 gene flanked by two inverted ~358 kb LCRs. Using optical mapping and array-comparative genomic hybridization, we identified three potential novel structural variant (SV) haplotypes at the NPHP1 locus that may protect a haploid genome from the NPHP1 deletion. Inter-species comparative genomic analyses among primate genomes revealed massive genomic changes during evolution. The aggregated data suggest that dynamic genomic rearrangements occurred historically within the NPHP1 locus and generated SV haplotypes observed in the human population today, which may confer differential susceptibility to genomic instability and the NPHP1 deletion within a personal genome. Our study documents diverse SV haplotypes at a complex LCR-laden human genomic region. Comparative analyses provide a model for how this complex region arose during primate evolution, and studies among humans suggest that intra-species polymorphism may potentially modulate an individual’s susceptibility to acquiring disease-associated alleles.","author":[{"dropping-particle":"","family":"Yuan","given":"Bo","non-dropping-particle":"","parse-names":false,"suffix":""},{"dropping-particle":"","family":"Liu","given":"Pengfei","non-dropping-particle":"","parse-names":false,"suffix":""},{"dropping-particle":"","family":"Gupta","given":"Aditya","non-dropping-particle":"","parse-names":false,"suffix":""},{"dropping-particle":"","family":"Beck","given":"Christine R","non-dropping-particle":"","parse-names":false,"suffix":""},{"dropping-particle":"","family":"Tejomurtula","given":"Anusha","non-dropping-particle":"","parse-names":false,"suffix":""},{"dropping-particle":"","family":"Campbell","given":"Ian M","non-dropping-particle":"","parse-names":false,"suffix":""},{"dropping-particle":"","family":"Gambin","given":"Tomasz","non-dropping-particle":"","parse-names":false,"suffix":""},{"dropping-particle":"","family":"Simmons","given":"Alexandra D","non-dropping-particle":"","parse-names":false,"suffix":""},{"dropping-particle":"","family":"Withers","given":"Marjorie A","non-dropping-particle":"","parse-names":false,"suffix":""},{"dropping-particle":"","family":"Harris","given":"R Alan","non-dropping-particle":"","parse-names":false,"suffix":""},{"dropping-particle":"","family":"Rogers","given":"Jeffrey","non-dropping-particle":"","parse-names":false,"suffix":""},{"dropping-particle":"","family":"Schwartz","given":"David C","non-dropping-particle":"","parse-names":false,"suffix":""},{"dropping-particle":"","family":"Lupski","given":"James R","non-dropping-particle":"","parse-names":false,"suffix":""}],"container-title":"PLoS Genetics","id":"ITEM-2","issue":"12","issued":{"date-parts":[["2015"]]},"publisher":"School of Health Professions","title":"Comparative Genomic Analyses of the Human NPHP1 Locus Reveal Complex Genomic Architecture and Its Regional Evolution in Primates","type":"article-journal","volume":"11"},"uris":["http://www.mendeley.com/documents/?uuid=74dcd5c7-8a8b-38ab-bfdc-02076d263887"]}],"mendeley":{"formattedCitation":"&lt;span style=\"baseline\"&gt;[5,6]&lt;/span&gt;","plainTextFormattedCitation":"[5,6]","previouslyFormattedCitation":"&lt;span style=\"baseline\"&gt;[5,6]&lt;/span&gt;"},"properties":{"noteIndex":0},"schema":"https://github.com/citation-style-language/schema/raw/master/csl-citation.json"}</w:instrText>
      </w:r>
      <w:r w:rsidRPr="00F0254C">
        <w:rPr>
          <w:rFonts w:ascii="Segoe UI" w:hAnsi="Segoe UI" w:cs="Segoe UI"/>
        </w:rPr>
        <w:fldChar w:fldCharType="separate"/>
      </w:r>
      <w:r w:rsidR="00621F24" w:rsidRPr="00621F24">
        <w:rPr>
          <w:rFonts w:ascii="Segoe UI" w:hAnsi="Segoe UI" w:cs="Segoe UI"/>
          <w:noProof/>
        </w:rPr>
        <w:t>[5,6]</w:t>
      </w:r>
      <w:r w:rsidRPr="00F0254C">
        <w:rPr>
          <w:rFonts w:ascii="Segoe UI" w:hAnsi="Segoe UI" w:cs="Segoe UI"/>
        </w:rPr>
        <w:fldChar w:fldCharType="end"/>
      </w:r>
      <w:r w:rsidRPr="00F0254C">
        <w:rPr>
          <w:rFonts w:ascii="Segoe UI" w:hAnsi="Segoe UI" w:cs="Segoe UI"/>
        </w:rPr>
        <w:t xml:space="preserve"> This unequal cross-over results in structural variation, including copy number variants (CNVs) such as duplications, deletions or inversions.</w:t>
      </w:r>
      <w:r w:rsidRPr="00F0254C">
        <w:rPr>
          <w:rFonts w:ascii="Segoe UI" w:hAnsi="Segoe UI" w:cs="Segoe UI"/>
        </w:rPr>
        <w:fldChar w:fldCharType="begin" w:fldLock="1"/>
      </w:r>
      <w:r w:rsidR="00C275EA">
        <w:rPr>
          <w:rFonts w:ascii="Segoe UI" w:hAnsi="Segoe UI" w:cs="Segoe UI"/>
        </w:rPr>
        <w:instrText>ADDIN CSL_CITATION {"citationItems":[{"id":"ITEM-1","itemData":{"DOI":"10.1371/journal.pgen.1005686","ISSN":"15537404","abstract":"© 2015 Yuan et al. Many loci in the human genome harbor complex genomic structures that can result in susceptibility to genomic rearrangements leading to various genomic disorders. Nephronophthisis 1 (NPHP1, MIM# 256100) is an autosomal recessive disorder that can be caused by defects of NPHP1; the gene maps within the human 2q13 region where low copy repeats (LCRs) are abundant. Loss of function of NPHP1 is responsible for approximately 85% of the NPHP1 cases—about 80% of such individuals carry a large recurrent homozygous NPHP1 deletion that occurs via nonallelic homologous recombination (NAHR) between two flanking directly oriented ~45 kb LCRs. Published data revealed a non-pathogenic inversion polymorphism involving the NPHP1 gene flanked by two inverted ~358 kb LCRs. Using optical mapping and array-comparative genomic hybridization, we identified three potential novel structural variant (SV) haplotypes at the NPHP1 locus that may protect a haploid genome from the NPHP1 deletion. Inter-species comparative genomic analyses among primate genomes revealed massive genomic changes during evolution. The aggregated data suggest that dynamic genomic rearrangements occurred historically within the NPHP1 locus and generated SV haplotypes observed in the human population today, which may confer differential susceptibility to genomic instability and the NPHP1 deletion within a personal genome. Our study documents diverse SV haplotypes at a complex LCR-laden human genomic region. Comparative analyses provide a model for how this complex region arose during primate evolution, and studies among humans suggest that intra-species polymorphism may potentially modulate an individual’s susceptibility to acquiring disease-associated alleles.","author":[{"dropping-particle":"","family":"Yuan","given":"Bo","non-dropping-particle":"","parse-names":false,"suffix":""},{"dropping-particle":"","family":"Liu","given":"Pengfei","non-dropping-particle":"","parse-names":false,"suffix":""},{"dropping-particle":"","family":"Gupta","given":"Aditya","non-dropping-particle":"","parse-names":false,"suffix":""},{"dropping-particle":"","family":"Beck","given":"Christine R","non-dropping-particle":"","parse-names":false,"suffix":""},{"dropping-particle":"","family":"Tejomurtula","given":"Anusha","non-dropping-particle":"","parse-names":false,"suffix":""},{"dropping-particle":"","family":"Campbell","given":"Ian M","non-dropping-particle":"","parse-names":false,"suffix":""},{"dropping-particle":"","family":"Gambin","given":"Tomasz","non-dropping-particle":"","parse-names":false,"suffix":""},{"dropping-particle":"","family":"Simmons","given":"Alexandra D","non-dropping-particle":"","parse-names":false,"suffix":""},{"dropping-particle":"","family":"Withers","given":"Marjorie A","non-dropping-particle":"","parse-names":false,"suffix":""},{"dropping-particle":"","family":"Harris","given":"R Alan","non-dropping-particle":"","parse-names":false,"suffix":""},{"dropping-particle":"","family":"Rogers","given":"Jeffrey","non-dropping-particle":"","parse-names":false,"suffix":""},{"dropping-particle":"","family":"Schwartz","given":"David C","non-dropping-particle":"","parse-names":false,"suffix":""},{"dropping-particle":"","family":"Lupski","given":"James R","non-dropping-particle":"","parse-names":false,"suffix":""}],"container-title":"PLoS Genetics","id":"ITEM-1","issue":"12","issued":{"date-parts":[["2015"]]},"publisher":"School of Health Professions","title":"Comparative Genomic Analyses of the Human NPHP1 Locus Reveal Complex Genomic Architecture and Its Regional Evolution in Primates","type":"article-journal","volume":"11"},"uris":["http://www.mendeley.com/documents/?uuid=74dcd5c7-8a8b-38ab-bfdc-02076d263887"]}],"mendeley":{"formattedCitation":"&lt;span style=\"baseline\"&gt;[5]&lt;/span&gt;","plainTextFormattedCitation":"[5]","previouslyFormattedCitation":"&lt;span style=\"baseline\"&gt;[5]&lt;/span&gt;"},"properties":{"noteIndex":0},"schema":"https://github.com/citation-style-language/schema/raw/master/csl-citation.json"}</w:instrText>
      </w:r>
      <w:r w:rsidRPr="00F0254C">
        <w:rPr>
          <w:rFonts w:ascii="Segoe UI" w:hAnsi="Segoe UI" w:cs="Segoe UI"/>
        </w:rPr>
        <w:fldChar w:fldCharType="separate"/>
      </w:r>
      <w:r w:rsidR="00621F24" w:rsidRPr="00621F24">
        <w:rPr>
          <w:rFonts w:ascii="Segoe UI" w:hAnsi="Segoe UI" w:cs="Segoe UI"/>
          <w:noProof/>
        </w:rPr>
        <w:t>[5]</w:t>
      </w:r>
      <w:r w:rsidRPr="00F0254C">
        <w:rPr>
          <w:rFonts w:ascii="Segoe UI" w:hAnsi="Segoe UI" w:cs="Segoe UI"/>
        </w:rPr>
        <w:fldChar w:fldCharType="end"/>
      </w:r>
      <w:r w:rsidRPr="00F0254C">
        <w:rPr>
          <w:rFonts w:ascii="Segoe UI" w:hAnsi="Segoe UI" w:cs="Segoe UI"/>
        </w:rPr>
        <w:t xml:space="preserve"> </w:t>
      </w:r>
    </w:p>
    <w:p w14:paraId="7ECF838B" w14:textId="2D1DCF43" w:rsidR="00C50140" w:rsidRPr="00F0254C" w:rsidRDefault="00EB613C" w:rsidP="00621F24">
      <w:pPr>
        <w:spacing w:line="480" w:lineRule="auto"/>
        <w:rPr>
          <w:rFonts w:ascii="Segoe UI" w:hAnsi="Segoe UI" w:cs="Segoe UI"/>
        </w:rPr>
      </w:pPr>
      <w:r w:rsidRPr="00F0254C">
        <w:rPr>
          <w:rFonts w:ascii="Segoe UI" w:hAnsi="Segoe UI" w:cs="Segoe UI"/>
          <w:i/>
          <w:iCs/>
        </w:rPr>
        <w:lastRenderedPageBreak/>
        <w:t xml:space="preserve">NPHP1 </w:t>
      </w:r>
      <w:r w:rsidRPr="00F0254C">
        <w:rPr>
          <w:rFonts w:ascii="Segoe UI" w:hAnsi="Segoe UI" w:cs="Segoe UI"/>
        </w:rPr>
        <w:t xml:space="preserve">is localised to </w:t>
      </w:r>
      <w:r w:rsidR="002438AC" w:rsidRPr="00F0254C">
        <w:rPr>
          <w:rFonts w:ascii="Segoe UI" w:hAnsi="Segoe UI" w:cs="Segoe UI"/>
        </w:rPr>
        <w:t xml:space="preserve">the connecting cilia in photoreceptor cells and to </w:t>
      </w:r>
      <w:r w:rsidRPr="00F0254C">
        <w:rPr>
          <w:rFonts w:ascii="Segoe UI" w:hAnsi="Segoe UI" w:cs="Segoe UI"/>
        </w:rPr>
        <w:t xml:space="preserve">the base of the primary renal cilium </w:t>
      </w:r>
      <w:r w:rsidR="002438AC" w:rsidRPr="00F0254C">
        <w:rPr>
          <w:rFonts w:ascii="Segoe UI" w:hAnsi="Segoe UI" w:cs="Segoe UI"/>
        </w:rPr>
        <w:t>(</w:t>
      </w:r>
      <w:r w:rsidRPr="00F0254C">
        <w:rPr>
          <w:rFonts w:ascii="Segoe UI" w:hAnsi="Segoe UI" w:cs="Segoe UI"/>
        </w:rPr>
        <w:t>known as the transition zone</w:t>
      </w:r>
      <w:r w:rsidR="002438AC" w:rsidRPr="00F0254C">
        <w:rPr>
          <w:rFonts w:ascii="Segoe UI" w:hAnsi="Segoe UI" w:cs="Segoe UI"/>
        </w:rPr>
        <w:t>)</w:t>
      </w:r>
      <w:r w:rsidRPr="00F0254C">
        <w:rPr>
          <w:rFonts w:ascii="Segoe UI" w:hAnsi="Segoe UI" w:cs="Segoe UI"/>
        </w:rPr>
        <w:t xml:space="preserve"> of renal epithelial cells of the collecting ducts.</w:t>
      </w:r>
      <w:r w:rsidRPr="00F0254C">
        <w:rPr>
          <w:rFonts w:ascii="Segoe UI" w:hAnsi="Segoe UI" w:cs="Segoe UI"/>
        </w:rPr>
        <w:fldChar w:fldCharType="begin" w:fldLock="1"/>
      </w:r>
      <w:r w:rsidR="00C275EA">
        <w:rPr>
          <w:rFonts w:ascii="Segoe UI" w:hAnsi="Segoe UI" w:cs="Segoe UI"/>
        </w:rPr>
        <w:instrText>ADDIN CSL_CITATION {"citationItems":[{"id":"ITEM-1","itemData":{"DOI":"10.1681/ASN.2005121351","ISSN":"10466673","PMID":"16885411","abstract":"Nephronophthisis (NPHP) is a hereditary cystic kidney disorder that causes renal failure in children and young adults and can be associated with various extrarenal disorders, including retinitis pigmentosa. Six NPHP genes, whose functions are disrupted by autosomal recessive mutations in patients with NPHP, have been identified. The majority of patients with NPHP carry homozygous deletions of NPHP1 encoding nephrocystin. Previous data indicate that nephrocystin forms a complex at cell junctions and focal adhesions. Here, it is shown that nephrocystin specifically localizes at the ciliary base to the transition zone of renal and respiratory cilia and to photoreceptor connecting cilia. During in vitro ciliogenesis of primary human respiratory epithelial cells, nephrocystin can be detected first with a diffuse cytoplasmic localization as soon as cell polarization starts, and translocates to the transition zone when cilia are formed. In columnar respiratory cells, nephrocystin is attached tightly to the axonemal structure of the transition zone at a region that contains the calcium-sensitive cilia autotomy site. In patients with homozygous NPHP1 deletions, nephrocystin is absent from the entire respiratory cell, including the transition zone, which might be of interest for future diagnostic approaches. Cilia formation is not altered in primary nephrocystin-deficient respiratory cells, which is consistent with previous findings obtained for the Caenorhabditis elegans ortholog. In addition, it is shown that the localization pattern of intraflagellar transport proteins and nephrocystin differs, suggesting distinct functional roles. In conclusion, nephrocystin deficiency or dysfunction at the transition zone of renal monocilia and the photoreceptor connecting cilium might explain renal failure and retinal degeneration that are observed in patients with NPHP1. Copyright © 2006 by the American Society of Nephrology.","author":[{"dropping-particle":"","family":"Fliegauf","given":"Manfred","non-dropping-particle":"","parse-names":false,"suffix":""},{"dropping-particle":"","family":"Horvath","given":"Judit","non-dropping-particle":"","parse-names":false,"suffix":""},{"dropping-particle":"","family":"Schnakenburg","given":"Christian","non-dropping-particle":"Von","parse-names":false,"suffix":""},{"dropping-particle":"","family":"Olbrich","given":"Heike","non-dropping-particle":"","parse-names":false,"suffix":""},{"dropping-particle":"","family":"Müller","given":"Dominik","non-dropping-particle":"","parse-names":false,"suffix":""},{"dropping-particle":"","family":"Thumfart","given":"Julia","non-dropping-particle":"","parse-names":false,"suffix":""},{"dropping-particle":"","family":"Schermer","given":"Bernhard","non-dropping-particle":"","parse-names":false,"suffix":""},{"dropping-particle":"","family":"Pazour","given":"Gregory J.","non-dropping-particle":"","parse-names":false,"suffix":""},{"dropping-particle":"","family":"Neumann","given":"Hartmut P.H.","non-dropping-particle":"","parse-names":false,"suffix":""},{"dropping-particle":"","family":"Zentgraf","given":"Hanswalter","non-dropping-particle":"","parse-names":false,"suffix":""},{"dropping-particle":"","family":"Benzing","given":"Thomas","non-dropping-particle":"","parse-names":false,"suffix":""},{"dropping-particle":"","family":"Omran","given":"Heymut","non-dropping-particle":"","parse-names":false,"suffix":""}],"container-title":"Journal of the American Society of Nephrology","id":"ITEM-1","issue":"9","issued":{"date-parts":[["2006","9","1"]]},"page":"2424-2433","publisher":"American Society of Nephrology","title":"Nephrocystin specifically localizes to the transition zone of renal and respiratory cilia and photoreceptor connecting cilia","type":"article-journal","volume":"17"},"uris":["http://www.mendeley.com/documents/?uuid=5a2a74fa-6406-3343-9ca2-379fc4d82fe9"]},{"id":"ITEM-2","itemData":{"DOI":"http://dx.doi.org/10.1016/j.bbrc.2008.05.016","ISBN":"0006-291X\r1090-2104","PMID":"50144786","abstract":"Nephronophthisis is characterised by renal fibrosis, tubular basement membrane disruption and corticomedullary cyst formation leading to end stage renal failure. Mutations in NPHP1 account for the underlying genetic defect in 25% of patients with nephronophthisis. Loss of urine concentration ability may be an early feature of nephronophthisis. Using yeast-2-library screening with the SH3 domain of nephrocystin-1 as bait, we identify Ack1 as a novel interaction partner. This interaction is confirmed using exogenous over-expression followed by co-immunoprecipitation. Ack1 is an activated Cdc42-associated kinase, and like nephrocystin-1, is a known interactor of p130Cas. Nephrocystin-1 partially colocalises with Ack1 at cell-cell contacts in IMCD3 cells. In human kidney, nephrocystin-1 expression is limited to cell-cell junctions in renal collecting duct cells. These data define Ack1 as a novel interaction partner of nephrocystin-1 and implicate cell-cell junctions and the renal collecting duct in the pathology of nephronophthisis. © 2008 Elsevier Inc. All rights reserved.","author":[{"dropping-particle":"","family":"Eley","given":"L","non-dropping-particle":"","parse-names":false,"suffix":""},{"dropping-particle":"","family":"Moochhala","given":"S H","non-dropping-particle":"","parse-names":false,"suffix":""},{"dropping-particle":"","family":"Simms","given":"R","non-dropping-particle":"","parse-names":false,"suffix":""},{"dropping-particle":"","family":"Hildebrandt","given":"F","non-dropping-particle":"","parse-names":false,"suffix":""},{"dropping-particle":"","family":"Sayer","given":"J A","non-dropping-particle":"","parse-names":false,"suffix":""}],"container-title":"Biochemical and Biophysical Research Communications","id":"ITEM-2","issue":"4","issued":{"date-parts":[["2008"]]},"language":"English","page":"877-882","title":"Nephrocystin-1 interacts directly with Ack1 and is expressed in human collecting duct","type":"article-journal","volume":"371"},"uris":["http://www.mendeley.com/documents/?uuid=ac7994e6-59ff-4aae-a3de-a7ab3f70305a"]}],"mendeley":{"formattedCitation":"&lt;span style=\"baseline\"&gt;[7,8]&lt;/span&gt;","plainTextFormattedCitation":"[7,8]","previouslyFormattedCitation":"&lt;span style=\"baseline\"&gt;[7,8]&lt;/span&gt;"},"properties":{"noteIndex":0},"schema":"https://github.com/citation-style-language/schema/raw/master/csl-citation.json"}</w:instrText>
      </w:r>
      <w:r w:rsidRPr="00F0254C">
        <w:rPr>
          <w:rFonts w:ascii="Segoe UI" w:hAnsi="Segoe UI" w:cs="Segoe UI"/>
        </w:rPr>
        <w:fldChar w:fldCharType="separate"/>
      </w:r>
      <w:r w:rsidR="00621F24" w:rsidRPr="00621F24">
        <w:rPr>
          <w:rFonts w:ascii="Segoe UI" w:hAnsi="Segoe UI" w:cs="Segoe UI"/>
          <w:noProof/>
        </w:rPr>
        <w:t>[7,8]</w:t>
      </w:r>
      <w:r w:rsidRPr="00F0254C">
        <w:rPr>
          <w:rFonts w:ascii="Segoe UI" w:hAnsi="Segoe UI" w:cs="Segoe UI"/>
        </w:rPr>
        <w:fldChar w:fldCharType="end"/>
      </w:r>
      <w:r w:rsidR="00EA6A9F" w:rsidRPr="00F0254C">
        <w:rPr>
          <w:rFonts w:ascii="Segoe UI" w:hAnsi="Segoe UI" w:cs="Segoe UI"/>
        </w:rPr>
        <w:t xml:space="preserve"> Primary cilia are </w:t>
      </w:r>
      <w:r w:rsidR="009A2FF4" w:rsidRPr="00F0254C">
        <w:rPr>
          <w:rFonts w:ascii="Segoe UI" w:hAnsi="Segoe UI" w:cs="Segoe UI"/>
        </w:rPr>
        <w:t>near</w:t>
      </w:r>
      <w:r w:rsidR="002152BC" w:rsidRPr="00F0254C">
        <w:rPr>
          <w:rFonts w:ascii="Segoe UI" w:hAnsi="Segoe UI" w:cs="Segoe UI"/>
        </w:rPr>
        <w:t>-</w:t>
      </w:r>
      <w:r w:rsidR="009A2FF4" w:rsidRPr="00F0254C">
        <w:rPr>
          <w:rFonts w:ascii="Segoe UI" w:hAnsi="Segoe UI" w:cs="Segoe UI"/>
        </w:rPr>
        <w:t xml:space="preserve">ubiquitous </w:t>
      </w:r>
      <w:r w:rsidR="00EA6A9F" w:rsidRPr="00F0254C">
        <w:rPr>
          <w:rFonts w:ascii="Segoe UI" w:hAnsi="Segoe UI" w:cs="Segoe UI"/>
        </w:rPr>
        <w:t>sensory organelles that protrude from the cell surface.</w:t>
      </w:r>
      <w:r w:rsidR="009A2FF4" w:rsidRPr="00F0254C">
        <w:rPr>
          <w:rFonts w:ascii="Segoe UI" w:hAnsi="Segoe UI" w:cs="Segoe UI"/>
        </w:rPr>
        <w:fldChar w:fldCharType="begin" w:fldLock="1"/>
      </w:r>
      <w:r w:rsidR="00C275EA">
        <w:rPr>
          <w:rFonts w:ascii="Segoe UI" w:hAnsi="Segoe UI" w:cs="Segoe UI"/>
        </w:rPr>
        <w:instrText>ADDIN CSL_CITATION {"citationItems":[{"id":"ITEM-1","itemData":{"DOI":"10.1038/nrm.2017.60","ISSN":"14710080","abstract":"Motile and non-motile primary cilia are nearly ubiquitous cellular organelles. Dysfunction of cilia is being found to cause increasing numbers of diseases that are known as ciliopathies. The characterization of ciliopathy-associated proteins and phenotypes is increasing our understanding of how cilia are formed and compartmentalized and how they function to maintain human health.","author":[{"dropping-particle":"","family":"Reiter","given":"Jeremy F.","non-dropping-particle":"","parse-names":false,"suffix":""},{"dropping-particle":"","family":"Leroux","given":"Michel R.","non-dropping-particle":"","parse-names":false,"suffix":""}],"container-title":"Nature Reviews Molecular Cell Biology","id":"ITEM-1","issue":"9","issued":{"date-parts":[["2017","9","12"]]},"page":"533-547","publisher":"Nature Publishing Group","title":"Genes and molecular pathways underpinning ciliopathies","type":"article","volume":"18"},"uris":["http://www.mendeley.com/documents/?uuid=2694565a-be8c-30dc-babc-10f5a0c47dda"]}],"mendeley":{"formattedCitation":"&lt;span style=\"baseline\"&gt;[9]&lt;/span&gt;","plainTextFormattedCitation":"[9]","previouslyFormattedCitation":"&lt;span style=\"baseline\"&gt;[9]&lt;/span&gt;"},"properties":{"noteIndex":0},"schema":"https://github.com/citation-style-language/schema/raw/master/csl-citation.json"}</w:instrText>
      </w:r>
      <w:r w:rsidR="009A2FF4" w:rsidRPr="00F0254C">
        <w:rPr>
          <w:rFonts w:ascii="Segoe UI" w:hAnsi="Segoe UI" w:cs="Segoe UI"/>
        </w:rPr>
        <w:fldChar w:fldCharType="separate"/>
      </w:r>
      <w:r w:rsidR="00621F24" w:rsidRPr="00621F24">
        <w:rPr>
          <w:rFonts w:ascii="Segoe UI" w:hAnsi="Segoe UI" w:cs="Segoe UI"/>
          <w:noProof/>
        </w:rPr>
        <w:t>[9]</w:t>
      </w:r>
      <w:r w:rsidR="009A2FF4" w:rsidRPr="00F0254C">
        <w:rPr>
          <w:rFonts w:ascii="Segoe UI" w:hAnsi="Segoe UI" w:cs="Segoe UI"/>
        </w:rPr>
        <w:fldChar w:fldCharType="end"/>
      </w:r>
      <w:r w:rsidR="003C7884" w:rsidRPr="00F0254C">
        <w:rPr>
          <w:rFonts w:ascii="Segoe UI" w:hAnsi="Segoe UI" w:cs="Segoe UI"/>
        </w:rPr>
        <w:t xml:space="preserve"> Diseases associated with </w:t>
      </w:r>
      <w:r w:rsidR="003C7884" w:rsidRPr="00F0254C">
        <w:rPr>
          <w:rFonts w:ascii="Segoe UI" w:hAnsi="Segoe UI" w:cs="Segoe UI"/>
          <w:i/>
          <w:iCs/>
        </w:rPr>
        <w:t>NPHP1</w:t>
      </w:r>
      <w:r w:rsidR="003C7884" w:rsidRPr="00F0254C">
        <w:rPr>
          <w:rFonts w:ascii="Segoe UI" w:hAnsi="Segoe UI" w:cs="Segoe UI"/>
        </w:rPr>
        <w:t xml:space="preserve"> are therefore known as ci</w:t>
      </w:r>
      <w:r w:rsidR="00F22506" w:rsidRPr="00F0254C">
        <w:rPr>
          <w:rFonts w:ascii="Segoe UI" w:hAnsi="Segoe UI" w:cs="Segoe UI"/>
        </w:rPr>
        <w:t>l</w:t>
      </w:r>
      <w:r w:rsidR="003C7884" w:rsidRPr="00F0254C">
        <w:rPr>
          <w:rFonts w:ascii="Segoe UI" w:hAnsi="Segoe UI" w:cs="Segoe UI"/>
        </w:rPr>
        <w:t>iopathies.</w:t>
      </w:r>
      <w:r w:rsidR="003C7884" w:rsidRPr="00F0254C">
        <w:rPr>
          <w:rFonts w:ascii="Segoe UI" w:hAnsi="Segoe UI" w:cs="Segoe UI"/>
        </w:rPr>
        <w:fldChar w:fldCharType="begin" w:fldLock="1"/>
      </w:r>
      <w:r w:rsidR="00C275EA">
        <w:rPr>
          <w:rFonts w:ascii="Segoe UI" w:hAnsi="Segoe UI" w:cs="Segoe UI"/>
        </w:rPr>
        <w:instrText>ADDIN CSL_CITATION {"citationItems":[{"id":"ITEM-1","itemData":{"DOI":"10.1007/s00467-010-1585-z","ISSN":"0931041X","PMID":"20652329","abstract":"Nephronophthisis (NPHP) is an autosomal recessive cystic kidney disease and the most frequent genetic cause of end-stage renal disease up to the third decade of life. It is caused by mutations in 11 different genes, denoted nephrocystins (NPHP1-11, NPHP1L). As an increasing number of these genes are identified, our knowledge of nephronophthisis is changing, thereby improving our understanding of the pathomechanisms in NPHP. Recent publications have described ciliary expression of nephrocystins together with other cystoproteins, such as polycystins 1 and 2 and fibrocystin. These findings have shifted our focus to a pathomechanism involving defects in ciliary function (ciliopathy) and planar cell polarity (PCP). In addition, discoveries of new nephrocystin genes have shown that the disease spectrum of NPHP is much broader than previously anticipated. Different forms of mutations within the same NPHP gene can cause different disease severity. In this review, we highlight the different hypotheses on the pathomechanisms for NPHP and underline the clinical variability of this disease. The clinical spectrum has become even more complex with the possibility of oligogenicity in NPHP. © 2010 IPNA.","author":[{"dropping-particle":"","family":"Wolf","given":"M","non-dropping-particle":"","parse-names":false,"suffix":""},{"dropping-particle":"","family":"Hildebrandt","given":"F","non-dropping-particle":"","parse-names":false,"suffix":""}],"container-title":"Pediatric Nephrology","id":"ITEM-1","issue":"2","issued":{"date-parts":[["2011","2","22"]]},"page":"181-194","publisher":"Springer-Verlag","title":"Nephronophthisis","type":"article","volume":"26"},"uris":["http://www.mendeley.com/documents/?uuid=2780c1da-197f-30c9-a9c2-6016c2233be1"]}],"mendeley":{"formattedCitation":"&lt;span style=\"baseline\"&gt;[10]&lt;/span&gt;","plainTextFormattedCitation":"[10]","previouslyFormattedCitation":"&lt;span style=\"baseline\"&gt;[10]&lt;/span&gt;"},"properties":{"noteIndex":0},"schema":"https://github.com/citation-style-language/schema/raw/master/csl-citation.json"}</w:instrText>
      </w:r>
      <w:r w:rsidR="003C7884" w:rsidRPr="00F0254C">
        <w:rPr>
          <w:rFonts w:ascii="Segoe UI" w:hAnsi="Segoe UI" w:cs="Segoe UI"/>
        </w:rPr>
        <w:fldChar w:fldCharType="separate"/>
      </w:r>
      <w:r w:rsidR="00621F24" w:rsidRPr="00621F24">
        <w:rPr>
          <w:rFonts w:ascii="Segoe UI" w:hAnsi="Segoe UI" w:cs="Segoe UI"/>
          <w:noProof/>
        </w:rPr>
        <w:t>[10]</w:t>
      </w:r>
      <w:r w:rsidR="003C7884" w:rsidRPr="00F0254C">
        <w:rPr>
          <w:rFonts w:ascii="Segoe UI" w:hAnsi="Segoe UI" w:cs="Segoe UI"/>
        </w:rPr>
        <w:fldChar w:fldCharType="end"/>
      </w:r>
    </w:p>
    <w:p w14:paraId="7DFBB15C" w14:textId="053489DF" w:rsidR="00681AE4" w:rsidRPr="00F0254C" w:rsidRDefault="00681AE4" w:rsidP="00621F24">
      <w:pPr>
        <w:spacing w:line="480" w:lineRule="auto"/>
        <w:rPr>
          <w:rFonts w:ascii="Segoe UI" w:hAnsi="Segoe UI" w:cs="Segoe UI"/>
        </w:rPr>
      </w:pPr>
      <w:r w:rsidRPr="00F0254C">
        <w:rPr>
          <w:rFonts w:ascii="Segoe UI" w:hAnsi="Segoe UI" w:cs="Segoe UI"/>
        </w:rPr>
        <w:t xml:space="preserve">Homozygous deletion of </w:t>
      </w:r>
      <w:r w:rsidRPr="00F0254C">
        <w:rPr>
          <w:rFonts w:ascii="Segoe UI" w:hAnsi="Segoe UI" w:cs="Segoe UI"/>
          <w:i/>
          <w:iCs/>
        </w:rPr>
        <w:t>NPHP1</w:t>
      </w:r>
      <w:r w:rsidRPr="00F0254C">
        <w:rPr>
          <w:rFonts w:ascii="Segoe UI" w:hAnsi="Segoe UI" w:cs="Segoe UI"/>
        </w:rPr>
        <w:t xml:space="preserve"> is the commonest cause of nephronophthisis (20-25% of cases).</w:t>
      </w:r>
      <w:r w:rsidRPr="00F0254C">
        <w:rPr>
          <w:rFonts w:ascii="Segoe UI" w:hAnsi="Segoe UI" w:cs="Segoe UI"/>
        </w:rPr>
        <w:fldChar w:fldCharType="begin" w:fldLock="1"/>
      </w:r>
      <w:r w:rsidR="00C275EA">
        <w:rPr>
          <w:rFonts w:ascii="Segoe UI" w:hAnsi="Segoe UI" w:cs="Segoe UI"/>
        </w:rPr>
        <w:instrText>ADDIN CSL_CITATION {"citationItems":[{"id":"ITEM-1","itemData":{"DOI":"10.1007/s00439-013-1297-0","ISSN":"03406717","abstract":"Nephronophthisis-related ciliopathies (NPHP-RC) are autosomal-recessive cystic kidney diseases. More than 13 genes are implicated in its pathogenesis to date, accounting for only 40 % of all cases. High-throughput mutation screenings of large patient cohorts represent a powerful tool for diagnostics and identification of novel NPHP genes. We here performed a new high-throughput mutation analysis method to study 13 established NPHP genes (NPHP1-NPHP13) in a worldwide cohort of 1,056 patients diagnosed with NPHP-RC. We first applied multiplexed PCR-based amplification using Fluidigm Access-Array™ technology followed by barcoding and next-generation resequencing on an Illumina platform. As a result, we established the molecular diagnosis in 127/1,056 independent individuals (12.0 %) and identified a single heterozygous truncating mutation in an additional 31 individuals (2.9 %). Altogether, we detected 159 different mutations in 11 out of 13 different NPHP genes, 99 of which were novel. Phenotypically most remarkable were two patients with truncating mutations in INVS/NPHP2 who did not present as infants and did not exhibit extrarenal manifestations. In addition, we present the first case of Caroli disease due to mutations in WDR19/NPHP13 and the second case ever with a recessive mutation in GLIS2/NPHP7. This study represents the most comprehensive mutation analysis in NPHP-RC patients, identifying the largest number of novel mutations in a single study worldwide.","author":[{"dropping-particle":"","family":"Halbritter","given":"Jan","non-dropping-particle":"","parse-names":false,"suffix":""},{"dropping-particle":"","family":"Porath","given":"Jonathan D.","non-dropping-particle":"","parse-names":false,"suffix":""},{"dropping-particle":"","family":"Diaz","given":"Katrina A.","non-dropping-particle":"","parse-names":false,"suffix":""},{"dropping-particle":"","family":"Braun","given":"Daniela A.","non-dropping-particle":"","parse-names":false,"suffix":""},{"dropping-particle":"","family":"Kohl","given":"Stefan","non-dropping-particle":"","parse-names":false,"suffix":""},{"dropping-particle":"","family":"Chaki","given":"Moumita","non-dropping-particle":"","parse-names":false,"suffix":""},{"dropping-particle":"","family":"Allen","given":"Susan J.","non-dropping-particle":"","parse-names":false,"suffix":""},{"dropping-particle":"","family":"Soliman","given":"Neveen A.","non-dropping-particle":"","parse-names":false,"suffix":""},{"dropping-particle":"","family":"Hildebrandt","given":"Friedhelm","non-dropping-particle":"","parse-names":false,"suffix":""},{"dropping-particle":"","family":"Otto","given":"Edgar A.","non-dropping-particle":"","parse-names":false,"suffix":""}],"container-title":"Human Genetics","id":"ITEM-1","issue":"8","issued":{"date-parts":[["2013","8","5"]]},"page":"865-884","publisher":"Springer Berlin Heidelberg","title":"Identification of 99 novel mutations in a worldwide cohort of 1,056 patients with a nephronophthisis-related ciliopathy","type":"article-journal","volume":"132"},"uris":["http://www.mendeley.com/documents/?uuid=756632db-8bd9-3ea2-a229-0ce4071c3173"]},{"id":"ITEM-2","itemData":{"DOI":"10.1681/ASN.2008050456","ISSN":"10466673","PMID":"19118152","abstract":"Nephronophthisis (NPHP), a recessive cystic kidney disease, is the most frequent genetic cause of end-stage kidney disease in children and young adults. Positional cloning of nine genes (NPHP1 through 9) and functional characterization of their encoded proteins (nephrocystins) have contributed to a unifying theory that defines cystic kidney diseases as \"ciliopathies. \" The theory is based on the finding that all proteins mutated in cystic kidney diseases of humans or animal models are expressed in primary cilia or centrosomes of renal epithelial cells. Primary cilia are sensory organelles that connect mechanosensory, visual, and other stimuli to mechanisms of epithelial cell polarity and cell-cycle control. Mutations in NPHP genes cause defects in signaling mechanisms that involve the noncanonical Wnt signaling pathway and the sonic hedgehog signaling pathway, resulting in defects of planar cell polarity and tissue maintenance. The ciliary theory explains the multiple organ involvement in NPHP, which includes retinal degeneration, cerebellar hypoplasia, liver fibrosis, situs inversus, and mental retardation. Positional cloning of dozens of unknown genes that cause NPHP will elucidate further signaling mechanisms involved. Nephrocystins are highly conserved in evolution, thereby allowing the use of animal models to develop future therapeutic approaches. Copyright © 2009 by the American Society of Nephrology.","author":[{"dropping-particle":"","family":"Hildebrandt","given":"Friedhelm","non-dropping-particle":"","parse-names":false,"suffix":""},{"dropping-particle":"","family":"Attanasio","given":"Massimo","non-dropping-particle":"","parse-names":false,"suffix":""},{"dropping-particle":"","family":"Otto","given":"Edgar","non-dropping-particle":"","parse-names":false,"suffix":""}],"container-title":"Journal of the American Society of Nephrology","id":"ITEM-2","issue":"1","issued":{"date-parts":[["2009","1"]]},"page":"23-35","publisher":"Howard Hughes Medical Institute","title":"Nephronophthisis: Disease mechanisms of a ciliopathy","type":"article","volume":"20"},"uris":["http://www.mendeley.com/documents/?uuid=5ba2b85a-3221-38f7-b366-45a82d9229b7"]},{"id":"ITEM-3","itemData":{"DOI":"10.1101/cshperspect.a028191","ISSN":"1943-0264","PMID":"27793968","abstract":"Nephronophthisis-related ciliopathies (NPHP-RC) are a group of inherited diseases that affect genes encoding proteins that localize to primary cilia or centrosomes. With few exceptions, ciliopathies are inherited in an autosomal recessive manner, and affected individuals manifest early during childhood or adolescence. NPHP-RC are genetically very heterogeneous, and, currently, mutations in more than 90 genes have been described as single-gene causes. The phenotypes of NPHP-RC are very diverse, and include cystic-fibrotic kidney disease, brain developmental defects, retinal degeneration, skeletal deformities, facial dimorphism, and, in some cases, laterality defects, and congenital heart disease. Mutations in the same gene can give rise to diverse phenotypes depending on the mutated allele. At the same time, there is broad phenotypic overlap between different monogenic genes. The identification of monogenic causes of ciliopathies has furthered the understanding of molecular mechanism and cellular pathways involved in the pathogenesis.","author":[{"dropping-particle":"","family":"Braun","given":"Daniela A","non-dropping-particle":"","parse-names":false,"suffix":""},{"dropping-particle":"","family":"Hildebrandt","given":"Friedhelm","non-dropping-particle":"","parse-names":false,"suffix":""}],"container-title":"Cold Spring Harbor perspectives in biology","id":"ITEM-3","issue":"3","issued":{"date-parts":[["2017","3","1"]]},"publisher":"Cold Spring Harbor Laboratory Press","title":"Ciliopathies.","type":"article-journal","volume":"9"},"uris":["http://www.mendeley.com/documents/?uuid=75e5dd28-8954-38bf-b535-bcc47f177f33"]}],"mendeley":{"formattedCitation":"&lt;span style=\"baseline\"&gt;[11–13]&lt;/span&gt;","plainTextFormattedCitation":"[11–13]","previouslyFormattedCitation":"&lt;span style=\"baseline\"&gt;[11–13]&lt;/span&gt;"},"properties":{"noteIndex":0},"schema":"https://github.com/citation-style-language/schema/raw/master/csl-citation.json"}</w:instrText>
      </w:r>
      <w:r w:rsidRPr="00F0254C">
        <w:rPr>
          <w:rFonts w:ascii="Segoe UI" w:hAnsi="Segoe UI" w:cs="Segoe UI"/>
        </w:rPr>
        <w:fldChar w:fldCharType="separate"/>
      </w:r>
      <w:r w:rsidR="00621F24" w:rsidRPr="00621F24">
        <w:rPr>
          <w:rFonts w:ascii="Segoe UI" w:hAnsi="Segoe UI" w:cs="Segoe UI"/>
          <w:noProof/>
        </w:rPr>
        <w:t>[11–13]</w:t>
      </w:r>
      <w:r w:rsidRPr="00F0254C">
        <w:rPr>
          <w:rFonts w:ascii="Segoe UI" w:hAnsi="Segoe UI" w:cs="Segoe UI"/>
        </w:rPr>
        <w:fldChar w:fldCharType="end"/>
      </w:r>
      <w:r w:rsidRPr="00F0254C">
        <w:rPr>
          <w:rFonts w:ascii="Segoe UI" w:hAnsi="Segoe UI" w:cs="Segoe UI"/>
        </w:rPr>
        <w:t xml:space="preserve"> Nephronophthisis, which means </w:t>
      </w:r>
      <w:r w:rsidR="001B7943" w:rsidRPr="00F0254C">
        <w:rPr>
          <w:rFonts w:ascii="Segoe UI" w:hAnsi="Segoe UI" w:cs="Segoe UI"/>
        </w:rPr>
        <w:t>'</w:t>
      </w:r>
      <w:r w:rsidRPr="00F0254C">
        <w:rPr>
          <w:rFonts w:ascii="Segoe UI" w:hAnsi="Segoe UI" w:cs="Segoe UI"/>
        </w:rPr>
        <w:t>vanishing nephron</w:t>
      </w:r>
      <w:r w:rsidR="001B7943" w:rsidRPr="00F0254C">
        <w:rPr>
          <w:rFonts w:ascii="Segoe UI" w:hAnsi="Segoe UI" w:cs="Segoe UI"/>
        </w:rPr>
        <w:t>'</w:t>
      </w:r>
      <w:r w:rsidRPr="00F0254C">
        <w:rPr>
          <w:rFonts w:ascii="Segoe UI" w:hAnsi="Segoe UI" w:cs="Segoe UI"/>
        </w:rPr>
        <w:t xml:space="preserve"> in Greek, is a tubulointerstitial kidney disease classically divided into three categories, based on the age of presentation: infantile, juvenile, and, less commonly, adolescent.</w:t>
      </w:r>
      <w:r w:rsidRPr="00F0254C">
        <w:rPr>
          <w:rFonts w:ascii="Segoe UI" w:hAnsi="Segoe UI" w:cs="Segoe UI"/>
        </w:rPr>
        <w:fldChar w:fldCharType="begin" w:fldLock="1"/>
      </w:r>
      <w:r w:rsidR="00C275EA">
        <w:rPr>
          <w:rFonts w:ascii="Segoe UI" w:hAnsi="Segoe UI" w:cs="Segoe UI"/>
        </w:rPr>
        <w:instrText>ADDIN CSL_CITATION {"citationItems":[{"id":"ITEM-1","itemData":{"DOI":"10.1681/ASN.2006121344","ISSN":"10466673","abstract":"Nephronophthisis (NPHP), an autosomal recessive cystic kidney disease, represents the most frequent genetic cause of end-stage kidney disease in the first three decades of life. Contrary to polycystic kidney disease, NPHP shows normal or diminished kidney size, cysts are concentrated at the corticomedullary junction, and tubulointerstitial fibrosis is dominant. NPHP can be associated with retinitis pigmentosa (Senior-Loken syndrome), liver fibrosis, and cerebellar vermis aplasia (Joubert syndrome) in approximately 10% of patients. Positional cloning of six novel genes (NPHP1 through 6) as mutated in NPHP and functional characterization of their encoded proteins have contributed to the concept of \"ciliopathies.\" It has helped advance a new unifying theory of cystic kidney diseases. This theory states that the products of all genes that are mutated in cystic kidney diseases in humans, mice, or zebrafish are expressed in primary cilia or centrosomes of renal epithelial cells. Primary cilia are sensory organelles that connect mechanosensory, visual, osmotic, and other stimuli to mechanisms of cell-cycle control and epithelial cell polarity. The ciliary theory explains the multiple organ involvement in NPHP regarding retinitis pigmentosa, liver fibrosis, ataxia, situs inversus, and mental retardation. Mutations in NPHP genes cause defects in signaling mechanisms, including the noncanonical Wnt signaling pathway. The \"ciliopathy\" NPHP thereby is caused by defects in tissue differentiation and maintenance as a result of impaired processing of extracellular cues. Nephrocystins, the proteins that are encoded by NPHP genes, are highly conserved in evolution. Positional cloning of additional causative genes of NPHP will elucidate further signaling mechanisms that are involved, thereby establishing therapeutic approaches using animal models in mouse, zebrafish, and Caenorhabditis elegans. Copyright © 2007 by the American Society of Nephrology.","author":[{"dropping-particle":"","family":"Hildebrandt","given":"Friedhelm","non-dropping-particle":"","parse-names":false,"suffix":""},{"dropping-particle":"","family":"Zhou","given":"Weibin","non-dropping-particle":"","parse-names":false,"suffix":""}],"container-title":"Journal of the American Society of Nephrology","id":"ITEM-1","issue":"6","issued":{"date-parts":[["2007"]]},"page":"1855-1871","title":"Nephronophthisis-associated ciliopathies","type":"article","volume":"18"},"uris":["http://www.mendeley.com/documents/?uuid=c9f6b17a-3683-3cb4-b9d8-2ffc404b8137"]}],"mendeley":{"formattedCitation":"&lt;span style=\"baseline\"&gt;[14]&lt;/span&gt;","plainTextFormattedCitation":"[14]","previouslyFormattedCitation":"&lt;span style=\"baseline\"&gt;[14]&lt;/span&gt;"},"properties":{"noteIndex":0},"schema":"https://github.com/citation-style-language/schema/raw/master/csl-citation.json"}</w:instrText>
      </w:r>
      <w:r w:rsidRPr="00F0254C">
        <w:rPr>
          <w:rFonts w:ascii="Segoe UI" w:hAnsi="Segoe UI" w:cs="Segoe UI"/>
        </w:rPr>
        <w:fldChar w:fldCharType="separate"/>
      </w:r>
      <w:r w:rsidR="00621F24" w:rsidRPr="00621F24">
        <w:rPr>
          <w:rFonts w:ascii="Segoe UI" w:hAnsi="Segoe UI" w:cs="Segoe UI"/>
          <w:noProof/>
        </w:rPr>
        <w:t>[14]</w:t>
      </w:r>
      <w:r w:rsidRPr="00F0254C">
        <w:rPr>
          <w:rFonts w:ascii="Segoe UI" w:hAnsi="Segoe UI" w:cs="Segoe UI"/>
        </w:rPr>
        <w:fldChar w:fldCharType="end"/>
      </w:r>
      <w:r w:rsidRPr="00F0254C">
        <w:rPr>
          <w:rFonts w:ascii="Segoe UI" w:hAnsi="Segoe UI" w:cs="Segoe UI"/>
        </w:rPr>
        <w:t xml:space="preserve"> Ultrasound examination reveals small to normal-sized kidneys, with increased echogenicity due to fibrosis and loss of corticomedullary differentiation. Small corticomedullary cysts may develop later in the disease course due to loss of normal tissue.</w:t>
      </w:r>
      <w:r w:rsidRPr="00F0254C">
        <w:rPr>
          <w:rFonts w:ascii="Segoe UI" w:hAnsi="Segoe UI" w:cs="Segoe UI"/>
        </w:rPr>
        <w:fldChar w:fldCharType="begin" w:fldLock="1"/>
      </w:r>
      <w:r w:rsidR="00C275EA">
        <w:rPr>
          <w:rFonts w:ascii="Segoe UI" w:hAnsi="Segoe UI" w:cs="Segoe UI"/>
        </w:rPr>
        <w:instrText>ADDIN CSL_CITATION {"citationItems":[{"id":"ITEM-1","itemData":{"DOI":"10.1681/ASN.2006121344","ISSN":"10466673","abstract":"Nephronophthisis (NPHP), an autosomal recessive cystic kidney disease, represents the most frequent genetic cause of end-stage kidney disease in the first three decades of life. Contrary to polycystic kidney disease, NPHP shows normal or diminished kidney size, cysts are concentrated at the corticomedullary junction, and tubulointerstitial fibrosis is dominant. NPHP can be associated with retinitis pigmentosa (Senior-Loken syndrome), liver fibrosis, and cerebellar vermis aplasia (Joubert syndrome) in approximately 10% of patients. Positional cloning of six novel genes (NPHP1 through 6) as mutated in NPHP and functional characterization of their encoded proteins have contributed to the concept of \"ciliopathies.\" It has helped advance a new unifying theory of cystic kidney diseases. This theory states that the products of all genes that are mutated in cystic kidney diseases in humans, mice, or zebrafish are expressed in primary cilia or centrosomes of renal epithelial cells. Primary cilia are sensory organelles that connect mechanosensory, visual, osmotic, and other stimuli to mechanisms of cell-cycle control and epithelial cell polarity. The ciliary theory explains the multiple organ involvement in NPHP regarding retinitis pigmentosa, liver fibrosis, ataxia, situs inversus, and mental retardation. Mutations in NPHP genes cause defects in signaling mechanisms, including the noncanonical Wnt signaling pathway. The \"ciliopathy\" NPHP thereby is caused by defects in tissue differentiation and maintenance as a result of impaired processing of extracellular cues. Nephrocystins, the proteins that are encoded by NPHP genes, are highly conserved in evolution. Positional cloning of additional causative genes of NPHP will elucidate further signaling mechanisms that are involved, thereby establishing therapeutic approaches using animal models in mouse, zebrafish, and Caenorhabditis elegans. Copyright © 2007 by the American Society of Nephrology.","author":[{"dropping-particle":"","family":"Hildebrandt","given":"Friedhelm","non-dropping-particle":"","parse-names":false,"suffix":""},{"dropping-particle":"","family":"Zhou","given":"Weibin","non-dropping-particle":"","parse-names":false,"suffix":""}],"container-title":"Journal of the American Society of Nephrology","id":"ITEM-1","issue":"6","issued":{"date-parts":[["2007"]]},"page":"1855-1871","title":"Nephronophthisis-associated ciliopathies","type":"article","volume":"18"},"uris":["http://www.mendeley.com/documents/?uuid=c9f6b17a-3683-3cb4-b9d8-2ffc404b8137"]}],"mendeley":{"formattedCitation":"&lt;span style=\"baseline\"&gt;[14]&lt;/span&gt;","plainTextFormattedCitation":"[14]","previouslyFormattedCitation":"&lt;span style=\"baseline\"&gt;[14]&lt;/span&gt;"},"properties":{"noteIndex":0},"schema":"https://github.com/citation-style-language/schema/raw/master/csl-citation.json"}</w:instrText>
      </w:r>
      <w:r w:rsidRPr="00F0254C">
        <w:rPr>
          <w:rFonts w:ascii="Segoe UI" w:hAnsi="Segoe UI" w:cs="Segoe UI"/>
        </w:rPr>
        <w:fldChar w:fldCharType="separate"/>
      </w:r>
      <w:r w:rsidR="00621F24" w:rsidRPr="00621F24">
        <w:rPr>
          <w:rFonts w:ascii="Segoe UI" w:hAnsi="Segoe UI" w:cs="Segoe UI"/>
          <w:noProof/>
        </w:rPr>
        <w:t>[14]</w:t>
      </w:r>
      <w:r w:rsidRPr="00F0254C">
        <w:rPr>
          <w:rFonts w:ascii="Segoe UI" w:hAnsi="Segoe UI" w:cs="Segoe UI"/>
        </w:rPr>
        <w:fldChar w:fldCharType="end"/>
      </w:r>
      <w:r w:rsidRPr="00F0254C">
        <w:rPr>
          <w:rFonts w:ascii="Segoe UI" w:hAnsi="Segoe UI" w:cs="Segoe UI"/>
        </w:rPr>
        <w:t xml:space="preserve"> The infantile form differs most significantly from the other forms with</w:t>
      </w:r>
      <w:r w:rsidR="002152BC" w:rsidRPr="00F0254C">
        <w:rPr>
          <w:rFonts w:ascii="Segoe UI" w:hAnsi="Segoe UI" w:cs="Segoe UI"/>
        </w:rPr>
        <w:t xml:space="preserve"> </w:t>
      </w:r>
      <w:r w:rsidR="002152BC" w:rsidRPr="00F0254C">
        <w:rPr>
          <w:rFonts w:ascii="Segoe UI" w:hAnsi="Segoe UI" w:cs="Segoe UI"/>
          <w:i/>
          <w:iCs/>
        </w:rPr>
        <w:t>in-</w:t>
      </w:r>
      <w:r w:rsidRPr="00F0254C">
        <w:rPr>
          <w:rFonts w:ascii="Segoe UI" w:hAnsi="Segoe UI" w:cs="Segoe UI"/>
          <w:i/>
          <w:iCs/>
        </w:rPr>
        <w:t>utero</w:t>
      </w:r>
      <w:r w:rsidRPr="00F0254C">
        <w:rPr>
          <w:rFonts w:ascii="Segoe UI" w:hAnsi="Segoe UI" w:cs="Segoe UI"/>
        </w:rPr>
        <w:t xml:space="preserve"> onset, oligohydramnios and ESKD in the first </w:t>
      </w:r>
      <w:r w:rsidR="002152BC" w:rsidRPr="00F0254C">
        <w:rPr>
          <w:rFonts w:ascii="Segoe UI" w:hAnsi="Segoe UI" w:cs="Segoe UI"/>
        </w:rPr>
        <w:t>two</w:t>
      </w:r>
      <w:r w:rsidRPr="00F0254C">
        <w:rPr>
          <w:rFonts w:ascii="Segoe UI" w:hAnsi="Segoe UI" w:cs="Segoe UI"/>
        </w:rPr>
        <w:t xml:space="preserve"> years of life but with enlarged, rather than normal or shrunken kidneys and more widespread cyst development.</w:t>
      </w:r>
      <w:r w:rsidRPr="00F0254C">
        <w:rPr>
          <w:rFonts w:ascii="Segoe UI" w:hAnsi="Segoe UI" w:cs="Segoe UI"/>
        </w:rPr>
        <w:fldChar w:fldCharType="begin" w:fldLock="1"/>
      </w:r>
      <w:r w:rsidR="00C275EA">
        <w:rPr>
          <w:rFonts w:ascii="Segoe UI" w:hAnsi="Segoe UI" w:cs="Segoe UI"/>
        </w:rPr>
        <w:instrText>ADDIN CSL_CITATION {"citationItems":[{"id":"ITEM-1","itemData":{"DOI":"10.1038/ki.1997.31","ISSN":"00852538","abstract":"Molecular genetic identification of families with juvenile nephronophthisis type 1: Rate of progression to renal failure. Familial juvenile nephronophthisis (NPH), an autosomal recessive cystic disease of the kidney, is the most common genetic cause of end-stage renal disease (ESRD) in the first two decades of life. A gene locus for nephronophthisis type 1 (NPH1) has been mapped by linkage analysis to chromosome 2q13. We performed a haplotype analysis in 16 NPH families with at least two affected patients with the typical history, clinical signs and histology of NPH using microsatellite markers of the NPH1 genetic region. By demonstration of a recombinant event marker D2S1893 was identified as a novel centromeric flanking marker to the NPH1 critical genetic region. Absence of linkage to the NPH1 locus in six NPH families confirmed the existence of at least one additional gene locus for NPH. Linkage to the NPH1 locus was demonstrated in 10 families. In 8 of these families a homozygous deletion was identified. These data permit for the first time the study of the development of renal failure in a subset of NPH1 families, which is most likely homogeneous with regard to the responsible gene locus. We present a statistical description of serial serum creatinine measurements in NPH1. Analysis of renal death revealed a median of 13.1 years. Age-dependent quartiles were generated for serum creatinine. In summary, the new marker provides a diagnostic tool to aid in the diagnosis of NPH, while the progression charts offer a standard for an assessment of the rate of progression to ESRD for patients with NPH1 to be used in future therapeutic trials and for a prediction of the individual course of the disease.","author":[{"dropping-particle":"","family":"Hildebrandt","given":"Friedhelm","non-dropping-particle":"","parse-names":false,"suffix":""},{"dropping-particle":"","family":"Strahm","given":"Brigitte","non-dropping-particle":"","parse-names":false,"suffix":""},{"dropping-particle":"","family":"Nothwang","given":"Hans Gerd","non-dropping-particle":"","parse-names":false,"suffix":""},{"dropping-particle":"","family":"Gretz","given":"Norbert","non-dropping-particle":"","parse-names":false,"suffix":""},{"dropping-particle":"","family":"Schnieders","given":"Birgit","non-dropping-particle":"","parse-names":false,"suffix":""},{"dropping-particle":"","family":"Singh-Sawhney","given":"Iva","non-dropping-particle":"","parse-names":false,"suffix":""},{"dropping-particle":"","family":"Kutt","given":"Ralf","non-dropping-particle":"","parse-names":false,"suffix":""},{"dropping-particle":"","family":"Vollmer","given":"Martin","non-dropping-particle":"","parse-names":false,"suffix":""},{"dropping-particle":"","family":"Brandis","given":"Matthias","non-dropping-particle":"","parse-names":false,"suffix":""}],"container-title":"Kidney International","id":"ITEM-1","issue":"1","issued":{"date-parts":[["1997","1","1"]]},"page":"261-269","publisher":"Elsevier","title":"Molecular genetic identification of families with juvenile nephronophthisis type 1: Rate of progression to renal failure","type":"article-journal","volume":"51"},"uris":["http://www.mendeley.com/documents/?uuid=c50c0bd7-4756-3720-8326-001bbd305100"]}],"mendeley":{"formattedCitation":"&lt;span style=\"baseline\"&gt;[15]&lt;/span&gt;","plainTextFormattedCitation":"[15]","previouslyFormattedCitation":"&lt;span style=\"baseline\"&gt;[15]&lt;/span&gt;"},"properties":{"noteIndex":0},"schema":"https://github.com/citation-style-language/schema/raw/master/csl-citation.json"}</w:instrText>
      </w:r>
      <w:r w:rsidRPr="00F0254C">
        <w:rPr>
          <w:rFonts w:ascii="Segoe UI" w:hAnsi="Segoe UI" w:cs="Segoe UI"/>
        </w:rPr>
        <w:fldChar w:fldCharType="separate"/>
      </w:r>
      <w:r w:rsidR="00621F24" w:rsidRPr="00621F24">
        <w:rPr>
          <w:rFonts w:ascii="Segoe UI" w:hAnsi="Segoe UI" w:cs="Segoe UI"/>
          <w:noProof/>
        </w:rPr>
        <w:t>[15]</w:t>
      </w:r>
      <w:r w:rsidRPr="00F0254C">
        <w:rPr>
          <w:rFonts w:ascii="Segoe UI" w:hAnsi="Segoe UI" w:cs="Segoe UI"/>
        </w:rPr>
        <w:fldChar w:fldCharType="end"/>
      </w:r>
      <w:r w:rsidRPr="00F0254C">
        <w:rPr>
          <w:rFonts w:ascii="Segoe UI" w:hAnsi="Segoe UI" w:cs="Segoe UI"/>
        </w:rPr>
        <w:t xml:space="preserve"> Juvenile and adolescent nephronophthisis may be associated with polyuria and polydipsia preceding the development of chronic kidney disease as well as growth retardation.</w:t>
      </w:r>
      <w:r w:rsidRPr="00F0254C">
        <w:rPr>
          <w:rFonts w:ascii="Segoe UI" w:hAnsi="Segoe UI" w:cs="Segoe UI"/>
        </w:rPr>
        <w:fldChar w:fldCharType="begin" w:fldLock="1"/>
      </w:r>
      <w:r w:rsidR="00C275EA">
        <w:rPr>
          <w:rFonts w:ascii="Segoe UI" w:hAnsi="Segoe UI" w:cs="Segoe UI"/>
        </w:rPr>
        <w:instrText>ADDIN CSL_CITATION {"citationItems":[{"id":"ITEM-1","itemData":{"DOI":"10.1681/ASN.2006121344","ISSN":"10466673","abstract":"Nephronophthisis (NPHP), an autosomal recessive cystic kidney disease, represents the most frequent genetic cause of end-stage kidney disease in the first three decades of life. Contrary to polycystic kidney disease, NPHP shows normal or diminished kidney size, cysts are concentrated at the corticomedullary junction, and tubulointerstitial fibrosis is dominant. NPHP can be associated with retinitis pigmentosa (Senior-Loken syndrome), liver fibrosis, and cerebellar vermis aplasia (Joubert syndrome) in approximately 10% of patients. Positional cloning of six novel genes (NPHP1 through 6) as mutated in NPHP and functional characterization of their encoded proteins have contributed to the concept of \"ciliopathies.\" It has helped advance a new unifying theory of cystic kidney diseases. This theory states that the products of all genes that are mutated in cystic kidney diseases in humans, mice, or zebrafish are expressed in primary cilia or centrosomes of renal epithelial cells. Primary cilia are sensory organelles that connect mechanosensory, visual, osmotic, and other stimuli to mechanisms of cell-cycle control and epithelial cell polarity. The ciliary theory explains the multiple organ involvement in NPHP regarding retinitis pigmentosa, liver fibrosis, ataxia, situs inversus, and mental retardation. Mutations in NPHP genes cause defects in signaling mechanisms, including the noncanonical Wnt signaling pathway. The \"ciliopathy\" NPHP thereby is caused by defects in tissue differentiation and maintenance as a result of impaired processing of extracellular cues. Nephrocystins, the proteins that are encoded by NPHP genes, are highly conserved in evolution. Positional cloning of additional causative genes of NPHP will elucidate further signaling mechanisms that are involved, thereby establishing therapeutic approaches using animal models in mouse, zebrafish, and Caenorhabditis elegans. Copyright © 2007 by the American Society of Nephrology.","author":[{"dropping-particle":"","family":"Hildebrandt","given":"Friedhelm","non-dropping-particle":"","parse-names":false,"suffix":""},{"dropping-particle":"","family":"Zhou","given":"Weibin","non-dropping-particle":"","parse-names":false,"suffix":""}],"container-title":"Journal of the American Society of Nephrology","id":"ITEM-1","issue":"6","issued":{"date-parts":[["2007"]]},"page":"1855-1871","title":"Nephronophthisis-associated ciliopathies","type":"article","volume":"18"},"uris":["http://www.mendeley.com/documents/?uuid=c9f6b17a-3683-3cb4-b9d8-2ffc404b8137"]}],"mendeley":{"formattedCitation":"&lt;span style=\"baseline\"&gt;[14]&lt;/span&gt;","plainTextFormattedCitation":"[14]","previouslyFormattedCitation":"&lt;span style=\"baseline\"&gt;[14]&lt;/span&gt;"},"properties":{"noteIndex":0},"schema":"https://github.com/citation-style-language/schema/raw/master/csl-citation.json"}</w:instrText>
      </w:r>
      <w:r w:rsidRPr="00F0254C">
        <w:rPr>
          <w:rFonts w:ascii="Segoe UI" w:hAnsi="Segoe UI" w:cs="Segoe UI"/>
        </w:rPr>
        <w:fldChar w:fldCharType="separate"/>
      </w:r>
      <w:r w:rsidR="00621F24" w:rsidRPr="00621F24">
        <w:rPr>
          <w:rFonts w:ascii="Segoe UI" w:hAnsi="Segoe UI" w:cs="Segoe UI"/>
          <w:noProof/>
        </w:rPr>
        <w:t>[14]</w:t>
      </w:r>
      <w:r w:rsidRPr="00F0254C">
        <w:rPr>
          <w:rFonts w:ascii="Segoe UI" w:hAnsi="Segoe UI" w:cs="Segoe UI"/>
        </w:rPr>
        <w:fldChar w:fldCharType="end"/>
      </w:r>
    </w:p>
    <w:p w14:paraId="6A6A0694" w14:textId="5A488C58" w:rsidR="003C7884" w:rsidRPr="00F0254C" w:rsidRDefault="008327EF" w:rsidP="00621F24">
      <w:pPr>
        <w:spacing w:line="480" w:lineRule="auto"/>
        <w:rPr>
          <w:rFonts w:ascii="Segoe UI" w:hAnsi="Segoe UI" w:cs="Segoe UI"/>
        </w:rPr>
      </w:pPr>
      <w:r w:rsidRPr="00F0254C">
        <w:rPr>
          <w:rFonts w:ascii="Segoe UI" w:hAnsi="Segoe UI" w:cs="Segoe UI"/>
        </w:rPr>
        <w:t xml:space="preserve">In addition to nephronophthisis, 15% </w:t>
      </w:r>
      <w:r w:rsidR="000D3EF3" w:rsidRPr="00F0254C">
        <w:rPr>
          <w:rFonts w:ascii="Segoe UI" w:hAnsi="Segoe UI" w:cs="Segoe UI"/>
        </w:rPr>
        <w:t xml:space="preserve">of patients </w:t>
      </w:r>
      <w:r w:rsidRPr="00F0254C">
        <w:rPr>
          <w:rFonts w:ascii="Segoe UI" w:hAnsi="Segoe UI" w:cs="Segoe UI"/>
        </w:rPr>
        <w:t xml:space="preserve">have retinal </w:t>
      </w:r>
      <w:r w:rsidR="00DB0D17" w:rsidRPr="00F0254C">
        <w:rPr>
          <w:rFonts w:ascii="Segoe UI" w:hAnsi="Segoe UI" w:cs="Segoe UI"/>
        </w:rPr>
        <w:t xml:space="preserve">dystrophy </w:t>
      </w:r>
      <w:r w:rsidRPr="00F0254C">
        <w:rPr>
          <w:rFonts w:ascii="Segoe UI" w:hAnsi="Segoe UI" w:cs="Segoe UI"/>
        </w:rPr>
        <w:t>(Senior–Løken syndrome) or neurological (Joubert syndrome) phenotypes.</w:t>
      </w:r>
      <w:r w:rsidR="00B62032" w:rsidRPr="00F0254C">
        <w:rPr>
          <w:rFonts w:ascii="Segoe UI" w:hAnsi="Segoe UI" w:cs="Segoe UI"/>
        </w:rPr>
        <w:fldChar w:fldCharType="begin" w:fldLock="1"/>
      </w:r>
      <w:r w:rsidR="00C275EA">
        <w:rPr>
          <w:rFonts w:ascii="Segoe UI" w:hAnsi="Segoe UI" w:cs="Segoe UI"/>
        </w:rPr>
        <w:instrText>ADDIN CSL_CITATION {"citationItems":[{"id":"ITEM-1","itemData":{"ISSN":"1523-6838","PMID":"9856524","abstract":"Tapeto-retinal degeneration is frequent in patients with nephronophthisis. Association of the most severe forms of tapeto-retinal dystrophy with NPH identifies a syndrome described first by Senior et al and Loken et al. This syndrome is distinct on molecular grounds from pure renal nephronophthisis (NPH1), which has its gene locus mapped on chromosome 2q13. We describe three families with large homozygous deletion of the NPH1 locus in which mild to moderate ocular lesions due to tapeto-retinal degeneration coexisted and were correlated to renal defects. This new association of NPH1 with retinal dystrophy is characterized by focal lesions of retina and is pauci-symptomatic in clinical presentation. For this reason it may remain unrecognized in most NPH1 patients.","author":[{"dropping-particle":"","family":"Caridi","given":"G","non-dropping-particle":"","parse-names":false,"suffix":""},{"dropping-particle":"","family":"Murer","given":"L","non-dropping-particle":"","parse-names":false,"suffix":""},{"dropping-particle":"","family":"Bellantuono","given":"R","non-dropping-particle":"","parse-names":false,"suffix":""},{"dropping-particle":"","family":"Sorino","given":"P","non-dropping-particle":"","parse-names":false,"suffix":""},{"dropping-particle":"","family":"Caringella","given":"D A","non-dropping-particle":"","parse-names":false,"suffix":""},{"dropping-particle":"","family":"Gusmano","given":"R","non-dropping-particle":"","parse-names":false,"suffix":""},{"dropping-particle":"","family":"Ghiggeri","given":"G M","non-dropping-particle":"","parse-names":false,"suffix":""}],"container-title":"American journal of kidney diseases : the official journal of the National Kidney Foundation","id":"ITEM-1","issue":"6","issued":{"date-parts":[["1998","12"]]},"page":"1059-62","title":"Renal-retinal syndromes: association of retinal anomalies and recessive nephronophthisis in patients with homozygous deletion of the NPH1 locus.","type":"article-journal","volume":"32"},"uris":["http://www.mendeley.com/documents/?uuid=26b4a403-8435-3830-87d8-0c023b39ff6c"]}],"mendeley":{"formattedCitation":"&lt;span style=\"baseline\"&gt;[16]&lt;/span&gt;","plainTextFormattedCitation":"[16]","previouslyFormattedCitation":"&lt;span style=\"baseline\"&gt;[16]&lt;/span&gt;"},"properties":{"noteIndex":0},"schema":"https://github.com/citation-style-language/schema/raw/master/csl-citation.json"}</w:instrText>
      </w:r>
      <w:r w:rsidR="00B62032" w:rsidRPr="00F0254C">
        <w:rPr>
          <w:rFonts w:ascii="Segoe UI" w:hAnsi="Segoe UI" w:cs="Segoe UI"/>
        </w:rPr>
        <w:fldChar w:fldCharType="separate"/>
      </w:r>
      <w:r w:rsidR="00621F24" w:rsidRPr="00621F24">
        <w:rPr>
          <w:rFonts w:ascii="Segoe UI" w:hAnsi="Segoe UI" w:cs="Segoe UI"/>
          <w:noProof/>
        </w:rPr>
        <w:t>[16]</w:t>
      </w:r>
      <w:r w:rsidR="00B62032" w:rsidRPr="00F0254C">
        <w:rPr>
          <w:rFonts w:ascii="Segoe UI" w:hAnsi="Segoe UI" w:cs="Segoe UI"/>
        </w:rPr>
        <w:fldChar w:fldCharType="end"/>
      </w:r>
      <w:r w:rsidR="00DB0D17" w:rsidRPr="00F0254C">
        <w:rPr>
          <w:rFonts w:ascii="Segoe UI" w:hAnsi="Segoe UI" w:cs="Segoe UI"/>
        </w:rPr>
        <w:t xml:space="preserve"> </w:t>
      </w:r>
      <w:r w:rsidR="00E71503" w:rsidRPr="00F0254C">
        <w:rPr>
          <w:rFonts w:ascii="Segoe UI" w:hAnsi="Segoe UI" w:cs="Segoe UI"/>
        </w:rPr>
        <w:t>The retinal phenotype may be mild.</w:t>
      </w:r>
      <w:r w:rsidR="00E71503" w:rsidRPr="00F0254C">
        <w:rPr>
          <w:rFonts w:ascii="Segoe UI" w:hAnsi="Segoe UI" w:cs="Segoe UI"/>
        </w:rPr>
        <w:fldChar w:fldCharType="begin" w:fldLock="1"/>
      </w:r>
      <w:r w:rsidR="00C275EA">
        <w:rPr>
          <w:rFonts w:ascii="Segoe UI" w:hAnsi="Segoe UI" w:cs="Segoe UI"/>
        </w:rPr>
        <w:instrText>ADDIN CSL_CITATION {"citationItems":[{"id":"ITEM-1","itemData":{"DOI":"10.1016/J.KINT.2021.06.012","ISSN":"1523-1755","PMID":"34153329","abstract":"Biallelic deletions in the NPHP1 gene are the most frequent molecular defect of nephronophthisis, a kidney ciliopathy and leading cause of hereditary end-stage kidney disease. Nephrocystin 1, the gene product of NPHP1, is also expressed in photoreceptors where it plays an important role in intra-flagellar transport between the inner and outer segments. However, the human retinal phenotype has never been investigated in detail. Here, we characterized retinal features of 16 patients with homozygous deletions of the entire NPHP1 gene. Retinal assessment included multimodal imaging (optical coherence tomography, fundus autofluorescence) and visual function testing (visual acuity, full-field electroretinography, color vision, visual field). Fifteen patients had a mild retinal phenotype that predominantly affected cones, but with relative sparing of the fovea. Despite a predominant cone dysfunction, night vision problems were an early symptom in some cases. The consistent retinal phenotype on optical coherence tomography images included reduced reflectivity and often a granular appearance of the ellipsoid zone, fading or loss of the interdigitation zone, and mild outer retinal thinning. However, there were usually no obvious structural changes visible upon clinical examination and fundus autofluorescence imaging (occult retinopathy). More advanced retinal degeneration might occur with ageing. An identified additional CEP290 variant in one patient with a more severe retinal degeneration may indicate a potential role for genetic modifiers, although this requires further investigation. Thus, diagnostic awareness about this distinct retinal phenotype has implications for the differential diagnosis of nephronophthisis and for individual prognosis of visual function.","author":[{"dropping-particle":"","family":"Birtel","given":"Johannes","non-dropping-particle":"","parse-names":false,"suffix":""},{"dropping-particle":"","family":"Spital","given":"Georg","non-dropping-particle":"","parse-names":false,"suffix":""},{"dropping-particle":"","family":"Book","given":"Marius","non-dropping-particle":"","parse-names":false,"suffix":""},{"dropping-particle":"","family":"Habbig","given":"Sandra","non-dropping-particle":"","parse-names":false,"suffix":""},{"dropping-particle":"","family":"Bäumner","given":"Sören","non-dropping-particle":"","parse-names":false,"suffix":""},{"dropping-particle":"","family":"Riehmer","given":"Vera","non-dropping-particle":"","parse-names":false,"suffix":""},{"dropping-particle":"","family":"Beck","given":"Bodo B.","non-dropping-particle":"","parse-names":false,"suffix":""},{"dropping-particle":"","family":"Rosenkranz","given":"David","non-dropping-particle":"","parse-names":false,"suffix":""},{"dropping-particle":"","family":"Bolz","given":"Hanno J.","non-dropping-particle":"","parse-names":false,"suffix":""},{"dropping-particle":"","family":"Dahmer-Heath","given":"Mareike","non-dropping-particle":"","parse-names":false,"suffix":""},{"dropping-particle":"","family":"Herrmann","given":"Philipp","non-dropping-particle":"","parse-names":false,"suffix":""},{"dropping-particle":"","family":"König","given":"Jens","non-dropping-particle":"","parse-names":false,"suffix":""},{"dropping-particle":"","family":"Charbel Issa","given":"Peter","non-dropping-particle":"","parse-names":false,"suffix":""}],"container-title":"Kidney international","id":"ITEM-1","issue":"5","issued":{"date-parts":[["2021","11","1"]]},"page":"1092-1100","publisher":"Kidney Int","title":"NPHP1 gene-associated nephronophthisis is associated with an occult retinopathy","type":"article-journal","volume":"100"},"uris":["http://www.mendeley.com/documents/?uuid=5ad6c440-ddfd-3240-a1f5-07cda1181d52"]}],"mendeley":{"formattedCitation":"&lt;span style=\"baseline\"&gt;[17]&lt;/span&gt;","plainTextFormattedCitation":"[17]","previouslyFormattedCitation":"&lt;span style=\"baseline\"&gt;[17]&lt;/span&gt;"},"properties":{"noteIndex":0},"schema":"https://github.com/citation-style-language/schema/raw/master/csl-citation.json"}</w:instrText>
      </w:r>
      <w:r w:rsidR="00E71503" w:rsidRPr="00F0254C">
        <w:rPr>
          <w:rFonts w:ascii="Segoe UI" w:hAnsi="Segoe UI" w:cs="Segoe UI"/>
        </w:rPr>
        <w:fldChar w:fldCharType="separate"/>
      </w:r>
      <w:r w:rsidR="00621F24" w:rsidRPr="00621F24">
        <w:rPr>
          <w:rFonts w:ascii="Segoe UI" w:hAnsi="Segoe UI" w:cs="Segoe UI"/>
          <w:noProof/>
        </w:rPr>
        <w:t>[17]</w:t>
      </w:r>
      <w:r w:rsidR="00E71503" w:rsidRPr="00F0254C">
        <w:rPr>
          <w:rFonts w:ascii="Segoe UI" w:hAnsi="Segoe UI" w:cs="Segoe UI"/>
        </w:rPr>
        <w:fldChar w:fldCharType="end"/>
      </w:r>
      <w:r w:rsidR="00E71503" w:rsidRPr="00F0254C">
        <w:rPr>
          <w:rFonts w:ascii="Segoe UI" w:hAnsi="Segoe UI" w:cs="Segoe UI"/>
        </w:rPr>
        <w:t xml:space="preserve"> </w:t>
      </w:r>
      <w:r w:rsidR="00163D45" w:rsidRPr="00F0254C">
        <w:rPr>
          <w:rFonts w:ascii="Segoe UI" w:hAnsi="Segoe UI" w:cs="Segoe UI"/>
        </w:rPr>
        <w:t>Joubert syndrome</w:t>
      </w:r>
      <w:r w:rsidR="009C30B8" w:rsidRPr="00F0254C">
        <w:rPr>
          <w:rFonts w:ascii="Segoe UI" w:hAnsi="Segoe UI" w:cs="Segoe UI"/>
        </w:rPr>
        <w:t xml:space="preserve"> (JS)</w:t>
      </w:r>
      <w:r w:rsidR="00163D45" w:rsidRPr="00F0254C">
        <w:rPr>
          <w:rFonts w:ascii="Segoe UI" w:hAnsi="Segoe UI" w:cs="Segoe UI"/>
        </w:rPr>
        <w:t xml:space="preserve"> is characterised by cerebellar ataxia, mental retardation, hypotonia, and neonatal respiratory dysregulation.</w:t>
      </w:r>
      <w:r w:rsidR="00B62032" w:rsidRPr="00F0254C">
        <w:rPr>
          <w:rFonts w:ascii="Segoe UI" w:hAnsi="Segoe UI" w:cs="Segoe UI"/>
        </w:rPr>
        <w:fldChar w:fldCharType="begin" w:fldLock="1"/>
      </w:r>
      <w:r w:rsidR="00C275EA">
        <w:rPr>
          <w:rFonts w:ascii="Segoe UI" w:hAnsi="Segoe UI" w:cs="Segoe UI"/>
        </w:rPr>
        <w:instrText>ADDIN CSL_CITATION {"citationItems":[{"id":"ITEM-1","itemData":{"DOI":"10.1086/421846","ISSN":"00029297","abstract":"Joubert syndrome (JS) is an autosomal recessive multisystem disease characterized by cerebellar vermis hypoplasia with prominent superior cerebellar peduncles (the \"molar tooth sign\" [MTS] on axial magnetic resonance imaging), mental retardation, hypotonia, irregular breathing pattern, and eye-movement abnormalities. Some individuals with JS have retinal dystrophy and/or progressive renal failure characterized by nephronophthisis (NPHP). Thus far, no mutations in the known NPHP genes, particularly the homozygous deletion of NPHP1 at 2q13, have been identified in subjects with JS. A cohort of 25 subjects with JS and either renal and/or retinal complications and 2 subjects with only juvenile NPHP were screened for mutations in the NPHP1 gene by standard methods. Two siblings affected with a mild form of JS were found to have a homozygous deletion of the NPHP1 gene identical, by mapping, to that in subjects with NPHP alone. A control subject with NPHP and with a homozygous NPHP1 deletion was also identified, retrospectively, as having a mild MTS and borderline intelligence. The NPHP1 deletion represents the first molecular defect associated with JS in a subset of mildly affected subjects. Cerebellar malformations consistent with the MTS may be relatively common in patients with juvenile NPHP without classic symptoms of JS.","author":[{"dropping-particle":"","family":"Parisi","given":"Melissa A.","non-dropping-particle":"","parse-names":false,"suffix":""},{"dropping-particle":"","family":"Bennett","given":"Craig L.","non-dropping-particle":"","parse-names":false,"suffix":""},{"dropping-particle":"","family":"Eckert","given":"Melissa L.","non-dropping-particle":"","parse-names":false,"suffix":""},{"dropping-particle":"","family":"Dobyns","given":"William B.","non-dropping-particle":"","parse-names":false,"suffix":""},{"dropping-particle":"","family":"Gleeson","given":"Joseph G.","non-dropping-particle":"","parse-names":false,"suffix":""},{"dropping-particle":"","family":"Shaw","given":"Dennis W.W.","non-dropping-particle":"","parse-names":false,"suffix":""},{"dropping-particle":"","family":"McDonald","given":"Ruth","non-dropping-particle":"","parse-names":false,"suffix":""},{"dropping-particle":"","family":"Eddy","given":"Allison","non-dropping-particle":"","parse-names":false,"suffix":""},{"dropping-particle":"","family":"Chance","given":"Phillip F.","non-dropping-particle":"","parse-names":false,"suffix":""},{"dropping-particle":"","family":"Glass","given":"Ian A.","non-dropping-particle":"","parse-names":false,"suffix":""}],"container-title":"American Journal of Human Genetics","id":"ITEM-1","issue":"1","issued":{"date-parts":[["2004","7","1"]]},"page":"82-91","publisher":"Cell Press","title":"The NPHP1 gene deletion associated with juvenile nephronophthisis is present in a subset of individuals with Joubert syndrome","type":"article-journal","volume":"75"},"uris":["http://www.mendeley.com/documents/?uuid=1ba7857e-bdc5-3c8a-a80c-8de96c3dd2e0"]}],"mendeley":{"formattedCitation":"&lt;span style=\"baseline\"&gt;[18]&lt;/span&gt;","plainTextFormattedCitation":"[18]","previouslyFormattedCitation":"&lt;span style=\"baseline\"&gt;[18]&lt;/span&gt;"},"properties":{"noteIndex":0},"schema":"https://github.com/citation-style-language/schema/raw/master/csl-citation.json"}</w:instrText>
      </w:r>
      <w:r w:rsidR="00B62032" w:rsidRPr="00F0254C">
        <w:rPr>
          <w:rFonts w:ascii="Segoe UI" w:hAnsi="Segoe UI" w:cs="Segoe UI"/>
        </w:rPr>
        <w:fldChar w:fldCharType="separate"/>
      </w:r>
      <w:r w:rsidR="00621F24" w:rsidRPr="00621F24">
        <w:rPr>
          <w:rFonts w:ascii="Segoe UI" w:hAnsi="Segoe UI" w:cs="Segoe UI"/>
          <w:noProof/>
        </w:rPr>
        <w:t>[18]</w:t>
      </w:r>
      <w:r w:rsidR="00B62032" w:rsidRPr="00F0254C">
        <w:rPr>
          <w:rFonts w:ascii="Segoe UI" w:hAnsi="Segoe UI" w:cs="Segoe UI"/>
        </w:rPr>
        <w:fldChar w:fldCharType="end"/>
      </w:r>
      <w:r w:rsidR="00163D45" w:rsidRPr="00F0254C">
        <w:rPr>
          <w:rFonts w:ascii="Segoe UI" w:hAnsi="Segoe UI" w:cs="Segoe UI"/>
        </w:rPr>
        <w:t xml:space="preserve"> </w:t>
      </w:r>
      <w:r w:rsidR="00023ED9" w:rsidRPr="00F0254C">
        <w:rPr>
          <w:rFonts w:ascii="Segoe UI" w:hAnsi="Segoe UI" w:cs="Segoe UI"/>
        </w:rPr>
        <w:t xml:space="preserve">The cerebellar malformation can be seen </w:t>
      </w:r>
      <w:r w:rsidR="00B80A23" w:rsidRPr="00F0254C">
        <w:rPr>
          <w:rFonts w:ascii="Segoe UI" w:hAnsi="Segoe UI" w:cs="Segoe UI"/>
        </w:rPr>
        <w:t xml:space="preserve">on MRI scans </w:t>
      </w:r>
      <w:r w:rsidR="00023ED9" w:rsidRPr="00F0254C">
        <w:rPr>
          <w:rFonts w:ascii="Segoe UI" w:hAnsi="Segoe UI" w:cs="Segoe UI"/>
        </w:rPr>
        <w:t xml:space="preserve">as the </w:t>
      </w:r>
      <w:r w:rsidR="00163D45" w:rsidRPr="00F0254C">
        <w:rPr>
          <w:rFonts w:ascii="Segoe UI" w:hAnsi="Segoe UI" w:cs="Segoe UI"/>
        </w:rPr>
        <w:t>so</w:t>
      </w:r>
      <w:r w:rsidR="002152BC" w:rsidRPr="00F0254C">
        <w:rPr>
          <w:rFonts w:ascii="Segoe UI" w:hAnsi="Segoe UI" w:cs="Segoe UI"/>
        </w:rPr>
        <w:t>-</w:t>
      </w:r>
      <w:r w:rsidR="00163D45" w:rsidRPr="00F0254C">
        <w:rPr>
          <w:rFonts w:ascii="Segoe UI" w:hAnsi="Segoe UI" w:cs="Segoe UI"/>
        </w:rPr>
        <w:t xml:space="preserve">called </w:t>
      </w:r>
      <w:r w:rsidR="001B7943" w:rsidRPr="00F0254C">
        <w:rPr>
          <w:rFonts w:ascii="Segoe UI" w:hAnsi="Segoe UI" w:cs="Segoe UI"/>
        </w:rPr>
        <w:t>'</w:t>
      </w:r>
      <w:r w:rsidR="00163D45" w:rsidRPr="00F0254C">
        <w:rPr>
          <w:rFonts w:ascii="Segoe UI" w:hAnsi="Segoe UI" w:cs="Segoe UI"/>
        </w:rPr>
        <w:t>molar tooth sign</w:t>
      </w:r>
      <w:r w:rsidR="001B7943" w:rsidRPr="00F0254C">
        <w:rPr>
          <w:rFonts w:ascii="Segoe UI" w:hAnsi="Segoe UI" w:cs="Segoe UI"/>
        </w:rPr>
        <w:t>'</w:t>
      </w:r>
      <w:r w:rsidR="00163D45" w:rsidRPr="00F0254C">
        <w:rPr>
          <w:rFonts w:ascii="Segoe UI" w:hAnsi="Segoe UI" w:cs="Segoe UI"/>
        </w:rPr>
        <w:t xml:space="preserve"> (MTS)</w:t>
      </w:r>
      <w:r w:rsidR="00023ED9" w:rsidRPr="00F0254C">
        <w:rPr>
          <w:rFonts w:ascii="Segoe UI" w:hAnsi="Segoe UI" w:cs="Segoe UI"/>
        </w:rPr>
        <w:t xml:space="preserve">. The malformations are </w:t>
      </w:r>
      <w:r w:rsidR="002152BC" w:rsidRPr="00F0254C">
        <w:rPr>
          <w:rFonts w:ascii="Segoe UI" w:hAnsi="Segoe UI" w:cs="Segoe UI"/>
        </w:rPr>
        <w:t xml:space="preserve">less severe in patients with </w:t>
      </w:r>
      <w:r w:rsidR="002152BC" w:rsidRPr="00F0254C">
        <w:rPr>
          <w:rFonts w:ascii="Segoe UI" w:hAnsi="Segoe UI" w:cs="Segoe UI"/>
          <w:i/>
          <w:iCs/>
        </w:rPr>
        <w:t>NPHP1</w:t>
      </w:r>
      <w:r w:rsidR="002152BC" w:rsidRPr="00F0254C">
        <w:rPr>
          <w:rFonts w:ascii="Segoe UI" w:hAnsi="Segoe UI" w:cs="Segoe UI"/>
        </w:rPr>
        <w:t xml:space="preserve"> mutations</w:t>
      </w:r>
      <w:r w:rsidR="00F22506" w:rsidRPr="00F0254C">
        <w:rPr>
          <w:rFonts w:ascii="Segoe UI" w:hAnsi="Segoe UI" w:cs="Segoe UI"/>
        </w:rPr>
        <w:t xml:space="preserve"> with milder JS</w:t>
      </w:r>
      <w:r w:rsidR="002152BC" w:rsidRPr="00F0254C">
        <w:rPr>
          <w:rFonts w:ascii="Segoe UI" w:hAnsi="Segoe UI" w:cs="Segoe UI"/>
        </w:rPr>
        <w:t xml:space="preserve"> than</w:t>
      </w:r>
      <w:r w:rsidR="00023ED9" w:rsidRPr="00F0254C">
        <w:rPr>
          <w:rFonts w:ascii="Segoe UI" w:hAnsi="Segoe UI" w:cs="Segoe UI"/>
        </w:rPr>
        <w:t xml:space="preserve"> </w:t>
      </w:r>
      <w:r w:rsidR="00F22506" w:rsidRPr="00F0254C">
        <w:rPr>
          <w:rFonts w:ascii="Segoe UI" w:hAnsi="Segoe UI" w:cs="Segoe UI"/>
        </w:rPr>
        <w:t xml:space="preserve">with </w:t>
      </w:r>
      <w:r w:rsidR="00023ED9" w:rsidRPr="00F0254C">
        <w:rPr>
          <w:rFonts w:ascii="Segoe UI" w:hAnsi="Segoe UI" w:cs="Segoe UI"/>
        </w:rPr>
        <w:t>other gene causes</w:t>
      </w:r>
      <w:r w:rsidR="00163D45" w:rsidRPr="00F0254C">
        <w:rPr>
          <w:rFonts w:ascii="Segoe UI" w:hAnsi="Segoe UI" w:cs="Segoe UI"/>
        </w:rPr>
        <w:t>.</w:t>
      </w:r>
      <w:r w:rsidR="00023ED9" w:rsidRPr="00F0254C">
        <w:rPr>
          <w:rFonts w:ascii="Segoe UI" w:hAnsi="Segoe UI" w:cs="Segoe UI"/>
        </w:rPr>
        <w:fldChar w:fldCharType="begin" w:fldLock="1"/>
      </w:r>
      <w:r w:rsidR="00C275EA">
        <w:rPr>
          <w:rFonts w:ascii="Segoe UI" w:hAnsi="Segoe UI" w:cs="Segoe UI"/>
        </w:rPr>
        <w:instrText>ADDIN CSL_CITATION {"citationItems":[{"id":"ITEM-1","itemData":{"DOI":"10.1038/sj.ki.5001768","ISSN":"00852538","abstract":"Type 1 nephronophthisis (NPHP) with homozygous deletions of nephrocystin [NPHP1, DEL] has been considered a pure renal disorder, but co-occurrence of extrarenal symptoms, mainly retinitis pigmentosa, is observed in a subset of patients. Recently, [NPHP1, DEL] has been detected in three patients with Joubert syndrome-related disorders (JSRDs), who associated neurological signs with a peculiar neuroradiological malformation known as the 'molar tooth sign' (MTS). To define the frequency of JSRD spectrum in NPHP1 patients, we re-examined 56 cases with [NPHP1, DEL] and found an overall incidence of 8.9% (five out 56 patients). All had small hyperechoic kidneys and had developed advanced renal failure within 15 years. Two patients presented the complete features of JSRD with cerebello-renal-retinal association and MTS. Two others showed, instead, severe intentional tremor and thick superior cerebellar peduncles on brain magnetic resonance imaging (MRI), and one of them had associated retinopathy. The fifth patient presented with hypotonia, developmental delay, central deafness, and ataxia associated with Leber congenital amaurosis and liver fibrosis but with normal brain MRI. Marked intrafamilial variability of associated extrarenal symptoms was observed in familial cases. Deletion extension did not differ in patients with isolated renal phenotype and in those with associated neurological symptoms. In conclusion, neurological defects varying from subtle involvement of cerebellum with thickened peduncle to both JSRD and diffuse central hypotonia are frequent in [NPHP1, DEL] patients. Prevalence of such association may justify systematic neurological and neuroradiological evaluation. © 2006 International Society of Nephrology.","author":[{"dropping-particle":"","family":"Caridi","given":"G.","non-dropping-particle":"","parse-names":false,"suffix":""},{"dropping-particle":"","family":"Dagnino","given":"M.","non-dropping-particle":"","parse-names":false,"suffix":""},{"dropping-particle":"","family":"Rossi","given":"A.","non-dropping-particle":"","parse-names":false,"suffix":""},{"dropping-particle":"","family":"Valente","given":"E. M.","non-dropping-particle":"","parse-names":false,"suffix":""},{"dropping-particle":"","family":"Bertini","given":"E.","non-dropping-particle":"","parse-names":false,"suffix":""},{"dropping-particle":"","family":"Fazzi","given":"E.","non-dropping-particle":"","parse-names":false,"suffix":""},{"dropping-particle":"","family":"Emma","given":"F.","non-dropping-particle":"","parse-names":false,"suffix":""},{"dropping-particle":"","family":"Murer","given":"L.","non-dropping-particle":"","parse-names":false,"suffix":""},{"dropping-particle":"","family":"Verrina","given":"E.","non-dropping-particle":"","parse-names":false,"suffix":""},{"dropping-particle":"","family":"Ghiggeri","given":"G. M.","non-dropping-particle":"","parse-names":false,"suffix":""}],"container-title":"Kidney International","id":"ITEM-1","issue":"7","issued":{"date-parts":[["2006","10","1"]]},"page":"1342-1347","publisher":"Elsevier","title":"Nephronophthisis type 1 deletion syndrome with neurological symptoms: Prevalence and significance of the association","type":"article-journal","volume":"70"},"uris":["http://www.mendeley.com/documents/?uuid=74f9121f-aaf4-34c7-ba67-5debe4b105c7"]},{"id":"ITEM-2","itemData":{"DOI":"10.1086/421846","ISSN":"00029297","abstract":"Joubert syndrome (JS) is an autosomal recessive multisystem disease characterized by cerebellar vermis hypoplasia with prominent superior cerebellar peduncles (the \"molar tooth sign\" [MTS] on axial magnetic resonance imaging), mental retardation, hypotonia, irregular breathing pattern, and eye-movement abnormalities. Some individuals with JS have retinal dystrophy and/or progressive renal failure characterized by nephronophthisis (NPHP). Thus far, no mutations in the known NPHP genes, particularly the homozygous deletion of NPHP1 at 2q13, have been identified in subjects with JS. A cohort of 25 subjects with JS and either renal and/or retinal complications and 2 subjects with only juvenile NPHP were screened for mutations in the NPHP1 gene by standard methods. Two siblings affected with a mild form of JS were found to have a homozygous deletion of the NPHP1 gene identical, by mapping, to that in subjects with NPHP alone. A control subject with NPHP and with a homozygous NPHP1 deletion was also identified, retrospectively, as having a mild MTS and borderline intelligence. The NPHP1 deletion represents the first molecular defect associated with JS in a subset of mildly affected subjects. Cerebellar malformations consistent with the MTS may be relatively common in patients with juvenile NPHP without classic symptoms of JS.","author":[{"dropping-particle":"","family":"Parisi","given":"Melissa A.","non-dropping-particle":"","parse-names":false,"suffix":""},{"dropping-particle":"","family":"Bennett","given":"Craig L.","non-dropping-particle":"","parse-names":false,"suffix":""},{"dropping-particle":"","family":"Eckert","given":"Melissa L.","non-dropping-particle":"","parse-names":false,"suffix":""},{"dropping-particle":"","family":"Dobyns","given":"William B.","non-dropping-particle":"","parse-names":false,"suffix":""},{"dropping-particle":"","family":"Gleeson","given":"Joseph G.","non-dropping-particle":"","parse-names":false,"suffix":""},{"dropping-particle":"","family":"Shaw","given":"Dennis W.W.","non-dropping-particle":"","parse-names":false,"suffix":""},{"dropping-particle":"","family":"McDonald","given":"Ruth","non-dropping-particle":"","parse-names":false,"suffix":""},{"dropping-particle":"","family":"Eddy","given":"Allison","non-dropping-particle":"","parse-names":false,"suffix":""},{"dropping-particle":"","family":"Chance","given":"Phillip F.","non-dropping-particle":"","parse-names":false,"suffix":""},{"dropping-particle":"","family":"Glass","given":"Ian A.","non-dropping-particle":"","parse-names":false,"suffix":""}],"container-title":"American Journal of Human Genetics","id":"ITEM-2","issue":"1","issued":{"date-parts":[["2004","7","1"]]},"page":"82-91","publisher":"Cell Press","title":"The NPHP1 gene deletion associated with juvenile nephronophthisis is present in a subset of individuals with Joubert syndrome","type":"article-journal","volume":"75"},"uris":["http://www.mendeley.com/documents/?uuid=1ba7857e-bdc5-3c8a-a80c-8de96c3dd2e0"]},{"id":"ITEM-3","itemData":{"DOI":"10.1136/jmg.2004.027375","ISSN":"1468-6244","PMID":"15689444","author":[{"dropping-particle":"","family":"Castori","given":"M","non-dropping-particle":"","parse-names":false,"suffix":""},{"dropping-particle":"","family":"Valente","given":"E M","non-dropping-particle":"","parse-names":false,"suffix":""},{"dropping-particle":"","family":"Donati","given":"M A","non-dropping-particle":"","parse-names":false,"suffix":""},{"dropping-particle":"","family":"Salvi","given":"S","non-dropping-particle":"","parse-names":false,"suffix":""},{"dropping-particle":"","family":"Fazzi","given":"E","non-dropping-particle":"","parse-names":false,"suffix":""},{"dropping-particle":"","family":"Procopio","given":"E","non-dropping-particle":"","parse-names":false,"suffix":""},{"dropping-particle":"","family":"Galluccio","given":"T","non-dropping-particle":"","parse-names":false,"suffix":""},{"dropping-particle":"","family":"Emma","given":"F","non-dropping-particle":"","parse-names":false,"suffix":""},{"dropping-particle":"","family":"Dallapiccola","given":"B","non-dropping-particle":"","parse-names":false,"suffix":""},{"dropping-particle":"","family":"Bertini","given":"E","non-dropping-particle":"","parse-names":false,"suffix":""},{"dropping-particle":"","family":"Italian MTS Study Group","given":"I","non-dropping-particle":"","parse-names":false,"suffix":""}],"container-title":"Journal of medical genetics","id":"ITEM-3","issue":"2","issued":{"date-parts":[["2005","2"]]},"page":"e9","publisher":"BMJ Publishing Group","title":"NPHP1 gene deletion is a rare cause of Joubert syndrome related disorders.","type":"article-journal","volume":"42"},"uris":["http://www.mendeley.com/documents/?uuid=5a700022-6627-315e-b648-80bc6c3e279e"]}],"mendeley":{"formattedCitation":"&lt;span style=\"baseline\"&gt;[18–20]&lt;/span&gt;","plainTextFormattedCitation":"[18–20]","previouslyFormattedCitation":"&lt;span style=\"baseline\"&gt;[18–20]&lt;/span&gt;"},"properties":{"noteIndex":0},"schema":"https://github.com/citation-style-language/schema/raw/master/csl-citation.json"}</w:instrText>
      </w:r>
      <w:r w:rsidR="00023ED9" w:rsidRPr="00F0254C">
        <w:rPr>
          <w:rFonts w:ascii="Segoe UI" w:hAnsi="Segoe UI" w:cs="Segoe UI"/>
        </w:rPr>
        <w:fldChar w:fldCharType="separate"/>
      </w:r>
      <w:r w:rsidR="00621F24" w:rsidRPr="00621F24">
        <w:rPr>
          <w:rFonts w:ascii="Segoe UI" w:hAnsi="Segoe UI" w:cs="Segoe UI"/>
          <w:noProof/>
        </w:rPr>
        <w:t>[18–20]</w:t>
      </w:r>
      <w:r w:rsidR="00023ED9" w:rsidRPr="00F0254C">
        <w:rPr>
          <w:rFonts w:ascii="Segoe UI" w:hAnsi="Segoe UI" w:cs="Segoe UI"/>
        </w:rPr>
        <w:fldChar w:fldCharType="end"/>
      </w:r>
    </w:p>
    <w:p w14:paraId="414B669B" w14:textId="7406FE49" w:rsidR="00F92312" w:rsidRPr="00F0254C" w:rsidRDefault="008D5AA6" w:rsidP="00621F24">
      <w:pPr>
        <w:spacing w:line="480" w:lineRule="auto"/>
        <w:rPr>
          <w:rFonts w:ascii="Segoe UI" w:hAnsi="Segoe UI" w:cs="Segoe UI"/>
        </w:rPr>
      </w:pPr>
      <w:r w:rsidRPr="00F0254C">
        <w:rPr>
          <w:rFonts w:ascii="Segoe UI" w:hAnsi="Segoe UI" w:cs="Segoe UI"/>
        </w:rPr>
        <w:lastRenderedPageBreak/>
        <w:t xml:space="preserve">The homozygous deletion of </w:t>
      </w:r>
      <w:r w:rsidRPr="00F0254C">
        <w:rPr>
          <w:rFonts w:ascii="Segoe UI" w:hAnsi="Segoe UI" w:cs="Segoe UI"/>
          <w:i/>
          <w:iCs/>
        </w:rPr>
        <w:t>NPHP1</w:t>
      </w:r>
      <w:r w:rsidRPr="00F0254C">
        <w:rPr>
          <w:rFonts w:ascii="Segoe UI" w:hAnsi="Segoe UI" w:cs="Segoe UI"/>
        </w:rPr>
        <w:t xml:space="preserve"> is fully penetrant and</w:t>
      </w:r>
      <w:r w:rsidR="002152BC" w:rsidRPr="00F0254C">
        <w:rPr>
          <w:rFonts w:ascii="Segoe UI" w:hAnsi="Segoe UI" w:cs="Segoe UI"/>
        </w:rPr>
        <w:t>,</w:t>
      </w:r>
      <w:r w:rsidRPr="00F0254C">
        <w:rPr>
          <w:rFonts w:ascii="Segoe UI" w:hAnsi="Segoe UI" w:cs="Segoe UI"/>
        </w:rPr>
        <w:t xml:space="preserve"> therefore</w:t>
      </w:r>
      <w:r w:rsidR="002152BC" w:rsidRPr="00F0254C">
        <w:rPr>
          <w:rFonts w:ascii="Segoe UI" w:hAnsi="Segoe UI" w:cs="Segoe UI"/>
        </w:rPr>
        <w:t>,</w:t>
      </w:r>
      <w:r w:rsidRPr="00F0254C">
        <w:rPr>
          <w:rFonts w:ascii="Segoe UI" w:hAnsi="Segoe UI" w:cs="Segoe UI"/>
        </w:rPr>
        <w:t xml:space="preserve"> pathognomonic of the nephronophthisis phenotype.</w:t>
      </w:r>
      <w:r w:rsidRPr="00F0254C">
        <w:rPr>
          <w:rFonts w:ascii="Segoe UI" w:hAnsi="Segoe UI" w:cs="Segoe UI"/>
        </w:rPr>
        <w:fldChar w:fldCharType="begin" w:fldLock="1"/>
      </w:r>
      <w:r w:rsidR="00C275EA">
        <w:rPr>
          <w:rFonts w:ascii="Segoe UI" w:hAnsi="Segoe UI" w:cs="Segoe UI"/>
        </w:rPr>
        <w:instrText>ADDIN CSL_CITATION {"citationItems":[{"id":"ITEM-1","itemData":{"DOI":"10.1007/s00439-013-1297-0","ISSN":"03406717","abstract":"Nephronophthisis-related ciliopathies (NPHP-RC) are autosomal-recessive cystic kidney diseases. More than 13 genes are implicated in its pathogenesis to date, accounting for only 40 % of all cases. High-throughput mutation screenings of large patient cohorts represent a powerful tool for diagnostics and identification of novel NPHP genes. We here performed a new high-throughput mutation analysis method to study 13 established NPHP genes (NPHP1-NPHP13) in a worldwide cohort of 1,056 patients diagnosed with NPHP-RC. We first applied multiplexed PCR-based amplification using Fluidigm Access-Array™ technology followed by barcoding and next-generation resequencing on an Illumina platform. As a result, we established the molecular diagnosis in 127/1,056 independent individuals (12.0 %) and identified a single heterozygous truncating mutation in an additional 31 individuals (2.9 %). Altogether, we detected 159 different mutations in 11 out of 13 different NPHP genes, 99 of which were novel. Phenotypically most remarkable were two patients with truncating mutations in INVS/NPHP2 who did not present as infants and did not exhibit extrarenal manifestations. In addition, we present the first case of Caroli disease due to mutations in WDR19/NPHP13 and the second case ever with a recessive mutation in GLIS2/NPHP7. This study represents the most comprehensive mutation analysis in NPHP-RC patients, identifying the largest number of novel mutations in a single study worldwide.","author":[{"dropping-particle":"","family":"Halbritter","given":"Jan","non-dropping-particle":"","parse-names":false,"suffix":""},{"dropping-particle":"","family":"Porath","given":"Jonathan D.","non-dropping-particle":"","parse-names":false,"suffix":""},{"dropping-particle":"","family":"Diaz","given":"Katrina A.","non-dropping-particle":"","parse-names":false,"suffix":""},{"dropping-particle":"","family":"Braun","given":"Daniela A.","non-dropping-particle":"","parse-names":false,"suffix":""},{"dropping-particle":"","family":"Kohl","given":"Stefan","non-dropping-particle":"","parse-names":false,"suffix":""},{"dropping-particle":"","family":"Chaki","given":"Moumita","non-dropping-particle":"","parse-names":false,"suffix":""},{"dropping-particle":"","family":"Allen","given":"Susan J.","non-dropping-particle":"","parse-names":false,"suffix":""},{"dropping-particle":"","family":"Soliman","given":"Neveen A.","non-dropping-particle":"","parse-names":false,"suffix":""},{"dropping-particle":"","family":"Hildebrandt","given":"Friedhelm","non-dropping-particle":"","parse-names":false,"suffix":""},{"dropping-particle":"","family":"Otto","given":"Edgar A.","non-dropping-particle":"","parse-names":false,"suffix":""}],"container-title":"Human Genetics","id":"ITEM-1","issue":"8","issued":{"date-parts":[["2013","8","5"]]},"page":"865-884","publisher":"Springer Berlin Heidelberg","title":"Identification of 99 novel mutations in a worldwide cohort of 1,056 patients with a nephronophthisis-related ciliopathy","type":"article-journal","volume":"132"},"uris":["http://www.mendeley.com/documents/?uuid=756632db-8bd9-3ea2-a229-0ce4071c3173"]},{"id":"ITEM-2","itemData":{"DOI":"10.1101/cshperspect.a028191","ISSN":"1943-0264","PMID":"27793968","abstract":"Nephronophthisis-related ciliopathies (NPHP-RC) are a group of inherited diseases that affect genes encoding proteins that localize to primary cilia or centrosomes. With few exceptions, ciliopathies are inherited in an autosomal recessive manner, and affected individuals manifest early during childhood or adolescence. NPHP-RC are genetically very heterogeneous, and, currently, mutations in more than 90 genes have been described as single-gene causes. The phenotypes of NPHP-RC are very diverse, and include cystic-fibrotic kidney disease, brain developmental defects, retinal degeneration, skeletal deformities, facial dimorphism, and, in some cases, laterality defects, and congenital heart disease. Mutations in the same gene can give rise to diverse phenotypes depending on the mutated allele. At the same time, there is broad phenotypic overlap between different monogenic genes. The identification of monogenic causes of ciliopathies has furthered the understanding of molecular mechanism and cellular pathways involved in the pathogenesis.","author":[{"dropping-particle":"","family":"Braun","given":"Daniela A","non-dropping-particle":"","parse-names":false,"suffix":""},{"dropping-particle":"","family":"Hildebrandt","given":"Friedhelm","non-dropping-particle":"","parse-names":false,"suffix":""}],"container-title":"Cold Spring Harbor perspectives in biology","id":"ITEM-2","issue":"3","issued":{"date-parts":[["2017","3","1"]]},"publisher":"Cold Spring Harbor Laboratory Press","title":"Ciliopathies.","type":"article-journal","volume":"9"},"uris":["http://www.mendeley.com/documents/?uuid=75e5dd28-8954-38bf-b535-bcc47f177f33"]}],"mendeley":{"formattedCitation":"&lt;span style=\"baseline\"&gt;[11,13]&lt;/span&gt;","plainTextFormattedCitation":"[11,13]","previouslyFormattedCitation":"&lt;span style=\"baseline\"&gt;[11,13]&lt;/span&gt;"},"properties":{"noteIndex":0},"schema":"https://github.com/citation-style-language/schema/raw/master/csl-citation.json"}</w:instrText>
      </w:r>
      <w:r w:rsidRPr="00F0254C">
        <w:rPr>
          <w:rFonts w:ascii="Segoe UI" w:hAnsi="Segoe UI" w:cs="Segoe UI"/>
        </w:rPr>
        <w:fldChar w:fldCharType="separate"/>
      </w:r>
      <w:r w:rsidR="00621F24" w:rsidRPr="00621F24">
        <w:rPr>
          <w:rFonts w:ascii="Segoe UI" w:hAnsi="Segoe UI" w:cs="Segoe UI"/>
          <w:noProof/>
        </w:rPr>
        <w:t>[11,13]</w:t>
      </w:r>
      <w:r w:rsidRPr="00F0254C">
        <w:rPr>
          <w:rFonts w:ascii="Segoe UI" w:hAnsi="Segoe UI" w:cs="Segoe UI"/>
        </w:rPr>
        <w:fldChar w:fldCharType="end"/>
      </w:r>
      <w:r w:rsidRPr="00F0254C">
        <w:rPr>
          <w:rFonts w:ascii="Segoe UI" w:hAnsi="Segoe UI" w:cs="Segoe UI"/>
        </w:rPr>
        <w:t xml:space="preserve"> </w:t>
      </w:r>
      <w:r w:rsidR="003C7884" w:rsidRPr="00F0254C">
        <w:rPr>
          <w:rFonts w:ascii="Segoe UI" w:hAnsi="Segoe UI" w:cs="Segoe UI"/>
        </w:rPr>
        <w:t xml:space="preserve">It is well established that nephronophthisis is a leading cause </w:t>
      </w:r>
      <w:r w:rsidR="002152BC" w:rsidRPr="00F0254C">
        <w:rPr>
          <w:rFonts w:ascii="Segoe UI" w:hAnsi="Segoe UI" w:cs="Segoe UI"/>
        </w:rPr>
        <w:t>of ESKD</w:t>
      </w:r>
      <w:r w:rsidR="003C7884" w:rsidRPr="00F0254C">
        <w:rPr>
          <w:rFonts w:ascii="Segoe UI" w:hAnsi="Segoe UI" w:cs="Segoe UI"/>
        </w:rPr>
        <w:t xml:space="preserve"> in children.</w:t>
      </w:r>
      <w:r w:rsidR="003C7884" w:rsidRPr="00F0254C">
        <w:rPr>
          <w:rFonts w:ascii="Segoe UI" w:hAnsi="Segoe UI" w:cs="Segoe UI"/>
        </w:rPr>
        <w:fldChar w:fldCharType="begin" w:fldLock="1"/>
      </w:r>
      <w:r w:rsidR="00C275EA">
        <w:rPr>
          <w:rFonts w:ascii="Segoe UI" w:hAnsi="Segoe UI" w:cs="Segoe UI"/>
        </w:rPr>
        <w:instrText>ADDIN CSL_CITATION {"citationItems":[{"id":"ITEM-1","itemData":{"DOI":"10.1681/ASN.2006121344","ISSN":"10466673","abstract":"Nephronophthisis (NPHP), an autosomal recessive cystic kidney disease, represents the most frequent genetic cause of end-stage kidney disease in the first three decades of life. Contrary to polycystic kidney disease, NPHP shows normal or diminished kidney size, cysts are concentrated at the corticomedullary junction, and tubulointerstitial fibrosis is dominant. NPHP can be associated with retinitis pigmentosa (Senior-Loken syndrome), liver fibrosis, and cerebellar vermis aplasia (Joubert syndrome) in approximately 10% of patients. Positional cloning of six novel genes (NPHP1 through 6) as mutated in NPHP and functional characterization of their encoded proteins have contributed to the concept of \"ciliopathies.\" It has helped advance a new unifying theory of cystic kidney diseases. This theory states that the products of all genes that are mutated in cystic kidney diseases in humans, mice, or zebrafish are expressed in primary cilia or centrosomes of renal epithelial cells. Primary cilia are sensory organelles that connect mechanosensory, visual, osmotic, and other stimuli to mechanisms of cell-cycle control and epithelial cell polarity. The ciliary theory explains the multiple organ involvement in NPHP regarding retinitis pigmentosa, liver fibrosis, ataxia, situs inversus, and mental retardation. Mutations in NPHP genes cause defects in signaling mechanisms, including the noncanonical Wnt signaling pathway. The \"ciliopathy\" NPHP thereby is caused by defects in tissue differentiation and maintenance as a result of impaired processing of extracellular cues. Nephrocystins, the proteins that are encoded by NPHP genes, are highly conserved in evolution. Positional cloning of additional causative genes of NPHP will elucidate further signaling mechanisms that are involved, thereby establishing therapeutic approaches using animal models in mouse, zebrafish, and Caenorhabditis elegans. Copyright © 2007 by the American Society of Nephrology.","author":[{"dropping-particle":"","family":"Hildebrandt","given":"Friedhelm","non-dropping-particle":"","parse-names":false,"suffix":""},{"dropping-particle":"","family":"Zhou","given":"Weibin","non-dropping-particle":"","parse-names":false,"suffix":""}],"container-title":"Journal of the American Society of Nephrology","id":"ITEM-1","issue":"6","issued":{"date-parts":[["2007"]]},"page":"1855-1871","title":"Nephronophthisis-associated ciliopathies","type":"article","volume":"18"},"uris":["http://www.mendeley.com/documents/?uuid=c9f6b17a-3683-3cb4-b9d8-2ffc404b8137"]}],"mendeley":{"formattedCitation":"&lt;span style=\"baseline\"&gt;[14]&lt;/span&gt;","plainTextFormattedCitation":"[14]","previouslyFormattedCitation":"&lt;span style=\"baseline\"&gt;[14]&lt;/span&gt;"},"properties":{"noteIndex":0},"schema":"https://github.com/citation-style-language/schema/raw/master/csl-citation.json"}</w:instrText>
      </w:r>
      <w:r w:rsidR="003C7884" w:rsidRPr="00F0254C">
        <w:rPr>
          <w:rFonts w:ascii="Segoe UI" w:hAnsi="Segoe UI" w:cs="Segoe UI"/>
        </w:rPr>
        <w:fldChar w:fldCharType="separate"/>
      </w:r>
      <w:r w:rsidR="00621F24" w:rsidRPr="00621F24">
        <w:rPr>
          <w:rFonts w:ascii="Segoe UI" w:hAnsi="Segoe UI" w:cs="Segoe UI"/>
          <w:noProof/>
        </w:rPr>
        <w:t>[14]</w:t>
      </w:r>
      <w:r w:rsidR="003C7884" w:rsidRPr="00F0254C">
        <w:rPr>
          <w:rFonts w:ascii="Segoe UI" w:hAnsi="Segoe UI" w:cs="Segoe UI"/>
        </w:rPr>
        <w:fldChar w:fldCharType="end"/>
      </w:r>
      <w:r w:rsidR="003C7884" w:rsidRPr="00F0254C">
        <w:rPr>
          <w:rFonts w:ascii="Segoe UI" w:hAnsi="Segoe UI" w:cs="Segoe UI"/>
        </w:rPr>
        <w:t xml:space="preserve"> However, more recent data from Snoek </w:t>
      </w:r>
      <w:r w:rsidR="003C7884" w:rsidRPr="00F0254C">
        <w:rPr>
          <w:rFonts w:ascii="Segoe UI" w:hAnsi="Segoe UI" w:cs="Segoe UI"/>
          <w:i/>
          <w:iCs/>
        </w:rPr>
        <w:t>et al.</w:t>
      </w:r>
      <w:r w:rsidR="003C7884" w:rsidRPr="00F0254C">
        <w:rPr>
          <w:rFonts w:ascii="Segoe UI" w:hAnsi="Segoe UI" w:cs="Segoe UI"/>
        </w:rPr>
        <w:t xml:space="preserve"> identified homozygous deletions in </w:t>
      </w:r>
      <w:r w:rsidR="003C7884" w:rsidRPr="00F0254C">
        <w:rPr>
          <w:rFonts w:ascii="Segoe UI" w:hAnsi="Segoe UI" w:cs="Segoe UI"/>
          <w:i/>
          <w:iCs/>
        </w:rPr>
        <w:t>NPHP1</w:t>
      </w:r>
      <w:r w:rsidR="003C7884" w:rsidRPr="00F0254C">
        <w:rPr>
          <w:rFonts w:ascii="Segoe UI" w:hAnsi="Segoe UI" w:cs="Segoe UI"/>
        </w:rPr>
        <w:t xml:space="preserve"> in 0.9% of adult onset ESKD.</w:t>
      </w:r>
      <w:r w:rsidR="003C7884" w:rsidRPr="00F0254C">
        <w:rPr>
          <w:rFonts w:ascii="Segoe UI" w:hAnsi="Segoe UI" w:cs="Segoe UI"/>
        </w:rPr>
        <w:fldChar w:fldCharType="begin" w:fldLock="1"/>
      </w:r>
      <w:r w:rsidR="00C275EA">
        <w:rPr>
          <w:rFonts w:ascii="Segoe UI" w:hAnsi="Segoe UI" w:cs="Segoe UI"/>
        </w:rPr>
        <w:instrText>ADDIN CSL_CITATION {"citationItems":[{"id":"ITEM-1","itemData":{"DOI":"http://dx.doi.org/10.1681/ASN.2017111200","ISSN":"1046-6673","PMID":"29654215","abstract":"Background Nephronophthisis (NPH) is the most prevalent genetic cause for ESRD in children. However, little is known about the prevalence of NPH in adult-onset ESRD. Homozygous full gene deletions of the NPHP1 gene encoding nephrocystin-1 are a prominent cause of NPH. We determined the prevalence of NPH in adults by assessing homozygous NPHP1 full gene deletions in adult-onset ESRD. Methods Adult renal transplant recipients from five cohorts of the International Genetics and Translational Research in Transplantation Network (iGeneTRAiN) underwent single-nucleotide polymorphism genotyping. After quality control, we determined autosomal copy number variants (such as deletions) on the basis of median log2 ratios and B-allele frequency patterns. The findings were independently validated in one cohort. Patients were included in the analysis if they had adult-onset ESRD, defined as start of RRT at $18 years old. Results We included 5606 patients with adult-onset ESRD; 26 (0.5%) showed homozygous NPHP1 deletions. No donor controls showed homozygosity for this deletion. Median age at ESRD onset was 30 (range, 18-61) years old for patients with NPH, with 54% of patients age $30 years old. Notably, only three (12%) patients were phenotypically classified as having NPH, whereas most patients were defined as having CKD with unknown etiology (n=11; 42%). Conclusions Considering that other mutation types in NPHP1 or mutations in other NPH-causing genes were not analyzed, NPH is a relatively frequent monogenic cause of adult-onset ESRD. Because 88% of patients had not been clinically diagnosed with NPH, wider application of genetic testing in adult-onset ESRD may be warranted.Copyright © 2018 by the American Society of Nephrology.","author":[{"dropping-particle":"","family":"Snoek","given":"Rozemarijn","non-dropping-particle":"","parse-names":false,"suffix":""},{"dropping-particle":"","family":"Setten","given":"Jessica","non-dropping-particle":"van","parse-names":false,"suffix":""},{"dropping-particle":"","family":"Keating","given":"Brendan J","non-dropping-particle":"","parse-names":false,"suffix":""},{"dropping-particle":"","family":"Israni","given":"Ajay K","non-dropping-particle":"","parse-names":false,"suffix":""},{"dropping-particle":"","family":"Jacobson","given":"Pamala A","non-dropping-particle":"","parse-names":false,"suffix":""},{"dropping-particle":"","family":"Oetting","given":"William S","non-dropping-particle":"","parse-names":false,"suffix":""},{"dropping-particle":"","family":"Matas","given":"Arthur J","non-dropping-particle":"","parse-names":false,"suffix":""},{"dropping-particle":"","family":"Mannon","given":"Roslyn B","non-dropping-particle":"","parse-names":false,"suffix":""},{"dropping-particle":"","family":"Zhang","given":"Zhongyang","non-dropping-particle":"","parse-names":false,"suffix":""},{"dropping-particle":"","family":"Zhang","given":"Weijia","non-dropping-particle":"","parse-names":false,"suffix":""},{"dropping-particle":"","family":"Hao","given":"Ke","non-dropping-particle":"","parse-names":false,"suffix":""},{"dropping-particle":"","family":"Murphy","given":"Barbara","non-dropping-particle":"","parse-names":false,"suffix":""},{"dropping-particle":"","family":"Reindl-Schwaighofer","given":"Roman","non-dropping-particle":"","parse-names":false,"suffix":""},{"dropping-particle":"","family":"Heinzl","given":"Andreas","non-dropping-particle":"","parse-names":false,"suffix":""},{"dropping-particle":"","family":"Oberbauer","given":"Rainer","non-dropping-particle":"","parse-names":false,"suffix":""},{"dropping-particle":"","family":"Viklicky","given":"Ondrej","non-dropping-particle":"","parse-names":false,"suffix":""},{"dropping-particle":"","family":"Conlon","given":"Peter J","non-dropping-particle":"","parse-names":false,"suffix":""},{"dropping-particle":"","family":"Stapleton","given":"Caragh P","non-dropping-particle":"","parse-names":false,"suffix":""},{"dropping-particle":"","family":"Bakker","given":"Stephan J L","non-dropping-particle":"","parse-names":false,"suffix":""},{"dropping-particle":"","family":"Snieder","given":"Harold","non-dropping-particle":"","parse-names":false,"suffix":""},{"dropping-particle":"","family":"Peters","given":"Edith D J","non-dropping-particle":"","parse-names":false,"suffix":""},{"dropping-particle":"","family":"Zwaag","given":"Bert","non-dropping-particle":"van der","parse-names":false,"suffix":""},{"dropping-particle":"","family":"Knoers","given":"Nine V A M","non-dropping-particle":"","parse-names":false,"suffix":""},{"dropping-particle":"","family":"Borst","given":"Martin H","non-dropping-particle":"de","parse-names":false,"suffix":""},{"dropping-particle":"","family":"Eerde","given":"Albertien M","non-dropping-particle":"van","parse-names":false,"suffix":""},{"dropping-particle":"","family":"R.","given":"Snoek","non-dropping-particle":"","parse-names":false,"suffix":""},{"dropping-particle":"","family":"J.","given":"Van Setten","non-dropping-particle":"","parse-names":false,"suffix":""},{"dropping-particle":"","family":"B.J.","given":"Keating","non-dropping-particle":"","parse-names":false,"suffix":""},{"dropping-particle":"","family":"A.K.","given":"Israni","non-dropping-particle":"","parse-names":false,"suffix":""},{"dropping-particle":"","family":"P.A.","given":"Jacobson","non-dropping-particle":"","parse-names":false,"suffix":""},{"dropping-particle":"","family":"W.S.","given":"Oetting","non-dropping-particle":"","parse-names":false,"suffix":""},{"dropping-particle":"","family":"A.J.","given":"Matas","non-dropping-particle":"","parse-names":false,"suffix":""},{"dropping-particle":"","family":"R.B.","given":"Mannon","non-dropping-particle":"","parse-names":false,"suffix":""},{"dropping-particle":"","family":"Z.","given":"Zhang","non-dropping-particle":"","parse-names":false,"suffix":""},{"dropping-particle":"","family":"W.","given":"Zhang","non-dropping-particle":"","parse-names":false,"suffix":""},{"dropping-particle":"","family":"K.","given":"Hao","non-dropping-particle":"","parse-names":false,"suffix":""},{"dropping-particle":"","family":"B.","given":"Murphy","non-dropping-particle":"","parse-names":false,"suffix":""},{"dropping-particle":"","family":"R.","given":"Reindl-Schwaighofer","non-dropping-particle":"","parse-names":false,"suffix":""},{"dropping-particle":"","family":"A.","given":"Heinzl","non-dropping-particle":"","parse-names":false,"suffix":""},{"dropping-particle":"","family":"R.","given":"Oberbauer","non-dropping-particle":"","parse-names":false,"suffix":""},{"dropping-particle":"","family":"O.","given":"Viklicky","non-dropping-particle":"","parse-names":false,"suffix":""},{"dropping-particle":"","family":"P.J.","given":"Conlon","non-dropping-particle":"","parse-names":false,"suffix":""},{"dropping-particle":"","family":"C.P.","given":"Stapleton","non-dropping-particle":"","parse-names":false,"suffix":""},{"dropping-particle":"","family":"S.J.L.","given":"Bakker","non-dropping-particle":"","parse-names":false,"suffix":""},{"dropping-particle":"","family":"H.","given":"Snieder","non-dropping-particle":"","parse-names":false,"suffix":""},{"dropping-particle":"","family":"E.D.J.","given":"Peters","non-dropping-particle":"","parse-names":false,"suffix":""},{"dropping-particle":"","family":"B.","given":"Van Der Zwaag","non-dropping-particle":"","parse-names":false,"suffix":""},{"dropping-particle":"","family":"N.V.A.M.","given":"Knoers","non-dropping-particle":"","parse-names":false,"suffix":""},{"dropping-particle":"","family":"M.H.","given":"De Borst","non-dropping-particle":"","parse-names":false,"suffix":""}],"container-title":"Journal of the American Society of Nephrology","id":"ITEM-1","issue":"6","issued":{"date-parts":[["2018","6","1"]]},"page":"1772-1779","publisher":"American Society of Nephrology (E-mail: email@asn-online.org)","publisher-place":"A.M. Van Eerde, Department of Genetics, University Medical Center Utrecht, Utrecht University, Utrecht, Netherlands. E-mail: a.vaneerde@umcutrecht.nl","title":"NPHP1 (Nephrocystin-1) gene deletions cause adult-onset ESRD","type":"article-journal","volume":"29"},"uris":["http://www.mendeley.com/documents/?uuid=1e10b200-c2d9-4bac-a2d0-dfd70b932771"]}],"mendeley":{"formattedCitation":"&lt;span style=\"baseline\"&gt;[21]&lt;/span&gt;","plainTextFormattedCitation":"[21]","previouslyFormattedCitation":"&lt;span style=\"baseline\"&gt;[21]&lt;/span&gt;"},"properties":{"noteIndex":0},"schema":"https://github.com/citation-style-language/schema/raw/master/csl-citation.json"}</w:instrText>
      </w:r>
      <w:r w:rsidR="003C7884" w:rsidRPr="00F0254C">
        <w:rPr>
          <w:rFonts w:ascii="Segoe UI" w:hAnsi="Segoe UI" w:cs="Segoe UI"/>
        </w:rPr>
        <w:fldChar w:fldCharType="separate"/>
      </w:r>
      <w:r w:rsidR="00621F24" w:rsidRPr="00621F24">
        <w:rPr>
          <w:rFonts w:ascii="Segoe UI" w:hAnsi="Segoe UI" w:cs="Segoe UI"/>
          <w:noProof/>
        </w:rPr>
        <w:t>[21]</w:t>
      </w:r>
      <w:r w:rsidR="003C7884" w:rsidRPr="00F0254C">
        <w:rPr>
          <w:rFonts w:ascii="Segoe UI" w:hAnsi="Segoe UI" w:cs="Segoe UI"/>
        </w:rPr>
        <w:fldChar w:fldCharType="end"/>
      </w:r>
      <w:r w:rsidR="003C7884" w:rsidRPr="00F0254C">
        <w:rPr>
          <w:rFonts w:ascii="Segoe UI" w:hAnsi="Segoe UI" w:cs="Segoe UI"/>
        </w:rPr>
        <w:t xml:space="preserve"> One individual first reached ESKD as late as 61 years old.</w:t>
      </w:r>
      <w:r w:rsidR="00841875" w:rsidRPr="00F0254C">
        <w:rPr>
          <w:rFonts w:ascii="Segoe UI" w:hAnsi="Segoe UI" w:cs="Segoe UI"/>
        </w:rPr>
        <w:t xml:space="preserve"> </w:t>
      </w:r>
      <w:r w:rsidR="00D076F9" w:rsidRPr="00F0254C">
        <w:rPr>
          <w:rFonts w:ascii="Segoe UI" w:hAnsi="Segoe UI" w:cs="Segoe UI"/>
        </w:rPr>
        <w:t xml:space="preserve">69% of </w:t>
      </w:r>
      <w:r w:rsidR="00841875" w:rsidRPr="00F0254C">
        <w:rPr>
          <w:rFonts w:ascii="Segoe UI" w:hAnsi="Segoe UI" w:cs="Segoe UI"/>
        </w:rPr>
        <w:t xml:space="preserve">patients had a prior diagnosis </w:t>
      </w:r>
      <w:r w:rsidR="00D076F9" w:rsidRPr="00F0254C">
        <w:rPr>
          <w:rFonts w:ascii="Segoe UI" w:hAnsi="Segoe UI" w:cs="Segoe UI"/>
        </w:rPr>
        <w:t xml:space="preserve">other than </w:t>
      </w:r>
      <w:r w:rsidR="00841875" w:rsidRPr="00F0254C">
        <w:rPr>
          <w:rFonts w:ascii="Segoe UI" w:hAnsi="Segoe UI" w:cs="Segoe UI"/>
        </w:rPr>
        <w:t>nephronophthisis, tubulointerst</w:t>
      </w:r>
      <w:r w:rsidR="00D076F9" w:rsidRPr="00F0254C">
        <w:rPr>
          <w:rFonts w:ascii="Segoe UI" w:hAnsi="Segoe UI" w:cs="Segoe UI"/>
        </w:rPr>
        <w:t>it</w:t>
      </w:r>
      <w:r w:rsidR="00841875" w:rsidRPr="00F0254C">
        <w:rPr>
          <w:rFonts w:ascii="Segoe UI" w:hAnsi="Segoe UI" w:cs="Segoe UI"/>
        </w:rPr>
        <w:t xml:space="preserve">ial or cystic kidney </w:t>
      </w:r>
      <w:r w:rsidR="00D076F9" w:rsidRPr="00F0254C">
        <w:rPr>
          <w:rFonts w:ascii="Segoe UI" w:hAnsi="Segoe UI" w:cs="Segoe UI"/>
        </w:rPr>
        <w:t>disease.</w:t>
      </w:r>
      <w:r w:rsidR="00D076F9" w:rsidRPr="00F0254C">
        <w:rPr>
          <w:rFonts w:ascii="Segoe UI" w:hAnsi="Segoe UI" w:cs="Segoe UI"/>
        </w:rPr>
        <w:fldChar w:fldCharType="begin" w:fldLock="1"/>
      </w:r>
      <w:r w:rsidR="00C275EA">
        <w:rPr>
          <w:rFonts w:ascii="Segoe UI" w:hAnsi="Segoe UI" w:cs="Segoe UI"/>
        </w:rPr>
        <w:instrText>ADDIN CSL_CITATION {"citationItems":[{"id":"ITEM-1","itemData":{"DOI":"http://dx.doi.org/10.1681/ASN.2017111200","ISSN":"1046-6673","PMID":"29654215","abstract":"Background Nephronophthisis (NPH) is the most prevalent genetic cause for ESRD in children. However, little is known about the prevalence of NPH in adult-onset ESRD. Homozygous full gene deletions of the NPHP1 gene encoding nephrocystin-1 are a prominent cause of NPH. We determined the prevalence of NPH in adults by assessing homozygous NPHP1 full gene deletions in adult-onset ESRD. Methods Adult renal transplant recipients from five cohorts of the International Genetics and Translational Research in Transplantation Network (iGeneTRAiN) underwent single-nucleotide polymorphism genotyping. After quality control, we determined autosomal copy number variants (such as deletions) on the basis of median log2 ratios and B-allele frequency patterns. The findings were independently validated in one cohort. Patients were included in the analysis if they had adult-onset ESRD, defined as start of RRT at $18 years old. Results We included 5606 patients with adult-onset ESRD; 26 (0.5%) showed homozygous NPHP1 deletions. No donor controls showed homozygosity for this deletion. Median age at ESRD onset was 30 (range, 18-61) years old for patients with NPH, with 54% of patients age $30 years old. Notably, only three (12%) patients were phenotypically classified as having NPH, whereas most patients were defined as having CKD with unknown etiology (n=11; 42%). Conclusions Considering that other mutation types in NPHP1 or mutations in other NPH-causing genes were not analyzed, NPH is a relatively frequent monogenic cause of adult-onset ESRD. Because 88% of patients had not been clinically diagnosed with NPH, wider application of genetic testing in adult-onset ESRD may be warranted.Copyright © 2018 by the American Society of Nephrology.","author":[{"dropping-particle":"","family":"Snoek","given":"Rozemarijn","non-dropping-particle":"","parse-names":false,"suffix":""},{"dropping-particle":"","family":"Setten","given":"Jessica","non-dropping-particle":"van","parse-names":false,"suffix":""},{"dropping-particle":"","family":"Keating","given":"Brendan J","non-dropping-particle":"","parse-names":false,"suffix":""},{"dropping-particle":"","family":"Israni","given":"Ajay K","non-dropping-particle":"","parse-names":false,"suffix":""},{"dropping-particle":"","family":"Jacobson","given":"Pamala A","non-dropping-particle":"","parse-names":false,"suffix":""},{"dropping-particle":"","family":"Oetting","given":"William S","non-dropping-particle":"","parse-names":false,"suffix":""},{"dropping-particle":"","family":"Matas","given":"Arthur J","non-dropping-particle":"","parse-names":false,"suffix":""},{"dropping-particle":"","family":"Mannon","given":"Roslyn B","non-dropping-particle":"","parse-names":false,"suffix":""},{"dropping-particle":"","family":"Zhang","given":"Zhongyang","non-dropping-particle":"","parse-names":false,"suffix":""},{"dropping-particle":"","family":"Zhang","given":"Weijia","non-dropping-particle":"","parse-names":false,"suffix":""},{"dropping-particle":"","family":"Hao","given":"Ke","non-dropping-particle":"","parse-names":false,"suffix":""},{"dropping-particle":"","family":"Murphy","given":"Barbara","non-dropping-particle":"","parse-names":false,"suffix":""},{"dropping-particle":"","family":"Reindl-Schwaighofer","given":"Roman","non-dropping-particle":"","parse-names":false,"suffix":""},{"dropping-particle":"","family":"Heinzl","given":"Andreas","non-dropping-particle":"","parse-names":false,"suffix":""},{"dropping-particle":"","family":"Oberbauer","given":"Rainer","non-dropping-particle":"","parse-names":false,"suffix":""},{"dropping-particle":"","family":"Viklicky","given":"Ondrej","non-dropping-particle":"","parse-names":false,"suffix":""},{"dropping-particle":"","family":"Conlon","given":"Peter J","non-dropping-particle":"","parse-names":false,"suffix":""},{"dropping-particle":"","family":"Stapleton","given":"Caragh P","non-dropping-particle":"","parse-names":false,"suffix":""},{"dropping-particle":"","family":"Bakker","given":"Stephan J L","non-dropping-particle":"","parse-names":false,"suffix":""},{"dropping-particle":"","family":"Snieder","given":"Harold","non-dropping-particle":"","parse-names":false,"suffix":""},{"dropping-particle":"","family":"Peters","given":"Edith D J","non-dropping-particle":"","parse-names":false,"suffix":""},{"dropping-particle":"","family":"Zwaag","given":"Bert","non-dropping-particle":"van der","parse-names":false,"suffix":""},{"dropping-particle":"","family":"Knoers","given":"Nine V A M","non-dropping-particle":"","parse-names":false,"suffix":""},{"dropping-particle":"","family":"Borst","given":"Martin H","non-dropping-particle":"de","parse-names":false,"suffix":""},{"dropping-particle":"","family":"Eerde","given":"Albertien M","non-dropping-particle":"van","parse-names":false,"suffix":""},{"dropping-particle":"","family":"R.","given":"Snoek","non-dropping-particle":"","parse-names":false,"suffix":""},{"dropping-particle":"","family":"J.","given":"Van Setten","non-dropping-particle":"","parse-names":false,"suffix":""},{"dropping-particle":"","family":"B.J.","given":"Keating","non-dropping-particle":"","parse-names":false,"suffix":""},{"dropping-particle":"","family":"A.K.","given":"Israni","non-dropping-particle":"","parse-names":false,"suffix":""},{"dropping-particle":"","family":"P.A.","given":"Jacobson","non-dropping-particle":"","parse-names":false,"suffix":""},{"dropping-particle":"","family":"W.S.","given":"Oetting","non-dropping-particle":"","parse-names":false,"suffix":""},{"dropping-particle":"","family":"A.J.","given":"Matas","non-dropping-particle":"","parse-names":false,"suffix":""},{"dropping-particle":"","family":"R.B.","given":"Mannon","non-dropping-particle":"","parse-names":false,"suffix":""},{"dropping-particle":"","family":"Z.","given":"Zhang","non-dropping-particle":"","parse-names":false,"suffix":""},{"dropping-particle":"","family":"W.","given":"Zhang","non-dropping-particle":"","parse-names":false,"suffix":""},{"dropping-particle":"","family":"K.","given":"Hao","non-dropping-particle":"","parse-names":false,"suffix":""},{"dropping-particle":"","family":"B.","given":"Murphy","non-dropping-particle":"","parse-names":false,"suffix":""},{"dropping-particle":"","family":"R.","given":"Reindl-Schwaighofer","non-dropping-particle":"","parse-names":false,"suffix":""},{"dropping-particle":"","family":"A.","given":"Heinzl","non-dropping-particle":"","parse-names":false,"suffix":""},{"dropping-particle":"","family":"R.","given":"Oberbauer","non-dropping-particle":"","parse-names":false,"suffix":""},{"dropping-particle":"","family":"O.","given":"Viklicky","non-dropping-particle":"","parse-names":false,"suffix":""},{"dropping-particle":"","family":"P.J.","given":"Conlon","non-dropping-particle":"","parse-names":false,"suffix":""},{"dropping-particle":"","family":"C.P.","given":"Stapleton","non-dropping-particle":"","parse-names":false,"suffix":""},{"dropping-particle":"","family":"S.J.L.","given":"Bakker","non-dropping-particle":"","parse-names":false,"suffix":""},{"dropping-particle":"","family":"H.","given":"Snieder","non-dropping-particle":"","parse-names":false,"suffix":""},{"dropping-particle":"","family":"E.D.J.","given":"Peters","non-dropping-particle":"","parse-names":false,"suffix":""},{"dropping-particle":"","family":"B.","given":"Van Der Zwaag","non-dropping-particle":"","parse-names":false,"suffix":""},{"dropping-particle":"","family":"N.V.A.M.","given":"Knoers","non-dropping-particle":"","parse-names":false,"suffix":""},{"dropping-particle":"","family":"M.H.","given":"De Borst","non-dropping-particle":"","parse-names":false,"suffix":""}],"container-title":"Journal of the American Society of Nephrology","id":"ITEM-1","issue":"6","issued":{"date-parts":[["2018","6","1"]]},"page":"1772-1779","publisher":"American Society of Nephrology (E-mail: email@asn-online.org)","publisher-place":"A.M. Van Eerde, Department of Genetics, University Medical Center Utrecht, Utrecht University, Utrecht, Netherlands. E-mail: a.vaneerde@umcutrecht.nl","title":"NPHP1 (Nephrocystin-1) gene deletions cause adult-onset ESRD","type":"article-journal","volume":"29"},"uris":["http://www.mendeley.com/documents/?uuid=1e10b200-c2d9-4bac-a2d0-dfd70b932771"]}],"mendeley":{"formattedCitation":"&lt;span style=\"baseline\"&gt;[21]&lt;/span&gt;","plainTextFormattedCitation":"[21]","previouslyFormattedCitation":"&lt;span style=\"baseline\"&gt;[21]&lt;/span&gt;"},"properties":{"noteIndex":0},"schema":"https://github.com/citation-style-language/schema/raw/master/csl-citation.json"}</w:instrText>
      </w:r>
      <w:r w:rsidR="00D076F9" w:rsidRPr="00F0254C">
        <w:rPr>
          <w:rFonts w:ascii="Segoe UI" w:hAnsi="Segoe UI" w:cs="Segoe UI"/>
        </w:rPr>
        <w:fldChar w:fldCharType="separate"/>
      </w:r>
      <w:r w:rsidR="00621F24" w:rsidRPr="00621F24">
        <w:rPr>
          <w:rFonts w:ascii="Segoe UI" w:hAnsi="Segoe UI" w:cs="Segoe UI"/>
          <w:noProof/>
        </w:rPr>
        <w:t>[21]</w:t>
      </w:r>
      <w:r w:rsidR="00D076F9" w:rsidRPr="00F0254C">
        <w:rPr>
          <w:rFonts w:ascii="Segoe UI" w:hAnsi="Segoe UI" w:cs="Segoe UI"/>
        </w:rPr>
        <w:fldChar w:fldCharType="end"/>
      </w:r>
      <w:r w:rsidRPr="00F0254C">
        <w:rPr>
          <w:rFonts w:ascii="Segoe UI" w:hAnsi="Segoe UI" w:cs="Segoe UI"/>
        </w:rPr>
        <w:t xml:space="preserve"> Although reported in association with nephronophthisis, s</w:t>
      </w:r>
      <w:r w:rsidR="003C7884" w:rsidRPr="00F0254C">
        <w:rPr>
          <w:rFonts w:ascii="Segoe UI" w:hAnsi="Segoe UI" w:cs="Segoe UI"/>
        </w:rPr>
        <w:t xml:space="preserve">mall insertions and deletions (indels) and single nucleotide variants (SNVs) are less well characterised in </w:t>
      </w:r>
      <w:r w:rsidR="003C7884" w:rsidRPr="00F0254C">
        <w:rPr>
          <w:rFonts w:ascii="Segoe UI" w:hAnsi="Segoe UI" w:cs="Segoe UI"/>
          <w:i/>
          <w:iCs/>
        </w:rPr>
        <w:t>NPHP1</w:t>
      </w:r>
      <w:r w:rsidR="003C7884" w:rsidRPr="00F0254C">
        <w:rPr>
          <w:rFonts w:ascii="Segoe UI" w:hAnsi="Segoe UI" w:cs="Segoe UI"/>
        </w:rPr>
        <w:t>.</w:t>
      </w:r>
      <w:r w:rsidR="002A2477" w:rsidRPr="00F0254C">
        <w:rPr>
          <w:rFonts w:ascii="Segoe UI" w:hAnsi="Segoe UI" w:cs="Segoe UI"/>
        </w:rPr>
        <w:fldChar w:fldCharType="begin" w:fldLock="1"/>
      </w:r>
      <w:r w:rsidR="00C275EA">
        <w:rPr>
          <w:rFonts w:ascii="Segoe UI" w:hAnsi="Segoe UI" w:cs="Segoe UI"/>
        </w:rPr>
        <w:instrText>ADDIN CSL_CITATION {"citationItems":[{"id":"ITEM-1","itemData":{"DOI":"10.1186/s12882-019-1372-4","ISSN":"14712369","PMID":"31096956","abstract":"Background: Nephronophthisis (NPHP) is an autosomal recessive hereditary disease with highly variable clinical characteristics for which 20 genes (NPHP1-20) have been identified. NPHP1 is the major subtype leading to pediatric end-stage renal disease (ESRD). Reports of adult NPHP1 are rare. Case presentation: Here, we report a 27-year-old male from a Chinese intermarriage family who was diagnosed as NPHP from clinical presentations and molecular genetic analysis by whole-exome sequencing. The genetic investigation revealed a novel homozygous nonsense mutation, p. E697X,37 and a novel homozygous missense mutation, p. F691 L, in the NPHP1 gene. His parents and fraternal twin harbored heterozygous mutations of the two loci and had no renal symptoms. His elder sister developed ESRD and died at 23 years of age. Conclusions: The report indicated that adult NPHP should be taken into consideration for adults with ESRD of uncertain cause. The genotype-phenotype correlation requires further investigation.","author":[{"dropping-particle":"","family":"Wang","given":"Yiting","non-dropping-particle":"","parse-names":false,"suffix":""},{"dropping-particle":"","family":"Chen","given":"Feng","non-dropping-particle":"","parse-names":false,"suffix":""},{"dropping-particle":"","family":"Wang","given":"Jiali","non-dropping-particle":"","parse-names":false,"suffix":""},{"dropping-particle":"","family":"Zhao","given":"Yingwang","non-dropping-particle":"","parse-names":false,"suffix":""},{"dropping-particle":"","family":"Liu","given":"Fang","non-dropping-particle":"","parse-names":false,"suffix":""}],"container-title":"BMC Nephrology","id":"ITEM-1","issue":"1","issued":{"date-parts":[["2019","5","16"]]},"page":"1-5","publisher":"BioMed Central","title":"Two novel homozygous mutations in NPHP1 lead to late onset end-stage renal disease: A case report of an adult nephronophthisis in a Chinese intermarriage family","type":"article-journal","volume":"20"},"uris":["http://www.mendeley.com/documents/?uuid=80d89f4f-fdf5-3958-9f10-abbc839bd506"]}],"mendeley":{"formattedCitation":"&lt;span style=\"baseline\"&gt;[22]&lt;/span&gt;","plainTextFormattedCitation":"[22]","previouslyFormattedCitation":"&lt;span style=\"baseline\"&gt;[22]&lt;/span&gt;"},"properties":{"noteIndex":0},"schema":"https://github.com/citation-style-language/schema/raw/master/csl-citation.json"}</w:instrText>
      </w:r>
      <w:r w:rsidR="002A2477" w:rsidRPr="00F0254C">
        <w:rPr>
          <w:rFonts w:ascii="Segoe UI" w:hAnsi="Segoe UI" w:cs="Segoe UI"/>
        </w:rPr>
        <w:fldChar w:fldCharType="separate"/>
      </w:r>
      <w:r w:rsidR="00621F24" w:rsidRPr="00621F24">
        <w:rPr>
          <w:rFonts w:ascii="Segoe UI" w:hAnsi="Segoe UI" w:cs="Segoe UI"/>
          <w:noProof/>
        </w:rPr>
        <w:t>[22]</w:t>
      </w:r>
      <w:r w:rsidR="002A2477" w:rsidRPr="00F0254C">
        <w:rPr>
          <w:rFonts w:ascii="Segoe UI" w:hAnsi="Segoe UI" w:cs="Segoe UI"/>
        </w:rPr>
        <w:fldChar w:fldCharType="end"/>
      </w:r>
    </w:p>
    <w:p w14:paraId="13ECB585" w14:textId="56D52278" w:rsidR="00CE0CC6" w:rsidRPr="00F0254C" w:rsidRDefault="009812C4" w:rsidP="00621F24">
      <w:pPr>
        <w:spacing w:line="480" w:lineRule="auto"/>
        <w:rPr>
          <w:rFonts w:ascii="Segoe UI" w:hAnsi="Segoe UI" w:cs="Segoe UI"/>
        </w:rPr>
      </w:pPr>
      <w:r w:rsidRPr="00F0254C">
        <w:rPr>
          <w:rFonts w:ascii="Segoe UI" w:hAnsi="Segoe UI" w:cs="Segoe UI"/>
        </w:rPr>
        <w:t>Whil</w:t>
      </w:r>
      <w:r w:rsidR="002152BC" w:rsidRPr="00F0254C">
        <w:rPr>
          <w:rFonts w:ascii="Segoe UI" w:hAnsi="Segoe UI" w:cs="Segoe UI"/>
        </w:rPr>
        <w:t>e single variant association testing has successfully identified common disease variants, it remains underpowered for rare variants even with high case numbers</w:t>
      </w:r>
      <w:r w:rsidR="00D73833" w:rsidRPr="00F0254C">
        <w:rPr>
          <w:rFonts w:ascii="Segoe UI" w:hAnsi="Segoe UI" w:cs="Segoe UI"/>
        </w:rPr>
        <w:t>.</w:t>
      </w:r>
      <w:r w:rsidR="00F92312" w:rsidRPr="00F0254C">
        <w:rPr>
          <w:rFonts w:ascii="Segoe UI" w:hAnsi="Segoe UI" w:cs="Segoe UI"/>
        </w:rPr>
        <w:fldChar w:fldCharType="begin" w:fldLock="1"/>
      </w:r>
      <w:r w:rsidR="00C275EA">
        <w:rPr>
          <w:rFonts w:ascii="Segoe UI" w:hAnsi="Segoe UI" w:cs="Segoe UI"/>
        </w:rPr>
        <w:instrText>ADDIN CSL_CITATION {"citationItems":[{"id":"ITEM-1","itemData":{"DOI":"10.1038/nrg2867","ISSN":"1471-0064","abstract":"There is increasing interest in investigating the influence of rare variants on common diseases, aided by high-throughput sequencing. However, the statistical approaches that are essential for analysing associations between rare variants and traits of interest are urgently in need of evaluation and refinement. The limitations of genome-wide association (GWA) studies that focus on the phenotypic influence of common genetic variants have motivated human geneticists to consider the contribution of rare variants to phenotypic expression. The increasing availability of high-throughput sequencing technologies has enabled studies of rare variants but these methods will not be sufficient for their success as appropriate analytical methods are also needed. We consider data analysis approaches to testing associations between a phenotype and collections of rare variants in a defined genomic region or set of regions. Ultimately, although a wide variety of analytical approaches exist, more work is needed to refine them and determine their properties and power in different contexts.","author":[{"dropping-particle":"","family":"Bansal","given":"Vikas","non-dropping-particle":"","parse-names":false,"suffix":""},{"dropping-particle":"","family":"Libiger","given":"Ondrej","non-dropping-particle":"","parse-names":false,"suffix":""},{"dropping-particle":"","family":"Torkamani","given":"Ali","non-dropping-particle":"","parse-names":false,"suffix":""},{"dropping-particle":"","family":"Schork","given":"Nicholas J.","non-dropping-particle":"","parse-names":false,"suffix":""}],"container-title":"Nature Reviews Genetics 2010 11:11","id":"ITEM-1","issue":"11","issued":{"date-parts":[["2010","10","13"]]},"page":"773-785","publisher":"Nature Publishing Group","title":"Statistical analysis strategies for association studies involving rare variants","type":"article-journal","volume":"11"},"uris":["http://www.mendeley.com/documents/?uuid=a4de4d78-bcd0-3810-b98f-38cc1cb97d06"]}],"mendeley":{"formattedCitation":"&lt;span style=\"baseline\"&gt;[23]&lt;/span&gt;","plainTextFormattedCitation":"[23]","previouslyFormattedCitation":"&lt;span style=\"baseline\"&gt;[23]&lt;/span&gt;"},"properties":{"noteIndex":0},"schema":"https://github.com/citation-style-language/schema/raw/master/csl-citation.json"}</w:instrText>
      </w:r>
      <w:r w:rsidR="00F92312" w:rsidRPr="00F0254C">
        <w:rPr>
          <w:rFonts w:ascii="Segoe UI" w:hAnsi="Segoe UI" w:cs="Segoe UI"/>
        </w:rPr>
        <w:fldChar w:fldCharType="separate"/>
      </w:r>
      <w:r w:rsidR="00621F24" w:rsidRPr="00621F24">
        <w:rPr>
          <w:rFonts w:ascii="Segoe UI" w:hAnsi="Segoe UI" w:cs="Segoe UI"/>
          <w:noProof/>
        </w:rPr>
        <w:t>[23]</w:t>
      </w:r>
      <w:r w:rsidR="00F92312" w:rsidRPr="00F0254C">
        <w:rPr>
          <w:rFonts w:ascii="Segoe UI" w:hAnsi="Segoe UI" w:cs="Segoe UI"/>
        </w:rPr>
        <w:fldChar w:fldCharType="end"/>
      </w:r>
      <w:r w:rsidR="00D73833" w:rsidRPr="00F0254C">
        <w:rPr>
          <w:rFonts w:ascii="Segoe UI" w:hAnsi="Segoe UI" w:cs="Segoe UI"/>
        </w:rPr>
        <w:t xml:space="preserve"> We</w:t>
      </w:r>
      <w:r w:rsidR="002152BC" w:rsidRPr="00F0254C">
        <w:rPr>
          <w:rFonts w:ascii="Segoe UI" w:hAnsi="Segoe UI" w:cs="Segoe UI"/>
        </w:rPr>
        <w:t>, therefore,</w:t>
      </w:r>
      <w:r w:rsidR="007F109A" w:rsidRPr="00F0254C">
        <w:rPr>
          <w:rFonts w:ascii="Segoe UI" w:hAnsi="Segoe UI" w:cs="Segoe UI"/>
        </w:rPr>
        <w:t xml:space="preserve"> applied our </w:t>
      </w:r>
      <w:r w:rsidR="006B7736" w:rsidRPr="00F0254C">
        <w:rPr>
          <w:rFonts w:ascii="Segoe UI" w:hAnsi="Segoe UI" w:cs="Segoe UI"/>
        </w:rPr>
        <w:t>g</w:t>
      </w:r>
      <w:r w:rsidR="00846203" w:rsidRPr="00F0254C">
        <w:rPr>
          <w:rFonts w:ascii="Segoe UI" w:hAnsi="Segoe UI" w:cs="Segoe UI"/>
        </w:rPr>
        <w:t>ene-level scoring system</w:t>
      </w:r>
      <w:r w:rsidR="002152BC" w:rsidRPr="00F0254C">
        <w:rPr>
          <w:rFonts w:ascii="Segoe UI" w:hAnsi="Segoe UI" w:cs="Segoe UI"/>
        </w:rPr>
        <w:t>,</w:t>
      </w:r>
      <w:r w:rsidR="00846203" w:rsidRPr="00F0254C">
        <w:rPr>
          <w:rFonts w:ascii="Segoe UI" w:hAnsi="Segoe UI" w:cs="Segoe UI"/>
        </w:rPr>
        <w:t xml:space="preserve"> GenePy</w:t>
      </w:r>
      <w:r w:rsidR="00233019" w:rsidRPr="00F0254C">
        <w:rPr>
          <w:rFonts w:ascii="Segoe UI" w:hAnsi="Segoe UI" w:cs="Segoe UI"/>
        </w:rPr>
        <w:t>.</w:t>
      </w:r>
      <w:r w:rsidR="00F92312" w:rsidRPr="00F0254C">
        <w:rPr>
          <w:rFonts w:ascii="Segoe UI" w:hAnsi="Segoe UI" w:cs="Segoe UI"/>
        </w:rPr>
        <w:fldChar w:fldCharType="begin" w:fldLock="1"/>
      </w:r>
      <w:r w:rsidR="00C275EA">
        <w:rPr>
          <w:rFonts w:ascii="Segoe UI" w:hAnsi="Segoe UI" w:cs="Segoe UI"/>
        </w:rPr>
        <w:instrText>ADDIN CSL_CITATION {"citationItems":[{"id":"ITEM-1","itemData":{"DOI":"10.1186/s12859-019-2877-3","ISSN":"1471-2105","abstract":"Next-generation sequencing is revolutionising diagnosis and treatment of rare diseases, however its application to understanding common disease aetiology is limited. Rare disease applications binarily attribute genetic change(s) at a single locus to a specific phenotype. In common diseases, where multiple genetic variants within and across genes contribute to disease, binary modelling cannot capture the burden of pathogenicity harboured by an individual across a given gene/pathway. We present GenePy, a novel gene-level scoring system for integration and analysis of next-generation sequencing data on a per-individual basis that transforms NGS data interpretation from variant-level to gene-level. This simple and flexible scoring system is intuitive and amenable to integration for machine learning, network and topological approaches, facilitating the investigation of complex phenotypes. Whole-exome sequencing data from 508 individuals were used to generate GenePy scores. For each variant a score is calculated incorporating: i) population allele frequency estimates; ii) individual zygosity, determined through standard variant calling pipelines and; iii) any user defined deleteriousness metric to inform on functional impact. GenePy then combines scores generated for all variants observed into a single gene score for each individual. We generated a matrix of ~ 14,000 GenePy scores for all individuals for each of sixteen popular deleteriousness metrics. All per-gene scores are corrected for gene length. The majority of genes generate GenePy scores &lt; 0.01 although individuals harbouring multiple rare highly deleterious mutations can accumulate extremely high GenePy scores. In the absence of a comparator metric, we examine GenePy performance in discriminating genes known to be associated with three common, complex diseases. A Mann-Whitney U test conducted on GenePy scores for this positive control gene in cases versus controls demonstrates markedly more significant results (p = 1.37 × 10− 4) compared to the most commonly applied association tool that combines common and rare variation (p = 0.003). Per-gene per-individual GenePy scores are intuitive when assessing genetic variation in individual patients or comparing scores between groups. GenePy outperforms the currently accepted best practice tools for combining common and rare variation. GenePy scores are suitable for downstream data integration with transcriptomic and proteomic data that also report at the ge…","author":[{"dropping-particle":"","family":"Mossotto","given":"E","non-dropping-particle":"","parse-names":false,"suffix":""},{"dropping-particle":"","family":"Ashton","given":"J J","non-dropping-particle":"","parse-names":false,"suffix":""},{"dropping-particle":"","family":"O’Gorman","given":"L.","non-dropping-particle":"","parse-names":false,"suffix":""},{"dropping-particle":"","family":"Pengelly","given":"R J","non-dropping-particle":"","parse-names":false,"suffix":""},{"dropping-particle":"","family":"Beattie","given":"R M","non-dropping-particle":"","parse-names":false,"suffix":""},{"dropping-particle":"","family":"MacArthur","given":"B. D.","non-dropping-particle":"","parse-names":false,"suffix":""},{"dropping-particle":"","family":"Ennis","given":"S","non-dropping-particle":"","parse-names":false,"suffix":""}],"container-title":"BMC Bioinformatics","id":"ITEM-1","issue":"1","issued":{"date-parts":[["2019"]]},"page":"254","title":"GenePy - a score for estimating gene pathogenicity in individuals using next-generation sequencing data","type":"article-journal","volume":"20"},"uris":["http://www.mendeley.com/documents/?uuid=6d5a3f83-9187-3683-8dfb-b07289c2b86c"]}],"mendeley":{"formattedCitation":"&lt;span style=\"baseline\"&gt;[24]&lt;/span&gt;","plainTextFormattedCitation":"[24]","previouslyFormattedCitation":"&lt;span style=\"baseline\"&gt;[24]&lt;/span&gt;"},"properties":{"noteIndex":0},"schema":"https://github.com/citation-style-language/schema/raw/master/csl-citation.json"}</w:instrText>
      </w:r>
      <w:r w:rsidR="00F92312" w:rsidRPr="00F0254C">
        <w:rPr>
          <w:rFonts w:ascii="Segoe UI" w:hAnsi="Segoe UI" w:cs="Segoe UI"/>
        </w:rPr>
        <w:fldChar w:fldCharType="separate"/>
      </w:r>
      <w:r w:rsidR="00621F24" w:rsidRPr="00621F24">
        <w:rPr>
          <w:rFonts w:ascii="Segoe UI" w:hAnsi="Segoe UI" w:cs="Segoe UI"/>
          <w:noProof/>
        </w:rPr>
        <w:t>[24]</w:t>
      </w:r>
      <w:r w:rsidR="00F92312" w:rsidRPr="00F0254C">
        <w:rPr>
          <w:rFonts w:ascii="Segoe UI" w:hAnsi="Segoe UI" w:cs="Segoe UI"/>
        </w:rPr>
        <w:fldChar w:fldCharType="end"/>
      </w:r>
      <w:r w:rsidRPr="00F0254C">
        <w:rPr>
          <w:rFonts w:ascii="Segoe UI" w:hAnsi="Segoe UI" w:cs="Segoe UI"/>
        </w:rPr>
        <w:t xml:space="preserve"> </w:t>
      </w:r>
      <w:r w:rsidR="00233019" w:rsidRPr="00F0254C">
        <w:rPr>
          <w:rFonts w:ascii="Segoe UI" w:hAnsi="Segoe UI" w:cs="Segoe UI"/>
        </w:rPr>
        <w:t>GenePy is a software that transforms variant level data into gene</w:t>
      </w:r>
      <w:r w:rsidR="002152BC" w:rsidRPr="00F0254C">
        <w:rPr>
          <w:rFonts w:ascii="Segoe UI" w:hAnsi="Segoe UI" w:cs="Segoe UI"/>
        </w:rPr>
        <w:t>-</w:t>
      </w:r>
      <w:r w:rsidR="00233019" w:rsidRPr="00F0254C">
        <w:rPr>
          <w:rFonts w:ascii="Segoe UI" w:hAnsi="Segoe UI" w:cs="Segoe UI"/>
        </w:rPr>
        <w:t>level data. GenePy generates a score of whole gene pathogenicity for each person by incorporating in silico deleteriousness metrics, population allele frequency and observed zygosity for each variant.</w:t>
      </w:r>
      <w:r w:rsidR="00233019" w:rsidRPr="00F0254C">
        <w:rPr>
          <w:rFonts w:ascii="Segoe UI" w:hAnsi="Segoe UI" w:cs="Segoe UI"/>
        </w:rPr>
        <w:fldChar w:fldCharType="begin" w:fldLock="1"/>
      </w:r>
      <w:r w:rsidR="00C275EA">
        <w:rPr>
          <w:rFonts w:ascii="Segoe UI" w:hAnsi="Segoe UI" w:cs="Segoe UI"/>
        </w:rPr>
        <w:instrText>ADDIN CSL_CITATION {"citationItems":[{"id":"ITEM-1","itemData":{"DOI":"10.1186/s12859-019-2877-3","ISSN":"1471-2105","abstract":"Next-generation sequencing is revolutionising diagnosis and treatment of rare diseases, however its application to understanding common disease aetiology is limited. Rare disease applications binarily attribute genetic change(s) at a single locus to a specific phenotype. In common diseases, where multiple genetic variants within and across genes contribute to disease, binary modelling cannot capture the burden of pathogenicity harboured by an individual across a given gene/pathway. We present GenePy, a novel gene-level scoring system for integration and analysis of next-generation sequencing data on a per-individual basis that transforms NGS data interpretation from variant-level to gene-level. This simple and flexible scoring system is intuitive and amenable to integration for machine learning, network and topological approaches, facilitating the investigation of complex phenotypes. Whole-exome sequencing data from 508 individuals were used to generate GenePy scores. For each variant a score is calculated incorporating: i) population allele frequency estimates; ii) individual zygosity, determined through standard variant calling pipelines and; iii) any user defined deleteriousness metric to inform on functional impact. GenePy then combines scores generated for all variants observed into a single gene score for each individual. We generated a matrix of ~ 14,000 GenePy scores for all individuals for each of sixteen popular deleteriousness metrics. All per-gene scores are corrected for gene length. The majority of genes generate GenePy scores &lt; 0.01 although individuals harbouring multiple rare highly deleterious mutations can accumulate extremely high GenePy scores. In the absence of a comparator metric, we examine GenePy performance in discriminating genes known to be associated with three common, complex diseases. A Mann-Whitney U test conducted on GenePy scores for this positive control gene in cases versus controls demonstrates markedly more significant results (p = 1.37 × 10− 4) compared to the most commonly applied association tool that combines common and rare variation (p = 0.003). Per-gene per-individual GenePy scores are intuitive when assessing genetic variation in individual patients or comparing scores between groups. GenePy outperforms the currently accepted best practice tools for combining common and rare variation. GenePy scores are suitable for downstream data integration with transcriptomic and proteomic data that also report at the ge…","author":[{"dropping-particle":"","family":"Mossotto","given":"E","non-dropping-particle":"","parse-names":false,"suffix":""},{"dropping-particle":"","family":"Ashton","given":"J J","non-dropping-particle":"","parse-names":false,"suffix":""},{"dropping-particle":"","family":"O’Gorman","given":"L.","non-dropping-particle":"","parse-names":false,"suffix":""},{"dropping-particle":"","family":"Pengelly","given":"R J","non-dropping-particle":"","parse-names":false,"suffix":""},{"dropping-particle":"","family":"Beattie","given":"R M","non-dropping-particle":"","parse-names":false,"suffix":""},{"dropping-particle":"","family":"MacArthur","given":"B. D.","non-dropping-particle":"","parse-names":false,"suffix":""},{"dropping-particle":"","family":"Ennis","given":"S","non-dropping-particle":"","parse-names":false,"suffix":""}],"container-title":"BMC Bioinformatics","id":"ITEM-1","issue":"1","issued":{"date-parts":[["2019"]]},"page":"254","title":"GenePy - a score for estimating gene pathogenicity in individuals using next-generation sequencing data","type":"article-journal","volume":"20"},"uris":["http://www.mendeley.com/documents/?uuid=6d5a3f83-9187-3683-8dfb-b07289c2b86c"]}],"mendeley":{"formattedCitation":"&lt;span style=\"baseline\"&gt;[24]&lt;/span&gt;","plainTextFormattedCitation":"[24]","previouslyFormattedCitation":"&lt;span style=\"baseline\"&gt;[24]&lt;/span&gt;"},"properties":{"noteIndex":0},"schema":"https://github.com/citation-style-language/schema/raw/master/csl-citation.json"}</w:instrText>
      </w:r>
      <w:r w:rsidR="00233019" w:rsidRPr="00F0254C">
        <w:rPr>
          <w:rFonts w:ascii="Segoe UI" w:hAnsi="Segoe UI" w:cs="Segoe UI"/>
        </w:rPr>
        <w:fldChar w:fldCharType="separate"/>
      </w:r>
      <w:r w:rsidR="00621F24" w:rsidRPr="00621F24">
        <w:rPr>
          <w:rFonts w:ascii="Segoe UI" w:hAnsi="Segoe UI" w:cs="Segoe UI"/>
          <w:noProof/>
        </w:rPr>
        <w:t>[24]</w:t>
      </w:r>
      <w:r w:rsidR="00233019" w:rsidRPr="00F0254C">
        <w:rPr>
          <w:rFonts w:ascii="Segoe UI" w:hAnsi="Segoe UI" w:cs="Segoe UI"/>
        </w:rPr>
        <w:fldChar w:fldCharType="end"/>
      </w:r>
      <w:r w:rsidR="00CE0CC6" w:rsidRPr="00F0254C">
        <w:rPr>
          <w:rFonts w:ascii="Segoe UI" w:hAnsi="Segoe UI" w:cs="Segoe UI"/>
        </w:rPr>
        <w:t xml:space="preserve"> The effect of multiple variants within a gene </w:t>
      </w:r>
      <w:r w:rsidR="00EF5B74" w:rsidRPr="00F0254C">
        <w:rPr>
          <w:rFonts w:ascii="Segoe UI" w:hAnsi="Segoe UI" w:cs="Segoe UI"/>
        </w:rPr>
        <w:t>is</w:t>
      </w:r>
      <w:r w:rsidR="00CE0CC6" w:rsidRPr="00F0254C">
        <w:rPr>
          <w:rFonts w:ascii="Segoe UI" w:hAnsi="Segoe UI" w:cs="Segoe UI"/>
        </w:rPr>
        <w:t xml:space="preserve"> combined into a single cumulative gene pathogenicity score for each individual</w:t>
      </w:r>
      <w:r w:rsidR="00D16175" w:rsidRPr="00F0254C">
        <w:rPr>
          <w:rFonts w:ascii="Segoe UI" w:hAnsi="Segoe UI" w:cs="Segoe UI"/>
        </w:rPr>
        <w:t xml:space="preserve">. </w:t>
      </w:r>
      <w:r w:rsidR="000E1984" w:rsidRPr="00F0254C">
        <w:rPr>
          <w:rFonts w:ascii="Segoe UI" w:hAnsi="Segoe UI" w:cs="Segoe UI"/>
        </w:rPr>
        <w:t>GenePy scores are continuous but do not follow a normal distribution. Hig</w:t>
      </w:r>
      <w:r w:rsidR="001B7668" w:rsidRPr="00F0254C">
        <w:rPr>
          <w:rFonts w:ascii="Segoe UI" w:hAnsi="Segoe UI" w:cs="Segoe UI"/>
        </w:rPr>
        <w:t>h</w:t>
      </w:r>
      <w:r w:rsidR="000E1984" w:rsidRPr="00F0254C">
        <w:rPr>
          <w:rFonts w:ascii="Segoe UI" w:hAnsi="Segoe UI" w:cs="Segoe UI"/>
        </w:rPr>
        <w:t xml:space="preserve">er GenePy scores are intuitive at a base level as higher scores represent </w:t>
      </w:r>
      <w:r w:rsidR="00CE0CC6" w:rsidRPr="00F0254C">
        <w:rPr>
          <w:rFonts w:ascii="Segoe UI" w:hAnsi="Segoe UI" w:cs="Segoe UI"/>
        </w:rPr>
        <w:t>greater pathogenic mutational burden due to rare and deleterious mutations.</w:t>
      </w:r>
      <w:r w:rsidR="000E1984" w:rsidRPr="00F0254C">
        <w:rPr>
          <w:rFonts w:ascii="Segoe UI" w:hAnsi="Segoe UI" w:cs="Segoe UI"/>
        </w:rPr>
        <w:t xml:space="preserve"> GenePy scores can </w:t>
      </w:r>
      <w:r w:rsidR="00036216" w:rsidRPr="00F0254C">
        <w:rPr>
          <w:rFonts w:ascii="Segoe UI" w:hAnsi="Segoe UI" w:cs="Segoe UI"/>
        </w:rPr>
        <w:t>be used as the basis to prioritise</w:t>
      </w:r>
      <w:r w:rsidR="000E1984" w:rsidRPr="00F0254C">
        <w:rPr>
          <w:rFonts w:ascii="Segoe UI" w:hAnsi="Segoe UI" w:cs="Segoe UI"/>
        </w:rPr>
        <w:t xml:space="preserve"> </w:t>
      </w:r>
      <w:r w:rsidR="00036216" w:rsidRPr="00F0254C">
        <w:rPr>
          <w:rFonts w:ascii="Segoe UI" w:hAnsi="Segoe UI" w:cs="Segoe UI"/>
        </w:rPr>
        <w:t>large</w:t>
      </w:r>
      <w:r w:rsidR="002B7607" w:rsidRPr="00F0254C">
        <w:rPr>
          <w:rFonts w:ascii="Segoe UI" w:hAnsi="Segoe UI" w:cs="Segoe UI"/>
        </w:rPr>
        <w:t xml:space="preserve"> number</w:t>
      </w:r>
      <w:r w:rsidR="00036216" w:rsidRPr="00F0254C">
        <w:rPr>
          <w:rFonts w:ascii="Segoe UI" w:hAnsi="Segoe UI" w:cs="Segoe UI"/>
        </w:rPr>
        <w:t>s</w:t>
      </w:r>
      <w:r w:rsidR="002B7607" w:rsidRPr="00F0254C">
        <w:rPr>
          <w:rFonts w:ascii="Segoe UI" w:hAnsi="Segoe UI" w:cs="Segoe UI"/>
        </w:rPr>
        <w:t xml:space="preserve"> of </w:t>
      </w:r>
      <w:r w:rsidR="00CC0C2E" w:rsidRPr="00F0254C">
        <w:rPr>
          <w:rFonts w:ascii="Segoe UI" w:hAnsi="Segoe UI" w:cs="Segoe UI"/>
        </w:rPr>
        <w:t>candidate</w:t>
      </w:r>
      <w:r w:rsidR="002B7607" w:rsidRPr="00F0254C">
        <w:rPr>
          <w:rFonts w:ascii="Segoe UI" w:hAnsi="Segoe UI" w:cs="Segoe UI"/>
        </w:rPr>
        <w:t xml:space="preserve"> variants.</w:t>
      </w:r>
    </w:p>
    <w:p w14:paraId="639DD16B" w14:textId="63918E4C" w:rsidR="00FF7044" w:rsidRPr="00F0254C" w:rsidRDefault="001A7CA2" w:rsidP="00621F24">
      <w:pPr>
        <w:spacing w:line="480" w:lineRule="auto"/>
        <w:rPr>
          <w:rFonts w:ascii="Segoe UI" w:hAnsi="Segoe UI" w:cs="Segoe UI"/>
        </w:rPr>
      </w:pPr>
      <w:r w:rsidRPr="00F0254C">
        <w:rPr>
          <w:rFonts w:ascii="Segoe UI" w:hAnsi="Segoe UI" w:cs="Segoe UI"/>
        </w:rPr>
        <w:t xml:space="preserve">The </w:t>
      </w:r>
      <w:r w:rsidR="00B6757A" w:rsidRPr="00F0254C">
        <w:rPr>
          <w:rFonts w:ascii="Segoe UI" w:hAnsi="Segoe UI" w:cs="Segoe UI"/>
        </w:rPr>
        <w:t xml:space="preserve">UK Genomics England (GEL) </w:t>
      </w:r>
      <w:r w:rsidRPr="00F0254C">
        <w:rPr>
          <w:rFonts w:ascii="Segoe UI" w:hAnsi="Segoe UI" w:cs="Segoe UI"/>
        </w:rPr>
        <w:t>100,000 Genomes Project</w:t>
      </w:r>
      <w:r w:rsidR="00724619" w:rsidRPr="00F0254C">
        <w:rPr>
          <w:rFonts w:ascii="Segoe UI" w:hAnsi="Segoe UI" w:cs="Segoe UI"/>
        </w:rPr>
        <w:t xml:space="preserve"> (100k</w:t>
      </w:r>
      <w:r w:rsidR="00EF09EB" w:rsidRPr="00F0254C">
        <w:rPr>
          <w:rFonts w:ascii="Segoe UI" w:hAnsi="Segoe UI" w:cs="Segoe UI"/>
        </w:rPr>
        <w:t>GP)</w:t>
      </w:r>
      <w:r w:rsidRPr="00F0254C">
        <w:rPr>
          <w:rFonts w:ascii="Segoe UI" w:hAnsi="Segoe UI" w:cs="Segoe UI"/>
        </w:rPr>
        <w:t xml:space="preserve">, which completed recruitment in 2018, </w:t>
      </w:r>
      <w:r w:rsidRPr="00F0254C">
        <w:rPr>
          <w:rFonts w:ascii="Segoe UI" w:hAnsi="Segoe UI" w:cs="Segoe UI"/>
          <w:lang w:eastAsia="en-US"/>
        </w:rPr>
        <w:t>aimed to sequence the genomes of patients with cancer and rare disease and link</w:t>
      </w:r>
      <w:r w:rsidR="002152BC" w:rsidRPr="00F0254C">
        <w:rPr>
          <w:rFonts w:ascii="Segoe UI" w:hAnsi="Segoe UI" w:cs="Segoe UI"/>
          <w:lang w:eastAsia="en-US"/>
        </w:rPr>
        <w:t>ed</w:t>
      </w:r>
      <w:r w:rsidRPr="00F0254C">
        <w:rPr>
          <w:rFonts w:ascii="Segoe UI" w:hAnsi="Segoe UI" w:cs="Segoe UI"/>
          <w:lang w:eastAsia="en-US"/>
        </w:rPr>
        <w:t xml:space="preserve"> this data with digital clinical records. The aims </w:t>
      </w:r>
      <w:r w:rsidR="00EF5B74" w:rsidRPr="00F0254C">
        <w:rPr>
          <w:rFonts w:ascii="Segoe UI" w:hAnsi="Segoe UI" w:cs="Segoe UI"/>
          <w:lang w:eastAsia="en-US"/>
        </w:rPr>
        <w:t>we</w:t>
      </w:r>
      <w:r w:rsidRPr="00F0254C">
        <w:rPr>
          <w:rFonts w:ascii="Segoe UI" w:hAnsi="Segoe UI" w:cs="Segoe UI"/>
          <w:lang w:eastAsia="en-US"/>
        </w:rPr>
        <w:t xml:space="preserve">re to improve clinical diagnosis, </w:t>
      </w:r>
      <w:r w:rsidRPr="00F0254C">
        <w:rPr>
          <w:rFonts w:ascii="Segoe UI" w:hAnsi="Segoe UI" w:cs="Segoe UI"/>
          <w:lang w:eastAsia="en-US"/>
        </w:rPr>
        <w:lastRenderedPageBreak/>
        <w:t xml:space="preserve">tailor therapies, enable new scientific discoveries and link research with a clinically integrated genomic </w:t>
      </w:r>
      <w:r w:rsidRPr="00F0254C">
        <w:rPr>
          <w:rFonts w:ascii="Segoe UI" w:hAnsi="Segoe UI" w:cs="Segoe UI"/>
        </w:rPr>
        <w:t xml:space="preserve">medicine service in the UK </w:t>
      </w:r>
      <w:r w:rsidR="00EF5B74" w:rsidRPr="00F0254C">
        <w:rPr>
          <w:rFonts w:ascii="Segoe UI" w:hAnsi="Segoe UI" w:cs="Segoe UI"/>
        </w:rPr>
        <w:t>National Health Service (</w:t>
      </w:r>
      <w:r w:rsidRPr="00F0254C">
        <w:rPr>
          <w:rFonts w:ascii="Segoe UI" w:hAnsi="Segoe UI" w:cs="Segoe UI"/>
        </w:rPr>
        <w:t>NHS</w:t>
      </w:r>
      <w:r w:rsidR="00EF5B74" w:rsidRPr="00F0254C">
        <w:rPr>
          <w:rFonts w:ascii="Segoe UI" w:hAnsi="Segoe UI" w:cs="Segoe UI"/>
        </w:rPr>
        <w:t>)</w:t>
      </w:r>
      <w:r w:rsidRPr="00F0254C">
        <w:rPr>
          <w:rFonts w:ascii="Segoe UI" w:hAnsi="Segoe UI" w:cs="Segoe UI"/>
        </w:rPr>
        <w:t>.</w:t>
      </w:r>
      <w:r w:rsidRPr="00F0254C">
        <w:rPr>
          <w:rFonts w:ascii="Segoe UI" w:hAnsi="Segoe UI" w:cs="Segoe UI"/>
        </w:rPr>
        <w:fldChar w:fldCharType="begin" w:fldLock="1"/>
      </w:r>
      <w:r w:rsidR="00C275EA">
        <w:rPr>
          <w:rFonts w:ascii="Segoe UI" w:hAnsi="Segoe UI" w:cs="Segoe UI"/>
        </w:rPr>
        <w:instrText>ADDIN CSL_CITATION {"citationItems":[{"id":"ITEM-1","itemData":{"DOI":"10.6084/m9.figshare.4530893.v5","author":[{"dropping-particle":"","family":"Genomics England","given":"","non-dropping-particle":"","parse-names":false,"suffix":""}],"id":"ITEM-1","issued":{"date-parts":[["2019"]]},"title":"The National Genomics Research and Healthcare Knowledgebase v5","type":"book"},"uris":["http://www.mendeley.com/documents/?uuid=4883b3c7-3f27-3930-bae8-3704821a897c"]}],"mendeley":{"formattedCitation":"&lt;span style=\"baseline\"&gt;[25]&lt;/span&gt;","plainTextFormattedCitation":"[25]","previouslyFormattedCitation":"&lt;span style=\"baseline\"&gt;[25]&lt;/span&gt;"},"properties":{"noteIndex":0},"schema":"https://github.com/citation-style-language/schema/raw/master/csl-citation.json"}</w:instrText>
      </w:r>
      <w:r w:rsidRPr="00F0254C">
        <w:rPr>
          <w:rFonts w:ascii="Segoe UI" w:hAnsi="Segoe UI" w:cs="Segoe UI"/>
        </w:rPr>
        <w:fldChar w:fldCharType="separate"/>
      </w:r>
      <w:r w:rsidR="00621F24" w:rsidRPr="00621F24">
        <w:rPr>
          <w:rFonts w:ascii="Segoe UI" w:hAnsi="Segoe UI" w:cs="Segoe UI"/>
          <w:noProof/>
        </w:rPr>
        <w:t>[25]</w:t>
      </w:r>
      <w:r w:rsidRPr="00F0254C">
        <w:rPr>
          <w:rFonts w:ascii="Segoe UI" w:hAnsi="Segoe UI" w:cs="Segoe UI"/>
        </w:rPr>
        <w:fldChar w:fldCharType="end"/>
      </w:r>
    </w:p>
    <w:p w14:paraId="36E88E4D" w14:textId="3C3EE937" w:rsidR="005614E6" w:rsidRPr="00F0254C" w:rsidRDefault="008327EF" w:rsidP="001806FB">
      <w:pPr>
        <w:spacing w:line="480" w:lineRule="auto"/>
        <w:rPr>
          <w:rFonts w:ascii="Segoe UI" w:hAnsi="Segoe UI" w:cs="Segoe UI"/>
        </w:rPr>
      </w:pPr>
      <w:r w:rsidRPr="00F0254C">
        <w:rPr>
          <w:rFonts w:ascii="Segoe UI" w:hAnsi="Segoe UI" w:cs="Segoe UI"/>
        </w:rPr>
        <w:t xml:space="preserve">Using whole-genome sequencing and longitudinal clinical data from the </w:t>
      </w:r>
      <w:r w:rsidR="00724619" w:rsidRPr="00F0254C">
        <w:rPr>
          <w:rFonts w:ascii="Segoe UI" w:hAnsi="Segoe UI" w:cs="Segoe UI"/>
        </w:rPr>
        <w:t>100k</w:t>
      </w:r>
      <w:r w:rsidR="001806FB" w:rsidRPr="00F0254C">
        <w:rPr>
          <w:rFonts w:ascii="Segoe UI" w:hAnsi="Segoe UI" w:cs="Segoe UI"/>
        </w:rPr>
        <w:t xml:space="preserve">GP </w:t>
      </w:r>
      <w:r w:rsidRPr="00F0254C">
        <w:rPr>
          <w:rFonts w:ascii="Segoe UI" w:hAnsi="Segoe UI" w:cs="Segoe UI"/>
        </w:rPr>
        <w:t>project</w:t>
      </w:r>
      <w:r w:rsidR="002152BC" w:rsidRPr="00F0254C">
        <w:rPr>
          <w:rFonts w:ascii="Segoe UI" w:hAnsi="Segoe UI" w:cs="Segoe UI"/>
        </w:rPr>
        <w:t>;</w:t>
      </w:r>
      <w:r w:rsidRPr="00F0254C">
        <w:rPr>
          <w:rFonts w:ascii="Segoe UI" w:hAnsi="Segoe UI" w:cs="Segoe UI"/>
        </w:rPr>
        <w:t xml:space="preserve"> we aimed to identify pathogenic variation in </w:t>
      </w:r>
      <w:r w:rsidRPr="00F0254C">
        <w:rPr>
          <w:rFonts w:ascii="Segoe UI" w:hAnsi="Segoe UI" w:cs="Segoe UI"/>
          <w:i/>
          <w:iCs/>
        </w:rPr>
        <w:t>NPHP1</w:t>
      </w:r>
      <w:r w:rsidR="007F109A" w:rsidRPr="00F0254C">
        <w:rPr>
          <w:rFonts w:ascii="Segoe UI" w:hAnsi="Segoe UI" w:cs="Segoe UI"/>
        </w:rPr>
        <w:t xml:space="preserve"> and associated phenotypes using a genotype-</w:t>
      </w:r>
      <w:r w:rsidR="00F92312" w:rsidRPr="00F0254C">
        <w:rPr>
          <w:rFonts w:ascii="Segoe UI" w:hAnsi="Segoe UI" w:cs="Segoe UI"/>
        </w:rPr>
        <w:t>to-</w:t>
      </w:r>
      <w:r w:rsidR="007F109A" w:rsidRPr="00F0254C">
        <w:rPr>
          <w:rFonts w:ascii="Segoe UI" w:hAnsi="Segoe UI" w:cs="Segoe UI"/>
        </w:rPr>
        <w:t>phenotype approach.</w:t>
      </w:r>
      <w:r w:rsidR="00A64B87" w:rsidRPr="00F0254C">
        <w:rPr>
          <w:rFonts w:ascii="Segoe UI" w:hAnsi="Segoe UI" w:cs="Segoe UI"/>
        </w:rPr>
        <w:t xml:space="preserve"> We generated GenePy scores for </w:t>
      </w:r>
      <w:r w:rsidR="00A64B87" w:rsidRPr="00F0254C">
        <w:rPr>
          <w:rFonts w:ascii="Segoe UI" w:hAnsi="Segoe UI" w:cs="Segoe UI"/>
          <w:i/>
          <w:iCs/>
        </w:rPr>
        <w:t>NPHP1</w:t>
      </w:r>
      <w:r w:rsidR="00A64B87" w:rsidRPr="00F0254C">
        <w:rPr>
          <w:rFonts w:ascii="Segoe UI" w:hAnsi="Segoe UI" w:cs="Segoe UI"/>
        </w:rPr>
        <w:t xml:space="preserve"> for </w:t>
      </w:r>
      <w:r w:rsidR="00154C8F" w:rsidRPr="00F0254C">
        <w:rPr>
          <w:rFonts w:ascii="Segoe UI" w:hAnsi="Segoe UI" w:cs="Segoe UI"/>
        </w:rPr>
        <w:t xml:space="preserve">all </w:t>
      </w:r>
      <w:r w:rsidR="00A64B87" w:rsidRPr="00F0254C">
        <w:rPr>
          <w:rFonts w:ascii="Segoe UI" w:hAnsi="Segoe UI" w:cs="Segoe UI"/>
        </w:rPr>
        <w:t>i</w:t>
      </w:r>
      <w:r w:rsidR="00724619" w:rsidRPr="00F0254C">
        <w:rPr>
          <w:rFonts w:ascii="Segoe UI" w:hAnsi="Segoe UI" w:cs="Segoe UI"/>
        </w:rPr>
        <w:t>ndividuals recruited to the 100k</w:t>
      </w:r>
      <w:r w:rsidR="00A64B87" w:rsidRPr="00F0254C">
        <w:rPr>
          <w:rFonts w:ascii="Segoe UI" w:hAnsi="Segoe UI" w:cs="Segoe UI"/>
        </w:rPr>
        <w:t xml:space="preserve">GP and further incorporated copy number variation (CNV) data. </w:t>
      </w:r>
      <w:r w:rsidR="009F637A" w:rsidRPr="00F0254C">
        <w:rPr>
          <w:rFonts w:ascii="Segoe UI" w:hAnsi="Segoe UI" w:cs="Segoe UI"/>
        </w:rPr>
        <w:t xml:space="preserve">We </w:t>
      </w:r>
      <w:r w:rsidR="00CC0C2E" w:rsidRPr="00F0254C">
        <w:rPr>
          <w:rFonts w:ascii="Segoe UI" w:hAnsi="Segoe UI" w:cs="Segoe UI"/>
        </w:rPr>
        <w:t xml:space="preserve">also </w:t>
      </w:r>
      <w:r w:rsidR="00F92312" w:rsidRPr="00F0254C">
        <w:rPr>
          <w:rFonts w:ascii="Segoe UI" w:hAnsi="Segoe UI" w:cs="Segoe UI"/>
        </w:rPr>
        <w:t>interrogated the frequency of CNVs and SNV</w:t>
      </w:r>
      <w:r w:rsidR="009F637A" w:rsidRPr="00F0254C">
        <w:rPr>
          <w:rFonts w:ascii="Segoe UI" w:hAnsi="Segoe UI" w:cs="Segoe UI"/>
        </w:rPr>
        <w:t xml:space="preserve">s </w:t>
      </w:r>
      <w:r w:rsidR="00724619" w:rsidRPr="00F0254C">
        <w:rPr>
          <w:rFonts w:ascii="Segoe UI" w:hAnsi="Segoe UI" w:cs="Segoe UI"/>
        </w:rPr>
        <w:t>in individuals recruited to 100k</w:t>
      </w:r>
      <w:r w:rsidR="009F637A" w:rsidRPr="00F0254C">
        <w:rPr>
          <w:rFonts w:ascii="Segoe UI" w:hAnsi="Segoe UI" w:cs="Segoe UI"/>
        </w:rPr>
        <w:t xml:space="preserve">GP </w:t>
      </w:r>
      <w:r w:rsidR="00F92312" w:rsidRPr="00F0254C">
        <w:rPr>
          <w:rFonts w:ascii="Segoe UI" w:hAnsi="Segoe UI" w:cs="Segoe UI"/>
        </w:rPr>
        <w:t>and</w:t>
      </w:r>
      <w:r w:rsidR="009F637A" w:rsidRPr="00F0254C">
        <w:rPr>
          <w:rFonts w:ascii="Segoe UI" w:hAnsi="Segoe UI" w:cs="Segoe UI"/>
        </w:rPr>
        <w:t xml:space="preserve"> assessed the evidence for SNVs contributing to </w:t>
      </w:r>
      <w:r w:rsidR="00F92312" w:rsidRPr="00F0254C">
        <w:rPr>
          <w:rFonts w:ascii="Segoe UI" w:hAnsi="Segoe UI" w:cs="Segoe UI"/>
        </w:rPr>
        <w:t>the</w:t>
      </w:r>
      <w:r w:rsidR="009F637A" w:rsidRPr="00F0254C">
        <w:rPr>
          <w:rFonts w:ascii="Segoe UI" w:hAnsi="Segoe UI" w:cs="Segoe UI"/>
        </w:rPr>
        <w:t xml:space="preserve"> phenotype. We applied a gene first approach or genotype-to-phenotype approach by considering the genotypes of all i</w:t>
      </w:r>
      <w:r w:rsidR="00724619" w:rsidRPr="00F0254C">
        <w:rPr>
          <w:rFonts w:ascii="Segoe UI" w:hAnsi="Segoe UI" w:cs="Segoe UI"/>
        </w:rPr>
        <w:t>ndividuals recruited to the 100k</w:t>
      </w:r>
      <w:r w:rsidR="009F637A" w:rsidRPr="00F0254C">
        <w:rPr>
          <w:rFonts w:ascii="Segoe UI" w:hAnsi="Segoe UI" w:cs="Segoe UI"/>
        </w:rPr>
        <w:t>GP irrespective of their disease</w:t>
      </w:r>
      <w:r w:rsidR="00F92312" w:rsidRPr="00F0254C">
        <w:rPr>
          <w:rFonts w:ascii="Segoe UI" w:hAnsi="Segoe UI" w:cs="Segoe UI"/>
        </w:rPr>
        <w:t xml:space="preserve">. We then </w:t>
      </w:r>
      <w:r w:rsidR="009F637A" w:rsidRPr="00F0254C">
        <w:rPr>
          <w:rFonts w:ascii="Segoe UI" w:hAnsi="Segoe UI" w:cs="Segoe UI"/>
        </w:rPr>
        <w:t xml:space="preserve">undertook reverse phenotyping to </w:t>
      </w:r>
      <w:r w:rsidR="002152BC" w:rsidRPr="00F0254C">
        <w:rPr>
          <w:rFonts w:ascii="Segoe UI" w:hAnsi="Segoe UI" w:cs="Segoe UI"/>
        </w:rPr>
        <w:t>relate the phenotypic spectrum associated with differing mutations</w:t>
      </w:r>
      <w:r w:rsidR="009F637A" w:rsidRPr="00F0254C">
        <w:rPr>
          <w:rFonts w:ascii="Segoe UI" w:hAnsi="Segoe UI" w:cs="Segoe UI"/>
        </w:rPr>
        <w:t>.</w:t>
      </w:r>
    </w:p>
    <w:p w14:paraId="12A7F7A4" w14:textId="77777777" w:rsidR="00112D5C" w:rsidRPr="00F0254C" w:rsidRDefault="00112D5C" w:rsidP="007043C2">
      <w:pPr>
        <w:pStyle w:val="Heading1"/>
        <w:spacing w:line="480" w:lineRule="auto"/>
        <w:rPr>
          <w:rFonts w:ascii="Segoe UI" w:hAnsi="Segoe UI" w:cs="Segoe UI"/>
        </w:rPr>
      </w:pPr>
      <w:r w:rsidRPr="00F0254C">
        <w:rPr>
          <w:rFonts w:ascii="Segoe UI" w:hAnsi="Segoe UI" w:cs="Segoe UI"/>
        </w:rPr>
        <w:t>Methods</w:t>
      </w:r>
    </w:p>
    <w:p w14:paraId="5115FE8E" w14:textId="3DA63B82" w:rsidR="00776FBD" w:rsidRDefault="00776FBD" w:rsidP="00CD246B">
      <w:pPr>
        <w:pStyle w:val="Heading2"/>
      </w:pPr>
      <w:r>
        <w:t xml:space="preserve">Ethical </w:t>
      </w:r>
    </w:p>
    <w:p w14:paraId="0507FEC7" w14:textId="052A22DB" w:rsidR="00776FBD" w:rsidRPr="00C275EA" w:rsidRDefault="00C275EA" w:rsidP="003807B5">
      <w:pPr>
        <w:spacing w:line="480" w:lineRule="auto"/>
        <w:rPr>
          <w:rFonts w:ascii="Segoe UI" w:hAnsi="Segoe UI" w:cs="Segoe UI"/>
        </w:rPr>
      </w:pPr>
      <w:r w:rsidRPr="00C275EA">
        <w:rPr>
          <w:rFonts w:ascii="Segoe UI" w:hAnsi="Segoe UI" w:cs="Segoe UI"/>
        </w:rPr>
        <w:t xml:space="preserve">The 100,000 genomes project was approved by the National Research Ethics Service Research Ethics Committee for East of England – Cambridge South Research Ethics Committee. </w:t>
      </w:r>
      <w:r w:rsidR="003807B5" w:rsidRPr="003807B5">
        <w:rPr>
          <w:rFonts w:ascii="Segoe UI" w:hAnsi="Segoe UI" w:cs="Segoe UI"/>
        </w:rPr>
        <w:t>All methods were carried out in accordance with relevant guidelines and regulations.</w:t>
      </w:r>
      <w:r w:rsidR="003807B5">
        <w:rPr>
          <w:rFonts w:ascii="Segoe UI" w:hAnsi="Segoe UI" w:cs="Segoe UI"/>
        </w:rPr>
        <w:t xml:space="preserve"> </w:t>
      </w:r>
      <w:r w:rsidRPr="00C275EA">
        <w:rPr>
          <w:rFonts w:ascii="Segoe UI" w:hAnsi="Segoe UI" w:cs="Segoe UI"/>
        </w:rPr>
        <w:t xml:space="preserve">Informed consent was obtained from all subjects and/or their legal guardian(s) </w:t>
      </w:r>
      <w:r w:rsidRPr="00C275EA">
        <w:rPr>
          <w:rFonts w:ascii="Segoe UI" w:hAnsi="Segoe UI" w:cs="Segoe UI"/>
          <w:color w:val="222222"/>
          <w:shd w:val="clear" w:color="auto" w:fill="FFFFFF"/>
        </w:rPr>
        <w:t>as part of the original study.</w:t>
      </w:r>
    </w:p>
    <w:p w14:paraId="431985BD" w14:textId="5E38121D" w:rsidR="00C275EA" w:rsidRPr="00C275EA" w:rsidRDefault="00734DFA" w:rsidP="00CD246B">
      <w:pPr>
        <w:pStyle w:val="Heading2"/>
      </w:pPr>
      <w:r w:rsidRPr="00F0254C">
        <w:t>Recruitment</w:t>
      </w:r>
    </w:p>
    <w:p w14:paraId="2DC90D22" w14:textId="7C70A1FF" w:rsidR="00923993" w:rsidRPr="00F0254C" w:rsidRDefault="00C275EA" w:rsidP="00C275EA">
      <w:pPr>
        <w:spacing w:line="480" w:lineRule="auto"/>
        <w:rPr>
          <w:rFonts w:ascii="Segoe UI" w:hAnsi="Segoe UI" w:cs="Segoe UI"/>
        </w:rPr>
      </w:pPr>
      <w:r w:rsidRPr="00F0254C">
        <w:rPr>
          <w:rFonts w:ascii="Segoe UI" w:hAnsi="Segoe UI" w:cs="Segoe UI"/>
        </w:rPr>
        <w:t>Access to the GEL dataset for the project (research registry ID 109) was approved by the renal GEL clinical interpretation partnership (GeCIP), and all analyses were conducted withi</w:t>
      </w:r>
      <w:r>
        <w:rPr>
          <w:rFonts w:ascii="Segoe UI" w:hAnsi="Segoe UI" w:cs="Segoe UI"/>
        </w:rPr>
        <w:t xml:space="preserve">n the GEL </w:t>
      </w:r>
      <w:r>
        <w:rPr>
          <w:rFonts w:ascii="Segoe UI" w:hAnsi="Segoe UI" w:cs="Segoe UI"/>
        </w:rPr>
        <w:lastRenderedPageBreak/>
        <w:t xml:space="preserve">research environment. </w:t>
      </w:r>
      <w:r w:rsidR="00734DFA" w:rsidRPr="00F0254C">
        <w:rPr>
          <w:rFonts w:ascii="Segoe UI" w:hAnsi="Segoe UI" w:cs="Segoe UI"/>
        </w:rPr>
        <w:t>Patients with GEL</w:t>
      </w:r>
      <w:r w:rsidR="00EF09EB" w:rsidRPr="00F0254C">
        <w:rPr>
          <w:rFonts w:ascii="Segoe UI" w:hAnsi="Segoe UI" w:cs="Segoe UI"/>
        </w:rPr>
        <w:t>-</w:t>
      </w:r>
      <w:r w:rsidR="00734DFA" w:rsidRPr="00F0254C">
        <w:rPr>
          <w:rFonts w:ascii="Segoe UI" w:hAnsi="Segoe UI" w:cs="Segoe UI"/>
        </w:rPr>
        <w:t xml:space="preserve">defined eligibility criteria for either rare disease or cancer consented </w:t>
      </w:r>
      <w:r w:rsidR="00EF09EB" w:rsidRPr="00F0254C">
        <w:rPr>
          <w:rFonts w:ascii="Segoe UI" w:hAnsi="Segoe UI" w:cs="Segoe UI"/>
        </w:rPr>
        <w:t>to</w:t>
      </w:r>
      <w:r w:rsidR="00734DFA" w:rsidRPr="00F0254C">
        <w:rPr>
          <w:rFonts w:ascii="Segoe UI" w:hAnsi="Segoe UI" w:cs="Segoe UI"/>
        </w:rPr>
        <w:t xml:space="preserve"> germline whole</w:t>
      </w:r>
      <w:r w:rsidR="002152BC" w:rsidRPr="00F0254C">
        <w:rPr>
          <w:rFonts w:ascii="Segoe UI" w:hAnsi="Segoe UI" w:cs="Segoe UI"/>
        </w:rPr>
        <w:t>-</w:t>
      </w:r>
      <w:r w:rsidR="00734DFA" w:rsidRPr="00F0254C">
        <w:rPr>
          <w:rFonts w:ascii="Segoe UI" w:hAnsi="Segoe UI" w:cs="Segoe UI"/>
        </w:rPr>
        <w:t xml:space="preserve">genome sequencing linked to </w:t>
      </w:r>
      <w:r w:rsidR="000556D2" w:rsidRPr="00F0254C">
        <w:rPr>
          <w:rFonts w:ascii="Segoe UI" w:hAnsi="Segoe UI" w:cs="Segoe UI"/>
        </w:rPr>
        <w:t>clinical</w:t>
      </w:r>
      <w:r w:rsidR="00734DFA" w:rsidRPr="00F0254C">
        <w:rPr>
          <w:rFonts w:ascii="Segoe UI" w:hAnsi="Segoe UI" w:cs="Segoe UI"/>
        </w:rPr>
        <w:t xml:space="preserve"> phenotype data</w:t>
      </w:r>
      <w:r w:rsidR="002152BC" w:rsidRPr="00F0254C">
        <w:rPr>
          <w:rFonts w:ascii="Segoe UI" w:hAnsi="Segoe UI" w:cs="Segoe UI"/>
        </w:rPr>
        <w:t>,</w:t>
      </w:r>
      <w:r w:rsidR="00734DFA" w:rsidRPr="00F0254C">
        <w:rPr>
          <w:rFonts w:ascii="Segoe UI" w:hAnsi="Segoe UI" w:cs="Segoe UI"/>
        </w:rPr>
        <w:t xml:space="preserve"> </w:t>
      </w:r>
      <w:r w:rsidR="000556D2" w:rsidRPr="00F0254C">
        <w:rPr>
          <w:rFonts w:ascii="Segoe UI" w:hAnsi="Segoe UI" w:cs="Segoe UI"/>
        </w:rPr>
        <w:t>including</w:t>
      </w:r>
      <w:r w:rsidR="00734DFA" w:rsidRPr="00F0254C">
        <w:rPr>
          <w:rFonts w:ascii="Segoe UI" w:hAnsi="Segoe UI" w:cs="Segoe UI"/>
        </w:rPr>
        <w:t xml:space="preserve"> longitudinal electronic health records. </w:t>
      </w:r>
      <w:r w:rsidR="006E5C8C" w:rsidRPr="00F0254C">
        <w:rPr>
          <w:rFonts w:ascii="Segoe UI" w:hAnsi="Segoe UI" w:cs="Segoe UI"/>
          <w:kern w:val="24"/>
        </w:rPr>
        <w:t>Specific Human Phenotype Ontology (HPO) data w</w:t>
      </w:r>
      <w:r w:rsidR="002152BC" w:rsidRPr="00F0254C">
        <w:rPr>
          <w:rFonts w:ascii="Segoe UI" w:hAnsi="Segoe UI" w:cs="Segoe UI"/>
          <w:kern w:val="24"/>
        </w:rPr>
        <w:t>ere</w:t>
      </w:r>
      <w:r w:rsidR="006E5C8C" w:rsidRPr="00F0254C">
        <w:rPr>
          <w:rFonts w:ascii="Segoe UI" w:hAnsi="Segoe UI" w:cs="Segoe UI"/>
          <w:kern w:val="24"/>
        </w:rPr>
        <w:t xml:space="preserve"> collected at the time of recruitment depending on the </w:t>
      </w:r>
      <w:r w:rsidR="00EF09EB" w:rsidRPr="00F0254C">
        <w:rPr>
          <w:rFonts w:ascii="Segoe UI" w:hAnsi="Segoe UI" w:cs="Segoe UI"/>
          <w:kern w:val="24"/>
        </w:rPr>
        <w:t>participant</w:t>
      </w:r>
      <w:r w:rsidR="00C7089B" w:rsidRPr="00F0254C">
        <w:rPr>
          <w:rFonts w:ascii="Segoe UI" w:hAnsi="Segoe UI" w:cs="Segoe UI"/>
          <w:kern w:val="24"/>
        </w:rPr>
        <w:t>'</w:t>
      </w:r>
      <w:r w:rsidR="00EF09EB" w:rsidRPr="00F0254C">
        <w:rPr>
          <w:rFonts w:ascii="Segoe UI" w:hAnsi="Segoe UI" w:cs="Segoe UI"/>
          <w:kern w:val="24"/>
        </w:rPr>
        <w:t xml:space="preserve">s </w:t>
      </w:r>
      <w:r w:rsidR="006E5C8C" w:rsidRPr="00F0254C">
        <w:rPr>
          <w:rFonts w:ascii="Segoe UI" w:hAnsi="Segoe UI" w:cs="Segoe UI"/>
          <w:kern w:val="24"/>
        </w:rPr>
        <w:t>recruitment category.</w:t>
      </w:r>
      <w:r w:rsidR="006E5C8C" w:rsidRPr="00F0254C">
        <w:rPr>
          <w:rFonts w:ascii="Segoe UI" w:hAnsi="Segoe UI" w:cs="Segoe UI"/>
        </w:rPr>
        <w:fldChar w:fldCharType="begin" w:fldLock="1"/>
      </w:r>
      <w:r>
        <w:rPr>
          <w:rFonts w:ascii="Segoe UI" w:hAnsi="Segoe UI" w:cs="Segoe UI"/>
        </w:rPr>
        <w:instrText>ADDIN CSL_CITATION {"citationItems":[{"id":"ITEM-1","itemData":{"DOI":"10.1093/nar/gkaa1043","ISSN":"13624962","PMID":"33264411","abstract":"The Human Phenotype Ontology (HPO, https://hpo.jax.org) was launched in 2008 to provide a comprehensive logical standard to describe and computationally analyze phenotypic abnormalities found in human disease. The HPO is now a worldwide standard for phenotype exchange. The HPO has grown steadily since its inception due to considerable contributions from clinical experts and researchers from a diverse range of disciplines. Here, we present recent major extensions of the HPO for neurology, nephrology, immunology, pulmonology, newborn screening, and other areas. For example, the seizure subontology now reflects the International League Against Epilepsy (ILAE) guidelines and these enhancements have already shown clinical validity. We present new efforts to harmonize computational definitions of phenotypic abnormalities across the HPO and multiple phenotype ontologies used for animal models of disease. These efforts will benefit software such as Exomiser by improving the accuracy and scope of cross-species phenotype matching. The computational modeling strategy used by the HPO to define disease entities and phenotypic features and distinguish between them is explained in detail.We also report on recent efforts to translate the HPO into indigenous languages. Finally, we summarize recent advances in the use of HPO in electronic health record systems.","author":[{"dropping-particle":"","family":"Köhler","given":"Sebastian","non-dropping-particle":"","parse-names":false,"suffix":""},{"dropping-particle":"","family":"Gargano","given":"Michael","non-dropping-particle":"","parse-names":false,"suffix":""},{"dropping-particle":"","family":"Matentzoglu","given":"Nicolas","non-dropping-particle":"","parse-names":false,"suffix":""},{"dropping-particle":"","family":"Carmody","given":"Leigh C.","non-dropping-particle":"","parse-names":false,"suffix":""},{"dropping-particle":"","family":"Lewis-Smith","given":"David","non-dropping-particle":"","parse-names":false,"suffix":""},{"dropping-particle":"","family":"Vasilevsky","given":"Nicole A.","non-dropping-particle":"","parse-names":false,"suffix":""},{"dropping-particle":"","family":"Danis","given":"Daniel","non-dropping-particle":"","parse-names":false,"suffix":""},{"dropping-particle":"","family":"Balagura","given":"Ganna","non-dropping-particle":"","parse-names":false,"suffix":""},{"dropping-particle":"","family":"Baynam","given":"Gareth","non-dropping-particle":"","parse-names":false,"suffix":""},{"dropping-particle":"","family":"Brower","given":"Amy M.","non-dropping-particle":"","parse-names":false,"suffix":""},{"dropping-particle":"","family":"Callahan","given":"Tiffany J.","non-dropping-particle":"","parse-names":false,"suffix":""},{"dropping-particle":"","family":"Chute","given":"Christopher G.","non-dropping-particle":"","parse-names":false,"suffix":""},{"dropping-particle":"","family":"Est","given":"Johanna L.","non-dropping-particle":"","parse-names":false,"suffix":""},{"dropping-particle":"","family":"Galer","given":"Peter D.","non-dropping-particle":"","parse-names":false,"suffix":""},{"dropping-particle":"","family":"Ganesan","given":"Shiva","non-dropping-particle":"","parse-names":false,"suffix":""},{"dropping-particle":"","family":"Griese","given":"Matthias","non-dropping-particle":"","parse-names":false,"suffix":""},{"dropping-particle":"","family":"Haimel","given":"Matthias","non-dropping-particle":"","parse-names":false,"suffix":""},{"dropping-particle":"","family":"Pazmandi","given":"Julia","non-dropping-particle":"","parse-names":false,"suffix":""},{"dropping-particle":"","family":"Hanauer","given":"Marc","non-dropping-particle":"","parse-names":false,"suffix":""},{"dropping-particle":"","family":"Harris","given":"Nomi L.","non-dropping-particle":"","parse-names":false,"suffix":""},{"dropping-particle":"","family":"Hartnett","given":"Michael J.","non-dropping-particle":"","parse-names":false,"suffix":""},{"dropping-particle":"","family":"Hastreiter","given":"Maximilian","non-dropping-particle":"","parse-names":false,"suffix":""},{"dropping-particle":"","family":"Hauck","given":"Fabian","non-dropping-particle":"","parse-names":false,"suffix":""},{"dropping-particle":"","family":"He","given":"Yongqun","non-dropping-particle":"","parse-names":false,"suffix":""},{"dropping-particle":"","family":"Jeske","given":"Tim","non-dropping-particle":"","parse-names":false,"suffix":""},{"dropping-particle":"","family":"Kearney","given":"Hugh","non-dropping-particle":"","parse-names":false,"suffix":""},{"dropping-particle":"","family":"Kindle","given":"Gerhard","non-dropping-particle":"","parse-names":false,"suffix":""},{"dropping-particle":"","family":"Klein","given":"Christoph","non-dropping-particle":"","parse-names":false,"suffix":""},{"dropping-particle":"","family":"Knoflach","given":"Katrin","non-dropping-particle":"","parse-names":false,"suffix":""},{"dropping-particle":"","family":"Krause","given":"Roland","non-dropping-particle":"","parse-names":false,"suffix":""},{"dropping-particle":"","family":"Lagorce","given":"David","non-dropping-particle":"","parse-names":false,"suffix":""},{"dropping-particle":"","family":"McMurry","given":"Julie A.","non-dropping-particle":"","parse-names":false,"suffix":""},{"dropping-particle":"","family":"Miller","given":"Jillian A.","non-dropping-particle":"","parse-names":false,"suffix":""},{"dropping-particle":"","family":"Munoz-Torres","given":"Monica C.","non-dropping-particle":"","parse-names":false,"suffix":""},{"dropping-particle":"","family":"Peters","given":"Rebecca L.","non-dropping-particle":"","parse-names":false,"suffix":""},{"dropping-particle":"","family":"Rapp","given":"Christina K.","non-dropping-particle":"","parse-names":false,"suffix":""},{"dropping-particle":"","family":"Rath","given":"Ana M.","non-dropping-particle":"","parse-names":false,"suffix":""},{"dropping-particle":"","family":"Rind","given":"Shahmir A.","non-dropping-particle":"","parse-names":false,"suffix":""},{"dropping-particle":"","family":"Rosenberg","given":"Avi Z.","non-dropping-particle":"","parse-names":false,"suffix":""},{"dropping-particle":"","family":"Segal","given":"Michael M.","non-dropping-particle":"","parse-names":false,"suffix":""},{"dropping-particle":"","family":"Seidel","given":"Markus G.","non-dropping-particle":"","parse-names":false,"suffix":""},{"dropping-particle":"","family":"Smedley","given":"Damian","non-dropping-particle":"","parse-names":false,"suffix":""},{"dropping-particle":"","family":"Talmy","given":"Tomer","non-dropping-particle":"","parse-names":false,"suffix":""},{"dropping-particle":"","family":"Thomas","given":"Yarlalu","non-dropping-particle":"","parse-names":false,"suffix":""},{"dropping-particle":"","family":"Wiafe","given":"Samuel A.","non-dropping-particle":"","parse-names":false,"suffix":""},{"dropping-particle":"","family":"Xian","given":"Julie","non-dropping-particle":"","parse-names":false,"suffix":""},{"dropping-particle":"","family":"Yüksel","given":"Zafer","non-dropping-particle":"","parse-names":false,"suffix":""},{"dropping-particle":"","family":"Helbig","given":"Ingo","non-dropping-particle":"","parse-names":false,"suffix":""},{"dropping-particle":"","family":"Mungall","given":"Christopher J.","non-dropping-particle":"","parse-names":false,"suffix":""},{"dropping-particle":"","family":"Haendel","given":"Melissa A.","non-dropping-particle":"","parse-names":false,"suffix":""},{"dropping-particle":"","family":"Robinson","given":"Peter N.","non-dropping-particle":"","parse-names":false,"suffix":""}],"container-title":"Nucleic Acids Research","id":"ITEM-1","issue":"D1","issued":{"date-parts":[["2021","1","8"]]},"page":"D1207-D1217","publisher":"Oxford University Press","title":"The human phenotype ontology in 2021","type":"article-journal","volume":"49"},"uris":["http://www.mendeley.com/documents/?uuid=171a051c-1934-3372-b043-c5a0effa70b5"]}],"mendeley":{"formattedCitation":"&lt;span style=\"baseline\"&gt;[26]&lt;/span&gt;","plainTextFormattedCitation":"[26]","previouslyFormattedCitation":"&lt;span style=\"baseline\"&gt;[26]&lt;/span&gt;"},"properties":{"noteIndex":0},"schema":"https://github.com/citation-style-language/schema/raw/master/csl-citation.json"}</w:instrText>
      </w:r>
      <w:r w:rsidR="006E5C8C" w:rsidRPr="00F0254C">
        <w:rPr>
          <w:rFonts w:ascii="Segoe UI" w:hAnsi="Segoe UI" w:cs="Segoe UI"/>
        </w:rPr>
        <w:fldChar w:fldCharType="separate"/>
      </w:r>
      <w:r w:rsidR="00621F24" w:rsidRPr="00621F24">
        <w:rPr>
          <w:rFonts w:ascii="Segoe UI" w:hAnsi="Segoe UI" w:cs="Segoe UI"/>
          <w:noProof/>
        </w:rPr>
        <w:t>[26]</w:t>
      </w:r>
      <w:r w:rsidR="006E5C8C" w:rsidRPr="00F0254C">
        <w:rPr>
          <w:rFonts w:ascii="Segoe UI" w:hAnsi="Segoe UI" w:cs="Segoe UI"/>
        </w:rPr>
        <w:fldChar w:fldCharType="end"/>
      </w:r>
      <w:r w:rsidR="006E5C8C" w:rsidRPr="00F0254C">
        <w:rPr>
          <w:rFonts w:ascii="Segoe UI" w:hAnsi="Segoe UI" w:cs="Segoe UI"/>
        </w:rPr>
        <w:t xml:space="preserve"> Additional longitudinal phenotype dat</w:t>
      </w:r>
      <w:r w:rsidR="004A0B14" w:rsidRPr="00F0254C">
        <w:rPr>
          <w:rFonts w:ascii="Segoe UI" w:hAnsi="Segoe UI" w:cs="Segoe UI"/>
        </w:rPr>
        <w:t>a included the hospital episode</w:t>
      </w:r>
      <w:r w:rsidR="006E5C8C" w:rsidRPr="00F0254C">
        <w:rPr>
          <w:rFonts w:ascii="Segoe UI" w:hAnsi="Segoe UI" w:cs="Segoe UI"/>
        </w:rPr>
        <w:t xml:space="preserve"> statistics (HES) database containing details of all admission, emergency and </w:t>
      </w:r>
      <w:r w:rsidR="00000A9E" w:rsidRPr="00F0254C">
        <w:rPr>
          <w:rFonts w:ascii="Segoe UI" w:hAnsi="Segoe UI" w:cs="Segoe UI"/>
        </w:rPr>
        <w:t>outpatient</w:t>
      </w:r>
      <w:r w:rsidR="006E5C8C" w:rsidRPr="00F0254C">
        <w:rPr>
          <w:rFonts w:ascii="Segoe UI" w:hAnsi="Segoe UI" w:cs="Segoe UI"/>
        </w:rPr>
        <w:t xml:space="preserve"> </w:t>
      </w:r>
      <w:r w:rsidR="00000A9E" w:rsidRPr="00F0254C">
        <w:rPr>
          <w:rFonts w:ascii="Segoe UI" w:hAnsi="Segoe UI" w:cs="Segoe UI"/>
        </w:rPr>
        <w:t>appointments</w:t>
      </w:r>
      <w:r w:rsidR="006E5C8C" w:rsidRPr="00F0254C">
        <w:rPr>
          <w:rFonts w:ascii="Segoe UI" w:hAnsi="Segoe UI" w:cs="Segoe UI"/>
        </w:rPr>
        <w:t xml:space="preserve"> at NHS </w:t>
      </w:r>
      <w:r w:rsidR="00000A9E" w:rsidRPr="00F0254C">
        <w:rPr>
          <w:rFonts w:ascii="Segoe UI" w:hAnsi="Segoe UI" w:cs="Segoe UI"/>
        </w:rPr>
        <w:t>hospitals</w:t>
      </w:r>
      <w:r w:rsidR="006E5C8C" w:rsidRPr="00F0254C">
        <w:rPr>
          <w:rFonts w:ascii="Segoe UI" w:hAnsi="Segoe UI" w:cs="Segoe UI"/>
        </w:rPr>
        <w:t xml:space="preserve"> in </w:t>
      </w:r>
      <w:r w:rsidR="00000A9E" w:rsidRPr="00F0254C">
        <w:rPr>
          <w:rFonts w:ascii="Segoe UI" w:hAnsi="Segoe UI" w:cs="Segoe UI"/>
        </w:rPr>
        <w:t>England recorded</w:t>
      </w:r>
      <w:r w:rsidR="006E5C8C" w:rsidRPr="00F0254C">
        <w:rPr>
          <w:rFonts w:ascii="Segoe UI" w:hAnsi="Segoe UI" w:cs="Segoe UI"/>
        </w:rPr>
        <w:t xml:space="preserve"> as ICD-10 codes.</w:t>
      </w:r>
      <w:r w:rsidR="00000A9E" w:rsidRPr="00F0254C">
        <w:rPr>
          <w:rFonts w:ascii="Segoe UI" w:hAnsi="Segoe UI" w:cs="Segoe UI"/>
        </w:rPr>
        <w:fldChar w:fldCharType="begin" w:fldLock="1"/>
      </w:r>
      <w:r>
        <w:rPr>
          <w:rFonts w:ascii="Segoe UI" w:hAnsi="Segoe UI" w:cs="Segoe UI"/>
        </w:rPr>
        <w:instrText>ADDIN CSL_CITATION {"citationItems":[{"id":"ITEM-1","itemData":{"abstract":"Sets out internationally agreed diagnostic criteria specifically designed for use when conducting research on mental and behavioral disorders. Deliberately restrictive, the criteria are intended to facilitate the selection of groups of individuals whose symptoms and other characteristics resemble each other in clearly stated ways, and thus to maximize the homogeneity of study groups and the comparability of findings in multi-centre and international studies. The book, which covers over 300 disorders, is derived from chapter V(F) of the Tenth Revision of the International Statistical Classification of Diseases and Related Health Problems (ICD-10). The research criteria were developed in collaboration with the world's leading experts and finalized after testing by researchers and clinicians in 32 countries, representing all the major traditions and schools of psychiatry. Descriptions of clinical concepts upon which the research criteria are based are contained in the companion volume Clinical Descriptions and Diagnostic Guidelines. For each disorder, criteria are labeled with letters or numbers to indicate their place in a hierarchy of generality and importance. This hierarchy includes general criteria, which must be fulfilled by all members of a group of disorders, obligatory criteria for individual disorders, and further groups and sub-groups of characteristics, of which only some are required for the diagnosis. Where appropriate, the most commonly used exclusion clause is also listed. A number of disorders of uncertain or provisional status are described in two annexes. The first covers affective disorders that have been the subject of recent research, together with certain personality disorders. The second describes several disorders that seem to appear almost exclusively in particular cultures.","author":[{"dropping-particle":"","family":"World Health Organization","given":"","non-dropping-particle":"","parse-names":false,"suffix":""}],"container-title":"ICD-10 Classification of Mentall and Behavioural Disorders","id":"ITEM-1","issued":{"date-parts":[["1992"]]},"number-of-pages":"69-70","title":"The ICD-10 classification of mental and behavioural disorders: Clinical descriptions and diagnostic guidelins.","type":"book"},"uris":["http://www.mendeley.com/documents/?uuid=02f71084-fcdf-3674-b2bc-be89af6fdcb0"]}],"mendeley":{"formattedCitation":"&lt;span style=\"baseline\"&gt;[27]&lt;/span&gt;","plainTextFormattedCitation":"[27]","previouslyFormattedCitation":"&lt;span style=\"baseline\"&gt;[27]&lt;/span&gt;"},"properties":{"noteIndex":0},"schema":"https://github.com/citation-style-language/schema/raw/master/csl-citation.json"}</w:instrText>
      </w:r>
      <w:r w:rsidR="00000A9E" w:rsidRPr="00F0254C">
        <w:rPr>
          <w:rFonts w:ascii="Segoe UI" w:hAnsi="Segoe UI" w:cs="Segoe UI"/>
        </w:rPr>
        <w:fldChar w:fldCharType="separate"/>
      </w:r>
      <w:r w:rsidR="00621F24" w:rsidRPr="00621F24">
        <w:rPr>
          <w:rFonts w:ascii="Segoe UI" w:hAnsi="Segoe UI" w:cs="Segoe UI"/>
          <w:noProof/>
        </w:rPr>
        <w:t>[27]</w:t>
      </w:r>
      <w:r w:rsidR="00000A9E" w:rsidRPr="00F0254C">
        <w:rPr>
          <w:rFonts w:ascii="Segoe UI" w:hAnsi="Segoe UI" w:cs="Segoe UI"/>
        </w:rPr>
        <w:fldChar w:fldCharType="end"/>
      </w:r>
      <w:r w:rsidR="00000A9E" w:rsidRPr="00F0254C">
        <w:rPr>
          <w:rFonts w:ascii="Segoe UI" w:hAnsi="Segoe UI" w:cs="Segoe UI"/>
          <w:kern w:val="24"/>
        </w:rPr>
        <w:t xml:space="preserve"> </w:t>
      </w:r>
      <w:r w:rsidR="006E5C8C" w:rsidRPr="00F0254C">
        <w:rPr>
          <w:rFonts w:ascii="Segoe UI" w:hAnsi="Segoe UI" w:cs="Segoe UI"/>
        </w:rPr>
        <w:t>The majority of participants provided blood samples</w:t>
      </w:r>
      <w:r w:rsidR="002152BC" w:rsidRPr="00F0254C">
        <w:rPr>
          <w:rFonts w:ascii="Segoe UI" w:hAnsi="Segoe UI" w:cs="Segoe UI"/>
        </w:rPr>
        <w:t>,</w:t>
      </w:r>
      <w:r w:rsidR="006E5C8C" w:rsidRPr="00F0254C">
        <w:rPr>
          <w:rFonts w:ascii="Segoe UI" w:hAnsi="Segoe UI" w:cs="Segoe UI"/>
        </w:rPr>
        <w:t xml:space="preserve"> although a small number provided saliva for germline DNA extraction. In addition to germline DNA, some participants recruited to the cancer arm also provided somatic tumour cell DNA.</w:t>
      </w:r>
    </w:p>
    <w:p w14:paraId="356A86C9" w14:textId="1EFE7A08" w:rsidR="00A8398A" w:rsidRPr="00F0254C" w:rsidRDefault="0076491F" w:rsidP="00CD246B">
      <w:pPr>
        <w:pStyle w:val="Heading2"/>
      </w:pPr>
      <w:r w:rsidRPr="00F0254C">
        <w:t>Phenotype data</w:t>
      </w:r>
    </w:p>
    <w:p w14:paraId="66204626" w14:textId="229B7056" w:rsidR="008242FB" w:rsidRPr="00F0254C" w:rsidRDefault="008327EF" w:rsidP="00621F24">
      <w:pPr>
        <w:spacing w:line="480" w:lineRule="auto"/>
        <w:rPr>
          <w:rFonts w:ascii="Segoe UI" w:hAnsi="Segoe UI" w:cs="Segoe UI"/>
        </w:rPr>
      </w:pPr>
      <w:r w:rsidRPr="00F0254C">
        <w:rPr>
          <w:rFonts w:ascii="Segoe UI" w:hAnsi="Segoe UI" w:cs="Segoe UI"/>
        </w:rPr>
        <w:t xml:space="preserve">Phenotype data was extracted from </w:t>
      </w:r>
      <w:r w:rsidR="008A5ABA" w:rsidRPr="00F0254C">
        <w:rPr>
          <w:rFonts w:ascii="Segoe UI" w:hAnsi="Segoe UI" w:cs="Segoe UI"/>
        </w:rPr>
        <w:t>LabKey</w:t>
      </w:r>
      <w:r w:rsidRPr="00F0254C">
        <w:rPr>
          <w:rFonts w:ascii="Segoe UI" w:hAnsi="Segoe UI" w:cs="Segoe UI"/>
        </w:rPr>
        <w:t xml:space="preserve"> Main programme interim data release v11.0.</w:t>
      </w:r>
      <w:r w:rsidRPr="00F0254C">
        <w:rPr>
          <w:rFonts w:ascii="Segoe UI" w:hAnsi="Segoe UI" w:cs="Segoe UI"/>
        </w:rPr>
        <w:fldChar w:fldCharType="begin" w:fldLock="1"/>
      </w:r>
      <w:r w:rsidR="00C275EA">
        <w:rPr>
          <w:rFonts w:ascii="Segoe UI" w:hAnsi="Segoe UI" w:cs="Segoe UI"/>
        </w:rPr>
        <w:instrText>ADDIN CSL_CITATION {"citationItems":[{"id":"ITEM-1","itemData":{"DOI":"10.1186/1471-2105-12-71","ISSN":"14712105","PMID":"21385461","abstract":"Background: Broad-based collaborations are becoming increasingly common among disease researchers. For example, the Global HIV Enterprise has united cross-disciplinary consortia to speed progress towards HIV vaccines through coordinated research across the boundaries of institutions, continents and specialties. New, end-to-end software tools for data and specimen management are necessary to achieve the ambitious goals of such alliances. These tools must enable researchers to organize and integrate heterogeneous data early in the discovery process, standardize processes, gain new insights into pooled data and collaborate securely.Results: To meet these needs, we enhanced the LabKey Server platform, formerly known as CPAS. This freely available, open source software is maintained by professional engineers who use commercially proven practices for software development and maintenance. Recent enhancements support: (i) Submitting specimens requests across collaborating organizations (ii) Graphically defining new experimental data types, metadata and wizards for data collection (iii) Transitioning experimental results from a multiplicity of spreadsheets to custom tables in a shared database (iv) Securely organizing, integrating, analyzing, visualizing and sharing diverse data types, from clinical records to specimens to complex assays (v) Interacting dynamically with external data sources (vi) Tracking study participants and cohorts over time (vii) Developing custom interfaces using client libraries (viii) Authoring custom visualizations in a built-in R scripting environment.Diverse research organizations have adopted and adapted LabKey Server, including consortia within the Global HIV Enterprise. Atlas is an installation of LabKey Server that has been tailored to serve these consortia. It is in production use and demonstrates the core capabilities of LabKey Server. Atlas now has over 2,800 active user accounts originating from approximately 36 countries and 350 organizations. It tracks roughly 27,000 assay runs, 860,000 specimen vials and 1,300,000 vial transfers.Conclusions: Sharing data, analysis tools and infrastructure can speed the efforts of large research consortia by enhancing efficiency and enabling new insights. The Atlas installation of LabKey Server demonstrates the utility of the LabKey platform for collaborative research. Stable, supported builds of LabKey Server are freely available for download at http://www.labkey.org. Documentation and sour…","author":[{"dropping-particle":"","family":"Nelson","given":"Elizabeth K","non-dropping-particle":"","parse-names":false,"suffix":""},{"dropping-particle":"","family":"Piehler","given":"Britt","non-dropping-particle":"","parse-names":false,"suffix":""},{"dropping-particle":"","family":"Eckels","given":"Josh","non-dropping-particle":"","parse-names":false,"suffix":""},{"dropping-particle":"","family":"Rauch","given":"Adam","non-dropping-particle":"","parse-names":false,"suffix":""},{"dropping-particle":"","family":"Bellew","given":"Matthew","non-dropping-particle":"","parse-names":false,"suffix":""},{"dropping-particle":"","family":"Hussey","given":"Peter","non-dropping-particle":"","parse-names":false,"suffix":""},{"dropping-particle":"","family":"Ramsay","given":"Sarah","non-dropping-particle":"","parse-names":false,"suffix":""},{"dropping-particle":"","family":"Nathe","given":"Cory","non-dropping-particle":"","parse-names":false,"suffix":""},{"dropping-particle":"","family":"Lum","given":"Karl","non-dropping-particle":"","parse-names":false,"suffix":""},{"dropping-particle":"","family":"Krouse","given":"Kevin","non-dropping-particle":"","parse-names":false,"suffix":""},{"dropping-particle":"","family":"Stearns","given":"David","non-dropping-particle":"","parse-names":false,"suffix":""},{"dropping-particle":"","family":"Connolly","given":"Brian","non-dropping-particle":"","parse-names":false,"suffix":""},{"dropping-particle":"","family":"Skillman","given":"Tom","non-dropping-particle":"","parse-names":false,"suffix":""},{"dropping-particle":"","family":"Igra","given":"Mark","non-dropping-particle":"","parse-names":false,"suffix":""}],"container-title":"BMC Bioinformatics","id":"ITEM-1","issue":"1","issued":{"date-parts":[["2011","12","9"]]},"page":"71","publisher":"BioMed Central","title":"LabKey Server: An open source platform for scientific data integration, analysis and collaboration","type":"article-journal","volume":"12"},"uris":["http://www.mendeley.com/documents/?uuid=a4a0cee7-e248-3f94-a578-e627725926db"]}],"mendeley":{"formattedCitation":"&lt;span style=\"baseline\"&gt;[28]&lt;/span&gt;","plainTextFormattedCitation":"[28]","previouslyFormattedCitation":"&lt;span style=\"baseline\"&gt;[28]&lt;/span&gt;"},"properties":{"noteIndex":0},"schema":"https://github.com/citation-style-language/schema/raw/master/csl-citation.json"}</w:instrText>
      </w:r>
      <w:r w:rsidRPr="00F0254C">
        <w:rPr>
          <w:rFonts w:ascii="Segoe UI" w:hAnsi="Segoe UI" w:cs="Segoe UI"/>
        </w:rPr>
        <w:fldChar w:fldCharType="separate"/>
      </w:r>
      <w:r w:rsidR="00621F24" w:rsidRPr="00621F24">
        <w:rPr>
          <w:rFonts w:ascii="Segoe UI" w:hAnsi="Segoe UI" w:cs="Segoe UI"/>
          <w:noProof/>
        </w:rPr>
        <w:t>[28]</w:t>
      </w:r>
      <w:r w:rsidRPr="00F0254C">
        <w:rPr>
          <w:rFonts w:ascii="Segoe UI" w:hAnsi="Segoe UI" w:cs="Segoe UI"/>
        </w:rPr>
        <w:fldChar w:fldCharType="end"/>
      </w:r>
      <w:r w:rsidRPr="00F0254C">
        <w:rPr>
          <w:rFonts w:ascii="Segoe UI" w:hAnsi="Segoe UI" w:cs="Segoe UI"/>
        </w:rPr>
        <w:t xml:space="preserve"> Human Phenotype Ontology (HPO) terms were provided by recruiting Genomic Medicine Centres (GMC) according to the </w:t>
      </w:r>
      <w:r w:rsidR="00512C25" w:rsidRPr="00F0254C">
        <w:rPr>
          <w:rFonts w:ascii="Segoe UI" w:hAnsi="Segoe UI" w:cs="Segoe UI"/>
        </w:rPr>
        <w:t>GEL</w:t>
      </w:r>
      <w:r w:rsidRPr="00F0254C">
        <w:rPr>
          <w:rFonts w:ascii="Segoe UI" w:hAnsi="Segoe UI" w:cs="Segoe UI"/>
        </w:rPr>
        <w:t xml:space="preserve"> Protocol.</w:t>
      </w:r>
      <w:r w:rsidRPr="00F0254C">
        <w:rPr>
          <w:rFonts w:ascii="Segoe UI" w:hAnsi="Segoe UI" w:cs="Segoe UI"/>
        </w:rPr>
        <w:fldChar w:fldCharType="begin" w:fldLock="1"/>
      </w:r>
      <w:r w:rsidR="00C275EA">
        <w:rPr>
          <w:rFonts w:ascii="Segoe UI" w:hAnsi="Segoe UI" w:cs="Segoe UI"/>
        </w:rPr>
        <w:instrText>ADDIN CSL_CITATION {"citationItems":[{"id":"ITEM-1","itemData":{"DOI":"10.1093/nar/gky1105","ISSN":"0305-1048","author":[{"dropping-particle":"","family":"Köhler","given":"Sebastian","non-dropping-particle":"","parse-names":false,"suffix":""},{"dropping-particle":"","family":"Carmody","given":"Leigh","non-dropping-particle":"","parse-names":false,"suffix":""},{"dropping-particle":"","family":"Vasilevsky","given":"Nicole","non-dropping-particle":"","parse-names":false,"suffix":""},{"dropping-particle":"","family":"Jacobsen","given":"Julius O B","non-dropping-particle":"","parse-names":false,"suffix":""},{"dropping-particle":"","family":"Danis","given":"Daniel","non-dropping-particle":"","parse-names":false,"suffix":""},{"dropping-particle":"","family":"Gourdine","given":"Jean-Philippe","non-dropping-particle":"","parse-names":false,"suffix":""},{"dropping-particle":"","family":"Gargano","given":"Michael","non-dropping-particle":"","parse-names":false,"suffix":""},{"dropping-particle":"","family":"Harris","given":"Nomi L","non-dropping-particle":"","parse-names":false,"suffix":""},{"dropping-particle":"","family":"Matentzoglu","given":"Nicolas","non-dropping-particle":"","parse-names":false,"suffix":""},{"dropping-particle":"","family":"McMurry","given":"Julie A","non-dropping-particle":"","parse-names":false,"suffix":""},{"dropping-particle":"","family":"Osumi-Sutherland","given":"David","non-dropping-particle":"","parse-names":false,"suffix":""},{"dropping-particle":"","family":"Cipriani","given":"Valentina","non-dropping-particle":"","parse-names":false,"suffix":""},{"dropping-particle":"","family":"Balhoff","given":"James P","non-dropping-particle":"","parse-names":false,"suffix":""},{"dropping-particle":"","family":"Conlin","given":"Tom","non-dropping-particle":"","parse-names":false,"suffix":""},{"dropping-particle":"","family":"Blau","given":"Hannah","non-dropping-particle":"","parse-names":false,"suffix":""},{"dropping-particle":"","family":"Baynam","given":"Gareth","non-dropping-particle":"","parse-names":false,"suffix":""},{"dropping-particle":"","family":"Palmer","given":"Richard","non-dropping-particle":"","parse-names":false,"suffix":""},{"dropping-particle":"","family":"Gratian","given":"Dylan","non-dropping-particle":"","parse-names":false,"suffix":""},{"dropping-particle":"","family":"Dawkins","given":"Hugh","non-dropping-particle":"","parse-names":false,"suffix":""},{"dropping-particle":"","family":"Segal","given":"Michael","non-dropping-particle":"","parse-names":false,"suffix":""},{"dropping-particle":"","family":"Jansen","given":"Anna C","non-dropping-particle":"","parse-names":false,"suffix":""},{"dropping-particle":"","family":"Muaz","given":"Ahmed","non-dropping-particle":"","parse-names":false,"suffix":""},{"dropping-particle":"","family":"Chang","given":"Willie H","non-dropping-particle":"","parse-names":false,"suffix":""},{"dropping-particle":"","family":"Bergerson","given":"Jenna","non-dropping-particle":"","parse-names":false,"suffix":""},{"dropping-particle":"","family":"Laulederkind","given":"Stanley J F","non-dropping-particle":"","parse-names":false,"suffix":""},{"dropping-particle":"","family":"Yüksel","given":"Zafer","non-dropping-particle":"","parse-names":false,"suffix":""},{"dropping-particle":"","family":"Beltran","given":"Sergi","non-dropping-particle":"","parse-names":false,"suffix":""},{"dropping-particle":"","family":"Freeman","given":"Alexandra F","non-dropping-particle":"","parse-names":false,"suffix":""},{"dropping-particle":"","family":"Sergouniotis","given":"Panagiotis I","non-dropping-particle":"","parse-names":false,"suffix":""},{"dropping-particle":"","family":"Durkin","given":"Daniel","non-dropping-particle":"","parse-names":false,"suffix":""},{"dropping-particle":"","family":"Storm","given":"Andrea L","non-dropping-particle":"","parse-names":false,"suffix":""},{"dropping-particle":"","family":"Hanauer","given":"Marc","non-dropping-particle":"","parse-names":false,"suffix":""},{"dropping-particle":"","family":"Brudno","given":"Michael","non-dropping-particle":"","parse-names":false,"suffix":""},{"dropping-particle":"","family":"Bello","given":"Susan M","non-dropping-particle":"","parse-names":false,"suffix":""},{"dropping-particle":"","family":"Sincan","given":"Murat","non-dropping-particle":"","parse-names":false,"suffix":""},{"dropping-particle":"","family":"Rageth","given":"Kayli","non-dropping-particle":"","parse-names":false,"suffix":""},{"dropping-particle":"","family":"Wheeler","given":"Matthew T","non-dropping-particle":"","parse-names":false,"suffix":""},{"dropping-particle":"","family":"Oegema","given":"Renske","non-dropping-particle":"","parse-names":false,"suffix":""},{"dropping-particle":"","family":"Lourghi","given":"Halima","non-dropping-particle":"","parse-names":false,"suffix":""},{"dropping-particle":"","family":"Della Rocca","given":"Maria G","non-dropping-particle":"","parse-names":false,"suffix":""},{"dropping-particle":"","family":"Thompson","given":"Rachel","non-dropping-particle":"","parse-names":false,"suffix":""},{"dropping-particle":"","family":"Castellanos","given":"Francisco","non-dropping-particle":"","parse-names":false,"suffix":""},{"dropping-particle":"","family":"Priest","given":"James","non-dropping-particle":"","parse-names":false,"suffix":""},{"dropping-particle":"","family":"Cunningham-Rundles","given":"Charlotte","non-dropping-particle":"","parse-names":false,"suffix":""},{"dropping-particle":"","family":"Hegde","given":"Ayushi","non-dropping-particle":"","parse-names":false,"suffix":""},{"dropping-particle":"","family":"Lovering","given":"Ruth C","non-dropping-particle":"","parse-names":false,"suffix":""},{"dropping-particle":"","family":"Hajek","given":"Catherine","non-dropping-particle":"","parse-names":false,"suffix":""},{"dropping-particle":"","family":"Olry","given":"Annie","non-dropping-particle":"","parse-names":false,"suffix":""},{"dropping-particle":"","family":"Notarangelo","given":"Luigi","non-dropping-particle":"","parse-names":false,"suffix":""},{"dropping-particle":"","family":"Similuk","given":"Morgan","non-dropping-particle":"","parse-names":false,"suffix":""},{"dropping-particle":"","family":"Zhang","given":"Xingmin A","non-dropping-particle":"","parse-names":false,"suffix":""},{"dropping-particle":"","family":"Gómez-Andrés","given":"David","non-dropping-particle":"","parse-names":false,"suffix":""},{"dropping-particle":"","family":"Lochmüller","given":"Hanns","non-dropping-particle":"","parse-names":false,"suffix":""},{"dropping-particle":"","family":"Dollfus","given":"Hélène","non-dropping-particle":"","parse-names":false,"suffix":""},{"dropping-particle":"","family":"Rosenzweig","given":"Sergio","non-dropping-particle":"","parse-names":false,"suffix":""},{"dropping-particle":"","family":"Marwaha","given":"Shruti","non-dropping-particle":"","parse-names":false,"suffix":""},{"dropping-particle":"","family":"Rath","given":"Ana","non-dropping-particle":"","parse-names":false,"suffix":""},{"dropping-particle":"","family":"Sullivan","given":"Kathleen","non-dropping-particle":"","parse-names":false,"suffix":""},{"dropping-particle":"","family":"Smith","given":"Cynthia","non-dropping-particle":"","parse-names":false,"suffix":""},{"dropping-particle":"","family":"Milner","given":"Joshua D","non-dropping-particle":"","parse-names":false,"suffix":""},{"dropping-particle":"","family":"Leroux","given":"Dorothée","non-dropping-particle":"","parse-names":false,"suffix":""},{"dropping-particle":"","family":"Boerkoel","given":"Cornelius F","non-dropping-particle":"","parse-names":false,"suffix":""},{"dropping-particle":"","family":"Klion","given":"Amy","non-dropping-particle":"","parse-names":false,"suffix":""},{"dropping-particle":"","family":"Carter","given":"Melody C","non-dropping-particle":"","parse-names":false,"suffix":""},{"dropping-particle":"","family":"Groza","given":"Tudor","non-dropping-particle":"","parse-names":false,"suffix":""},{"dropping-particle":"","family":"Smedley","given":"Damian","non-dropping-particle":"","parse-names":false,"suffix":""},{"dropping-particle":"","family":"Haendel","given":"Melissa A","non-dropping-particle":"","parse-names":false,"suffix":""},{"dropping-particle":"","family":"Mungall","given":"Chris","non-dropping-particle":"","parse-names":false,"suffix":""},{"dropping-particle":"","family":"Robinson","given":"Peter N","non-dropping-particle":"","parse-names":false,"suffix":""}],"container-title":"Nucleic Acids Research","id":"ITEM-1","issue":"D1","issued":{"date-parts":[["2019","1","8"]]},"page":"D1018-D1027","publisher":"Narnia","title":"Expansion of the Human Phenotype Ontology (HPO) knowledge base and resources","type":"article-journal","volume":"47"},"uris":["http://www.mendeley.com/documents/?uuid=64b7abd5-9ce3-3324-b9b7-9675ea55d352"]}],"mendeley":{"formattedCitation":"&lt;span style=\"baseline\"&gt;[29]&lt;/span&gt;","plainTextFormattedCitation":"[29]","previouslyFormattedCitation":"&lt;span style=\"baseline\"&gt;[29]&lt;/span&gt;"},"properties":{"noteIndex":0},"schema":"https://github.com/citation-style-language/schema/raw/master/csl-citation.json"}</w:instrText>
      </w:r>
      <w:r w:rsidRPr="00F0254C">
        <w:rPr>
          <w:rFonts w:ascii="Segoe UI" w:hAnsi="Segoe UI" w:cs="Segoe UI"/>
        </w:rPr>
        <w:fldChar w:fldCharType="separate"/>
      </w:r>
      <w:r w:rsidR="00621F24" w:rsidRPr="00621F24">
        <w:rPr>
          <w:rFonts w:ascii="Segoe UI" w:hAnsi="Segoe UI" w:cs="Segoe UI"/>
          <w:noProof/>
        </w:rPr>
        <w:t>[29]</w:t>
      </w:r>
      <w:r w:rsidRPr="00F0254C">
        <w:rPr>
          <w:rFonts w:ascii="Segoe UI" w:hAnsi="Segoe UI" w:cs="Segoe UI"/>
        </w:rPr>
        <w:fldChar w:fldCharType="end"/>
      </w:r>
      <w:r w:rsidRPr="00F0254C">
        <w:rPr>
          <w:rFonts w:ascii="Segoe UI" w:hAnsi="Segoe UI" w:cs="Segoe UI"/>
        </w:rPr>
        <w:t xml:space="preserve"> </w:t>
      </w:r>
    </w:p>
    <w:p w14:paraId="31E12F78" w14:textId="77777777" w:rsidR="002E3E15" w:rsidRPr="00F0254C" w:rsidRDefault="002E3E15" w:rsidP="00CD246B">
      <w:pPr>
        <w:pStyle w:val="Heading2"/>
      </w:pPr>
      <w:r w:rsidRPr="00F0254C">
        <w:t>Computational pipeline</w:t>
      </w:r>
    </w:p>
    <w:p w14:paraId="26E6E86F" w14:textId="65C906B0" w:rsidR="0004294A" w:rsidRPr="00F0254C" w:rsidRDefault="0004294A" w:rsidP="00621F24">
      <w:pPr>
        <w:spacing w:line="480" w:lineRule="auto"/>
        <w:rPr>
          <w:rFonts w:ascii="Segoe UI" w:hAnsi="Segoe UI" w:cs="Segoe UI"/>
          <w:lang w:eastAsia="en-US"/>
        </w:rPr>
      </w:pPr>
      <w:r w:rsidRPr="00F0254C">
        <w:rPr>
          <w:rFonts w:ascii="Segoe UI" w:hAnsi="Segoe UI" w:cs="Segoe UI"/>
        </w:rPr>
        <w:t xml:space="preserve">Genomic data was sourced from an aggregate multi-sample </w:t>
      </w:r>
      <w:r w:rsidR="008245B8" w:rsidRPr="00F0254C">
        <w:rPr>
          <w:rFonts w:ascii="Segoe UI" w:hAnsi="Segoe UI" w:cs="Segoe UI"/>
        </w:rPr>
        <w:t>variant call format (</w:t>
      </w:r>
      <w:r w:rsidRPr="00F0254C">
        <w:rPr>
          <w:rFonts w:ascii="Segoe UI" w:hAnsi="Segoe UI" w:cs="Segoe UI"/>
        </w:rPr>
        <w:t>VCF</w:t>
      </w:r>
      <w:r w:rsidR="008245B8" w:rsidRPr="00F0254C">
        <w:rPr>
          <w:rFonts w:ascii="Segoe UI" w:hAnsi="Segoe UI" w:cs="Segoe UI"/>
        </w:rPr>
        <w:t xml:space="preserve">; </w:t>
      </w:r>
      <w:r w:rsidRPr="00F0254C">
        <w:rPr>
          <w:rFonts w:ascii="Segoe UI" w:hAnsi="Segoe UI" w:cs="Segoe UI"/>
        </w:rPr>
        <w:t>aggV2)</w:t>
      </w:r>
      <w:r w:rsidR="00CA7250" w:rsidRPr="00F0254C">
        <w:rPr>
          <w:rFonts w:ascii="Segoe UI" w:hAnsi="Segoe UI" w:cs="Segoe UI"/>
        </w:rPr>
        <w:t xml:space="preserve"> </w:t>
      </w:r>
      <w:r w:rsidR="00CA7250" w:rsidRPr="00F0254C">
        <w:rPr>
          <w:rFonts w:ascii="Segoe UI" w:hAnsi="Segoe UI" w:cs="Segoe UI"/>
          <w:lang w:eastAsia="en-US"/>
        </w:rPr>
        <w:t xml:space="preserve">main release version 11 (17/12/20). </w:t>
      </w:r>
      <w:r w:rsidRPr="00F0254C">
        <w:rPr>
          <w:rFonts w:ascii="Segoe UI" w:hAnsi="Segoe UI" w:cs="Segoe UI"/>
        </w:rPr>
        <w:t xml:space="preserve">All samples were sequenced with 150bp paired-end reads in a single lane of an Illumina HiSeq X instrument. </w:t>
      </w:r>
      <w:r w:rsidR="00D25469" w:rsidRPr="00F0254C">
        <w:rPr>
          <w:rFonts w:ascii="Segoe UI" w:hAnsi="Segoe UI" w:cs="Segoe UI"/>
        </w:rPr>
        <w:t xml:space="preserve">Raw sequencing output in the form of a binary base call (BCL) file was </w:t>
      </w:r>
      <w:r w:rsidR="00940B5E" w:rsidRPr="00F0254C">
        <w:rPr>
          <w:rFonts w:ascii="Segoe UI" w:hAnsi="Segoe UI" w:cs="Segoe UI"/>
        </w:rPr>
        <w:t>processe</w:t>
      </w:r>
      <w:r w:rsidR="00466693" w:rsidRPr="00F0254C">
        <w:rPr>
          <w:rFonts w:ascii="Segoe UI" w:hAnsi="Segoe UI" w:cs="Segoe UI"/>
        </w:rPr>
        <w:t>d</w:t>
      </w:r>
      <w:r w:rsidRPr="00F0254C">
        <w:rPr>
          <w:rFonts w:ascii="Segoe UI" w:hAnsi="Segoe UI" w:cs="Segoe UI"/>
        </w:rPr>
        <w:t xml:space="preserve"> on the Illumina North Star Version 4 Whole Genome Sequencing Workflow (NSV4, v</w:t>
      </w:r>
      <w:r w:rsidR="00E32190" w:rsidRPr="00F0254C">
        <w:rPr>
          <w:rFonts w:ascii="Segoe UI" w:hAnsi="Segoe UI" w:cs="Segoe UI"/>
        </w:rPr>
        <w:t>.</w:t>
      </w:r>
      <w:r w:rsidRPr="00F0254C">
        <w:rPr>
          <w:rFonts w:ascii="Segoe UI" w:hAnsi="Segoe UI" w:cs="Segoe UI"/>
        </w:rPr>
        <w:t xml:space="preserve"> 2.6.53.23)</w:t>
      </w:r>
      <w:r w:rsidR="001B7943" w:rsidRPr="00F0254C">
        <w:rPr>
          <w:rFonts w:ascii="Segoe UI" w:hAnsi="Segoe UI" w:cs="Segoe UI"/>
        </w:rPr>
        <w:t>,</w:t>
      </w:r>
      <w:r w:rsidRPr="00F0254C">
        <w:rPr>
          <w:rFonts w:ascii="Segoe UI" w:hAnsi="Segoe UI" w:cs="Segoe UI"/>
        </w:rPr>
        <w:t xml:space="preserve"> which comprises the iSAAC Aligner (v</w:t>
      </w:r>
      <w:r w:rsidR="00E32190" w:rsidRPr="00F0254C">
        <w:rPr>
          <w:rFonts w:ascii="Segoe UI" w:hAnsi="Segoe UI" w:cs="Segoe UI"/>
        </w:rPr>
        <w:t>.</w:t>
      </w:r>
      <w:r w:rsidRPr="00F0254C">
        <w:rPr>
          <w:rFonts w:ascii="Segoe UI" w:hAnsi="Segoe UI" w:cs="Segoe UI"/>
        </w:rPr>
        <w:t xml:space="preserve"> 03.16.02.19) and Starling Small Variant Caller (v</w:t>
      </w:r>
      <w:r w:rsidR="00E32190" w:rsidRPr="00F0254C">
        <w:rPr>
          <w:rFonts w:ascii="Segoe UI" w:hAnsi="Segoe UI" w:cs="Segoe UI"/>
        </w:rPr>
        <w:t>.</w:t>
      </w:r>
      <w:r w:rsidRPr="00F0254C">
        <w:rPr>
          <w:rFonts w:ascii="Segoe UI" w:hAnsi="Segoe UI" w:cs="Segoe UI"/>
        </w:rPr>
        <w:t xml:space="preserve">2.4.7). </w:t>
      </w:r>
      <w:r w:rsidR="00D736CC" w:rsidRPr="00F0254C">
        <w:rPr>
          <w:rFonts w:ascii="Segoe UI" w:hAnsi="Segoe UI" w:cs="Segoe UI"/>
        </w:rPr>
        <w:t xml:space="preserve">CNVs were called by the </w:t>
      </w:r>
      <w:r w:rsidR="008245B8" w:rsidRPr="00F0254C">
        <w:rPr>
          <w:rFonts w:ascii="Segoe UI" w:hAnsi="Segoe UI" w:cs="Segoe UI"/>
        </w:rPr>
        <w:t>G</w:t>
      </w:r>
      <w:r w:rsidR="00D736CC" w:rsidRPr="00F0254C">
        <w:rPr>
          <w:rFonts w:ascii="Segoe UI" w:hAnsi="Segoe UI" w:cs="Segoe UI"/>
        </w:rPr>
        <w:t>enomics England pipeline using Illumina canvas software.</w:t>
      </w:r>
      <w:r w:rsidR="00D736CC" w:rsidRPr="00F0254C">
        <w:rPr>
          <w:rFonts w:ascii="Segoe UI" w:hAnsi="Segoe UI" w:cs="Segoe UI"/>
        </w:rPr>
        <w:fldChar w:fldCharType="begin" w:fldLock="1"/>
      </w:r>
      <w:r w:rsidR="00C275EA">
        <w:rPr>
          <w:rFonts w:ascii="Segoe UI" w:hAnsi="Segoe UI" w:cs="Segoe UI"/>
        </w:rPr>
        <w:instrText>ADDIN CSL_CITATION {"citationItems":[{"id":"ITEM-1","itemData":{"DOI":"10.1093/bioinformatics/btw163","ISSN":"14602059","PMID":"27153601","abstract":"Motivation: Versatile and efficient variant calling tools are needed to analyze large scale sequencing datasets. In particular, identification of copy number changes remains a challenging task due to their complexity, susceptibility to sequencing biases, variation in coverage data and dependence on genome-wide sample properties, such as tumor polyploidy or polyclonality in cancer samples. Results: We have developed a new tool, Canvas, for identification of copy number changes from diverse sequencing experiments including whole-genome matched tumor-normal and single-sample normal re-sequencing, as well as whole-exome matched and unmatched tumor-normal studies. In addition to variant calling, Canvas infers genome-wide parameters such as cancer ploidy, purity and heterogeneity. It provides fast and easy-to-run workflows that can scale to thousands of samples and can be easily incorporated into variant calling pipelines. Availability and Implementation: Canvas is distributed under an open source license and can be downloaded from https://github.com/Illumina/canvas.","author":[{"dropping-particle":"","family":"Roller","given":"Eric","non-dropping-particle":"","parse-names":false,"suffix":""},{"dropping-particle":"","family":"Ivakhno","given":"Sergii","non-dropping-particle":"","parse-names":false,"suffix":""},{"dropping-particle":"","family":"Lee","given":"Steve","non-dropping-particle":"","parse-names":false,"suffix":""},{"dropping-particle":"","family":"Royce","given":"Thomas","non-dropping-particle":"","parse-names":false,"suffix":""},{"dropping-particle":"","family":"Tanner","given":"Stephen","non-dropping-particle":"","parse-names":false,"suffix":""}],"container-title":"Bioinformatics","id":"ITEM-1","issue":"15","issued":{"date-parts":[["2016","8","1"]]},"page":"2375-2377","publisher":"Oxford University Press","title":"Canvas: Versatile and scalable detection of copy number variants","type":"article-journal","volume":"32"},"uris":["http://www.mendeley.com/documents/?uuid=a4f46701-bea1-334f-89dc-f6a9801374e6"]}],"mendeley":{"formattedCitation":"&lt;span style=\"baseline\"&gt;[30]&lt;/span&gt;","plainTextFormattedCitation":"[30]","previouslyFormattedCitation":"&lt;span style=\"baseline\"&gt;[30]&lt;/span&gt;"},"properties":{"noteIndex":0},"schema":"https://github.com/citation-style-language/schema/raw/master/csl-citation.json"}</w:instrText>
      </w:r>
      <w:r w:rsidR="00D736CC" w:rsidRPr="00F0254C">
        <w:rPr>
          <w:rFonts w:ascii="Segoe UI" w:hAnsi="Segoe UI" w:cs="Segoe UI"/>
        </w:rPr>
        <w:fldChar w:fldCharType="separate"/>
      </w:r>
      <w:r w:rsidR="00621F24" w:rsidRPr="00621F24">
        <w:rPr>
          <w:rFonts w:ascii="Segoe UI" w:hAnsi="Segoe UI" w:cs="Segoe UI"/>
          <w:noProof/>
        </w:rPr>
        <w:t>[30]</w:t>
      </w:r>
      <w:r w:rsidR="00D736CC" w:rsidRPr="00F0254C">
        <w:rPr>
          <w:rFonts w:ascii="Segoe UI" w:hAnsi="Segoe UI" w:cs="Segoe UI"/>
        </w:rPr>
        <w:fldChar w:fldCharType="end"/>
      </w:r>
      <w:r w:rsidR="00D736CC" w:rsidRPr="00F0254C">
        <w:rPr>
          <w:rFonts w:ascii="Segoe UI" w:hAnsi="Segoe UI" w:cs="Segoe UI"/>
        </w:rPr>
        <w:t xml:space="preserve"> </w:t>
      </w:r>
      <w:r w:rsidR="00E32190" w:rsidRPr="00F0254C">
        <w:rPr>
          <w:rFonts w:ascii="Segoe UI" w:hAnsi="Segoe UI" w:cs="Segoe UI"/>
        </w:rPr>
        <w:t xml:space="preserve">Samples were aligned to the NCBI Genome Reference </w:t>
      </w:r>
      <w:r w:rsidR="00E32190" w:rsidRPr="00F0254C">
        <w:rPr>
          <w:rFonts w:ascii="Segoe UI" w:hAnsi="Segoe UI" w:cs="Segoe UI"/>
        </w:rPr>
        <w:lastRenderedPageBreak/>
        <w:t>Consortium Human Build 38 assembly with decoy sequences. Single sample gVCFs were aggregated using Illumina gVCF genotyper (v.2019.02.26).</w:t>
      </w:r>
    </w:p>
    <w:p w14:paraId="036FBC00" w14:textId="7FD09668" w:rsidR="002E3E15" w:rsidRPr="00F0254C" w:rsidRDefault="002E3E15" w:rsidP="00621F24">
      <w:pPr>
        <w:spacing w:line="480" w:lineRule="auto"/>
        <w:rPr>
          <w:rFonts w:ascii="Segoe UI" w:hAnsi="Segoe UI" w:cs="Segoe UI"/>
          <w:color w:val="FF0000"/>
        </w:rPr>
      </w:pPr>
      <w:r w:rsidRPr="00F0254C">
        <w:rPr>
          <w:rFonts w:ascii="Segoe UI" w:hAnsi="Segoe UI" w:cs="Segoe UI"/>
        </w:rPr>
        <w:t xml:space="preserve">A multisource gVCF was extracted from the aggregated gVCF </w:t>
      </w:r>
      <w:r w:rsidR="00C23AA9" w:rsidRPr="00F0254C">
        <w:rPr>
          <w:rFonts w:ascii="Segoe UI" w:hAnsi="Segoe UI" w:cs="Segoe UI"/>
        </w:rPr>
        <w:t xml:space="preserve">from which the </w:t>
      </w:r>
      <w:r w:rsidR="002A25B5" w:rsidRPr="00F0254C">
        <w:rPr>
          <w:rFonts w:ascii="Segoe UI" w:hAnsi="Segoe UI" w:cs="Segoe UI"/>
          <w:i/>
          <w:iCs/>
        </w:rPr>
        <w:t>NPHP1</w:t>
      </w:r>
      <w:r w:rsidR="002A25B5" w:rsidRPr="00F0254C">
        <w:rPr>
          <w:rFonts w:ascii="Segoe UI" w:hAnsi="Segoe UI" w:cs="Segoe UI"/>
        </w:rPr>
        <w:t xml:space="preserve"> </w:t>
      </w:r>
      <w:r w:rsidR="00404A2E" w:rsidRPr="00F0254C">
        <w:rPr>
          <w:rFonts w:ascii="Segoe UI" w:hAnsi="Segoe UI" w:cs="Segoe UI"/>
        </w:rPr>
        <w:t xml:space="preserve">gene </w:t>
      </w:r>
      <w:r w:rsidR="002A25B5" w:rsidRPr="00F0254C">
        <w:rPr>
          <w:rFonts w:ascii="Segoe UI" w:hAnsi="Segoe UI" w:cs="Segoe UI"/>
        </w:rPr>
        <w:t>locus</w:t>
      </w:r>
      <w:r w:rsidR="00404A2E" w:rsidRPr="00F0254C">
        <w:rPr>
          <w:rFonts w:ascii="Segoe UI" w:hAnsi="Segoe UI" w:cs="Segoe UI"/>
        </w:rPr>
        <w:t xml:space="preserve"> (defined using NCBI GRCh38/hg38 (chr2:110,123,335-110,205,062)</w:t>
      </w:r>
      <w:r w:rsidR="008245B8" w:rsidRPr="00F0254C">
        <w:rPr>
          <w:rFonts w:ascii="Segoe UI" w:hAnsi="Segoe UI" w:cs="Segoe UI"/>
        </w:rPr>
        <w:t>)</w:t>
      </w:r>
      <w:r w:rsidR="00C23AA9" w:rsidRPr="00F0254C">
        <w:rPr>
          <w:rFonts w:ascii="Segoe UI" w:hAnsi="Segoe UI" w:cs="Segoe UI"/>
        </w:rPr>
        <w:t xml:space="preserve"> w</w:t>
      </w:r>
      <w:r w:rsidR="008245B8" w:rsidRPr="00F0254C">
        <w:rPr>
          <w:rFonts w:ascii="Segoe UI" w:hAnsi="Segoe UI" w:cs="Segoe UI"/>
        </w:rPr>
        <w:t>as</w:t>
      </w:r>
      <w:r w:rsidR="00C23AA9" w:rsidRPr="00F0254C">
        <w:rPr>
          <w:rFonts w:ascii="Segoe UI" w:hAnsi="Segoe UI" w:cs="Segoe UI"/>
        </w:rPr>
        <w:t xml:space="preserve"> selected using </w:t>
      </w:r>
      <w:r w:rsidR="00404A2E" w:rsidRPr="00F0254C">
        <w:rPr>
          <w:rFonts w:ascii="Segoe UI" w:hAnsi="Segoe UI" w:cs="Segoe UI"/>
        </w:rPr>
        <w:t>bcftools 1.6</w:t>
      </w:r>
      <w:r w:rsidR="0015373F" w:rsidRPr="00F0254C">
        <w:rPr>
          <w:rFonts w:ascii="Segoe UI" w:hAnsi="Segoe UI" w:cs="Segoe UI"/>
        </w:rPr>
        <w:t>.</w:t>
      </w:r>
      <w:r w:rsidR="0015373F" w:rsidRPr="00F0254C">
        <w:rPr>
          <w:rFonts w:ascii="Segoe UI" w:hAnsi="Segoe UI" w:cs="Segoe UI"/>
        </w:rPr>
        <w:fldChar w:fldCharType="begin" w:fldLock="1"/>
      </w:r>
      <w:r w:rsidR="00C275EA">
        <w:rPr>
          <w:rFonts w:ascii="Segoe UI" w:hAnsi="Segoe UI" w:cs="Segoe UI"/>
        </w:rPr>
        <w:instrText>ADDIN CSL_CITATION {"citationItems":[{"id":"ITEM-1","itemData":{"DOI":"10.1093/bioinformatics/btr509","ISSN":"13674803","PMID":"21903627","abstract":"Motivation: Most existing methods for DNA sequence analysis rely on accurate sequences or genotypes. However, in applications of the next-generation sequencing (NGS), accurate genotypes may not be easily obtained (e.g. multi-sample low-coverage sequencing or somatic mutation discovery). These applications press for the development of new methods for analyzing sequence data with uncertainty. Results: We present a statistical framework for calling SNPs, discovering somatic mutations, inferring population genetical parameters and performing association tests directly based on sequencing data without explicit genotyping or linkage-based imputation. On real data, we demonstrate that our method achieves comparable accuracy to alternative methods for estimating site allele count, for inferring allele frequency spectrum and for association mapping. We also highlight the necessity of using symmetric datasets for finding somatic mutations and confirm that for discovering rare events, mismapping is frequently the leading source of errors. Availability: http://samtools.sourceforge.net. Contact: hengli@broadinstitute.org.","author":[{"dropping-particle":"","family":"Li","given":"Heng","non-dropping-particle":"","parse-names":false,"suffix":""}],"container-title":"Bioinformatics","id":"ITEM-1","issue":"21","issued":{"date-parts":[["2011","11","1"]]},"page":"2987-2993","publisher":"Oxford University Press","title":"A statistical framework for SNP calling, mutation discovery, association mapping and population genetical parameter estimation from sequencing data","type":"article-journal","volume":"27"},"uris":["http://www.mendeley.com/documents/?uuid=78cdd718-f27f-3baa-9b60-681f3417ee36"]},{"id":"ITEM-2","itemData":{"URL":"https://www.ncbi.nlm.nih.gov/gene/4867","accessed":{"date-parts":[["2021","6","16"]]},"id":"ITEM-2","issued":{"date-parts":[["0"]]},"title":"NPHP1 nephrocystin 1 [Homo sapiens (human)] - Gene - NCBI","type":"webpage"},"uris":["http://www.mendeley.com/documents/?uuid=00863a06-f3a7-397c-865b-70d407321fad"]}],"mendeley":{"formattedCitation":"&lt;span style=\"baseline\"&gt;[31,32]&lt;/span&gt;","plainTextFormattedCitation":"[31,32]","previouslyFormattedCitation":"&lt;span style=\"baseline\"&gt;[31,32]&lt;/span&gt;"},"properties":{"noteIndex":0},"schema":"https://github.com/citation-style-language/schema/raw/master/csl-citation.json"}</w:instrText>
      </w:r>
      <w:r w:rsidR="0015373F" w:rsidRPr="00F0254C">
        <w:rPr>
          <w:rFonts w:ascii="Segoe UI" w:hAnsi="Segoe UI" w:cs="Segoe UI"/>
        </w:rPr>
        <w:fldChar w:fldCharType="separate"/>
      </w:r>
      <w:r w:rsidR="00621F24" w:rsidRPr="00621F24">
        <w:rPr>
          <w:rFonts w:ascii="Segoe UI" w:hAnsi="Segoe UI" w:cs="Segoe UI"/>
          <w:noProof/>
        </w:rPr>
        <w:t>[31,32]</w:t>
      </w:r>
      <w:r w:rsidR="0015373F" w:rsidRPr="00F0254C">
        <w:rPr>
          <w:rFonts w:ascii="Segoe UI" w:hAnsi="Segoe UI" w:cs="Segoe UI"/>
        </w:rPr>
        <w:fldChar w:fldCharType="end"/>
      </w:r>
      <w:r w:rsidR="004F479B" w:rsidRPr="00F0254C">
        <w:rPr>
          <w:rFonts w:ascii="Segoe UI" w:hAnsi="Segoe UI" w:cs="Segoe UI"/>
          <w:color w:val="FF0000"/>
        </w:rPr>
        <w:t xml:space="preserve"> </w:t>
      </w:r>
    </w:p>
    <w:p w14:paraId="614D8360" w14:textId="1EDF320F" w:rsidR="00624126" w:rsidRPr="00F0254C" w:rsidRDefault="002E3E15" w:rsidP="00621F24">
      <w:pPr>
        <w:spacing w:line="480" w:lineRule="auto"/>
        <w:rPr>
          <w:rFonts w:ascii="Segoe UI" w:hAnsi="Segoe UI" w:cs="Segoe UI"/>
        </w:rPr>
      </w:pPr>
      <w:r w:rsidRPr="00F0254C">
        <w:rPr>
          <w:rFonts w:ascii="Segoe UI" w:hAnsi="Segoe UI" w:cs="Segoe UI"/>
        </w:rPr>
        <w:t xml:space="preserve">Variants </w:t>
      </w:r>
      <w:r w:rsidR="00404A2E" w:rsidRPr="00F0254C">
        <w:rPr>
          <w:rFonts w:ascii="Segoe UI" w:hAnsi="Segoe UI" w:cs="Segoe UI"/>
        </w:rPr>
        <w:t>meeting minimum quality standards (</w:t>
      </w:r>
      <w:r w:rsidRPr="00F0254C">
        <w:rPr>
          <w:rFonts w:ascii="Segoe UI" w:hAnsi="Segoe UI" w:cs="Segoe UI"/>
        </w:rPr>
        <w:t xml:space="preserve">GQ </w:t>
      </w:r>
      <w:r w:rsidR="00404A2E" w:rsidRPr="00F0254C">
        <w:rPr>
          <w:rFonts w:ascii="Segoe UI" w:hAnsi="Segoe UI" w:cs="Segoe UI"/>
        </w:rPr>
        <w:t xml:space="preserve">&gt; </w:t>
      </w:r>
      <w:r w:rsidR="005D4770" w:rsidRPr="00F0254C">
        <w:rPr>
          <w:rFonts w:ascii="Segoe UI" w:hAnsi="Segoe UI" w:cs="Segoe UI"/>
        </w:rPr>
        <w:t xml:space="preserve">20, mean GQ of &gt;35, DP </w:t>
      </w:r>
      <w:r w:rsidR="00404A2E" w:rsidRPr="00F0254C">
        <w:rPr>
          <w:rFonts w:ascii="Segoe UI" w:hAnsi="Segoe UI" w:cs="Segoe UI"/>
        </w:rPr>
        <w:t>&gt;</w:t>
      </w:r>
      <w:r w:rsidRPr="00F0254C">
        <w:rPr>
          <w:rFonts w:ascii="Segoe UI" w:hAnsi="Segoe UI" w:cs="Segoe UI"/>
        </w:rPr>
        <w:t>10 and maximum missing</w:t>
      </w:r>
      <w:r w:rsidR="004F479B" w:rsidRPr="00F0254C">
        <w:rPr>
          <w:rFonts w:ascii="Segoe UI" w:hAnsi="Segoe UI" w:cs="Segoe UI"/>
        </w:rPr>
        <w:t xml:space="preserve">ness of </w:t>
      </w:r>
      <w:r w:rsidR="002512BA" w:rsidRPr="00F0254C">
        <w:rPr>
          <w:rFonts w:ascii="Segoe UI" w:hAnsi="Segoe UI" w:cs="Segoe UI"/>
        </w:rPr>
        <w:t>70</w:t>
      </w:r>
      <w:r w:rsidR="004F479B" w:rsidRPr="00F0254C">
        <w:rPr>
          <w:rFonts w:ascii="Segoe UI" w:hAnsi="Segoe UI" w:cs="Segoe UI"/>
        </w:rPr>
        <w:t>%</w:t>
      </w:r>
      <w:r w:rsidR="00404A2E" w:rsidRPr="00F0254C">
        <w:rPr>
          <w:rFonts w:ascii="Segoe UI" w:hAnsi="Segoe UI" w:cs="Segoe UI"/>
        </w:rPr>
        <w:t>)</w:t>
      </w:r>
      <w:r w:rsidR="004F479B" w:rsidRPr="00F0254C">
        <w:rPr>
          <w:rFonts w:ascii="Segoe UI" w:hAnsi="Segoe UI" w:cs="Segoe UI"/>
        </w:rPr>
        <w:t xml:space="preserve"> </w:t>
      </w:r>
      <w:r w:rsidR="00404A2E" w:rsidRPr="00F0254C">
        <w:rPr>
          <w:rFonts w:ascii="Segoe UI" w:hAnsi="Segoe UI" w:cs="Segoe UI"/>
        </w:rPr>
        <w:t>were identified using</w:t>
      </w:r>
      <w:r w:rsidR="004F479B" w:rsidRPr="00F0254C">
        <w:rPr>
          <w:rFonts w:ascii="Segoe UI" w:hAnsi="Segoe UI" w:cs="Segoe UI"/>
        </w:rPr>
        <w:t xml:space="preserve"> vcftools 0.1.16</w:t>
      </w:r>
      <w:r w:rsidR="00404A2E" w:rsidRPr="00F0254C">
        <w:rPr>
          <w:rFonts w:ascii="Segoe UI" w:hAnsi="Segoe UI" w:cs="Segoe UI"/>
        </w:rPr>
        <w:t xml:space="preserve"> and retained for downstream analysis</w:t>
      </w:r>
      <w:r w:rsidR="002E7336">
        <w:rPr>
          <w:rFonts w:ascii="Segoe UI" w:hAnsi="Segoe UI" w:cs="Segoe UI"/>
        </w:rPr>
        <w:t xml:space="preserve"> (n=12,780)</w:t>
      </w:r>
      <w:r w:rsidRPr="00F0254C">
        <w:rPr>
          <w:rFonts w:ascii="Segoe UI" w:hAnsi="Segoe UI" w:cs="Segoe UI"/>
        </w:rPr>
        <w:t>.</w:t>
      </w:r>
      <w:r w:rsidRPr="00F0254C">
        <w:rPr>
          <w:rFonts w:ascii="Segoe UI" w:hAnsi="Segoe UI" w:cs="Segoe UI"/>
        </w:rPr>
        <w:fldChar w:fldCharType="begin" w:fldLock="1"/>
      </w:r>
      <w:r w:rsidR="00C275EA">
        <w:rPr>
          <w:rFonts w:ascii="Segoe UI" w:hAnsi="Segoe UI" w:cs="Segoe UI"/>
        </w:rPr>
        <w:instrText>ADDIN CSL_CITATION {"citationItems":[{"id":"ITEM-1","itemData":{"DOI":"10.1093/bioinformatics/btr330","ISSN":"1367-4803","author":[{"dropping-particle":"","family":"Danecek","given":"P.","non-dropping-particle":"","parse-names":false,"suffix":""},{"dropping-particle":"","family":"Auton","given":"A.","non-dropping-particle":"","parse-names":false,"suffix":""},{"dropping-particle":"","family":"Abecasis","given":"G.","non-dropping-particle":"","parse-names":false,"suffix":""},{"dropping-particle":"","family":"Albers","given":"C. A.","non-dropping-particle":"","parse-names":false,"suffix":""},{"dropping-particle":"","family":"Banks","given":"E.","non-dropping-particle":"","parse-names":false,"suffix":""},{"dropping-particle":"","family":"DePristo","given":"M. A.","non-dropping-particle":"","parse-names":false,"suffix":""},{"dropping-particle":"","family":"Handsaker","given":"R. E.","non-dropping-particle":"","parse-names":false,"suffix":""},{"dropping-particle":"","family":"Lunter","given":"G.","non-dropping-particle":"","parse-names":false,"suffix":""},{"dropping-particle":"","family":"Marth","given":"G. T.","non-dropping-particle":"","parse-names":false,"suffix":""},{"dropping-particle":"","family":"Sherry","given":"S. T.","non-dropping-particle":"","parse-names":false,"suffix":""},{"dropping-particle":"","family":"McVean","given":"G.","non-dropping-particle":"","parse-names":false,"suffix":""},{"dropping-particle":"","family":"Durbin","given":"R.","non-dropping-particle":"","parse-names":false,"suffix":""}],"container-title":"Bioinformatics","id":"ITEM-1","issue":"15","issued":{"date-parts":[["2011","8","1"]]},"page":"2156-2158","publisher":"Narnia","title":"The variant call format and VCFtools","type":"article-journal","volume":"27"},"uris":["http://www.mendeley.com/documents/?uuid=b95a6c7f-4424-373e-a60d-1687af8ad582"]}],"mendeley":{"formattedCitation":"&lt;span style=\"baseline\"&gt;[33]&lt;/span&gt;","plainTextFormattedCitation":"[33]","previouslyFormattedCitation":"&lt;span style=\"baseline\"&gt;[33]&lt;/span&gt;"},"properties":{"noteIndex":0},"schema":"https://github.com/citation-style-language/schema/raw/master/csl-citation.json"}</w:instrText>
      </w:r>
      <w:r w:rsidRPr="00F0254C">
        <w:rPr>
          <w:rFonts w:ascii="Segoe UI" w:hAnsi="Segoe UI" w:cs="Segoe UI"/>
        </w:rPr>
        <w:fldChar w:fldCharType="separate"/>
      </w:r>
      <w:r w:rsidR="00621F24" w:rsidRPr="00621F24">
        <w:rPr>
          <w:rFonts w:ascii="Segoe UI" w:hAnsi="Segoe UI" w:cs="Segoe UI"/>
          <w:noProof/>
        </w:rPr>
        <w:t>[33]</w:t>
      </w:r>
      <w:r w:rsidRPr="00F0254C">
        <w:rPr>
          <w:rFonts w:ascii="Segoe UI" w:hAnsi="Segoe UI" w:cs="Segoe UI"/>
        </w:rPr>
        <w:fldChar w:fldCharType="end"/>
      </w:r>
    </w:p>
    <w:p w14:paraId="6B49EE02" w14:textId="77777777" w:rsidR="0050216B" w:rsidRPr="00F0254C" w:rsidRDefault="0050216B" w:rsidP="00CD246B">
      <w:pPr>
        <w:pStyle w:val="Heading2"/>
      </w:pPr>
      <w:r w:rsidRPr="00F0254C">
        <w:t>GenePy</w:t>
      </w:r>
    </w:p>
    <w:p w14:paraId="434524C1" w14:textId="64B8E880" w:rsidR="001547F3" w:rsidRPr="00F0254C" w:rsidRDefault="00FA6092" w:rsidP="00621F24">
      <w:pPr>
        <w:spacing w:line="480" w:lineRule="auto"/>
        <w:rPr>
          <w:rFonts w:ascii="Segoe UI" w:hAnsi="Segoe UI" w:cs="Segoe UI"/>
        </w:rPr>
      </w:pPr>
      <w:r w:rsidRPr="00F0254C">
        <w:rPr>
          <w:rFonts w:ascii="Segoe UI" w:hAnsi="Segoe UI" w:cs="Segoe UI"/>
        </w:rPr>
        <w:t>In order to generate whole gene pathogenicity scores</w:t>
      </w:r>
      <w:r w:rsidR="001B7943" w:rsidRPr="00F0254C">
        <w:rPr>
          <w:rFonts w:ascii="Segoe UI" w:hAnsi="Segoe UI" w:cs="Segoe UI"/>
        </w:rPr>
        <w:t>,</w:t>
      </w:r>
      <w:r w:rsidRPr="00F0254C">
        <w:rPr>
          <w:rFonts w:ascii="Segoe UI" w:hAnsi="Segoe UI" w:cs="Segoe UI"/>
        </w:rPr>
        <w:t xml:space="preserve"> we applied the GenePy algorithm</w:t>
      </w:r>
      <w:r w:rsidR="000F5FCF" w:rsidRPr="00F0254C">
        <w:rPr>
          <w:rFonts w:ascii="Segoe UI" w:hAnsi="Segoe UI" w:cs="Segoe UI"/>
        </w:rPr>
        <w:t xml:space="preserve"> v.1.3</w:t>
      </w:r>
      <w:r w:rsidRPr="00F0254C">
        <w:rPr>
          <w:rFonts w:ascii="Segoe UI" w:hAnsi="Segoe UI" w:cs="Segoe UI"/>
        </w:rPr>
        <w:t xml:space="preserve"> for both coding and non-coding variants</w:t>
      </w:r>
      <w:r w:rsidR="000F5FCF" w:rsidRPr="00F0254C">
        <w:rPr>
          <w:rFonts w:ascii="Segoe UI" w:hAnsi="Segoe UI" w:cs="Segoe UI"/>
        </w:rPr>
        <w:t>.</w:t>
      </w:r>
      <w:r w:rsidR="000F5FCF" w:rsidRPr="00F0254C">
        <w:rPr>
          <w:rFonts w:ascii="Segoe UI" w:hAnsi="Segoe UI" w:cs="Segoe UI"/>
        </w:rPr>
        <w:fldChar w:fldCharType="begin" w:fldLock="1"/>
      </w:r>
      <w:r w:rsidR="00C275EA">
        <w:rPr>
          <w:rFonts w:ascii="Segoe UI" w:hAnsi="Segoe UI" w:cs="Segoe UI"/>
        </w:rPr>
        <w:instrText>ADDIN CSL_CITATION {"citationItems":[{"id":"ITEM-1","itemData":{"DOI":"10.1186/s12859-019-2877-3","ISSN":"1471-2105","abstract":"Next-generation sequencing is revolutionising diagnosis and treatment of rare diseases, however its application to understanding common disease aetiology is limited. Rare disease applications binarily attribute genetic change(s) at a single locus to a specific phenotype. In common diseases, where multiple genetic variants within and across genes contribute to disease, binary modelling cannot capture the burden of pathogenicity harboured by an individual across a given gene/pathway. We present GenePy, a novel gene-level scoring system for integration and analysis of next-generation sequencing data on a per-individual basis that transforms NGS data interpretation from variant-level to gene-level. This simple and flexible scoring system is intuitive and amenable to integration for machine learning, network and topological approaches, facilitating the investigation of complex phenotypes. Whole-exome sequencing data from 508 individuals were used to generate GenePy scores. For each variant a score is calculated incorporating: i) population allele frequency estimates; ii) individual zygosity, determined through standard variant calling pipelines and; iii) any user defined deleteriousness metric to inform on functional impact. GenePy then combines scores generated for all variants observed into a single gene score for each individual. We generated a matrix of ~ 14,000 GenePy scores for all individuals for each of sixteen popular deleteriousness metrics. All per-gene scores are corrected for gene length. The majority of genes generate GenePy scores &lt; 0.01 although individuals harbouring multiple rare highly deleterious mutations can accumulate extremely high GenePy scores. In the absence of a comparator metric, we examine GenePy performance in discriminating genes known to be associated with three common, complex diseases. A Mann-Whitney U test conducted on GenePy scores for this positive control gene in cases versus controls demonstrates markedly more significant results (p = 1.37 × 10− 4) compared to the most commonly applied association tool that combines common and rare variation (p = 0.003). Per-gene per-individual GenePy scores are intuitive when assessing genetic variation in individual patients or comparing scores between groups. GenePy outperforms the currently accepted best practice tools for combining common and rare variation. GenePy scores are suitable for downstream data integration with transcriptomic and proteomic data that also report at the ge…","author":[{"dropping-particle":"","family":"Mossotto","given":"E","non-dropping-particle":"","parse-names":false,"suffix":""},{"dropping-particle":"","family":"Ashton","given":"J J","non-dropping-particle":"","parse-names":false,"suffix":""},{"dropping-particle":"","family":"O’Gorman","given":"L.","non-dropping-particle":"","parse-names":false,"suffix":""},{"dropping-particle":"","family":"Pengelly","given":"R J","non-dropping-particle":"","parse-names":false,"suffix":""},{"dropping-particle":"","family":"Beattie","given":"R M","non-dropping-particle":"","parse-names":false,"suffix":""},{"dropping-particle":"","family":"MacArthur","given":"B. D.","non-dropping-particle":"","parse-names":false,"suffix":""},{"dropping-particle":"","family":"Ennis","given":"S","non-dropping-particle":"","parse-names":false,"suffix":""}],"container-title":"BMC Bioinformatics","id":"ITEM-1","issue":"1","issued":{"date-parts":[["2019"]]},"page":"254","title":"GenePy - a score for estimating gene pathogenicity in individuals using next-generation sequencing data","type":"article-journal","volume":"20"},"uris":["http://www.mendeley.com/documents/?uuid=6d5a3f83-9187-3683-8dfb-b07289c2b86c"]},{"id":"ITEM-2","itemData":{"URL":"https://github.com/UoS-HGIG/GenePy-1.3","accessed":{"date-parts":[["2021","10","8"]]},"id":"ITEM-2","issued":{"date-parts":[["0"]]},"title":"GitHub - UoS-HGIG/GenePy-1.3: Latest GenePy version compatible with both GRCh38 and GRCh37(hg19)","type":"webpage"},"uris":["http://www.mendeley.com/documents/?uuid=37d33a60-c6c1-3b4d-972b-77daa9bc001e"]}],"mendeley":{"formattedCitation":"&lt;span style=\"baseline\"&gt;[24,34]&lt;/span&gt;","plainTextFormattedCitation":"[24,34]","previouslyFormattedCitation":"&lt;span style=\"baseline\"&gt;[24,34]&lt;/span&gt;"},"properties":{"noteIndex":0},"schema":"https://github.com/citation-style-language/schema/raw/master/csl-citation.json"}</w:instrText>
      </w:r>
      <w:r w:rsidR="000F5FCF" w:rsidRPr="00F0254C">
        <w:rPr>
          <w:rFonts w:ascii="Segoe UI" w:hAnsi="Segoe UI" w:cs="Segoe UI"/>
        </w:rPr>
        <w:fldChar w:fldCharType="separate"/>
      </w:r>
      <w:r w:rsidR="00621F24" w:rsidRPr="00621F24">
        <w:rPr>
          <w:rFonts w:ascii="Segoe UI" w:hAnsi="Segoe UI" w:cs="Segoe UI"/>
          <w:noProof/>
        </w:rPr>
        <w:t>[24,34]</w:t>
      </w:r>
      <w:r w:rsidR="000F5FCF" w:rsidRPr="00F0254C">
        <w:rPr>
          <w:rFonts w:ascii="Segoe UI" w:hAnsi="Segoe UI" w:cs="Segoe UI"/>
        </w:rPr>
        <w:fldChar w:fldCharType="end"/>
      </w:r>
      <w:r w:rsidR="00443FE4" w:rsidRPr="00F0254C">
        <w:rPr>
          <w:rFonts w:ascii="Segoe UI" w:hAnsi="Segoe UI" w:cs="Segoe UI"/>
        </w:rPr>
        <w:t xml:space="preserve"> The GenePy score (S) for a given gene (g) and individual (h)</w:t>
      </w:r>
      <w:r w:rsidR="003C7821" w:rsidRPr="00F0254C">
        <w:rPr>
          <w:rFonts w:ascii="Segoe UI" w:hAnsi="Segoe UI" w:cs="Segoe UI"/>
        </w:rPr>
        <w:t xml:space="preserve"> is the sum of the effect of all variants (k) where each biallelic variant locus (i) in a gene is weighted according to its predicted deleteriousness (using CADD(Di), zygosity and </w:t>
      </w:r>
      <w:r w:rsidR="005468BD" w:rsidRPr="00F0254C">
        <w:rPr>
          <w:rFonts w:ascii="Segoe UI" w:hAnsi="Segoe UI" w:cs="Segoe UI"/>
        </w:rPr>
        <w:t xml:space="preserve">global </w:t>
      </w:r>
      <w:r w:rsidR="003C7821" w:rsidRPr="00F0254C">
        <w:rPr>
          <w:rFonts w:ascii="Segoe UI" w:hAnsi="Segoe UI" w:cs="Segoe UI"/>
        </w:rPr>
        <w:t>allele frequency (gnomAD v3.0)</w:t>
      </w:r>
      <w:r w:rsidR="008245B8" w:rsidRPr="00F0254C">
        <w:rPr>
          <w:rFonts w:ascii="Segoe UI" w:hAnsi="Segoe UI" w:cs="Segoe UI"/>
        </w:rPr>
        <w:t>)</w:t>
      </w:r>
      <w:r w:rsidR="003C7821" w:rsidRPr="00F0254C">
        <w:rPr>
          <w:rFonts w:ascii="Segoe UI" w:hAnsi="Segoe UI" w:cs="Segoe UI"/>
        </w:rPr>
        <w:t xml:space="preserve"> (f)</w:t>
      </w:r>
      <w:r w:rsidR="005468BD" w:rsidRPr="00F0254C">
        <w:rPr>
          <w:rFonts w:ascii="Segoe UI" w:hAnsi="Segoe UI" w:cs="Segoe UI"/>
        </w:rPr>
        <w:t>.</w:t>
      </w:r>
    </w:p>
    <w:p w14:paraId="7DFD725C" w14:textId="6B830DE8" w:rsidR="00233019" w:rsidRPr="00F0254C" w:rsidRDefault="00443FE4" w:rsidP="007043C2">
      <w:pPr>
        <w:pStyle w:val="CommentText"/>
        <w:spacing w:line="480" w:lineRule="auto"/>
        <w:jc w:val="center"/>
        <w:rPr>
          <w:rFonts w:ascii="Segoe UI" w:hAnsi="Segoe UI" w:cs="Segoe UI"/>
          <w:color w:val="FF0000"/>
        </w:rPr>
      </w:pPr>
      <w:r w:rsidRPr="00F0254C">
        <w:rPr>
          <w:rFonts w:ascii="Segoe UI" w:hAnsi="Segoe UI" w:cs="Segoe UI"/>
          <w:noProof/>
          <w:color w:val="FF0000"/>
        </w:rPr>
        <w:drawing>
          <wp:inline distT="0" distB="0" distL="0" distR="0" wp14:anchorId="1DB96F2D" wp14:editId="427002D2">
            <wp:extent cx="4296375" cy="1724266"/>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eney_algorithm.png"/>
                    <pic:cNvPicPr/>
                  </pic:nvPicPr>
                  <pic:blipFill>
                    <a:blip r:embed="rId11">
                      <a:extLst>
                        <a:ext uri="{28A0092B-C50C-407E-A947-70E740481C1C}">
                          <a14:useLocalDpi xmlns:a14="http://schemas.microsoft.com/office/drawing/2010/main" val="0"/>
                        </a:ext>
                      </a:extLst>
                    </a:blip>
                    <a:stretch>
                      <a:fillRect/>
                    </a:stretch>
                  </pic:blipFill>
                  <pic:spPr>
                    <a:xfrm>
                      <a:off x="0" y="0"/>
                      <a:ext cx="4296375" cy="1724266"/>
                    </a:xfrm>
                    <a:prstGeom prst="rect">
                      <a:avLst/>
                    </a:prstGeom>
                  </pic:spPr>
                </pic:pic>
              </a:graphicData>
            </a:graphic>
          </wp:inline>
        </w:drawing>
      </w:r>
    </w:p>
    <w:p w14:paraId="1E44A7C5" w14:textId="310FEF54" w:rsidR="00960F34" w:rsidRPr="00F0254C" w:rsidRDefault="00D35555" w:rsidP="00621F24">
      <w:pPr>
        <w:spacing w:line="480" w:lineRule="auto"/>
        <w:rPr>
          <w:rFonts w:ascii="Segoe UI" w:hAnsi="Segoe UI" w:cs="Segoe UI"/>
        </w:rPr>
      </w:pPr>
      <w:r w:rsidRPr="00F0254C">
        <w:rPr>
          <w:rFonts w:ascii="Segoe UI" w:hAnsi="Segoe UI" w:cs="Segoe UI"/>
        </w:rPr>
        <w:t>The VCF was then annotated using ANNOVAR 1.0 for gnom</w:t>
      </w:r>
      <w:r w:rsidR="008245B8" w:rsidRPr="00F0254C">
        <w:rPr>
          <w:rFonts w:ascii="Segoe UI" w:hAnsi="Segoe UI" w:cs="Segoe UI"/>
        </w:rPr>
        <w:t>AD</w:t>
      </w:r>
      <w:r w:rsidRPr="00F0254C">
        <w:rPr>
          <w:rFonts w:ascii="Segoe UI" w:hAnsi="Segoe UI" w:cs="Segoe UI"/>
        </w:rPr>
        <w:t>_</w:t>
      </w:r>
      <w:r w:rsidR="00AE797B" w:rsidRPr="00F0254C">
        <w:rPr>
          <w:rFonts w:ascii="Segoe UI" w:hAnsi="Segoe UI" w:cs="Segoe UI"/>
        </w:rPr>
        <w:t>version</w:t>
      </w:r>
      <w:r w:rsidRPr="00F0254C">
        <w:rPr>
          <w:rFonts w:ascii="Segoe UI" w:hAnsi="Segoe UI" w:cs="Segoe UI"/>
        </w:rPr>
        <w:t xml:space="preserve"> 3.0 allele frequency data </w:t>
      </w:r>
      <w:r w:rsidR="00443FE4" w:rsidRPr="00F0254C">
        <w:rPr>
          <w:rFonts w:ascii="Segoe UI" w:hAnsi="Segoe UI" w:cs="Segoe UI"/>
        </w:rPr>
        <w:t xml:space="preserve">(f) </w:t>
      </w:r>
      <w:r w:rsidRPr="00F0254C">
        <w:rPr>
          <w:rFonts w:ascii="Segoe UI" w:hAnsi="Segoe UI" w:cs="Segoe UI"/>
        </w:rPr>
        <w:t xml:space="preserve">and </w:t>
      </w:r>
      <w:r w:rsidR="001B7943" w:rsidRPr="00F0254C">
        <w:rPr>
          <w:rFonts w:ascii="Segoe UI" w:hAnsi="Segoe UI" w:cs="Segoe UI"/>
        </w:rPr>
        <w:t xml:space="preserve">the </w:t>
      </w:r>
      <w:r w:rsidRPr="00F0254C">
        <w:rPr>
          <w:rFonts w:ascii="Segoe UI" w:hAnsi="Segoe UI" w:cs="Segoe UI"/>
        </w:rPr>
        <w:t>RefGene database of genes.</w:t>
      </w:r>
      <w:r w:rsidRPr="00F0254C">
        <w:rPr>
          <w:rFonts w:ascii="Segoe UI" w:hAnsi="Segoe UI" w:cs="Segoe UI"/>
        </w:rPr>
        <w:fldChar w:fldCharType="begin" w:fldLock="1"/>
      </w:r>
      <w:r w:rsidR="00C275EA">
        <w:rPr>
          <w:rFonts w:ascii="Segoe UI" w:hAnsi="Segoe UI" w:cs="Segoe UI"/>
        </w:rPr>
        <w:instrText>ADDIN CSL_CITATION {"citationItems":[{"id":"ITEM-1","itemData":{"DOI":"10.1093/nar/gkq603","ISSN":"0305-1048","author":[{"dropping-particle":"","family":"Wang","given":"K.","non-dropping-particle":"","parse-names":false,"suffix":""},{"dropping-particle":"","family":"Li","given":"M.","non-dropping-particle":"","parse-names":false,"suffix":""},{"dropping-particle":"","family":"Hakonarson","given":"H.","non-dropping-particle":"","parse-names":false,"suffix":""}],"container-title":"Nucleic Acids Research","id":"ITEM-1","issue":"16","issued":{"date-parts":[["2010","9","1"]]},"page":"e164-e164","publisher":"Narnia","title":"ANNOVAR: functional annotation of genetic variants from high-throughput sequencing data","type":"article-journal","volume":"38"},"uris":["http://www.mendeley.com/documents/?uuid=652df024-9c31-38b7-89c6-28ef0ebfe3c0"]}],"mendeley":{"formattedCitation":"&lt;span style=\"baseline\"&gt;[35]&lt;/span&gt;","plainTextFormattedCitation":"[35]","previouslyFormattedCitation":"&lt;span style=\"baseline\"&gt;[35]&lt;/span&gt;"},"properties":{"noteIndex":0},"schema":"https://github.com/citation-style-language/schema/raw/master/csl-citation.json"}</w:instrText>
      </w:r>
      <w:r w:rsidRPr="00F0254C">
        <w:rPr>
          <w:rFonts w:ascii="Segoe UI" w:hAnsi="Segoe UI" w:cs="Segoe UI"/>
        </w:rPr>
        <w:fldChar w:fldCharType="separate"/>
      </w:r>
      <w:r w:rsidR="00621F24" w:rsidRPr="00621F24">
        <w:rPr>
          <w:rFonts w:ascii="Segoe UI" w:hAnsi="Segoe UI" w:cs="Segoe UI"/>
          <w:noProof/>
        </w:rPr>
        <w:t>[35]</w:t>
      </w:r>
      <w:r w:rsidRPr="00F0254C">
        <w:rPr>
          <w:rFonts w:ascii="Segoe UI" w:hAnsi="Segoe UI" w:cs="Segoe UI"/>
        </w:rPr>
        <w:fldChar w:fldCharType="end"/>
      </w:r>
      <w:r w:rsidRPr="00F0254C">
        <w:rPr>
          <w:rFonts w:ascii="Segoe UI" w:hAnsi="Segoe UI" w:cs="Segoe UI"/>
        </w:rPr>
        <w:t xml:space="preserve"> Combined Annotation Dependent Depletion (CADD) v1</w:t>
      </w:r>
      <w:r w:rsidR="00443FE4" w:rsidRPr="00F0254C">
        <w:rPr>
          <w:rFonts w:ascii="Segoe UI" w:hAnsi="Segoe UI" w:cs="Segoe UI"/>
        </w:rPr>
        <w:t xml:space="preserve">.6 was used to annotate for </w:t>
      </w:r>
      <w:r w:rsidRPr="00F0254C">
        <w:rPr>
          <w:rFonts w:ascii="Segoe UI" w:hAnsi="Segoe UI" w:cs="Segoe UI"/>
        </w:rPr>
        <w:t>deleteriousness</w:t>
      </w:r>
      <w:r w:rsidR="00443FE4" w:rsidRPr="00F0254C">
        <w:rPr>
          <w:rFonts w:ascii="Segoe UI" w:hAnsi="Segoe UI" w:cs="Segoe UI"/>
        </w:rPr>
        <w:t xml:space="preserve"> (D)</w:t>
      </w:r>
      <w:r w:rsidRPr="00F0254C">
        <w:rPr>
          <w:rFonts w:ascii="Segoe UI" w:hAnsi="Segoe UI" w:cs="Segoe UI"/>
        </w:rPr>
        <w:t>.</w:t>
      </w:r>
      <w:r w:rsidRPr="00F0254C">
        <w:rPr>
          <w:rFonts w:ascii="Segoe UI" w:hAnsi="Segoe UI" w:cs="Segoe UI"/>
        </w:rPr>
        <w:fldChar w:fldCharType="begin" w:fldLock="1"/>
      </w:r>
      <w:r w:rsidR="00C275EA">
        <w:rPr>
          <w:rFonts w:ascii="Segoe UI" w:hAnsi="Segoe UI" w:cs="Segoe UI"/>
        </w:rPr>
        <w:instrText>ADDIN CSL_CITATION {"citationItems":[{"id":"ITEM-1","itemData":{"DOI":"10.1093/nar/gky1016","ISSN":"0305-1048","author":[{"dropping-particle":"","family":"Rentzsch","given":"Philipp","non-dropping-particle":"","parse-names":false,"suffix":""},{"dropping-particle":"","family":"Witten","given":"Daniela","non-dropping-particle":"","parse-names":false,"suffix":""},{"dropping-particle":"","family":"Cooper","given":"Gregory M","non-dropping-particle":"","parse-names":false,"suffix":""},{"dropping-particle":"","family":"Shendure","given":"Jay","non-dropping-particle":"","parse-names":false,"suffix":""},{"dropping-particle":"","family":"Kircher","given":"Martin","non-dropping-particle":"","parse-names":false,"suffix":""}],"container-title":"Nucleic Acids Research","id":"ITEM-1","issue":"D1","issued":{"date-parts":[["2019","1","8"]]},"page":"D886-D894","publisher":"Narnia","title":"CADD: predicting the deleteriousness of variants throughout the human genome","type":"article-journal","volume":"47"},"uris":["http://www.mendeley.com/documents/?uuid=9de464a7-183f-3e75-bff2-34a303798716"]}],"mendeley":{"formattedCitation":"&lt;span style=\"baseline\"&gt;[36]&lt;/span&gt;","plainTextFormattedCitation":"[36]","previouslyFormattedCitation":"&lt;span style=\"baseline\"&gt;[36]&lt;/span&gt;"},"properties":{"noteIndex":0},"schema":"https://github.com/citation-style-language/schema/raw/master/csl-citation.json"}</w:instrText>
      </w:r>
      <w:r w:rsidRPr="00F0254C">
        <w:rPr>
          <w:rFonts w:ascii="Segoe UI" w:hAnsi="Segoe UI" w:cs="Segoe UI"/>
        </w:rPr>
        <w:fldChar w:fldCharType="separate"/>
      </w:r>
      <w:r w:rsidR="00621F24" w:rsidRPr="00621F24">
        <w:rPr>
          <w:rFonts w:ascii="Segoe UI" w:hAnsi="Segoe UI" w:cs="Segoe UI"/>
          <w:noProof/>
        </w:rPr>
        <w:t>[36]</w:t>
      </w:r>
      <w:r w:rsidRPr="00F0254C">
        <w:rPr>
          <w:rFonts w:ascii="Segoe UI" w:hAnsi="Segoe UI" w:cs="Segoe UI"/>
        </w:rPr>
        <w:fldChar w:fldCharType="end"/>
      </w:r>
      <w:r w:rsidR="00D05338" w:rsidRPr="00F0254C">
        <w:rPr>
          <w:rFonts w:ascii="Segoe UI" w:hAnsi="Segoe UI" w:cs="Segoe UI"/>
        </w:rPr>
        <w:t xml:space="preserve"> We limited variants to those </w:t>
      </w:r>
      <w:r w:rsidR="00D05338" w:rsidRPr="00F0254C">
        <w:rPr>
          <w:rFonts w:ascii="Segoe UI" w:hAnsi="Segoe UI" w:cs="Segoe UI"/>
        </w:rPr>
        <w:lastRenderedPageBreak/>
        <w:t>with CAD</w:t>
      </w:r>
      <w:r w:rsidR="00C76676" w:rsidRPr="00F0254C">
        <w:rPr>
          <w:rFonts w:ascii="Segoe UI" w:hAnsi="Segoe UI" w:cs="Segoe UI"/>
        </w:rPr>
        <w:t>D PHRED scores greater than 15</w:t>
      </w:r>
      <w:r w:rsidR="00C67EFE">
        <w:rPr>
          <w:rFonts w:ascii="Segoe UI" w:hAnsi="Segoe UI" w:cs="Segoe UI"/>
        </w:rPr>
        <w:t xml:space="preserve"> (n=214)</w:t>
      </w:r>
      <w:r w:rsidR="001B7943" w:rsidRPr="00F0254C">
        <w:rPr>
          <w:rFonts w:ascii="Segoe UI" w:hAnsi="Segoe UI" w:cs="Segoe UI"/>
        </w:rPr>
        <w:t xml:space="preserve">. </w:t>
      </w:r>
      <w:r w:rsidR="00AE797B" w:rsidRPr="00F0254C">
        <w:rPr>
          <w:rFonts w:ascii="Segoe UI" w:hAnsi="Segoe UI" w:cs="Segoe UI"/>
        </w:rPr>
        <w:t>This cut-off was chosen as it</w:t>
      </w:r>
      <w:r w:rsidR="005366F4" w:rsidRPr="00F0254C">
        <w:rPr>
          <w:rFonts w:ascii="Segoe UI" w:hAnsi="Segoe UI" w:cs="Segoe UI"/>
        </w:rPr>
        <w:t xml:space="preserve"> </w:t>
      </w:r>
      <w:r w:rsidR="00C76676" w:rsidRPr="00F0254C">
        <w:rPr>
          <w:rFonts w:ascii="Segoe UI" w:hAnsi="Segoe UI" w:cs="Segoe UI"/>
        </w:rPr>
        <w:t>represents the median value for all possible canonical splice site changes and non-</w:t>
      </w:r>
      <w:r w:rsidR="005423E3" w:rsidRPr="00F0254C">
        <w:rPr>
          <w:rFonts w:ascii="Segoe UI" w:hAnsi="Segoe UI" w:cs="Segoe UI"/>
        </w:rPr>
        <w:t>synonymous variants in CADD</w:t>
      </w:r>
      <w:r w:rsidR="00C76676" w:rsidRPr="00F0254C">
        <w:rPr>
          <w:rFonts w:ascii="Segoe UI" w:hAnsi="Segoe UI" w:cs="Segoe UI"/>
        </w:rPr>
        <w:t>.</w:t>
      </w:r>
    </w:p>
    <w:p w14:paraId="1798532A" w14:textId="27BC49AF" w:rsidR="00443FE4" w:rsidRPr="00F0254C" w:rsidRDefault="00443FE4" w:rsidP="007043C2">
      <w:pPr>
        <w:spacing w:line="480" w:lineRule="auto"/>
        <w:rPr>
          <w:rFonts w:ascii="Segoe UI" w:hAnsi="Segoe UI" w:cs="Segoe UI"/>
        </w:rPr>
      </w:pPr>
    </w:p>
    <w:p w14:paraId="35D33841" w14:textId="1C660883" w:rsidR="00A960AC" w:rsidRPr="00F0254C" w:rsidRDefault="00EF0225" w:rsidP="00CD246B">
      <w:pPr>
        <w:pStyle w:val="Heading2"/>
        <w:rPr>
          <w:lang w:eastAsia="en-US"/>
        </w:rPr>
      </w:pPr>
      <w:r w:rsidRPr="00F0254C">
        <w:rPr>
          <w:lang w:eastAsia="en-US"/>
        </w:rPr>
        <w:t>Copy Number Variation (CNV)</w:t>
      </w:r>
    </w:p>
    <w:p w14:paraId="203D519B" w14:textId="58875040" w:rsidR="006C130F" w:rsidRPr="00F0254C" w:rsidRDefault="007F7B56" w:rsidP="007043C2">
      <w:pPr>
        <w:spacing w:line="480" w:lineRule="auto"/>
        <w:rPr>
          <w:rFonts w:ascii="Segoe UI" w:hAnsi="Segoe UI" w:cs="Segoe UI"/>
        </w:rPr>
      </w:pPr>
      <w:r w:rsidRPr="00F0254C">
        <w:rPr>
          <w:rFonts w:ascii="Segoe UI" w:hAnsi="Segoe UI" w:cs="Segoe UI"/>
        </w:rPr>
        <w:t xml:space="preserve">The GenePy algorithm is streamlined </w:t>
      </w:r>
      <w:r w:rsidR="001B7943" w:rsidRPr="00F0254C">
        <w:rPr>
          <w:rFonts w:ascii="Segoe UI" w:hAnsi="Segoe UI" w:cs="Segoe UI"/>
        </w:rPr>
        <w:t>to include</w:t>
      </w:r>
      <w:r w:rsidR="00CE2CAC" w:rsidRPr="00F0254C">
        <w:rPr>
          <w:rFonts w:ascii="Segoe UI" w:hAnsi="Segoe UI" w:cs="Segoe UI"/>
        </w:rPr>
        <w:t xml:space="preserve"> i</w:t>
      </w:r>
      <w:r w:rsidR="00A960AC" w:rsidRPr="00F0254C">
        <w:rPr>
          <w:rFonts w:ascii="Segoe UI" w:hAnsi="Segoe UI" w:cs="Segoe UI"/>
        </w:rPr>
        <w:t xml:space="preserve">ndels and </w:t>
      </w:r>
      <w:r w:rsidRPr="00F0254C">
        <w:rPr>
          <w:rFonts w:ascii="Segoe UI" w:hAnsi="Segoe UI" w:cs="Segoe UI"/>
        </w:rPr>
        <w:t xml:space="preserve">SNVs represented in VCF files </w:t>
      </w:r>
      <w:r w:rsidR="00A960AC" w:rsidRPr="00F0254C">
        <w:rPr>
          <w:rFonts w:ascii="Segoe UI" w:hAnsi="Segoe UI" w:cs="Segoe UI"/>
        </w:rPr>
        <w:t>but</w:t>
      </w:r>
      <w:r w:rsidRPr="00F0254C">
        <w:rPr>
          <w:rFonts w:ascii="Segoe UI" w:hAnsi="Segoe UI" w:cs="Segoe UI"/>
        </w:rPr>
        <w:t xml:space="preserve"> does not systematically</w:t>
      </w:r>
      <w:r w:rsidR="00A960AC" w:rsidRPr="00F0254C">
        <w:rPr>
          <w:rFonts w:ascii="Segoe UI" w:hAnsi="Segoe UI" w:cs="Segoe UI"/>
        </w:rPr>
        <w:t xml:space="preserve"> incorporate CNV data. </w:t>
      </w:r>
      <w:r w:rsidR="00D30944" w:rsidRPr="00F0254C">
        <w:rPr>
          <w:rFonts w:ascii="Segoe UI" w:hAnsi="Segoe UI" w:cs="Segoe UI"/>
        </w:rPr>
        <w:t>Therefore</w:t>
      </w:r>
      <w:r w:rsidR="00AE797B" w:rsidRPr="00F0254C">
        <w:rPr>
          <w:rFonts w:ascii="Segoe UI" w:hAnsi="Segoe UI" w:cs="Segoe UI"/>
        </w:rPr>
        <w:t>,</w:t>
      </w:r>
      <w:r w:rsidR="00D30944" w:rsidRPr="00F0254C">
        <w:rPr>
          <w:rFonts w:ascii="Segoe UI" w:hAnsi="Segoe UI" w:cs="Segoe UI"/>
        </w:rPr>
        <w:t xml:space="preserve"> a</w:t>
      </w:r>
      <w:r w:rsidR="00A960AC" w:rsidRPr="00F0254C">
        <w:rPr>
          <w:rFonts w:ascii="Segoe UI" w:hAnsi="Segoe UI" w:cs="Segoe UI"/>
        </w:rPr>
        <w:t xml:space="preserve"> GenePy score for CNV whole gene deletions </w:t>
      </w:r>
      <w:r w:rsidR="00D30944" w:rsidRPr="00F0254C">
        <w:rPr>
          <w:rFonts w:ascii="Segoe UI" w:hAnsi="Segoe UI" w:cs="Segoe UI"/>
        </w:rPr>
        <w:t xml:space="preserve">of </w:t>
      </w:r>
      <w:r w:rsidR="00D30944" w:rsidRPr="00F0254C">
        <w:rPr>
          <w:rFonts w:ascii="Segoe UI" w:hAnsi="Segoe UI" w:cs="Segoe UI"/>
          <w:i/>
          <w:iCs/>
        </w:rPr>
        <w:t>NPHP1</w:t>
      </w:r>
      <w:r w:rsidR="00D30944" w:rsidRPr="00F0254C">
        <w:rPr>
          <w:rFonts w:ascii="Segoe UI" w:hAnsi="Segoe UI" w:cs="Segoe UI"/>
        </w:rPr>
        <w:t xml:space="preserve"> </w:t>
      </w:r>
      <w:r w:rsidR="00A960AC" w:rsidRPr="00F0254C">
        <w:rPr>
          <w:rFonts w:ascii="Segoe UI" w:hAnsi="Segoe UI" w:cs="Segoe UI"/>
        </w:rPr>
        <w:t>was integrated with the whole gene score by arbitrarily assigning (D</w:t>
      </w:r>
      <w:r w:rsidR="00D30944" w:rsidRPr="00F0254C">
        <w:rPr>
          <w:rFonts w:ascii="Segoe UI" w:hAnsi="Segoe UI" w:cs="Segoe UI"/>
        </w:rPr>
        <w:t xml:space="preserve">) </w:t>
      </w:r>
      <w:r w:rsidR="00AF4F9D" w:rsidRPr="00F0254C">
        <w:rPr>
          <w:rFonts w:ascii="Segoe UI" w:hAnsi="Segoe UI" w:cs="Segoe UI"/>
        </w:rPr>
        <w:t xml:space="preserve">as </w:t>
      </w:r>
      <w:r w:rsidR="00A960AC" w:rsidRPr="00F0254C">
        <w:rPr>
          <w:rFonts w:ascii="Segoe UI" w:hAnsi="Segoe UI" w:cs="Segoe UI"/>
        </w:rPr>
        <w:t xml:space="preserve">the maximal CADD 1.6 score observed for a stop-gain variant within the </w:t>
      </w:r>
      <w:r w:rsidR="00A960AC" w:rsidRPr="00F0254C">
        <w:rPr>
          <w:rFonts w:ascii="Segoe UI" w:hAnsi="Segoe UI" w:cs="Segoe UI"/>
          <w:i/>
          <w:iCs/>
        </w:rPr>
        <w:t>NPHP1</w:t>
      </w:r>
      <w:r w:rsidR="00A960AC" w:rsidRPr="00F0254C">
        <w:rPr>
          <w:rFonts w:ascii="Segoe UI" w:hAnsi="Segoe UI" w:cs="Segoe UI"/>
        </w:rPr>
        <w:t xml:space="preserve"> gene and </w:t>
      </w:r>
      <w:r w:rsidR="00D30944" w:rsidRPr="00F0254C">
        <w:rPr>
          <w:rFonts w:ascii="Segoe UI" w:hAnsi="Segoe UI" w:cs="Segoe UI"/>
        </w:rPr>
        <w:t xml:space="preserve">allele frequency </w:t>
      </w:r>
      <w:r w:rsidR="00A960AC" w:rsidRPr="00F0254C">
        <w:rPr>
          <w:rFonts w:ascii="Segoe UI" w:hAnsi="Segoe UI" w:cs="Segoe UI"/>
        </w:rPr>
        <w:t xml:space="preserve">using </w:t>
      </w:r>
      <w:r w:rsidR="00D30944" w:rsidRPr="00F0254C">
        <w:rPr>
          <w:rFonts w:ascii="Segoe UI" w:hAnsi="Segoe UI" w:cs="Segoe UI"/>
        </w:rPr>
        <w:t>gnomAD structural variant v2 (f = 1.798 x 10</w:t>
      </w:r>
      <w:r w:rsidR="00D30944" w:rsidRPr="00F0254C">
        <w:rPr>
          <w:rFonts w:ascii="Segoe UI" w:hAnsi="Segoe UI" w:cs="Segoe UI"/>
          <w:vertAlign w:val="superscript"/>
        </w:rPr>
        <w:t>-3</w:t>
      </w:r>
      <w:bookmarkStart w:id="2" w:name="_Toc77345067"/>
      <w:r w:rsidR="00D30944" w:rsidRPr="00F0254C">
        <w:rPr>
          <w:rFonts w:ascii="Segoe UI" w:hAnsi="Segoe UI" w:cs="Segoe UI"/>
        </w:rPr>
        <w:t>).</w:t>
      </w:r>
    </w:p>
    <w:p w14:paraId="721E1D9C" w14:textId="0FCB8E05" w:rsidR="00EF6303" w:rsidRPr="00F0254C" w:rsidRDefault="00EF6303" w:rsidP="00CD246B">
      <w:pPr>
        <w:pStyle w:val="Heading2"/>
      </w:pPr>
      <w:r w:rsidRPr="00F0254C">
        <w:t>Structural modelling</w:t>
      </w:r>
    </w:p>
    <w:p w14:paraId="0227C9D2" w14:textId="08B9EFCE" w:rsidR="00EF6303" w:rsidRPr="00F0254C" w:rsidRDefault="00EF6303" w:rsidP="00621F24">
      <w:pPr>
        <w:spacing w:line="480" w:lineRule="auto"/>
        <w:rPr>
          <w:rFonts w:ascii="Segoe UI" w:hAnsi="Segoe UI" w:cs="Segoe UI"/>
        </w:rPr>
      </w:pPr>
      <w:r w:rsidRPr="00F0254C">
        <w:rPr>
          <w:rFonts w:ascii="Segoe UI" w:hAnsi="Segoe UI" w:cs="Segoe UI"/>
        </w:rPr>
        <w:t>The mutations identified were modelled both in the Mi</w:t>
      </w:r>
      <w:r w:rsidR="0025492B" w:rsidRPr="00F0254C">
        <w:rPr>
          <w:rFonts w:ascii="Segoe UI" w:hAnsi="Segoe UI" w:cs="Segoe UI"/>
        </w:rPr>
        <w:t>s</w:t>
      </w:r>
      <w:r w:rsidRPr="00F0254C">
        <w:rPr>
          <w:rFonts w:ascii="Segoe UI" w:hAnsi="Segoe UI" w:cs="Segoe UI"/>
        </w:rPr>
        <w:t xml:space="preserve">sense 3D </w:t>
      </w:r>
      <w:r w:rsidR="0025492B" w:rsidRPr="00F0254C">
        <w:rPr>
          <w:rFonts w:ascii="Segoe UI" w:hAnsi="Segoe UI" w:cs="Segoe UI"/>
        </w:rPr>
        <w:t>Database and using Maestro Suite v13.1 and BioLuminate 4.6 Release 2022-1 (Maestro &amp; BioLuminate, Schrödinger, LLC, New York, NY, 2021).</w:t>
      </w:r>
      <w:r w:rsidR="00866112" w:rsidRPr="00F0254C">
        <w:rPr>
          <w:rFonts w:ascii="Segoe UI" w:hAnsi="Segoe UI" w:cs="Segoe UI"/>
        </w:rPr>
        <w:fldChar w:fldCharType="begin" w:fldLock="1"/>
      </w:r>
      <w:r w:rsidR="00C275EA">
        <w:rPr>
          <w:rFonts w:ascii="Segoe UI" w:hAnsi="Segoe UI" w:cs="Segoe UI"/>
        </w:rPr>
        <w:instrText>ADDIN CSL_CITATION {"citationItems":[{"id":"ITEM-1","itemData":{"DOI":"10.1007/S00439-020-02246-Z/FIGURES/3","ISSN":"14321203","PMID":"33502607","abstract":"The interpretation of human genetic variation is one of the greatest challenges of modern genetics. New approaches are urgently needed to prioritize variants, especially those that are rare or lack a definitive clinical interpretation. We examined 10,136,597 human missense genetic variants from GnomAD, ClinVar and UniProt. We were able to perform large-scale atom-based mapping and phenotype interpretation of 3,960,015 of these variants onto 18,874 experimental and 84,818 in house predicted three-dimensional coordinates of the human proteome. We demonstrate that 14% of amino acid substitutions from the GnomAD database that could be structurally analysed are predicted to affect protein structure (n = 568,548, of which 566,439 rare or extremely rare) and may, therefore, have a yet unknown disease-causing effect. The same is true for 19.0% (n = 6266) of variants of unknown clinical significance or conflicting interpretation reported in the ClinVar database. The results of the structural analysis are available in the dedicated web catalogue Missense3D-DB (http://missense3d.bc.ic.ac.uk/). For each of the 4 M variants, the results of the structural analysis are presented in a friendly concise format that can be included in clinical genetic reports. A detailed report of the structural analysis is also available for the non-experts in structural biology. Population frequency and predictions from SIFT and PolyPhen are included for a more comprehensive variant interpretation. This is the first large-scale atom-based structural interpretation of human genetic variation and offers geneticists and the biomedical community a new approach to genetic variant interpretation.","author":[{"dropping-particle":"","family":"Khanna","given":"Tarun","non-dropping-particle":"","parse-names":false,"suffix":""},{"dropping-particle":"","family":"Hanna","given":"Gordon","non-dropping-particle":"","parse-names":false,"suffix":""},{"dropping-particle":"","family":"Sternberg","given":"Michael J.E.","non-dropping-particle":"","parse-names":false,"suffix":""},{"dropping-particle":"","family":"David","given":"Alessia","non-dropping-particle":"","parse-names":false,"suffix":""}],"container-title":"Human Genetics","id":"ITEM-1","issue":"5","issued":{"date-parts":[["2021","5","1"]]},"page":"805-812","publisher":"Springer Science and Business Media Deutschland GmbH","title":"Missense3D-DB web catalogue: an atom-based analysis and repository of 4M human protein-coding genetic variants","type":"article-journal","volume":"140"},"uris":["http://www.mendeley.com/documents/?uuid=f6bd1347-cf14-39dd-8fec-b413f8524791"]},{"id":"ITEM-2","itemData":{"DOI":"10.1016/J.JMB.2019.04.009","ISSN":"0022-2836","PMID":"30995449","abstract":"Knowledge of protein structure can be used to predict the phenotypic consequence of a missense variant. Since structural coverage of the human proteome can be roughly tripled to over 50% of the residues if homology-predicted structures are included in addition to experimentally determined coordinates, it is important to assess the reliability of using predicted models when analyzing missense variants. Accordingly, we assess whether a missense variant is structurally damaging by using experimental and predicted structures. We considered 606 experimental structures and show that 40% of the 1965 disease-associated missense variants analyzed have a structurally damaging change in the mutant structure. Only 11% of the 2134 neutral variants are structurally damaging. Importantly, similar results are obtained when 1052 structures predicted using Phyre2 algorithm were used, even when the model shares low (&lt; 40%) sequence identity to the template. Thus, structure-based analysis of the effects of missense variants can be effectively applied to homology models. Our in-house pipeline, Missense3D, for structurally assessing missense variants was made available at http://www.sbg.bio.ic.ac.uk/~missense3d","author":[{"dropping-particle":"","family":"Ittisoponpisan","given":"Sirawit","non-dropping-particle":"","parse-names":false,"suffix":""},{"dropping-particle":"","family":"Islam","given":"Suhail A.","non-dropping-particle":"","parse-names":false,"suffix":""},{"dropping-particle":"","family":"Khanna","given":"Tarun","non-dropping-particle":"","parse-names":false,"suffix":""},{"dropping-particle":"","family":"Alhuzimi","given":"Eman","non-dropping-particle":"","parse-names":false,"suffix":""},{"dropping-particle":"","family":"David","given":"Alessia","non-dropping-particle":"","parse-names":false,"suffix":""},{"dropping-particle":"","family":"Sternberg","given":"Michael J.E.","non-dropping-particle":"","parse-names":false,"suffix":""}],"container-title":"Journal of Molecular Biology","id":"ITEM-2","issue":"11","issued":{"date-parts":[["2019","5","17"]]},"page":"2197-2212","publisher":"Academic Press","title":"Can Predicted Protein 3D Structures Provide Reliable Insights into whether Missense Variants Are Disease Associated?","type":"article-journal","volume":"431"},"uris":["http://www.mendeley.com/documents/?uuid=d1d41913-ffaa-3b26-a754-8441c4c804e6"]},{"id":"ITEM-3","itemData":{"DOI":"10.1002/PROT.24551","ISSN":"1097-0134","PMID":"24619874","abstract":"We present the blinded prediction results in the Second Antibody Modeling Assessment (AMA-II) using a fully automatic antibody structure prediction method implemented in the programs BioLuminate and Prime. We have developed a novel knowledge based approach to model the CDR loops, using a combination of sequence similarity, geometry matching, and the clustering of database structures. The homology models are further optimized with a physics-based energy function (VSGB2.0), which improves the model quality significantly. H3 loop modeling remains the most challenging task. Our ab initio loop prediction performs well for the H3 loop in the crystal structure context, and allows improved results when refining the H3 loops in the context of homology models. For the 10 human and mouse derived antibodies in this assessment, the average RMSDs for the homology model Fv and framework regions are 1.19 Å and 0.74 Å, respectively. The average RMSDs for five non-H3 CDR loops range from 0.61 Å to 1.05 Å, and the H3 loop average RMSD is 2.91 Å using our knowledge-based loop prediction approach. The ab initio H3 loop predictions yield an average RMSD of 1.28 Å when performed in the context of the crystal structure and 2.67 Å in the context of the homology modeled structure. Notably, our method for predicting the H3 loop in the crystal structure environment ranked first among the seven participating groups in AMA-II, and our method made the best prediction among all participants for seven of the ten targets. © 2014 Wiley Periodicals, Inc.","author":[{"dropping-particle":"","family":"Zhu","given":"Kai","non-dropping-particle":"","parse-names":false,"suffix":""},{"dropping-particle":"","family":"Day","given":"Tyler","non-dropping-particle":"","parse-names":false,"suffix":""},{"dropping-particle":"","family":"Warshaviak","given":"Dora","non-dropping-particle":"","parse-names":false,"suffix":""},{"dropping-particle":"","family":"Murrett","given":"Colleen","non-dropping-particle":"","parse-names":false,"suffix":""},{"dropping-particle":"","family":"Friesner","given":"Richard","non-dropping-particle":"","parse-names":false,"suffix":""},{"dropping-particle":"","family":"Pearlman","given":"David","non-dropping-particle":"","parse-names":false,"suffix":""}],"container-title":"Proteins: Structure, Function, and Bioinformatics","id":"ITEM-3","issue":"8","issued":{"date-parts":[["2014","8","1"]]},"page":"1646-1655","publisher":"John Wiley &amp; Sons, Ltd","title":"Antibody structure determination using a combination of homology modeling, energy-based refinement, and loop prediction","type":"article-journal","volume":"82"},"uris":["http://www.mendeley.com/documents/?uuid=30144c0f-52a4-345c-854e-dcbd7073f0f8"]},{"id":"ITEM-4","itemData":{"DOI":"10.1093/PROTEIN/GZU017","ISSN":"1741-0126","PMID":"24817698","abstract":"Protein engineering remains an area of growing importance in pharmaceutical and biotechnology research. Stabilization of a folded protein conformation is a frequent goal in projects that deal with affinity optimization, enzyme design, protein construct design, and reducing the size of functional proteins. Indeed, it can be desirable to assess and improve protein stability in order to avoid liabilities such as aggregation, degradation, and immunogenic response that may arise during development. One way to stabilize a protein is through the introduction of disulfide bonds. Here, we describe a method to predict pairs of protein residues that can be mutated to form a disulfide bond. We combine a physics-based approach that incorporates implicit solvent molecular mechanics with a knowledge-based approach. We first assign relative weights to the terms that comprise our scoring function using a genetic algorithm applied to a set of 75 wild-type structures that each contains a disulfide bond. The method is then tested on a separate set of 13 engineered proteins comprising 15 artificial stabilizing disulfides introduced via site-directed mutagenesis. We find that the native disulfide in the wild-type proteins is scored well, on average (within the top 6% of the reasonable pairs of residues that could form a disulfide bond) while 6 out of the 15 artificial stabilizing disulfides scored within the top 13% of ranked predictions. Overall, this suggests that the physics-based approach presented here can be useful for triaging possible pairs of mutations for disulfide bond formation to improve protein stability.","author":[{"dropping-particle":"","family":"Salam","given":"Noeris K.","non-dropping-particle":"","parse-names":false,"suffix":""},{"dropping-particle":"","family":"Adzhigirey","given":"Matvey","non-dropping-particle":"","parse-names":false,"suffix":""},{"dropping-particle":"","family":"Sherman","given":"Woody","non-dropping-particle":"","parse-names":false,"suffix":""},{"dropping-particle":"","family":"Pearlman","given":"David A.","non-dropping-particle":"","parse-names":false,"suffix":""},{"dropping-particle":"","family":"Thirumalai","given":"David","non-dropping-particle":"","parse-names":false,"suffix":""}],"container-title":"Protein Engineering, Design and Selection","id":"ITEM-4","issue":"10","issued":{"date-parts":[["2014","10","1"]]},"page":"365-374","publisher":"Oxford Academic","title":"Structure-based approach to the prediction of disulfide bonds in proteins","type":"article-journal","volume":"27"},"uris":["http://www.mendeley.com/documents/?uuid=791b98e9-5b4b-3b1a-976c-011438d282a9"]},{"id":"ITEM-5","itemData":{"DOI":"10.1371/JOURNAL.PONE.0082849","ISSN":"1932-6203","PMID":"24340062","abstract":"Predicting changes in protein binding affinity due to single amino acid mutations helps us better understand the driving forces underlying protein-protein interactions and design improved biotherapeutics. Here, we use the MM-GBSA approach with the OPLS2005 force field and the VSGB2.0 solvent model to calculate differences in binding free energy between wild type and mutant proteins. Crucially, we made no changes to the scoring model as part of this work on protein-protein binding affinity—the energy model has been developed for structure prediction and has previously been validated only for calculating the energetics of small molecule binding. Here, we compare predictions to experimental data for a set of 418 single residue mutations in 21 targets and find that the MM-GBSA model, on average, performs well at scoring these single protein residue mutations. Correlation between the predicted and experimental change in binding affinity is statistically significant and the model performs well at picking “hotspots,” or mutations that change binding affinity by more than 1 kcal/mol. The promising performance of this physics-based method with no tuned parameters for predicting binding energies suggests that it can be transferred to other protein engineering problems.","author":[{"dropping-particle":"","family":"Beard","given":"Hege","non-dropping-particle":"","parse-names":false,"suffix":""},{"dropping-particle":"","family":"Cholleti","given":"Anuradha","non-dropping-particle":"","parse-names":false,"suffix":""},{"dropping-particle":"","family":"Pearlman","given":"David","non-dropping-particle":"","parse-names":false,"suffix":""},{"dropping-particle":"","family":"Sherman","given":"Woody","non-dropping-particle":"","parse-names":false,"suffix":""},{"dropping-particle":"","family":"Loving","given":"Kathryn A.","non-dropping-particle":"","parse-names":false,"suffix":""}],"container-title":"PLOS ONE","id":"ITEM-5","issue":"12","issued":{"date-parts":[["2013","12","10"]]},"page":"e82849","publisher":"Public Library of Science","title":"Applying Physics-Based Scoring to Calculate Free Energies of Binding for Single Amino Acid Mutations in Protein-Protein Complexes","type":"article-journal","volume":"8"},"uris":["http://www.mendeley.com/documents/?uuid=77f4e0d9-afd8-3416-aaf8-7e97edb7ef48"]}],"mendeley":{"formattedCitation":"&lt;span style=\"baseline\"&gt;[37–41]&lt;/span&gt;","plainTextFormattedCitation":"[37–41]","previouslyFormattedCitation":"&lt;span style=\"baseline\"&gt;[37–41]&lt;/span&gt;"},"properties":{"noteIndex":0},"schema":"https://github.com/citation-style-language/schema/raw/master/csl-citation.json"}</w:instrText>
      </w:r>
      <w:r w:rsidR="00866112" w:rsidRPr="00F0254C">
        <w:rPr>
          <w:rFonts w:ascii="Segoe UI" w:hAnsi="Segoe UI" w:cs="Segoe UI"/>
        </w:rPr>
        <w:fldChar w:fldCharType="separate"/>
      </w:r>
      <w:r w:rsidR="00621F24" w:rsidRPr="00621F24">
        <w:rPr>
          <w:rFonts w:ascii="Segoe UI" w:hAnsi="Segoe UI" w:cs="Segoe UI"/>
          <w:noProof/>
        </w:rPr>
        <w:t>[37–41]</w:t>
      </w:r>
      <w:r w:rsidR="00866112" w:rsidRPr="00F0254C">
        <w:rPr>
          <w:rFonts w:ascii="Segoe UI" w:hAnsi="Segoe UI" w:cs="Segoe UI"/>
        </w:rPr>
        <w:fldChar w:fldCharType="end"/>
      </w:r>
      <w:r w:rsidR="0025492B" w:rsidRPr="00F0254C">
        <w:rPr>
          <w:rFonts w:ascii="Segoe UI" w:hAnsi="Segoe UI" w:cs="Segoe UI"/>
        </w:rPr>
        <w:t xml:space="preserve"> Mutations were identified to be pathogenic following the criteria</w:t>
      </w:r>
      <w:r w:rsidR="00285E59" w:rsidRPr="00F0254C">
        <w:rPr>
          <w:rFonts w:ascii="Segoe UI" w:hAnsi="Segoe UI" w:cs="Segoe UI"/>
        </w:rPr>
        <w:t xml:space="preserve">: </w:t>
      </w:r>
      <w:r w:rsidR="00037E57" w:rsidRPr="00F0254C">
        <w:rPr>
          <w:rFonts w:ascii="Segoe UI" w:hAnsi="Segoe UI" w:cs="Segoe UI"/>
        </w:rPr>
        <w:t xml:space="preserve">(1) </w:t>
      </w:r>
      <w:r w:rsidR="00285E59" w:rsidRPr="00F0254C">
        <w:rPr>
          <w:rFonts w:ascii="Segoe UI" w:hAnsi="Segoe UI" w:cs="Segoe UI"/>
        </w:rPr>
        <w:t xml:space="preserve">the substitution replaces a buried charged residue with an uncharged residue, </w:t>
      </w:r>
      <w:r w:rsidR="00037E57" w:rsidRPr="00F0254C">
        <w:rPr>
          <w:rFonts w:ascii="Segoe UI" w:hAnsi="Segoe UI" w:cs="Segoe UI"/>
        </w:rPr>
        <w:t xml:space="preserve">(2) </w:t>
      </w:r>
      <w:r w:rsidR="00285E59" w:rsidRPr="00F0254C">
        <w:rPr>
          <w:rFonts w:ascii="Segoe UI" w:hAnsi="Segoe UI" w:cs="Segoe UI"/>
        </w:rPr>
        <w:t xml:space="preserve">substitution disrupts all side-chain / side-chain H-bond(s) and/or side-chain / main-chain bond(s) H-bonds, </w:t>
      </w:r>
      <w:r w:rsidR="00037E57" w:rsidRPr="00F0254C">
        <w:rPr>
          <w:rFonts w:ascii="Segoe UI" w:hAnsi="Segoe UI" w:cs="Segoe UI"/>
        </w:rPr>
        <w:t xml:space="preserve">(3) </w:t>
      </w:r>
      <w:r w:rsidR="00285E59" w:rsidRPr="00F0254C">
        <w:rPr>
          <w:rFonts w:ascii="Segoe UI" w:hAnsi="Segoe UI" w:cs="Segoe UI"/>
        </w:rPr>
        <w:t>substitution breaks all side-chain / side-chain H-bond(s) and/or side-chain / main-chain H-bond(s) formed by the wild type which was buried</w:t>
      </w:r>
      <w:r w:rsidR="00D76261" w:rsidRPr="00F0254C">
        <w:rPr>
          <w:rFonts w:ascii="Segoe UI" w:hAnsi="Segoe UI" w:cs="Segoe UI"/>
        </w:rPr>
        <w:t xml:space="preserve">, </w:t>
      </w:r>
      <w:r w:rsidR="00037E57" w:rsidRPr="00F0254C">
        <w:rPr>
          <w:rFonts w:ascii="Segoe UI" w:hAnsi="Segoe UI" w:cs="Segoe UI"/>
        </w:rPr>
        <w:t xml:space="preserve">(4) </w:t>
      </w:r>
      <w:r w:rsidR="00285E59" w:rsidRPr="00F0254C">
        <w:rPr>
          <w:rFonts w:ascii="Segoe UI" w:hAnsi="Segoe UI" w:cs="Segoe UI"/>
        </w:rPr>
        <w:t xml:space="preserve">substitution leads to an expansion or contraction of the cavity volume of ≥ 70 </w:t>
      </w:r>
      <w:r w:rsidR="00285E59" w:rsidRPr="00F0254C">
        <w:rPr>
          <w:rFonts w:ascii="Cambria Math" w:hAnsi="Cambria Math" w:cs="Cambria Math"/>
        </w:rPr>
        <w:t>Å</w:t>
      </w:r>
      <w:r w:rsidR="00285E59" w:rsidRPr="00F0254C">
        <w:rPr>
          <w:rFonts w:ascii="Segoe UI" w:hAnsi="Segoe UI" w:cs="Segoe UI"/>
        </w:rPr>
        <w:t>^3</w:t>
      </w:r>
      <w:r w:rsidR="00037E57" w:rsidRPr="00F0254C">
        <w:rPr>
          <w:rFonts w:ascii="Segoe UI" w:hAnsi="Segoe UI" w:cs="Segoe UI"/>
        </w:rPr>
        <w:t xml:space="preserve">, (5) </w:t>
      </w:r>
      <w:r w:rsidR="00C01B40" w:rsidRPr="00F0254C">
        <w:rPr>
          <w:rFonts w:ascii="Segoe UI" w:hAnsi="Segoe UI" w:cs="Segoe UI"/>
        </w:rPr>
        <w:t>t</w:t>
      </w:r>
      <w:r w:rsidR="00285E59" w:rsidRPr="00F0254C">
        <w:rPr>
          <w:rFonts w:ascii="Segoe UI" w:hAnsi="Segoe UI" w:cs="Segoe UI"/>
        </w:rPr>
        <w:t xml:space="preserve">he substitution breaks a salt bridge formed by </w:t>
      </w:r>
      <w:r w:rsidR="00D76261" w:rsidRPr="00F0254C">
        <w:rPr>
          <w:rFonts w:ascii="Segoe UI" w:hAnsi="Segoe UI" w:cs="Segoe UI"/>
        </w:rPr>
        <w:t>wild type</w:t>
      </w:r>
      <w:r w:rsidR="00285E59" w:rsidRPr="00F0254C">
        <w:rPr>
          <w:rFonts w:ascii="Segoe UI" w:hAnsi="Segoe UI" w:cs="Segoe UI"/>
        </w:rPr>
        <w:t xml:space="preserve"> which was buried. The maximum N-O bond length is 5.0 </w:t>
      </w:r>
      <w:r w:rsidR="00285E59" w:rsidRPr="00F0254C">
        <w:rPr>
          <w:rFonts w:ascii="Cambria Math" w:hAnsi="Cambria Math" w:cs="Cambria Math"/>
        </w:rPr>
        <w:t>Å</w:t>
      </w:r>
      <w:r w:rsidR="00285E59" w:rsidRPr="00F0254C">
        <w:rPr>
          <w:rFonts w:ascii="Segoe UI" w:hAnsi="Segoe UI" w:cs="Segoe UI"/>
        </w:rPr>
        <w:t>.</w:t>
      </w:r>
      <w:r w:rsidR="00D76261" w:rsidRPr="00F0254C">
        <w:rPr>
          <w:rFonts w:ascii="Segoe UI" w:hAnsi="Segoe UI" w:cs="Segoe UI"/>
        </w:rPr>
        <w:t xml:space="preserve"> </w:t>
      </w:r>
    </w:p>
    <w:bookmarkEnd w:id="2"/>
    <w:p w14:paraId="440EC4C9" w14:textId="77777777" w:rsidR="00F1182F" w:rsidRPr="00F0254C" w:rsidRDefault="00CD7384" w:rsidP="00F1182F">
      <w:pPr>
        <w:pStyle w:val="Heading1"/>
        <w:spacing w:line="480" w:lineRule="auto"/>
        <w:rPr>
          <w:rFonts w:ascii="Segoe UI" w:hAnsi="Segoe UI" w:cs="Segoe UI"/>
        </w:rPr>
      </w:pPr>
      <w:r w:rsidRPr="00F0254C">
        <w:rPr>
          <w:rFonts w:ascii="Segoe UI" w:hAnsi="Segoe UI" w:cs="Segoe UI"/>
        </w:rPr>
        <w:lastRenderedPageBreak/>
        <w:t>Resul</w:t>
      </w:r>
      <w:bookmarkStart w:id="3" w:name="_Toc77345069"/>
      <w:r w:rsidR="00561E1F" w:rsidRPr="00F0254C">
        <w:rPr>
          <w:rFonts w:ascii="Segoe UI" w:hAnsi="Segoe UI" w:cs="Segoe UI"/>
        </w:rPr>
        <w:t>ts</w:t>
      </w:r>
      <w:bookmarkEnd w:id="3"/>
    </w:p>
    <w:p w14:paraId="505E526C" w14:textId="27625165" w:rsidR="00F1182F" w:rsidRDefault="003C61FB" w:rsidP="0018566D">
      <w:pPr>
        <w:spacing w:line="480" w:lineRule="auto"/>
        <w:rPr>
          <w:rFonts w:ascii="Segoe UI" w:hAnsi="Segoe UI" w:cs="Segoe UI"/>
          <w:lang w:eastAsia="en-US"/>
        </w:rPr>
      </w:pPr>
      <w:r w:rsidRPr="00F0254C">
        <w:rPr>
          <w:rFonts w:ascii="Segoe UI" w:hAnsi="Segoe UI" w:cs="Segoe UI"/>
          <w:lang w:eastAsia="en-US"/>
        </w:rPr>
        <w:t xml:space="preserve">The </w:t>
      </w:r>
      <w:r w:rsidR="00F75F18" w:rsidRPr="00F0254C">
        <w:rPr>
          <w:rFonts w:ascii="Segoe UI" w:hAnsi="Segoe UI" w:cs="Segoe UI"/>
          <w:lang w:eastAsia="en-US"/>
        </w:rPr>
        <w:t>genotype-to-phenotype</w:t>
      </w:r>
      <w:r w:rsidRPr="00F0254C">
        <w:rPr>
          <w:rFonts w:ascii="Segoe UI" w:hAnsi="Segoe UI" w:cs="Segoe UI"/>
          <w:lang w:eastAsia="en-US"/>
        </w:rPr>
        <w:t xml:space="preserve"> approach incorporating SNVs, </w:t>
      </w:r>
      <w:r w:rsidR="00CE2CAC" w:rsidRPr="00F0254C">
        <w:rPr>
          <w:rFonts w:ascii="Segoe UI" w:hAnsi="Segoe UI" w:cs="Segoe UI"/>
          <w:lang w:eastAsia="en-US"/>
        </w:rPr>
        <w:t>i</w:t>
      </w:r>
      <w:r w:rsidRPr="00F0254C">
        <w:rPr>
          <w:rFonts w:ascii="Segoe UI" w:hAnsi="Segoe UI" w:cs="Segoe UI"/>
          <w:lang w:eastAsia="en-US"/>
        </w:rPr>
        <w:t xml:space="preserve">ndels and CNVs into ranked </w:t>
      </w:r>
      <w:r w:rsidRPr="00F0254C">
        <w:rPr>
          <w:rFonts w:ascii="Segoe UI" w:hAnsi="Segoe UI" w:cs="Segoe UI"/>
          <w:i/>
          <w:iCs/>
          <w:lang w:eastAsia="en-US"/>
        </w:rPr>
        <w:t>NPHP1</w:t>
      </w:r>
      <w:r w:rsidRPr="00F0254C">
        <w:rPr>
          <w:rFonts w:ascii="Segoe UI" w:hAnsi="Segoe UI" w:cs="Segoe UI"/>
          <w:lang w:eastAsia="en-US"/>
        </w:rPr>
        <w:t xml:space="preserve"> GenePy scores identified renal, </w:t>
      </w:r>
      <w:r w:rsidR="008A5ABA" w:rsidRPr="00F0254C">
        <w:rPr>
          <w:rFonts w:ascii="Segoe UI" w:hAnsi="Segoe UI" w:cs="Segoe UI"/>
          <w:lang w:eastAsia="en-US"/>
        </w:rPr>
        <w:t>retinal,</w:t>
      </w:r>
      <w:r w:rsidRPr="00F0254C">
        <w:rPr>
          <w:rFonts w:ascii="Segoe UI" w:hAnsi="Segoe UI" w:cs="Segoe UI"/>
          <w:lang w:eastAsia="en-US"/>
        </w:rPr>
        <w:t xml:space="preserve"> or neurological phenotypes amongst the top-ranked individuals (</w:t>
      </w:r>
      <w:r w:rsidR="005E751C" w:rsidRPr="00F0254C">
        <w:rPr>
          <w:rFonts w:ascii="Segoe UI" w:hAnsi="Segoe UI" w:cs="Segoe UI"/>
          <w:lang w:eastAsia="en-US"/>
        </w:rPr>
        <w:t xml:space="preserve">see </w:t>
      </w:r>
      <w:r w:rsidR="00DB6A59" w:rsidRPr="00F0254C">
        <w:rPr>
          <w:rFonts w:ascii="Segoe UI" w:hAnsi="Segoe UI" w:cs="Segoe UI"/>
          <w:lang w:eastAsia="en-US"/>
        </w:rPr>
        <w:fldChar w:fldCharType="begin"/>
      </w:r>
      <w:r w:rsidR="00DB6A59" w:rsidRPr="00F0254C">
        <w:rPr>
          <w:rFonts w:ascii="Segoe UI" w:hAnsi="Segoe UI" w:cs="Segoe UI"/>
          <w:lang w:eastAsia="en-US"/>
        </w:rPr>
        <w:instrText xml:space="preserve"> REF _Ref99378565 \h </w:instrText>
      </w:r>
      <w:r w:rsidR="00F0254C">
        <w:rPr>
          <w:rFonts w:ascii="Segoe UI" w:hAnsi="Segoe UI" w:cs="Segoe UI"/>
          <w:lang w:eastAsia="en-US"/>
        </w:rPr>
        <w:instrText xml:space="preserve"> \* MERGEFORMAT </w:instrText>
      </w:r>
      <w:r w:rsidR="00DB6A59" w:rsidRPr="00F0254C">
        <w:rPr>
          <w:rFonts w:ascii="Segoe UI" w:hAnsi="Segoe UI" w:cs="Segoe UI"/>
          <w:lang w:eastAsia="en-US"/>
        </w:rPr>
      </w:r>
      <w:r w:rsidR="00DB6A59" w:rsidRPr="00F0254C">
        <w:rPr>
          <w:rFonts w:ascii="Segoe UI" w:hAnsi="Segoe UI" w:cs="Segoe UI"/>
          <w:lang w:eastAsia="en-US"/>
        </w:rPr>
        <w:fldChar w:fldCharType="separate"/>
      </w:r>
      <w:r w:rsidR="000554B0" w:rsidRPr="00F0254C">
        <w:rPr>
          <w:rFonts w:ascii="Segoe UI" w:hAnsi="Segoe UI" w:cs="Segoe UI"/>
          <w:b/>
          <w:bCs/>
        </w:rPr>
        <w:t xml:space="preserve">Table </w:t>
      </w:r>
      <w:r w:rsidR="000554B0">
        <w:rPr>
          <w:rFonts w:ascii="Segoe UI" w:hAnsi="Segoe UI" w:cs="Segoe UI"/>
          <w:b/>
          <w:bCs/>
          <w:noProof/>
        </w:rPr>
        <w:t>2</w:t>
      </w:r>
      <w:r w:rsidR="00DB6A59" w:rsidRPr="00F0254C">
        <w:rPr>
          <w:rFonts w:ascii="Segoe UI" w:hAnsi="Segoe UI" w:cs="Segoe UI"/>
          <w:lang w:eastAsia="en-US"/>
        </w:rPr>
        <w:fldChar w:fldCharType="end"/>
      </w:r>
      <w:r w:rsidR="00DB6A59" w:rsidRPr="00F0254C">
        <w:rPr>
          <w:rFonts w:ascii="Segoe UI" w:hAnsi="Segoe UI" w:cs="Segoe UI"/>
          <w:lang w:eastAsia="en-US"/>
        </w:rPr>
        <w:t xml:space="preserve">). </w:t>
      </w:r>
      <w:r w:rsidR="004A0B14" w:rsidRPr="00F0254C">
        <w:rPr>
          <w:rFonts w:ascii="Segoe UI" w:hAnsi="Segoe UI" w:cs="Segoe UI"/>
          <w:lang w:eastAsia="en-US"/>
        </w:rPr>
        <w:t xml:space="preserve">Age at onset of disease is likely to be overestimated, as HES data was only available from the date of recruitment onwards. </w:t>
      </w:r>
      <w:r w:rsidR="008D5ED6">
        <w:rPr>
          <w:rFonts w:ascii="Segoe UI" w:hAnsi="Segoe UI" w:cs="Segoe UI"/>
        </w:rPr>
        <w:t xml:space="preserve">In total </w:t>
      </w:r>
      <w:r w:rsidR="008A5ABA">
        <w:rPr>
          <w:rFonts w:ascii="Segoe UI" w:hAnsi="Segoe UI" w:cs="Segoe UI"/>
        </w:rPr>
        <w:t>twenty-six</w:t>
      </w:r>
      <w:r w:rsidR="008D5ED6">
        <w:rPr>
          <w:rFonts w:ascii="Segoe UI" w:hAnsi="Segoe UI" w:cs="Segoe UI"/>
        </w:rPr>
        <w:t xml:space="preserve"> participants were identified with biallelic </w:t>
      </w:r>
      <w:r w:rsidR="002634AB" w:rsidRPr="002634AB">
        <w:rPr>
          <w:rFonts w:ascii="Segoe UI" w:hAnsi="Segoe UI" w:cs="Segoe UI"/>
        </w:rPr>
        <w:t xml:space="preserve">recessive genotypes consistent with monogenic </w:t>
      </w:r>
      <w:r w:rsidR="002634AB" w:rsidRPr="001064BB">
        <w:rPr>
          <w:rFonts w:ascii="Segoe UI" w:hAnsi="Segoe UI" w:cs="Segoe UI"/>
          <w:i/>
          <w:iCs/>
        </w:rPr>
        <w:t>NPHP1</w:t>
      </w:r>
      <w:r w:rsidR="002634AB" w:rsidRPr="002634AB">
        <w:rPr>
          <w:rFonts w:ascii="Segoe UI" w:hAnsi="Segoe UI" w:cs="Segoe UI"/>
        </w:rPr>
        <w:t>-related disease</w:t>
      </w:r>
      <w:r w:rsidR="002634AB">
        <w:rPr>
          <w:rFonts w:ascii="Segoe UI" w:hAnsi="Segoe UI" w:cs="Segoe UI"/>
        </w:rPr>
        <w:t xml:space="preserve">. </w:t>
      </w:r>
      <w:r w:rsidR="00A95EF6" w:rsidRPr="00F0254C">
        <w:rPr>
          <w:rFonts w:ascii="Segoe UI" w:hAnsi="Segoe UI" w:cs="Segoe UI"/>
          <w:lang w:eastAsia="en-US"/>
        </w:rPr>
        <w:t>Our approach identified e</w:t>
      </w:r>
      <w:r w:rsidR="00F75F18" w:rsidRPr="00F0254C">
        <w:rPr>
          <w:rFonts w:ascii="Segoe UI" w:hAnsi="Segoe UI" w:cs="Segoe UI"/>
          <w:lang w:eastAsia="en-US"/>
        </w:rPr>
        <w:t>ighteen</w:t>
      </w:r>
      <w:r w:rsidRPr="00F0254C">
        <w:rPr>
          <w:rFonts w:ascii="Segoe UI" w:hAnsi="Segoe UI" w:cs="Segoe UI"/>
          <w:lang w:eastAsia="en-US"/>
        </w:rPr>
        <w:t xml:space="preserve"> patients </w:t>
      </w:r>
      <w:r w:rsidR="00A95EF6" w:rsidRPr="00F0254C">
        <w:rPr>
          <w:rFonts w:ascii="Segoe UI" w:hAnsi="Segoe UI" w:cs="Segoe UI"/>
          <w:lang w:eastAsia="en-US"/>
        </w:rPr>
        <w:t>with</w:t>
      </w:r>
      <w:r w:rsidRPr="00F0254C">
        <w:rPr>
          <w:rFonts w:ascii="Segoe UI" w:hAnsi="Segoe UI" w:cs="Segoe UI"/>
          <w:lang w:eastAsia="en-US"/>
        </w:rPr>
        <w:t xml:space="preserve"> a renal or retinal phenotype and a genotype constant with the </w:t>
      </w:r>
      <w:r w:rsidR="00F75F18" w:rsidRPr="00F0254C">
        <w:rPr>
          <w:rFonts w:ascii="Segoe UI" w:hAnsi="Segoe UI" w:cs="Segoe UI"/>
          <w:lang w:eastAsia="en-US"/>
        </w:rPr>
        <w:t xml:space="preserve">monogenic </w:t>
      </w:r>
      <w:r w:rsidRPr="00F0254C">
        <w:rPr>
          <w:rFonts w:ascii="Segoe UI" w:hAnsi="Segoe UI" w:cs="Segoe UI"/>
          <w:lang w:eastAsia="en-US"/>
        </w:rPr>
        <w:t xml:space="preserve">autosomal recessive disease. </w:t>
      </w:r>
      <w:r w:rsidR="00A95EF6" w:rsidRPr="00F0254C">
        <w:rPr>
          <w:rFonts w:ascii="Segoe UI" w:hAnsi="Segoe UI" w:cs="Segoe UI"/>
          <w:lang w:eastAsia="en-US"/>
        </w:rPr>
        <w:t xml:space="preserve">The NHS genomic medicine centres have previously reported eight of these. In total </w:t>
      </w:r>
      <w:r w:rsidRPr="00F0254C">
        <w:rPr>
          <w:rFonts w:ascii="Segoe UI" w:hAnsi="Segoe UI" w:cs="Segoe UI"/>
          <w:lang w:eastAsia="en-US"/>
        </w:rPr>
        <w:t>ten homozygous CNV whole</w:t>
      </w:r>
      <w:r w:rsidR="0033111C" w:rsidRPr="00F0254C">
        <w:rPr>
          <w:rFonts w:ascii="Segoe UI" w:hAnsi="Segoe UI" w:cs="Segoe UI"/>
          <w:lang w:eastAsia="en-US"/>
        </w:rPr>
        <w:t>-</w:t>
      </w:r>
      <w:r w:rsidRPr="00F0254C">
        <w:rPr>
          <w:rFonts w:ascii="Segoe UI" w:hAnsi="Segoe UI" w:cs="Segoe UI"/>
          <w:lang w:eastAsia="en-US"/>
        </w:rPr>
        <w:t xml:space="preserve">gene deletions of </w:t>
      </w:r>
      <w:r w:rsidRPr="00F0254C">
        <w:rPr>
          <w:rFonts w:ascii="Segoe UI" w:hAnsi="Segoe UI" w:cs="Segoe UI"/>
          <w:i/>
          <w:iCs/>
          <w:lang w:eastAsia="en-US"/>
        </w:rPr>
        <w:t>NPHP1</w:t>
      </w:r>
      <w:r w:rsidR="00A95EF6" w:rsidRPr="00F0254C">
        <w:rPr>
          <w:rFonts w:ascii="Segoe UI" w:hAnsi="Segoe UI" w:cs="Segoe UI"/>
          <w:lang w:eastAsia="en-US"/>
        </w:rPr>
        <w:t xml:space="preserve"> were discovered</w:t>
      </w:r>
      <w:r w:rsidRPr="00F0254C">
        <w:rPr>
          <w:rFonts w:ascii="Segoe UI" w:hAnsi="Segoe UI" w:cs="Segoe UI"/>
          <w:lang w:eastAsia="en-US"/>
        </w:rPr>
        <w:t xml:space="preserve">. </w:t>
      </w:r>
      <w:r w:rsidR="00A80C73" w:rsidRPr="00F0254C">
        <w:rPr>
          <w:rFonts w:ascii="Segoe UI" w:hAnsi="Segoe UI" w:cs="Segoe UI"/>
          <w:lang w:eastAsia="en-US"/>
        </w:rPr>
        <w:t xml:space="preserve">Homozygous or compound heterozygous SNVs consistent with monogenic disease were identified </w:t>
      </w:r>
      <w:r w:rsidRPr="00F0254C">
        <w:rPr>
          <w:rFonts w:ascii="Segoe UI" w:hAnsi="Segoe UI" w:cs="Segoe UI"/>
          <w:lang w:eastAsia="en-US"/>
        </w:rPr>
        <w:t xml:space="preserve">in eight patients with renal, </w:t>
      </w:r>
      <w:r w:rsidR="008A5ABA" w:rsidRPr="00F0254C">
        <w:rPr>
          <w:rFonts w:ascii="Segoe UI" w:hAnsi="Segoe UI" w:cs="Segoe UI"/>
          <w:lang w:eastAsia="en-US"/>
        </w:rPr>
        <w:t>retinal,</w:t>
      </w:r>
      <w:r w:rsidR="00A95EF6" w:rsidRPr="00F0254C">
        <w:rPr>
          <w:rFonts w:ascii="Segoe UI" w:hAnsi="Segoe UI" w:cs="Segoe UI"/>
          <w:lang w:eastAsia="en-US"/>
        </w:rPr>
        <w:t xml:space="preserve"> or neurological phenotypes (</w:t>
      </w:r>
      <w:r w:rsidR="006F009E">
        <w:rPr>
          <w:rFonts w:ascii="Segoe UI" w:hAnsi="Segoe UI" w:cs="Segoe UI"/>
          <w:lang w:eastAsia="en-US"/>
        </w:rPr>
        <w:t xml:space="preserve">see </w:t>
      </w:r>
      <w:r w:rsidR="005F1D21">
        <w:rPr>
          <w:rFonts w:ascii="Segoe UI" w:hAnsi="Segoe UI" w:cs="Segoe UI"/>
          <w:lang w:eastAsia="en-US"/>
        </w:rPr>
        <w:fldChar w:fldCharType="begin"/>
      </w:r>
      <w:r w:rsidR="005F1D21">
        <w:rPr>
          <w:rFonts w:ascii="Segoe UI" w:hAnsi="Segoe UI" w:cs="Segoe UI"/>
          <w:lang w:eastAsia="en-US"/>
        </w:rPr>
        <w:instrText xml:space="preserve"> REF _Ref119062213 \h </w:instrText>
      </w:r>
      <w:r w:rsidR="005F1D21">
        <w:rPr>
          <w:rFonts w:ascii="Segoe UI" w:hAnsi="Segoe UI" w:cs="Segoe UI"/>
          <w:lang w:eastAsia="en-US"/>
        </w:rPr>
      </w:r>
      <w:r w:rsidR="005F1D21">
        <w:rPr>
          <w:rFonts w:ascii="Segoe UI" w:hAnsi="Segoe UI" w:cs="Segoe UI"/>
          <w:lang w:eastAsia="en-US"/>
        </w:rPr>
        <w:fldChar w:fldCharType="separate"/>
      </w:r>
      <w:r w:rsidR="005F1D21" w:rsidRPr="003253E8">
        <w:rPr>
          <w:b/>
          <w:bCs/>
        </w:rPr>
        <w:t xml:space="preserve">Figure </w:t>
      </w:r>
      <w:r w:rsidR="005F1D21">
        <w:rPr>
          <w:b/>
          <w:bCs/>
          <w:noProof/>
        </w:rPr>
        <w:t>1</w:t>
      </w:r>
      <w:r w:rsidR="005F1D21">
        <w:rPr>
          <w:rFonts w:ascii="Segoe UI" w:hAnsi="Segoe UI" w:cs="Segoe UI"/>
          <w:lang w:eastAsia="en-US"/>
        </w:rPr>
        <w:fldChar w:fldCharType="end"/>
      </w:r>
      <w:r w:rsidR="006F009E">
        <w:rPr>
          <w:rFonts w:ascii="Segoe UI" w:hAnsi="Segoe UI" w:cs="Segoe UI"/>
          <w:lang w:eastAsia="en-US"/>
        </w:rPr>
        <w:fldChar w:fldCharType="begin"/>
      </w:r>
      <w:r w:rsidR="006F009E">
        <w:rPr>
          <w:rFonts w:ascii="Segoe UI" w:hAnsi="Segoe UI" w:cs="Segoe UI"/>
          <w:lang w:eastAsia="en-US"/>
        </w:rPr>
        <w:instrText xml:space="preserve"> REF _Ref119059276 \h </w:instrText>
      </w:r>
      <w:r w:rsidR="006F009E">
        <w:rPr>
          <w:rFonts w:ascii="Segoe UI" w:hAnsi="Segoe UI" w:cs="Segoe UI"/>
          <w:lang w:eastAsia="en-US"/>
        </w:rPr>
      </w:r>
      <w:r w:rsidR="00912205">
        <w:rPr>
          <w:rFonts w:ascii="Segoe UI" w:hAnsi="Segoe UI" w:cs="Segoe UI"/>
          <w:lang w:eastAsia="en-US"/>
        </w:rPr>
        <w:fldChar w:fldCharType="separate"/>
      </w:r>
      <w:r w:rsidR="006F009E">
        <w:rPr>
          <w:rFonts w:ascii="Segoe UI" w:hAnsi="Segoe UI" w:cs="Segoe UI"/>
          <w:lang w:eastAsia="en-US"/>
        </w:rPr>
        <w:fldChar w:fldCharType="end"/>
      </w:r>
      <w:r w:rsidR="006F009E">
        <w:rPr>
          <w:rFonts w:ascii="Segoe UI" w:hAnsi="Segoe UI" w:cs="Segoe UI"/>
          <w:lang w:eastAsia="en-US"/>
        </w:rPr>
        <w:t>)</w:t>
      </w:r>
      <w:r w:rsidR="00E47923">
        <w:rPr>
          <w:rFonts w:ascii="Segoe UI" w:hAnsi="Segoe UI" w:cs="Segoe UI"/>
          <w:lang w:eastAsia="en-US"/>
        </w:rPr>
        <w:t>.</w:t>
      </w:r>
    </w:p>
    <w:p w14:paraId="5E110BE5" w14:textId="56CBBCE0" w:rsidR="00275143" w:rsidRDefault="00275143" w:rsidP="0018566D">
      <w:pPr>
        <w:spacing w:line="480" w:lineRule="auto"/>
        <w:rPr>
          <w:rFonts w:ascii="Segoe UI" w:hAnsi="Segoe UI" w:cs="Segoe UI"/>
          <w:lang w:eastAsia="en-US"/>
        </w:rPr>
      </w:pPr>
    </w:p>
    <w:p w14:paraId="6119D1A9" w14:textId="46863033" w:rsidR="00275143" w:rsidRDefault="00275143" w:rsidP="0018566D">
      <w:pPr>
        <w:spacing w:line="480" w:lineRule="auto"/>
        <w:rPr>
          <w:rFonts w:ascii="Segoe UI" w:hAnsi="Segoe UI" w:cs="Segoe UI"/>
          <w:lang w:eastAsia="en-US"/>
        </w:rPr>
      </w:pPr>
    </w:p>
    <w:p w14:paraId="24F3EF31" w14:textId="09138782" w:rsidR="00275143" w:rsidRDefault="00275143" w:rsidP="0018566D">
      <w:pPr>
        <w:spacing w:line="480" w:lineRule="auto"/>
        <w:rPr>
          <w:rFonts w:ascii="Segoe UI" w:hAnsi="Segoe UI" w:cs="Segoe UI"/>
          <w:lang w:eastAsia="en-US"/>
        </w:rPr>
      </w:pPr>
    </w:p>
    <w:p w14:paraId="7CF384C7" w14:textId="77777777" w:rsidR="00275143" w:rsidRDefault="00275143" w:rsidP="00275143">
      <w:pPr>
        <w:pStyle w:val="Caption"/>
        <w:keepNext/>
        <w:spacing w:line="480" w:lineRule="auto"/>
      </w:pPr>
      <w:r>
        <w:rPr>
          <w:rFonts w:ascii="Segoe UI" w:hAnsi="Segoe UI" w:cs="Segoe UI"/>
          <w:b/>
          <w:bCs/>
          <w:noProof/>
        </w:rPr>
        <w:lastRenderedPageBreak/>
        <w:drawing>
          <wp:inline distT="0" distB="0" distL="0" distR="0" wp14:anchorId="344FEA28" wp14:editId="78D6E130">
            <wp:extent cx="5731510" cy="8409305"/>
            <wp:effectExtent l="0" t="0" r="2540" b="0"/>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5731510" cy="8409305"/>
                    </a:xfrm>
                    <a:prstGeom prst="rect">
                      <a:avLst/>
                    </a:prstGeom>
                  </pic:spPr>
                </pic:pic>
              </a:graphicData>
            </a:graphic>
          </wp:inline>
        </w:drawing>
      </w:r>
    </w:p>
    <w:p w14:paraId="2539C539" w14:textId="46352C05" w:rsidR="00275143" w:rsidRPr="00C9492B" w:rsidRDefault="00275143" w:rsidP="00275143">
      <w:pPr>
        <w:pStyle w:val="Caption"/>
        <w:rPr>
          <w:b/>
          <w:bCs/>
          <w:i w:val="0"/>
          <w:iCs w:val="0"/>
        </w:rPr>
      </w:pPr>
      <w:bookmarkStart w:id="4" w:name="_Ref119062213"/>
      <w:r w:rsidRPr="00C9492B">
        <w:rPr>
          <w:b/>
          <w:bCs/>
          <w:i w:val="0"/>
          <w:iCs w:val="0"/>
        </w:rPr>
        <w:lastRenderedPageBreak/>
        <w:t xml:space="preserve">Figure </w:t>
      </w:r>
      <w:r w:rsidRPr="00C9492B">
        <w:rPr>
          <w:b/>
          <w:bCs/>
          <w:i w:val="0"/>
          <w:iCs w:val="0"/>
        </w:rPr>
        <w:fldChar w:fldCharType="begin"/>
      </w:r>
      <w:r w:rsidRPr="00C9492B">
        <w:rPr>
          <w:b/>
          <w:bCs/>
          <w:i w:val="0"/>
          <w:iCs w:val="0"/>
        </w:rPr>
        <w:instrText xml:space="preserve"> SEQ Figure \* ARABIC </w:instrText>
      </w:r>
      <w:r w:rsidRPr="00C9492B">
        <w:rPr>
          <w:b/>
          <w:bCs/>
          <w:i w:val="0"/>
          <w:iCs w:val="0"/>
        </w:rPr>
        <w:fldChar w:fldCharType="separate"/>
      </w:r>
      <w:r w:rsidRPr="00C9492B">
        <w:rPr>
          <w:b/>
          <w:bCs/>
          <w:i w:val="0"/>
          <w:iCs w:val="0"/>
          <w:noProof/>
        </w:rPr>
        <w:t>1</w:t>
      </w:r>
      <w:r w:rsidRPr="00C9492B">
        <w:rPr>
          <w:b/>
          <w:bCs/>
          <w:i w:val="0"/>
          <w:iCs w:val="0"/>
        </w:rPr>
        <w:fldChar w:fldCharType="end"/>
      </w:r>
      <w:bookmarkEnd w:id="4"/>
      <w:r w:rsidRPr="00C9492B">
        <w:rPr>
          <w:b/>
          <w:bCs/>
          <w:i w:val="0"/>
          <w:iCs w:val="0"/>
        </w:rPr>
        <w:t xml:space="preserve"> - Bioinformatic workflow with numbers of participants with biallelic genotypes for monogenic </w:t>
      </w:r>
      <w:r w:rsidRPr="00C9492B">
        <w:rPr>
          <w:b/>
          <w:bCs/>
        </w:rPr>
        <w:t>NPHP1</w:t>
      </w:r>
      <w:r w:rsidRPr="00C9492B">
        <w:rPr>
          <w:b/>
          <w:bCs/>
          <w:i w:val="0"/>
          <w:iCs w:val="0"/>
        </w:rPr>
        <w:t xml:space="preserve">-related disease. </w:t>
      </w:r>
      <w:r w:rsidRPr="00C9492B">
        <w:rPr>
          <w:i w:val="0"/>
          <w:iCs w:val="0"/>
        </w:rPr>
        <w:t>Comparison of genotype-to-phenotype approach (participants with and without penetrant renal or retinal phenotypes) and those reported by the GEL clinical pipeline are in brackets. Approach was fully sensitive to pick up individuals as solved by the GEL clinical interpretation pipeline at the time of writing.</w:t>
      </w:r>
    </w:p>
    <w:p w14:paraId="4D423774" w14:textId="77777777" w:rsidR="00275143" w:rsidRPr="00F0254C" w:rsidRDefault="00275143" w:rsidP="0018566D">
      <w:pPr>
        <w:spacing w:line="480" w:lineRule="auto"/>
        <w:rPr>
          <w:rFonts w:ascii="Segoe UI" w:hAnsi="Segoe UI" w:cs="Segoe UI"/>
          <w:lang w:eastAsia="en-US"/>
        </w:rPr>
      </w:pPr>
    </w:p>
    <w:p w14:paraId="4595BF8A" w14:textId="677C1550" w:rsidR="00173CD9" w:rsidRDefault="00173CD9" w:rsidP="00CD246B">
      <w:pPr>
        <w:pStyle w:val="Heading2"/>
        <w:rPr>
          <w:lang w:eastAsia="en-US"/>
        </w:rPr>
      </w:pPr>
      <w:r>
        <w:rPr>
          <w:lang w:eastAsia="en-US"/>
        </w:rPr>
        <w:t xml:space="preserve">Assessment of </w:t>
      </w:r>
      <w:r w:rsidR="007B17B9">
        <w:rPr>
          <w:lang w:eastAsia="en-US"/>
        </w:rPr>
        <w:t>pathogenicity of variants</w:t>
      </w:r>
    </w:p>
    <w:p w14:paraId="3BFE4AEF" w14:textId="0C9A5705" w:rsidR="003C61FB" w:rsidRDefault="00CE2CAC" w:rsidP="00621F24">
      <w:pPr>
        <w:spacing w:line="480" w:lineRule="auto"/>
        <w:rPr>
          <w:rFonts w:ascii="Segoe UI" w:hAnsi="Segoe UI" w:cs="Segoe UI"/>
        </w:rPr>
      </w:pPr>
      <w:r w:rsidRPr="00F0254C">
        <w:rPr>
          <w:rFonts w:ascii="Segoe UI" w:hAnsi="Segoe UI" w:cs="Segoe UI"/>
          <w:lang w:eastAsia="en-US"/>
        </w:rPr>
        <w:t>All SNVs &amp; i</w:t>
      </w:r>
      <w:r w:rsidR="003C61FB" w:rsidRPr="00F0254C">
        <w:rPr>
          <w:rFonts w:ascii="Segoe UI" w:hAnsi="Segoe UI" w:cs="Segoe UI"/>
          <w:lang w:eastAsia="en-US"/>
        </w:rPr>
        <w:t>ndels had allele frequencies less than or equal to 4 x 10</w:t>
      </w:r>
      <w:r w:rsidR="003C61FB" w:rsidRPr="00F0254C">
        <w:rPr>
          <w:rFonts w:ascii="Segoe UI" w:hAnsi="Segoe UI" w:cs="Segoe UI"/>
          <w:vertAlign w:val="superscript"/>
          <w:lang w:eastAsia="en-US"/>
        </w:rPr>
        <w:t>-3</w:t>
      </w:r>
      <w:r w:rsidR="003C61FB" w:rsidRPr="00F0254C">
        <w:rPr>
          <w:rFonts w:ascii="Segoe UI" w:hAnsi="Segoe UI" w:cs="Segoe UI"/>
          <w:lang w:eastAsia="en-US"/>
        </w:rPr>
        <w:t xml:space="preserve"> according to gnomAD v3.0 and CADD 1.6 PHRED scores between 15 and 47 (see</w:t>
      </w:r>
      <w:r w:rsidR="000B40AE" w:rsidRPr="00F0254C">
        <w:rPr>
          <w:rFonts w:ascii="Segoe UI" w:hAnsi="Segoe UI" w:cs="Segoe UI"/>
          <w:lang w:eastAsia="en-US"/>
        </w:rPr>
        <w:t xml:space="preserve"> </w:t>
      </w:r>
      <w:r w:rsidR="000B40AE" w:rsidRPr="00F0254C">
        <w:rPr>
          <w:rFonts w:ascii="Segoe UI" w:hAnsi="Segoe UI" w:cs="Segoe UI"/>
          <w:lang w:eastAsia="en-US"/>
        </w:rPr>
        <w:fldChar w:fldCharType="begin"/>
      </w:r>
      <w:r w:rsidR="000B40AE" w:rsidRPr="00F0254C">
        <w:rPr>
          <w:rFonts w:ascii="Segoe UI" w:hAnsi="Segoe UI" w:cs="Segoe UI"/>
          <w:lang w:eastAsia="en-US"/>
        </w:rPr>
        <w:instrText xml:space="preserve"> REF _Ref81575030 \h </w:instrText>
      </w:r>
      <w:r w:rsidR="007043C2" w:rsidRPr="00F0254C">
        <w:rPr>
          <w:rFonts w:ascii="Segoe UI" w:hAnsi="Segoe UI" w:cs="Segoe UI"/>
          <w:lang w:eastAsia="en-US"/>
        </w:rPr>
        <w:instrText xml:space="preserve"> \* MERGEFORMAT </w:instrText>
      </w:r>
      <w:r w:rsidR="000B40AE" w:rsidRPr="00F0254C">
        <w:rPr>
          <w:rFonts w:ascii="Segoe UI" w:hAnsi="Segoe UI" w:cs="Segoe UI"/>
          <w:lang w:eastAsia="en-US"/>
        </w:rPr>
      </w:r>
      <w:r w:rsidR="000B40AE" w:rsidRPr="00F0254C">
        <w:rPr>
          <w:rFonts w:ascii="Segoe UI" w:hAnsi="Segoe UI" w:cs="Segoe UI"/>
          <w:lang w:eastAsia="en-US"/>
        </w:rPr>
        <w:fldChar w:fldCharType="separate"/>
      </w:r>
      <w:r w:rsidR="000554B0" w:rsidRPr="00F0254C">
        <w:rPr>
          <w:rFonts w:ascii="Segoe UI" w:hAnsi="Segoe UI" w:cs="Segoe UI"/>
          <w:b/>
          <w:bCs/>
        </w:rPr>
        <w:t xml:space="preserve">Table </w:t>
      </w:r>
      <w:r w:rsidR="000554B0">
        <w:rPr>
          <w:rFonts w:ascii="Segoe UI" w:hAnsi="Segoe UI" w:cs="Segoe UI"/>
          <w:b/>
          <w:bCs/>
          <w:noProof/>
        </w:rPr>
        <w:t>3</w:t>
      </w:r>
      <w:r w:rsidR="000B40AE" w:rsidRPr="00F0254C">
        <w:rPr>
          <w:rFonts w:ascii="Segoe UI" w:hAnsi="Segoe UI" w:cs="Segoe UI"/>
          <w:lang w:eastAsia="en-US"/>
        </w:rPr>
        <w:fldChar w:fldCharType="end"/>
      </w:r>
      <w:r w:rsidR="003C61FB" w:rsidRPr="00F0254C">
        <w:rPr>
          <w:rFonts w:ascii="Segoe UI" w:hAnsi="Segoe UI" w:cs="Segoe UI"/>
          <w:lang w:eastAsia="en-US"/>
        </w:rPr>
        <w:t xml:space="preserve">). Assessment of pathogenicity of variants was undertaken </w:t>
      </w:r>
      <w:r w:rsidR="001B7943" w:rsidRPr="00F0254C">
        <w:rPr>
          <w:rFonts w:ascii="Segoe UI" w:hAnsi="Segoe UI" w:cs="Segoe UI"/>
          <w:lang w:eastAsia="en-US"/>
        </w:rPr>
        <w:t>following</w:t>
      </w:r>
      <w:r w:rsidR="003C61FB" w:rsidRPr="00F0254C">
        <w:rPr>
          <w:rFonts w:ascii="Segoe UI" w:hAnsi="Segoe UI" w:cs="Segoe UI"/>
          <w:lang w:eastAsia="en-US"/>
        </w:rPr>
        <w:t xml:space="preserve"> the American College of Medical Genetics and Genomics </w:t>
      </w:r>
      <w:r w:rsidR="00D73F2C" w:rsidRPr="00F0254C">
        <w:rPr>
          <w:rFonts w:ascii="Segoe UI" w:hAnsi="Segoe UI" w:cs="Segoe UI"/>
          <w:lang w:eastAsia="en-US"/>
        </w:rPr>
        <w:t xml:space="preserve">(ACMG) </w:t>
      </w:r>
      <w:r w:rsidR="003C61FB" w:rsidRPr="00F0254C">
        <w:rPr>
          <w:rFonts w:ascii="Segoe UI" w:hAnsi="Segoe UI" w:cs="Segoe UI"/>
          <w:lang w:eastAsia="en-US"/>
        </w:rPr>
        <w:t xml:space="preserve">and the Association for Molecular Pathology guidelines for the interpretation of sequence variants. </w:t>
      </w:r>
      <w:r w:rsidR="003C61FB" w:rsidRPr="00F0254C">
        <w:rPr>
          <w:rFonts w:ascii="Segoe UI" w:hAnsi="Segoe UI" w:cs="Segoe UI"/>
          <w:lang w:eastAsia="en-US"/>
        </w:rPr>
        <w:fldChar w:fldCharType="begin" w:fldLock="1"/>
      </w:r>
      <w:r w:rsidR="00C275EA">
        <w:rPr>
          <w:rFonts w:ascii="Segoe UI" w:hAnsi="Segoe UI" w:cs="Segoe UI"/>
          <w:lang w:eastAsia="en-US"/>
        </w:rPr>
        <w:instrText>ADDIN CSL_CITATION {"citationItems":[{"id":"ITEM-1","itemData":{"DOI":"10.1038/gim.2015.30","ISSN":"15300366","abstract":"The American College of Medical Genetics and Genomics (ACMG) previously developed guidance for the interpretation of sequence variants.(1) In the past decade, sequencing technology has evolved rapidly with the advent of high-throughput next-generation sequencing. By adopting and leveraging next-generation sequencing, clinical laboratories are now performing an ever-increasing catalogue of genetic testing spanning genotyping, single genes, gene panels, exomes, genomes, transcriptomes, and epigenetic assays for genetic disorders. By virtue of increased complexity, this shift in genetic testing has been accompanied by new challenges in sequence interpretation. In this context the ACMG convened a workgroup in 2013 comprising representatives from the ACMG, the Association for Molecular Pathology (AMP), and the College of American Pathologists to revisit and revise the standards and guidelines for the interpretation of sequence variants. The group consisted of clinical laboratory directors and clinicians. This report represents expert opinion of the workgroup with input from ACMG, AMP, and College of American Pathologists stakeholders. These recommendations primarily apply to the breadth of genetic tests used in clinical laboratories, including genotyping, single genes, panels, exomes, and genomes. This report recommends the use of specific standard terminology-\"pathogenic,\" \"likely pathogenic,\" \"uncertain significance,\" \"likely benign,\" and \"benign\"-to describe variants identified in genes that cause Mendelian disorders. Moreover, this recommendation describes a process for classifying variants into these five categories based on criteria using typical types of variant evidence (e.g., population data, computational data, functional data, segregation data). Because of the increased complexity of analysis and interpretation of clinical genetic testing described in this report, the ACMG strongly recommends that clinical molecular genetic testing should be performed in a Clinical Laboratory Improvement Amendments-approved laboratory, with results interpreted by a board-certified clinical molecular geneticist or molecular genetic pathologist or the equivalent.","author":[{"dropping-particle":"","family":"Richards","given":"Sue","non-dropping-particle":"","parse-names":false,"suffix":""},{"dropping-particle":"","family":"Aziz","given":"Nazneen","non-dropping-particle":"","parse-names":false,"suffix":""},{"dropping-particle":"","family":"Bale","given":"Sherri","non-dropping-particle":"","parse-names":false,"suffix":""},{"dropping-particle":"","family":"Bick","given":"David","non-dropping-particle":"","parse-names":false,"suffix":""},{"dropping-particle":"","family":"Das","given":"Soma","non-dropping-particle":"","parse-names":false,"suffix":""},{"dropping-particle":"","family":"Gastier-Foster","given":"Julie","non-dropping-particle":"","parse-names":false,"suffix":""},{"dropping-particle":"","family":"Grody","given":"Wayne W","non-dropping-particle":"","parse-names":false,"suffix":""},{"dropping-particle":"","family":"Hegde","given":"Madhuri","non-dropping-particle":"","parse-names":false,"suffix":""},{"dropping-particle":"","family":"Lyon","given":"Elaine","non-dropping-particle":"","parse-names":false,"suffix":""},{"dropping-particle":"","family":"Spector","given":"Elaine","non-dropping-particle":"","parse-names":false,"suffix":""},{"dropping-particle":"","family":"Voelkerding","given":"Karl","non-dropping-particle":"","parse-names":false,"suffix":""},{"dropping-particle":"","family":"Rehm","given":"Heidi L","non-dropping-particle":"","parse-names":false,"suffix":""}],"container-title":"Genetics in Medicine","id":"ITEM-1","issue":"5","issued":{"date-parts":[["2015"]]},"page":"405-424","title":"Standards and guidelines for the interpretation of sequence variants: A joint consensus recommendation of the American College of Medical Genetics and Genomics and the Association for Molecular Pathology","type":"article-journal","volume":"17"},"uris":["http://www.mendeley.com/documents/?uuid=5bb0446d-a5d4-30eb-983d-5138bb741f40"]}],"mendeley":{"formattedCitation":"&lt;span style=\"baseline\"&gt;[42]&lt;/span&gt;","plainTextFormattedCitation":"[42]","previouslyFormattedCitation":"&lt;span style=\"baseline\"&gt;[42]&lt;/span&gt;"},"properties":{"noteIndex":0},"schema":"https://github.com/citation-style-language/schema/raw/master/csl-citation.json"}</w:instrText>
      </w:r>
      <w:r w:rsidR="003C61FB" w:rsidRPr="00F0254C">
        <w:rPr>
          <w:rFonts w:ascii="Segoe UI" w:hAnsi="Segoe UI" w:cs="Segoe UI"/>
          <w:lang w:eastAsia="en-US"/>
        </w:rPr>
        <w:fldChar w:fldCharType="separate"/>
      </w:r>
      <w:r w:rsidR="00621F24" w:rsidRPr="00621F24">
        <w:rPr>
          <w:rFonts w:ascii="Segoe UI" w:hAnsi="Segoe UI" w:cs="Segoe UI"/>
          <w:noProof/>
          <w:lang w:eastAsia="en-US"/>
        </w:rPr>
        <w:t>[42]</w:t>
      </w:r>
      <w:r w:rsidR="003C61FB" w:rsidRPr="00F0254C">
        <w:rPr>
          <w:rFonts w:ascii="Segoe UI" w:hAnsi="Segoe UI" w:cs="Segoe UI"/>
          <w:lang w:eastAsia="en-US"/>
        </w:rPr>
        <w:fldChar w:fldCharType="end"/>
      </w:r>
      <w:r w:rsidR="003C61FB" w:rsidRPr="00F0254C">
        <w:rPr>
          <w:rFonts w:ascii="Segoe UI" w:hAnsi="Segoe UI" w:cs="Segoe UI"/>
          <w:lang w:eastAsia="en-US"/>
        </w:rPr>
        <w:t xml:space="preserve"> </w:t>
      </w:r>
      <w:r w:rsidR="003C61FB" w:rsidRPr="00F0254C">
        <w:rPr>
          <w:rFonts w:ascii="Segoe UI" w:hAnsi="Segoe UI" w:cs="Segoe UI"/>
        </w:rPr>
        <w:t xml:space="preserve">Phasing of GEL whole genome sequencing is not available, and confirmation in participants with possible compound heterozygous mutations required analysis of parent genomes where available. However, the compound heterozygous missense mutations must be </w:t>
      </w:r>
      <w:r w:rsidR="003C61FB" w:rsidRPr="00F0254C">
        <w:rPr>
          <w:rFonts w:ascii="Segoe UI" w:hAnsi="Segoe UI" w:cs="Segoe UI"/>
          <w:i/>
          <w:iCs/>
        </w:rPr>
        <w:t>in-trans</w:t>
      </w:r>
      <w:r w:rsidR="003C61FB" w:rsidRPr="00F0254C">
        <w:rPr>
          <w:rFonts w:ascii="Segoe UI" w:hAnsi="Segoe UI" w:cs="Segoe UI"/>
        </w:rPr>
        <w:t xml:space="preserve"> with heterozygous CNV deletion</w:t>
      </w:r>
      <w:r w:rsidR="00125145" w:rsidRPr="00F0254C">
        <w:rPr>
          <w:rFonts w:ascii="Segoe UI" w:hAnsi="Segoe UI" w:cs="Segoe UI"/>
        </w:rPr>
        <w:t>s</w:t>
      </w:r>
      <w:r w:rsidR="001B7943" w:rsidRPr="00F0254C">
        <w:rPr>
          <w:rFonts w:ascii="Segoe UI" w:hAnsi="Segoe UI" w:cs="Segoe UI"/>
        </w:rPr>
        <w:t>,</w:t>
      </w:r>
      <w:r w:rsidR="003C61FB" w:rsidRPr="00F0254C">
        <w:rPr>
          <w:rFonts w:ascii="Segoe UI" w:hAnsi="Segoe UI" w:cs="Segoe UI"/>
        </w:rPr>
        <w:t xml:space="preserve"> </w:t>
      </w:r>
      <w:r w:rsidR="00125145" w:rsidRPr="00F0254C">
        <w:rPr>
          <w:rFonts w:ascii="Segoe UI" w:hAnsi="Segoe UI" w:cs="Segoe UI"/>
        </w:rPr>
        <w:t>whereas</w:t>
      </w:r>
      <w:r w:rsidR="003C61FB" w:rsidRPr="00F0254C">
        <w:rPr>
          <w:rFonts w:ascii="Segoe UI" w:hAnsi="Segoe UI" w:cs="Segoe UI"/>
        </w:rPr>
        <w:t xml:space="preserve"> homozygous variants do not require phase information. Assessment of parental genomes for segregation of candidate variant</w:t>
      </w:r>
      <w:r w:rsidR="001B7943" w:rsidRPr="00F0254C">
        <w:rPr>
          <w:rFonts w:ascii="Segoe UI" w:hAnsi="Segoe UI" w:cs="Segoe UI"/>
        </w:rPr>
        <w:t>s</w:t>
      </w:r>
      <w:r w:rsidR="003C61FB" w:rsidRPr="00F0254C">
        <w:rPr>
          <w:rFonts w:ascii="Segoe UI" w:hAnsi="Segoe UI" w:cs="Segoe UI"/>
        </w:rPr>
        <w:t xml:space="preserve"> was possible in three cases. Participant nine was possibl</w:t>
      </w:r>
      <w:r w:rsidR="00125145" w:rsidRPr="00F0254C">
        <w:rPr>
          <w:rFonts w:ascii="Segoe UI" w:hAnsi="Segoe UI" w:cs="Segoe UI"/>
        </w:rPr>
        <w:t>y</w:t>
      </w:r>
      <w:r w:rsidR="003C61FB" w:rsidRPr="00F0254C">
        <w:rPr>
          <w:rFonts w:ascii="Segoe UI" w:hAnsi="Segoe UI" w:cs="Segoe UI"/>
        </w:rPr>
        <w:t xml:space="preserve"> compound heterozygous for R66</w:t>
      </w:r>
      <w:r w:rsidR="003B49F1" w:rsidRPr="00F0254C">
        <w:rPr>
          <w:rFonts w:ascii="Segoe UI" w:hAnsi="Segoe UI" w:cs="Segoe UI"/>
        </w:rPr>
        <w:t>8</w:t>
      </w:r>
      <w:r w:rsidR="003C61FB" w:rsidRPr="00F0254C">
        <w:rPr>
          <w:rFonts w:ascii="Segoe UI" w:hAnsi="Segoe UI" w:cs="Segoe UI"/>
        </w:rPr>
        <w:t>C and S66</w:t>
      </w:r>
      <w:r w:rsidR="003B49F1" w:rsidRPr="00F0254C">
        <w:rPr>
          <w:rFonts w:ascii="Segoe UI" w:hAnsi="Segoe UI" w:cs="Segoe UI"/>
        </w:rPr>
        <w:t>6</w:t>
      </w:r>
      <w:r w:rsidR="003C61FB" w:rsidRPr="00F0254C">
        <w:rPr>
          <w:rFonts w:ascii="Segoe UI" w:hAnsi="Segoe UI" w:cs="Segoe UI"/>
        </w:rPr>
        <w:t>C</w:t>
      </w:r>
      <w:r w:rsidR="001B7943" w:rsidRPr="00F0254C">
        <w:rPr>
          <w:rFonts w:ascii="Segoe UI" w:hAnsi="Segoe UI" w:cs="Segoe UI"/>
        </w:rPr>
        <w:t>;</w:t>
      </w:r>
      <w:r w:rsidR="003C61FB" w:rsidRPr="00F0254C">
        <w:rPr>
          <w:rFonts w:ascii="Segoe UI" w:hAnsi="Segoe UI" w:cs="Segoe UI"/>
        </w:rPr>
        <w:t xml:space="preserve"> however</w:t>
      </w:r>
      <w:r w:rsidR="001B7943" w:rsidRPr="00F0254C">
        <w:rPr>
          <w:rFonts w:ascii="Segoe UI" w:hAnsi="Segoe UI" w:cs="Segoe UI"/>
        </w:rPr>
        <w:t>,</w:t>
      </w:r>
      <w:r w:rsidR="003C61FB" w:rsidRPr="00F0254C">
        <w:rPr>
          <w:rFonts w:ascii="Segoe UI" w:hAnsi="Segoe UI" w:cs="Segoe UI"/>
        </w:rPr>
        <w:t xml:space="preserve"> both variants were present in the father</w:t>
      </w:r>
      <w:r w:rsidR="001B7943" w:rsidRPr="00F0254C">
        <w:rPr>
          <w:rFonts w:ascii="Segoe UI" w:hAnsi="Segoe UI" w:cs="Segoe UI"/>
        </w:rPr>
        <w:t>,</w:t>
      </w:r>
      <w:r w:rsidR="003C61FB" w:rsidRPr="00F0254C">
        <w:rPr>
          <w:rFonts w:ascii="Segoe UI" w:hAnsi="Segoe UI" w:cs="Segoe UI"/>
        </w:rPr>
        <w:t xml:space="preserve"> confirming </w:t>
      </w:r>
      <w:r w:rsidR="000F0525" w:rsidRPr="00F0254C">
        <w:rPr>
          <w:rFonts w:ascii="Segoe UI" w:hAnsi="Segoe UI" w:cs="Segoe UI"/>
        </w:rPr>
        <w:t>presen</w:t>
      </w:r>
      <w:r w:rsidR="00125145" w:rsidRPr="00F0254C">
        <w:rPr>
          <w:rFonts w:ascii="Segoe UI" w:hAnsi="Segoe UI" w:cs="Segoe UI"/>
        </w:rPr>
        <w:t>c</w:t>
      </w:r>
      <w:r w:rsidR="000F0525" w:rsidRPr="00F0254C">
        <w:rPr>
          <w:rFonts w:ascii="Segoe UI" w:hAnsi="Segoe UI" w:cs="Segoe UI"/>
        </w:rPr>
        <w:t xml:space="preserve">e </w:t>
      </w:r>
      <w:r w:rsidR="003C61FB" w:rsidRPr="00F0254C">
        <w:rPr>
          <w:rFonts w:ascii="Segoe UI" w:hAnsi="Segoe UI" w:cs="Segoe UI"/>
          <w:i/>
          <w:iCs/>
        </w:rPr>
        <w:t>in-cis</w:t>
      </w:r>
      <w:r w:rsidR="003C61FB" w:rsidRPr="00F0254C">
        <w:rPr>
          <w:rFonts w:ascii="Segoe UI" w:hAnsi="Segoe UI" w:cs="Segoe UI"/>
        </w:rPr>
        <w:t>. Participant thirty</w:t>
      </w:r>
      <w:r w:rsidR="001B7943" w:rsidRPr="00F0254C">
        <w:rPr>
          <w:rFonts w:ascii="Segoe UI" w:hAnsi="Segoe UI" w:cs="Segoe UI"/>
        </w:rPr>
        <w:t>-</w:t>
      </w:r>
      <w:r w:rsidR="003C61FB" w:rsidRPr="00F0254C">
        <w:rPr>
          <w:rFonts w:ascii="Segoe UI" w:hAnsi="Segoe UI" w:cs="Segoe UI"/>
        </w:rPr>
        <w:t>three was possibl</w:t>
      </w:r>
      <w:r w:rsidR="000F0525" w:rsidRPr="00F0254C">
        <w:rPr>
          <w:rFonts w:ascii="Segoe UI" w:hAnsi="Segoe UI" w:cs="Segoe UI"/>
        </w:rPr>
        <w:t>y</w:t>
      </w:r>
      <w:r w:rsidR="003C61FB" w:rsidRPr="00F0254C">
        <w:rPr>
          <w:rFonts w:ascii="Segoe UI" w:hAnsi="Segoe UI" w:cs="Segoe UI"/>
        </w:rPr>
        <w:t xml:space="preserve"> compound heterozygous for R54</w:t>
      </w:r>
      <w:r w:rsidR="003B49F1" w:rsidRPr="00F0254C">
        <w:rPr>
          <w:rFonts w:ascii="Segoe UI" w:hAnsi="Segoe UI" w:cs="Segoe UI"/>
        </w:rPr>
        <w:t>5</w:t>
      </w:r>
      <w:r w:rsidR="003C61FB" w:rsidRPr="00F0254C">
        <w:rPr>
          <w:rFonts w:ascii="Segoe UI" w:hAnsi="Segoe UI" w:cs="Segoe UI"/>
        </w:rPr>
        <w:t>K and R44</w:t>
      </w:r>
      <w:r w:rsidR="003B49F1" w:rsidRPr="00F0254C">
        <w:rPr>
          <w:rFonts w:ascii="Segoe UI" w:hAnsi="Segoe UI" w:cs="Segoe UI"/>
        </w:rPr>
        <w:t>4</w:t>
      </w:r>
      <w:r w:rsidR="003C61FB" w:rsidRPr="00F0254C">
        <w:rPr>
          <w:rFonts w:ascii="Segoe UI" w:hAnsi="Segoe UI" w:cs="Segoe UI"/>
        </w:rPr>
        <w:t>C</w:t>
      </w:r>
      <w:r w:rsidR="001B7943" w:rsidRPr="00F0254C">
        <w:rPr>
          <w:rFonts w:ascii="Segoe UI" w:hAnsi="Segoe UI" w:cs="Segoe UI"/>
        </w:rPr>
        <w:t>;</w:t>
      </w:r>
      <w:r w:rsidR="003C61FB" w:rsidRPr="00F0254C">
        <w:rPr>
          <w:rFonts w:ascii="Segoe UI" w:hAnsi="Segoe UI" w:cs="Segoe UI"/>
        </w:rPr>
        <w:t xml:space="preserve"> however</w:t>
      </w:r>
      <w:r w:rsidR="001B7943" w:rsidRPr="00F0254C">
        <w:rPr>
          <w:rFonts w:ascii="Segoe UI" w:hAnsi="Segoe UI" w:cs="Segoe UI"/>
        </w:rPr>
        <w:t>,</w:t>
      </w:r>
      <w:r w:rsidR="003C61FB" w:rsidRPr="00F0254C">
        <w:rPr>
          <w:rFonts w:ascii="Segoe UI" w:hAnsi="Segoe UI" w:cs="Segoe UI"/>
        </w:rPr>
        <w:t xml:space="preserve"> both variant</w:t>
      </w:r>
      <w:r w:rsidR="006C1670" w:rsidRPr="00F0254C">
        <w:rPr>
          <w:rFonts w:ascii="Segoe UI" w:hAnsi="Segoe UI" w:cs="Segoe UI"/>
        </w:rPr>
        <w:t>s</w:t>
      </w:r>
      <w:r w:rsidR="003C61FB" w:rsidRPr="00F0254C">
        <w:rPr>
          <w:rFonts w:ascii="Segoe UI" w:hAnsi="Segoe UI" w:cs="Segoe UI"/>
        </w:rPr>
        <w:t xml:space="preserve"> were present in the participant</w:t>
      </w:r>
      <w:r w:rsidR="001B7943" w:rsidRPr="00F0254C">
        <w:rPr>
          <w:rFonts w:ascii="Segoe UI" w:hAnsi="Segoe UI" w:cs="Segoe UI"/>
        </w:rPr>
        <w:t>'</w:t>
      </w:r>
      <w:r w:rsidR="003C61FB" w:rsidRPr="00F0254C">
        <w:rPr>
          <w:rFonts w:ascii="Segoe UI" w:hAnsi="Segoe UI" w:cs="Segoe UI"/>
        </w:rPr>
        <w:t>s mother</w:t>
      </w:r>
      <w:r w:rsidR="001B7943" w:rsidRPr="00F0254C">
        <w:rPr>
          <w:rFonts w:ascii="Segoe UI" w:hAnsi="Segoe UI" w:cs="Segoe UI"/>
        </w:rPr>
        <w:t>,</w:t>
      </w:r>
      <w:r w:rsidR="003C61FB" w:rsidRPr="00F0254C">
        <w:rPr>
          <w:rFonts w:ascii="Segoe UI" w:hAnsi="Segoe UI" w:cs="Segoe UI"/>
        </w:rPr>
        <w:t xml:space="preserve"> confirming presen</w:t>
      </w:r>
      <w:r w:rsidR="00125145" w:rsidRPr="00F0254C">
        <w:rPr>
          <w:rFonts w:ascii="Segoe UI" w:hAnsi="Segoe UI" w:cs="Segoe UI"/>
        </w:rPr>
        <w:t>ce</w:t>
      </w:r>
      <w:r w:rsidR="003C61FB" w:rsidRPr="00F0254C">
        <w:rPr>
          <w:rFonts w:ascii="Segoe UI" w:hAnsi="Segoe UI" w:cs="Segoe UI"/>
        </w:rPr>
        <w:t xml:space="preserve"> </w:t>
      </w:r>
      <w:r w:rsidR="003C61FB" w:rsidRPr="00F0254C">
        <w:rPr>
          <w:rFonts w:ascii="Segoe UI" w:hAnsi="Segoe UI" w:cs="Segoe UI"/>
          <w:i/>
          <w:iCs/>
        </w:rPr>
        <w:t>in-cis</w:t>
      </w:r>
      <w:r w:rsidR="003C61FB" w:rsidRPr="00F0254C">
        <w:rPr>
          <w:rFonts w:ascii="Segoe UI" w:hAnsi="Segoe UI" w:cs="Segoe UI"/>
        </w:rPr>
        <w:t>. Compound heterozygous variants in participant fourteen (R6</w:t>
      </w:r>
      <w:r w:rsidR="003B49F1" w:rsidRPr="00F0254C">
        <w:rPr>
          <w:rFonts w:ascii="Segoe UI" w:hAnsi="Segoe UI" w:cs="Segoe UI"/>
        </w:rPr>
        <w:t>39</w:t>
      </w:r>
      <w:r w:rsidR="003C61FB" w:rsidRPr="00F0254C">
        <w:rPr>
          <w:rFonts w:ascii="Segoe UI" w:hAnsi="Segoe UI" w:cs="Segoe UI"/>
        </w:rPr>
        <w:t xml:space="preserve">I and Y78H) were confirmed to segregate with one variant in each parent. No variants were demonstrated to be </w:t>
      </w:r>
      <w:r w:rsidR="006C1670" w:rsidRPr="00F0254C">
        <w:rPr>
          <w:rFonts w:ascii="Segoe UI" w:hAnsi="Segoe UI" w:cs="Segoe UI"/>
          <w:i/>
          <w:iCs/>
        </w:rPr>
        <w:t>de novo</w:t>
      </w:r>
      <w:r w:rsidR="003C61FB" w:rsidRPr="00F0254C">
        <w:rPr>
          <w:rFonts w:ascii="Segoe UI" w:hAnsi="Segoe UI" w:cs="Segoe UI"/>
        </w:rPr>
        <w:t>. No variants were predicted to affect splicing</w:t>
      </w:r>
      <w:r w:rsidR="001B7943" w:rsidRPr="00F0254C">
        <w:rPr>
          <w:rFonts w:ascii="Segoe UI" w:hAnsi="Segoe UI" w:cs="Segoe UI"/>
        </w:rPr>
        <w:t>, including many</w:t>
      </w:r>
      <w:r w:rsidR="003C61FB" w:rsidRPr="00F0254C">
        <w:rPr>
          <w:rFonts w:ascii="Segoe UI" w:hAnsi="Segoe UI" w:cs="Segoe UI"/>
        </w:rPr>
        <w:t xml:space="preserve"> intronic variants with moderate to high CADD scores. A list of these variants</w:t>
      </w:r>
      <w:r w:rsidR="001B7943" w:rsidRPr="00F0254C">
        <w:rPr>
          <w:rFonts w:ascii="Segoe UI" w:hAnsi="Segoe UI" w:cs="Segoe UI"/>
        </w:rPr>
        <w:t>,</w:t>
      </w:r>
      <w:r w:rsidR="003C61FB" w:rsidRPr="00F0254C">
        <w:rPr>
          <w:rFonts w:ascii="Segoe UI" w:hAnsi="Segoe UI" w:cs="Segoe UI"/>
        </w:rPr>
        <w:t xml:space="preserve"> </w:t>
      </w:r>
      <w:r w:rsidR="001B7943" w:rsidRPr="00F0254C">
        <w:rPr>
          <w:rFonts w:ascii="Segoe UI" w:hAnsi="Segoe UI" w:cs="Segoe UI"/>
        </w:rPr>
        <w:t>including</w:t>
      </w:r>
      <w:r w:rsidR="003C61FB" w:rsidRPr="00F0254C">
        <w:rPr>
          <w:rFonts w:ascii="Segoe UI" w:hAnsi="Segoe UI" w:cs="Segoe UI"/>
        </w:rPr>
        <w:t xml:space="preserve"> heterozygous pathogenic variants and those that failed to segregate or </w:t>
      </w:r>
      <w:r w:rsidR="00125145" w:rsidRPr="00F0254C">
        <w:rPr>
          <w:rFonts w:ascii="Segoe UI" w:hAnsi="Segoe UI" w:cs="Segoe UI"/>
        </w:rPr>
        <w:t xml:space="preserve">were </w:t>
      </w:r>
      <w:r w:rsidR="003C61FB" w:rsidRPr="00F0254C">
        <w:rPr>
          <w:rFonts w:ascii="Segoe UI" w:hAnsi="Segoe UI" w:cs="Segoe UI"/>
        </w:rPr>
        <w:t>predicted benign in ClinVar</w:t>
      </w:r>
      <w:r w:rsidR="001B7943" w:rsidRPr="00F0254C">
        <w:rPr>
          <w:rFonts w:ascii="Segoe UI" w:hAnsi="Segoe UI" w:cs="Segoe UI"/>
        </w:rPr>
        <w:t>,</w:t>
      </w:r>
      <w:r w:rsidR="003C61FB" w:rsidRPr="00F0254C">
        <w:rPr>
          <w:rFonts w:ascii="Segoe UI" w:hAnsi="Segoe UI" w:cs="Segoe UI"/>
        </w:rPr>
        <w:t xml:space="preserve"> are included in </w:t>
      </w:r>
      <w:r w:rsidR="00B00121" w:rsidRPr="00F0254C">
        <w:rPr>
          <w:rFonts w:ascii="Segoe UI" w:hAnsi="Segoe UI" w:cs="Segoe UI"/>
        </w:rPr>
        <w:t>supplemental data</w:t>
      </w:r>
      <w:r w:rsidR="00B64EBD" w:rsidRPr="00F0254C">
        <w:rPr>
          <w:rFonts w:ascii="Segoe UI" w:hAnsi="Segoe UI" w:cs="Segoe UI"/>
        </w:rPr>
        <w:t xml:space="preserve"> (see supplementary table 1)</w:t>
      </w:r>
      <w:r w:rsidR="003C61FB" w:rsidRPr="00F0254C">
        <w:rPr>
          <w:rFonts w:ascii="Segoe UI" w:hAnsi="Segoe UI" w:cs="Segoe UI"/>
        </w:rPr>
        <w:t>.</w:t>
      </w:r>
    </w:p>
    <w:p w14:paraId="52F47F25" w14:textId="166A40A6" w:rsidR="007B17B9" w:rsidRPr="00F0254C" w:rsidRDefault="007B17B9" w:rsidP="00CD246B">
      <w:pPr>
        <w:pStyle w:val="Heading2"/>
      </w:pPr>
      <w:r>
        <w:lastRenderedPageBreak/>
        <w:t>Copy Number Variant (CNV) analyses</w:t>
      </w:r>
    </w:p>
    <w:p w14:paraId="643CBC9D" w14:textId="46C25BE7" w:rsidR="00DB6A59" w:rsidRPr="00F0254C" w:rsidRDefault="003C61FB" w:rsidP="00DB6A59">
      <w:pPr>
        <w:spacing w:line="480" w:lineRule="auto"/>
        <w:rPr>
          <w:rFonts w:ascii="Segoe UI" w:hAnsi="Segoe UI" w:cs="Segoe UI"/>
          <w:lang w:eastAsia="en-US"/>
        </w:rPr>
      </w:pPr>
      <w:r w:rsidRPr="00F0254C">
        <w:rPr>
          <w:rFonts w:ascii="Segoe UI" w:hAnsi="Segoe UI" w:cs="Segoe UI"/>
          <w:lang w:eastAsia="en-US"/>
        </w:rPr>
        <w:t xml:space="preserve">CNV analysis revealed 424/78,050 participants from 344 families (0.54%) with CNV deletions identified across cancer and rare disease cohorts. The allele frequency of CNV deletions was similar in cancer and rare disease cohorts </w:t>
      </w:r>
      <w:r w:rsidR="00DB6A59" w:rsidRPr="00F0254C">
        <w:rPr>
          <w:rFonts w:ascii="Segoe UI" w:hAnsi="Segoe UI" w:cs="Segoe UI"/>
          <w:lang w:eastAsia="en-US"/>
        </w:rPr>
        <w:t xml:space="preserve">and twice the rate described in gnomAD SV v2.1 </w:t>
      </w:r>
      <w:r w:rsidRPr="00F0254C">
        <w:rPr>
          <w:rFonts w:ascii="Segoe UI" w:hAnsi="Segoe UI" w:cs="Segoe UI"/>
          <w:lang w:eastAsia="en-US"/>
        </w:rPr>
        <w:t>(</w:t>
      </w:r>
      <w:r w:rsidR="000B40AE" w:rsidRPr="00F0254C">
        <w:rPr>
          <w:rFonts w:ascii="Segoe UI" w:hAnsi="Segoe UI" w:cs="Segoe UI"/>
          <w:lang w:eastAsia="en-US"/>
        </w:rPr>
        <w:t xml:space="preserve">see </w:t>
      </w:r>
      <w:r w:rsidR="000B40AE" w:rsidRPr="00F0254C">
        <w:rPr>
          <w:rFonts w:ascii="Segoe UI" w:hAnsi="Segoe UI" w:cs="Segoe UI"/>
          <w:lang w:eastAsia="en-US"/>
        </w:rPr>
        <w:fldChar w:fldCharType="begin"/>
      </w:r>
      <w:r w:rsidR="000B40AE" w:rsidRPr="00F0254C">
        <w:rPr>
          <w:rFonts w:ascii="Segoe UI" w:hAnsi="Segoe UI" w:cs="Segoe UI"/>
          <w:lang w:eastAsia="en-US"/>
        </w:rPr>
        <w:instrText xml:space="preserve"> REF _Ref81574775 \h </w:instrText>
      </w:r>
      <w:r w:rsidR="007043C2" w:rsidRPr="00F0254C">
        <w:rPr>
          <w:rFonts w:ascii="Segoe UI" w:hAnsi="Segoe UI" w:cs="Segoe UI"/>
          <w:lang w:eastAsia="en-US"/>
        </w:rPr>
        <w:instrText xml:space="preserve"> \* MERGEFORMAT </w:instrText>
      </w:r>
      <w:r w:rsidR="000B40AE" w:rsidRPr="00F0254C">
        <w:rPr>
          <w:rFonts w:ascii="Segoe UI" w:hAnsi="Segoe UI" w:cs="Segoe UI"/>
          <w:lang w:eastAsia="en-US"/>
        </w:rPr>
      </w:r>
      <w:r w:rsidR="000B40AE" w:rsidRPr="00F0254C">
        <w:rPr>
          <w:rFonts w:ascii="Segoe UI" w:hAnsi="Segoe UI" w:cs="Segoe UI"/>
          <w:lang w:eastAsia="en-US"/>
        </w:rPr>
        <w:fldChar w:fldCharType="separate"/>
      </w:r>
      <w:r w:rsidR="000554B0" w:rsidRPr="00F0254C">
        <w:rPr>
          <w:rFonts w:ascii="Segoe UI" w:hAnsi="Segoe UI" w:cs="Segoe UI"/>
          <w:b/>
          <w:bCs/>
        </w:rPr>
        <w:t xml:space="preserve">Table </w:t>
      </w:r>
      <w:r w:rsidR="000554B0">
        <w:rPr>
          <w:rFonts w:ascii="Segoe UI" w:hAnsi="Segoe UI" w:cs="Segoe UI"/>
          <w:b/>
          <w:bCs/>
          <w:noProof/>
        </w:rPr>
        <w:t>1</w:t>
      </w:r>
      <w:r w:rsidR="000B40AE" w:rsidRPr="00F0254C">
        <w:rPr>
          <w:rFonts w:ascii="Segoe UI" w:hAnsi="Segoe UI" w:cs="Segoe UI"/>
          <w:lang w:eastAsia="en-US"/>
        </w:rPr>
        <w:fldChar w:fldCharType="end"/>
      </w:r>
      <w:r w:rsidRPr="00F0254C">
        <w:rPr>
          <w:rFonts w:ascii="Segoe UI" w:hAnsi="Segoe UI" w:cs="Segoe UI"/>
          <w:lang w:eastAsia="en-US"/>
        </w:rPr>
        <w:t>).</w:t>
      </w:r>
      <w:r w:rsidR="00DB6A59" w:rsidRPr="00F0254C">
        <w:rPr>
          <w:rFonts w:ascii="Segoe UI" w:hAnsi="Segoe UI" w:cs="Segoe UI"/>
          <w:lang w:eastAsia="en-US"/>
        </w:rPr>
        <w:t xml:space="preserve"> The la</w:t>
      </w:r>
      <w:r w:rsidR="00036216" w:rsidRPr="00F0254C">
        <w:rPr>
          <w:rFonts w:ascii="Segoe UI" w:hAnsi="Segoe UI" w:cs="Segoe UI"/>
          <w:lang w:eastAsia="en-US"/>
        </w:rPr>
        <w:t>t</w:t>
      </w:r>
      <w:r w:rsidR="00DB6A59" w:rsidRPr="00F0254C">
        <w:rPr>
          <w:rFonts w:ascii="Segoe UI" w:hAnsi="Segoe UI" w:cs="Segoe UI"/>
          <w:lang w:eastAsia="en-US"/>
        </w:rPr>
        <w:t xml:space="preserve">ter may not be surprising given </w:t>
      </w:r>
      <w:r w:rsidR="000307F9" w:rsidRPr="00F0254C">
        <w:rPr>
          <w:rFonts w:ascii="Segoe UI" w:hAnsi="Segoe UI" w:cs="Segoe UI"/>
          <w:lang w:eastAsia="en-US"/>
        </w:rPr>
        <w:t>exome-based</w:t>
      </w:r>
      <w:r w:rsidR="00DB6A59" w:rsidRPr="00F0254C">
        <w:rPr>
          <w:rFonts w:ascii="Segoe UI" w:hAnsi="Segoe UI" w:cs="Segoe UI"/>
          <w:lang w:eastAsia="en-US"/>
        </w:rPr>
        <w:t xml:space="preserve"> sequencing is more challenging for calling CNVs.</w:t>
      </w:r>
    </w:p>
    <w:p w14:paraId="091CD0FE" w14:textId="30A26B45" w:rsidR="00DB6A59" w:rsidRPr="00C9492B" w:rsidRDefault="00DB6A59" w:rsidP="00DB6A59">
      <w:pPr>
        <w:pStyle w:val="Caption"/>
        <w:spacing w:line="480" w:lineRule="auto"/>
        <w:rPr>
          <w:rFonts w:ascii="Segoe UI" w:hAnsi="Segoe UI" w:cs="Segoe UI"/>
          <w:b/>
          <w:bCs/>
          <w:i w:val="0"/>
          <w:iCs w:val="0"/>
        </w:rPr>
      </w:pPr>
      <w:bookmarkStart w:id="5" w:name="_Ref81574775"/>
      <w:r w:rsidRPr="00C9492B">
        <w:rPr>
          <w:rFonts w:ascii="Segoe UI" w:hAnsi="Segoe UI" w:cs="Segoe UI"/>
          <w:b/>
          <w:bCs/>
          <w:i w:val="0"/>
          <w:iCs w:val="0"/>
        </w:rPr>
        <w:t xml:space="preserve">Table </w:t>
      </w:r>
      <w:r w:rsidRPr="00C9492B">
        <w:rPr>
          <w:rFonts w:ascii="Segoe UI" w:hAnsi="Segoe UI" w:cs="Segoe UI"/>
          <w:b/>
          <w:bCs/>
          <w:i w:val="0"/>
          <w:iCs w:val="0"/>
        </w:rPr>
        <w:fldChar w:fldCharType="begin"/>
      </w:r>
      <w:r w:rsidRPr="00C9492B">
        <w:rPr>
          <w:rFonts w:ascii="Segoe UI" w:hAnsi="Segoe UI" w:cs="Segoe UI"/>
          <w:b/>
          <w:bCs/>
          <w:i w:val="0"/>
          <w:iCs w:val="0"/>
        </w:rPr>
        <w:instrText xml:space="preserve"> SEQ Table \* ARABIC </w:instrText>
      </w:r>
      <w:r w:rsidRPr="00C9492B">
        <w:rPr>
          <w:rFonts w:ascii="Segoe UI" w:hAnsi="Segoe UI" w:cs="Segoe UI"/>
          <w:b/>
          <w:bCs/>
          <w:i w:val="0"/>
          <w:iCs w:val="0"/>
        </w:rPr>
        <w:fldChar w:fldCharType="separate"/>
      </w:r>
      <w:r w:rsidR="000554B0" w:rsidRPr="00C9492B">
        <w:rPr>
          <w:rFonts w:ascii="Segoe UI" w:hAnsi="Segoe UI" w:cs="Segoe UI"/>
          <w:b/>
          <w:bCs/>
          <w:i w:val="0"/>
          <w:iCs w:val="0"/>
          <w:noProof/>
        </w:rPr>
        <w:t>1</w:t>
      </w:r>
      <w:r w:rsidRPr="00C9492B">
        <w:rPr>
          <w:rFonts w:ascii="Segoe UI" w:hAnsi="Segoe UI" w:cs="Segoe UI"/>
          <w:b/>
          <w:bCs/>
          <w:i w:val="0"/>
          <w:iCs w:val="0"/>
        </w:rPr>
        <w:fldChar w:fldCharType="end"/>
      </w:r>
      <w:bookmarkStart w:id="6" w:name="_Toc78539993"/>
      <w:bookmarkEnd w:id="5"/>
      <w:r w:rsidRPr="00D5553F">
        <w:rPr>
          <w:rFonts w:ascii="Segoe UI" w:hAnsi="Segoe UI" w:cs="Segoe UI"/>
          <w:b/>
          <w:bCs/>
          <w:i w:val="0"/>
          <w:iCs w:val="0"/>
          <w:color w:val="auto"/>
          <w:sz w:val="22"/>
          <w:szCs w:val="22"/>
          <w:lang w:eastAsia="en-US"/>
        </w:rPr>
        <w:t xml:space="preserve"> </w:t>
      </w:r>
      <w:r w:rsidRPr="00C9492B">
        <w:rPr>
          <w:rFonts w:ascii="Segoe UI" w:hAnsi="Segoe UI" w:cs="Segoe UI"/>
          <w:b/>
          <w:bCs/>
          <w:i w:val="0"/>
          <w:iCs w:val="0"/>
          <w:lang w:eastAsia="en-US"/>
        </w:rPr>
        <w:t xml:space="preserve">– Heterozygous and homozygous </w:t>
      </w:r>
      <w:r w:rsidRPr="00D5553F">
        <w:rPr>
          <w:rFonts w:ascii="Segoe UI" w:hAnsi="Segoe UI" w:cs="Segoe UI"/>
          <w:b/>
          <w:bCs/>
          <w:lang w:eastAsia="en-US"/>
        </w:rPr>
        <w:t>NPHP1</w:t>
      </w:r>
      <w:r w:rsidRPr="00C9492B">
        <w:rPr>
          <w:rFonts w:ascii="Segoe UI" w:hAnsi="Segoe UI" w:cs="Segoe UI"/>
          <w:b/>
          <w:bCs/>
          <w:i w:val="0"/>
          <w:iCs w:val="0"/>
          <w:lang w:eastAsia="en-US"/>
        </w:rPr>
        <w:t xml:space="preserve"> CNV deletions and allele frequencies for rare disease, all cancer germline compared with gnomAD v2.1 SV.</w:t>
      </w:r>
      <w:bookmarkEnd w:id="6"/>
    </w:p>
    <w:p w14:paraId="780F1B69" w14:textId="6AE5FDA4" w:rsidR="00A842B9" w:rsidRDefault="00A842B9" w:rsidP="007043C2">
      <w:pPr>
        <w:spacing w:line="480" w:lineRule="auto"/>
        <w:rPr>
          <w:rFonts w:ascii="Segoe UI" w:hAnsi="Segoe UI" w:cs="Segoe UI"/>
          <w:lang w:eastAsia="en-US"/>
        </w:rPr>
      </w:pPr>
    </w:p>
    <w:tbl>
      <w:tblPr>
        <w:tblStyle w:val="GridTable4-Accent112"/>
        <w:tblW w:w="5000" w:type="pct"/>
        <w:jc w:val="center"/>
        <w:tblLook w:val="04A0" w:firstRow="1" w:lastRow="0" w:firstColumn="1" w:lastColumn="0" w:noHBand="0" w:noVBand="1"/>
      </w:tblPr>
      <w:tblGrid>
        <w:gridCol w:w="2551"/>
        <w:gridCol w:w="2156"/>
        <w:gridCol w:w="2156"/>
        <w:gridCol w:w="2158"/>
      </w:tblGrid>
      <w:tr w:rsidR="00EE5274" w:rsidRPr="00F0254C" w14:paraId="1E93EC21" w14:textId="77777777" w:rsidTr="000B35E1">
        <w:trPr>
          <w:cnfStyle w:val="100000000000" w:firstRow="1" w:lastRow="0" w:firstColumn="0" w:lastColumn="0" w:oddVBand="0" w:evenVBand="0" w:oddHBand="0" w:evenHBand="0" w:firstRowFirstColumn="0" w:firstRowLastColumn="0" w:lastRowFirstColumn="0" w:lastRowLastColumn="0"/>
          <w:trHeight w:val="1003"/>
          <w:jc w:val="center"/>
        </w:trPr>
        <w:tc>
          <w:tcPr>
            <w:cnfStyle w:val="001000000000" w:firstRow="0" w:lastRow="0" w:firstColumn="1" w:lastColumn="0" w:oddVBand="0" w:evenVBand="0" w:oddHBand="0" w:evenHBand="0" w:firstRowFirstColumn="0" w:firstRowLastColumn="0" w:lastRowFirstColumn="0" w:lastRowLastColumn="0"/>
            <w:tcW w:w="1414" w:type="pct"/>
            <w:tcBorders>
              <w:top w:val="nil"/>
              <w:left w:val="nil"/>
            </w:tcBorders>
            <w:shd w:val="clear" w:color="auto" w:fill="auto"/>
            <w:vAlign w:val="center"/>
          </w:tcPr>
          <w:p w14:paraId="27761FF6" w14:textId="77777777" w:rsidR="00EE5274" w:rsidRPr="00F0254C" w:rsidRDefault="00EE5274" w:rsidP="000B35E1">
            <w:pPr>
              <w:rPr>
                <w:rFonts w:ascii="Segoe UI" w:hAnsi="Segoe UI" w:cs="Segoe UI"/>
              </w:rPr>
            </w:pPr>
          </w:p>
        </w:tc>
        <w:tc>
          <w:tcPr>
            <w:tcW w:w="1195" w:type="pct"/>
            <w:vAlign w:val="center"/>
          </w:tcPr>
          <w:p w14:paraId="79B4EA8B" w14:textId="77777777" w:rsidR="00EE5274" w:rsidRPr="00F0254C" w:rsidRDefault="00EE5274" w:rsidP="000B35E1">
            <w:pPr>
              <w:jc w:val="center"/>
              <w:cnfStyle w:val="100000000000" w:firstRow="1" w:lastRow="0" w:firstColumn="0" w:lastColumn="0" w:oddVBand="0" w:evenVBand="0" w:oddHBand="0" w:evenHBand="0" w:firstRowFirstColumn="0" w:firstRowLastColumn="0" w:lastRowFirstColumn="0" w:lastRowLastColumn="0"/>
              <w:rPr>
                <w:rFonts w:ascii="Segoe UI" w:hAnsi="Segoe UI" w:cs="Segoe UI"/>
              </w:rPr>
            </w:pPr>
            <w:r w:rsidRPr="00F0254C">
              <w:rPr>
                <w:rFonts w:ascii="Segoe UI" w:hAnsi="Segoe UI" w:cs="Segoe UI"/>
              </w:rPr>
              <w:t>Rare disease participants in aggregated gVCF</w:t>
            </w:r>
          </w:p>
        </w:tc>
        <w:tc>
          <w:tcPr>
            <w:tcW w:w="1195" w:type="pct"/>
            <w:vAlign w:val="center"/>
          </w:tcPr>
          <w:p w14:paraId="2C96CFF5" w14:textId="77777777" w:rsidR="00EE5274" w:rsidRPr="00F0254C" w:rsidRDefault="00EE5274" w:rsidP="000B35E1">
            <w:pPr>
              <w:jc w:val="center"/>
              <w:cnfStyle w:val="100000000000" w:firstRow="1" w:lastRow="0" w:firstColumn="0" w:lastColumn="0" w:oddVBand="0" w:evenVBand="0" w:oddHBand="0" w:evenHBand="0" w:firstRowFirstColumn="0" w:firstRowLastColumn="0" w:lastRowFirstColumn="0" w:lastRowLastColumn="0"/>
              <w:rPr>
                <w:rFonts w:ascii="Segoe UI" w:hAnsi="Segoe UI" w:cs="Segoe UI"/>
              </w:rPr>
            </w:pPr>
            <w:r w:rsidRPr="00F0254C">
              <w:rPr>
                <w:rFonts w:ascii="Segoe UI" w:hAnsi="Segoe UI" w:cs="Segoe UI"/>
              </w:rPr>
              <w:t>Cancer participants with germline DNA in aggregated gVCF</w:t>
            </w:r>
          </w:p>
        </w:tc>
        <w:tc>
          <w:tcPr>
            <w:tcW w:w="1196" w:type="pct"/>
            <w:vAlign w:val="center"/>
          </w:tcPr>
          <w:p w14:paraId="30B4AE6A" w14:textId="77777777" w:rsidR="00EE5274" w:rsidRPr="00F0254C" w:rsidRDefault="00EE5274" w:rsidP="000B35E1">
            <w:pPr>
              <w:jc w:val="center"/>
              <w:cnfStyle w:val="100000000000" w:firstRow="1" w:lastRow="0" w:firstColumn="0" w:lastColumn="0" w:oddVBand="0" w:evenVBand="0" w:oddHBand="0" w:evenHBand="0" w:firstRowFirstColumn="0" w:firstRowLastColumn="0" w:lastRowFirstColumn="0" w:lastRowLastColumn="0"/>
              <w:rPr>
                <w:rFonts w:ascii="Segoe UI" w:hAnsi="Segoe UI" w:cs="Segoe UI"/>
              </w:rPr>
            </w:pPr>
            <w:r w:rsidRPr="00F0254C">
              <w:rPr>
                <w:rFonts w:ascii="Segoe UI" w:hAnsi="Segoe UI" w:cs="Segoe UI"/>
              </w:rPr>
              <w:t>gnomAD v2.1 SV</w:t>
            </w:r>
          </w:p>
        </w:tc>
      </w:tr>
      <w:tr w:rsidR="00EE5274" w:rsidRPr="00F0254C" w14:paraId="2AA2FC2B" w14:textId="77777777" w:rsidTr="000B35E1">
        <w:trPr>
          <w:cnfStyle w:val="000000100000" w:firstRow="0" w:lastRow="0" w:firstColumn="0" w:lastColumn="0" w:oddVBand="0" w:evenVBand="0" w:oddHBand="1" w:evenHBand="0" w:firstRowFirstColumn="0" w:firstRowLastColumn="0" w:lastRowFirstColumn="0" w:lastRowLastColumn="0"/>
          <w:trHeight w:val="1006"/>
          <w:jc w:val="center"/>
        </w:trPr>
        <w:tc>
          <w:tcPr>
            <w:cnfStyle w:val="001000000000" w:firstRow="0" w:lastRow="0" w:firstColumn="1" w:lastColumn="0" w:oddVBand="0" w:evenVBand="0" w:oddHBand="0" w:evenHBand="0" w:firstRowFirstColumn="0" w:firstRowLastColumn="0" w:lastRowFirstColumn="0" w:lastRowLastColumn="0"/>
            <w:tcW w:w="1414" w:type="pct"/>
            <w:vAlign w:val="center"/>
          </w:tcPr>
          <w:p w14:paraId="2593F110" w14:textId="77777777" w:rsidR="007E0F89" w:rsidRDefault="00EE5274" w:rsidP="000B35E1">
            <w:pPr>
              <w:spacing w:line="240" w:lineRule="auto"/>
              <w:rPr>
                <w:rFonts w:ascii="Segoe UI" w:hAnsi="Segoe UI" w:cs="Segoe UI"/>
                <w:b w:val="0"/>
                <w:bCs w:val="0"/>
              </w:rPr>
            </w:pPr>
            <w:r w:rsidRPr="00F0254C">
              <w:rPr>
                <w:rFonts w:ascii="Segoe UI" w:hAnsi="Segoe UI" w:cs="Segoe UI"/>
              </w:rPr>
              <w:t>Heterozygous CNV</w:t>
            </w:r>
          </w:p>
          <w:p w14:paraId="2BD67CBD" w14:textId="32010F5C" w:rsidR="00EE5274" w:rsidRPr="00F0254C" w:rsidRDefault="007979A3" w:rsidP="000B35E1">
            <w:pPr>
              <w:spacing w:line="240" w:lineRule="auto"/>
              <w:rPr>
                <w:rFonts w:ascii="Segoe UI" w:hAnsi="Segoe UI" w:cs="Segoe UI"/>
              </w:rPr>
            </w:pPr>
            <w:r>
              <w:rPr>
                <w:rFonts w:ascii="Segoe UI" w:hAnsi="Segoe UI" w:cs="Segoe UI"/>
              </w:rPr>
              <w:t>(Total number of individ</w:t>
            </w:r>
            <w:r w:rsidR="007E0F89">
              <w:rPr>
                <w:rFonts w:ascii="Segoe UI" w:hAnsi="Segoe UI" w:cs="Segoe UI"/>
              </w:rPr>
              <w:t>u</w:t>
            </w:r>
            <w:r>
              <w:rPr>
                <w:rFonts w:ascii="Segoe UI" w:hAnsi="Segoe UI" w:cs="Segoe UI"/>
              </w:rPr>
              <w:t>als)</w:t>
            </w:r>
          </w:p>
        </w:tc>
        <w:tc>
          <w:tcPr>
            <w:tcW w:w="1195" w:type="pct"/>
            <w:vAlign w:val="center"/>
          </w:tcPr>
          <w:p w14:paraId="5E7C34D3" w14:textId="77777777" w:rsidR="00EE5274" w:rsidRPr="00F0254C" w:rsidRDefault="00EE5274" w:rsidP="000B35E1">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F0254C">
              <w:rPr>
                <w:rFonts w:ascii="Segoe UI" w:hAnsi="Segoe UI" w:cs="Segoe UI"/>
              </w:rPr>
              <w:t>331</w:t>
            </w:r>
          </w:p>
        </w:tc>
        <w:tc>
          <w:tcPr>
            <w:tcW w:w="1195" w:type="pct"/>
            <w:vAlign w:val="center"/>
          </w:tcPr>
          <w:p w14:paraId="5E037E82" w14:textId="77777777" w:rsidR="00EE5274" w:rsidRPr="00F0254C" w:rsidRDefault="00EE5274" w:rsidP="000B35E1">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F0254C">
              <w:rPr>
                <w:rFonts w:ascii="Segoe UI" w:hAnsi="Segoe UI" w:cs="Segoe UI"/>
              </w:rPr>
              <w:t>83</w:t>
            </w:r>
          </w:p>
        </w:tc>
        <w:tc>
          <w:tcPr>
            <w:tcW w:w="1196" w:type="pct"/>
            <w:vAlign w:val="center"/>
          </w:tcPr>
          <w:p w14:paraId="471924BB" w14:textId="77777777" w:rsidR="00EE5274" w:rsidRPr="00F0254C" w:rsidRDefault="00EE5274" w:rsidP="000B35E1">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F0254C">
              <w:rPr>
                <w:rFonts w:ascii="Segoe UI" w:hAnsi="Segoe UI" w:cs="Segoe UI"/>
              </w:rPr>
              <w:t>39</w:t>
            </w:r>
          </w:p>
        </w:tc>
      </w:tr>
      <w:tr w:rsidR="00EE5274" w:rsidRPr="00F0254C" w14:paraId="248E50D5" w14:textId="77777777" w:rsidTr="000B35E1">
        <w:trPr>
          <w:trHeight w:val="1006"/>
          <w:jc w:val="center"/>
        </w:trPr>
        <w:tc>
          <w:tcPr>
            <w:cnfStyle w:val="001000000000" w:firstRow="0" w:lastRow="0" w:firstColumn="1" w:lastColumn="0" w:oddVBand="0" w:evenVBand="0" w:oddHBand="0" w:evenHBand="0" w:firstRowFirstColumn="0" w:firstRowLastColumn="0" w:lastRowFirstColumn="0" w:lastRowLastColumn="0"/>
            <w:tcW w:w="1414" w:type="pct"/>
            <w:vAlign w:val="center"/>
          </w:tcPr>
          <w:p w14:paraId="68D25F8C" w14:textId="77777777" w:rsidR="00EE5274" w:rsidRDefault="00EE5274" w:rsidP="000B35E1">
            <w:pPr>
              <w:spacing w:line="240" w:lineRule="auto"/>
              <w:rPr>
                <w:rFonts w:ascii="Segoe UI" w:hAnsi="Segoe UI" w:cs="Segoe UI"/>
                <w:b w:val="0"/>
                <w:bCs w:val="0"/>
              </w:rPr>
            </w:pPr>
            <w:r w:rsidRPr="00F0254C">
              <w:rPr>
                <w:rFonts w:ascii="Segoe UI" w:hAnsi="Segoe UI" w:cs="Segoe UI"/>
              </w:rPr>
              <w:t>Homozygous CNV</w:t>
            </w:r>
          </w:p>
          <w:p w14:paraId="49B0B61E" w14:textId="0666AA14" w:rsidR="007E0F89" w:rsidRPr="00F0254C" w:rsidRDefault="007E0F89" w:rsidP="000B35E1">
            <w:pPr>
              <w:spacing w:line="240" w:lineRule="auto"/>
              <w:rPr>
                <w:rFonts w:ascii="Segoe UI" w:hAnsi="Segoe UI" w:cs="Segoe UI"/>
              </w:rPr>
            </w:pPr>
            <w:r>
              <w:rPr>
                <w:rFonts w:ascii="Segoe UI" w:hAnsi="Segoe UI" w:cs="Segoe UI"/>
              </w:rPr>
              <w:t>(Total number of individuals)</w:t>
            </w:r>
          </w:p>
        </w:tc>
        <w:tc>
          <w:tcPr>
            <w:tcW w:w="1195" w:type="pct"/>
            <w:vAlign w:val="center"/>
          </w:tcPr>
          <w:p w14:paraId="1B477517" w14:textId="77777777" w:rsidR="00EE5274" w:rsidRPr="00F0254C" w:rsidRDefault="00EE5274" w:rsidP="000B35E1">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rPr>
            </w:pPr>
            <w:r w:rsidRPr="00F0254C">
              <w:rPr>
                <w:rFonts w:ascii="Segoe UI" w:hAnsi="Segoe UI" w:cs="Segoe UI"/>
              </w:rPr>
              <w:t>9</w:t>
            </w:r>
          </w:p>
        </w:tc>
        <w:tc>
          <w:tcPr>
            <w:tcW w:w="1195" w:type="pct"/>
            <w:vAlign w:val="center"/>
          </w:tcPr>
          <w:p w14:paraId="1F63C52E" w14:textId="77777777" w:rsidR="00EE5274" w:rsidRPr="00F0254C" w:rsidRDefault="00EE5274" w:rsidP="000B35E1">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rPr>
            </w:pPr>
            <w:r w:rsidRPr="00F0254C">
              <w:rPr>
                <w:rFonts w:ascii="Segoe UI" w:hAnsi="Segoe UI" w:cs="Segoe UI"/>
              </w:rPr>
              <w:t>1</w:t>
            </w:r>
          </w:p>
        </w:tc>
        <w:tc>
          <w:tcPr>
            <w:tcW w:w="1196" w:type="pct"/>
            <w:vAlign w:val="center"/>
          </w:tcPr>
          <w:p w14:paraId="519036AC" w14:textId="77777777" w:rsidR="00EE5274" w:rsidRPr="00F0254C" w:rsidRDefault="00EE5274" w:rsidP="000B35E1">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rPr>
            </w:pPr>
            <w:r>
              <w:rPr>
                <w:rFonts w:ascii="Segoe UI" w:hAnsi="Segoe UI" w:cs="Segoe UI"/>
              </w:rPr>
              <w:t>0</w:t>
            </w:r>
          </w:p>
        </w:tc>
      </w:tr>
      <w:tr w:rsidR="00EE5274" w:rsidRPr="00F0254C" w14:paraId="7857A207" w14:textId="77777777" w:rsidTr="000B35E1">
        <w:trPr>
          <w:cnfStyle w:val="000000100000" w:firstRow="0" w:lastRow="0" w:firstColumn="0" w:lastColumn="0" w:oddVBand="0" w:evenVBand="0" w:oddHBand="1" w:evenHBand="0" w:firstRowFirstColumn="0" w:firstRowLastColumn="0" w:lastRowFirstColumn="0" w:lastRowLastColumn="0"/>
          <w:trHeight w:val="1006"/>
          <w:jc w:val="center"/>
        </w:trPr>
        <w:tc>
          <w:tcPr>
            <w:cnfStyle w:val="001000000000" w:firstRow="0" w:lastRow="0" w:firstColumn="1" w:lastColumn="0" w:oddVBand="0" w:evenVBand="0" w:oddHBand="0" w:evenHBand="0" w:firstRowFirstColumn="0" w:firstRowLastColumn="0" w:lastRowFirstColumn="0" w:lastRowLastColumn="0"/>
            <w:tcW w:w="1414" w:type="pct"/>
            <w:vAlign w:val="center"/>
          </w:tcPr>
          <w:p w14:paraId="02BFC7E2" w14:textId="77777777" w:rsidR="00EE5274" w:rsidRPr="00F0254C" w:rsidRDefault="00EE5274" w:rsidP="000B35E1">
            <w:pPr>
              <w:spacing w:line="240" w:lineRule="auto"/>
              <w:rPr>
                <w:rFonts w:ascii="Segoe UI" w:hAnsi="Segoe UI" w:cs="Segoe UI"/>
              </w:rPr>
            </w:pPr>
            <w:r w:rsidRPr="00F0254C">
              <w:rPr>
                <w:rFonts w:ascii="Segoe UI" w:hAnsi="Segoe UI" w:cs="Segoe UI"/>
              </w:rPr>
              <w:t>Total allele count</w:t>
            </w:r>
          </w:p>
        </w:tc>
        <w:tc>
          <w:tcPr>
            <w:tcW w:w="1195" w:type="pct"/>
            <w:vAlign w:val="center"/>
          </w:tcPr>
          <w:p w14:paraId="1263EE0A" w14:textId="77777777" w:rsidR="00EE5274" w:rsidRPr="00F0254C" w:rsidRDefault="00EE5274" w:rsidP="000B35E1">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F0254C">
              <w:rPr>
                <w:rFonts w:ascii="Segoe UI" w:hAnsi="Segoe UI" w:cs="Segoe UI"/>
              </w:rPr>
              <w:t>349</w:t>
            </w:r>
          </w:p>
        </w:tc>
        <w:tc>
          <w:tcPr>
            <w:tcW w:w="1195" w:type="pct"/>
            <w:vAlign w:val="center"/>
          </w:tcPr>
          <w:p w14:paraId="1EAFAD4F" w14:textId="77777777" w:rsidR="00EE5274" w:rsidRPr="00F0254C" w:rsidRDefault="00EE5274" w:rsidP="000B35E1">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F0254C">
              <w:rPr>
                <w:rFonts w:ascii="Segoe UI" w:hAnsi="Segoe UI" w:cs="Segoe UI"/>
              </w:rPr>
              <w:t>85</w:t>
            </w:r>
          </w:p>
        </w:tc>
        <w:tc>
          <w:tcPr>
            <w:tcW w:w="1196" w:type="pct"/>
            <w:vAlign w:val="center"/>
          </w:tcPr>
          <w:p w14:paraId="5498789B" w14:textId="77777777" w:rsidR="00EE5274" w:rsidRPr="00F0254C" w:rsidRDefault="00EE5274" w:rsidP="000B35E1">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F0254C">
              <w:rPr>
                <w:rFonts w:ascii="Segoe UI" w:hAnsi="Segoe UI" w:cs="Segoe UI"/>
              </w:rPr>
              <w:t>39</w:t>
            </w:r>
          </w:p>
        </w:tc>
      </w:tr>
      <w:tr w:rsidR="00EE5274" w:rsidRPr="00F0254C" w14:paraId="26254405" w14:textId="77777777" w:rsidTr="000B35E1">
        <w:trPr>
          <w:trHeight w:val="1006"/>
          <w:jc w:val="center"/>
        </w:trPr>
        <w:tc>
          <w:tcPr>
            <w:cnfStyle w:val="001000000000" w:firstRow="0" w:lastRow="0" w:firstColumn="1" w:lastColumn="0" w:oddVBand="0" w:evenVBand="0" w:oddHBand="0" w:evenHBand="0" w:firstRowFirstColumn="0" w:firstRowLastColumn="0" w:lastRowFirstColumn="0" w:lastRowLastColumn="0"/>
            <w:tcW w:w="1414" w:type="pct"/>
            <w:vAlign w:val="center"/>
          </w:tcPr>
          <w:p w14:paraId="54EFF0EF" w14:textId="77777777" w:rsidR="00EE5274" w:rsidRPr="00F0254C" w:rsidRDefault="00EE5274" w:rsidP="000B35E1">
            <w:pPr>
              <w:spacing w:line="240" w:lineRule="auto"/>
              <w:rPr>
                <w:rFonts w:ascii="Segoe UI" w:hAnsi="Segoe UI" w:cs="Segoe UI"/>
              </w:rPr>
            </w:pPr>
            <w:r>
              <w:rPr>
                <w:rFonts w:ascii="Segoe UI" w:hAnsi="Segoe UI" w:cs="Segoe UI"/>
              </w:rPr>
              <w:t>Number</w:t>
            </w:r>
            <w:r w:rsidRPr="00F0254C">
              <w:rPr>
                <w:rFonts w:ascii="Segoe UI" w:hAnsi="Segoe UI" w:cs="Segoe UI"/>
              </w:rPr>
              <w:t xml:space="preserve"> of individuals</w:t>
            </w:r>
          </w:p>
        </w:tc>
        <w:tc>
          <w:tcPr>
            <w:tcW w:w="1195" w:type="pct"/>
            <w:vAlign w:val="center"/>
          </w:tcPr>
          <w:p w14:paraId="13FAED8C" w14:textId="77777777" w:rsidR="00EE5274" w:rsidRPr="00F0254C" w:rsidRDefault="00EE5274" w:rsidP="000B35E1">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rPr>
            </w:pPr>
            <w:r w:rsidRPr="00F0254C">
              <w:rPr>
                <w:rFonts w:ascii="Segoe UI" w:hAnsi="Segoe UI" w:cs="Segoe UI"/>
              </w:rPr>
              <w:t>62,898</w:t>
            </w:r>
          </w:p>
        </w:tc>
        <w:tc>
          <w:tcPr>
            <w:tcW w:w="1195" w:type="pct"/>
            <w:vAlign w:val="center"/>
          </w:tcPr>
          <w:p w14:paraId="1C77DCD8" w14:textId="77777777" w:rsidR="00EE5274" w:rsidRPr="00F0254C" w:rsidRDefault="00EE5274" w:rsidP="000B35E1">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rPr>
            </w:pPr>
            <w:r w:rsidRPr="00F0254C">
              <w:rPr>
                <w:rFonts w:ascii="Segoe UI" w:hAnsi="Segoe UI" w:cs="Segoe UI"/>
              </w:rPr>
              <w:t>15,152</w:t>
            </w:r>
          </w:p>
        </w:tc>
        <w:tc>
          <w:tcPr>
            <w:tcW w:w="1196" w:type="pct"/>
            <w:vAlign w:val="center"/>
          </w:tcPr>
          <w:p w14:paraId="3D5FFACC" w14:textId="77777777" w:rsidR="00EE5274" w:rsidRPr="00F0254C" w:rsidRDefault="00EE5274" w:rsidP="000B35E1">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rPr>
            </w:pPr>
            <w:r w:rsidRPr="00F0254C">
              <w:rPr>
                <w:rFonts w:ascii="Segoe UI" w:hAnsi="Segoe UI" w:cs="Segoe UI"/>
              </w:rPr>
              <w:t>21,694</w:t>
            </w:r>
          </w:p>
        </w:tc>
      </w:tr>
      <w:tr w:rsidR="00EE5274" w:rsidRPr="00F0254C" w14:paraId="1A66C22D" w14:textId="77777777" w:rsidTr="000B35E1">
        <w:trPr>
          <w:cnfStyle w:val="000000100000" w:firstRow="0" w:lastRow="0" w:firstColumn="0" w:lastColumn="0" w:oddVBand="0" w:evenVBand="0" w:oddHBand="1" w:evenHBand="0" w:firstRowFirstColumn="0" w:firstRowLastColumn="0" w:lastRowFirstColumn="0" w:lastRowLastColumn="0"/>
          <w:trHeight w:val="1006"/>
          <w:jc w:val="center"/>
        </w:trPr>
        <w:tc>
          <w:tcPr>
            <w:cnfStyle w:val="001000000000" w:firstRow="0" w:lastRow="0" w:firstColumn="1" w:lastColumn="0" w:oddVBand="0" w:evenVBand="0" w:oddHBand="0" w:evenHBand="0" w:firstRowFirstColumn="0" w:firstRowLastColumn="0" w:lastRowFirstColumn="0" w:lastRowLastColumn="0"/>
            <w:tcW w:w="1414" w:type="pct"/>
            <w:vAlign w:val="center"/>
          </w:tcPr>
          <w:p w14:paraId="7EAF3A78" w14:textId="77777777" w:rsidR="00EE5274" w:rsidRPr="00F0254C" w:rsidRDefault="00EE5274" w:rsidP="000B35E1">
            <w:pPr>
              <w:spacing w:line="240" w:lineRule="auto"/>
              <w:rPr>
                <w:rFonts w:ascii="Segoe UI" w:hAnsi="Segoe UI" w:cs="Segoe UI"/>
              </w:rPr>
            </w:pPr>
            <w:r w:rsidRPr="00F0254C">
              <w:rPr>
                <w:rFonts w:ascii="Segoe UI" w:hAnsi="Segoe UI" w:cs="Segoe UI"/>
              </w:rPr>
              <w:t>Allele frequency</w:t>
            </w:r>
          </w:p>
        </w:tc>
        <w:tc>
          <w:tcPr>
            <w:tcW w:w="1195" w:type="pct"/>
            <w:vAlign w:val="center"/>
          </w:tcPr>
          <w:p w14:paraId="236318D0" w14:textId="77777777" w:rsidR="00EE5274" w:rsidRPr="00F0254C" w:rsidRDefault="00EE5274" w:rsidP="000B35E1">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F0254C">
              <w:rPr>
                <w:rFonts w:ascii="Segoe UI" w:hAnsi="Segoe UI" w:cs="Segoe UI"/>
                <w:lang w:eastAsia="en-US"/>
              </w:rPr>
              <w:t>5.50 x 10</w:t>
            </w:r>
            <w:r w:rsidRPr="00F0254C">
              <w:rPr>
                <w:rFonts w:ascii="Segoe UI" w:hAnsi="Segoe UI" w:cs="Segoe UI"/>
                <w:vertAlign w:val="superscript"/>
                <w:lang w:eastAsia="en-US"/>
              </w:rPr>
              <w:t>-3</w:t>
            </w:r>
          </w:p>
        </w:tc>
        <w:tc>
          <w:tcPr>
            <w:tcW w:w="1195" w:type="pct"/>
            <w:vAlign w:val="center"/>
          </w:tcPr>
          <w:p w14:paraId="2BBBA9EC" w14:textId="77777777" w:rsidR="00EE5274" w:rsidRPr="00F0254C" w:rsidRDefault="00EE5274" w:rsidP="000B35E1">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F0254C">
              <w:rPr>
                <w:rFonts w:ascii="Segoe UI" w:hAnsi="Segoe UI" w:cs="Segoe UI"/>
                <w:lang w:eastAsia="en-US"/>
              </w:rPr>
              <w:t>5.60 x 10</w:t>
            </w:r>
            <w:r w:rsidRPr="00F0254C">
              <w:rPr>
                <w:rFonts w:ascii="Segoe UI" w:hAnsi="Segoe UI" w:cs="Segoe UI"/>
                <w:vertAlign w:val="superscript"/>
                <w:lang w:eastAsia="en-US"/>
              </w:rPr>
              <w:t>-3</w:t>
            </w:r>
          </w:p>
        </w:tc>
        <w:tc>
          <w:tcPr>
            <w:tcW w:w="1196" w:type="pct"/>
            <w:vAlign w:val="center"/>
          </w:tcPr>
          <w:p w14:paraId="59728BB7" w14:textId="77777777" w:rsidR="00EE5274" w:rsidRPr="00F0254C" w:rsidRDefault="00EE5274" w:rsidP="000B35E1">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F0254C">
              <w:rPr>
                <w:rFonts w:ascii="Segoe UI" w:hAnsi="Segoe UI" w:cs="Segoe UI"/>
                <w:lang w:eastAsia="en-US"/>
              </w:rPr>
              <w:t>1.80 x 10</w:t>
            </w:r>
            <w:r w:rsidRPr="00F0254C">
              <w:rPr>
                <w:rFonts w:ascii="Segoe UI" w:hAnsi="Segoe UI" w:cs="Segoe UI"/>
                <w:vertAlign w:val="superscript"/>
                <w:lang w:eastAsia="en-US"/>
              </w:rPr>
              <w:t>-3</w:t>
            </w:r>
          </w:p>
        </w:tc>
      </w:tr>
    </w:tbl>
    <w:p w14:paraId="1440754A" w14:textId="77777777" w:rsidR="00EE5274" w:rsidRPr="00F0254C" w:rsidRDefault="00EE5274" w:rsidP="007043C2">
      <w:pPr>
        <w:spacing w:line="480" w:lineRule="auto"/>
        <w:rPr>
          <w:rFonts w:ascii="Segoe UI" w:hAnsi="Segoe UI" w:cs="Segoe UI"/>
          <w:lang w:eastAsia="en-US"/>
        </w:rPr>
      </w:pPr>
    </w:p>
    <w:p w14:paraId="3FB6A5D2" w14:textId="446464F3" w:rsidR="003C61FB" w:rsidRDefault="003C61FB" w:rsidP="00C7089B">
      <w:pPr>
        <w:spacing w:line="480" w:lineRule="auto"/>
        <w:rPr>
          <w:rFonts w:ascii="Segoe UI" w:hAnsi="Segoe UI" w:cs="Segoe UI"/>
        </w:rPr>
      </w:pPr>
      <w:r w:rsidRPr="00F0254C">
        <w:rPr>
          <w:rFonts w:ascii="Segoe UI" w:hAnsi="Segoe UI" w:cs="Segoe UI"/>
          <w:lang w:eastAsia="en-US"/>
        </w:rPr>
        <w:lastRenderedPageBreak/>
        <w:t xml:space="preserve">Ten Homozygous CNV deletions from ten different families were joint ranked twenty in order of descending GenePy score. </w:t>
      </w:r>
      <w:r w:rsidR="00F81F4C" w:rsidRPr="00F0254C">
        <w:rPr>
          <w:rFonts w:ascii="Segoe UI" w:hAnsi="Segoe UI" w:cs="Segoe UI"/>
          <w:lang w:eastAsia="en-US"/>
        </w:rPr>
        <w:t xml:space="preserve">Six of these were not previously reported by the GEL genomic medicine centres. </w:t>
      </w:r>
      <w:r w:rsidRPr="00F0254C">
        <w:rPr>
          <w:rFonts w:ascii="Segoe UI" w:hAnsi="Segoe UI" w:cs="Segoe UI"/>
          <w:lang w:eastAsia="en-US"/>
        </w:rPr>
        <w:t>Eight participants with homozygous CNV deletions had renal failure with either ESKD (n=6) or CKD stage 4 (n=2). Age at first recorded renal phenotype using either HES ICD-10 data or recruitment HPO terms ranged from 6 to 52 years. Four participants had retinal dystrophy with age at first recorded retinal phenotype ranging from 25 to 54. One participant had no phenotype data available</w:t>
      </w:r>
      <w:r w:rsidR="006A33E3" w:rsidRPr="00F0254C">
        <w:rPr>
          <w:rFonts w:ascii="Segoe UI" w:hAnsi="Segoe UI" w:cs="Segoe UI"/>
          <w:lang w:eastAsia="en-US"/>
        </w:rPr>
        <w:t xml:space="preserve"> but had been recruited due to </w:t>
      </w:r>
      <w:r w:rsidR="00C7089B" w:rsidRPr="00F0254C">
        <w:rPr>
          <w:rFonts w:ascii="Segoe UI" w:hAnsi="Segoe UI" w:cs="Segoe UI"/>
          <w:lang w:eastAsia="en-US"/>
        </w:rPr>
        <w:t>'</w:t>
      </w:r>
      <w:r w:rsidR="006A33E3" w:rsidRPr="00F0254C">
        <w:rPr>
          <w:rFonts w:ascii="Segoe UI" w:hAnsi="Segoe UI" w:cs="Segoe UI"/>
          <w:lang w:eastAsia="en-US"/>
        </w:rPr>
        <w:t>unexplained renal failure in the young</w:t>
      </w:r>
      <w:r w:rsidR="00C7089B" w:rsidRPr="00F0254C">
        <w:rPr>
          <w:rFonts w:ascii="Segoe UI" w:hAnsi="Segoe UI" w:cs="Segoe UI"/>
          <w:lang w:eastAsia="en-US"/>
        </w:rPr>
        <w:t>'</w:t>
      </w:r>
      <w:r w:rsidR="006A33E3" w:rsidRPr="00F0254C">
        <w:rPr>
          <w:rFonts w:ascii="Segoe UI" w:hAnsi="Segoe UI" w:cs="Segoe UI"/>
          <w:lang w:eastAsia="en-US"/>
        </w:rPr>
        <w:t>, which required onset of ESKD before the age of 50</w:t>
      </w:r>
      <w:r w:rsidRPr="00F0254C">
        <w:rPr>
          <w:rFonts w:ascii="Segoe UI" w:hAnsi="Segoe UI" w:cs="Segoe UI"/>
          <w:lang w:eastAsia="en-US"/>
        </w:rPr>
        <w:t>. One participant was recruited into the cancer cohort for malignant melanoma and had ESKD with tubulointerstitial nephritis and hypertensive renal disease by age 52 and hereditary retinal dystrophy by age 54.</w:t>
      </w:r>
      <w:r w:rsidR="00D73F2C" w:rsidRPr="00F0254C">
        <w:rPr>
          <w:rFonts w:ascii="Segoe UI" w:hAnsi="Segoe UI" w:cs="Segoe UI"/>
          <w:lang w:eastAsia="en-US"/>
        </w:rPr>
        <w:t xml:space="preserve"> All ten patients with CNV deletions were deemed pathogenic by ACMG guideline standards due to </w:t>
      </w:r>
      <w:r w:rsidR="00A95EF6" w:rsidRPr="00F0254C">
        <w:rPr>
          <w:rFonts w:ascii="Segoe UI" w:hAnsi="Segoe UI" w:cs="Segoe UI"/>
          <w:lang w:eastAsia="en-US"/>
        </w:rPr>
        <w:t>the predicted null variant nature of the gene deletion giving very strong evidence of pathogenicity.</w:t>
      </w:r>
      <w:r w:rsidR="00A95EF6" w:rsidRPr="00F0254C">
        <w:rPr>
          <w:rFonts w:ascii="Segoe UI" w:hAnsi="Segoe UI" w:cs="Segoe UI"/>
        </w:rPr>
        <w:t xml:space="preserve"> </w:t>
      </w:r>
    </w:p>
    <w:p w14:paraId="5A8194AB" w14:textId="48070289" w:rsidR="00ED669D" w:rsidRPr="00F0254C" w:rsidRDefault="00ED669D" w:rsidP="00CD246B">
      <w:pPr>
        <w:pStyle w:val="Heading2"/>
        <w:rPr>
          <w:lang w:eastAsia="en-US"/>
        </w:rPr>
      </w:pPr>
      <w:r>
        <w:t xml:space="preserve">Single Nucleotide </w:t>
      </w:r>
      <w:r w:rsidR="007831DA">
        <w:t>Variants (SNVs)</w:t>
      </w:r>
    </w:p>
    <w:p w14:paraId="77A84E2A" w14:textId="20AE2567" w:rsidR="00E710C5" w:rsidRPr="00F0254C" w:rsidRDefault="006500F5" w:rsidP="00A47B29">
      <w:pPr>
        <w:spacing w:after="0" w:line="480" w:lineRule="auto"/>
        <w:rPr>
          <w:rFonts w:ascii="Segoe UI" w:hAnsi="Segoe UI" w:cs="Segoe UI"/>
          <w:lang w:eastAsia="en-US"/>
        </w:rPr>
      </w:pPr>
      <w:r>
        <w:rPr>
          <w:rFonts w:ascii="Segoe UI" w:hAnsi="Segoe UI" w:cs="Segoe UI"/>
          <w:lang w:eastAsia="en-US"/>
        </w:rPr>
        <w:t>E</w:t>
      </w:r>
      <w:r w:rsidR="00A80C73" w:rsidRPr="00F0254C">
        <w:rPr>
          <w:rFonts w:ascii="Segoe UI" w:hAnsi="Segoe UI" w:cs="Segoe UI"/>
          <w:lang w:eastAsia="en-US"/>
        </w:rPr>
        <w:t>ight participants had a phenotype consistent with renal or retinal disease and homozygous or compound heterozygous SNVs. These included a homozygous stop-gain mutation (two siblings from one family), heterozygous CNV deletions with a missense mutation (two siblings from one family), two different homozygous missense mutations (two individuals from two families), and two different possible compound heterozygous missense mutations (two individuals from two families).</w:t>
      </w:r>
      <w:r w:rsidR="007C5D03">
        <w:rPr>
          <w:rFonts w:ascii="Segoe UI" w:hAnsi="Segoe UI" w:cs="Segoe UI"/>
          <w:lang w:eastAsia="en-US"/>
        </w:rPr>
        <w:t xml:space="preserve"> </w:t>
      </w:r>
      <w:r w:rsidR="007C5D03">
        <w:rPr>
          <w:rFonts w:ascii="Segoe UI" w:hAnsi="Segoe UI" w:cs="Segoe UI"/>
        </w:rPr>
        <w:t xml:space="preserve">The participants with homozygous stop gained and homozygous missense mutations </w:t>
      </w:r>
      <w:r w:rsidR="001B03DF">
        <w:rPr>
          <w:rFonts w:ascii="Segoe UI" w:hAnsi="Segoe UI" w:cs="Segoe UI"/>
        </w:rPr>
        <w:t>and three of the ten with homozygous CNV deletions were known to have consanguinity.</w:t>
      </w:r>
      <w:r w:rsidR="00E710C5">
        <w:rPr>
          <w:rFonts w:ascii="Segoe UI" w:hAnsi="Segoe UI" w:cs="Segoe UI"/>
        </w:rPr>
        <w:t xml:space="preserve"> </w:t>
      </w:r>
      <w:r w:rsidR="00E71E67" w:rsidRPr="00F0254C">
        <w:rPr>
          <w:rFonts w:ascii="Segoe UI" w:hAnsi="Segoe UI" w:cs="Segoe UI"/>
          <w:lang w:eastAsia="en-US"/>
        </w:rPr>
        <w:t xml:space="preserve">Of these </w:t>
      </w:r>
      <w:r w:rsidR="00E710C5">
        <w:rPr>
          <w:rFonts w:ascii="Segoe UI" w:hAnsi="Segoe UI" w:cs="Segoe UI"/>
          <w:lang w:eastAsia="en-US"/>
        </w:rPr>
        <w:t xml:space="preserve">eight </w:t>
      </w:r>
      <w:r w:rsidR="00E71E67" w:rsidRPr="00F0254C">
        <w:rPr>
          <w:rFonts w:ascii="Segoe UI" w:hAnsi="Segoe UI" w:cs="Segoe UI"/>
          <w:lang w:eastAsia="en-US"/>
        </w:rPr>
        <w:t xml:space="preserve">the two siblings with homozygous stop-gained variants could be reported as pathogenic according to ACMG guidelines due to the null </w:t>
      </w:r>
      <w:r w:rsidR="00E71E67" w:rsidRPr="00F0254C">
        <w:rPr>
          <w:rFonts w:ascii="Segoe UI" w:hAnsi="Segoe UI" w:cs="Segoe UI"/>
          <w:lang w:eastAsia="en-US"/>
        </w:rPr>
        <w:lastRenderedPageBreak/>
        <w:t xml:space="preserve">variant. The other SNVs </w:t>
      </w:r>
      <w:r w:rsidR="00010C46" w:rsidRPr="00F0254C">
        <w:rPr>
          <w:rFonts w:ascii="Segoe UI" w:hAnsi="Segoe UI" w:cs="Segoe UI"/>
          <w:lang w:eastAsia="en-US"/>
        </w:rPr>
        <w:t>were rare (4.00E-04) or novel missense variants with</w:t>
      </w:r>
      <w:r w:rsidR="00E71E67" w:rsidRPr="00F0254C">
        <w:rPr>
          <w:rFonts w:ascii="Segoe UI" w:hAnsi="Segoe UI" w:cs="Segoe UI"/>
          <w:lang w:eastAsia="en-US"/>
        </w:rPr>
        <w:t xml:space="preserve"> strong in-silico evidence </w:t>
      </w:r>
      <w:r w:rsidR="00010C46" w:rsidRPr="00F0254C">
        <w:rPr>
          <w:rFonts w:ascii="Segoe UI" w:hAnsi="Segoe UI" w:cs="Segoe UI"/>
          <w:lang w:eastAsia="en-US"/>
        </w:rPr>
        <w:t xml:space="preserve">of pathogenicity with CADD scores of between 18 and 28.9. </w:t>
      </w:r>
    </w:p>
    <w:p w14:paraId="5D044C0B" w14:textId="049DD431" w:rsidR="003C61FB" w:rsidRPr="00F0254C" w:rsidRDefault="003C61FB" w:rsidP="007043C2">
      <w:pPr>
        <w:spacing w:line="480" w:lineRule="auto"/>
        <w:rPr>
          <w:rFonts w:ascii="Segoe UI" w:hAnsi="Segoe UI" w:cs="Segoe UI"/>
          <w:lang w:eastAsia="en-US"/>
        </w:rPr>
      </w:pPr>
      <w:r w:rsidRPr="00F0254C">
        <w:rPr>
          <w:rFonts w:ascii="Segoe UI" w:hAnsi="Segoe UI" w:cs="Segoe UI"/>
          <w:lang w:eastAsia="en-US"/>
        </w:rPr>
        <w:t xml:space="preserve">An additional </w:t>
      </w:r>
      <w:r w:rsidR="00FF413F" w:rsidRPr="00F0254C">
        <w:rPr>
          <w:rFonts w:ascii="Segoe UI" w:hAnsi="Segoe UI" w:cs="Segoe UI"/>
          <w:lang w:eastAsia="en-US"/>
        </w:rPr>
        <w:t>eight</w:t>
      </w:r>
      <w:r w:rsidRPr="00F0254C">
        <w:rPr>
          <w:rFonts w:ascii="Segoe UI" w:hAnsi="Segoe UI" w:cs="Segoe UI"/>
          <w:lang w:eastAsia="en-US"/>
        </w:rPr>
        <w:t xml:space="preserve"> participants from </w:t>
      </w:r>
      <w:r w:rsidR="00FF413F" w:rsidRPr="00F0254C">
        <w:rPr>
          <w:rFonts w:ascii="Segoe UI" w:hAnsi="Segoe UI" w:cs="Segoe UI"/>
          <w:lang w:eastAsia="en-US"/>
        </w:rPr>
        <w:t>eight</w:t>
      </w:r>
      <w:r w:rsidRPr="00F0254C">
        <w:rPr>
          <w:rFonts w:ascii="Segoe UI" w:hAnsi="Segoe UI" w:cs="Segoe UI"/>
          <w:lang w:eastAsia="en-US"/>
        </w:rPr>
        <w:t xml:space="preserve"> families had recessive genotypes consistent with monogenic </w:t>
      </w:r>
      <w:r w:rsidRPr="00F0254C">
        <w:rPr>
          <w:rFonts w:ascii="Segoe UI" w:hAnsi="Segoe UI" w:cs="Segoe UI"/>
          <w:i/>
          <w:iCs/>
          <w:lang w:eastAsia="en-US"/>
        </w:rPr>
        <w:t>NPHP1</w:t>
      </w:r>
      <w:r w:rsidR="003D73D6" w:rsidRPr="00F0254C">
        <w:rPr>
          <w:rFonts w:ascii="Segoe UI" w:hAnsi="Segoe UI" w:cs="Segoe UI"/>
          <w:lang w:eastAsia="en-US"/>
        </w:rPr>
        <w:t>-</w:t>
      </w:r>
      <w:r w:rsidRPr="00F0254C">
        <w:rPr>
          <w:rFonts w:ascii="Segoe UI" w:hAnsi="Segoe UI" w:cs="Segoe UI"/>
          <w:lang w:eastAsia="en-US"/>
        </w:rPr>
        <w:t xml:space="preserve">related disease but without a documented phenotype. These included </w:t>
      </w:r>
      <w:r w:rsidR="00FF413F" w:rsidRPr="00F0254C">
        <w:rPr>
          <w:rFonts w:ascii="Segoe UI" w:hAnsi="Segoe UI" w:cs="Segoe UI"/>
          <w:lang w:eastAsia="en-US"/>
        </w:rPr>
        <w:t>six</w:t>
      </w:r>
      <w:r w:rsidRPr="00F0254C">
        <w:rPr>
          <w:rFonts w:ascii="Segoe UI" w:hAnsi="Segoe UI" w:cs="Segoe UI"/>
          <w:lang w:eastAsia="en-US"/>
        </w:rPr>
        <w:t xml:space="preserve"> with possible compound heterozygous missense mutations and </w:t>
      </w:r>
      <w:r w:rsidR="00125145" w:rsidRPr="00F0254C">
        <w:rPr>
          <w:rFonts w:ascii="Segoe UI" w:hAnsi="Segoe UI" w:cs="Segoe UI"/>
          <w:lang w:eastAsia="en-US"/>
        </w:rPr>
        <w:t>two</w:t>
      </w:r>
      <w:r w:rsidRPr="00F0254C">
        <w:rPr>
          <w:rFonts w:ascii="Segoe UI" w:hAnsi="Segoe UI" w:cs="Segoe UI"/>
          <w:lang w:eastAsia="en-US"/>
        </w:rPr>
        <w:t xml:space="preserve"> compound heterozygous CNV deletions </w:t>
      </w:r>
      <w:r w:rsidRPr="00F0254C">
        <w:rPr>
          <w:rFonts w:ascii="Segoe UI" w:hAnsi="Segoe UI" w:cs="Segoe UI"/>
          <w:i/>
          <w:iCs/>
          <w:lang w:eastAsia="en-US"/>
        </w:rPr>
        <w:t>in-trans</w:t>
      </w:r>
      <w:r w:rsidRPr="00F0254C">
        <w:rPr>
          <w:rFonts w:ascii="Segoe UI" w:hAnsi="Segoe UI" w:cs="Segoe UI"/>
          <w:lang w:eastAsia="en-US"/>
        </w:rPr>
        <w:t xml:space="preserve"> with a missense mutation. One participant without a documented renal or retinal phenotype was recruited to the cancer cohort. The other </w:t>
      </w:r>
      <w:r w:rsidR="00C2181A" w:rsidRPr="00F0254C">
        <w:rPr>
          <w:rFonts w:ascii="Segoe UI" w:hAnsi="Segoe UI" w:cs="Segoe UI"/>
          <w:lang w:eastAsia="en-US"/>
        </w:rPr>
        <w:t>was</w:t>
      </w:r>
      <w:r w:rsidR="001B7943" w:rsidRPr="00F0254C">
        <w:rPr>
          <w:rFonts w:ascii="Segoe UI" w:hAnsi="Segoe UI" w:cs="Segoe UI"/>
          <w:lang w:eastAsia="en-US"/>
        </w:rPr>
        <w:t xml:space="preserve"> </w:t>
      </w:r>
      <w:r w:rsidR="00C2181A" w:rsidRPr="00F0254C">
        <w:rPr>
          <w:rFonts w:ascii="Segoe UI" w:hAnsi="Segoe UI" w:cs="Segoe UI"/>
          <w:lang w:eastAsia="en-US"/>
        </w:rPr>
        <w:t xml:space="preserve">the relative of </w:t>
      </w:r>
      <w:r w:rsidR="001B7943" w:rsidRPr="00F0254C">
        <w:rPr>
          <w:rFonts w:ascii="Segoe UI" w:hAnsi="Segoe UI" w:cs="Segoe UI"/>
          <w:lang w:eastAsia="en-US"/>
        </w:rPr>
        <w:t>a participant</w:t>
      </w:r>
      <w:r w:rsidRPr="00F0254C">
        <w:rPr>
          <w:rFonts w:ascii="Segoe UI" w:hAnsi="Segoe UI" w:cs="Segoe UI"/>
          <w:lang w:eastAsia="en-US"/>
        </w:rPr>
        <w:t xml:space="preserve"> recruited with intellectual disability and no phenotype data available for renal or retinal disease.</w:t>
      </w:r>
    </w:p>
    <w:p w14:paraId="0AFB2F9F" w14:textId="5F38C736" w:rsidR="007C5D03" w:rsidRPr="00F0254C" w:rsidRDefault="003C61FB" w:rsidP="00950224">
      <w:pPr>
        <w:spacing w:line="480" w:lineRule="auto"/>
        <w:rPr>
          <w:rFonts w:ascii="Segoe UI" w:hAnsi="Segoe UI" w:cs="Segoe UI"/>
          <w:lang w:eastAsia="en-US"/>
        </w:rPr>
      </w:pPr>
      <w:r w:rsidRPr="00F0254C">
        <w:rPr>
          <w:rFonts w:ascii="Segoe UI" w:hAnsi="Segoe UI" w:cs="Segoe UI"/>
          <w:lang w:eastAsia="en-US"/>
        </w:rPr>
        <w:t xml:space="preserve">Many heterozygous CNV deletions (n=414) were discovered, including </w:t>
      </w:r>
      <w:r w:rsidR="00C2181A" w:rsidRPr="00F0254C">
        <w:rPr>
          <w:rFonts w:ascii="Segoe UI" w:hAnsi="Segoe UI" w:cs="Segoe UI"/>
          <w:lang w:eastAsia="en-US"/>
        </w:rPr>
        <w:t>six</w:t>
      </w:r>
      <w:r w:rsidRPr="00F0254C">
        <w:rPr>
          <w:rFonts w:ascii="Segoe UI" w:hAnsi="Segoe UI" w:cs="Segoe UI"/>
          <w:lang w:eastAsia="en-US"/>
        </w:rPr>
        <w:t xml:space="preserve"> in the top 50 GenePy rankings. Two heterozygous CNV deletions were identified in participants recruited to the cancer cohort, but no renal or retinal phenotype </w:t>
      </w:r>
      <w:r w:rsidR="001B7943" w:rsidRPr="00F0254C">
        <w:rPr>
          <w:rFonts w:ascii="Segoe UI" w:hAnsi="Segoe UI" w:cs="Segoe UI"/>
          <w:lang w:eastAsia="en-US"/>
        </w:rPr>
        <w:t xml:space="preserve">was </w:t>
      </w:r>
      <w:r w:rsidRPr="00F0254C">
        <w:rPr>
          <w:rFonts w:ascii="Segoe UI" w:hAnsi="Segoe UI" w:cs="Segoe UI"/>
          <w:lang w:eastAsia="en-US"/>
        </w:rPr>
        <w:t xml:space="preserve">recorded. However, the deletions were in-trans with an intronic variant with </w:t>
      </w:r>
      <w:r w:rsidR="001B7943" w:rsidRPr="00F0254C">
        <w:rPr>
          <w:rFonts w:ascii="Segoe UI" w:hAnsi="Segoe UI" w:cs="Segoe UI"/>
          <w:lang w:eastAsia="en-US"/>
        </w:rPr>
        <w:t>a CADD 1.6 PHRED score of 15.56 and found in</w:t>
      </w:r>
      <w:r w:rsidRPr="00F0254C">
        <w:rPr>
          <w:rFonts w:ascii="Segoe UI" w:hAnsi="Segoe UI" w:cs="Segoe UI"/>
          <w:lang w:eastAsia="en-US"/>
        </w:rPr>
        <w:t xml:space="preserve"> an active enhancer mark (H3K27ac). The remaining heterozygous CNVS were joint ranked 593 and not found with any additional predicted pathogenic </w:t>
      </w:r>
      <w:r w:rsidR="00B00121" w:rsidRPr="00F0254C">
        <w:rPr>
          <w:rFonts w:ascii="Segoe UI" w:hAnsi="Segoe UI" w:cs="Segoe UI"/>
          <w:lang w:eastAsia="en-US"/>
        </w:rPr>
        <w:t>variants by CADD 1.6.</w:t>
      </w:r>
    </w:p>
    <w:p w14:paraId="67E48340" w14:textId="70E2FA62" w:rsidR="0053524C" w:rsidRDefault="0053524C" w:rsidP="00CD246B">
      <w:pPr>
        <w:pStyle w:val="Heading2"/>
        <w:rPr>
          <w:lang w:eastAsia="en-US"/>
        </w:rPr>
      </w:pPr>
      <w:r>
        <w:rPr>
          <w:lang w:eastAsia="en-US"/>
        </w:rPr>
        <w:t>Alphafold structural modelling of variants</w:t>
      </w:r>
    </w:p>
    <w:p w14:paraId="77B8D0E4" w14:textId="334C72BC" w:rsidR="000307F9" w:rsidRPr="00F0254C" w:rsidRDefault="00160078" w:rsidP="00621F24">
      <w:pPr>
        <w:tabs>
          <w:tab w:val="left" w:pos="2411"/>
        </w:tabs>
        <w:spacing w:line="480" w:lineRule="auto"/>
        <w:rPr>
          <w:rFonts w:ascii="Segoe UI" w:hAnsi="Segoe UI" w:cs="Segoe UI"/>
        </w:rPr>
      </w:pPr>
      <w:r w:rsidRPr="00F0254C">
        <w:rPr>
          <w:rFonts w:ascii="Segoe UI" w:hAnsi="Segoe UI" w:cs="Segoe UI"/>
          <w:lang w:eastAsia="en-US"/>
        </w:rPr>
        <w:t xml:space="preserve">To </w:t>
      </w:r>
      <w:r w:rsidR="0073318C" w:rsidRPr="00F0254C">
        <w:rPr>
          <w:rFonts w:ascii="Segoe UI" w:hAnsi="Segoe UI" w:cs="Segoe UI"/>
          <w:lang w:eastAsia="en-US"/>
        </w:rPr>
        <w:t>explore</w:t>
      </w:r>
      <w:r w:rsidRPr="00F0254C">
        <w:rPr>
          <w:rFonts w:ascii="Segoe UI" w:hAnsi="Segoe UI" w:cs="Segoe UI"/>
          <w:lang w:eastAsia="en-US"/>
        </w:rPr>
        <w:t xml:space="preserve"> </w:t>
      </w:r>
      <w:r w:rsidR="00950224" w:rsidRPr="00F0254C">
        <w:rPr>
          <w:rFonts w:ascii="Segoe UI" w:hAnsi="Segoe UI" w:cs="Segoe UI"/>
          <w:lang w:eastAsia="en-US"/>
        </w:rPr>
        <w:t>if</w:t>
      </w:r>
      <w:r w:rsidRPr="00F0254C">
        <w:rPr>
          <w:rFonts w:ascii="Segoe UI" w:hAnsi="Segoe UI" w:cs="Segoe UI"/>
          <w:lang w:eastAsia="en-US"/>
        </w:rPr>
        <w:t xml:space="preserve"> </w:t>
      </w:r>
      <w:r w:rsidR="0073318C" w:rsidRPr="00F0254C">
        <w:rPr>
          <w:rFonts w:ascii="Segoe UI" w:hAnsi="Segoe UI" w:cs="Segoe UI"/>
          <w:lang w:eastAsia="en-US"/>
        </w:rPr>
        <w:t xml:space="preserve">any </w:t>
      </w:r>
      <w:r w:rsidRPr="00F0254C">
        <w:rPr>
          <w:rFonts w:ascii="Segoe UI" w:hAnsi="Segoe UI" w:cs="Segoe UI"/>
          <w:lang w:eastAsia="en-US"/>
        </w:rPr>
        <w:t xml:space="preserve">the </w:t>
      </w:r>
      <w:r w:rsidR="0073318C" w:rsidRPr="00F0254C">
        <w:rPr>
          <w:rFonts w:ascii="Segoe UI" w:hAnsi="Segoe UI" w:cs="Segoe UI"/>
          <w:lang w:eastAsia="en-US"/>
        </w:rPr>
        <w:t>pathogenic or assumed pathogenic variants (described in Table 3)</w:t>
      </w:r>
      <w:r w:rsidR="00950224" w:rsidRPr="00F0254C">
        <w:rPr>
          <w:rFonts w:ascii="Segoe UI" w:hAnsi="Segoe UI" w:cs="Segoe UI"/>
          <w:lang w:eastAsia="en-US"/>
        </w:rPr>
        <w:t xml:space="preserve"> could have an impact in the structural integrity of NPHP1</w:t>
      </w:r>
      <w:r w:rsidR="0073318C" w:rsidRPr="00F0254C">
        <w:rPr>
          <w:rFonts w:ascii="Segoe UI" w:hAnsi="Segoe UI" w:cs="Segoe UI"/>
          <w:lang w:eastAsia="en-US"/>
        </w:rPr>
        <w:t xml:space="preserve">, </w:t>
      </w:r>
      <w:r w:rsidRPr="00F0254C">
        <w:rPr>
          <w:rFonts w:ascii="Segoe UI" w:hAnsi="Segoe UI" w:cs="Segoe UI"/>
          <w:lang w:eastAsia="en-US"/>
        </w:rPr>
        <w:t>we mapped</w:t>
      </w:r>
      <w:r w:rsidR="0073318C" w:rsidRPr="00F0254C">
        <w:rPr>
          <w:rFonts w:ascii="Segoe UI" w:hAnsi="Segoe UI" w:cs="Segoe UI"/>
          <w:lang w:eastAsia="en-US"/>
        </w:rPr>
        <w:t xml:space="preserve"> </w:t>
      </w:r>
      <w:r w:rsidR="00950224" w:rsidRPr="00F0254C">
        <w:rPr>
          <w:rFonts w:ascii="Segoe UI" w:hAnsi="Segoe UI" w:cs="Segoe UI"/>
          <w:lang w:eastAsia="en-US"/>
        </w:rPr>
        <w:t xml:space="preserve">the most conspicuous changes </w:t>
      </w:r>
      <w:r w:rsidRPr="00F0254C">
        <w:rPr>
          <w:rFonts w:ascii="Segoe UI" w:hAnsi="Segoe UI" w:cs="Segoe UI"/>
          <w:lang w:eastAsia="en-US"/>
        </w:rPr>
        <w:t>into the structur</w:t>
      </w:r>
      <w:r w:rsidR="00375B09" w:rsidRPr="00F0254C">
        <w:rPr>
          <w:rFonts w:ascii="Segoe UI" w:hAnsi="Segoe UI" w:cs="Segoe UI"/>
          <w:lang w:eastAsia="en-US"/>
        </w:rPr>
        <w:t>al model of NPHP1</w:t>
      </w:r>
      <w:r w:rsidR="00950224" w:rsidRPr="00F0254C">
        <w:rPr>
          <w:rFonts w:ascii="Segoe UI" w:hAnsi="Segoe UI" w:cs="Segoe UI"/>
          <w:lang w:eastAsia="en-US"/>
        </w:rPr>
        <w:t xml:space="preserve"> (UNIPROT#O15259)</w:t>
      </w:r>
      <w:r w:rsidR="005A1D85" w:rsidRPr="00F0254C">
        <w:rPr>
          <w:rFonts w:ascii="Segoe UI" w:hAnsi="Segoe UI" w:cs="Segoe UI"/>
          <w:lang w:eastAsia="en-US"/>
        </w:rPr>
        <w:t xml:space="preserve"> </w:t>
      </w:r>
      <w:r w:rsidR="00950224" w:rsidRPr="00F0254C">
        <w:rPr>
          <w:rFonts w:ascii="Segoe UI" w:hAnsi="Segoe UI" w:cs="Segoe UI"/>
          <w:lang w:eastAsia="en-US"/>
        </w:rPr>
        <w:t xml:space="preserve">recent </w:t>
      </w:r>
      <w:r w:rsidR="00375B09" w:rsidRPr="00F0254C">
        <w:rPr>
          <w:rFonts w:ascii="Segoe UI" w:hAnsi="Segoe UI" w:cs="Segoe UI"/>
          <w:lang w:eastAsia="en-US"/>
        </w:rPr>
        <w:t>releas</w:t>
      </w:r>
      <w:r w:rsidR="00950224" w:rsidRPr="00F0254C">
        <w:rPr>
          <w:rFonts w:ascii="Segoe UI" w:hAnsi="Segoe UI" w:cs="Segoe UI"/>
          <w:lang w:eastAsia="en-US"/>
        </w:rPr>
        <w:t>ed</w:t>
      </w:r>
      <w:r w:rsidR="00D36550" w:rsidRPr="00F0254C">
        <w:rPr>
          <w:rFonts w:ascii="Segoe UI" w:hAnsi="Segoe UI" w:cs="Segoe UI"/>
          <w:lang w:eastAsia="en-US"/>
        </w:rPr>
        <w:t xml:space="preserve"> by </w:t>
      </w:r>
      <w:r w:rsidR="005E0A50" w:rsidRPr="00F0254C">
        <w:rPr>
          <w:rFonts w:ascii="Segoe UI" w:hAnsi="Segoe UI" w:cs="Segoe UI"/>
          <w:lang w:eastAsia="en-US"/>
        </w:rPr>
        <w:t>AlphaFold</w:t>
      </w:r>
      <w:r w:rsidR="00D36550" w:rsidRPr="00F0254C">
        <w:rPr>
          <w:rFonts w:ascii="Segoe UI" w:hAnsi="Segoe UI" w:cs="Segoe UI"/>
          <w:lang w:eastAsia="en-US"/>
        </w:rPr>
        <w:t>.</w:t>
      </w:r>
      <w:r w:rsidR="00D36550" w:rsidRPr="00F0254C">
        <w:rPr>
          <w:rFonts w:ascii="Segoe UI" w:hAnsi="Segoe UI" w:cs="Segoe UI"/>
          <w:lang w:eastAsia="en-US"/>
        </w:rPr>
        <w:fldChar w:fldCharType="begin" w:fldLock="1"/>
      </w:r>
      <w:r w:rsidR="00C275EA">
        <w:rPr>
          <w:rFonts w:ascii="Segoe UI" w:hAnsi="Segoe UI" w:cs="Segoe UI"/>
          <w:lang w:eastAsia="en-US"/>
        </w:rPr>
        <w:instrText>ADDIN CSL_CITATION {"citationItems":[{"id":"ITEM-1","itemData":{"DOI":"10.1093/NAR/GKAB1061","ISSN":"0305-1048","PMID":"34791371","abstract":"The AlphaFold Protein Structure Database (AlphaFold DB, https://alphafold.ebi.ac.uk) is an openly accessible, extensive database of high-accuracy protein-structure predictions. Powered by AlphaFold v2.0 of DeepMind, it has enabled an unprecedented expansion of the structural coverage of the known protein-sequence space. AlphaFold DB provides programmatic access to and interactive visualization of predicted atomic coordinates, per-residue and pairwise model-confidence estimates and predicted aligned errors. The initial release of AlphaFold DB contains over 360,000 predicted structures across 21 model-organism proteomes, which will soon be expanded to cover most of the (over 100 million) representative sequences from the UniRef90 data set.","author":[{"dropping-particle":"","family":"Varadi","given":"Mihaly","non-dropping-particle":"","parse-names":false,"suffix":""},{"dropping-particle":"","family":"Anyango","given":"Stephen","non-dropping-particle":"","parse-names":false,"suffix":""},{"dropping-particle":"","family":"Deshpande","given":"Mandar","non-dropping-particle":"","parse-names":false,"suffix":""},{"dropping-particle":"","family":"Nair","given":"Sreenath","non-dropping-particle":"","parse-names":false,"suffix":""},{"dropping-particle":"","family":"Natassia","given":"Cindy","non-dropping-particle":"","parse-names":false,"suffix":""},{"dropping-particle":"","family":"Yordanova","given":"Galabina","non-dropping-particle":"","parse-names":false,"suffix":""},{"dropping-particle":"","family":"Yuan","given":"David","non-dropping-particle":"","parse-names":false,"suffix":""},{"dropping-particle":"","family":"Stroe","given":"Oana","non-dropping-particle":"","parse-names":false,"suffix":""},{"dropping-particle":"","family":"Wood","given":"Gemma","non-dropping-particle":"","parse-names":false,"suffix":""},{"dropping-particle":"","family":"Laydon","given":"Agata","non-dropping-particle":"","parse-names":false,"suffix":""},{"dropping-particle":"","family":"Zídek","given":"Augustin","non-dropping-particle":"","parse-names":false,"suffix":""},{"dropping-particle":"","family":"Green","given":"Tim","non-dropping-particle":"","parse-names":false,"suffix":""},{"dropping-particle":"","family":"Tunyasuvunakool","given":"Kathryn","non-dropping-particle":"","parse-names":false,"suffix":""},{"dropping-particle":"","family":"Petersen","given":"Stig","non-dropping-particle":"","parse-names":false,"suffix":""},{"dropping-particle":"","family":"Jumper","given":"John","non-dropping-particle":"","parse-names":false,"suffix":""},{"dropping-particle":"","family":"Clancy","given":"Ellen","non-dropping-particle":"","parse-names":false,"suffix":""},{"dropping-particle":"","family":"Green","given":"Richard","non-dropping-particle":"","parse-names":false,"suffix":""},{"dropping-particle":"","family":"Vora","given":"Ankur","non-dropping-particle":"","parse-names":false,"suffix":""},{"dropping-particle":"","family":"Lutfi","given":"Mira","non-dropping-particle":"","parse-names":false,"suffix":""},{"dropping-particle":"","family":"Figurnov","given":"Michael","non-dropping-particle":"","parse-names":false,"suffix":""},{"dropping-particle":"","family":"Cowie","given":"Andrew","non-dropping-particle":"","parse-names":false,"suffix":""},{"dropping-particle":"","family":"Hobbs","given":"Nicole","non-dropping-particle":"","parse-names":false,"suffix":""},{"dropping-particle":"","family":"Kohli","given":"Pushmeet","non-dropping-particle":"","parse-names":false,"suffix":""},{"dropping-particle":"","family":"Kleywegt","given":"Gerard","non-dropping-particle":"","parse-names":false,"suffix":""},{"dropping-particle":"","family":"Birney","given":"Ewan","non-dropping-particle":"","parse-names":false,"suffix":""},{"dropping-particle":"","family":"Hassabis","given":"Demis","non-dropping-particle":"","parse-names":false,"suffix":""},{"dropping-particle":"","family":"Velankar","given":"Sameer","non-dropping-particle":"","parse-names":false,"suffix":""}],"container-title":"Nucleic Acids Research","id":"ITEM-1","issue":"D1","issued":{"date-parts":[["2022","1","7"]]},"page":"D439-D444","publisher":"Oxford Academic","title":"AlphaFold Protein Structure Database: massively expanding the structural coverage of protein-sequence space with high-accuracy models","type":"article-journal","volume":"50"},"uris":["http://www.mendeley.com/documents/?uuid=0b333272-4a01-3994-9454-7b85e1c3a6d3"]},{"id":"ITEM-2","itemData":{"DOI":"10.1038/s41586-021-03819-2","ISSN":"1476-4687","PMID":"34265844","abstract":"Proteins are essential to life, and understanding their structure can facilitate a mechanistic understanding of their function. Through an enormous experimental effort1–4, the structures of around 100,000 unique proteins have been determined5, but this represents a small fraction of the billions of known protein sequences6,7. Structural coverage is bottlenecked by the months to years of painstaking effort required to determine a single protein structure. Accurate computational approaches are needed to address this gap and to enable large-scale structural bioinformatics. Predicting the three-dimensional structure that a protein will adopt based solely on its amino acid sequence—the structure prediction component of the ‘protein folding problem’8—has been an important open research problem for more than 50&amp;nbsp;years9. Despite recent progress10–14, existing methods fall far&amp;nbsp;short of atomic accuracy, especially when no homologous structure is available. Here we provide the first computational method that can regularly predict protein structures with atomic accuracy even in cases in which no similar structure is known. We validated an entirely redesigned version of our neural network-based model, AlphaFold, in the challenging 14th Critical Assessment of protein Structure Prediction (CASP14)15, demonstrating accuracy competitive with experimental structures in a majority of cases and greatly outperforming other methods. Underpinning the latest version of AlphaFold is a novel machine learning approach that incorporates physical and biological knowledge about protein structure, leveraging multi-sequence alignments, into the design of the deep learning algorithm. AlphaFold predicts protein structures with an accuracy competitive with experimental structures in the majority of cases using a novel deep learning architecture.","author":[{"dropping-particle":"","family":"Jumper","given":"John","non-dropping-particle":"","parse-names":false,"suffix":""},{"dropping-particle":"","family":"Evans","given":"Richard","non-dropping-particle":"","parse-names":false,"suffix":""},{"dropping-particle":"","family":"Pritzel","given":"Alexander","non-dropping-particle":"","parse-names":false,"suffix":""},{"dropping-particle":"","family":"Green","given":"Tim","non-dropping-particle":"","parse-names":false,"suffix":""},{"dropping-particle":"","family":"Figurnov","given":"Michael","non-dropping-particle":"","parse-names":false,"suffix":""},{"dropping-particle":"","family":"Ronneberger","given":"Olaf","non-dropping-particle":"","parse-names":false,"suffix":""},{"dropping-particle":"","family":"Tunyasuvunakool","given":"Kathryn","non-dropping-particle":"","parse-names":false,"suffix":""},{"dropping-particle":"","family":"Bates","given":"Russ","non-dropping-particle":"","parse-names":false,"suffix":""},{"dropping-particle":"","family":"Žídek","given":"Augustin","non-dropping-particle":"","parse-names":false,"suffix":""},{"dropping-particle":"","family":"Potapenko","given":"Anna","non-dropping-particle":"","parse-names":false,"suffix":""},{"dropping-particle":"","family":"Bridgland","given":"Alex","non-dropping-particle":"","parse-names":false,"suffix":""},{"dropping-particle":"","family":"Meyer","given":"Clemens","non-dropping-particle":"","parse-names":false,"suffix":""},{"dropping-particle":"","family":"Kohl","given":"Simon A.A.","non-dropping-particle":"","parse-names":false,"suffix":""},{"dropping-particle":"","family":"Ballard","given":"Andrew J.","non-dropping-particle":"","parse-names":false,"suffix":""},{"dropping-particle":"","family":"Cowie","given":"Andrew","non-dropping-particle":"","parse-names":false,"suffix":""},{"dropping-particle":"","family":"Romera-Paredes","given":"Bernardino","non-dropping-particle":"","parse-names":false,"suffix":""},{"dropping-particle":"","family":"Nikolov","given":"Stanislav","non-dropping-particle":"","parse-names":false,"suffix":""},{"dropping-particle":"","family":"Jain","given":"Rishub","non-dropping-particle":"","parse-names":false,"suffix":""},{"dropping-particle":"","family":"Adler","given":"Jonas","non-dropping-particle":"","parse-names":false,"suffix":""},{"dropping-particle":"","family":"Back","given":"Trevor","non-dropping-particle":"","parse-names":false,"suffix":""},{"dropping-particle":"","family":"Petersen","given":"Stig","non-dropping-particle":"","parse-names":false,"suffix":""},{"dropping-particle":"","family":"Reiman","given":"David","non-dropping-particle":"","parse-names":false,"suffix":""},{"dropping-particle":"","family":"Clancy","given":"Ellen","non-dropping-particle":"","parse-names":false,"suffix":""},{"dropping-particle":"","family":"Zielinski","given":"Michal","non-dropping-particle":"","parse-names":false,"suffix":""},{"dropping-particle":"","family":"Steinegger","given":"Martin","non-dropping-particle":"","parse-names":false,"suffix":""},{"dropping-particle":"","family":"Pacholska","given":"Michalina","non-dropping-particle":"","parse-names":false,"suffix":""},{"dropping-particle":"","family":"Berghammer","given":"Tamas","non-dropping-particle":"","parse-names":false,"suffix":""},{"dropping-particle":"","family":"Bodenstein","given":"Sebastian","non-dropping-particle":"","parse-names":false,"suffix":""},{"dropping-particle":"","family":"Silver","given":"David","non-dropping-particle":"","parse-names":false,"suffix":""},{"dropping-particle":"","family":"Vinyals","given":"Oriol","non-dropping-particle":"","parse-names":false,"suffix":""},{"dropping-particle":"","family":"Senior","given":"Andrew W.","non-dropping-particle":"","parse-names":false,"suffix":""},{"dropping-particle":"","family":"Kavukcuoglu","given":"Koray","non-dropping-particle":"","parse-names":false,"suffix":""},{"dropping-particle":"","family":"Kohli","given":"Pushmeet","non-dropping-particle":"","parse-names":false,"suffix":""},{"dropping-particle":"","family":"Hassabis","given":"Demis","non-dropping-particle":"","parse-names":false,"suffix":""}],"container-title":"Nature 2021 596:7873","id":"ITEM-2","issue":"7873","issued":{"date-parts":[["2021","7","15"]]},"page":"583-589","publisher":"Nature Publishing Group","title":"Highly accurate protein structure prediction with AlphaFold","type":"article-journal","volume":"596"},"uris":["http://www.mendeley.com/documents/?uuid=092437d7-ce33-32bb-ad70-7022a6fad1d9"]}],"mendeley":{"formattedCitation":"&lt;span style=\"baseline\"&gt;[43,44]&lt;/span&gt;","plainTextFormattedCitation":"[43,44]","previouslyFormattedCitation":"&lt;span style=\"baseline\"&gt;[43,44]&lt;/span&gt;"},"properties":{"noteIndex":0},"schema":"https://github.com/citation-style-language/schema/raw/master/csl-citation.json"}</w:instrText>
      </w:r>
      <w:r w:rsidR="00D36550" w:rsidRPr="00F0254C">
        <w:rPr>
          <w:rFonts w:ascii="Segoe UI" w:hAnsi="Segoe UI" w:cs="Segoe UI"/>
          <w:lang w:eastAsia="en-US"/>
        </w:rPr>
        <w:fldChar w:fldCharType="separate"/>
      </w:r>
      <w:r w:rsidR="00621F24" w:rsidRPr="00621F24">
        <w:rPr>
          <w:rFonts w:ascii="Segoe UI" w:hAnsi="Segoe UI" w:cs="Segoe UI"/>
          <w:noProof/>
          <w:lang w:eastAsia="en-US"/>
        </w:rPr>
        <w:t>[43,44]</w:t>
      </w:r>
      <w:r w:rsidR="00D36550" w:rsidRPr="00F0254C">
        <w:rPr>
          <w:rFonts w:ascii="Segoe UI" w:hAnsi="Segoe UI" w:cs="Segoe UI"/>
          <w:lang w:eastAsia="en-US"/>
        </w:rPr>
        <w:fldChar w:fldCharType="end"/>
      </w:r>
      <w:r w:rsidR="00D36550" w:rsidRPr="00F0254C">
        <w:rPr>
          <w:rFonts w:ascii="Segoe UI" w:hAnsi="Segoe UI" w:cs="Segoe UI"/>
          <w:lang w:eastAsia="en-US"/>
        </w:rPr>
        <w:t xml:space="preserve"> </w:t>
      </w:r>
      <w:r w:rsidR="000D4BA0" w:rsidRPr="00F0254C">
        <w:rPr>
          <w:rFonts w:ascii="Segoe UI" w:hAnsi="Segoe UI" w:cs="Segoe UI"/>
          <w:lang w:eastAsia="en-US"/>
        </w:rPr>
        <w:t xml:space="preserve">In short, </w:t>
      </w:r>
      <w:r w:rsidR="000D4BA0" w:rsidRPr="00F0254C">
        <w:rPr>
          <w:rFonts w:ascii="Segoe UI" w:hAnsi="Segoe UI" w:cs="Segoe UI"/>
        </w:rPr>
        <w:t xml:space="preserve">the </w:t>
      </w:r>
      <w:r w:rsidR="005E0A50" w:rsidRPr="00F0254C">
        <w:rPr>
          <w:rFonts w:ascii="Segoe UI" w:hAnsi="Segoe UI" w:cs="Segoe UI"/>
        </w:rPr>
        <w:t>AlphaFold</w:t>
      </w:r>
      <w:r w:rsidR="000D4BA0" w:rsidRPr="00F0254C">
        <w:rPr>
          <w:rFonts w:ascii="Segoe UI" w:hAnsi="Segoe UI" w:cs="Segoe UI"/>
        </w:rPr>
        <w:t xml:space="preserve"> algorithm is</w:t>
      </w:r>
      <w:r w:rsidR="004455ED" w:rsidRPr="00F0254C">
        <w:rPr>
          <w:rFonts w:ascii="Segoe UI" w:hAnsi="Segoe UI" w:cs="Segoe UI"/>
        </w:rPr>
        <w:t xml:space="preserve"> an AI system</w:t>
      </w:r>
      <w:r w:rsidR="000D4BA0" w:rsidRPr="00F0254C">
        <w:rPr>
          <w:rFonts w:ascii="Segoe UI" w:hAnsi="Segoe UI" w:cs="Segoe UI"/>
        </w:rPr>
        <w:t xml:space="preserve"> based on </w:t>
      </w:r>
      <w:r w:rsidR="004455ED" w:rsidRPr="00F0254C">
        <w:rPr>
          <w:rFonts w:ascii="Segoe UI" w:hAnsi="Segoe UI" w:cs="Segoe UI"/>
        </w:rPr>
        <w:t xml:space="preserve">the </w:t>
      </w:r>
      <w:r w:rsidR="000D4BA0" w:rsidRPr="00F0254C">
        <w:rPr>
          <w:rFonts w:ascii="Segoe UI" w:hAnsi="Segoe UI" w:cs="Segoe UI"/>
        </w:rPr>
        <w:t xml:space="preserve">analysis of contact maps of co-evolving residues extracted from </w:t>
      </w:r>
      <w:r w:rsidR="00BF6E12" w:rsidRPr="00F0254C">
        <w:rPr>
          <w:rFonts w:ascii="Segoe UI" w:hAnsi="Segoe UI" w:cs="Segoe UI"/>
        </w:rPr>
        <w:t>multiple sequence alignments (</w:t>
      </w:r>
      <w:r w:rsidR="000D4BA0" w:rsidRPr="00F0254C">
        <w:rPr>
          <w:rFonts w:ascii="Segoe UI" w:hAnsi="Segoe UI" w:cs="Segoe UI"/>
        </w:rPr>
        <w:t>MSA</w:t>
      </w:r>
      <w:r w:rsidR="00BF6E12" w:rsidRPr="00F0254C">
        <w:rPr>
          <w:rFonts w:ascii="Segoe UI" w:hAnsi="Segoe UI" w:cs="Segoe UI"/>
        </w:rPr>
        <w:t>s)</w:t>
      </w:r>
      <w:r w:rsidR="000D4BA0" w:rsidRPr="00F0254C">
        <w:rPr>
          <w:rFonts w:ascii="Segoe UI" w:hAnsi="Segoe UI" w:cs="Segoe UI"/>
        </w:rPr>
        <w:t xml:space="preserve"> of sequences</w:t>
      </w:r>
      <w:r w:rsidR="004455ED" w:rsidRPr="00F0254C">
        <w:rPr>
          <w:rFonts w:ascii="Segoe UI" w:hAnsi="Segoe UI" w:cs="Segoe UI"/>
        </w:rPr>
        <w:t xml:space="preserve">, which feed two neural networks: </w:t>
      </w:r>
      <w:r w:rsidR="000D4BA0" w:rsidRPr="00F0254C">
        <w:rPr>
          <w:rFonts w:ascii="Segoe UI" w:hAnsi="Segoe UI" w:cs="Segoe UI"/>
        </w:rPr>
        <w:t>one trained on</w:t>
      </w:r>
      <w:r w:rsidR="00BF6E12" w:rsidRPr="00F0254C">
        <w:rPr>
          <w:rFonts w:ascii="Segoe UI" w:hAnsi="Segoe UI" w:cs="Segoe UI"/>
        </w:rPr>
        <w:t xml:space="preserve"> </w:t>
      </w:r>
      <w:r w:rsidR="00532DD5">
        <w:rPr>
          <w:rFonts w:ascii="Segoe UI" w:hAnsi="Segoe UI" w:cs="Segoe UI"/>
        </w:rPr>
        <w:t>Protein Data Bank</w:t>
      </w:r>
      <w:r w:rsidR="000D4BA0" w:rsidRPr="00F0254C">
        <w:rPr>
          <w:rFonts w:ascii="Segoe UI" w:hAnsi="Segoe UI" w:cs="Segoe UI"/>
        </w:rPr>
        <w:t xml:space="preserve"> </w:t>
      </w:r>
      <w:r w:rsidR="00BF6E12" w:rsidRPr="00F0254C">
        <w:rPr>
          <w:rFonts w:ascii="Segoe UI" w:hAnsi="Segoe UI" w:cs="Segoe UI"/>
        </w:rPr>
        <w:t>(</w:t>
      </w:r>
      <w:r w:rsidR="000D4BA0" w:rsidRPr="00F0254C">
        <w:rPr>
          <w:rFonts w:ascii="Segoe UI" w:hAnsi="Segoe UI" w:cs="Segoe UI"/>
        </w:rPr>
        <w:t>PDB</w:t>
      </w:r>
      <w:r w:rsidR="00BF6E12" w:rsidRPr="00F0254C">
        <w:rPr>
          <w:rFonts w:ascii="Segoe UI" w:hAnsi="Segoe UI" w:cs="Segoe UI"/>
        </w:rPr>
        <w:t>)</w:t>
      </w:r>
      <w:r w:rsidR="000D4BA0" w:rsidRPr="00F0254C">
        <w:rPr>
          <w:rFonts w:ascii="Segoe UI" w:hAnsi="Segoe UI" w:cs="Segoe UI"/>
        </w:rPr>
        <w:t xml:space="preserve"> structures to predict interatomic</w:t>
      </w:r>
      <w:r w:rsidR="004455ED" w:rsidRPr="00F0254C">
        <w:rPr>
          <w:rFonts w:ascii="Segoe UI" w:hAnsi="Segoe UI" w:cs="Segoe UI"/>
        </w:rPr>
        <w:t xml:space="preserve"> angles and</w:t>
      </w:r>
      <w:r w:rsidR="000D4BA0" w:rsidRPr="00F0254C">
        <w:rPr>
          <w:rFonts w:ascii="Segoe UI" w:hAnsi="Segoe UI" w:cs="Segoe UI"/>
        </w:rPr>
        <w:t xml:space="preserve"> distances</w:t>
      </w:r>
      <w:r w:rsidR="004455ED" w:rsidRPr="00F0254C">
        <w:rPr>
          <w:rFonts w:ascii="Segoe UI" w:hAnsi="Segoe UI" w:cs="Segoe UI"/>
        </w:rPr>
        <w:t xml:space="preserve">; another, </w:t>
      </w:r>
      <w:r w:rsidR="000D4BA0" w:rsidRPr="00F0254C">
        <w:rPr>
          <w:rFonts w:ascii="Segoe UI" w:hAnsi="Segoe UI" w:cs="Segoe UI"/>
        </w:rPr>
        <w:t xml:space="preserve">trained to score the geometry and structural </w:t>
      </w:r>
      <w:r w:rsidR="000D4BA0" w:rsidRPr="00F0254C">
        <w:rPr>
          <w:rFonts w:ascii="Segoe UI" w:hAnsi="Segoe UI" w:cs="Segoe UI"/>
        </w:rPr>
        <w:lastRenderedPageBreak/>
        <w:t xml:space="preserve">accuracy. </w:t>
      </w:r>
      <w:r w:rsidR="0073318C" w:rsidRPr="00F0254C">
        <w:rPr>
          <w:rFonts w:ascii="Segoe UI" w:hAnsi="Segoe UI" w:cs="Segoe UI"/>
          <w:lang w:eastAsia="en-US"/>
        </w:rPr>
        <w:t>Th</w:t>
      </w:r>
      <w:r w:rsidR="00950224" w:rsidRPr="00F0254C">
        <w:rPr>
          <w:rFonts w:ascii="Segoe UI" w:hAnsi="Segoe UI" w:cs="Segoe UI"/>
          <w:lang w:eastAsia="en-US"/>
        </w:rPr>
        <w:t>is</w:t>
      </w:r>
      <w:r w:rsidR="00971414" w:rsidRPr="00F0254C">
        <w:rPr>
          <w:rFonts w:ascii="Segoe UI" w:hAnsi="Segoe UI" w:cs="Segoe UI"/>
          <w:lang w:eastAsia="en-US"/>
        </w:rPr>
        <w:t xml:space="preserve"> model </w:t>
      </w:r>
      <w:r w:rsidR="0073318C" w:rsidRPr="00F0254C">
        <w:rPr>
          <w:rFonts w:ascii="Segoe UI" w:hAnsi="Segoe UI" w:cs="Segoe UI"/>
          <w:lang w:eastAsia="en-US"/>
        </w:rPr>
        <w:t xml:space="preserve">identifies five different structural regions within </w:t>
      </w:r>
      <w:r w:rsidR="005458AE" w:rsidRPr="00F0254C">
        <w:rPr>
          <w:rFonts w:ascii="Segoe UI" w:hAnsi="Segoe UI" w:cs="Segoe UI"/>
          <w:lang w:eastAsia="en-US"/>
        </w:rPr>
        <w:t>the NPHP1</w:t>
      </w:r>
      <w:r w:rsidR="0073318C" w:rsidRPr="00F0254C">
        <w:rPr>
          <w:rFonts w:ascii="Segoe UI" w:hAnsi="Segoe UI" w:cs="Segoe UI"/>
          <w:lang w:eastAsia="en-US"/>
        </w:rPr>
        <w:t xml:space="preserve"> polypeptide chain</w:t>
      </w:r>
      <w:r w:rsidR="0048114A" w:rsidRPr="00F0254C">
        <w:rPr>
          <w:rFonts w:ascii="Segoe UI" w:hAnsi="Segoe UI" w:cs="Segoe UI"/>
          <w:lang w:eastAsia="en-US"/>
        </w:rPr>
        <w:t xml:space="preserve"> (</w:t>
      </w:r>
      <w:r w:rsidR="00B64EBD" w:rsidRPr="00F0254C">
        <w:rPr>
          <w:rFonts w:ascii="Segoe UI" w:hAnsi="Segoe UI" w:cs="Segoe UI"/>
          <w:lang w:eastAsia="en-US"/>
        </w:rPr>
        <w:t>see</w:t>
      </w:r>
      <w:r w:rsidR="005F1D21">
        <w:rPr>
          <w:rFonts w:ascii="Segoe UI" w:hAnsi="Segoe UI" w:cs="Segoe UI"/>
          <w:lang w:eastAsia="en-US"/>
        </w:rPr>
        <w:t xml:space="preserve"> </w:t>
      </w:r>
      <w:r w:rsidR="005F1D21">
        <w:rPr>
          <w:rFonts w:ascii="Segoe UI" w:hAnsi="Segoe UI" w:cs="Segoe UI"/>
          <w:lang w:eastAsia="en-US"/>
        </w:rPr>
        <w:fldChar w:fldCharType="begin"/>
      </w:r>
      <w:r w:rsidR="005F1D21">
        <w:rPr>
          <w:rFonts w:ascii="Segoe UI" w:hAnsi="Segoe UI" w:cs="Segoe UI"/>
          <w:lang w:eastAsia="en-US"/>
        </w:rPr>
        <w:instrText xml:space="preserve"> REF _Ref119062713 \h </w:instrText>
      </w:r>
      <w:r w:rsidR="005F1D21">
        <w:rPr>
          <w:rFonts w:ascii="Segoe UI" w:hAnsi="Segoe UI" w:cs="Segoe UI"/>
          <w:lang w:eastAsia="en-US"/>
        </w:rPr>
      </w:r>
      <w:r w:rsidR="005F1D21">
        <w:rPr>
          <w:rFonts w:ascii="Segoe UI" w:hAnsi="Segoe UI" w:cs="Segoe UI"/>
          <w:lang w:eastAsia="en-US"/>
        </w:rPr>
        <w:fldChar w:fldCharType="separate"/>
      </w:r>
      <w:r w:rsidR="005F1D21" w:rsidRPr="00275143">
        <w:rPr>
          <w:b/>
          <w:bCs/>
        </w:rPr>
        <w:t xml:space="preserve">Figure </w:t>
      </w:r>
      <w:r w:rsidR="005F1D21" w:rsidRPr="00275143">
        <w:rPr>
          <w:b/>
          <w:bCs/>
          <w:noProof/>
        </w:rPr>
        <w:t>2</w:t>
      </w:r>
      <w:r w:rsidR="005F1D21">
        <w:rPr>
          <w:rFonts w:ascii="Segoe UI" w:hAnsi="Segoe UI" w:cs="Segoe UI"/>
          <w:lang w:eastAsia="en-US"/>
        </w:rPr>
        <w:fldChar w:fldCharType="end"/>
      </w:r>
      <w:r w:rsidR="0048114A" w:rsidRPr="00F0254C">
        <w:rPr>
          <w:rFonts w:ascii="Segoe UI" w:hAnsi="Segoe UI" w:cs="Segoe UI"/>
          <w:lang w:eastAsia="en-US"/>
        </w:rPr>
        <w:t>)</w:t>
      </w:r>
      <w:r w:rsidR="00F31773" w:rsidRPr="00F0254C">
        <w:rPr>
          <w:rFonts w:ascii="Segoe UI" w:hAnsi="Segoe UI" w:cs="Segoe UI"/>
          <w:lang w:eastAsia="en-US"/>
        </w:rPr>
        <w:t xml:space="preserve">: </w:t>
      </w:r>
      <w:r w:rsidR="0073318C" w:rsidRPr="00F0254C">
        <w:rPr>
          <w:rFonts w:ascii="Segoe UI" w:hAnsi="Segoe UI" w:cs="Segoe UI"/>
          <w:lang w:eastAsia="en-US"/>
        </w:rPr>
        <w:t>A</w:t>
      </w:r>
      <w:r w:rsidR="008C2F33" w:rsidRPr="00F0254C">
        <w:rPr>
          <w:rFonts w:ascii="Segoe UI" w:hAnsi="Segoe UI" w:cs="Segoe UI"/>
          <w:lang w:eastAsia="en-US"/>
        </w:rPr>
        <w:t>n</w:t>
      </w:r>
      <w:r w:rsidR="0073318C" w:rsidRPr="00F0254C">
        <w:rPr>
          <w:rFonts w:ascii="Segoe UI" w:hAnsi="Segoe UI" w:cs="Segoe UI"/>
          <w:lang w:eastAsia="en-US"/>
        </w:rPr>
        <w:t xml:space="preserve"> N-terminal domain enriched by coil-coiled </w:t>
      </w:r>
      <w:r w:rsidR="00950224" w:rsidRPr="00F0254C">
        <w:rPr>
          <w:rFonts w:ascii="Segoe UI" w:hAnsi="Segoe UI" w:cs="Segoe UI"/>
          <w:lang w:eastAsia="en-US"/>
        </w:rPr>
        <w:t>helical structures</w:t>
      </w:r>
      <w:r w:rsidR="00F31773" w:rsidRPr="00F0254C">
        <w:rPr>
          <w:rFonts w:ascii="Segoe UI" w:hAnsi="Segoe UI" w:cs="Segoe UI"/>
          <w:lang w:eastAsia="en-US"/>
        </w:rPr>
        <w:t xml:space="preserve"> (residues 1 to 100, approximately), a first disordered region 1 (residues 100 to 150), a SH3 domain (r.150 to 210), a second disordered region (</w:t>
      </w:r>
      <w:r w:rsidR="00D01694" w:rsidRPr="00F0254C">
        <w:rPr>
          <w:rFonts w:ascii="Segoe UI" w:hAnsi="Segoe UI" w:cs="Segoe UI"/>
          <w:lang w:eastAsia="en-US"/>
        </w:rPr>
        <w:t xml:space="preserve">210 to 240), and </w:t>
      </w:r>
      <w:r w:rsidR="00D6000C" w:rsidRPr="00F0254C">
        <w:rPr>
          <w:rFonts w:ascii="Segoe UI" w:hAnsi="Segoe UI" w:cs="Segoe UI"/>
          <w:lang w:eastAsia="en-US"/>
        </w:rPr>
        <w:t>a</w:t>
      </w:r>
      <w:r w:rsidR="00D01694" w:rsidRPr="00F0254C">
        <w:rPr>
          <w:rFonts w:ascii="Segoe UI" w:hAnsi="Segoe UI" w:cs="Segoe UI"/>
          <w:lang w:eastAsia="en-US"/>
        </w:rPr>
        <w:t xml:space="preserve"> globular C-terminal domain </w:t>
      </w:r>
      <w:r w:rsidR="008C2F33" w:rsidRPr="00F0254C">
        <w:rPr>
          <w:rFonts w:ascii="Segoe UI" w:hAnsi="Segoe UI" w:cs="Segoe UI"/>
          <w:lang w:eastAsia="en-US"/>
        </w:rPr>
        <w:t>rich in both beta-sheets and alph</w:t>
      </w:r>
      <w:r w:rsidR="00D01694" w:rsidRPr="00F0254C">
        <w:rPr>
          <w:rFonts w:ascii="Segoe UI" w:hAnsi="Segoe UI" w:cs="Segoe UI"/>
          <w:lang w:eastAsia="en-US"/>
        </w:rPr>
        <w:t>a helices (240 to 732). The quality of the prediction in generally consistently high in most of these regions,</w:t>
      </w:r>
      <w:r w:rsidR="000307F9" w:rsidRPr="00F0254C">
        <w:rPr>
          <w:rFonts w:ascii="Segoe UI" w:hAnsi="Segoe UI" w:cs="Segoe UI"/>
          <w:lang w:eastAsia="en-US"/>
        </w:rPr>
        <w:t xml:space="preserve"> with the</w:t>
      </w:r>
      <w:r w:rsidR="00D01694" w:rsidRPr="00F0254C">
        <w:rPr>
          <w:rFonts w:ascii="Segoe UI" w:hAnsi="Segoe UI" w:cs="Segoe UI"/>
          <w:lang w:eastAsia="en-US"/>
        </w:rPr>
        <w:t xml:space="preserve"> exclusion the two disordered regions. Experimental structural data is available for th</w:t>
      </w:r>
      <w:r w:rsidR="00136F57" w:rsidRPr="00F0254C">
        <w:rPr>
          <w:rFonts w:ascii="Segoe UI" w:hAnsi="Segoe UI" w:cs="Segoe UI"/>
          <w:lang w:eastAsia="en-US"/>
        </w:rPr>
        <w:t xml:space="preserve">e N-terminal coil-coiled domain, </w:t>
      </w:r>
      <w:r w:rsidR="00D6000C" w:rsidRPr="00F0254C">
        <w:rPr>
          <w:rFonts w:ascii="Segoe UI" w:hAnsi="Segoe UI" w:cs="Segoe UI"/>
          <w:lang w:eastAsia="en-US"/>
        </w:rPr>
        <w:t>like</w:t>
      </w:r>
      <w:r w:rsidR="002652BE" w:rsidRPr="00F0254C">
        <w:rPr>
          <w:rFonts w:ascii="Segoe UI" w:hAnsi="Segoe UI" w:cs="Segoe UI"/>
          <w:lang w:eastAsia="en-US"/>
        </w:rPr>
        <w:t xml:space="preserve"> that of the</w:t>
      </w:r>
      <w:r w:rsidR="00DF634B" w:rsidRPr="00F0254C">
        <w:rPr>
          <w:rFonts w:ascii="Segoe UI" w:hAnsi="Segoe UI" w:cs="Segoe UI"/>
          <w:lang w:eastAsia="en-US"/>
        </w:rPr>
        <w:t xml:space="preserve"> BAG domain protein family, known to mediate the anti-apoptotic function</w:t>
      </w:r>
      <w:r w:rsidR="002652BE" w:rsidRPr="00F0254C">
        <w:rPr>
          <w:rFonts w:ascii="Segoe UI" w:hAnsi="Segoe UI" w:cs="Segoe UI"/>
          <w:lang w:eastAsia="en-US"/>
        </w:rPr>
        <w:t>s</w:t>
      </w:r>
      <w:r w:rsidR="00136F57" w:rsidRPr="00F0254C">
        <w:rPr>
          <w:rFonts w:ascii="Segoe UI" w:hAnsi="Segoe UI" w:cs="Segoe UI"/>
          <w:lang w:eastAsia="en-US"/>
        </w:rPr>
        <w:t xml:space="preserve">, </w:t>
      </w:r>
      <w:r w:rsidR="00D01694" w:rsidRPr="00F0254C">
        <w:rPr>
          <w:rFonts w:ascii="Segoe UI" w:hAnsi="Segoe UI" w:cs="Segoe UI"/>
          <w:lang w:eastAsia="en-US"/>
        </w:rPr>
        <w:t xml:space="preserve">and the SH3 domains </w:t>
      </w:r>
      <w:r w:rsidR="000D4BA0" w:rsidRPr="00F0254C">
        <w:rPr>
          <w:rFonts w:ascii="Segoe UI" w:hAnsi="Segoe UI" w:cs="Segoe UI"/>
          <w:lang w:eastAsia="en-US"/>
        </w:rPr>
        <w:t>though</w:t>
      </w:r>
      <w:r w:rsidR="009B5948" w:rsidRPr="00F0254C">
        <w:rPr>
          <w:rFonts w:ascii="Segoe UI" w:hAnsi="Segoe UI" w:cs="Segoe UI"/>
          <w:lang w:eastAsia="en-US"/>
        </w:rPr>
        <w:t>t</w:t>
      </w:r>
      <w:r w:rsidR="000D4BA0" w:rsidRPr="00F0254C">
        <w:rPr>
          <w:rFonts w:ascii="Segoe UI" w:hAnsi="Segoe UI" w:cs="Segoe UI"/>
          <w:lang w:eastAsia="en-US"/>
        </w:rPr>
        <w:t xml:space="preserve"> to be involved in cell adhesion.</w:t>
      </w:r>
      <w:r w:rsidR="00136F57" w:rsidRPr="00F0254C">
        <w:rPr>
          <w:rFonts w:ascii="Segoe UI" w:hAnsi="Segoe UI" w:cs="Segoe UI"/>
          <w:lang w:eastAsia="en-US"/>
        </w:rPr>
        <w:fldChar w:fldCharType="begin" w:fldLock="1"/>
      </w:r>
      <w:r w:rsidR="00C275EA">
        <w:rPr>
          <w:rFonts w:ascii="Segoe UI" w:hAnsi="Segoe UI" w:cs="Segoe UI"/>
          <w:lang w:eastAsia="en-US"/>
        </w:rPr>
        <w:instrText>ADDIN CSL_CITATION {"citationItems":[{"id":"ITEM-1","itemData":{"DOI":"10.1021/ACSCHEMBIO.9B00582/SUPPL_FILE/CB9B00582_SI_001.PDF","ISSN":"15548937","PMID":"31345020","abstract":"Mutations in the NPHP1 gene, coding for human nephrocystin-1 (NPHP1), cause the autosomal recessive disease nephronophthisis, the most common cause of end-stage renal disease in children and adolescents. The function and structure of NPHP1 are still poorly characterized. NPHP1 presents a modular structure well in keeping with its role as an adaptor protein: it harbors an SH3 domain flanked by two glutamic acid-rich regions and a conserved C-terminal nephrocystin homology domain (NHD). Similar to other NPHP protein family members, its N-terminus contains a putative coiled-coil domain (NPHP1CC) that is supposed to play an important role in NPHP1 self-association and/or protein-protein interactions. Structural studies proving its structure and its oligomerization state are still lacking. Here we demonstrate that NPHP1CC is monomeric in solution and unexpectedly folds into an autonomous domain forming a three-stranded antiparallel coiled coil suitable for protein-protein interactions. Notably, we found that the NPHP1CC shares remarkable structural similarities with the three-stranded coiled coil of the BAG domain protein family, which is known to mediate the anti-apoptotic function of these proteins, suggesting a possible similar role for NPHP1CC. In agreement with this hypothesis, we show that in the context of the full-length protein the NPHP1CC is fundamental to regulate resistance to apoptotic stimuli.","author":[{"dropping-particle":"","family":"Mannella","given":"Valeria","non-dropping-particle":"","parse-names":false,"suffix":""},{"dropping-particle":"","family":"Quilici","given":"Giacomo","non-dropping-particle":"","parse-names":false,"suffix":""},{"dropping-particle":"","family":"Nigro","given":"Elisa Agnese","non-dropping-particle":"","parse-names":false,"suffix":""},{"dropping-particle":"","family":"Lampis","given":"Matteo","non-dropping-particle":"","parse-names":false,"suffix":""},{"dropping-particle":"","family":"Minici","given":"Claudia","non-dropping-particle":"","parse-names":false,"suffix":""},{"dropping-particle":"","family":"Degano","given":"Massimo","non-dropping-particle":"","parse-names":false,"suffix":""},{"dropping-particle":"","family":"Boletta","given":"Alessandra","non-dropping-particle":"","parse-names":false,"suffix":""},{"dropping-particle":"","family":"Musco","given":"Giovanna","non-dropping-particle":"","parse-names":false,"suffix":""}],"container-title":"ACS Chemical Biology","id":"ITEM-1","issue":"8","issued":{"date-parts":[["2019","8","16"]]},"page":"1845-1854","publisher":"American Chemical Society","title":"The N-Terminal Domain of NPHP1 Folds into a Monomeric Left-Handed Antiparallel Three-Stranded Coiled Coil with Anti-apoptotic Function","type":"article-journal","volume":"14"},"uris":["http://www.mendeley.com/documents/?uuid=a07ade76-0ded-3e93-b198-45391996392c"]},{"id":"ITEM-2","itemData":{"DOI":"10.1002/PROT.20344","ISSN":"1097-0134","PMID":"15723349","abstract":"Human nephrocystin is a protein associated with juvenile NPH, an autosomal recessive, inherited kidney disease responsible for chronic renal failure in children. It contains an SH3 domain involved in signaling pathways controlling cell adhesion and cytoskeleton organization. The solution structure of this domain was solved by triple resonance NMR spectroscopy. Within the core, the structure is similar to those previously reported for other SH3 domains but exhibits a number of specific noncanonical features within the polyproline ligand binding site. Some of the key conserved residues are missing, and the N-Src loop exhibits an unusual twisted geometry, which results in a narrowing of the binding groove. This is induced by the replacement of a conserved Asp, Asn, or Glu residue by a Pro at one side of the N-Src loop. A systematic survey of other SH3 domains also containing a Pro at this position reveals that most of them belong to proteins involved in cell adhesion or motility. A variant of this domain, which carries a point mutation causing NPH, was also analyzed. This change, L180P, although it corresponds to a nonconserved and solvent-exposed position, causes a complete loss of the tertiary structure. Similar effects are also observed with the L180A variant. This could be a context-dependent effect resulting from an interaction between neighboring charged side-chains. © 2005 Wiley-Liss, Inc.","author":[{"dropping-particle":"","family":"Maire","given":"Albane","non-dropping-particle":"Le","parse-names":false,"suffix":""},{"dropping-particle":"","family":"Weber","given":"Thomas","non-dropping-particle":"","parse-names":false,"suffix":""},{"dropping-particle":"","family":"Saunier","given":"Sophie","non-dropping-particle":"","parse-names":false,"suffix":""},{"dropping-particle":"","family":"Broutin","given":"Isabelle","non-dropping-particle":"","parse-names":false,"suffix":""},{"dropping-particle":"","family":"Antignac","given":"Corinne","non-dropping-particle":"","parse-names":false,"suffix":""},{"dropping-particle":"","family":"Ducruix","given":"Arnaud","non-dropping-particle":"","parse-names":false,"suffix":""},{"dropping-particle":"","family":"Dardel","given":"Frédéric","non-dropping-particle":"","parse-names":false,"suffix":""}],"container-title":"Proteins: Structure, Function, and Bioinformatics","id":"ITEM-2","issue":"2","issued":{"date-parts":[["2005","5","1"]]},"page":"347-355","publisher":"John Wiley &amp; Sons, Ltd","title":"Solution NMR structure of the SH3 domain of human nephrocystin and analysis of a mutation-causing juvenile nephronophthisis","type":"article-journal","volume":"59"},"uris":["http://www.mendeley.com/documents/?uuid=37a464a0-f953-3d88-b865-74e250c4a053"]}],"mendeley":{"formattedCitation":"&lt;span style=\"baseline\"&gt;[45,46]&lt;/span&gt;","plainTextFormattedCitation":"[45,46]","previouslyFormattedCitation":"&lt;span style=\"baseline\"&gt;[45,46]&lt;/span&gt;"},"properties":{"noteIndex":0},"schema":"https://github.com/citation-style-language/schema/raw/master/csl-citation.json"}</w:instrText>
      </w:r>
      <w:r w:rsidR="00136F57" w:rsidRPr="00F0254C">
        <w:rPr>
          <w:rFonts w:ascii="Segoe UI" w:hAnsi="Segoe UI" w:cs="Segoe UI"/>
          <w:lang w:eastAsia="en-US"/>
        </w:rPr>
        <w:fldChar w:fldCharType="separate"/>
      </w:r>
      <w:r w:rsidR="00621F24" w:rsidRPr="00621F24">
        <w:rPr>
          <w:rFonts w:ascii="Segoe UI" w:hAnsi="Segoe UI" w:cs="Segoe UI"/>
          <w:noProof/>
          <w:lang w:eastAsia="en-US"/>
        </w:rPr>
        <w:t>[45,46]</w:t>
      </w:r>
      <w:r w:rsidR="00136F57" w:rsidRPr="00F0254C">
        <w:rPr>
          <w:rFonts w:ascii="Segoe UI" w:hAnsi="Segoe UI" w:cs="Segoe UI"/>
          <w:lang w:eastAsia="en-US"/>
        </w:rPr>
        <w:fldChar w:fldCharType="end"/>
      </w:r>
    </w:p>
    <w:p w14:paraId="20BAAADC" w14:textId="41704D1D" w:rsidR="00EC64C4" w:rsidRDefault="00F5599F" w:rsidP="00621F24">
      <w:pPr>
        <w:tabs>
          <w:tab w:val="left" w:pos="2411"/>
        </w:tabs>
        <w:spacing w:line="480" w:lineRule="auto"/>
        <w:rPr>
          <w:rFonts w:ascii="Segoe UI" w:hAnsi="Segoe UI" w:cs="Segoe UI"/>
        </w:rPr>
      </w:pPr>
      <w:r w:rsidRPr="00F0254C">
        <w:rPr>
          <w:rFonts w:ascii="Segoe UI" w:hAnsi="Segoe UI" w:cs="Segoe UI"/>
        </w:rPr>
        <w:t xml:space="preserve">The structural model of </w:t>
      </w:r>
      <w:r w:rsidR="000307F9" w:rsidRPr="00F0254C">
        <w:rPr>
          <w:rFonts w:ascii="Segoe UI" w:hAnsi="Segoe UI" w:cs="Segoe UI"/>
        </w:rPr>
        <w:t xml:space="preserve">NPHP1 allowed </w:t>
      </w:r>
      <w:r w:rsidR="00062E72" w:rsidRPr="00F0254C">
        <w:rPr>
          <w:rFonts w:ascii="Segoe UI" w:hAnsi="Segoe UI" w:cs="Segoe UI"/>
        </w:rPr>
        <w:t>assessment of</w:t>
      </w:r>
      <w:r w:rsidR="00721888" w:rsidRPr="00F0254C">
        <w:rPr>
          <w:rFonts w:ascii="Segoe UI" w:hAnsi="Segoe UI" w:cs="Segoe UI"/>
        </w:rPr>
        <w:t xml:space="preserve"> the emplacement and p</w:t>
      </w:r>
      <w:r w:rsidR="00062E72" w:rsidRPr="00F0254C">
        <w:rPr>
          <w:rFonts w:ascii="Segoe UI" w:hAnsi="Segoe UI" w:cs="Segoe UI"/>
        </w:rPr>
        <w:t>ossible impact o</w:t>
      </w:r>
      <w:r w:rsidR="000307F9" w:rsidRPr="00F0254C">
        <w:rPr>
          <w:rFonts w:ascii="Segoe UI" w:hAnsi="Segoe UI" w:cs="Segoe UI"/>
        </w:rPr>
        <w:t>n the structure of the mutations identifie</w:t>
      </w:r>
      <w:r w:rsidRPr="00F0254C">
        <w:rPr>
          <w:rFonts w:ascii="Segoe UI" w:hAnsi="Segoe UI" w:cs="Segoe UI"/>
        </w:rPr>
        <w:t>d u</w:t>
      </w:r>
      <w:r w:rsidR="000307F9" w:rsidRPr="00F0254C">
        <w:rPr>
          <w:rFonts w:ascii="Segoe UI" w:hAnsi="Segoe UI" w:cs="Segoe UI"/>
        </w:rPr>
        <w:t xml:space="preserve">sing </w:t>
      </w:r>
      <w:r w:rsidR="00721888" w:rsidRPr="00F0254C">
        <w:rPr>
          <w:rFonts w:ascii="Segoe UI" w:hAnsi="Segoe UI" w:cs="Segoe UI"/>
        </w:rPr>
        <w:t xml:space="preserve">both </w:t>
      </w:r>
      <w:r w:rsidRPr="00F0254C">
        <w:rPr>
          <w:rFonts w:ascii="Segoe UI" w:hAnsi="Segoe UI" w:cs="Segoe UI"/>
        </w:rPr>
        <w:t>a missense predictor and</w:t>
      </w:r>
      <w:r w:rsidR="009842DC" w:rsidRPr="00F0254C">
        <w:rPr>
          <w:rFonts w:ascii="Segoe UI" w:hAnsi="Segoe UI" w:cs="Segoe UI"/>
        </w:rPr>
        <w:t xml:space="preserve"> Maestro Suite v13.1 and BioLuminate 4.6 Release 2022-1 (Maestro &amp; BioLuminate, Schrödinger, LLC, New York, NY, 2021)</w:t>
      </w:r>
      <w:r w:rsidRPr="00F0254C">
        <w:rPr>
          <w:rFonts w:ascii="Segoe UI" w:hAnsi="Segoe UI" w:cs="Segoe UI"/>
        </w:rPr>
        <w:t>.</w:t>
      </w:r>
      <w:r w:rsidR="001E18FB" w:rsidRPr="00F0254C">
        <w:rPr>
          <w:rFonts w:ascii="Segoe UI" w:hAnsi="Segoe UI" w:cs="Segoe UI"/>
        </w:rPr>
        <w:t xml:space="preserve"> </w:t>
      </w:r>
      <w:r w:rsidR="001E18FB" w:rsidRPr="00F0254C">
        <w:rPr>
          <w:rFonts w:ascii="Segoe UI" w:hAnsi="Segoe UI" w:cs="Segoe UI"/>
        </w:rPr>
        <w:fldChar w:fldCharType="begin" w:fldLock="1"/>
      </w:r>
      <w:r w:rsidR="00C275EA">
        <w:rPr>
          <w:rFonts w:ascii="Segoe UI" w:hAnsi="Segoe UI" w:cs="Segoe UI"/>
        </w:rPr>
        <w:instrText>ADDIN CSL_CITATION {"citationItems":[{"id":"ITEM-1","itemData":{"DOI":"10.1007/S00439-020-02246-Z/FIGURES/3","ISSN":"14321203","PMID":"33502607","abstract":"The interpretation of human genetic variation is one of the greatest challenges of modern genetics. New approaches are urgently needed to prioritize variants, especially those that are rare or lack a definitive clinical interpretation. We examined 10,136,597 human missense genetic variants from GnomAD, ClinVar and UniProt. We were able to perform large-scale atom-based mapping and phenotype interpretation of 3,960,015 of these variants onto 18,874 experimental and 84,818 in house predicted three-dimensional coordinates of the human proteome. We demonstrate that 14% of amino acid substitutions from the GnomAD database that could be structurally analysed are predicted to affect protein structure (n = 568,548, of which 566,439 rare or extremely rare) and may, therefore, have a yet unknown disease-causing effect. The same is true for 19.0% (n = 6266) of variants of unknown clinical significance or conflicting interpretation reported in the ClinVar database. The results of the structural analysis are available in the dedicated web catalogue Missense3D-DB (http://missense3d.bc.ic.ac.uk/). For each of the 4 M variants, the results of the structural analysis are presented in a friendly concise format that can be included in clinical genetic reports. A detailed report of the structural analysis is also available for the non-experts in structural biology. Population frequency and predictions from SIFT and PolyPhen are included for a more comprehensive variant interpretation. This is the first large-scale atom-based structural interpretation of human genetic variation and offers geneticists and the biomedical community a new approach to genetic variant interpretation.","author":[{"dropping-particle":"","family":"Khanna","given":"Tarun","non-dropping-particle":"","parse-names":false,"suffix":""},{"dropping-particle":"","family":"Hanna","given":"Gordon","non-dropping-particle":"","parse-names":false,"suffix":""},{"dropping-particle":"","family":"Sternberg","given":"Michael J.E.","non-dropping-particle":"","parse-names":false,"suffix":""},{"dropping-particle":"","family":"David","given":"Alessia","non-dropping-particle":"","parse-names":false,"suffix":""}],"container-title":"Human Genetics","id":"ITEM-1","issue":"5","issued":{"date-parts":[["2021","5","1"]]},"page":"805-812","publisher":"Springer Science and Business Media Deutschland GmbH","title":"Missense3D-DB web catalogue: an atom-based analysis and repository of 4M human protein-coding genetic variants","type":"article-journal","volume":"140"},"uris":["http://www.mendeley.com/documents/?uuid=f6bd1347-cf14-39dd-8fec-b413f8524791"]},{"id":"ITEM-2","itemData":{"DOI":"10.1016/J.JMB.2019.04.009","ISSN":"0022-2836","PMID":"30995449","abstract":"Knowledge of protein structure can be used to predict the phenotypic consequence of a missense variant. Since structural coverage of the human proteome can be roughly tripled to over 50% of the residues if homology-predicted structures are included in addition to experimentally determined coordinates, it is important to assess the reliability of using predicted models when analyzing missense variants. Accordingly, we assess whether a missense variant is structurally damaging by using experimental and predicted structures. We considered 606 experimental structures and show that 40% of the 1965 disease-associated missense variants analyzed have a structurally damaging change in the mutant structure. Only 11% of the 2134 neutral variants are structurally damaging. Importantly, similar results are obtained when 1052 structures predicted using Phyre2 algorithm were used, even when the model shares low (&lt; 40%) sequence identity to the template. Thus, structure-based analysis of the effects of missense variants can be effectively applied to homology models. Our in-house pipeline, Missense3D, for structurally assessing missense variants was made available at http://www.sbg.bio.ic.ac.uk/~missense3d","author":[{"dropping-particle":"","family":"Ittisoponpisan","given":"Sirawit","non-dropping-particle":"","parse-names":false,"suffix":""},{"dropping-particle":"","family":"Islam","given":"Suhail A.","non-dropping-particle":"","parse-names":false,"suffix":""},{"dropping-particle":"","family":"Khanna","given":"Tarun","non-dropping-particle":"","parse-names":false,"suffix":""},{"dropping-particle":"","family":"Alhuzimi","given":"Eman","non-dropping-particle":"","parse-names":false,"suffix":""},{"dropping-particle":"","family":"David","given":"Alessia","non-dropping-particle":"","parse-names":false,"suffix":""},{"dropping-particle":"","family":"Sternberg","given":"Michael J.E.","non-dropping-particle":"","parse-names":false,"suffix":""}],"container-title":"Journal of Molecular Biology","id":"ITEM-2","issue":"11","issued":{"date-parts":[["2019","5","17"]]},"page":"2197-2212","publisher":"Academic Press","title":"Can Predicted Protein 3D Structures Provide Reliable Insights into whether Missense Variants Are Disease Associated?","type":"article-journal","volume":"431"},"uris":["http://www.mendeley.com/documents/?uuid=d1d41913-ffaa-3b26-a754-8441c4c804e6"]},{"id":"ITEM-3","itemData":{"DOI":"10.1002/PROT.24551","ISSN":"1097-0134","PMID":"24619874","abstract":"We present the blinded prediction results in the Second Antibody Modeling Assessment (AMA-II) using a fully automatic antibody structure prediction method implemented in the programs BioLuminate and Prime. We have developed a novel knowledge based approach to model the CDR loops, using a combination of sequence similarity, geometry matching, and the clustering of database structures. The homology models are further optimized with a physics-based energy function (VSGB2.0), which improves the model quality significantly. H3 loop modeling remains the most challenging task. Our ab initio loop prediction performs well for the H3 loop in the crystal structure context, and allows improved results when refining the H3 loops in the context of homology models. For the 10 human and mouse derived antibodies in this assessment, the average RMSDs for the homology model Fv and framework regions are 1.19 Å and 0.74 Å, respectively. The average RMSDs for five non-H3 CDR loops range from 0.61 Å to 1.05 Å, and the H3 loop average RMSD is 2.91 Å using our knowledge-based loop prediction approach. The ab initio H3 loop predictions yield an average RMSD of 1.28 Å when performed in the context of the crystal structure and 2.67 Å in the context of the homology modeled structure. Notably, our method for predicting the H3 loop in the crystal structure environment ranked first among the seven participating groups in AMA-II, and our method made the best prediction among all participants for seven of the ten targets. © 2014 Wiley Periodicals, Inc.","author":[{"dropping-particle":"","family":"Zhu","given":"Kai","non-dropping-particle":"","parse-names":false,"suffix":""},{"dropping-particle":"","family":"Day","given":"Tyler","non-dropping-particle":"","parse-names":false,"suffix":""},{"dropping-particle":"","family":"Warshaviak","given":"Dora","non-dropping-particle":"","parse-names":false,"suffix":""},{"dropping-particle":"","family":"Murrett","given":"Colleen","non-dropping-particle":"","parse-names":false,"suffix":""},{"dropping-particle":"","family":"Friesner","given":"Richard","non-dropping-particle":"","parse-names":false,"suffix":""},{"dropping-particle":"","family":"Pearlman","given":"David","non-dropping-particle":"","parse-names":false,"suffix":""}],"container-title":"Proteins: Structure, Function, and Bioinformatics","id":"ITEM-3","issue":"8","issued":{"date-parts":[["2014","8","1"]]},"page":"1646-1655","publisher":"John Wiley &amp; Sons, Ltd","title":"Antibody structure determination using a combination of homology modeling, energy-based refinement, and loop prediction","type":"article-journal","volume":"82"},"uris":["http://www.mendeley.com/documents/?uuid=30144c0f-52a4-345c-854e-dcbd7073f0f8"]},{"id":"ITEM-4","itemData":{"DOI":"10.1093/PROTEIN/GZU017","ISSN":"1741-0126","PMID":"24817698","abstract":"Protein engineering remains an area of growing importance in pharmaceutical and biotechnology research. Stabilization of a folded protein conformation is a frequent goal in projects that deal with affinity optimization, enzyme design, protein construct design, and reducing the size of functional proteins. Indeed, it can be desirable to assess and improve protein stability in order to avoid liabilities such as aggregation, degradation, and immunogenic response that may arise during development. One way to stabilize a protein is through the introduction of disulfide bonds. Here, we describe a method to predict pairs of protein residues that can be mutated to form a disulfide bond. We combine a physics-based approach that incorporates implicit solvent molecular mechanics with a knowledge-based approach. We first assign relative weights to the terms that comprise our scoring function using a genetic algorithm applied to a set of 75 wild-type structures that each contains a disulfide bond. The method is then tested on a separate set of 13 engineered proteins comprising 15 artificial stabilizing disulfides introduced via site-directed mutagenesis. We find that the native disulfide in the wild-type proteins is scored well, on average (within the top 6% of the reasonable pairs of residues that could form a disulfide bond) while 6 out of the 15 artificial stabilizing disulfides scored within the top 13% of ranked predictions. Overall, this suggests that the physics-based approach presented here can be useful for triaging possible pairs of mutations for disulfide bond formation to improve protein stability.","author":[{"dropping-particle":"","family":"Salam","given":"Noeris K.","non-dropping-particle":"","parse-names":false,"suffix":""},{"dropping-particle":"","family":"Adzhigirey","given":"Matvey","non-dropping-particle":"","parse-names":false,"suffix":""},{"dropping-particle":"","family":"Sherman","given":"Woody","non-dropping-particle":"","parse-names":false,"suffix":""},{"dropping-particle":"","family":"Pearlman","given":"David A.","non-dropping-particle":"","parse-names":false,"suffix":""},{"dropping-particle":"","family":"Thirumalai","given":"David","non-dropping-particle":"","parse-names":false,"suffix":""}],"container-title":"Protein Engineering, Design and Selection","id":"ITEM-4","issue":"10","issued":{"date-parts":[["2014","10","1"]]},"page":"365-374","publisher":"Oxford Academic","title":"Structure-based approach to the prediction of disulfide bonds in proteins","type":"article-journal","volume":"27"},"uris":["http://www.mendeley.com/documents/?uuid=791b98e9-5b4b-3b1a-976c-011438d282a9"]},{"id":"ITEM-5","itemData":{"DOI":"10.1371/JOURNAL.PONE.0082849","ISSN":"1932-6203","PMID":"24340062","abstract":"Predicting changes in protein binding affinity due to single amino acid mutations helps us better understand the driving forces underlying protein-protein interactions and design improved biotherapeutics. Here, we use the MM-GBSA approach with the OPLS2005 force field and the VSGB2.0 solvent model to calculate differences in binding free energy between wild type and mutant proteins. Crucially, we made no changes to the scoring model as part of this work on protein-protein binding affinity—the energy model has been developed for structure prediction and has previously been validated only for calculating the energetics of small molecule binding. Here, we compare predictions to experimental data for a set of 418 single residue mutations in 21 targets and find that the MM-GBSA model, on average, performs well at scoring these single protein residue mutations. Correlation between the predicted and experimental change in binding affinity is statistically significant and the model performs well at picking “hotspots,” or mutations that change binding affinity by more than 1 kcal/mol. The promising performance of this physics-based method with no tuned parameters for predicting binding energies suggests that it can be transferred to other protein engineering problems.","author":[{"dropping-particle":"","family":"Beard","given":"Hege","non-dropping-particle":"","parse-names":false,"suffix":""},{"dropping-particle":"","family":"Cholleti","given":"Anuradha","non-dropping-particle":"","parse-names":false,"suffix":""},{"dropping-particle":"","family":"Pearlman","given":"David","non-dropping-particle":"","parse-names":false,"suffix":""},{"dropping-particle":"","family":"Sherman","given":"Woody","non-dropping-particle":"","parse-names":false,"suffix":""},{"dropping-particle":"","family":"Loving","given":"Kathryn A.","non-dropping-particle":"","parse-names":false,"suffix":""}],"container-title":"PLOS ONE","id":"ITEM-5","issue":"12","issued":{"date-parts":[["2013","12","10"]]},"page":"e82849","publisher":"Public Library of Science","title":"Applying Physics-Based Scoring to Calculate Free Energies of Binding for Single Amino Acid Mutations in Protein-Protein Complexes","type":"article-journal","volume":"8"},"uris":["http://www.mendeley.com/documents/?uuid=77f4e0d9-afd8-3416-aaf8-7e97edb7ef48"]}],"mendeley":{"formattedCitation":"&lt;span style=\"baseline\"&gt;[37–41]&lt;/span&gt;","plainTextFormattedCitation":"[37–41]","previouslyFormattedCitation":"&lt;span style=\"baseline\"&gt;[37–41]&lt;/span&gt;"},"properties":{"noteIndex":0},"schema":"https://github.com/citation-style-language/schema/raw/master/csl-citation.json"}</w:instrText>
      </w:r>
      <w:r w:rsidR="001E18FB" w:rsidRPr="00F0254C">
        <w:rPr>
          <w:rFonts w:ascii="Segoe UI" w:hAnsi="Segoe UI" w:cs="Segoe UI"/>
        </w:rPr>
        <w:fldChar w:fldCharType="separate"/>
      </w:r>
      <w:r w:rsidR="00621F24" w:rsidRPr="00621F24">
        <w:rPr>
          <w:rFonts w:ascii="Segoe UI" w:hAnsi="Segoe UI" w:cs="Segoe UI"/>
          <w:noProof/>
        </w:rPr>
        <w:t>[37–41]</w:t>
      </w:r>
      <w:r w:rsidR="001E18FB" w:rsidRPr="00F0254C">
        <w:rPr>
          <w:rFonts w:ascii="Segoe UI" w:hAnsi="Segoe UI" w:cs="Segoe UI"/>
        </w:rPr>
        <w:fldChar w:fldCharType="end"/>
      </w:r>
      <w:r w:rsidRPr="00F0254C">
        <w:rPr>
          <w:rFonts w:ascii="Segoe UI" w:hAnsi="Segoe UI" w:cs="Segoe UI"/>
        </w:rPr>
        <w:t xml:space="preserve"> </w:t>
      </w:r>
      <w:r w:rsidR="00721888" w:rsidRPr="00F0254C">
        <w:rPr>
          <w:rFonts w:ascii="Segoe UI" w:hAnsi="Segoe UI" w:cs="Segoe UI"/>
        </w:rPr>
        <w:t>Firstly, a</w:t>
      </w:r>
      <w:r w:rsidRPr="00F0254C">
        <w:rPr>
          <w:rFonts w:ascii="Segoe UI" w:hAnsi="Segoe UI" w:cs="Segoe UI"/>
        </w:rPr>
        <w:t xml:space="preserve">ll the mutations </w:t>
      </w:r>
      <w:r w:rsidR="00721888" w:rsidRPr="00F0254C">
        <w:rPr>
          <w:rFonts w:ascii="Segoe UI" w:hAnsi="Segoe UI" w:cs="Segoe UI"/>
        </w:rPr>
        <w:t>were found located in</w:t>
      </w:r>
      <w:r w:rsidRPr="00F0254C">
        <w:rPr>
          <w:rFonts w:ascii="Segoe UI" w:hAnsi="Segoe UI" w:cs="Segoe UI"/>
        </w:rPr>
        <w:t xml:space="preserve"> predicted domain-containing regions (Supplementary Fig. </w:t>
      </w:r>
      <w:r w:rsidR="009842DC" w:rsidRPr="00F0254C">
        <w:rPr>
          <w:rFonts w:ascii="Segoe UI" w:hAnsi="Segoe UI" w:cs="Segoe UI"/>
        </w:rPr>
        <w:t xml:space="preserve">1B </w:t>
      </w:r>
      <w:r w:rsidR="00B64EBD" w:rsidRPr="00F0254C">
        <w:rPr>
          <w:rFonts w:ascii="Segoe UI" w:hAnsi="Segoe UI" w:cs="Segoe UI"/>
        </w:rPr>
        <w:t xml:space="preserve">and Supplementary </w:t>
      </w:r>
      <w:r w:rsidRPr="00F0254C">
        <w:rPr>
          <w:rFonts w:ascii="Segoe UI" w:hAnsi="Segoe UI" w:cs="Segoe UI"/>
        </w:rPr>
        <w:t xml:space="preserve">Table </w:t>
      </w:r>
      <w:r w:rsidR="00B64EBD" w:rsidRPr="00F0254C">
        <w:rPr>
          <w:rFonts w:ascii="Segoe UI" w:hAnsi="Segoe UI" w:cs="Segoe UI"/>
        </w:rPr>
        <w:t>2</w:t>
      </w:r>
      <w:r w:rsidRPr="00F0254C">
        <w:rPr>
          <w:rFonts w:ascii="Segoe UI" w:hAnsi="Segoe UI" w:cs="Segoe UI"/>
        </w:rPr>
        <w:t xml:space="preserve">). </w:t>
      </w:r>
      <w:r w:rsidR="005F617D" w:rsidRPr="00F0254C">
        <w:rPr>
          <w:rFonts w:ascii="Segoe UI" w:hAnsi="Segoe UI" w:cs="Segoe UI"/>
        </w:rPr>
        <w:t>Secondly, m</w:t>
      </w:r>
      <w:r w:rsidRPr="00F0254C">
        <w:rPr>
          <w:rFonts w:ascii="Segoe UI" w:hAnsi="Segoe UI" w:cs="Segoe UI"/>
        </w:rPr>
        <w:t>ost mutations were predicted</w:t>
      </w:r>
      <w:r w:rsidR="005F617D" w:rsidRPr="00F0254C">
        <w:rPr>
          <w:rFonts w:ascii="Segoe UI" w:hAnsi="Segoe UI" w:cs="Segoe UI"/>
        </w:rPr>
        <w:t xml:space="preserve"> not to have</w:t>
      </w:r>
      <w:r w:rsidRPr="00F0254C">
        <w:rPr>
          <w:rFonts w:ascii="Segoe UI" w:hAnsi="Segoe UI" w:cs="Segoe UI"/>
        </w:rPr>
        <w:t xml:space="preserve"> </w:t>
      </w:r>
      <w:r w:rsidR="005F617D" w:rsidRPr="00F0254C">
        <w:rPr>
          <w:rFonts w:ascii="Segoe UI" w:hAnsi="Segoe UI" w:cs="Segoe UI"/>
        </w:rPr>
        <w:t>a</w:t>
      </w:r>
      <w:r w:rsidR="00B64EBD" w:rsidRPr="00F0254C">
        <w:rPr>
          <w:rFonts w:ascii="Segoe UI" w:hAnsi="Segoe UI" w:cs="Segoe UI"/>
        </w:rPr>
        <w:t xml:space="preserve"> significant impact o</w:t>
      </w:r>
      <w:r w:rsidRPr="00F0254C">
        <w:rPr>
          <w:rFonts w:ascii="Segoe UI" w:hAnsi="Segoe UI" w:cs="Segoe UI"/>
        </w:rPr>
        <w:t xml:space="preserve">n the structure – </w:t>
      </w:r>
      <w:r w:rsidR="0015736B" w:rsidRPr="00F0254C">
        <w:rPr>
          <w:rFonts w:ascii="Segoe UI" w:hAnsi="Segoe UI" w:cs="Segoe UI"/>
        </w:rPr>
        <w:t>except for</w:t>
      </w:r>
      <w:r w:rsidRPr="00F0254C">
        <w:rPr>
          <w:rFonts w:ascii="Segoe UI" w:hAnsi="Segoe UI" w:cs="Segoe UI"/>
        </w:rPr>
        <w:t xml:space="preserve"> </w:t>
      </w:r>
      <w:r w:rsidR="0015736B" w:rsidRPr="00F0254C">
        <w:rPr>
          <w:rFonts w:ascii="Segoe UI" w:hAnsi="Segoe UI" w:cs="Segoe UI"/>
        </w:rPr>
        <w:t>M57</w:t>
      </w:r>
      <w:r w:rsidR="003B49F1" w:rsidRPr="00F0254C">
        <w:rPr>
          <w:rFonts w:ascii="Segoe UI" w:hAnsi="Segoe UI" w:cs="Segoe UI"/>
        </w:rPr>
        <w:t>5</w:t>
      </w:r>
      <w:r w:rsidR="0015736B" w:rsidRPr="00F0254C">
        <w:rPr>
          <w:rFonts w:ascii="Segoe UI" w:hAnsi="Segoe UI" w:cs="Segoe UI"/>
        </w:rPr>
        <w:t xml:space="preserve">T and </w:t>
      </w:r>
      <w:r w:rsidR="007F2B12" w:rsidRPr="00F0254C">
        <w:rPr>
          <w:rFonts w:ascii="Segoe UI" w:hAnsi="Segoe UI" w:cs="Segoe UI"/>
        </w:rPr>
        <w:t>R68</w:t>
      </w:r>
      <w:r w:rsidR="002A5F32" w:rsidRPr="00F0254C">
        <w:rPr>
          <w:rFonts w:ascii="Segoe UI" w:hAnsi="Segoe UI" w:cs="Segoe UI"/>
        </w:rPr>
        <w:t>3</w:t>
      </w:r>
      <w:r w:rsidR="007F2B12" w:rsidRPr="00F0254C">
        <w:rPr>
          <w:rFonts w:ascii="Segoe UI" w:hAnsi="Segoe UI" w:cs="Segoe UI"/>
        </w:rPr>
        <w:t>W</w:t>
      </w:r>
      <w:r w:rsidR="005F617D" w:rsidRPr="00F0254C">
        <w:rPr>
          <w:rFonts w:ascii="Segoe UI" w:hAnsi="Segoe UI" w:cs="Segoe UI"/>
        </w:rPr>
        <w:t>; however, for M57</w:t>
      </w:r>
      <w:r w:rsidR="003B49F1" w:rsidRPr="00F0254C">
        <w:rPr>
          <w:rFonts w:ascii="Segoe UI" w:hAnsi="Segoe UI" w:cs="Segoe UI"/>
        </w:rPr>
        <w:t>5</w:t>
      </w:r>
      <w:r w:rsidR="005F617D" w:rsidRPr="00F0254C">
        <w:rPr>
          <w:rFonts w:ascii="Segoe UI" w:hAnsi="Segoe UI" w:cs="Segoe UI"/>
        </w:rPr>
        <w:t xml:space="preserve">T </w:t>
      </w:r>
      <w:r w:rsidR="00A34AC8" w:rsidRPr="00F0254C">
        <w:rPr>
          <w:rFonts w:ascii="Segoe UI" w:hAnsi="Segoe UI" w:cs="Segoe UI"/>
        </w:rPr>
        <w:t xml:space="preserve">a significant </w:t>
      </w:r>
      <w:r w:rsidR="005F617D" w:rsidRPr="00F0254C">
        <w:rPr>
          <w:rFonts w:ascii="Segoe UI" w:hAnsi="Segoe UI" w:cs="Segoe UI"/>
        </w:rPr>
        <w:t xml:space="preserve">change in the </w:t>
      </w:r>
      <w:r w:rsidR="0015736B" w:rsidRPr="00F0254C">
        <w:rPr>
          <w:rFonts w:ascii="Segoe UI" w:hAnsi="Segoe UI" w:cs="Segoe UI"/>
        </w:rPr>
        <w:t xml:space="preserve">cavity </w:t>
      </w:r>
      <w:r w:rsidR="005F617D" w:rsidRPr="00F0254C">
        <w:rPr>
          <w:rFonts w:ascii="Segoe UI" w:hAnsi="Segoe UI" w:cs="Segoe UI"/>
        </w:rPr>
        <w:t xml:space="preserve">is predicted </w:t>
      </w:r>
      <w:r w:rsidR="00A34AC8" w:rsidRPr="00F0254C">
        <w:rPr>
          <w:rFonts w:ascii="Segoe UI" w:hAnsi="Segoe UI" w:cs="Segoe UI"/>
        </w:rPr>
        <w:t xml:space="preserve">given the residues size reduction </w:t>
      </w:r>
      <w:r w:rsidR="005F617D" w:rsidRPr="00F0254C">
        <w:rPr>
          <w:rFonts w:ascii="Segoe UI" w:hAnsi="Segoe UI" w:cs="Segoe UI"/>
        </w:rPr>
        <w:t>(</w:t>
      </w:r>
      <w:r w:rsidR="0015736B" w:rsidRPr="00F0254C">
        <w:rPr>
          <w:rFonts w:ascii="Segoe UI" w:hAnsi="Segoe UI" w:cs="Segoe UI"/>
        </w:rPr>
        <w:t>not shown)</w:t>
      </w:r>
      <w:r w:rsidR="005F617D" w:rsidRPr="00F0254C">
        <w:rPr>
          <w:rFonts w:ascii="Segoe UI" w:hAnsi="Segoe UI" w:cs="Segoe UI"/>
        </w:rPr>
        <w:t xml:space="preserve">. </w:t>
      </w:r>
      <w:r w:rsidR="00AC4E39" w:rsidRPr="00F0254C">
        <w:rPr>
          <w:rFonts w:ascii="Segoe UI" w:hAnsi="Segoe UI" w:cs="Segoe UI"/>
        </w:rPr>
        <w:t xml:space="preserve">Also, </w:t>
      </w:r>
      <w:r w:rsidR="005F617D" w:rsidRPr="00F0254C">
        <w:rPr>
          <w:rFonts w:ascii="Segoe UI" w:hAnsi="Segoe UI" w:cs="Segoe UI"/>
        </w:rPr>
        <w:t xml:space="preserve">for </w:t>
      </w:r>
      <w:r w:rsidR="007F2B12" w:rsidRPr="00F0254C">
        <w:rPr>
          <w:rFonts w:ascii="Segoe UI" w:hAnsi="Segoe UI" w:cs="Segoe UI"/>
        </w:rPr>
        <w:t xml:space="preserve">R684W </w:t>
      </w:r>
      <w:r w:rsidR="0015736B" w:rsidRPr="00F0254C">
        <w:rPr>
          <w:rFonts w:ascii="Segoe UI" w:hAnsi="Segoe UI" w:cs="Segoe UI"/>
        </w:rPr>
        <w:t xml:space="preserve">on the other </w:t>
      </w:r>
      <w:r w:rsidR="00A34AC8" w:rsidRPr="00F0254C">
        <w:rPr>
          <w:rFonts w:ascii="Segoe UI" w:hAnsi="Segoe UI" w:cs="Segoe UI"/>
        </w:rPr>
        <w:t>side, the</w:t>
      </w:r>
      <w:r w:rsidR="005F617D" w:rsidRPr="00F0254C">
        <w:rPr>
          <w:rFonts w:ascii="Segoe UI" w:hAnsi="Segoe UI" w:cs="Segoe UI"/>
        </w:rPr>
        <w:t xml:space="preserve"> </w:t>
      </w:r>
      <w:r w:rsidR="00A34AC8" w:rsidRPr="00F0254C">
        <w:rPr>
          <w:rFonts w:ascii="Segoe UI" w:hAnsi="Segoe UI" w:cs="Segoe UI"/>
        </w:rPr>
        <w:t>prediction</w:t>
      </w:r>
      <w:r w:rsidR="005F617D" w:rsidRPr="00F0254C">
        <w:rPr>
          <w:rFonts w:ascii="Segoe UI" w:hAnsi="Segoe UI" w:cs="Segoe UI"/>
        </w:rPr>
        <w:t xml:space="preserve"> on change include</w:t>
      </w:r>
      <w:r w:rsidR="00A34AC8" w:rsidRPr="00F0254C">
        <w:rPr>
          <w:rFonts w:ascii="Segoe UI" w:hAnsi="Segoe UI" w:cs="Segoe UI"/>
        </w:rPr>
        <w:t xml:space="preserve">: </w:t>
      </w:r>
      <w:r w:rsidR="00097602" w:rsidRPr="00F0254C">
        <w:rPr>
          <w:rFonts w:ascii="Segoe UI" w:hAnsi="Segoe UI" w:cs="Segoe UI"/>
        </w:rPr>
        <w:t xml:space="preserve">This substitution replaces a buried charged residue with an uncharged residue (TRP), disrupts multiple H-bond with the residues P670, D621, Q619, and disrupts a salt bridge formed by NE atom of </w:t>
      </w:r>
      <w:r w:rsidR="007F2B12" w:rsidRPr="00F0254C">
        <w:rPr>
          <w:rFonts w:ascii="Segoe UI" w:hAnsi="Segoe UI" w:cs="Segoe UI"/>
        </w:rPr>
        <w:t>R68</w:t>
      </w:r>
      <w:r w:rsidR="002A5F32" w:rsidRPr="00F0254C">
        <w:rPr>
          <w:rFonts w:ascii="Segoe UI" w:hAnsi="Segoe UI" w:cs="Segoe UI"/>
        </w:rPr>
        <w:t>3</w:t>
      </w:r>
      <w:r w:rsidR="007F2B12" w:rsidRPr="00F0254C">
        <w:rPr>
          <w:rFonts w:ascii="Segoe UI" w:hAnsi="Segoe UI" w:cs="Segoe UI"/>
        </w:rPr>
        <w:t xml:space="preserve"> </w:t>
      </w:r>
      <w:r w:rsidR="00097602" w:rsidRPr="00F0254C">
        <w:rPr>
          <w:rFonts w:ascii="Segoe UI" w:hAnsi="Segoe UI" w:cs="Segoe UI"/>
        </w:rPr>
        <w:t xml:space="preserve">and OD1 atom of D621. Along with a contraction of 90.504 </w:t>
      </w:r>
      <w:r w:rsidR="00097602" w:rsidRPr="00F0254C">
        <w:rPr>
          <w:rFonts w:ascii="Cambria Math" w:hAnsi="Cambria Math" w:cs="Cambria Math"/>
        </w:rPr>
        <w:t>Å</w:t>
      </w:r>
      <w:r w:rsidR="00097602" w:rsidRPr="00F0254C">
        <w:rPr>
          <w:rFonts w:ascii="Segoe UI" w:hAnsi="Segoe UI" w:cs="Segoe UI"/>
        </w:rPr>
        <w:t>^3 (Supplementary Fig</w:t>
      </w:r>
      <w:r w:rsidR="009842DC" w:rsidRPr="00F0254C">
        <w:rPr>
          <w:rFonts w:ascii="Segoe UI" w:hAnsi="Segoe UI" w:cs="Segoe UI"/>
        </w:rPr>
        <w:t>1. C &amp; D</w:t>
      </w:r>
      <w:r w:rsidR="00EB675E" w:rsidRPr="00F0254C">
        <w:rPr>
          <w:rFonts w:ascii="Segoe UI" w:hAnsi="Segoe UI" w:cs="Segoe UI"/>
        </w:rPr>
        <w:t xml:space="preserve">; Supplementary Table </w:t>
      </w:r>
      <w:r w:rsidR="00B64EBD" w:rsidRPr="00F0254C">
        <w:rPr>
          <w:rFonts w:ascii="Segoe UI" w:hAnsi="Segoe UI" w:cs="Segoe UI"/>
        </w:rPr>
        <w:t>3</w:t>
      </w:r>
      <w:r w:rsidR="00EB675E" w:rsidRPr="00F0254C">
        <w:rPr>
          <w:rFonts w:ascii="Segoe UI" w:hAnsi="Segoe UI" w:cs="Segoe UI"/>
        </w:rPr>
        <w:t>)</w:t>
      </w:r>
      <w:r w:rsidR="00AC4E39" w:rsidRPr="00F0254C">
        <w:rPr>
          <w:rFonts w:ascii="Segoe UI" w:hAnsi="Segoe UI" w:cs="Segoe UI"/>
        </w:rPr>
        <w:t xml:space="preserve">. </w:t>
      </w:r>
      <w:r w:rsidR="00285E59" w:rsidRPr="00F0254C">
        <w:rPr>
          <w:rFonts w:ascii="Segoe UI" w:hAnsi="Segoe UI" w:cs="Segoe UI"/>
        </w:rPr>
        <w:t>Finally</w:t>
      </w:r>
      <w:r w:rsidR="00AC4E39" w:rsidRPr="00F0254C">
        <w:rPr>
          <w:rFonts w:ascii="Segoe UI" w:hAnsi="Segoe UI" w:cs="Segoe UI"/>
        </w:rPr>
        <w:t xml:space="preserve">, we confirmed that </w:t>
      </w:r>
      <w:r w:rsidR="007F2B12" w:rsidRPr="00F0254C">
        <w:rPr>
          <w:rFonts w:ascii="Segoe UI" w:hAnsi="Segoe UI" w:cs="Segoe UI"/>
        </w:rPr>
        <w:t>R68</w:t>
      </w:r>
      <w:r w:rsidR="002A5F32" w:rsidRPr="00F0254C">
        <w:rPr>
          <w:rFonts w:ascii="Segoe UI" w:hAnsi="Segoe UI" w:cs="Segoe UI"/>
        </w:rPr>
        <w:t>3</w:t>
      </w:r>
      <w:r w:rsidR="007F2B12" w:rsidRPr="00F0254C">
        <w:rPr>
          <w:rFonts w:ascii="Segoe UI" w:hAnsi="Segoe UI" w:cs="Segoe UI"/>
        </w:rPr>
        <w:t xml:space="preserve"> </w:t>
      </w:r>
      <w:r w:rsidR="00AC4E39" w:rsidRPr="00F0254C">
        <w:rPr>
          <w:rFonts w:ascii="Segoe UI" w:hAnsi="Segoe UI" w:cs="Segoe UI"/>
        </w:rPr>
        <w:t>was phylo</w:t>
      </w:r>
      <w:r w:rsidR="00532DD5">
        <w:rPr>
          <w:rFonts w:ascii="Segoe UI" w:hAnsi="Segoe UI" w:cs="Segoe UI"/>
        </w:rPr>
        <w:t>genetically conserved</w:t>
      </w:r>
      <w:r w:rsidR="00AC4E39" w:rsidRPr="00F0254C">
        <w:rPr>
          <w:rFonts w:ascii="Segoe UI" w:hAnsi="Segoe UI" w:cs="Segoe UI"/>
        </w:rPr>
        <w:t xml:space="preserve"> (Supplementary Fig1 E).</w:t>
      </w:r>
    </w:p>
    <w:p w14:paraId="13ED38BD" w14:textId="77777777" w:rsidR="00B65B55" w:rsidRDefault="00B65B55" w:rsidP="00621F24">
      <w:pPr>
        <w:tabs>
          <w:tab w:val="left" w:pos="2411"/>
        </w:tabs>
        <w:spacing w:line="480" w:lineRule="auto"/>
        <w:rPr>
          <w:rFonts w:ascii="Segoe UI" w:hAnsi="Segoe UI" w:cs="Segoe UI"/>
        </w:rPr>
      </w:pPr>
    </w:p>
    <w:p w14:paraId="2C4D0001" w14:textId="77777777" w:rsidR="00275143" w:rsidRDefault="00B65B55" w:rsidP="00275143">
      <w:pPr>
        <w:keepNext/>
        <w:tabs>
          <w:tab w:val="left" w:pos="2411"/>
        </w:tabs>
        <w:spacing w:line="480" w:lineRule="auto"/>
      </w:pPr>
      <w:r w:rsidRPr="00F0254C">
        <w:rPr>
          <w:rFonts w:ascii="Segoe UI" w:hAnsi="Segoe UI" w:cs="Segoe UI"/>
          <w:noProof/>
        </w:rPr>
        <w:lastRenderedPageBreak/>
        <w:drawing>
          <wp:inline distT="0" distB="0" distL="0" distR="0" wp14:anchorId="2357EB9D" wp14:editId="7EF6A113">
            <wp:extent cx="5313872" cy="7767290"/>
            <wp:effectExtent l="0" t="0" r="1270" b="5715"/>
            <wp:docPr id="1" name="Picture 1"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diagram&#10;&#10;Description automatically generated"/>
                    <pic:cNvPicPr/>
                  </pic:nvPicPr>
                  <pic:blipFill>
                    <a:blip r:embed="rId13"/>
                    <a:stretch>
                      <a:fillRect/>
                    </a:stretch>
                  </pic:blipFill>
                  <pic:spPr>
                    <a:xfrm>
                      <a:off x="0" y="0"/>
                      <a:ext cx="5327049" cy="7786552"/>
                    </a:xfrm>
                    <a:prstGeom prst="rect">
                      <a:avLst/>
                    </a:prstGeom>
                  </pic:spPr>
                </pic:pic>
              </a:graphicData>
            </a:graphic>
          </wp:inline>
        </w:drawing>
      </w:r>
    </w:p>
    <w:p w14:paraId="4751E651" w14:textId="6746E7E2" w:rsidR="00275143" w:rsidRPr="00C9492B" w:rsidRDefault="00275143" w:rsidP="00275143">
      <w:pPr>
        <w:pStyle w:val="Caption"/>
        <w:rPr>
          <w:i w:val="0"/>
          <w:iCs w:val="0"/>
        </w:rPr>
      </w:pPr>
      <w:bookmarkStart w:id="7" w:name="_Ref119062713"/>
      <w:r w:rsidRPr="00C9492B">
        <w:rPr>
          <w:b/>
          <w:bCs/>
          <w:i w:val="0"/>
          <w:iCs w:val="0"/>
        </w:rPr>
        <w:t xml:space="preserve">Figure </w:t>
      </w:r>
      <w:r w:rsidRPr="00C9492B">
        <w:rPr>
          <w:b/>
          <w:bCs/>
          <w:i w:val="0"/>
          <w:iCs w:val="0"/>
        </w:rPr>
        <w:fldChar w:fldCharType="begin"/>
      </w:r>
      <w:r w:rsidRPr="00C9492B">
        <w:rPr>
          <w:b/>
          <w:bCs/>
          <w:i w:val="0"/>
          <w:iCs w:val="0"/>
        </w:rPr>
        <w:instrText xml:space="preserve"> SEQ Figure \* ARABIC </w:instrText>
      </w:r>
      <w:r w:rsidRPr="00C9492B">
        <w:rPr>
          <w:b/>
          <w:bCs/>
          <w:i w:val="0"/>
          <w:iCs w:val="0"/>
        </w:rPr>
        <w:fldChar w:fldCharType="separate"/>
      </w:r>
      <w:r w:rsidRPr="00C9492B">
        <w:rPr>
          <w:b/>
          <w:bCs/>
          <w:i w:val="0"/>
          <w:iCs w:val="0"/>
          <w:noProof/>
        </w:rPr>
        <w:t>2</w:t>
      </w:r>
      <w:r w:rsidRPr="00C9492B">
        <w:rPr>
          <w:b/>
          <w:bCs/>
          <w:i w:val="0"/>
          <w:iCs w:val="0"/>
        </w:rPr>
        <w:fldChar w:fldCharType="end"/>
      </w:r>
      <w:bookmarkEnd w:id="7"/>
      <w:r w:rsidRPr="00C9492B">
        <w:rPr>
          <w:b/>
          <w:bCs/>
          <w:i w:val="0"/>
          <w:iCs w:val="0"/>
        </w:rPr>
        <w:t xml:space="preserve"> - Alphafold modelling of </w:t>
      </w:r>
      <w:r w:rsidRPr="00D5553F">
        <w:rPr>
          <w:b/>
          <w:bCs/>
        </w:rPr>
        <w:t>NPHP1</w:t>
      </w:r>
      <w:r w:rsidRPr="00C9492B">
        <w:rPr>
          <w:b/>
          <w:bCs/>
          <w:i w:val="0"/>
          <w:iCs w:val="0"/>
        </w:rPr>
        <w:t xml:space="preserve"> variants. </w:t>
      </w:r>
      <w:r w:rsidRPr="00C9492B">
        <w:rPr>
          <w:i w:val="0"/>
          <w:iCs w:val="0"/>
        </w:rPr>
        <w:t xml:space="preserve">(A) Model of the NPHP1 polypeptide as predicted by AlphaFold and manually annotated by the main regions predicted. (B) Mapping of mutations identified by GenePy within the NPHP1 structural model. (C) Residue R683 and its predicted side-chain entourage in NPHP1 model. (D) Residue W683 and its predicted side-chain entourage in NPHP1-R683W mutant model. In (C) and (D) H-bonds are depicted as cyan dotted lines. (E) </w:t>
      </w:r>
      <w:r w:rsidRPr="00C9492B">
        <w:rPr>
          <w:i w:val="0"/>
          <w:iCs w:val="0"/>
        </w:rPr>
        <w:lastRenderedPageBreak/>
        <w:t>Multiple sequence alignment showing conservation of R683 in NPHP1 orthologues (mainly vertebrates); the colour coding ranges according to the level of phylogenetic conservation, from variable (cyan) and average (white) to conserved (Maroon).</w:t>
      </w:r>
    </w:p>
    <w:p w14:paraId="08E62B46" w14:textId="2BFD7A2F" w:rsidR="00AA74A8" w:rsidRPr="00275143" w:rsidRDefault="00AA74A8" w:rsidP="0054680E">
      <w:pPr>
        <w:pStyle w:val="Caption"/>
        <w:rPr>
          <w:b/>
          <w:bCs/>
        </w:rPr>
        <w:sectPr w:rsidR="00AA74A8" w:rsidRPr="00275143" w:rsidSect="008B690B">
          <w:headerReference w:type="default" r:id="rId14"/>
          <w:footerReference w:type="default" r:id="rId15"/>
          <w:type w:val="continuous"/>
          <w:pgSz w:w="11906" w:h="16838"/>
          <w:pgMar w:top="1440" w:right="1440" w:bottom="1440" w:left="1440" w:header="708" w:footer="708" w:gutter="0"/>
          <w:lnNumType w:countBy="1" w:restart="continuous"/>
          <w:cols w:space="708"/>
          <w:docGrid w:linePitch="360"/>
        </w:sectPr>
      </w:pPr>
    </w:p>
    <w:tbl>
      <w:tblPr>
        <w:tblW w:w="5543" w:type="pct"/>
        <w:tblLayout w:type="fixed"/>
        <w:tblLook w:val="04A0" w:firstRow="1" w:lastRow="0" w:firstColumn="1" w:lastColumn="0" w:noHBand="0" w:noVBand="1"/>
      </w:tblPr>
      <w:tblGrid>
        <w:gridCol w:w="627"/>
        <w:gridCol w:w="649"/>
        <w:gridCol w:w="1700"/>
        <w:gridCol w:w="1277"/>
        <w:gridCol w:w="652"/>
        <w:gridCol w:w="259"/>
        <w:gridCol w:w="789"/>
        <w:gridCol w:w="2994"/>
        <w:gridCol w:w="597"/>
        <w:gridCol w:w="1250"/>
        <w:gridCol w:w="410"/>
        <w:gridCol w:w="1468"/>
        <w:gridCol w:w="1564"/>
        <w:gridCol w:w="1410"/>
        <w:gridCol w:w="1424"/>
      </w:tblGrid>
      <w:tr w:rsidR="00350C1D" w:rsidRPr="004E0937" w14:paraId="5E0EA53D" w14:textId="77777777" w:rsidTr="00350C1D">
        <w:trPr>
          <w:cantSplit/>
          <w:trHeight w:val="1702"/>
        </w:trPr>
        <w:tc>
          <w:tcPr>
            <w:tcW w:w="184" w:type="pct"/>
            <w:tcBorders>
              <w:top w:val="nil"/>
              <w:left w:val="nil"/>
              <w:bottom w:val="nil"/>
              <w:right w:val="nil"/>
            </w:tcBorders>
            <w:shd w:val="clear" w:color="auto" w:fill="auto"/>
            <w:noWrap/>
            <w:textDirection w:val="btLr"/>
            <w:vAlign w:val="bottom"/>
            <w:hideMark/>
          </w:tcPr>
          <w:p w14:paraId="586A3755" w14:textId="77777777" w:rsidR="00350C1D" w:rsidRDefault="00350C1D" w:rsidP="00DB3615">
            <w:pPr>
              <w:spacing w:after="0" w:line="240" w:lineRule="auto"/>
              <w:ind w:left="113" w:right="113"/>
              <w:jc w:val="left"/>
              <w:rPr>
                <w:rFonts w:ascii="Calibri" w:eastAsia="Times New Roman" w:hAnsi="Calibri" w:cs="Calibri"/>
                <w:b/>
                <w:bCs/>
                <w:color w:val="000000"/>
              </w:rPr>
            </w:pPr>
            <w:r>
              <w:rPr>
                <w:rFonts w:ascii="Calibri" w:eastAsia="Times New Roman" w:hAnsi="Calibri" w:cs="Calibri"/>
                <w:b/>
                <w:bCs/>
                <w:color w:val="000000"/>
              </w:rPr>
              <w:lastRenderedPageBreak/>
              <w:t xml:space="preserve">Patient </w:t>
            </w:r>
          </w:p>
          <w:p w14:paraId="5344B4CC" w14:textId="11AA96DC" w:rsidR="00350C1D" w:rsidRPr="004E0937" w:rsidRDefault="00350C1D" w:rsidP="00DB3615">
            <w:pPr>
              <w:spacing w:after="0" w:line="240" w:lineRule="auto"/>
              <w:ind w:left="113" w:right="113"/>
              <w:jc w:val="left"/>
              <w:rPr>
                <w:rFonts w:ascii="Calibri" w:eastAsia="Times New Roman" w:hAnsi="Calibri" w:cs="Calibri"/>
                <w:b/>
                <w:bCs/>
                <w:color w:val="000000"/>
              </w:rPr>
            </w:pPr>
            <w:r>
              <w:rPr>
                <w:rFonts w:ascii="Calibri" w:eastAsia="Times New Roman" w:hAnsi="Calibri" w:cs="Calibri"/>
                <w:b/>
                <w:bCs/>
                <w:color w:val="000000"/>
              </w:rPr>
              <w:t>number</w:t>
            </w:r>
          </w:p>
        </w:tc>
        <w:tc>
          <w:tcPr>
            <w:tcW w:w="190" w:type="pct"/>
            <w:tcBorders>
              <w:top w:val="nil"/>
              <w:left w:val="nil"/>
              <w:bottom w:val="nil"/>
              <w:right w:val="nil"/>
            </w:tcBorders>
            <w:textDirection w:val="btLr"/>
            <w:vAlign w:val="bottom"/>
          </w:tcPr>
          <w:p w14:paraId="63D8CA44" w14:textId="0E913C12" w:rsidR="00350C1D" w:rsidRDefault="00350C1D" w:rsidP="00DB3615">
            <w:pPr>
              <w:spacing w:after="0" w:line="240" w:lineRule="auto"/>
              <w:ind w:left="113" w:right="113"/>
              <w:jc w:val="center"/>
              <w:rPr>
                <w:rFonts w:ascii="Calibri" w:eastAsia="Times New Roman" w:hAnsi="Calibri" w:cs="Calibri"/>
                <w:b/>
                <w:bCs/>
                <w:color w:val="000000"/>
              </w:rPr>
            </w:pPr>
            <w:r>
              <w:rPr>
                <w:rFonts w:ascii="Calibri" w:eastAsia="Times New Roman" w:hAnsi="Calibri" w:cs="Calibri"/>
                <w:b/>
                <w:bCs/>
                <w:color w:val="000000"/>
              </w:rPr>
              <w:t>Consanguinity</w:t>
            </w:r>
          </w:p>
        </w:tc>
        <w:tc>
          <w:tcPr>
            <w:tcW w:w="498" w:type="pct"/>
            <w:tcBorders>
              <w:top w:val="nil"/>
              <w:left w:val="nil"/>
              <w:bottom w:val="nil"/>
              <w:right w:val="nil"/>
            </w:tcBorders>
            <w:shd w:val="clear" w:color="auto" w:fill="auto"/>
            <w:noWrap/>
            <w:vAlign w:val="bottom"/>
            <w:hideMark/>
          </w:tcPr>
          <w:p w14:paraId="0DD8CFE0" w14:textId="56E8BF75" w:rsidR="00350C1D" w:rsidRPr="004E0937" w:rsidRDefault="00350C1D" w:rsidP="00DB3615">
            <w:pPr>
              <w:spacing w:after="0" w:line="240" w:lineRule="auto"/>
              <w:jc w:val="center"/>
              <w:rPr>
                <w:rFonts w:ascii="Calibri" w:eastAsia="Times New Roman" w:hAnsi="Calibri" w:cs="Calibri"/>
                <w:b/>
                <w:bCs/>
                <w:color w:val="000000"/>
              </w:rPr>
            </w:pPr>
            <w:r w:rsidRPr="004E0937">
              <w:rPr>
                <w:rFonts w:ascii="Calibri" w:eastAsia="Times New Roman" w:hAnsi="Calibri" w:cs="Calibri"/>
                <w:b/>
                <w:bCs/>
                <w:color w:val="000000"/>
              </w:rPr>
              <w:t>Kidney Phenotype (age)</w:t>
            </w:r>
          </w:p>
        </w:tc>
        <w:tc>
          <w:tcPr>
            <w:tcW w:w="374" w:type="pct"/>
            <w:tcBorders>
              <w:top w:val="nil"/>
              <w:left w:val="nil"/>
              <w:bottom w:val="nil"/>
              <w:right w:val="nil"/>
            </w:tcBorders>
            <w:shd w:val="clear" w:color="auto" w:fill="auto"/>
            <w:noWrap/>
            <w:vAlign w:val="bottom"/>
            <w:hideMark/>
          </w:tcPr>
          <w:p w14:paraId="51AB8F14" w14:textId="77777777" w:rsidR="00350C1D" w:rsidRPr="004E0937" w:rsidRDefault="00350C1D" w:rsidP="00DB3615">
            <w:pPr>
              <w:spacing w:after="0" w:line="240" w:lineRule="auto"/>
              <w:jc w:val="center"/>
              <w:rPr>
                <w:rFonts w:ascii="Calibri" w:eastAsia="Times New Roman" w:hAnsi="Calibri" w:cs="Calibri"/>
                <w:b/>
                <w:bCs/>
                <w:color w:val="000000"/>
              </w:rPr>
            </w:pPr>
            <w:r w:rsidRPr="004E0937">
              <w:rPr>
                <w:rFonts w:ascii="Calibri" w:eastAsia="Times New Roman" w:hAnsi="Calibri" w:cs="Calibri"/>
                <w:b/>
                <w:bCs/>
                <w:color w:val="000000"/>
              </w:rPr>
              <w:t>Retinal Phenotype (age)</w:t>
            </w:r>
          </w:p>
        </w:tc>
        <w:tc>
          <w:tcPr>
            <w:tcW w:w="498" w:type="pct"/>
            <w:gridSpan w:val="3"/>
            <w:tcBorders>
              <w:top w:val="nil"/>
              <w:left w:val="nil"/>
              <w:bottom w:val="nil"/>
              <w:right w:val="nil"/>
            </w:tcBorders>
            <w:shd w:val="clear" w:color="auto" w:fill="auto"/>
            <w:noWrap/>
            <w:vAlign w:val="bottom"/>
            <w:hideMark/>
          </w:tcPr>
          <w:p w14:paraId="3D9CCFC7" w14:textId="77777777" w:rsidR="00350C1D" w:rsidRPr="004E0937" w:rsidRDefault="00350C1D" w:rsidP="00DB3615">
            <w:pPr>
              <w:spacing w:after="0" w:line="240" w:lineRule="auto"/>
              <w:jc w:val="center"/>
              <w:rPr>
                <w:rFonts w:ascii="Calibri" w:eastAsia="Times New Roman" w:hAnsi="Calibri" w:cs="Calibri"/>
                <w:b/>
                <w:bCs/>
                <w:color w:val="000000"/>
              </w:rPr>
            </w:pPr>
            <w:r w:rsidRPr="004E0937">
              <w:rPr>
                <w:rFonts w:ascii="Calibri" w:eastAsia="Times New Roman" w:hAnsi="Calibri" w:cs="Calibri"/>
                <w:b/>
                <w:bCs/>
                <w:color w:val="000000"/>
              </w:rPr>
              <w:t>Neurological Phenotype (age)</w:t>
            </w:r>
          </w:p>
        </w:tc>
        <w:tc>
          <w:tcPr>
            <w:tcW w:w="1052" w:type="pct"/>
            <w:gridSpan w:val="2"/>
            <w:tcBorders>
              <w:top w:val="nil"/>
              <w:left w:val="nil"/>
              <w:bottom w:val="nil"/>
              <w:right w:val="nil"/>
            </w:tcBorders>
            <w:shd w:val="clear" w:color="auto" w:fill="auto"/>
            <w:noWrap/>
            <w:vAlign w:val="bottom"/>
            <w:hideMark/>
          </w:tcPr>
          <w:p w14:paraId="43DBD325" w14:textId="77777777" w:rsidR="00350C1D" w:rsidRPr="004E0937" w:rsidRDefault="00350C1D" w:rsidP="00DB3615">
            <w:pPr>
              <w:spacing w:after="0" w:line="240" w:lineRule="auto"/>
              <w:jc w:val="left"/>
              <w:rPr>
                <w:rFonts w:ascii="Calibri" w:eastAsia="Times New Roman" w:hAnsi="Calibri" w:cs="Calibri"/>
                <w:b/>
                <w:bCs/>
                <w:color w:val="000000"/>
              </w:rPr>
            </w:pPr>
            <w:r w:rsidRPr="004E0937">
              <w:rPr>
                <w:rFonts w:ascii="Calibri" w:eastAsia="Times New Roman" w:hAnsi="Calibri" w:cs="Calibri"/>
                <w:b/>
                <w:bCs/>
                <w:color w:val="000000"/>
              </w:rPr>
              <w:t>Normalised Specific Disease</w:t>
            </w:r>
          </w:p>
        </w:tc>
        <w:tc>
          <w:tcPr>
            <w:tcW w:w="366" w:type="pct"/>
            <w:tcBorders>
              <w:top w:val="nil"/>
              <w:left w:val="nil"/>
              <w:bottom w:val="nil"/>
              <w:right w:val="nil"/>
            </w:tcBorders>
            <w:shd w:val="clear" w:color="auto" w:fill="auto"/>
            <w:noWrap/>
            <w:vAlign w:val="bottom"/>
            <w:hideMark/>
          </w:tcPr>
          <w:p w14:paraId="634001B7" w14:textId="77777777" w:rsidR="00350C1D" w:rsidRPr="004E0937" w:rsidRDefault="00350C1D" w:rsidP="00DB3615">
            <w:pPr>
              <w:spacing w:after="0" w:line="240" w:lineRule="auto"/>
              <w:jc w:val="left"/>
              <w:rPr>
                <w:rFonts w:ascii="Calibri" w:eastAsia="Times New Roman" w:hAnsi="Calibri" w:cs="Calibri"/>
                <w:b/>
                <w:bCs/>
                <w:color w:val="000000"/>
              </w:rPr>
            </w:pPr>
            <w:r w:rsidRPr="004E0937">
              <w:rPr>
                <w:rFonts w:ascii="Calibri" w:eastAsia="Times New Roman" w:hAnsi="Calibri" w:cs="Calibri"/>
                <w:b/>
                <w:bCs/>
                <w:color w:val="000000"/>
              </w:rPr>
              <w:t>Type</w:t>
            </w:r>
          </w:p>
        </w:tc>
        <w:tc>
          <w:tcPr>
            <w:tcW w:w="120" w:type="pct"/>
            <w:tcBorders>
              <w:top w:val="nil"/>
              <w:left w:val="nil"/>
              <w:bottom w:val="nil"/>
              <w:right w:val="nil"/>
            </w:tcBorders>
            <w:shd w:val="clear" w:color="auto" w:fill="auto"/>
            <w:noWrap/>
            <w:textDirection w:val="btLr"/>
            <w:vAlign w:val="bottom"/>
            <w:hideMark/>
          </w:tcPr>
          <w:p w14:paraId="298EAA11" w14:textId="77777777" w:rsidR="00350C1D" w:rsidRPr="004E0937" w:rsidRDefault="00350C1D" w:rsidP="00DB3615">
            <w:pPr>
              <w:spacing w:after="0" w:line="240" w:lineRule="auto"/>
              <w:ind w:left="113" w:right="113"/>
              <w:rPr>
                <w:rFonts w:ascii="Calibri" w:eastAsia="Times New Roman" w:hAnsi="Calibri" w:cs="Calibri"/>
                <w:b/>
                <w:bCs/>
                <w:color w:val="000000"/>
              </w:rPr>
            </w:pPr>
            <w:r w:rsidRPr="004E0937">
              <w:rPr>
                <w:rFonts w:ascii="Calibri" w:eastAsia="Times New Roman" w:hAnsi="Calibri" w:cs="Calibri"/>
                <w:b/>
                <w:bCs/>
                <w:color w:val="000000"/>
              </w:rPr>
              <w:t>Sex</w:t>
            </w:r>
          </w:p>
        </w:tc>
        <w:tc>
          <w:tcPr>
            <w:tcW w:w="430" w:type="pct"/>
            <w:tcBorders>
              <w:top w:val="nil"/>
              <w:left w:val="nil"/>
              <w:bottom w:val="nil"/>
              <w:right w:val="nil"/>
            </w:tcBorders>
            <w:shd w:val="clear" w:color="auto" w:fill="auto"/>
            <w:noWrap/>
            <w:vAlign w:val="bottom"/>
            <w:hideMark/>
          </w:tcPr>
          <w:p w14:paraId="611F06D2" w14:textId="77777777" w:rsidR="00350C1D" w:rsidRPr="004E0937" w:rsidRDefault="00350C1D" w:rsidP="00DB3615">
            <w:pPr>
              <w:spacing w:after="0" w:line="240" w:lineRule="auto"/>
              <w:jc w:val="left"/>
              <w:rPr>
                <w:rFonts w:ascii="Calibri" w:eastAsia="Times New Roman" w:hAnsi="Calibri" w:cs="Calibri"/>
                <w:b/>
                <w:bCs/>
                <w:color w:val="000000"/>
              </w:rPr>
            </w:pPr>
            <w:r w:rsidRPr="004E0937">
              <w:rPr>
                <w:rFonts w:ascii="Calibri" w:eastAsia="Times New Roman" w:hAnsi="Calibri" w:cs="Calibri"/>
                <w:b/>
                <w:bCs/>
                <w:color w:val="000000"/>
              </w:rPr>
              <w:t>Predicted Ancestry</w:t>
            </w:r>
          </w:p>
        </w:tc>
        <w:tc>
          <w:tcPr>
            <w:tcW w:w="458" w:type="pct"/>
            <w:tcBorders>
              <w:top w:val="nil"/>
              <w:left w:val="nil"/>
              <w:bottom w:val="nil"/>
              <w:right w:val="nil"/>
            </w:tcBorders>
            <w:shd w:val="clear" w:color="auto" w:fill="auto"/>
            <w:noWrap/>
            <w:vAlign w:val="bottom"/>
            <w:hideMark/>
          </w:tcPr>
          <w:p w14:paraId="7E558C6A" w14:textId="77777777" w:rsidR="00350C1D" w:rsidRPr="004E0937" w:rsidRDefault="00350C1D" w:rsidP="00DB3615">
            <w:pPr>
              <w:spacing w:after="0" w:line="240" w:lineRule="auto"/>
              <w:jc w:val="left"/>
              <w:rPr>
                <w:rFonts w:ascii="Calibri" w:eastAsia="Times New Roman" w:hAnsi="Calibri" w:cs="Calibri"/>
                <w:b/>
                <w:bCs/>
                <w:color w:val="000000"/>
              </w:rPr>
            </w:pPr>
            <w:r w:rsidRPr="004E0937">
              <w:rPr>
                <w:rFonts w:ascii="Calibri" w:eastAsia="Times New Roman" w:hAnsi="Calibri" w:cs="Calibri"/>
                <w:b/>
                <w:bCs/>
                <w:color w:val="000000"/>
              </w:rPr>
              <w:t>Genotype 1</w:t>
            </w:r>
          </w:p>
        </w:tc>
        <w:tc>
          <w:tcPr>
            <w:tcW w:w="413" w:type="pct"/>
            <w:tcBorders>
              <w:top w:val="nil"/>
              <w:left w:val="nil"/>
              <w:bottom w:val="nil"/>
              <w:right w:val="nil"/>
            </w:tcBorders>
            <w:shd w:val="clear" w:color="auto" w:fill="auto"/>
            <w:noWrap/>
            <w:vAlign w:val="bottom"/>
            <w:hideMark/>
          </w:tcPr>
          <w:p w14:paraId="32F8AE74" w14:textId="77777777" w:rsidR="00350C1D" w:rsidRPr="004E0937" w:rsidRDefault="00350C1D" w:rsidP="00DB3615">
            <w:pPr>
              <w:spacing w:after="0" w:line="240" w:lineRule="auto"/>
              <w:jc w:val="left"/>
              <w:rPr>
                <w:rFonts w:ascii="Calibri" w:eastAsia="Times New Roman" w:hAnsi="Calibri" w:cs="Calibri"/>
                <w:b/>
                <w:bCs/>
                <w:color w:val="000000"/>
              </w:rPr>
            </w:pPr>
            <w:r w:rsidRPr="004E0937">
              <w:rPr>
                <w:rFonts w:ascii="Calibri" w:eastAsia="Times New Roman" w:hAnsi="Calibri" w:cs="Calibri"/>
                <w:b/>
                <w:bCs/>
                <w:color w:val="000000"/>
              </w:rPr>
              <w:t>Genotype 2</w:t>
            </w:r>
          </w:p>
        </w:tc>
        <w:tc>
          <w:tcPr>
            <w:tcW w:w="417" w:type="pct"/>
            <w:tcBorders>
              <w:top w:val="nil"/>
              <w:left w:val="nil"/>
              <w:bottom w:val="nil"/>
              <w:right w:val="nil"/>
            </w:tcBorders>
            <w:shd w:val="clear" w:color="auto" w:fill="auto"/>
            <w:noWrap/>
            <w:vAlign w:val="bottom"/>
            <w:hideMark/>
          </w:tcPr>
          <w:p w14:paraId="09495A02" w14:textId="77777777" w:rsidR="00350C1D" w:rsidRPr="004E0937" w:rsidRDefault="00350C1D" w:rsidP="00DB3615">
            <w:pPr>
              <w:spacing w:after="0" w:line="240" w:lineRule="auto"/>
              <w:jc w:val="left"/>
              <w:rPr>
                <w:rFonts w:ascii="Calibri" w:eastAsia="Times New Roman" w:hAnsi="Calibri" w:cs="Calibri"/>
                <w:b/>
                <w:bCs/>
                <w:color w:val="000000"/>
              </w:rPr>
            </w:pPr>
            <w:r w:rsidRPr="004E0937">
              <w:rPr>
                <w:rFonts w:ascii="Calibri" w:eastAsia="Times New Roman" w:hAnsi="Calibri" w:cs="Calibri"/>
                <w:b/>
                <w:bCs/>
                <w:color w:val="000000"/>
              </w:rPr>
              <w:t>GEL Pipeline Gene</w:t>
            </w:r>
          </w:p>
        </w:tc>
      </w:tr>
      <w:tr w:rsidR="00350C1D" w:rsidRPr="004E0937" w14:paraId="0BDBD92A" w14:textId="77777777" w:rsidTr="00350C1D">
        <w:trPr>
          <w:trHeight w:val="580"/>
        </w:trPr>
        <w:tc>
          <w:tcPr>
            <w:tcW w:w="184" w:type="pct"/>
            <w:tcBorders>
              <w:top w:val="nil"/>
              <w:left w:val="nil"/>
              <w:bottom w:val="nil"/>
              <w:right w:val="nil"/>
            </w:tcBorders>
            <w:shd w:val="clear" w:color="FFFF00" w:fill="9BC2E6"/>
            <w:noWrap/>
            <w:vAlign w:val="bottom"/>
            <w:hideMark/>
          </w:tcPr>
          <w:p w14:paraId="72E5FCEF" w14:textId="77777777" w:rsidR="00350C1D" w:rsidRPr="004E0937" w:rsidRDefault="00350C1D" w:rsidP="00DB3615">
            <w:pPr>
              <w:spacing w:after="0" w:line="240" w:lineRule="auto"/>
              <w:jc w:val="center"/>
              <w:rPr>
                <w:rFonts w:ascii="Calibri" w:eastAsia="Times New Roman" w:hAnsi="Calibri" w:cs="Calibri"/>
                <w:color w:val="000000"/>
              </w:rPr>
            </w:pPr>
            <w:r w:rsidRPr="004E0937">
              <w:rPr>
                <w:rFonts w:ascii="Calibri" w:eastAsia="Times New Roman" w:hAnsi="Calibri" w:cs="Calibri"/>
                <w:color w:val="000000"/>
              </w:rPr>
              <w:t>1</w:t>
            </w:r>
          </w:p>
        </w:tc>
        <w:tc>
          <w:tcPr>
            <w:tcW w:w="190" w:type="pct"/>
            <w:tcBorders>
              <w:top w:val="nil"/>
              <w:left w:val="nil"/>
              <w:bottom w:val="nil"/>
              <w:right w:val="nil"/>
            </w:tcBorders>
            <w:shd w:val="clear" w:color="FFFF00" w:fill="9BC2E6"/>
            <w:vAlign w:val="bottom"/>
          </w:tcPr>
          <w:p w14:paraId="241B0B71" w14:textId="74BA39BB" w:rsidR="00350C1D" w:rsidRDefault="00350C1D" w:rsidP="00DB3615">
            <w:pPr>
              <w:spacing w:after="0" w:line="240" w:lineRule="auto"/>
              <w:jc w:val="center"/>
              <w:rPr>
                <w:rFonts w:ascii="Calibri" w:eastAsia="Times New Roman" w:hAnsi="Calibri" w:cs="Calibri"/>
                <w:color w:val="000000"/>
              </w:rPr>
            </w:pPr>
            <w:r>
              <w:rPr>
                <w:rFonts w:ascii="Calibri" w:eastAsia="Times New Roman" w:hAnsi="Calibri" w:cs="Calibri"/>
                <w:color w:val="000000"/>
              </w:rPr>
              <w:t>Yes</w:t>
            </w:r>
          </w:p>
        </w:tc>
        <w:tc>
          <w:tcPr>
            <w:tcW w:w="498" w:type="pct"/>
            <w:tcBorders>
              <w:top w:val="nil"/>
              <w:left w:val="nil"/>
              <w:bottom w:val="nil"/>
              <w:right w:val="nil"/>
            </w:tcBorders>
            <w:shd w:val="clear" w:color="FFFF00" w:fill="9BC2E6"/>
            <w:noWrap/>
            <w:vAlign w:val="bottom"/>
            <w:hideMark/>
          </w:tcPr>
          <w:p w14:paraId="7C254C9D" w14:textId="1A3FDB3A" w:rsidR="00350C1D" w:rsidRPr="004E0937" w:rsidRDefault="00350C1D" w:rsidP="00DB3615">
            <w:pPr>
              <w:spacing w:after="0" w:line="240" w:lineRule="auto"/>
              <w:jc w:val="center"/>
              <w:rPr>
                <w:rFonts w:ascii="Calibri" w:eastAsia="Times New Roman" w:hAnsi="Calibri" w:cs="Calibri"/>
                <w:color w:val="000000"/>
              </w:rPr>
            </w:pPr>
            <w:r w:rsidRPr="004E0937">
              <w:rPr>
                <w:rFonts w:ascii="Calibri" w:eastAsia="Times New Roman" w:hAnsi="Calibri" w:cs="Calibri"/>
                <w:color w:val="000000"/>
              </w:rPr>
              <w:t>11 to 15</w:t>
            </w:r>
          </w:p>
        </w:tc>
        <w:tc>
          <w:tcPr>
            <w:tcW w:w="374" w:type="pct"/>
            <w:tcBorders>
              <w:top w:val="nil"/>
              <w:left w:val="nil"/>
              <w:bottom w:val="nil"/>
              <w:right w:val="nil"/>
            </w:tcBorders>
            <w:shd w:val="clear" w:color="FFFF00" w:fill="9BC2E6"/>
            <w:noWrap/>
            <w:vAlign w:val="bottom"/>
            <w:hideMark/>
          </w:tcPr>
          <w:p w14:paraId="3DF9238A" w14:textId="77777777" w:rsidR="00350C1D" w:rsidRPr="004E0937" w:rsidRDefault="00350C1D" w:rsidP="00DB3615">
            <w:pPr>
              <w:spacing w:after="0" w:line="240" w:lineRule="auto"/>
              <w:jc w:val="center"/>
              <w:rPr>
                <w:rFonts w:ascii="Calibri" w:eastAsia="Times New Roman" w:hAnsi="Calibri" w:cs="Calibri"/>
                <w:color w:val="000000"/>
              </w:rPr>
            </w:pPr>
            <w:r w:rsidRPr="004E0937">
              <w:rPr>
                <w:rFonts w:ascii="Calibri" w:eastAsia="Times New Roman" w:hAnsi="Calibri" w:cs="Calibri"/>
                <w:color w:val="000000"/>
              </w:rPr>
              <w:t> </w:t>
            </w:r>
          </w:p>
        </w:tc>
        <w:tc>
          <w:tcPr>
            <w:tcW w:w="498" w:type="pct"/>
            <w:gridSpan w:val="3"/>
            <w:tcBorders>
              <w:top w:val="nil"/>
              <w:left w:val="nil"/>
              <w:bottom w:val="nil"/>
              <w:right w:val="nil"/>
            </w:tcBorders>
            <w:shd w:val="clear" w:color="FFFF00" w:fill="9BC2E6"/>
            <w:noWrap/>
            <w:vAlign w:val="bottom"/>
            <w:hideMark/>
          </w:tcPr>
          <w:p w14:paraId="19D52C64" w14:textId="77777777" w:rsidR="00350C1D" w:rsidRPr="004E0937" w:rsidRDefault="00350C1D" w:rsidP="00DB3615">
            <w:pPr>
              <w:spacing w:after="0" w:line="240" w:lineRule="auto"/>
              <w:jc w:val="center"/>
              <w:rPr>
                <w:rFonts w:ascii="Calibri" w:eastAsia="Times New Roman" w:hAnsi="Calibri" w:cs="Calibri"/>
                <w:color w:val="000000"/>
              </w:rPr>
            </w:pPr>
            <w:r w:rsidRPr="004E0937">
              <w:rPr>
                <w:rFonts w:ascii="Calibri" w:eastAsia="Times New Roman" w:hAnsi="Calibri" w:cs="Calibri"/>
                <w:color w:val="000000"/>
              </w:rPr>
              <w:t> </w:t>
            </w:r>
          </w:p>
        </w:tc>
        <w:tc>
          <w:tcPr>
            <w:tcW w:w="1052" w:type="pct"/>
            <w:gridSpan w:val="2"/>
            <w:tcBorders>
              <w:top w:val="nil"/>
              <w:left w:val="nil"/>
              <w:bottom w:val="nil"/>
              <w:right w:val="nil"/>
            </w:tcBorders>
            <w:shd w:val="clear" w:color="FFFF00" w:fill="9BC2E6"/>
            <w:vAlign w:val="bottom"/>
            <w:hideMark/>
          </w:tcPr>
          <w:p w14:paraId="2214C834" w14:textId="77777777" w:rsidR="00350C1D" w:rsidRPr="004E0937" w:rsidRDefault="00350C1D" w:rsidP="00DB3615">
            <w:pPr>
              <w:spacing w:after="0" w:line="240" w:lineRule="auto"/>
              <w:jc w:val="left"/>
              <w:rPr>
                <w:rFonts w:ascii="Calibri" w:eastAsia="Times New Roman" w:hAnsi="Calibri" w:cs="Calibri"/>
                <w:color w:val="000000"/>
              </w:rPr>
            </w:pPr>
            <w:r w:rsidRPr="004E0937">
              <w:rPr>
                <w:rFonts w:ascii="Calibri" w:eastAsia="Times New Roman" w:hAnsi="Calibri" w:cs="Calibri"/>
                <w:color w:val="000000"/>
              </w:rPr>
              <w:t>Unexplained kidney failure in young people</w:t>
            </w:r>
          </w:p>
        </w:tc>
        <w:tc>
          <w:tcPr>
            <w:tcW w:w="366" w:type="pct"/>
            <w:tcBorders>
              <w:top w:val="nil"/>
              <w:left w:val="nil"/>
              <w:bottom w:val="nil"/>
              <w:right w:val="nil"/>
            </w:tcBorders>
            <w:shd w:val="clear" w:color="FFFF00" w:fill="9BC2E6"/>
            <w:noWrap/>
            <w:vAlign w:val="bottom"/>
            <w:hideMark/>
          </w:tcPr>
          <w:p w14:paraId="12513E7F" w14:textId="77777777" w:rsidR="00350C1D" w:rsidRPr="004E0937" w:rsidRDefault="00350C1D" w:rsidP="00DB3615">
            <w:pPr>
              <w:spacing w:after="0" w:line="240" w:lineRule="auto"/>
              <w:jc w:val="left"/>
              <w:rPr>
                <w:rFonts w:ascii="Calibri" w:eastAsia="Times New Roman" w:hAnsi="Calibri" w:cs="Calibri"/>
                <w:color w:val="000000"/>
              </w:rPr>
            </w:pPr>
            <w:r w:rsidRPr="004E0937">
              <w:rPr>
                <w:rFonts w:ascii="Calibri" w:eastAsia="Times New Roman" w:hAnsi="Calibri" w:cs="Calibri"/>
                <w:color w:val="000000"/>
              </w:rPr>
              <w:t>Proband</w:t>
            </w:r>
          </w:p>
        </w:tc>
        <w:tc>
          <w:tcPr>
            <w:tcW w:w="120" w:type="pct"/>
            <w:tcBorders>
              <w:top w:val="nil"/>
              <w:left w:val="nil"/>
              <w:bottom w:val="nil"/>
              <w:right w:val="nil"/>
            </w:tcBorders>
            <w:shd w:val="clear" w:color="FFFF00" w:fill="9BC2E6"/>
            <w:noWrap/>
            <w:vAlign w:val="bottom"/>
            <w:hideMark/>
          </w:tcPr>
          <w:p w14:paraId="51D74C2D" w14:textId="77777777" w:rsidR="00350C1D" w:rsidRPr="004E0937" w:rsidRDefault="00350C1D" w:rsidP="00DB3615">
            <w:pPr>
              <w:spacing w:after="0" w:line="240" w:lineRule="auto"/>
              <w:jc w:val="center"/>
              <w:rPr>
                <w:rFonts w:ascii="Calibri" w:eastAsia="Times New Roman" w:hAnsi="Calibri" w:cs="Calibri"/>
                <w:color w:val="000000"/>
              </w:rPr>
            </w:pPr>
            <w:r w:rsidRPr="004E0937">
              <w:rPr>
                <w:rFonts w:ascii="Calibri" w:eastAsia="Times New Roman" w:hAnsi="Calibri" w:cs="Calibri"/>
                <w:color w:val="000000"/>
              </w:rPr>
              <w:t>M</w:t>
            </w:r>
          </w:p>
        </w:tc>
        <w:tc>
          <w:tcPr>
            <w:tcW w:w="430" w:type="pct"/>
            <w:tcBorders>
              <w:top w:val="nil"/>
              <w:left w:val="nil"/>
              <w:bottom w:val="nil"/>
              <w:right w:val="nil"/>
            </w:tcBorders>
            <w:shd w:val="clear" w:color="FFFF00" w:fill="9BC2E6"/>
            <w:noWrap/>
            <w:vAlign w:val="bottom"/>
            <w:hideMark/>
          </w:tcPr>
          <w:p w14:paraId="4B924379" w14:textId="77777777" w:rsidR="00350C1D" w:rsidRPr="004E0937" w:rsidRDefault="00350C1D" w:rsidP="00DB3615">
            <w:pPr>
              <w:spacing w:after="0" w:line="240" w:lineRule="auto"/>
              <w:jc w:val="center"/>
              <w:rPr>
                <w:rFonts w:ascii="Calibri" w:eastAsia="Times New Roman" w:hAnsi="Calibri" w:cs="Calibri"/>
                <w:color w:val="000000"/>
              </w:rPr>
            </w:pPr>
            <w:r w:rsidRPr="004E0937">
              <w:rPr>
                <w:rFonts w:ascii="Calibri" w:eastAsia="Times New Roman" w:hAnsi="Calibri" w:cs="Calibri"/>
                <w:color w:val="000000"/>
              </w:rPr>
              <w:t>AFR</w:t>
            </w:r>
          </w:p>
        </w:tc>
        <w:tc>
          <w:tcPr>
            <w:tcW w:w="458" w:type="pct"/>
            <w:tcBorders>
              <w:top w:val="nil"/>
              <w:left w:val="nil"/>
              <w:bottom w:val="nil"/>
              <w:right w:val="nil"/>
            </w:tcBorders>
            <w:shd w:val="clear" w:color="FFFF00" w:fill="9BC2E6"/>
            <w:vAlign w:val="bottom"/>
            <w:hideMark/>
          </w:tcPr>
          <w:p w14:paraId="45334CBA" w14:textId="77777777" w:rsidR="00350C1D" w:rsidRPr="004E0937" w:rsidRDefault="00350C1D" w:rsidP="00DB3615">
            <w:pPr>
              <w:spacing w:after="0" w:line="240" w:lineRule="auto"/>
              <w:jc w:val="left"/>
              <w:rPr>
                <w:rFonts w:ascii="Calibri" w:eastAsia="Times New Roman" w:hAnsi="Calibri" w:cs="Calibri"/>
                <w:color w:val="000000"/>
              </w:rPr>
            </w:pPr>
            <w:r w:rsidRPr="004E0937">
              <w:rPr>
                <w:rFonts w:ascii="Calibri" w:eastAsia="Times New Roman" w:hAnsi="Calibri" w:cs="Calibri"/>
                <w:color w:val="000000"/>
              </w:rPr>
              <w:t>Stop gained</w:t>
            </w:r>
          </w:p>
        </w:tc>
        <w:tc>
          <w:tcPr>
            <w:tcW w:w="413" w:type="pct"/>
            <w:tcBorders>
              <w:top w:val="nil"/>
              <w:left w:val="nil"/>
              <w:bottom w:val="nil"/>
              <w:right w:val="nil"/>
            </w:tcBorders>
            <w:shd w:val="clear" w:color="FFFF00" w:fill="9BC2E6"/>
            <w:vAlign w:val="bottom"/>
            <w:hideMark/>
          </w:tcPr>
          <w:p w14:paraId="5C135841" w14:textId="77777777" w:rsidR="00350C1D" w:rsidRPr="004E0937" w:rsidRDefault="00350C1D" w:rsidP="00DB3615">
            <w:pPr>
              <w:spacing w:after="0" w:line="240" w:lineRule="auto"/>
              <w:jc w:val="left"/>
              <w:rPr>
                <w:rFonts w:ascii="Calibri" w:eastAsia="Times New Roman" w:hAnsi="Calibri" w:cs="Calibri"/>
                <w:color w:val="000000"/>
              </w:rPr>
            </w:pPr>
            <w:r w:rsidRPr="004E0937">
              <w:rPr>
                <w:rFonts w:ascii="Calibri" w:eastAsia="Times New Roman" w:hAnsi="Calibri" w:cs="Calibri"/>
                <w:color w:val="000000"/>
              </w:rPr>
              <w:t>Stop gained</w:t>
            </w:r>
          </w:p>
        </w:tc>
        <w:tc>
          <w:tcPr>
            <w:tcW w:w="417" w:type="pct"/>
            <w:tcBorders>
              <w:top w:val="nil"/>
              <w:left w:val="nil"/>
              <w:bottom w:val="nil"/>
              <w:right w:val="nil"/>
            </w:tcBorders>
            <w:shd w:val="clear" w:color="FFFF00" w:fill="9BC2E6"/>
            <w:noWrap/>
            <w:vAlign w:val="bottom"/>
            <w:hideMark/>
          </w:tcPr>
          <w:p w14:paraId="6D2DA9E6" w14:textId="77777777" w:rsidR="00350C1D" w:rsidRPr="001064BB" w:rsidRDefault="00350C1D" w:rsidP="00DB3615">
            <w:pPr>
              <w:spacing w:after="0" w:line="240" w:lineRule="auto"/>
              <w:jc w:val="center"/>
              <w:rPr>
                <w:rFonts w:ascii="Calibri" w:eastAsia="Times New Roman" w:hAnsi="Calibri" w:cs="Calibri"/>
                <w:i/>
                <w:iCs/>
                <w:color w:val="000000"/>
              </w:rPr>
            </w:pPr>
            <w:r w:rsidRPr="001064BB">
              <w:rPr>
                <w:rFonts w:ascii="Calibri" w:eastAsia="Times New Roman" w:hAnsi="Calibri" w:cs="Calibri"/>
                <w:i/>
                <w:iCs/>
                <w:color w:val="000000"/>
              </w:rPr>
              <w:t>NPHP1</w:t>
            </w:r>
          </w:p>
        </w:tc>
      </w:tr>
      <w:tr w:rsidR="00350C1D" w:rsidRPr="004E0937" w14:paraId="6C13E850" w14:textId="77777777" w:rsidTr="00350C1D">
        <w:trPr>
          <w:trHeight w:val="580"/>
        </w:trPr>
        <w:tc>
          <w:tcPr>
            <w:tcW w:w="184" w:type="pct"/>
            <w:tcBorders>
              <w:top w:val="nil"/>
              <w:left w:val="nil"/>
              <w:bottom w:val="nil"/>
              <w:right w:val="nil"/>
            </w:tcBorders>
            <w:shd w:val="clear" w:color="FFFF00" w:fill="9BC2E6"/>
            <w:noWrap/>
            <w:vAlign w:val="bottom"/>
            <w:hideMark/>
          </w:tcPr>
          <w:p w14:paraId="0C26D66F" w14:textId="77777777" w:rsidR="00350C1D" w:rsidRPr="004E0937" w:rsidRDefault="00350C1D" w:rsidP="00DB3615">
            <w:pPr>
              <w:spacing w:after="0" w:line="240" w:lineRule="auto"/>
              <w:jc w:val="center"/>
              <w:rPr>
                <w:rFonts w:ascii="Calibri" w:eastAsia="Times New Roman" w:hAnsi="Calibri" w:cs="Calibri"/>
                <w:color w:val="000000"/>
              </w:rPr>
            </w:pPr>
            <w:r w:rsidRPr="004E0937">
              <w:rPr>
                <w:rFonts w:ascii="Calibri" w:eastAsia="Times New Roman" w:hAnsi="Calibri" w:cs="Calibri"/>
                <w:color w:val="000000"/>
              </w:rPr>
              <w:t>2</w:t>
            </w:r>
          </w:p>
        </w:tc>
        <w:tc>
          <w:tcPr>
            <w:tcW w:w="190" w:type="pct"/>
            <w:tcBorders>
              <w:top w:val="nil"/>
              <w:left w:val="nil"/>
              <w:bottom w:val="nil"/>
              <w:right w:val="nil"/>
            </w:tcBorders>
            <w:shd w:val="clear" w:color="FFFF00" w:fill="9BC2E6"/>
            <w:vAlign w:val="bottom"/>
          </w:tcPr>
          <w:p w14:paraId="591D5F59" w14:textId="2745A7CE" w:rsidR="00350C1D" w:rsidRDefault="00350C1D" w:rsidP="00DB3615">
            <w:pPr>
              <w:spacing w:after="0" w:line="240" w:lineRule="auto"/>
              <w:jc w:val="center"/>
              <w:rPr>
                <w:rFonts w:ascii="Calibri" w:eastAsia="Times New Roman" w:hAnsi="Calibri" w:cs="Calibri"/>
                <w:color w:val="000000"/>
              </w:rPr>
            </w:pPr>
            <w:r>
              <w:rPr>
                <w:rFonts w:ascii="Calibri" w:eastAsia="Times New Roman" w:hAnsi="Calibri" w:cs="Calibri"/>
                <w:color w:val="000000"/>
              </w:rPr>
              <w:t>Yes</w:t>
            </w:r>
          </w:p>
        </w:tc>
        <w:tc>
          <w:tcPr>
            <w:tcW w:w="498" w:type="pct"/>
            <w:tcBorders>
              <w:top w:val="nil"/>
              <w:left w:val="nil"/>
              <w:bottom w:val="nil"/>
              <w:right w:val="nil"/>
            </w:tcBorders>
            <w:shd w:val="clear" w:color="FFFF00" w:fill="9BC2E6"/>
            <w:noWrap/>
            <w:vAlign w:val="bottom"/>
            <w:hideMark/>
          </w:tcPr>
          <w:p w14:paraId="48FD2050" w14:textId="43E57210" w:rsidR="00350C1D" w:rsidRPr="004E0937" w:rsidRDefault="00350C1D" w:rsidP="00DB3615">
            <w:pPr>
              <w:spacing w:after="0" w:line="240" w:lineRule="auto"/>
              <w:jc w:val="center"/>
              <w:rPr>
                <w:rFonts w:ascii="Calibri" w:eastAsia="Times New Roman" w:hAnsi="Calibri" w:cs="Calibri"/>
                <w:color w:val="000000"/>
              </w:rPr>
            </w:pPr>
            <w:r w:rsidRPr="004E0937">
              <w:rPr>
                <w:rFonts w:ascii="Calibri" w:eastAsia="Times New Roman" w:hAnsi="Calibri" w:cs="Calibri"/>
                <w:color w:val="000000"/>
              </w:rPr>
              <w:t>21 to 25</w:t>
            </w:r>
          </w:p>
        </w:tc>
        <w:tc>
          <w:tcPr>
            <w:tcW w:w="374" w:type="pct"/>
            <w:tcBorders>
              <w:top w:val="nil"/>
              <w:left w:val="nil"/>
              <w:bottom w:val="nil"/>
              <w:right w:val="nil"/>
            </w:tcBorders>
            <w:shd w:val="clear" w:color="FFFF00" w:fill="9BC2E6"/>
            <w:noWrap/>
            <w:vAlign w:val="bottom"/>
            <w:hideMark/>
          </w:tcPr>
          <w:p w14:paraId="31CD7B8C" w14:textId="77777777" w:rsidR="00350C1D" w:rsidRPr="004E0937" w:rsidRDefault="00350C1D" w:rsidP="00DB3615">
            <w:pPr>
              <w:spacing w:after="0" w:line="240" w:lineRule="auto"/>
              <w:jc w:val="center"/>
              <w:rPr>
                <w:rFonts w:ascii="Calibri" w:eastAsia="Times New Roman" w:hAnsi="Calibri" w:cs="Calibri"/>
                <w:color w:val="000000"/>
              </w:rPr>
            </w:pPr>
            <w:r w:rsidRPr="004E0937">
              <w:rPr>
                <w:rFonts w:ascii="Calibri" w:eastAsia="Times New Roman" w:hAnsi="Calibri" w:cs="Calibri"/>
                <w:color w:val="000000"/>
              </w:rPr>
              <w:t> </w:t>
            </w:r>
          </w:p>
        </w:tc>
        <w:tc>
          <w:tcPr>
            <w:tcW w:w="498" w:type="pct"/>
            <w:gridSpan w:val="3"/>
            <w:tcBorders>
              <w:top w:val="nil"/>
              <w:left w:val="nil"/>
              <w:bottom w:val="nil"/>
              <w:right w:val="nil"/>
            </w:tcBorders>
            <w:shd w:val="clear" w:color="FFFF00" w:fill="9BC2E6"/>
            <w:noWrap/>
            <w:vAlign w:val="bottom"/>
            <w:hideMark/>
          </w:tcPr>
          <w:p w14:paraId="33098593" w14:textId="77777777" w:rsidR="00350C1D" w:rsidRPr="004E0937" w:rsidRDefault="00350C1D" w:rsidP="00DB3615">
            <w:pPr>
              <w:spacing w:after="0" w:line="240" w:lineRule="auto"/>
              <w:jc w:val="center"/>
              <w:rPr>
                <w:rFonts w:ascii="Calibri" w:eastAsia="Times New Roman" w:hAnsi="Calibri" w:cs="Calibri"/>
                <w:color w:val="000000"/>
              </w:rPr>
            </w:pPr>
            <w:r w:rsidRPr="004E0937">
              <w:rPr>
                <w:rFonts w:ascii="Calibri" w:eastAsia="Times New Roman" w:hAnsi="Calibri" w:cs="Calibri"/>
                <w:color w:val="000000"/>
              </w:rPr>
              <w:t> </w:t>
            </w:r>
          </w:p>
        </w:tc>
        <w:tc>
          <w:tcPr>
            <w:tcW w:w="1052" w:type="pct"/>
            <w:gridSpan w:val="2"/>
            <w:tcBorders>
              <w:top w:val="nil"/>
              <w:left w:val="nil"/>
              <w:bottom w:val="nil"/>
              <w:right w:val="nil"/>
            </w:tcBorders>
            <w:shd w:val="clear" w:color="FFFF00" w:fill="9BC2E6"/>
            <w:vAlign w:val="bottom"/>
            <w:hideMark/>
          </w:tcPr>
          <w:p w14:paraId="0F561878" w14:textId="77777777" w:rsidR="00350C1D" w:rsidRPr="004E0937" w:rsidRDefault="00350C1D" w:rsidP="00DB3615">
            <w:pPr>
              <w:spacing w:after="0" w:line="240" w:lineRule="auto"/>
              <w:jc w:val="left"/>
              <w:rPr>
                <w:rFonts w:ascii="Calibri" w:eastAsia="Times New Roman" w:hAnsi="Calibri" w:cs="Calibri"/>
                <w:color w:val="000000"/>
              </w:rPr>
            </w:pPr>
            <w:r w:rsidRPr="004E0937">
              <w:rPr>
                <w:rFonts w:ascii="Calibri" w:eastAsia="Times New Roman" w:hAnsi="Calibri" w:cs="Calibri"/>
                <w:color w:val="000000"/>
              </w:rPr>
              <w:t>Unexplained kidney failure in young people</w:t>
            </w:r>
          </w:p>
        </w:tc>
        <w:tc>
          <w:tcPr>
            <w:tcW w:w="366" w:type="pct"/>
            <w:tcBorders>
              <w:top w:val="nil"/>
              <w:left w:val="nil"/>
              <w:bottom w:val="nil"/>
              <w:right w:val="nil"/>
            </w:tcBorders>
            <w:shd w:val="clear" w:color="FFFF00" w:fill="9BC2E6"/>
            <w:noWrap/>
            <w:vAlign w:val="bottom"/>
            <w:hideMark/>
          </w:tcPr>
          <w:p w14:paraId="74F572AE" w14:textId="77777777" w:rsidR="00350C1D" w:rsidRPr="004E0937" w:rsidRDefault="00350C1D" w:rsidP="00DB3615">
            <w:pPr>
              <w:spacing w:after="0" w:line="240" w:lineRule="auto"/>
              <w:jc w:val="left"/>
              <w:rPr>
                <w:rFonts w:ascii="Calibri" w:eastAsia="Times New Roman" w:hAnsi="Calibri" w:cs="Calibri"/>
                <w:color w:val="000000"/>
              </w:rPr>
            </w:pPr>
            <w:r w:rsidRPr="004E0937">
              <w:rPr>
                <w:rFonts w:ascii="Calibri" w:eastAsia="Times New Roman" w:hAnsi="Calibri" w:cs="Calibri"/>
                <w:color w:val="000000"/>
              </w:rPr>
              <w:t>Relative</w:t>
            </w:r>
          </w:p>
        </w:tc>
        <w:tc>
          <w:tcPr>
            <w:tcW w:w="120" w:type="pct"/>
            <w:tcBorders>
              <w:top w:val="nil"/>
              <w:left w:val="nil"/>
              <w:bottom w:val="nil"/>
              <w:right w:val="nil"/>
            </w:tcBorders>
            <w:shd w:val="clear" w:color="FFFF00" w:fill="9BC2E6"/>
            <w:noWrap/>
            <w:vAlign w:val="bottom"/>
            <w:hideMark/>
          </w:tcPr>
          <w:p w14:paraId="073D7B2B" w14:textId="77777777" w:rsidR="00350C1D" w:rsidRPr="004E0937" w:rsidRDefault="00350C1D" w:rsidP="00DB3615">
            <w:pPr>
              <w:spacing w:after="0" w:line="240" w:lineRule="auto"/>
              <w:jc w:val="center"/>
              <w:rPr>
                <w:rFonts w:ascii="Calibri" w:eastAsia="Times New Roman" w:hAnsi="Calibri" w:cs="Calibri"/>
                <w:color w:val="000000"/>
              </w:rPr>
            </w:pPr>
            <w:r w:rsidRPr="004E0937">
              <w:rPr>
                <w:rFonts w:ascii="Calibri" w:eastAsia="Times New Roman" w:hAnsi="Calibri" w:cs="Calibri"/>
                <w:color w:val="000000"/>
              </w:rPr>
              <w:t>M</w:t>
            </w:r>
          </w:p>
        </w:tc>
        <w:tc>
          <w:tcPr>
            <w:tcW w:w="430" w:type="pct"/>
            <w:tcBorders>
              <w:top w:val="nil"/>
              <w:left w:val="nil"/>
              <w:bottom w:val="nil"/>
              <w:right w:val="nil"/>
            </w:tcBorders>
            <w:shd w:val="clear" w:color="FFFF00" w:fill="9BC2E6"/>
            <w:noWrap/>
            <w:vAlign w:val="bottom"/>
            <w:hideMark/>
          </w:tcPr>
          <w:p w14:paraId="5CAAE122" w14:textId="77777777" w:rsidR="00350C1D" w:rsidRPr="004E0937" w:rsidRDefault="00350C1D" w:rsidP="00DB3615">
            <w:pPr>
              <w:spacing w:after="0" w:line="240" w:lineRule="auto"/>
              <w:jc w:val="center"/>
              <w:rPr>
                <w:rFonts w:ascii="Calibri" w:eastAsia="Times New Roman" w:hAnsi="Calibri" w:cs="Calibri"/>
                <w:color w:val="000000"/>
              </w:rPr>
            </w:pPr>
            <w:r w:rsidRPr="004E0937">
              <w:rPr>
                <w:rFonts w:ascii="Calibri" w:eastAsia="Times New Roman" w:hAnsi="Calibri" w:cs="Calibri"/>
                <w:color w:val="000000"/>
              </w:rPr>
              <w:t>AFR</w:t>
            </w:r>
          </w:p>
        </w:tc>
        <w:tc>
          <w:tcPr>
            <w:tcW w:w="458" w:type="pct"/>
            <w:tcBorders>
              <w:top w:val="nil"/>
              <w:left w:val="nil"/>
              <w:bottom w:val="nil"/>
              <w:right w:val="nil"/>
            </w:tcBorders>
            <w:shd w:val="clear" w:color="FFFF00" w:fill="9BC2E6"/>
            <w:vAlign w:val="bottom"/>
            <w:hideMark/>
          </w:tcPr>
          <w:p w14:paraId="228BBE41" w14:textId="77777777" w:rsidR="00350C1D" w:rsidRPr="004E0937" w:rsidRDefault="00350C1D" w:rsidP="00DB3615">
            <w:pPr>
              <w:spacing w:after="0" w:line="240" w:lineRule="auto"/>
              <w:jc w:val="left"/>
              <w:rPr>
                <w:rFonts w:ascii="Calibri" w:eastAsia="Times New Roman" w:hAnsi="Calibri" w:cs="Calibri"/>
                <w:color w:val="000000"/>
              </w:rPr>
            </w:pPr>
            <w:r w:rsidRPr="004E0937">
              <w:rPr>
                <w:rFonts w:ascii="Calibri" w:eastAsia="Times New Roman" w:hAnsi="Calibri" w:cs="Calibri"/>
                <w:color w:val="000000"/>
              </w:rPr>
              <w:t>Stop gained</w:t>
            </w:r>
          </w:p>
        </w:tc>
        <w:tc>
          <w:tcPr>
            <w:tcW w:w="413" w:type="pct"/>
            <w:tcBorders>
              <w:top w:val="nil"/>
              <w:left w:val="nil"/>
              <w:bottom w:val="nil"/>
              <w:right w:val="nil"/>
            </w:tcBorders>
            <w:shd w:val="clear" w:color="FFFF00" w:fill="9BC2E6"/>
            <w:vAlign w:val="bottom"/>
            <w:hideMark/>
          </w:tcPr>
          <w:p w14:paraId="660E827A" w14:textId="77777777" w:rsidR="00350C1D" w:rsidRPr="004E0937" w:rsidRDefault="00350C1D" w:rsidP="00DB3615">
            <w:pPr>
              <w:spacing w:after="0" w:line="240" w:lineRule="auto"/>
              <w:jc w:val="left"/>
              <w:rPr>
                <w:rFonts w:ascii="Calibri" w:eastAsia="Times New Roman" w:hAnsi="Calibri" w:cs="Calibri"/>
                <w:color w:val="000000"/>
              </w:rPr>
            </w:pPr>
            <w:r w:rsidRPr="004E0937">
              <w:rPr>
                <w:rFonts w:ascii="Calibri" w:eastAsia="Times New Roman" w:hAnsi="Calibri" w:cs="Calibri"/>
                <w:color w:val="000000"/>
              </w:rPr>
              <w:t>Stop gained</w:t>
            </w:r>
          </w:p>
        </w:tc>
        <w:tc>
          <w:tcPr>
            <w:tcW w:w="417" w:type="pct"/>
            <w:tcBorders>
              <w:top w:val="nil"/>
              <w:left w:val="nil"/>
              <w:bottom w:val="nil"/>
              <w:right w:val="nil"/>
            </w:tcBorders>
            <w:shd w:val="clear" w:color="FFFF00" w:fill="9BC2E6"/>
            <w:noWrap/>
            <w:vAlign w:val="bottom"/>
            <w:hideMark/>
          </w:tcPr>
          <w:p w14:paraId="55B06B5E" w14:textId="77777777" w:rsidR="00350C1D" w:rsidRPr="001064BB" w:rsidRDefault="00350C1D" w:rsidP="00DB3615">
            <w:pPr>
              <w:spacing w:after="0" w:line="240" w:lineRule="auto"/>
              <w:jc w:val="center"/>
              <w:rPr>
                <w:rFonts w:ascii="Calibri" w:eastAsia="Times New Roman" w:hAnsi="Calibri" w:cs="Calibri"/>
                <w:i/>
                <w:iCs/>
                <w:color w:val="000000"/>
              </w:rPr>
            </w:pPr>
            <w:r w:rsidRPr="001064BB">
              <w:rPr>
                <w:rFonts w:ascii="Calibri" w:eastAsia="Times New Roman" w:hAnsi="Calibri" w:cs="Calibri"/>
                <w:i/>
                <w:iCs/>
                <w:color w:val="000000"/>
              </w:rPr>
              <w:t>NPHP1</w:t>
            </w:r>
          </w:p>
        </w:tc>
      </w:tr>
      <w:tr w:rsidR="00350C1D" w:rsidRPr="004E0937" w14:paraId="57A4F489" w14:textId="77777777" w:rsidTr="00350C1D">
        <w:trPr>
          <w:trHeight w:val="290"/>
        </w:trPr>
        <w:tc>
          <w:tcPr>
            <w:tcW w:w="184" w:type="pct"/>
            <w:tcBorders>
              <w:top w:val="nil"/>
              <w:left w:val="nil"/>
              <w:bottom w:val="nil"/>
              <w:right w:val="nil"/>
            </w:tcBorders>
            <w:shd w:val="clear" w:color="CCFFFF" w:fill="DDEBF7"/>
            <w:noWrap/>
            <w:vAlign w:val="bottom"/>
            <w:hideMark/>
          </w:tcPr>
          <w:p w14:paraId="52C425DE" w14:textId="77777777" w:rsidR="00350C1D" w:rsidRPr="004E0937" w:rsidRDefault="00350C1D" w:rsidP="00DB3615">
            <w:pPr>
              <w:spacing w:after="0" w:line="240" w:lineRule="auto"/>
              <w:jc w:val="center"/>
              <w:rPr>
                <w:rFonts w:ascii="Calibri" w:eastAsia="Times New Roman" w:hAnsi="Calibri" w:cs="Calibri"/>
                <w:color w:val="000000"/>
              </w:rPr>
            </w:pPr>
            <w:r w:rsidRPr="004E0937">
              <w:rPr>
                <w:rFonts w:ascii="Calibri" w:eastAsia="Times New Roman" w:hAnsi="Calibri" w:cs="Calibri"/>
                <w:color w:val="000000"/>
              </w:rPr>
              <w:t>3</w:t>
            </w:r>
          </w:p>
        </w:tc>
        <w:tc>
          <w:tcPr>
            <w:tcW w:w="190" w:type="pct"/>
            <w:tcBorders>
              <w:top w:val="nil"/>
              <w:left w:val="nil"/>
              <w:bottom w:val="nil"/>
              <w:right w:val="nil"/>
            </w:tcBorders>
            <w:shd w:val="clear" w:color="CCFFFF" w:fill="DDEBF7"/>
            <w:vAlign w:val="bottom"/>
          </w:tcPr>
          <w:p w14:paraId="3721F8FD" w14:textId="364360D4" w:rsidR="00350C1D" w:rsidRDefault="00350C1D" w:rsidP="00DB3615">
            <w:pPr>
              <w:spacing w:after="0" w:line="240" w:lineRule="auto"/>
              <w:jc w:val="center"/>
              <w:rPr>
                <w:rFonts w:ascii="Calibri" w:eastAsia="Times New Roman" w:hAnsi="Calibri" w:cs="Calibri"/>
                <w:color w:val="000000"/>
              </w:rPr>
            </w:pPr>
            <w:r>
              <w:rPr>
                <w:rFonts w:ascii="Calibri" w:eastAsia="Times New Roman" w:hAnsi="Calibri" w:cs="Calibri"/>
                <w:color w:val="000000"/>
              </w:rPr>
              <w:t>No</w:t>
            </w:r>
          </w:p>
        </w:tc>
        <w:tc>
          <w:tcPr>
            <w:tcW w:w="498" w:type="pct"/>
            <w:tcBorders>
              <w:top w:val="nil"/>
              <w:left w:val="nil"/>
              <w:bottom w:val="nil"/>
              <w:right w:val="nil"/>
            </w:tcBorders>
            <w:shd w:val="clear" w:color="CCFFFF" w:fill="DDEBF7"/>
            <w:noWrap/>
            <w:vAlign w:val="bottom"/>
            <w:hideMark/>
          </w:tcPr>
          <w:p w14:paraId="49EDA990" w14:textId="5A382061" w:rsidR="00350C1D" w:rsidRPr="004E0937" w:rsidRDefault="00350C1D" w:rsidP="00DB3615">
            <w:pPr>
              <w:spacing w:after="0" w:line="240" w:lineRule="auto"/>
              <w:jc w:val="center"/>
              <w:rPr>
                <w:rFonts w:ascii="Calibri" w:eastAsia="Times New Roman" w:hAnsi="Calibri" w:cs="Calibri"/>
                <w:color w:val="000000"/>
              </w:rPr>
            </w:pPr>
            <w:r w:rsidRPr="004E0937">
              <w:rPr>
                <w:rFonts w:ascii="Calibri" w:eastAsia="Times New Roman" w:hAnsi="Calibri" w:cs="Calibri"/>
                <w:color w:val="000000"/>
              </w:rPr>
              <w:t> </w:t>
            </w:r>
          </w:p>
        </w:tc>
        <w:tc>
          <w:tcPr>
            <w:tcW w:w="374" w:type="pct"/>
            <w:tcBorders>
              <w:top w:val="nil"/>
              <w:left w:val="nil"/>
              <w:bottom w:val="nil"/>
              <w:right w:val="nil"/>
            </w:tcBorders>
            <w:shd w:val="clear" w:color="CCFFFF" w:fill="DDEBF7"/>
            <w:noWrap/>
            <w:vAlign w:val="bottom"/>
            <w:hideMark/>
          </w:tcPr>
          <w:p w14:paraId="3D8ED314" w14:textId="77777777" w:rsidR="00350C1D" w:rsidRPr="004E0937" w:rsidRDefault="00350C1D" w:rsidP="00DB3615">
            <w:pPr>
              <w:spacing w:after="0" w:line="240" w:lineRule="auto"/>
              <w:jc w:val="center"/>
              <w:rPr>
                <w:rFonts w:ascii="Calibri" w:eastAsia="Times New Roman" w:hAnsi="Calibri" w:cs="Calibri"/>
                <w:color w:val="000000"/>
              </w:rPr>
            </w:pPr>
            <w:r w:rsidRPr="004E0937">
              <w:rPr>
                <w:rFonts w:ascii="Calibri" w:eastAsia="Times New Roman" w:hAnsi="Calibri" w:cs="Calibri"/>
                <w:color w:val="000000"/>
              </w:rPr>
              <w:t> </w:t>
            </w:r>
          </w:p>
        </w:tc>
        <w:tc>
          <w:tcPr>
            <w:tcW w:w="498" w:type="pct"/>
            <w:gridSpan w:val="3"/>
            <w:tcBorders>
              <w:top w:val="nil"/>
              <w:left w:val="nil"/>
              <w:bottom w:val="nil"/>
              <w:right w:val="nil"/>
            </w:tcBorders>
            <w:shd w:val="clear" w:color="CCFFFF" w:fill="DDEBF7"/>
            <w:noWrap/>
            <w:vAlign w:val="bottom"/>
            <w:hideMark/>
          </w:tcPr>
          <w:p w14:paraId="2B4470F9" w14:textId="77777777" w:rsidR="00350C1D" w:rsidRPr="004E0937" w:rsidRDefault="00350C1D" w:rsidP="00DB3615">
            <w:pPr>
              <w:spacing w:after="0" w:line="240" w:lineRule="auto"/>
              <w:jc w:val="center"/>
              <w:rPr>
                <w:rFonts w:ascii="Calibri" w:eastAsia="Times New Roman" w:hAnsi="Calibri" w:cs="Calibri"/>
                <w:color w:val="000000"/>
              </w:rPr>
            </w:pPr>
            <w:r w:rsidRPr="004E0937">
              <w:rPr>
                <w:rFonts w:ascii="Calibri" w:eastAsia="Times New Roman" w:hAnsi="Calibri" w:cs="Calibri"/>
                <w:color w:val="000000"/>
              </w:rPr>
              <w:t> </w:t>
            </w:r>
          </w:p>
        </w:tc>
        <w:tc>
          <w:tcPr>
            <w:tcW w:w="1052" w:type="pct"/>
            <w:gridSpan w:val="2"/>
            <w:tcBorders>
              <w:top w:val="nil"/>
              <w:left w:val="nil"/>
              <w:bottom w:val="nil"/>
              <w:right w:val="nil"/>
            </w:tcBorders>
            <w:shd w:val="clear" w:color="CCFFFF" w:fill="DDEBF7"/>
            <w:vAlign w:val="bottom"/>
            <w:hideMark/>
          </w:tcPr>
          <w:p w14:paraId="7BAEB79A" w14:textId="77777777" w:rsidR="00350C1D" w:rsidRPr="004E0937" w:rsidRDefault="00350C1D" w:rsidP="00DB3615">
            <w:pPr>
              <w:spacing w:after="0" w:line="240" w:lineRule="auto"/>
              <w:jc w:val="left"/>
              <w:rPr>
                <w:rFonts w:ascii="Calibri" w:eastAsia="Times New Roman" w:hAnsi="Calibri" w:cs="Calibri"/>
                <w:color w:val="000000"/>
              </w:rPr>
            </w:pPr>
            <w:r w:rsidRPr="004E0937">
              <w:rPr>
                <w:rFonts w:ascii="Calibri" w:eastAsia="Times New Roman" w:hAnsi="Calibri" w:cs="Calibri"/>
                <w:color w:val="000000"/>
              </w:rPr>
              <w:t xml:space="preserve">Intellectual disability </w:t>
            </w:r>
          </w:p>
        </w:tc>
        <w:tc>
          <w:tcPr>
            <w:tcW w:w="366" w:type="pct"/>
            <w:tcBorders>
              <w:top w:val="nil"/>
              <w:left w:val="nil"/>
              <w:bottom w:val="nil"/>
              <w:right w:val="nil"/>
            </w:tcBorders>
            <w:shd w:val="clear" w:color="CCFFFF" w:fill="DDEBF7"/>
            <w:noWrap/>
            <w:vAlign w:val="bottom"/>
            <w:hideMark/>
          </w:tcPr>
          <w:p w14:paraId="78C68328" w14:textId="77777777" w:rsidR="00350C1D" w:rsidRPr="004E0937" w:rsidRDefault="00350C1D" w:rsidP="00DB3615">
            <w:pPr>
              <w:spacing w:after="0" w:line="240" w:lineRule="auto"/>
              <w:jc w:val="left"/>
              <w:rPr>
                <w:rFonts w:ascii="Calibri" w:eastAsia="Times New Roman" w:hAnsi="Calibri" w:cs="Calibri"/>
                <w:color w:val="000000"/>
              </w:rPr>
            </w:pPr>
            <w:r w:rsidRPr="004E0937">
              <w:rPr>
                <w:rFonts w:ascii="Calibri" w:eastAsia="Times New Roman" w:hAnsi="Calibri" w:cs="Calibri"/>
                <w:color w:val="000000"/>
              </w:rPr>
              <w:t>Relative</w:t>
            </w:r>
          </w:p>
        </w:tc>
        <w:tc>
          <w:tcPr>
            <w:tcW w:w="120" w:type="pct"/>
            <w:tcBorders>
              <w:top w:val="nil"/>
              <w:left w:val="nil"/>
              <w:bottom w:val="nil"/>
              <w:right w:val="nil"/>
            </w:tcBorders>
            <w:shd w:val="clear" w:color="CCFFFF" w:fill="DDEBF7"/>
            <w:noWrap/>
            <w:vAlign w:val="bottom"/>
            <w:hideMark/>
          </w:tcPr>
          <w:p w14:paraId="72A28B3E" w14:textId="77777777" w:rsidR="00350C1D" w:rsidRPr="004E0937" w:rsidRDefault="00350C1D" w:rsidP="00DB3615">
            <w:pPr>
              <w:spacing w:after="0" w:line="240" w:lineRule="auto"/>
              <w:jc w:val="center"/>
              <w:rPr>
                <w:rFonts w:ascii="Calibri" w:eastAsia="Times New Roman" w:hAnsi="Calibri" w:cs="Calibri"/>
                <w:color w:val="000000"/>
              </w:rPr>
            </w:pPr>
            <w:r w:rsidRPr="004E0937">
              <w:rPr>
                <w:rFonts w:ascii="Calibri" w:eastAsia="Times New Roman" w:hAnsi="Calibri" w:cs="Calibri"/>
                <w:color w:val="000000"/>
              </w:rPr>
              <w:t>F</w:t>
            </w:r>
          </w:p>
        </w:tc>
        <w:tc>
          <w:tcPr>
            <w:tcW w:w="430" w:type="pct"/>
            <w:tcBorders>
              <w:top w:val="nil"/>
              <w:left w:val="nil"/>
              <w:bottom w:val="nil"/>
              <w:right w:val="nil"/>
            </w:tcBorders>
            <w:shd w:val="clear" w:color="CCFFFF" w:fill="DDEBF7"/>
            <w:noWrap/>
            <w:vAlign w:val="bottom"/>
            <w:hideMark/>
          </w:tcPr>
          <w:p w14:paraId="60C4B126" w14:textId="77777777" w:rsidR="00350C1D" w:rsidRPr="004E0937" w:rsidRDefault="00350C1D" w:rsidP="00DB3615">
            <w:pPr>
              <w:spacing w:after="0" w:line="240" w:lineRule="auto"/>
              <w:jc w:val="center"/>
              <w:rPr>
                <w:rFonts w:ascii="Calibri" w:eastAsia="Times New Roman" w:hAnsi="Calibri" w:cs="Calibri"/>
                <w:color w:val="000000"/>
              </w:rPr>
            </w:pPr>
            <w:r w:rsidRPr="004E0937">
              <w:rPr>
                <w:rFonts w:ascii="Calibri" w:eastAsia="Times New Roman" w:hAnsi="Calibri" w:cs="Calibri"/>
                <w:color w:val="000000"/>
              </w:rPr>
              <w:t>EUR</w:t>
            </w:r>
          </w:p>
        </w:tc>
        <w:tc>
          <w:tcPr>
            <w:tcW w:w="458" w:type="pct"/>
            <w:tcBorders>
              <w:top w:val="nil"/>
              <w:left w:val="nil"/>
              <w:bottom w:val="nil"/>
              <w:right w:val="nil"/>
            </w:tcBorders>
            <w:shd w:val="clear" w:color="CCFFFF" w:fill="DDEBF7"/>
            <w:vAlign w:val="bottom"/>
            <w:hideMark/>
          </w:tcPr>
          <w:p w14:paraId="74CCE0BC" w14:textId="77777777" w:rsidR="00350C1D" w:rsidRPr="004E0937" w:rsidRDefault="00350C1D" w:rsidP="00DB3615">
            <w:pPr>
              <w:spacing w:after="0" w:line="240" w:lineRule="auto"/>
              <w:jc w:val="left"/>
              <w:rPr>
                <w:rFonts w:ascii="Calibri" w:eastAsia="Times New Roman" w:hAnsi="Calibri" w:cs="Calibri"/>
                <w:color w:val="000000"/>
              </w:rPr>
            </w:pPr>
            <w:r w:rsidRPr="004E0937">
              <w:rPr>
                <w:rFonts w:ascii="Calibri" w:eastAsia="Times New Roman" w:hAnsi="Calibri" w:cs="Calibri"/>
                <w:color w:val="000000"/>
              </w:rPr>
              <w:t>CNV deletion</w:t>
            </w:r>
          </w:p>
        </w:tc>
        <w:tc>
          <w:tcPr>
            <w:tcW w:w="413" w:type="pct"/>
            <w:tcBorders>
              <w:top w:val="nil"/>
              <w:left w:val="nil"/>
              <w:bottom w:val="nil"/>
              <w:right w:val="nil"/>
            </w:tcBorders>
            <w:shd w:val="clear" w:color="CCFFFF" w:fill="DDEBF7"/>
            <w:vAlign w:val="bottom"/>
            <w:hideMark/>
          </w:tcPr>
          <w:p w14:paraId="72D675A5" w14:textId="77777777" w:rsidR="00350C1D" w:rsidRPr="004E0937" w:rsidRDefault="00350C1D" w:rsidP="00DB3615">
            <w:pPr>
              <w:spacing w:after="0" w:line="240" w:lineRule="auto"/>
              <w:jc w:val="left"/>
              <w:rPr>
                <w:rFonts w:ascii="Calibri" w:eastAsia="Times New Roman" w:hAnsi="Calibri" w:cs="Calibri"/>
                <w:color w:val="000000"/>
              </w:rPr>
            </w:pPr>
            <w:r w:rsidRPr="004E0937">
              <w:rPr>
                <w:rFonts w:ascii="Calibri" w:eastAsia="Times New Roman" w:hAnsi="Calibri" w:cs="Calibri"/>
                <w:color w:val="000000"/>
              </w:rPr>
              <w:t>Missense</w:t>
            </w:r>
          </w:p>
        </w:tc>
        <w:tc>
          <w:tcPr>
            <w:tcW w:w="417" w:type="pct"/>
            <w:tcBorders>
              <w:top w:val="nil"/>
              <w:left w:val="nil"/>
              <w:bottom w:val="nil"/>
              <w:right w:val="nil"/>
            </w:tcBorders>
            <w:shd w:val="clear" w:color="CCFFFF" w:fill="DDEBF7"/>
            <w:noWrap/>
            <w:vAlign w:val="bottom"/>
            <w:hideMark/>
          </w:tcPr>
          <w:p w14:paraId="286C23C5" w14:textId="77777777" w:rsidR="00350C1D" w:rsidRPr="004E0937" w:rsidRDefault="00350C1D" w:rsidP="00DB3615">
            <w:pPr>
              <w:spacing w:after="0" w:line="240" w:lineRule="auto"/>
              <w:jc w:val="center"/>
              <w:rPr>
                <w:rFonts w:ascii="Calibri" w:eastAsia="Times New Roman" w:hAnsi="Calibri" w:cs="Calibri"/>
                <w:color w:val="000000"/>
              </w:rPr>
            </w:pPr>
            <w:r w:rsidRPr="004E0937">
              <w:rPr>
                <w:rFonts w:ascii="Calibri" w:eastAsia="Times New Roman" w:hAnsi="Calibri" w:cs="Calibri"/>
                <w:color w:val="000000"/>
              </w:rPr>
              <w:t> </w:t>
            </w:r>
          </w:p>
        </w:tc>
      </w:tr>
      <w:tr w:rsidR="00350C1D" w:rsidRPr="004E0937" w14:paraId="46DE514F" w14:textId="77777777" w:rsidTr="00350C1D">
        <w:trPr>
          <w:trHeight w:val="290"/>
        </w:trPr>
        <w:tc>
          <w:tcPr>
            <w:tcW w:w="184" w:type="pct"/>
            <w:tcBorders>
              <w:top w:val="nil"/>
              <w:left w:val="nil"/>
              <w:bottom w:val="nil"/>
              <w:right w:val="nil"/>
            </w:tcBorders>
            <w:shd w:val="clear" w:color="FFFF00" w:fill="9BC2E6"/>
            <w:noWrap/>
            <w:vAlign w:val="bottom"/>
            <w:hideMark/>
          </w:tcPr>
          <w:p w14:paraId="6E461FE8" w14:textId="77777777" w:rsidR="00350C1D" w:rsidRPr="004E0937" w:rsidRDefault="00350C1D" w:rsidP="00DB3615">
            <w:pPr>
              <w:spacing w:after="0" w:line="240" w:lineRule="auto"/>
              <w:jc w:val="center"/>
              <w:rPr>
                <w:rFonts w:ascii="Calibri" w:eastAsia="Times New Roman" w:hAnsi="Calibri" w:cs="Calibri"/>
                <w:color w:val="000000"/>
              </w:rPr>
            </w:pPr>
            <w:r w:rsidRPr="004E0937">
              <w:rPr>
                <w:rFonts w:ascii="Calibri" w:eastAsia="Times New Roman" w:hAnsi="Calibri" w:cs="Calibri"/>
                <w:color w:val="000000"/>
              </w:rPr>
              <w:t>4</w:t>
            </w:r>
          </w:p>
        </w:tc>
        <w:tc>
          <w:tcPr>
            <w:tcW w:w="190" w:type="pct"/>
            <w:tcBorders>
              <w:top w:val="nil"/>
              <w:left w:val="nil"/>
              <w:bottom w:val="nil"/>
              <w:right w:val="nil"/>
            </w:tcBorders>
            <w:shd w:val="clear" w:color="FFFF00" w:fill="9BC2E6"/>
            <w:vAlign w:val="bottom"/>
          </w:tcPr>
          <w:p w14:paraId="5C447B1B" w14:textId="51E67A6F" w:rsidR="00350C1D" w:rsidRDefault="00350C1D" w:rsidP="00DB3615">
            <w:pPr>
              <w:spacing w:after="0" w:line="240" w:lineRule="auto"/>
              <w:jc w:val="center"/>
              <w:rPr>
                <w:rFonts w:ascii="Calibri" w:eastAsia="Times New Roman" w:hAnsi="Calibri" w:cs="Calibri"/>
                <w:color w:val="000000"/>
              </w:rPr>
            </w:pPr>
            <w:r>
              <w:rPr>
                <w:rFonts w:ascii="Calibri" w:eastAsia="Times New Roman" w:hAnsi="Calibri" w:cs="Calibri"/>
                <w:color w:val="000000"/>
              </w:rPr>
              <w:t>No</w:t>
            </w:r>
          </w:p>
        </w:tc>
        <w:tc>
          <w:tcPr>
            <w:tcW w:w="498" w:type="pct"/>
            <w:tcBorders>
              <w:top w:val="nil"/>
              <w:left w:val="nil"/>
              <w:bottom w:val="nil"/>
              <w:right w:val="nil"/>
            </w:tcBorders>
            <w:shd w:val="clear" w:color="FFFF00" w:fill="9BC2E6"/>
            <w:noWrap/>
            <w:vAlign w:val="bottom"/>
            <w:hideMark/>
          </w:tcPr>
          <w:p w14:paraId="1342F5F4" w14:textId="36CF8427" w:rsidR="00350C1D" w:rsidRPr="004E0937" w:rsidRDefault="00350C1D" w:rsidP="00DB3615">
            <w:pPr>
              <w:spacing w:after="0" w:line="240" w:lineRule="auto"/>
              <w:jc w:val="center"/>
              <w:rPr>
                <w:rFonts w:ascii="Calibri" w:eastAsia="Times New Roman" w:hAnsi="Calibri" w:cs="Calibri"/>
                <w:color w:val="000000"/>
              </w:rPr>
            </w:pPr>
            <w:r w:rsidRPr="004E0937">
              <w:rPr>
                <w:rFonts w:ascii="Calibri" w:eastAsia="Times New Roman" w:hAnsi="Calibri" w:cs="Calibri"/>
                <w:color w:val="000000"/>
              </w:rPr>
              <w:t>31 to 35</w:t>
            </w:r>
          </w:p>
        </w:tc>
        <w:tc>
          <w:tcPr>
            <w:tcW w:w="374" w:type="pct"/>
            <w:tcBorders>
              <w:top w:val="nil"/>
              <w:left w:val="nil"/>
              <w:bottom w:val="nil"/>
              <w:right w:val="nil"/>
            </w:tcBorders>
            <w:shd w:val="clear" w:color="FFFF00" w:fill="9BC2E6"/>
            <w:noWrap/>
            <w:vAlign w:val="bottom"/>
            <w:hideMark/>
          </w:tcPr>
          <w:p w14:paraId="0AE2500F" w14:textId="77777777" w:rsidR="00350C1D" w:rsidRPr="004E0937" w:rsidRDefault="00350C1D" w:rsidP="00DB3615">
            <w:pPr>
              <w:spacing w:after="0" w:line="240" w:lineRule="auto"/>
              <w:jc w:val="center"/>
              <w:rPr>
                <w:rFonts w:ascii="Calibri" w:eastAsia="Times New Roman" w:hAnsi="Calibri" w:cs="Calibri"/>
                <w:color w:val="000000"/>
              </w:rPr>
            </w:pPr>
            <w:r w:rsidRPr="004E0937">
              <w:rPr>
                <w:rFonts w:ascii="Calibri" w:eastAsia="Times New Roman" w:hAnsi="Calibri" w:cs="Calibri"/>
                <w:color w:val="000000"/>
              </w:rPr>
              <w:t>46 to 50</w:t>
            </w:r>
          </w:p>
        </w:tc>
        <w:tc>
          <w:tcPr>
            <w:tcW w:w="498" w:type="pct"/>
            <w:gridSpan w:val="3"/>
            <w:tcBorders>
              <w:top w:val="nil"/>
              <w:left w:val="nil"/>
              <w:bottom w:val="nil"/>
              <w:right w:val="nil"/>
            </w:tcBorders>
            <w:shd w:val="clear" w:color="FFFF00" w:fill="9BC2E6"/>
            <w:noWrap/>
            <w:vAlign w:val="bottom"/>
            <w:hideMark/>
          </w:tcPr>
          <w:p w14:paraId="27260EB1" w14:textId="77777777" w:rsidR="00350C1D" w:rsidRPr="004E0937" w:rsidRDefault="00350C1D" w:rsidP="00DB3615">
            <w:pPr>
              <w:spacing w:after="0" w:line="240" w:lineRule="auto"/>
              <w:jc w:val="center"/>
              <w:rPr>
                <w:rFonts w:ascii="Calibri" w:eastAsia="Times New Roman" w:hAnsi="Calibri" w:cs="Calibri"/>
                <w:color w:val="000000"/>
              </w:rPr>
            </w:pPr>
            <w:r w:rsidRPr="004E0937">
              <w:rPr>
                <w:rFonts w:ascii="Calibri" w:eastAsia="Times New Roman" w:hAnsi="Calibri" w:cs="Calibri"/>
                <w:color w:val="000000"/>
              </w:rPr>
              <w:t>36 to 40</w:t>
            </w:r>
          </w:p>
        </w:tc>
        <w:tc>
          <w:tcPr>
            <w:tcW w:w="1052" w:type="pct"/>
            <w:gridSpan w:val="2"/>
            <w:tcBorders>
              <w:top w:val="nil"/>
              <w:left w:val="nil"/>
              <w:bottom w:val="nil"/>
              <w:right w:val="nil"/>
            </w:tcBorders>
            <w:shd w:val="clear" w:color="FFFF00" w:fill="9BC2E6"/>
            <w:vAlign w:val="bottom"/>
            <w:hideMark/>
          </w:tcPr>
          <w:p w14:paraId="7A0E5B76" w14:textId="77777777" w:rsidR="00350C1D" w:rsidRPr="004E0937" w:rsidRDefault="00350C1D" w:rsidP="00DB3615">
            <w:pPr>
              <w:spacing w:after="0" w:line="240" w:lineRule="auto"/>
              <w:jc w:val="left"/>
              <w:rPr>
                <w:rFonts w:ascii="Calibri" w:eastAsia="Times New Roman" w:hAnsi="Calibri" w:cs="Calibri"/>
                <w:color w:val="000000"/>
              </w:rPr>
            </w:pPr>
            <w:r w:rsidRPr="004E0937">
              <w:rPr>
                <w:rFonts w:ascii="Calibri" w:eastAsia="Times New Roman" w:hAnsi="Calibri" w:cs="Calibri"/>
                <w:color w:val="000000"/>
              </w:rPr>
              <w:t>Rod-cone dystrophy</w:t>
            </w:r>
          </w:p>
        </w:tc>
        <w:tc>
          <w:tcPr>
            <w:tcW w:w="366" w:type="pct"/>
            <w:tcBorders>
              <w:top w:val="nil"/>
              <w:left w:val="nil"/>
              <w:bottom w:val="nil"/>
              <w:right w:val="nil"/>
            </w:tcBorders>
            <w:shd w:val="clear" w:color="FFFF00" w:fill="9BC2E6"/>
            <w:noWrap/>
            <w:vAlign w:val="bottom"/>
            <w:hideMark/>
          </w:tcPr>
          <w:p w14:paraId="13D7C2CB" w14:textId="77777777" w:rsidR="00350C1D" w:rsidRPr="004E0937" w:rsidRDefault="00350C1D" w:rsidP="00DB3615">
            <w:pPr>
              <w:spacing w:after="0" w:line="240" w:lineRule="auto"/>
              <w:jc w:val="left"/>
              <w:rPr>
                <w:rFonts w:ascii="Calibri" w:eastAsia="Times New Roman" w:hAnsi="Calibri" w:cs="Calibri"/>
                <w:color w:val="000000"/>
              </w:rPr>
            </w:pPr>
            <w:r w:rsidRPr="004E0937">
              <w:rPr>
                <w:rFonts w:ascii="Calibri" w:eastAsia="Times New Roman" w:hAnsi="Calibri" w:cs="Calibri"/>
                <w:color w:val="000000"/>
              </w:rPr>
              <w:t>Proband</w:t>
            </w:r>
          </w:p>
        </w:tc>
        <w:tc>
          <w:tcPr>
            <w:tcW w:w="120" w:type="pct"/>
            <w:tcBorders>
              <w:top w:val="nil"/>
              <w:left w:val="nil"/>
              <w:bottom w:val="nil"/>
              <w:right w:val="nil"/>
            </w:tcBorders>
            <w:shd w:val="clear" w:color="FFFF00" w:fill="9BC2E6"/>
            <w:noWrap/>
            <w:vAlign w:val="bottom"/>
            <w:hideMark/>
          </w:tcPr>
          <w:p w14:paraId="5758A236" w14:textId="77777777" w:rsidR="00350C1D" w:rsidRPr="004E0937" w:rsidRDefault="00350C1D" w:rsidP="00DB3615">
            <w:pPr>
              <w:spacing w:after="0" w:line="240" w:lineRule="auto"/>
              <w:jc w:val="center"/>
              <w:rPr>
                <w:rFonts w:ascii="Calibri" w:eastAsia="Times New Roman" w:hAnsi="Calibri" w:cs="Calibri"/>
                <w:color w:val="000000"/>
              </w:rPr>
            </w:pPr>
            <w:r w:rsidRPr="004E0937">
              <w:rPr>
                <w:rFonts w:ascii="Calibri" w:eastAsia="Times New Roman" w:hAnsi="Calibri" w:cs="Calibri"/>
                <w:color w:val="000000"/>
              </w:rPr>
              <w:t>F</w:t>
            </w:r>
          </w:p>
        </w:tc>
        <w:tc>
          <w:tcPr>
            <w:tcW w:w="430" w:type="pct"/>
            <w:tcBorders>
              <w:top w:val="nil"/>
              <w:left w:val="nil"/>
              <w:bottom w:val="nil"/>
              <w:right w:val="nil"/>
            </w:tcBorders>
            <w:shd w:val="clear" w:color="FFFF00" w:fill="9BC2E6"/>
            <w:noWrap/>
            <w:vAlign w:val="bottom"/>
            <w:hideMark/>
          </w:tcPr>
          <w:p w14:paraId="7E53E1DB" w14:textId="77777777" w:rsidR="00350C1D" w:rsidRPr="004E0937" w:rsidRDefault="00350C1D" w:rsidP="00DB3615">
            <w:pPr>
              <w:spacing w:after="0" w:line="240" w:lineRule="auto"/>
              <w:jc w:val="center"/>
              <w:rPr>
                <w:rFonts w:ascii="Calibri" w:eastAsia="Times New Roman" w:hAnsi="Calibri" w:cs="Calibri"/>
                <w:color w:val="000000"/>
              </w:rPr>
            </w:pPr>
            <w:r w:rsidRPr="004E0937">
              <w:rPr>
                <w:rFonts w:ascii="Calibri" w:eastAsia="Times New Roman" w:hAnsi="Calibri" w:cs="Calibri"/>
                <w:color w:val="000000"/>
              </w:rPr>
              <w:t>EUR</w:t>
            </w:r>
          </w:p>
        </w:tc>
        <w:tc>
          <w:tcPr>
            <w:tcW w:w="458" w:type="pct"/>
            <w:tcBorders>
              <w:top w:val="nil"/>
              <w:left w:val="nil"/>
              <w:bottom w:val="nil"/>
              <w:right w:val="nil"/>
            </w:tcBorders>
            <w:shd w:val="clear" w:color="FFFF00" w:fill="9BC2E6"/>
            <w:vAlign w:val="bottom"/>
            <w:hideMark/>
          </w:tcPr>
          <w:p w14:paraId="730C9281" w14:textId="77777777" w:rsidR="00350C1D" w:rsidRPr="004E0937" w:rsidRDefault="00350C1D" w:rsidP="00DB3615">
            <w:pPr>
              <w:spacing w:after="0" w:line="240" w:lineRule="auto"/>
              <w:jc w:val="left"/>
              <w:rPr>
                <w:rFonts w:ascii="Calibri" w:eastAsia="Times New Roman" w:hAnsi="Calibri" w:cs="Calibri"/>
                <w:color w:val="000000"/>
              </w:rPr>
            </w:pPr>
            <w:r w:rsidRPr="004E0937">
              <w:rPr>
                <w:rFonts w:ascii="Calibri" w:eastAsia="Times New Roman" w:hAnsi="Calibri" w:cs="Calibri"/>
                <w:color w:val="000000"/>
              </w:rPr>
              <w:t>CNV deletion</w:t>
            </w:r>
          </w:p>
        </w:tc>
        <w:tc>
          <w:tcPr>
            <w:tcW w:w="413" w:type="pct"/>
            <w:tcBorders>
              <w:top w:val="nil"/>
              <w:left w:val="nil"/>
              <w:bottom w:val="nil"/>
              <w:right w:val="nil"/>
            </w:tcBorders>
            <w:shd w:val="clear" w:color="FFFF00" w:fill="9BC2E6"/>
            <w:vAlign w:val="bottom"/>
            <w:hideMark/>
          </w:tcPr>
          <w:p w14:paraId="445D5A1F" w14:textId="77777777" w:rsidR="00350C1D" w:rsidRPr="004E0937" w:rsidRDefault="00350C1D" w:rsidP="00DB3615">
            <w:pPr>
              <w:spacing w:after="0" w:line="240" w:lineRule="auto"/>
              <w:jc w:val="left"/>
              <w:rPr>
                <w:rFonts w:ascii="Calibri" w:eastAsia="Times New Roman" w:hAnsi="Calibri" w:cs="Calibri"/>
                <w:color w:val="000000"/>
              </w:rPr>
            </w:pPr>
            <w:r w:rsidRPr="004E0937">
              <w:rPr>
                <w:rFonts w:ascii="Calibri" w:eastAsia="Times New Roman" w:hAnsi="Calibri" w:cs="Calibri"/>
                <w:color w:val="000000"/>
              </w:rPr>
              <w:t>Missense</w:t>
            </w:r>
          </w:p>
        </w:tc>
        <w:tc>
          <w:tcPr>
            <w:tcW w:w="417" w:type="pct"/>
            <w:tcBorders>
              <w:top w:val="nil"/>
              <w:left w:val="nil"/>
              <w:bottom w:val="nil"/>
              <w:right w:val="nil"/>
            </w:tcBorders>
            <w:shd w:val="clear" w:color="FFFF00" w:fill="9BC2E6"/>
            <w:noWrap/>
            <w:vAlign w:val="bottom"/>
            <w:hideMark/>
          </w:tcPr>
          <w:p w14:paraId="4C572975" w14:textId="77777777" w:rsidR="00350C1D" w:rsidRPr="001064BB" w:rsidRDefault="00350C1D" w:rsidP="00DB3615">
            <w:pPr>
              <w:spacing w:after="0" w:line="240" w:lineRule="auto"/>
              <w:jc w:val="center"/>
              <w:rPr>
                <w:rFonts w:ascii="Calibri" w:eastAsia="Times New Roman" w:hAnsi="Calibri" w:cs="Calibri"/>
                <w:i/>
                <w:iCs/>
                <w:color w:val="000000"/>
              </w:rPr>
            </w:pPr>
            <w:r w:rsidRPr="001064BB">
              <w:rPr>
                <w:rFonts w:ascii="Calibri" w:eastAsia="Times New Roman" w:hAnsi="Calibri" w:cs="Calibri"/>
                <w:i/>
                <w:iCs/>
                <w:color w:val="000000"/>
              </w:rPr>
              <w:t>NPHP1</w:t>
            </w:r>
          </w:p>
        </w:tc>
      </w:tr>
      <w:tr w:rsidR="00350C1D" w:rsidRPr="004E0937" w14:paraId="0139D16B" w14:textId="77777777" w:rsidTr="00350C1D">
        <w:trPr>
          <w:trHeight w:val="290"/>
        </w:trPr>
        <w:tc>
          <w:tcPr>
            <w:tcW w:w="184" w:type="pct"/>
            <w:tcBorders>
              <w:top w:val="nil"/>
              <w:left w:val="nil"/>
              <w:bottom w:val="nil"/>
              <w:right w:val="nil"/>
            </w:tcBorders>
            <w:shd w:val="clear" w:color="FFFF00" w:fill="9BC2E6"/>
            <w:noWrap/>
            <w:vAlign w:val="bottom"/>
            <w:hideMark/>
          </w:tcPr>
          <w:p w14:paraId="59E21B70" w14:textId="77777777" w:rsidR="00350C1D" w:rsidRPr="004E0937" w:rsidRDefault="00350C1D" w:rsidP="00DB3615">
            <w:pPr>
              <w:spacing w:after="0" w:line="240" w:lineRule="auto"/>
              <w:jc w:val="center"/>
              <w:rPr>
                <w:rFonts w:ascii="Calibri" w:eastAsia="Times New Roman" w:hAnsi="Calibri" w:cs="Calibri"/>
                <w:color w:val="000000"/>
              </w:rPr>
            </w:pPr>
            <w:r w:rsidRPr="004E0937">
              <w:rPr>
                <w:rFonts w:ascii="Calibri" w:eastAsia="Times New Roman" w:hAnsi="Calibri" w:cs="Calibri"/>
                <w:color w:val="000000"/>
              </w:rPr>
              <w:t>5</w:t>
            </w:r>
          </w:p>
        </w:tc>
        <w:tc>
          <w:tcPr>
            <w:tcW w:w="190" w:type="pct"/>
            <w:tcBorders>
              <w:top w:val="nil"/>
              <w:left w:val="nil"/>
              <w:bottom w:val="nil"/>
              <w:right w:val="nil"/>
            </w:tcBorders>
            <w:shd w:val="clear" w:color="FFFF00" w:fill="9BC2E6"/>
            <w:vAlign w:val="bottom"/>
          </w:tcPr>
          <w:p w14:paraId="5F4B81E2" w14:textId="11F3D0DD" w:rsidR="00350C1D" w:rsidRDefault="00350C1D" w:rsidP="00DB3615">
            <w:pPr>
              <w:spacing w:after="0" w:line="240" w:lineRule="auto"/>
              <w:jc w:val="center"/>
              <w:rPr>
                <w:rFonts w:ascii="Calibri" w:eastAsia="Times New Roman" w:hAnsi="Calibri" w:cs="Calibri"/>
                <w:color w:val="000000"/>
              </w:rPr>
            </w:pPr>
            <w:r>
              <w:rPr>
                <w:rFonts w:ascii="Calibri" w:eastAsia="Times New Roman" w:hAnsi="Calibri" w:cs="Calibri"/>
                <w:color w:val="000000"/>
              </w:rPr>
              <w:t>No</w:t>
            </w:r>
          </w:p>
        </w:tc>
        <w:tc>
          <w:tcPr>
            <w:tcW w:w="498" w:type="pct"/>
            <w:tcBorders>
              <w:top w:val="nil"/>
              <w:left w:val="nil"/>
              <w:bottom w:val="nil"/>
              <w:right w:val="nil"/>
            </w:tcBorders>
            <w:shd w:val="clear" w:color="FFFF00" w:fill="9BC2E6"/>
            <w:noWrap/>
            <w:vAlign w:val="bottom"/>
            <w:hideMark/>
          </w:tcPr>
          <w:p w14:paraId="52438C6D" w14:textId="027CB971" w:rsidR="00350C1D" w:rsidRPr="004E0937" w:rsidRDefault="00350C1D" w:rsidP="00DB3615">
            <w:pPr>
              <w:spacing w:after="0" w:line="240" w:lineRule="auto"/>
              <w:jc w:val="center"/>
              <w:rPr>
                <w:rFonts w:ascii="Calibri" w:eastAsia="Times New Roman" w:hAnsi="Calibri" w:cs="Calibri"/>
                <w:color w:val="000000"/>
              </w:rPr>
            </w:pPr>
            <w:r w:rsidRPr="004E0937">
              <w:rPr>
                <w:rFonts w:ascii="Calibri" w:eastAsia="Times New Roman" w:hAnsi="Calibri" w:cs="Calibri"/>
                <w:color w:val="000000"/>
              </w:rPr>
              <w:t>36 to 40</w:t>
            </w:r>
          </w:p>
        </w:tc>
        <w:tc>
          <w:tcPr>
            <w:tcW w:w="374" w:type="pct"/>
            <w:tcBorders>
              <w:top w:val="nil"/>
              <w:left w:val="nil"/>
              <w:bottom w:val="nil"/>
              <w:right w:val="nil"/>
            </w:tcBorders>
            <w:shd w:val="clear" w:color="FFFF00" w:fill="9BC2E6"/>
            <w:noWrap/>
            <w:vAlign w:val="bottom"/>
            <w:hideMark/>
          </w:tcPr>
          <w:p w14:paraId="046F0B4A" w14:textId="77777777" w:rsidR="00350C1D" w:rsidRPr="004E0937" w:rsidRDefault="00350C1D" w:rsidP="00DB3615">
            <w:pPr>
              <w:spacing w:after="0" w:line="240" w:lineRule="auto"/>
              <w:jc w:val="center"/>
              <w:rPr>
                <w:rFonts w:ascii="Calibri" w:eastAsia="Times New Roman" w:hAnsi="Calibri" w:cs="Calibri"/>
                <w:color w:val="000000"/>
              </w:rPr>
            </w:pPr>
            <w:r w:rsidRPr="004E0937">
              <w:rPr>
                <w:rFonts w:ascii="Calibri" w:eastAsia="Times New Roman" w:hAnsi="Calibri" w:cs="Calibri"/>
                <w:color w:val="000000"/>
              </w:rPr>
              <w:t>41 to 45</w:t>
            </w:r>
          </w:p>
        </w:tc>
        <w:tc>
          <w:tcPr>
            <w:tcW w:w="498" w:type="pct"/>
            <w:gridSpan w:val="3"/>
            <w:tcBorders>
              <w:top w:val="nil"/>
              <w:left w:val="nil"/>
              <w:bottom w:val="nil"/>
              <w:right w:val="nil"/>
            </w:tcBorders>
            <w:shd w:val="clear" w:color="FFFF00" w:fill="9BC2E6"/>
            <w:noWrap/>
            <w:vAlign w:val="bottom"/>
            <w:hideMark/>
          </w:tcPr>
          <w:p w14:paraId="3310D99E" w14:textId="77777777" w:rsidR="00350C1D" w:rsidRPr="004E0937" w:rsidRDefault="00350C1D" w:rsidP="00DB3615">
            <w:pPr>
              <w:spacing w:after="0" w:line="240" w:lineRule="auto"/>
              <w:jc w:val="center"/>
              <w:rPr>
                <w:rFonts w:ascii="Calibri" w:eastAsia="Times New Roman" w:hAnsi="Calibri" w:cs="Calibri"/>
                <w:color w:val="000000"/>
              </w:rPr>
            </w:pPr>
            <w:r w:rsidRPr="004E0937">
              <w:rPr>
                <w:rFonts w:ascii="Calibri" w:eastAsia="Times New Roman" w:hAnsi="Calibri" w:cs="Calibri"/>
                <w:color w:val="000000"/>
              </w:rPr>
              <w:t> </w:t>
            </w:r>
          </w:p>
        </w:tc>
        <w:tc>
          <w:tcPr>
            <w:tcW w:w="1052" w:type="pct"/>
            <w:gridSpan w:val="2"/>
            <w:tcBorders>
              <w:top w:val="nil"/>
              <w:left w:val="nil"/>
              <w:bottom w:val="nil"/>
              <w:right w:val="nil"/>
            </w:tcBorders>
            <w:shd w:val="clear" w:color="FFFF00" w:fill="9BC2E6"/>
            <w:vAlign w:val="bottom"/>
            <w:hideMark/>
          </w:tcPr>
          <w:p w14:paraId="28796408" w14:textId="77777777" w:rsidR="00350C1D" w:rsidRPr="004E0937" w:rsidRDefault="00350C1D" w:rsidP="00DB3615">
            <w:pPr>
              <w:spacing w:after="0" w:line="240" w:lineRule="auto"/>
              <w:jc w:val="left"/>
              <w:rPr>
                <w:rFonts w:ascii="Calibri" w:eastAsia="Times New Roman" w:hAnsi="Calibri" w:cs="Calibri"/>
                <w:color w:val="000000"/>
              </w:rPr>
            </w:pPr>
            <w:r w:rsidRPr="004E0937">
              <w:rPr>
                <w:rFonts w:ascii="Calibri" w:eastAsia="Times New Roman" w:hAnsi="Calibri" w:cs="Calibri"/>
                <w:color w:val="000000"/>
              </w:rPr>
              <w:t xml:space="preserve">Rod-cone dystrophy </w:t>
            </w:r>
          </w:p>
        </w:tc>
        <w:tc>
          <w:tcPr>
            <w:tcW w:w="366" w:type="pct"/>
            <w:tcBorders>
              <w:top w:val="nil"/>
              <w:left w:val="nil"/>
              <w:bottom w:val="nil"/>
              <w:right w:val="nil"/>
            </w:tcBorders>
            <w:shd w:val="clear" w:color="FFFF00" w:fill="9BC2E6"/>
            <w:noWrap/>
            <w:vAlign w:val="bottom"/>
            <w:hideMark/>
          </w:tcPr>
          <w:p w14:paraId="53FF5462" w14:textId="77777777" w:rsidR="00350C1D" w:rsidRPr="004E0937" w:rsidRDefault="00350C1D" w:rsidP="00DB3615">
            <w:pPr>
              <w:spacing w:after="0" w:line="240" w:lineRule="auto"/>
              <w:jc w:val="left"/>
              <w:rPr>
                <w:rFonts w:ascii="Calibri" w:eastAsia="Times New Roman" w:hAnsi="Calibri" w:cs="Calibri"/>
                <w:color w:val="000000"/>
              </w:rPr>
            </w:pPr>
            <w:r w:rsidRPr="004E0937">
              <w:rPr>
                <w:rFonts w:ascii="Calibri" w:eastAsia="Times New Roman" w:hAnsi="Calibri" w:cs="Calibri"/>
                <w:color w:val="000000"/>
              </w:rPr>
              <w:t>Relative</w:t>
            </w:r>
          </w:p>
        </w:tc>
        <w:tc>
          <w:tcPr>
            <w:tcW w:w="120" w:type="pct"/>
            <w:tcBorders>
              <w:top w:val="nil"/>
              <w:left w:val="nil"/>
              <w:bottom w:val="nil"/>
              <w:right w:val="nil"/>
            </w:tcBorders>
            <w:shd w:val="clear" w:color="FFFF00" w:fill="9BC2E6"/>
            <w:noWrap/>
            <w:vAlign w:val="bottom"/>
            <w:hideMark/>
          </w:tcPr>
          <w:p w14:paraId="05550667" w14:textId="77777777" w:rsidR="00350C1D" w:rsidRPr="004E0937" w:rsidRDefault="00350C1D" w:rsidP="00DB3615">
            <w:pPr>
              <w:spacing w:after="0" w:line="240" w:lineRule="auto"/>
              <w:jc w:val="center"/>
              <w:rPr>
                <w:rFonts w:ascii="Calibri" w:eastAsia="Times New Roman" w:hAnsi="Calibri" w:cs="Calibri"/>
                <w:color w:val="000000"/>
              </w:rPr>
            </w:pPr>
            <w:r w:rsidRPr="004E0937">
              <w:rPr>
                <w:rFonts w:ascii="Calibri" w:eastAsia="Times New Roman" w:hAnsi="Calibri" w:cs="Calibri"/>
                <w:color w:val="000000"/>
              </w:rPr>
              <w:t>F</w:t>
            </w:r>
          </w:p>
        </w:tc>
        <w:tc>
          <w:tcPr>
            <w:tcW w:w="430" w:type="pct"/>
            <w:tcBorders>
              <w:top w:val="nil"/>
              <w:left w:val="nil"/>
              <w:bottom w:val="nil"/>
              <w:right w:val="nil"/>
            </w:tcBorders>
            <w:shd w:val="clear" w:color="FFFF00" w:fill="9BC2E6"/>
            <w:noWrap/>
            <w:vAlign w:val="bottom"/>
            <w:hideMark/>
          </w:tcPr>
          <w:p w14:paraId="29E345E2" w14:textId="77777777" w:rsidR="00350C1D" w:rsidRPr="004E0937" w:rsidRDefault="00350C1D" w:rsidP="00DB3615">
            <w:pPr>
              <w:spacing w:after="0" w:line="240" w:lineRule="auto"/>
              <w:jc w:val="center"/>
              <w:rPr>
                <w:rFonts w:ascii="Calibri" w:eastAsia="Times New Roman" w:hAnsi="Calibri" w:cs="Calibri"/>
                <w:color w:val="000000"/>
              </w:rPr>
            </w:pPr>
            <w:r w:rsidRPr="004E0937">
              <w:rPr>
                <w:rFonts w:ascii="Calibri" w:eastAsia="Times New Roman" w:hAnsi="Calibri" w:cs="Calibri"/>
                <w:color w:val="000000"/>
              </w:rPr>
              <w:t>EUR</w:t>
            </w:r>
          </w:p>
        </w:tc>
        <w:tc>
          <w:tcPr>
            <w:tcW w:w="458" w:type="pct"/>
            <w:tcBorders>
              <w:top w:val="nil"/>
              <w:left w:val="nil"/>
              <w:bottom w:val="nil"/>
              <w:right w:val="nil"/>
            </w:tcBorders>
            <w:shd w:val="clear" w:color="FFFF00" w:fill="9BC2E6"/>
            <w:vAlign w:val="bottom"/>
            <w:hideMark/>
          </w:tcPr>
          <w:p w14:paraId="0EFCA5E1" w14:textId="77777777" w:rsidR="00350C1D" w:rsidRPr="004E0937" w:rsidRDefault="00350C1D" w:rsidP="00DB3615">
            <w:pPr>
              <w:spacing w:after="0" w:line="240" w:lineRule="auto"/>
              <w:jc w:val="left"/>
              <w:rPr>
                <w:rFonts w:ascii="Calibri" w:eastAsia="Times New Roman" w:hAnsi="Calibri" w:cs="Calibri"/>
                <w:color w:val="000000"/>
              </w:rPr>
            </w:pPr>
            <w:r w:rsidRPr="004E0937">
              <w:rPr>
                <w:rFonts w:ascii="Calibri" w:eastAsia="Times New Roman" w:hAnsi="Calibri" w:cs="Calibri"/>
                <w:color w:val="000000"/>
              </w:rPr>
              <w:t>CNV deletion</w:t>
            </w:r>
          </w:p>
        </w:tc>
        <w:tc>
          <w:tcPr>
            <w:tcW w:w="413" w:type="pct"/>
            <w:tcBorders>
              <w:top w:val="nil"/>
              <w:left w:val="nil"/>
              <w:bottom w:val="nil"/>
              <w:right w:val="nil"/>
            </w:tcBorders>
            <w:shd w:val="clear" w:color="FFFF00" w:fill="9BC2E6"/>
            <w:vAlign w:val="bottom"/>
            <w:hideMark/>
          </w:tcPr>
          <w:p w14:paraId="0D7453C0" w14:textId="77777777" w:rsidR="00350C1D" w:rsidRPr="004E0937" w:rsidRDefault="00350C1D" w:rsidP="00DB3615">
            <w:pPr>
              <w:spacing w:after="0" w:line="240" w:lineRule="auto"/>
              <w:jc w:val="left"/>
              <w:rPr>
                <w:rFonts w:ascii="Calibri" w:eastAsia="Times New Roman" w:hAnsi="Calibri" w:cs="Calibri"/>
                <w:color w:val="000000"/>
              </w:rPr>
            </w:pPr>
            <w:r w:rsidRPr="004E0937">
              <w:rPr>
                <w:rFonts w:ascii="Calibri" w:eastAsia="Times New Roman" w:hAnsi="Calibri" w:cs="Calibri"/>
                <w:color w:val="000000"/>
              </w:rPr>
              <w:t>Missense</w:t>
            </w:r>
          </w:p>
        </w:tc>
        <w:tc>
          <w:tcPr>
            <w:tcW w:w="417" w:type="pct"/>
            <w:tcBorders>
              <w:top w:val="nil"/>
              <w:left w:val="nil"/>
              <w:bottom w:val="nil"/>
              <w:right w:val="nil"/>
            </w:tcBorders>
            <w:shd w:val="clear" w:color="FFFF00" w:fill="9BC2E6"/>
            <w:noWrap/>
            <w:vAlign w:val="bottom"/>
            <w:hideMark/>
          </w:tcPr>
          <w:p w14:paraId="42BDAA44" w14:textId="77777777" w:rsidR="00350C1D" w:rsidRPr="001064BB" w:rsidRDefault="00350C1D" w:rsidP="00DB3615">
            <w:pPr>
              <w:spacing w:after="0" w:line="240" w:lineRule="auto"/>
              <w:jc w:val="center"/>
              <w:rPr>
                <w:rFonts w:ascii="Calibri" w:eastAsia="Times New Roman" w:hAnsi="Calibri" w:cs="Calibri"/>
                <w:i/>
                <w:iCs/>
                <w:color w:val="000000"/>
              </w:rPr>
            </w:pPr>
            <w:r w:rsidRPr="001064BB">
              <w:rPr>
                <w:rFonts w:ascii="Calibri" w:eastAsia="Times New Roman" w:hAnsi="Calibri" w:cs="Calibri"/>
                <w:i/>
                <w:iCs/>
                <w:color w:val="000000"/>
              </w:rPr>
              <w:t>NPHP1</w:t>
            </w:r>
          </w:p>
        </w:tc>
      </w:tr>
      <w:tr w:rsidR="00350C1D" w:rsidRPr="004E0937" w14:paraId="4CD716C5" w14:textId="77777777" w:rsidTr="00350C1D">
        <w:trPr>
          <w:trHeight w:val="290"/>
        </w:trPr>
        <w:tc>
          <w:tcPr>
            <w:tcW w:w="184" w:type="pct"/>
            <w:tcBorders>
              <w:top w:val="nil"/>
              <w:left w:val="nil"/>
              <w:bottom w:val="nil"/>
              <w:right w:val="nil"/>
            </w:tcBorders>
            <w:shd w:val="clear" w:color="CCFFFF" w:fill="DEEBF7"/>
            <w:noWrap/>
            <w:vAlign w:val="bottom"/>
            <w:hideMark/>
          </w:tcPr>
          <w:p w14:paraId="222399C4" w14:textId="77777777" w:rsidR="00350C1D" w:rsidRPr="004E0937" w:rsidRDefault="00350C1D" w:rsidP="00DB3615">
            <w:pPr>
              <w:spacing w:after="0" w:line="240" w:lineRule="auto"/>
              <w:jc w:val="center"/>
              <w:rPr>
                <w:rFonts w:ascii="Calibri" w:eastAsia="Times New Roman" w:hAnsi="Calibri" w:cs="Calibri"/>
                <w:color w:val="000000"/>
              </w:rPr>
            </w:pPr>
            <w:r w:rsidRPr="004E0937">
              <w:rPr>
                <w:rFonts w:ascii="Calibri" w:eastAsia="Times New Roman" w:hAnsi="Calibri" w:cs="Calibri"/>
                <w:color w:val="000000"/>
              </w:rPr>
              <w:t>6</w:t>
            </w:r>
          </w:p>
        </w:tc>
        <w:tc>
          <w:tcPr>
            <w:tcW w:w="190" w:type="pct"/>
            <w:tcBorders>
              <w:top w:val="nil"/>
              <w:left w:val="nil"/>
              <w:bottom w:val="nil"/>
              <w:right w:val="nil"/>
            </w:tcBorders>
            <w:shd w:val="clear" w:color="CCFFFF" w:fill="DEEBF7"/>
            <w:vAlign w:val="bottom"/>
          </w:tcPr>
          <w:p w14:paraId="4A450EED" w14:textId="51A06E46" w:rsidR="00350C1D" w:rsidRDefault="00350C1D" w:rsidP="00DB3615">
            <w:pPr>
              <w:spacing w:after="0" w:line="240" w:lineRule="auto"/>
              <w:jc w:val="center"/>
              <w:rPr>
                <w:rFonts w:ascii="Calibri" w:eastAsia="Times New Roman" w:hAnsi="Calibri" w:cs="Calibri"/>
                <w:color w:val="000000"/>
              </w:rPr>
            </w:pPr>
            <w:r>
              <w:rPr>
                <w:rFonts w:ascii="Calibri" w:eastAsia="Times New Roman" w:hAnsi="Calibri" w:cs="Calibri"/>
                <w:color w:val="000000"/>
              </w:rPr>
              <w:t>Yes</w:t>
            </w:r>
          </w:p>
        </w:tc>
        <w:tc>
          <w:tcPr>
            <w:tcW w:w="498" w:type="pct"/>
            <w:tcBorders>
              <w:top w:val="nil"/>
              <w:left w:val="nil"/>
              <w:bottom w:val="nil"/>
              <w:right w:val="nil"/>
            </w:tcBorders>
            <w:shd w:val="clear" w:color="CCFFFF" w:fill="DEEBF7"/>
            <w:noWrap/>
            <w:vAlign w:val="bottom"/>
            <w:hideMark/>
          </w:tcPr>
          <w:p w14:paraId="4ACEA7E8" w14:textId="56ABD8EE" w:rsidR="00350C1D" w:rsidRPr="004E0937" w:rsidRDefault="00350C1D" w:rsidP="00DB3615">
            <w:pPr>
              <w:spacing w:after="0" w:line="240" w:lineRule="auto"/>
              <w:jc w:val="center"/>
              <w:rPr>
                <w:rFonts w:ascii="Calibri" w:eastAsia="Times New Roman" w:hAnsi="Calibri" w:cs="Calibri"/>
                <w:color w:val="000000"/>
              </w:rPr>
            </w:pPr>
            <w:r w:rsidRPr="004E0937">
              <w:rPr>
                <w:rFonts w:ascii="Calibri" w:eastAsia="Times New Roman" w:hAnsi="Calibri" w:cs="Calibri"/>
                <w:color w:val="000000"/>
              </w:rPr>
              <w:t> </w:t>
            </w:r>
          </w:p>
        </w:tc>
        <w:tc>
          <w:tcPr>
            <w:tcW w:w="374" w:type="pct"/>
            <w:tcBorders>
              <w:top w:val="nil"/>
              <w:left w:val="nil"/>
              <w:bottom w:val="nil"/>
              <w:right w:val="nil"/>
            </w:tcBorders>
            <w:shd w:val="clear" w:color="CCFFFF" w:fill="DEEBF7"/>
            <w:noWrap/>
            <w:vAlign w:val="bottom"/>
            <w:hideMark/>
          </w:tcPr>
          <w:p w14:paraId="750C3AFE" w14:textId="77777777" w:rsidR="00350C1D" w:rsidRPr="004E0937" w:rsidRDefault="00350C1D" w:rsidP="00DB3615">
            <w:pPr>
              <w:spacing w:after="0" w:line="240" w:lineRule="auto"/>
              <w:jc w:val="center"/>
              <w:rPr>
                <w:rFonts w:ascii="Calibri" w:eastAsia="Times New Roman" w:hAnsi="Calibri" w:cs="Calibri"/>
                <w:color w:val="000000"/>
              </w:rPr>
            </w:pPr>
            <w:r w:rsidRPr="004E0937">
              <w:rPr>
                <w:rFonts w:ascii="Calibri" w:eastAsia="Times New Roman" w:hAnsi="Calibri" w:cs="Calibri"/>
                <w:color w:val="000000"/>
              </w:rPr>
              <w:t> </w:t>
            </w:r>
          </w:p>
        </w:tc>
        <w:tc>
          <w:tcPr>
            <w:tcW w:w="498" w:type="pct"/>
            <w:gridSpan w:val="3"/>
            <w:tcBorders>
              <w:top w:val="nil"/>
              <w:left w:val="nil"/>
              <w:bottom w:val="nil"/>
              <w:right w:val="nil"/>
            </w:tcBorders>
            <w:shd w:val="clear" w:color="CCFFFF" w:fill="DEEBF7"/>
            <w:noWrap/>
            <w:vAlign w:val="bottom"/>
            <w:hideMark/>
          </w:tcPr>
          <w:p w14:paraId="71402459" w14:textId="77777777" w:rsidR="00350C1D" w:rsidRPr="004E0937" w:rsidRDefault="00350C1D" w:rsidP="00DB3615">
            <w:pPr>
              <w:spacing w:after="0" w:line="240" w:lineRule="auto"/>
              <w:jc w:val="center"/>
              <w:rPr>
                <w:rFonts w:ascii="Calibri" w:eastAsia="Times New Roman" w:hAnsi="Calibri" w:cs="Calibri"/>
                <w:color w:val="000000"/>
              </w:rPr>
            </w:pPr>
            <w:r w:rsidRPr="004E0937">
              <w:rPr>
                <w:rFonts w:ascii="Calibri" w:eastAsia="Times New Roman" w:hAnsi="Calibri" w:cs="Calibri"/>
                <w:color w:val="000000"/>
              </w:rPr>
              <w:t> </w:t>
            </w:r>
          </w:p>
        </w:tc>
        <w:tc>
          <w:tcPr>
            <w:tcW w:w="1052" w:type="pct"/>
            <w:gridSpan w:val="2"/>
            <w:tcBorders>
              <w:top w:val="nil"/>
              <w:left w:val="nil"/>
              <w:bottom w:val="nil"/>
              <w:right w:val="nil"/>
            </w:tcBorders>
            <w:shd w:val="clear" w:color="CCFFFF" w:fill="DEEBF7"/>
            <w:vAlign w:val="bottom"/>
            <w:hideMark/>
          </w:tcPr>
          <w:p w14:paraId="44BF50C2" w14:textId="77777777" w:rsidR="00350C1D" w:rsidRPr="004E0937" w:rsidRDefault="00350C1D" w:rsidP="00DB3615">
            <w:pPr>
              <w:spacing w:after="0" w:line="240" w:lineRule="auto"/>
              <w:jc w:val="left"/>
              <w:rPr>
                <w:rFonts w:ascii="Calibri" w:eastAsia="Times New Roman" w:hAnsi="Calibri" w:cs="Calibri"/>
                <w:color w:val="000000"/>
              </w:rPr>
            </w:pPr>
            <w:r w:rsidRPr="004E0937">
              <w:rPr>
                <w:rFonts w:ascii="Calibri" w:eastAsia="Times New Roman" w:hAnsi="Calibri" w:cs="Calibri"/>
                <w:color w:val="000000"/>
              </w:rPr>
              <w:t>NA</w:t>
            </w:r>
          </w:p>
        </w:tc>
        <w:tc>
          <w:tcPr>
            <w:tcW w:w="366" w:type="pct"/>
            <w:tcBorders>
              <w:top w:val="nil"/>
              <w:left w:val="nil"/>
              <w:bottom w:val="nil"/>
              <w:right w:val="nil"/>
            </w:tcBorders>
            <w:shd w:val="clear" w:color="CCFFFF" w:fill="DEEBF7"/>
            <w:noWrap/>
            <w:vAlign w:val="bottom"/>
            <w:hideMark/>
          </w:tcPr>
          <w:p w14:paraId="7A8A0800" w14:textId="77777777" w:rsidR="00350C1D" w:rsidRPr="004E0937" w:rsidRDefault="00350C1D" w:rsidP="00DB3615">
            <w:pPr>
              <w:spacing w:after="0" w:line="240" w:lineRule="auto"/>
              <w:jc w:val="left"/>
              <w:rPr>
                <w:rFonts w:ascii="Calibri" w:eastAsia="Times New Roman" w:hAnsi="Calibri" w:cs="Calibri"/>
                <w:color w:val="000000"/>
              </w:rPr>
            </w:pPr>
            <w:r w:rsidRPr="004E0937">
              <w:rPr>
                <w:rFonts w:ascii="Calibri" w:eastAsia="Times New Roman" w:hAnsi="Calibri" w:cs="Calibri"/>
                <w:color w:val="000000"/>
              </w:rPr>
              <w:t>Cancer</w:t>
            </w:r>
          </w:p>
        </w:tc>
        <w:tc>
          <w:tcPr>
            <w:tcW w:w="120" w:type="pct"/>
            <w:tcBorders>
              <w:top w:val="nil"/>
              <w:left w:val="nil"/>
              <w:bottom w:val="nil"/>
              <w:right w:val="nil"/>
            </w:tcBorders>
            <w:shd w:val="clear" w:color="CCFFFF" w:fill="DEEBF7"/>
            <w:noWrap/>
            <w:vAlign w:val="bottom"/>
            <w:hideMark/>
          </w:tcPr>
          <w:p w14:paraId="1C61ECED" w14:textId="77777777" w:rsidR="00350C1D" w:rsidRPr="004E0937" w:rsidRDefault="00350C1D" w:rsidP="00DB3615">
            <w:pPr>
              <w:spacing w:after="0" w:line="240" w:lineRule="auto"/>
              <w:jc w:val="center"/>
              <w:rPr>
                <w:rFonts w:ascii="Calibri" w:eastAsia="Times New Roman" w:hAnsi="Calibri" w:cs="Calibri"/>
                <w:color w:val="000000"/>
              </w:rPr>
            </w:pPr>
            <w:r w:rsidRPr="004E0937">
              <w:rPr>
                <w:rFonts w:ascii="Calibri" w:eastAsia="Times New Roman" w:hAnsi="Calibri" w:cs="Calibri"/>
                <w:color w:val="000000"/>
              </w:rPr>
              <w:t>F</w:t>
            </w:r>
          </w:p>
        </w:tc>
        <w:tc>
          <w:tcPr>
            <w:tcW w:w="430" w:type="pct"/>
            <w:tcBorders>
              <w:top w:val="nil"/>
              <w:left w:val="nil"/>
              <w:bottom w:val="nil"/>
              <w:right w:val="nil"/>
            </w:tcBorders>
            <w:shd w:val="clear" w:color="CCFFFF" w:fill="DEEBF7"/>
            <w:noWrap/>
            <w:vAlign w:val="bottom"/>
            <w:hideMark/>
          </w:tcPr>
          <w:p w14:paraId="73CAFC90" w14:textId="77777777" w:rsidR="00350C1D" w:rsidRPr="004E0937" w:rsidRDefault="00350C1D" w:rsidP="00DB3615">
            <w:pPr>
              <w:spacing w:after="0" w:line="240" w:lineRule="auto"/>
              <w:jc w:val="center"/>
              <w:rPr>
                <w:rFonts w:ascii="Calibri" w:eastAsia="Times New Roman" w:hAnsi="Calibri" w:cs="Calibri"/>
                <w:color w:val="000000"/>
              </w:rPr>
            </w:pPr>
            <w:r w:rsidRPr="004E0937">
              <w:rPr>
                <w:rFonts w:ascii="Calibri" w:eastAsia="Times New Roman" w:hAnsi="Calibri" w:cs="Calibri"/>
                <w:color w:val="000000"/>
              </w:rPr>
              <w:t>EUR</w:t>
            </w:r>
          </w:p>
        </w:tc>
        <w:tc>
          <w:tcPr>
            <w:tcW w:w="458" w:type="pct"/>
            <w:tcBorders>
              <w:top w:val="nil"/>
              <w:left w:val="nil"/>
              <w:bottom w:val="nil"/>
              <w:right w:val="nil"/>
            </w:tcBorders>
            <w:shd w:val="clear" w:color="CCFFFF" w:fill="DDEBF7"/>
            <w:vAlign w:val="bottom"/>
            <w:hideMark/>
          </w:tcPr>
          <w:p w14:paraId="4D48108E" w14:textId="77777777" w:rsidR="00350C1D" w:rsidRPr="004E0937" w:rsidRDefault="00350C1D" w:rsidP="00DB3615">
            <w:pPr>
              <w:spacing w:after="0" w:line="240" w:lineRule="auto"/>
              <w:jc w:val="left"/>
              <w:rPr>
                <w:rFonts w:ascii="Calibri" w:eastAsia="Times New Roman" w:hAnsi="Calibri" w:cs="Calibri"/>
                <w:color w:val="000000"/>
              </w:rPr>
            </w:pPr>
            <w:r w:rsidRPr="004E0937">
              <w:rPr>
                <w:rFonts w:ascii="Calibri" w:eastAsia="Times New Roman" w:hAnsi="Calibri" w:cs="Calibri"/>
                <w:color w:val="000000"/>
              </w:rPr>
              <w:t>CNV deletion</w:t>
            </w:r>
          </w:p>
        </w:tc>
        <w:tc>
          <w:tcPr>
            <w:tcW w:w="413" w:type="pct"/>
            <w:tcBorders>
              <w:top w:val="nil"/>
              <w:left w:val="nil"/>
              <w:bottom w:val="nil"/>
              <w:right w:val="nil"/>
            </w:tcBorders>
            <w:shd w:val="clear" w:color="CCFFFF" w:fill="DDEBF7"/>
            <w:vAlign w:val="bottom"/>
            <w:hideMark/>
          </w:tcPr>
          <w:p w14:paraId="60AFF552" w14:textId="77777777" w:rsidR="00350C1D" w:rsidRPr="004E0937" w:rsidRDefault="00350C1D" w:rsidP="00DB3615">
            <w:pPr>
              <w:spacing w:after="0" w:line="240" w:lineRule="auto"/>
              <w:jc w:val="left"/>
              <w:rPr>
                <w:rFonts w:ascii="Calibri" w:eastAsia="Times New Roman" w:hAnsi="Calibri" w:cs="Calibri"/>
                <w:color w:val="000000"/>
              </w:rPr>
            </w:pPr>
            <w:r w:rsidRPr="004E0937">
              <w:rPr>
                <w:rFonts w:ascii="Calibri" w:eastAsia="Times New Roman" w:hAnsi="Calibri" w:cs="Calibri"/>
                <w:color w:val="000000"/>
              </w:rPr>
              <w:t>Missense</w:t>
            </w:r>
          </w:p>
        </w:tc>
        <w:tc>
          <w:tcPr>
            <w:tcW w:w="417" w:type="pct"/>
            <w:tcBorders>
              <w:top w:val="nil"/>
              <w:left w:val="nil"/>
              <w:bottom w:val="nil"/>
              <w:right w:val="nil"/>
            </w:tcBorders>
            <w:shd w:val="clear" w:color="CCFFFF" w:fill="DEEBF7"/>
            <w:noWrap/>
            <w:vAlign w:val="bottom"/>
            <w:hideMark/>
          </w:tcPr>
          <w:p w14:paraId="59632D8B" w14:textId="77777777" w:rsidR="00350C1D" w:rsidRPr="004E0937" w:rsidRDefault="00350C1D" w:rsidP="00DB3615">
            <w:pPr>
              <w:spacing w:after="0" w:line="240" w:lineRule="auto"/>
              <w:jc w:val="center"/>
              <w:rPr>
                <w:rFonts w:ascii="Calibri" w:eastAsia="Times New Roman" w:hAnsi="Calibri" w:cs="Calibri"/>
                <w:color w:val="000000"/>
              </w:rPr>
            </w:pPr>
            <w:r w:rsidRPr="004E0937">
              <w:rPr>
                <w:rFonts w:ascii="Calibri" w:eastAsia="Times New Roman" w:hAnsi="Calibri" w:cs="Calibri"/>
                <w:color w:val="000000"/>
              </w:rPr>
              <w:t> </w:t>
            </w:r>
          </w:p>
        </w:tc>
      </w:tr>
      <w:tr w:rsidR="00350C1D" w:rsidRPr="004E0937" w14:paraId="5FA1F22B" w14:textId="77777777" w:rsidTr="00350C1D">
        <w:trPr>
          <w:trHeight w:val="290"/>
        </w:trPr>
        <w:tc>
          <w:tcPr>
            <w:tcW w:w="184" w:type="pct"/>
            <w:tcBorders>
              <w:top w:val="nil"/>
              <w:left w:val="nil"/>
              <w:bottom w:val="nil"/>
              <w:right w:val="nil"/>
            </w:tcBorders>
            <w:shd w:val="clear" w:color="FFFF00" w:fill="9BC2E6"/>
            <w:noWrap/>
            <w:vAlign w:val="bottom"/>
            <w:hideMark/>
          </w:tcPr>
          <w:p w14:paraId="72916545" w14:textId="77777777" w:rsidR="00350C1D" w:rsidRPr="004E0937" w:rsidRDefault="00350C1D" w:rsidP="00DB3615">
            <w:pPr>
              <w:spacing w:after="0" w:line="240" w:lineRule="auto"/>
              <w:jc w:val="center"/>
              <w:rPr>
                <w:rFonts w:ascii="Calibri" w:eastAsia="Times New Roman" w:hAnsi="Calibri" w:cs="Calibri"/>
                <w:color w:val="000000"/>
              </w:rPr>
            </w:pPr>
            <w:r w:rsidRPr="004E0937">
              <w:rPr>
                <w:rFonts w:ascii="Calibri" w:eastAsia="Times New Roman" w:hAnsi="Calibri" w:cs="Calibri"/>
                <w:color w:val="000000"/>
              </w:rPr>
              <w:t>7</w:t>
            </w:r>
          </w:p>
        </w:tc>
        <w:tc>
          <w:tcPr>
            <w:tcW w:w="190" w:type="pct"/>
            <w:tcBorders>
              <w:top w:val="nil"/>
              <w:left w:val="nil"/>
              <w:bottom w:val="nil"/>
              <w:right w:val="nil"/>
            </w:tcBorders>
            <w:shd w:val="clear" w:color="FFFF00" w:fill="9BC2E6"/>
            <w:vAlign w:val="bottom"/>
          </w:tcPr>
          <w:p w14:paraId="0CB178C4" w14:textId="12B351EB" w:rsidR="00350C1D" w:rsidRDefault="00350C1D" w:rsidP="00DB3615">
            <w:pPr>
              <w:spacing w:after="0" w:line="240" w:lineRule="auto"/>
              <w:jc w:val="center"/>
              <w:rPr>
                <w:rFonts w:ascii="Calibri" w:eastAsia="Times New Roman" w:hAnsi="Calibri" w:cs="Calibri"/>
                <w:color w:val="000000"/>
              </w:rPr>
            </w:pPr>
            <w:r>
              <w:rPr>
                <w:rFonts w:ascii="Calibri" w:eastAsia="Times New Roman" w:hAnsi="Calibri" w:cs="Calibri"/>
                <w:color w:val="000000"/>
              </w:rPr>
              <w:t>No</w:t>
            </w:r>
          </w:p>
        </w:tc>
        <w:tc>
          <w:tcPr>
            <w:tcW w:w="498" w:type="pct"/>
            <w:tcBorders>
              <w:top w:val="nil"/>
              <w:left w:val="nil"/>
              <w:bottom w:val="nil"/>
              <w:right w:val="nil"/>
            </w:tcBorders>
            <w:shd w:val="clear" w:color="FFFF00" w:fill="9BC2E6"/>
            <w:noWrap/>
            <w:vAlign w:val="bottom"/>
            <w:hideMark/>
          </w:tcPr>
          <w:p w14:paraId="4EE702E0" w14:textId="68056979" w:rsidR="00350C1D" w:rsidRPr="004E0937" w:rsidRDefault="00350C1D" w:rsidP="00DB3615">
            <w:pPr>
              <w:spacing w:after="0" w:line="240" w:lineRule="auto"/>
              <w:jc w:val="center"/>
              <w:rPr>
                <w:rFonts w:ascii="Calibri" w:eastAsia="Times New Roman" w:hAnsi="Calibri" w:cs="Calibri"/>
                <w:color w:val="000000"/>
              </w:rPr>
            </w:pPr>
            <w:r w:rsidRPr="004E0937">
              <w:rPr>
                <w:rFonts w:ascii="Calibri" w:eastAsia="Times New Roman" w:hAnsi="Calibri" w:cs="Calibri"/>
                <w:color w:val="000000"/>
              </w:rPr>
              <w:t> </w:t>
            </w:r>
          </w:p>
        </w:tc>
        <w:tc>
          <w:tcPr>
            <w:tcW w:w="374" w:type="pct"/>
            <w:tcBorders>
              <w:top w:val="nil"/>
              <w:left w:val="nil"/>
              <w:bottom w:val="nil"/>
              <w:right w:val="nil"/>
            </w:tcBorders>
            <w:shd w:val="clear" w:color="FFFF00" w:fill="9BC2E6"/>
            <w:noWrap/>
            <w:vAlign w:val="bottom"/>
            <w:hideMark/>
          </w:tcPr>
          <w:p w14:paraId="0F661A21" w14:textId="77777777" w:rsidR="00350C1D" w:rsidRPr="004E0937" w:rsidRDefault="00350C1D" w:rsidP="00DB3615">
            <w:pPr>
              <w:spacing w:after="0" w:line="240" w:lineRule="auto"/>
              <w:jc w:val="center"/>
              <w:rPr>
                <w:rFonts w:ascii="Calibri" w:eastAsia="Times New Roman" w:hAnsi="Calibri" w:cs="Calibri"/>
                <w:color w:val="000000"/>
              </w:rPr>
            </w:pPr>
            <w:r w:rsidRPr="004E0937">
              <w:rPr>
                <w:rFonts w:ascii="Calibri" w:eastAsia="Times New Roman" w:hAnsi="Calibri" w:cs="Calibri"/>
                <w:color w:val="000000"/>
              </w:rPr>
              <w:t>56 to 60</w:t>
            </w:r>
          </w:p>
        </w:tc>
        <w:tc>
          <w:tcPr>
            <w:tcW w:w="498" w:type="pct"/>
            <w:gridSpan w:val="3"/>
            <w:tcBorders>
              <w:top w:val="nil"/>
              <w:left w:val="nil"/>
              <w:bottom w:val="nil"/>
              <w:right w:val="nil"/>
            </w:tcBorders>
            <w:shd w:val="clear" w:color="FFFF00" w:fill="9BC2E6"/>
            <w:noWrap/>
            <w:vAlign w:val="bottom"/>
            <w:hideMark/>
          </w:tcPr>
          <w:p w14:paraId="5B0513CB" w14:textId="77777777" w:rsidR="00350C1D" w:rsidRPr="004E0937" w:rsidRDefault="00350C1D" w:rsidP="00DB3615">
            <w:pPr>
              <w:spacing w:after="0" w:line="240" w:lineRule="auto"/>
              <w:jc w:val="center"/>
              <w:rPr>
                <w:rFonts w:ascii="Calibri" w:eastAsia="Times New Roman" w:hAnsi="Calibri" w:cs="Calibri"/>
                <w:color w:val="000000"/>
              </w:rPr>
            </w:pPr>
            <w:r w:rsidRPr="004E0937">
              <w:rPr>
                <w:rFonts w:ascii="Calibri" w:eastAsia="Times New Roman" w:hAnsi="Calibri" w:cs="Calibri"/>
                <w:color w:val="000000"/>
              </w:rPr>
              <w:t> </w:t>
            </w:r>
          </w:p>
        </w:tc>
        <w:tc>
          <w:tcPr>
            <w:tcW w:w="1052" w:type="pct"/>
            <w:gridSpan w:val="2"/>
            <w:tcBorders>
              <w:top w:val="nil"/>
              <w:left w:val="nil"/>
              <w:bottom w:val="nil"/>
              <w:right w:val="nil"/>
            </w:tcBorders>
            <w:shd w:val="clear" w:color="FFFF00" w:fill="9BC2E6"/>
            <w:vAlign w:val="bottom"/>
            <w:hideMark/>
          </w:tcPr>
          <w:p w14:paraId="6CD5283D" w14:textId="77777777" w:rsidR="00350C1D" w:rsidRPr="004E0937" w:rsidRDefault="00350C1D" w:rsidP="00DB3615">
            <w:pPr>
              <w:spacing w:after="0" w:line="240" w:lineRule="auto"/>
              <w:jc w:val="left"/>
              <w:rPr>
                <w:rFonts w:ascii="Calibri" w:eastAsia="Times New Roman" w:hAnsi="Calibri" w:cs="Calibri"/>
                <w:color w:val="000000"/>
              </w:rPr>
            </w:pPr>
            <w:r w:rsidRPr="004E0937">
              <w:rPr>
                <w:rFonts w:ascii="Calibri" w:eastAsia="Times New Roman" w:hAnsi="Calibri" w:cs="Calibri"/>
                <w:color w:val="000000"/>
              </w:rPr>
              <w:t>Rod-cone dystrophy</w:t>
            </w:r>
          </w:p>
        </w:tc>
        <w:tc>
          <w:tcPr>
            <w:tcW w:w="366" w:type="pct"/>
            <w:tcBorders>
              <w:top w:val="nil"/>
              <w:left w:val="nil"/>
              <w:bottom w:val="nil"/>
              <w:right w:val="nil"/>
            </w:tcBorders>
            <w:shd w:val="clear" w:color="FFFF00" w:fill="9BC2E6"/>
            <w:noWrap/>
            <w:vAlign w:val="bottom"/>
            <w:hideMark/>
          </w:tcPr>
          <w:p w14:paraId="48758FAA" w14:textId="77777777" w:rsidR="00350C1D" w:rsidRPr="004E0937" w:rsidRDefault="00350C1D" w:rsidP="00DB3615">
            <w:pPr>
              <w:spacing w:after="0" w:line="240" w:lineRule="auto"/>
              <w:jc w:val="left"/>
              <w:rPr>
                <w:rFonts w:ascii="Calibri" w:eastAsia="Times New Roman" w:hAnsi="Calibri" w:cs="Calibri"/>
                <w:color w:val="000000"/>
              </w:rPr>
            </w:pPr>
            <w:r w:rsidRPr="004E0937">
              <w:rPr>
                <w:rFonts w:ascii="Calibri" w:eastAsia="Times New Roman" w:hAnsi="Calibri" w:cs="Calibri"/>
                <w:color w:val="000000"/>
              </w:rPr>
              <w:t>Proband</w:t>
            </w:r>
          </w:p>
        </w:tc>
        <w:tc>
          <w:tcPr>
            <w:tcW w:w="120" w:type="pct"/>
            <w:tcBorders>
              <w:top w:val="nil"/>
              <w:left w:val="nil"/>
              <w:bottom w:val="nil"/>
              <w:right w:val="nil"/>
            </w:tcBorders>
            <w:shd w:val="clear" w:color="FFFF00" w:fill="9BC2E6"/>
            <w:noWrap/>
            <w:vAlign w:val="bottom"/>
            <w:hideMark/>
          </w:tcPr>
          <w:p w14:paraId="61154EFD" w14:textId="77777777" w:rsidR="00350C1D" w:rsidRPr="004E0937" w:rsidRDefault="00350C1D" w:rsidP="00DB3615">
            <w:pPr>
              <w:spacing w:after="0" w:line="240" w:lineRule="auto"/>
              <w:jc w:val="center"/>
              <w:rPr>
                <w:rFonts w:ascii="Calibri" w:eastAsia="Times New Roman" w:hAnsi="Calibri" w:cs="Calibri"/>
                <w:color w:val="000000"/>
              </w:rPr>
            </w:pPr>
            <w:r w:rsidRPr="004E0937">
              <w:rPr>
                <w:rFonts w:ascii="Calibri" w:eastAsia="Times New Roman" w:hAnsi="Calibri" w:cs="Calibri"/>
                <w:color w:val="000000"/>
              </w:rPr>
              <w:t>M</w:t>
            </w:r>
          </w:p>
        </w:tc>
        <w:tc>
          <w:tcPr>
            <w:tcW w:w="430" w:type="pct"/>
            <w:tcBorders>
              <w:top w:val="nil"/>
              <w:left w:val="nil"/>
              <w:bottom w:val="nil"/>
              <w:right w:val="nil"/>
            </w:tcBorders>
            <w:shd w:val="clear" w:color="FFFF00" w:fill="9BC2E6"/>
            <w:noWrap/>
            <w:vAlign w:val="bottom"/>
            <w:hideMark/>
          </w:tcPr>
          <w:p w14:paraId="09841EC6" w14:textId="77777777" w:rsidR="00350C1D" w:rsidRPr="004E0937" w:rsidRDefault="00350C1D" w:rsidP="00DB3615">
            <w:pPr>
              <w:spacing w:after="0" w:line="240" w:lineRule="auto"/>
              <w:jc w:val="center"/>
              <w:rPr>
                <w:rFonts w:ascii="Calibri" w:eastAsia="Times New Roman" w:hAnsi="Calibri" w:cs="Calibri"/>
                <w:color w:val="000000"/>
              </w:rPr>
            </w:pPr>
            <w:r w:rsidRPr="004E0937">
              <w:rPr>
                <w:rFonts w:ascii="Calibri" w:eastAsia="Times New Roman" w:hAnsi="Calibri" w:cs="Calibri"/>
                <w:color w:val="000000"/>
              </w:rPr>
              <w:t>SAS</w:t>
            </w:r>
          </w:p>
        </w:tc>
        <w:tc>
          <w:tcPr>
            <w:tcW w:w="458" w:type="pct"/>
            <w:tcBorders>
              <w:top w:val="nil"/>
              <w:left w:val="nil"/>
              <w:bottom w:val="nil"/>
              <w:right w:val="nil"/>
            </w:tcBorders>
            <w:shd w:val="clear" w:color="FFFF00" w:fill="9BC2E6"/>
            <w:vAlign w:val="bottom"/>
            <w:hideMark/>
          </w:tcPr>
          <w:p w14:paraId="2C9D43C2" w14:textId="77777777" w:rsidR="00350C1D" w:rsidRPr="004E0937" w:rsidRDefault="00350C1D" w:rsidP="00DB3615">
            <w:pPr>
              <w:spacing w:after="0" w:line="240" w:lineRule="auto"/>
              <w:jc w:val="left"/>
              <w:rPr>
                <w:rFonts w:ascii="Calibri" w:eastAsia="Times New Roman" w:hAnsi="Calibri" w:cs="Calibri"/>
                <w:color w:val="000000"/>
              </w:rPr>
            </w:pPr>
            <w:r w:rsidRPr="004E0937">
              <w:rPr>
                <w:rFonts w:ascii="Calibri" w:eastAsia="Times New Roman" w:hAnsi="Calibri" w:cs="Calibri"/>
                <w:color w:val="000000"/>
              </w:rPr>
              <w:t>Compound het Missense*</w:t>
            </w:r>
          </w:p>
        </w:tc>
        <w:tc>
          <w:tcPr>
            <w:tcW w:w="413" w:type="pct"/>
            <w:tcBorders>
              <w:top w:val="nil"/>
              <w:left w:val="nil"/>
              <w:bottom w:val="nil"/>
              <w:right w:val="nil"/>
            </w:tcBorders>
            <w:shd w:val="clear" w:color="FFFF00" w:fill="9BC2E6"/>
            <w:vAlign w:val="bottom"/>
            <w:hideMark/>
          </w:tcPr>
          <w:p w14:paraId="283D3B4D" w14:textId="77777777" w:rsidR="00350C1D" w:rsidRPr="004E0937" w:rsidRDefault="00350C1D" w:rsidP="00DB3615">
            <w:pPr>
              <w:spacing w:after="0" w:line="240" w:lineRule="auto"/>
              <w:jc w:val="left"/>
              <w:rPr>
                <w:rFonts w:ascii="Calibri" w:eastAsia="Times New Roman" w:hAnsi="Calibri" w:cs="Calibri"/>
                <w:color w:val="000000"/>
              </w:rPr>
            </w:pPr>
            <w:r w:rsidRPr="004E0937">
              <w:rPr>
                <w:rFonts w:ascii="Calibri" w:eastAsia="Times New Roman" w:hAnsi="Calibri" w:cs="Calibri"/>
                <w:color w:val="000000"/>
              </w:rPr>
              <w:t>Compound het Missense*</w:t>
            </w:r>
          </w:p>
        </w:tc>
        <w:tc>
          <w:tcPr>
            <w:tcW w:w="417" w:type="pct"/>
            <w:tcBorders>
              <w:top w:val="nil"/>
              <w:left w:val="nil"/>
              <w:bottom w:val="nil"/>
              <w:right w:val="nil"/>
            </w:tcBorders>
            <w:shd w:val="clear" w:color="FFFF00" w:fill="9BC2E6"/>
            <w:noWrap/>
            <w:vAlign w:val="bottom"/>
            <w:hideMark/>
          </w:tcPr>
          <w:p w14:paraId="5018B9EF" w14:textId="77777777" w:rsidR="00350C1D" w:rsidRPr="004E0937" w:rsidRDefault="00350C1D" w:rsidP="00DB3615">
            <w:pPr>
              <w:spacing w:after="0" w:line="240" w:lineRule="auto"/>
              <w:jc w:val="center"/>
              <w:rPr>
                <w:rFonts w:ascii="Calibri" w:eastAsia="Times New Roman" w:hAnsi="Calibri" w:cs="Calibri"/>
                <w:color w:val="000000"/>
              </w:rPr>
            </w:pPr>
            <w:r w:rsidRPr="004E0937">
              <w:rPr>
                <w:rFonts w:ascii="Calibri" w:eastAsia="Times New Roman" w:hAnsi="Calibri" w:cs="Calibri"/>
                <w:color w:val="000000"/>
              </w:rPr>
              <w:t> </w:t>
            </w:r>
          </w:p>
        </w:tc>
      </w:tr>
      <w:tr w:rsidR="00350C1D" w:rsidRPr="004E0937" w14:paraId="75881B4E" w14:textId="77777777" w:rsidTr="00350C1D">
        <w:trPr>
          <w:trHeight w:val="290"/>
        </w:trPr>
        <w:tc>
          <w:tcPr>
            <w:tcW w:w="184" w:type="pct"/>
            <w:tcBorders>
              <w:top w:val="nil"/>
              <w:left w:val="nil"/>
              <w:bottom w:val="nil"/>
              <w:right w:val="nil"/>
            </w:tcBorders>
            <w:shd w:val="clear" w:color="CCFFFF" w:fill="DEEBF7"/>
            <w:noWrap/>
            <w:vAlign w:val="bottom"/>
            <w:hideMark/>
          </w:tcPr>
          <w:p w14:paraId="62D44E7C" w14:textId="77777777" w:rsidR="00350C1D" w:rsidRPr="004E0937" w:rsidRDefault="00350C1D" w:rsidP="00DB3615">
            <w:pPr>
              <w:spacing w:after="0" w:line="240" w:lineRule="auto"/>
              <w:jc w:val="center"/>
              <w:rPr>
                <w:rFonts w:ascii="Calibri" w:eastAsia="Times New Roman" w:hAnsi="Calibri" w:cs="Calibri"/>
                <w:color w:val="000000"/>
              </w:rPr>
            </w:pPr>
            <w:r w:rsidRPr="004E0937">
              <w:rPr>
                <w:rFonts w:ascii="Calibri" w:eastAsia="Times New Roman" w:hAnsi="Calibri" w:cs="Calibri"/>
                <w:color w:val="000000"/>
              </w:rPr>
              <w:t>8</w:t>
            </w:r>
          </w:p>
        </w:tc>
        <w:tc>
          <w:tcPr>
            <w:tcW w:w="190" w:type="pct"/>
            <w:tcBorders>
              <w:top w:val="nil"/>
              <w:left w:val="nil"/>
              <w:bottom w:val="nil"/>
              <w:right w:val="nil"/>
            </w:tcBorders>
            <w:shd w:val="clear" w:color="CCFFFF" w:fill="DEEBF7"/>
            <w:vAlign w:val="bottom"/>
          </w:tcPr>
          <w:p w14:paraId="0B8068B5" w14:textId="77777777" w:rsidR="00350C1D" w:rsidRPr="004E0937" w:rsidRDefault="00350C1D" w:rsidP="00DB3615">
            <w:pPr>
              <w:spacing w:after="0" w:line="240" w:lineRule="auto"/>
              <w:jc w:val="center"/>
              <w:rPr>
                <w:rFonts w:ascii="Calibri" w:eastAsia="Times New Roman" w:hAnsi="Calibri" w:cs="Calibri"/>
                <w:color w:val="000000"/>
              </w:rPr>
            </w:pPr>
          </w:p>
        </w:tc>
        <w:tc>
          <w:tcPr>
            <w:tcW w:w="498" w:type="pct"/>
            <w:tcBorders>
              <w:top w:val="nil"/>
              <w:left w:val="nil"/>
              <w:bottom w:val="nil"/>
              <w:right w:val="nil"/>
            </w:tcBorders>
            <w:shd w:val="clear" w:color="CCFFFF" w:fill="DEEBF7"/>
            <w:noWrap/>
            <w:vAlign w:val="bottom"/>
            <w:hideMark/>
          </w:tcPr>
          <w:p w14:paraId="05D3D659" w14:textId="2B300BC1" w:rsidR="00350C1D" w:rsidRPr="004E0937" w:rsidRDefault="00350C1D" w:rsidP="00DB3615">
            <w:pPr>
              <w:spacing w:after="0" w:line="240" w:lineRule="auto"/>
              <w:jc w:val="center"/>
              <w:rPr>
                <w:rFonts w:ascii="Calibri" w:eastAsia="Times New Roman" w:hAnsi="Calibri" w:cs="Calibri"/>
                <w:color w:val="000000"/>
              </w:rPr>
            </w:pPr>
            <w:r w:rsidRPr="004E0937">
              <w:rPr>
                <w:rFonts w:ascii="Calibri" w:eastAsia="Times New Roman" w:hAnsi="Calibri" w:cs="Calibri"/>
                <w:color w:val="000000"/>
              </w:rPr>
              <w:t> </w:t>
            </w:r>
          </w:p>
        </w:tc>
        <w:tc>
          <w:tcPr>
            <w:tcW w:w="374" w:type="pct"/>
            <w:tcBorders>
              <w:top w:val="nil"/>
              <w:left w:val="nil"/>
              <w:bottom w:val="nil"/>
              <w:right w:val="nil"/>
            </w:tcBorders>
            <w:shd w:val="clear" w:color="CCFFFF" w:fill="DEEBF7"/>
            <w:noWrap/>
            <w:vAlign w:val="bottom"/>
            <w:hideMark/>
          </w:tcPr>
          <w:p w14:paraId="2AD2CC01" w14:textId="77777777" w:rsidR="00350C1D" w:rsidRPr="004E0937" w:rsidRDefault="00350C1D" w:rsidP="00DB3615">
            <w:pPr>
              <w:spacing w:after="0" w:line="240" w:lineRule="auto"/>
              <w:jc w:val="center"/>
              <w:rPr>
                <w:rFonts w:ascii="Calibri" w:eastAsia="Times New Roman" w:hAnsi="Calibri" w:cs="Calibri"/>
                <w:color w:val="000000"/>
              </w:rPr>
            </w:pPr>
            <w:r w:rsidRPr="004E0937">
              <w:rPr>
                <w:rFonts w:ascii="Calibri" w:eastAsia="Times New Roman" w:hAnsi="Calibri" w:cs="Calibri"/>
                <w:color w:val="000000"/>
              </w:rPr>
              <w:t> </w:t>
            </w:r>
          </w:p>
        </w:tc>
        <w:tc>
          <w:tcPr>
            <w:tcW w:w="498" w:type="pct"/>
            <w:gridSpan w:val="3"/>
            <w:tcBorders>
              <w:top w:val="nil"/>
              <w:left w:val="nil"/>
              <w:bottom w:val="nil"/>
              <w:right w:val="nil"/>
            </w:tcBorders>
            <w:shd w:val="clear" w:color="CCFFFF" w:fill="DEEBF7"/>
            <w:noWrap/>
            <w:vAlign w:val="bottom"/>
            <w:hideMark/>
          </w:tcPr>
          <w:p w14:paraId="73E91AA0" w14:textId="77777777" w:rsidR="00350C1D" w:rsidRPr="004E0937" w:rsidRDefault="00350C1D" w:rsidP="00DB3615">
            <w:pPr>
              <w:spacing w:after="0" w:line="240" w:lineRule="auto"/>
              <w:jc w:val="center"/>
              <w:rPr>
                <w:rFonts w:ascii="Calibri" w:eastAsia="Times New Roman" w:hAnsi="Calibri" w:cs="Calibri"/>
                <w:color w:val="000000"/>
              </w:rPr>
            </w:pPr>
            <w:r w:rsidRPr="004E0937">
              <w:rPr>
                <w:rFonts w:ascii="Calibri" w:eastAsia="Times New Roman" w:hAnsi="Calibri" w:cs="Calibri"/>
                <w:color w:val="000000"/>
              </w:rPr>
              <w:t>6 to 10</w:t>
            </w:r>
          </w:p>
        </w:tc>
        <w:tc>
          <w:tcPr>
            <w:tcW w:w="1052" w:type="pct"/>
            <w:gridSpan w:val="2"/>
            <w:tcBorders>
              <w:top w:val="nil"/>
              <w:left w:val="nil"/>
              <w:bottom w:val="nil"/>
              <w:right w:val="nil"/>
            </w:tcBorders>
            <w:shd w:val="clear" w:color="CCFFFF" w:fill="DEEBF7"/>
            <w:vAlign w:val="bottom"/>
            <w:hideMark/>
          </w:tcPr>
          <w:p w14:paraId="50AF6B47" w14:textId="77777777" w:rsidR="00350C1D" w:rsidRPr="004E0937" w:rsidRDefault="00350C1D" w:rsidP="00DB3615">
            <w:pPr>
              <w:spacing w:after="0" w:line="240" w:lineRule="auto"/>
              <w:jc w:val="left"/>
              <w:rPr>
                <w:rFonts w:ascii="Calibri" w:eastAsia="Times New Roman" w:hAnsi="Calibri" w:cs="Calibri"/>
                <w:color w:val="000000"/>
              </w:rPr>
            </w:pPr>
            <w:r w:rsidRPr="004E0937">
              <w:rPr>
                <w:rFonts w:ascii="Calibri" w:eastAsia="Times New Roman" w:hAnsi="Calibri" w:cs="Calibri"/>
                <w:color w:val="000000"/>
              </w:rPr>
              <w:t>Intellectual disability</w:t>
            </w:r>
          </w:p>
        </w:tc>
        <w:tc>
          <w:tcPr>
            <w:tcW w:w="366" w:type="pct"/>
            <w:tcBorders>
              <w:top w:val="nil"/>
              <w:left w:val="nil"/>
              <w:bottom w:val="nil"/>
              <w:right w:val="nil"/>
            </w:tcBorders>
            <w:shd w:val="clear" w:color="CCFFFF" w:fill="DEEBF7"/>
            <w:noWrap/>
            <w:vAlign w:val="bottom"/>
            <w:hideMark/>
          </w:tcPr>
          <w:p w14:paraId="74B36612" w14:textId="77777777" w:rsidR="00350C1D" w:rsidRPr="004E0937" w:rsidRDefault="00350C1D" w:rsidP="00DB3615">
            <w:pPr>
              <w:spacing w:after="0" w:line="240" w:lineRule="auto"/>
              <w:jc w:val="left"/>
              <w:rPr>
                <w:rFonts w:ascii="Calibri" w:eastAsia="Times New Roman" w:hAnsi="Calibri" w:cs="Calibri"/>
                <w:color w:val="000000"/>
              </w:rPr>
            </w:pPr>
            <w:r w:rsidRPr="004E0937">
              <w:rPr>
                <w:rFonts w:ascii="Calibri" w:eastAsia="Times New Roman" w:hAnsi="Calibri" w:cs="Calibri"/>
                <w:color w:val="000000"/>
              </w:rPr>
              <w:t>Proband</w:t>
            </w:r>
          </w:p>
        </w:tc>
        <w:tc>
          <w:tcPr>
            <w:tcW w:w="120" w:type="pct"/>
            <w:tcBorders>
              <w:top w:val="nil"/>
              <w:left w:val="nil"/>
              <w:bottom w:val="nil"/>
              <w:right w:val="nil"/>
            </w:tcBorders>
            <w:shd w:val="clear" w:color="CCFFFF" w:fill="DEEBF7"/>
            <w:noWrap/>
            <w:vAlign w:val="bottom"/>
            <w:hideMark/>
          </w:tcPr>
          <w:p w14:paraId="215FB43B" w14:textId="77777777" w:rsidR="00350C1D" w:rsidRPr="004E0937" w:rsidRDefault="00350C1D" w:rsidP="00DB3615">
            <w:pPr>
              <w:spacing w:after="0" w:line="240" w:lineRule="auto"/>
              <w:jc w:val="center"/>
              <w:rPr>
                <w:rFonts w:ascii="Calibri" w:eastAsia="Times New Roman" w:hAnsi="Calibri" w:cs="Calibri"/>
                <w:color w:val="000000"/>
              </w:rPr>
            </w:pPr>
            <w:r w:rsidRPr="004E0937">
              <w:rPr>
                <w:rFonts w:ascii="Calibri" w:eastAsia="Times New Roman" w:hAnsi="Calibri" w:cs="Calibri"/>
                <w:color w:val="000000"/>
              </w:rPr>
              <w:t>M</w:t>
            </w:r>
          </w:p>
        </w:tc>
        <w:tc>
          <w:tcPr>
            <w:tcW w:w="430" w:type="pct"/>
            <w:tcBorders>
              <w:top w:val="nil"/>
              <w:left w:val="nil"/>
              <w:bottom w:val="nil"/>
              <w:right w:val="nil"/>
            </w:tcBorders>
            <w:shd w:val="clear" w:color="CCFFFF" w:fill="DEEBF7"/>
            <w:noWrap/>
            <w:vAlign w:val="bottom"/>
            <w:hideMark/>
          </w:tcPr>
          <w:p w14:paraId="6F92004A" w14:textId="77777777" w:rsidR="00350C1D" w:rsidRPr="004E0937" w:rsidRDefault="00350C1D" w:rsidP="00DB3615">
            <w:pPr>
              <w:spacing w:after="0" w:line="240" w:lineRule="auto"/>
              <w:jc w:val="center"/>
              <w:rPr>
                <w:rFonts w:ascii="Calibri" w:eastAsia="Times New Roman" w:hAnsi="Calibri" w:cs="Calibri"/>
                <w:color w:val="000000"/>
              </w:rPr>
            </w:pPr>
            <w:r w:rsidRPr="004E0937">
              <w:rPr>
                <w:rFonts w:ascii="Calibri" w:eastAsia="Times New Roman" w:hAnsi="Calibri" w:cs="Calibri"/>
                <w:color w:val="000000"/>
              </w:rPr>
              <w:t>EUR</w:t>
            </w:r>
          </w:p>
        </w:tc>
        <w:tc>
          <w:tcPr>
            <w:tcW w:w="458" w:type="pct"/>
            <w:tcBorders>
              <w:top w:val="nil"/>
              <w:left w:val="nil"/>
              <w:bottom w:val="nil"/>
              <w:right w:val="nil"/>
            </w:tcBorders>
            <w:shd w:val="clear" w:color="CCFFFF" w:fill="DEEBF7"/>
            <w:vAlign w:val="bottom"/>
            <w:hideMark/>
          </w:tcPr>
          <w:p w14:paraId="4F221450" w14:textId="77777777" w:rsidR="00350C1D" w:rsidRPr="004E0937" w:rsidRDefault="00350C1D" w:rsidP="00DB3615">
            <w:pPr>
              <w:spacing w:after="0" w:line="240" w:lineRule="auto"/>
              <w:jc w:val="left"/>
              <w:rPr>
                <w:rFonts w:ascii="Calibri" w:eastAsia="Times New Roman" w:hAnsi="Calibri" w:cs="Calibri"/>
                <w:color w:val="000000"/>
              </w:rPr>
            </w:pPr>
            <w:r w:rsidRPr="004E0937">
              <w:rPr>
                <w:rFonts w:ascii="Calibri" w:eastAsia="Times New Roman" w:hAnsi="Calibri" w:cs="Calibri"/>
                <w:color w:val="000000"/>
              </w:rPr>
              <w:t>Compound het Missense*</w:t>
            </w:r>
          </w:p>
        </w:tc>
        <w:tc>
          <w:tcPr>
            <w:tcW w:w="413" w:type="pct"/>
            <w:tcBorders>
              <w:top w:val="nil"/>
              <w:left w:val="nil"/>
              <w:bottom w:val="nil"/>
              <w:right w:val="nil"/>
            </w:tcBorders>
            <w:shd w:val="clear" w:color="CCFFFF" w:fill="DEEBF7"/>
            <w:vAlign w:val="bottom"/>
            <w:hideMark/>
          </w:tcPr>
          <w:p w14:paraId="69721D99" w14:textId="77777777" w:rsidR="00350C1D" w:rsidRPr="004E0937" w:rsidRDefault="00350C1D" w:rsidP="00DB3615">
            <w:pPr>
              <w:spacing w:after="0" w:line="240" w:lineRule="auto"/>
              <w:jc w:val="left"/>
              <w:rPr>
                <w:rFonts w:ascii="Calibri" w:eastAsia="Times New Roman" w:hAnsi="Calibri" w:cs="Calibri"/>
                <w:color w:val="000000"/>
              </w:rPr>
            </w:pPr>
            <w:r w:rsidRPr="004E0937">
              <w:rPr>
                <w:rFonts w:ascii="Calibri" w:eastAsia="Times New Roman" w:hAnsi="Calibri" w:cs="Calibri"/>
                <w:color w:val="000000"/>
              </w:rPr>
              <w:t>Compound het Missense*</w:t>
            </w:r>
          </w:p>
        </w:tc>
        <w:tc>
          <w:tcPr>
            <w:tcW w:w="417" w:type="pct"/>
            <w:tcBorders>
              <w:top w:val="nil"/>
              <w:left w:val="nil"/>
              <w:bottom w:val="nil"/>
              <w:right w:val="nil"/>
            </w:tcBorders>
            <w:shd w:val="clear" w:color="CCFFFF" w:fill="DEEBF7"/>
            <w:noWrap/>
            <w:vAlign w:val="bottom"/>
            <w:hideMark/>
          </w:tcPr>
          <w:p w14:paraId="59E65CEF" w14:textId="77777777" w:rsidR="00350C1D" w:rsidRPr="004E0937" w:rsidRDefault="00350C1D" w:rsidP="00DB3615">
            <w:pPr>
              <w:spacing w:after="0" w:line="240" w:lineRule="auto"/>
              <w:jc w:val="center"/>
              <w:rPr>
                <w:rFonts w:ascii="Calibri" w:eastAsia="Times New Roman" w:hAnsi="Calibri" w:cs="Calibri"/>
                <w:color w:val="000000"/>
              </w:rPr>
            </w:pPr>
            <w:r w:rsidRPr="004E0937">
              <w:rPr>
                <w:rFonts w:ascii="Calibri" w:eastAsia="Times New Roman" w:hAnsi="Calibri" w:cs="Calibri"/>
                <w:color w:val="000000"/>
              </w:rPr>
              <w:t> </w:t>
            </w:r>
          </w:p>
        </w:tc>
      </w:tr>
      <w:tr w:rsidR="00350C1D" w:rsidRPr="004E0937" w14:paraId="1381F2E0" w14:textId="77777777" w:rsidTr="00350C1D">
        <w:trPr>
          <w:trHeight w:val="290"/>
        </w:trPr>
        <w:tc>
          <w:tcPr>
            <w:tcW w:w="184" w:type="pct"/>
            <w:tcBorders>
              <w:top w:val="nil"/>
              <w:left w:val="nil"/>
              <w:bottom w:val="nil"/>
              <w:right w:val="nil"/>
            </w:tcBorders>
            <w:shd w:val="clear" w:color="auto" w:fill="auto"/>
            <w:noWrap/>
            <w:vAlign w:val="bottom"/>
            <w:hideMark/>
          </w:tcPr>
          <w:p w14:paraId="018C816A" w14:textId="77777777" w:rsidR="00350C1D" w:rsidRPr="004E0937" w:rsidRDefault="00350C1D" w:rsidP="00DB3615">
            <w:pPr>
              <w:spacing w:after="0" w:line="240" w:lineRule="auto"/>
              <w:jc w:val="center"/>
              <w:rPr>
                <w:rFonts w:ascii="Calibri" w:eastAsia="Times New Roman" w:hAnsi="Calibri" w:cs="Calibri"/>
                <w:color w:val="000000"/>
              </w:rPr>
            </w:pPr>
            <w:r w:rsidRPr="004E0937">
              <w:rPr>
                <w:rFonts w:ascii="Calibri" w:eastAsia="Times New Roman" w:hAnsi="Calibri" w:cs="Calibri"/>
                <w:color w:val="000000"/>
              </w:rPr>
              <w:t>9</w:t>
            </w:r>
          </w:p>
        </w:tc>
        <w:tc>
          <w:tcPr>
            <w:tcW w:w="190" w:type="pct"/>
            <w:tcBorders>
              <w:top w:val="nil"/>
              <w:left w:val="nil"/>
              <w:bottom w:val="nil"/>
              <w:right w:val="nil"/>
            </w:tcBorders>
            <w:vAlign w:val="bottom"/>
          </w:tcPr>
          <w:p w14:paraId="5A578AC2" w14:textId="045A59B9" w:rsidR="00350C1D" w:rsidRDefault="00350C1D" w:rsidP="00DB3615">
            <w:pPr>
              <w:spacing w:after="0" w:line="240" w:lineRule="auto"/>
              <w:jc w:val="center"/>
              <w:rPr>
                <w:rFonts w:ascii="Calibri" w:eastAsia="Times New Roman" w:hAnsi="Calibri" w:cs="Calibri"/>
                <w:color w:val="000000"/>
              </w:rPr>
            </w:pPr>
            <w:r>
              <w:rPr>
                <w:rFonts w:ascii="Calibri" w:eastAsia="Times New Roman" w:hAnsi="Calibri" w:cs="Calibri"/>
                <w:color w:val="000000"/>
              </w:rPr>
              <w:t>No</w:t>
            </w:r>
          </w:p>
        </w:tc>
        <w:tc>
          <w:tcPr>
            <w:tcW w:w="498" w:type="pct"/>
            <w:tcBorders>
              <w:top w:val="nil"/>
              <w:left w:val="nil"/>
              <w:bottom w:val="nil"/>
              <w:right w:val="nil"/>
            </w:tcBorders>
            <w:shd w:val="clear" w:color="auto" w:fill="auto"/>
            <w:noWrap/>
            <w:vAlign w:val="bottom"/>
            <w:hideMark/>
          </w:tcPr>
          <w:p w14:paraId="064D7F93" w14:textId="49E01944" w:rsidR="00350C1D" w:rsidRPr="004E0937" w:rsidRDefault="00350C1D" w:rsidP="00DB3615">
            <w:pPr>
              <w:spacing w:after="0" w:line="240" w:lineRule="auto"/>
              <w:jc w:val="center"/>
              <w:rPr>
                <w:rFonts w:ascii="Calibri" w:eastAsia="Times New Roman" w:hAnsi="Calibri" w:cs="Calibri"/>
                <w:color w:val="000000"/>
              </w:rPr>
            </w:pPr>
          </w:p>
        </w:tc>
        <w:tc>
          <w:tcPr>
            <w:tcW w:w="374" w:type="pct"/>
            <w:tcBorders>
              <w:top w:val="nil"/>
              <w:left w:val="nil"/>
              <w:bottom w:val="nil"/>
              <w:right w:val="nil"/>
            </w:tcBorders>
            <w:shd w:val="clear" w:color="auto" w:fill="auto"/>
            <w:noWrap/>
            <w:vAlign w:val="bottom"/>
            <w:hideMark/>
          </w:tcPr>
          <w:p w14:paraId="6623E97E" w14:textId="77777777" w:rsidR="00350C1D" w:rsidRPr="004E0937" w:rsidRDefault="00350C1D" w:rsidP="00DB3615">
            <w:pPr>
              <w:spacing w:after="0" w:line="240" w:lineRule="auto"/>
              <w:jc w:val="center"/>
              <w:rPr>
                <w:rFonts w:ascii="Times New Roman" w:eastAsia="Times New Roman" w:hAnsi="Times New Roman" w:cs="Times New Roman"/>
                <w:sz w:val="20"/>
                <w:szCs w:val="20"/>
              </w:rPr>
            </w:pPr>
          </w:p>
        </w:tc>
        <w:tc>
          <w:tcPr>
            <w:tcW w:w="498" w:type="pct"/>
            <w:gridSpan w:val="3"/>
            <w:tcBorders>
              <w:top w:val="nil"/>
              <w:left w:val="nil"/>
              <w:bottom w:val="nil"/>
              <w:right w:val="nil"/>
            </w:tcBorders>
            <w:shd w:val="clear" w:color="auto" w:fill="auto"/>
            <w:noWrap/>
            <w:vAlign w:val="bottom"/>
            <w:hideMark/>
          </w:tcPr>
          <w:p w14:paraId="0AC169DD" w14:textId="77777777" w:rsidR="00350C1D" w:rsidRPr="004E0937" w:rsidRDefault="00350C1D" w:rsidP="00DB3615">
            <w:pPr>
              <w:spacing w:after="0" w:line="240" w:lineRule="auto"/>
              <w:jc w:val="center"/>
              <w:rPr>
                <w:rFonts w:ascii="Times New Roman" w:eastAsia="Times New Roman" w:hAnsi="Times New Roman" w:cs="Times New Roman"/>
                <w:sz w:val="20"/>
                <w:szCs w:val="20"/>
              </w:rPr>
            </w:pPr>
          </w:p>
        </w:tc>
        <w:tc>
          <w:tcPr>
            <w:tcW w:w="1052" w:type="pct"/>
            <w:gridSpan w:val="2"/>
            <w:tcBorders>
              <w:top w:val="nil"/>
              <w:left w:val="nil"/>
              <w:bottom w:val="nil"/>
              <w:right w:val="nil"/>
            </w:tcBorders>
            <w:shd w:val="clear" w:color="auto" w:fill="auto"/>
            <w:vAlign w:val="bottom"/>
            <w:hideMark/>
          </w:tcPr>
          <w:p w14:paraId="39070AC4" w14:textId="77777777" w:rsidR="00350C1D" w:rsidRPr="004E0937" w:rsidRDefault="00350C1D" w:rsidP="00DB3615">
            <w:pPr>
              <w:spacing w:after="0" w:line="240" w:lineRule="auto"/>
              <w:jc w:val="left"/>
              <w:rPr>
                <w:rFonts w:ascii="Calibri" w:eastAsia="Times New Roman" w:hAnsi="Calibri" w:cs="Calibri"/>
                <w:color w:val="000000"/>
              </w:rPr>
            </w:pPr>
            <w:r w:rsidRPr="004E0937">
              <w:rPr>
                <w:rFonts w:ascii="Calibri" w:eastAsia="Times New Roman" w:hAnsi="Calibri" w:cs="Calibri"/>
                <w:color w:val="000000"/>
              </w:rPr>
              <w:t xml:space="preserve">Intellectual disability </w:t>
            </w:r>
          </w:p>
        </w:tc>
        <w:tc>
          <w:tcPr>
            <w:tcW w:w="366" w:type="pct"/>
            <w:tcBorders>
              <w:top w:val="nil"/>
              <w:left w:val="nil"/>
              <w:bottom w:val="nil"/>
              <w:right w:val="nil"/>
            </w:tcBorders>
            <w:shd w:val="clear" w:color="auto" w:fill="auto"/>
            <w:noWrap/>
            <w:vAlign w:val="bottom"/>
            <w:hideMark/>
          </w:tcPr>
          <w:p w14:paraId="5E34E5FB" w14:textId="77777777" w:rsidR="00350C1D" w:rsidRPr="004E0937" w:rsidRDefault="00350C1D" w:rsidP="00DB3615">
            <w:pPr>
              <w:spacing w:after="0" w:line="240" w:lineRule="auto"/>
              <w:jc w:val="left"/>
              <w:rPr>
                <w:rFonts w:ascii="Calibri" w:eastAsia="Times New Roman" w:hAnsi="Calibri" w:cs="Calibri"/>
                <w:color w:val="000000"/>
              </w:rPr>
            </w:pPr>
            <w:r w:rsidRPr="004E0937">
              <w:rPr>
                <w:rFonts w:ascii="Calibri" w:eastAsia="Times New Roman" w:hAnsi="Calibri" w:cs="Calibri"/>
                <w:color w:val="000000"/>
              </w:rPr>
              <w:t>Relative</w:t>
            </w:r>
          </w:p>
        </w:tc>
        <w:tc>
          <w:tcPr>
            <w:tcW w:w="120" w:type="pct"/>
            <w:tcBorders>
              <w:top w:val="nil"/>
              <w:left w:val="nil"/>
              <w:bottom w:val="nil"/>
              <w:right w:val="nil"/>
            </w:tcBorders>
            <w:shd w:val="clear" w:color="auto" w:fill="auto"/>
            <w:noWrap/>
            <w:vAlign w:val="bottom"/>
            <w:hideMark/>
          </w:tcPr>
          <w:p w14:paraId="2E67B3CA" w14:textId="77777777" w:rsidR="00350C1D" w:rsidRPr="004E0937" w:rsidRDefault="00350C1D" w:rsidP="00DB3615">
            <w:pPr>
              <w:spacing w:after="0" w:line="240" w:lineRule="auto"/>
              <w:jc w:val="center"/>
              <w:rPr>
                <w:rFonts w:ascii="Calibri" w:eastAsia="Times New Roman" w:hAnsi="Calibri" w:cs="Calibri"/>
                <w:color w:val="000000"/>
              </w:rPr>
            </w:pPr>
            <w:r w:rsidRPr="004E0937">
              <w:rPr>
                <w:rFonts w:ascii="Calibri" w:eastAsia="Times New Roman" w:hAnsi="Calibri" w:cs="Calibri"/>
                <w:color w:val="000000"/>
              </w:rPr>
              <w:t>M</w:t>
            </w:r>
          </w:p>
        </w:tc>
        <w:tc>
          <w:tcPr>
            <w:tcW w:w="430" w:type="pct"/>
            <w:tcBorders>
              <w:top w:val="nil"/>
              <w:left w:val="nil"/>
              <w:bottom w:val="nil"/>
              <w:right w:val="nil"/>
            </w:tcBorders>
            <w:shd w:val="clear" w:color="auto" w:fill="auto"/>
            <w:noWrap/>
            <w:vAlign w:val="bottom"/>
            <w:hideMark/>
          </w:tcPr>
          <w:p w14:paraId="5B690B8C" w14:textId="77777777" w:rsidR="00350C1D" w:rsidRPr="004E0937" w:rsidRDefault="00350C1D" w:rsidP="00DB3615">
            <w:pPr>
              <w:spacing w:after="0" w:line="240" w:lineRule="auto"/>
              <w:jc w:val="center"/>
              <w:rPr>
                <w:rFonts w:ascii="Calibri" w:eastAsia="Times New Roman" w:hAnsi="Calibri" w:cs="Calibri"/>
                <w:color w:val="000000"/>
              </w:rPr>
            </w:pPr>
          </w:p>
        </w:tc>
        <w:tc>
          <w:tcPr>
            <w:tcW w:w="458" w:type="pct"/>
            <w:tcBorders>
              <w:top w:val="nil"/>
              <w:left w:val="nil"/>
              <w:bottom w:val="nil"/>
              <w:right w:val="nil"/>
            </w:tcBorders>
            <w:shd w:val="clear" w:color="auto" w:fill="auto"/>
            <w:vAlign w:val="bottom"/>
            <w:hideMark/>
          </w:tcPr>
          <w:p w14:paraId="67ECD86B" w14:textId="77777777" w:rsidR="00350C1D" w:rsidRPr="004E0937" w:rsidRDefault="00350C1D" w:rsidP="00DB3615">
            <w:pPr>
              <w:spacing w:after="0" w:line="240" w:lineRule="auto"/>
              <w:jc w:val="left"/>
              <w:rPr>
                <w:rFonts w:ascii="Calibri" w:eastAsia="Times New Roman" w:hAnsi="Calibri" w:cs="Calibri"/>
                <w:color w:val="000000"/>
              </w:rPr>
            </w:pPr>
            <w:r w:rsidRPr="004E0937">
              <w:rPr>
                <w:rFonts w:ascii="Calibri" w:eastAsia="Times New Roman" w:hAnsi="Calibri" w:cs="Calibri"/>
                <w:color w:val="000000"/>
              </w:rPr>
              <w:t xml:space="preserve">Missense variants </w:t>
            </w:r>
            <w:r w:rsidRPr="004E0937">
              <w:rPr>
                <w:rFonts w:ascii="Calibri" w:eastAsia="Times New Roman" w:hAnsi="Calibri" w:cs="Calibri"/>
                <w:i/>
                <w:iCs/>
                <w:color w:val="000000"/>
              </w:rPr>
              <w:t>in-cis</w:t>
            </w:r>
          </w:p>
        </w:tc>
        <w:tc>
          <w:tcPr>
            <w:tcW w:w="413" w:type="pct"/>
            <w:tcBorders>
              <w:top w:val="nil"/>
              <w:left w:val="nil"/>
              <w:bottom w:val="nil"/>
              <w:right w:val="nil"/>
            </w:tcBorders>
            <w:shd w:val="clear" w:color="auto" w:fill="auto"/>
            <w:vAlign w:val="bottom"/>
            <w:hideMark/>
          </w:tcPr>
          <w:p w14:paraId="0437638E" w14:textId="77777777" w:rsidR="00350C1D" w:rsidRPr="004E0937" w:rsidRDefault="00350C1D" w:rsidP="00DB3615">
            <w:pPr>
              <w:spacing w:after="0" w:line="240" w:lineRule="auto"/>
              <w:jc w:val="left"/>
              <w:rPr>
                <w:rFonts w:ascii="Calibri" w:eastAsia="Times New Roman" w:hAnsi="Calibri" w:cs="Calibri"/>
                <w:color w:val="000000"/>
              </w:rPr>
            </w:pPr>
            <w:r w:rsidRPr="004E0937">
              <w:rPr>
                <w:rFonts w:ascii="Calibri" w:eastAsia="Times New Roman" w:hAnsi="Calibri" w:cs="Calibri"/>
                <w:color w:val="000000"/>
              </w:rPr>
              <w:t xml:space="preserve">Missense variants </w:t>
            </w:r>
            <w:r w:rsidRPr="004E0937">
              <w:rPr>
                <w:rFonts w:ascii="Calibri" w:eastAsia="Times New Roman" w:hAnsi="Calibri" w:cs="Calibri"/>
                <w:i/>
                <w:iCs/>
                <w:color w:val="000000"/>
              </w:rPr>
              <w:t>in-cis</w:t>
            </w:r>
          </w:p>
        </w:tc>
        <w:tc>
          <w:tcPr>
            <w:tcW w:w="417" w:type="pct"/>
            <w:tcBorders>
              <w:top w:val="nil"/>
              <w:left w:val="nil"/>
              <w:bottom w:val="nil"/>
              <w:right w:val="nil"/>
            </w:tcBorders>
            <w:shd w:val="clear" w:color="auto" w:fill="auto"/>
            <w:noWrap/>
            <w:vAlign w:val="bottom"/>
            <w:hideMark/>
          </w:tcPr>
          <w:p w14:paraId="5BF2FA87" w14:textId="77777777" w:rsidR="00350C1D" w:rsidRPr="004E0937" w:rsidRDefault="00350C1D" w:rsidP="00DB3615">
            <w:pPr>
              <w:spacing w:after="0" w:line="240" w:lineRule="auto"/>
              <w:jc w:val="left"/>
              <w:rPr>
                <w:rFonts w:ascii="Calibri" w:eastAsia="Times New Roman" w:hAnsi="Calibri" w:cs="Calibri"/>
                <w:color w:val="000000"/>
              </w:rPr>
            </w:pPr>
          </w:p>
        </w:tc>
      </w:tr>
      <w:tr w:rsidR="00350C1D" w:rsidRPr="004E0937" w14:paraId="5F58FE0F" w14:textId="77777777" w:rsidTr="00350C1D">
        <w:trPr>
          <w:trHeight w:val="290"/>
        </w:trPr>
        <w:tc>
          <w:tcPr>
            <w:tcW w:w="184" w:type="pct"/>
            <w:tcBorders>
              <w:top w:val="nil"/>
              <w:left w:val="nil"/>
              <w:bottom w:val="nil"/>
              <w:right w:val="nil"/>
            </w:tcBorders>
            <w:shd w:val="clear" w:color="FFFF00" w:fill="9BC2E6"/>
            <w:noWrap/>
            <w:vAlign w:val="bottom"/>
            <w:hideMark/>
          </w:tcPr>
          <w:p w14:paraId="7B4F2914" w14:textId="77777777" w:rsidR="00350C1D" w:rsidRPr="004E0937" w:rsidRDefault="00350C1D" w:rsidP="00DB3615">
            <w:pPr>
              <w:spacing w:after="0" w:line="240" w:lineRule="auto"/>
              <w:jc w:val="center"/>
              <w:rPr>
                <w:rFonts w:ascii="Calibri" w:eastAsia="Times New Roman" w:hAnsi="Calibri" w:cs="Calibri"/>
                <w:color w:val="000000"/>
              </w:rPr>
            </w:pPr>
            <w:r w:rsidRPr="004E0937">
              <w:rPr>
                <w:rFonts w:ascii="Calibri" w:eastAsia="Times New Roman" w:hAnsi="Calibri" w:cs="Calibri"/>
                <w:color w:val="000000"/>
              </w:rPr>
              <w:t>10</w:t>
            </w:r>
          </w:p>
        </w:tc>
        <w:tc>
          <w:tcPr>
            <w:tcW w:w="190" w:type="pct"/>
            <w:tcBorders>
              <w:top w:val="nil"/>
              <w:left w:val="nil"/>
              <w:bottom w:val="nil"/>
              <w:right w:val="nil"/>
            </w:tcBorders>
            <w:shd w:val="clear" w:color="FFFF00" w:fill="9BC2E6"/>
            <w:vAlign w:val="bottom"/>
          </w:tcPr>
          <w:p w14:paraId="638B7AB3" w14:textId="1930CE46" w:rsidR="00350C1D" w:rsidRDefault="00350C1D" w:rsidP="00DB3615">
            <w:pPr>
              <w:spacing w:after="0" w:line="240" w:lineRule="auto"/>
              <w:jc w:val="center"/>
              <w:rPr>
                <w:rFonts w:ascii="Calibri" w:eastAsia="Times New Roman" w:hAnsi="Calibri" w:cs="Calibri"/>
                <w:color w:val="000000"/>
              </w:rPr>
            </w:pPr>
            <w:r>
              <w:rPr>
                <w:rFonts w:ascii="Calibri" w:eastAsia="Times New Roman" w:hAnsi="Calibri" w:cs="Calibri"/>
                <w:color w:val="000000"/>
              </w:rPr>
              <w:t>Yes</w:t>
            </w:r>
          </w:p>
        </w:tc>
        <w:tc>
          <w:tcPr>
            <w:tcW w:w="498" w:type="pct"/>
            <w:tcBorders>
              <w:top w:val="nil"/>
              <w:left w:val="nil"/>
              <w:bottom w:val="nil"/>
              <w:right w:val="nil"/>
            </w:tcBorders>
            <w:shd w:val="clear" w:color="FFFF00" w:fill="9BC2E6"/>
            <w:noWrap/>
            <w:vAlign w:val="bottom"/>
            <w:hideMark/>
          </w:tcPr>
          <w:p w14:paraId="26E7DCD4" w14:textId="47E92A2A" w:rsidR="00350C1D" w:rsidRPr="004E0937" w:rsidRDefault="00350C1D" w:rsidP="00DB3615">
            <w:pPr>
              <w:spacing w:after="0" w:line="240" w:lineRule="auto"/>
              <w:jc w:val="center"/>
              <w:rPr>
                <w:rFonts w:ascii="Calibri" w:eastAsia="Times New Roman" w:hAnsi="Calibri" w:cs="Calibri"/>
                <w:color w:val="000000"/>
              </w:rPr>
            </w:pPr>
            <w:r w:rsidRPr="004E0937">
              <w:rPr>
                <w:rFonts w:ascii="Calibri" w:eastAsia="Times New Roman" w:hAnsi="Calibri" w:cs="Calibri"/>
                <w:color w:val="000000"/>
              </w:rPr>
              <w:t> </w:t>
            </w:r>
          </w:p>
        </w:tc>
        <w:tc>
          <w:tcPr>
            <w:tcW w:w="374" w:type="pct"/>
            <w:tcBorders>
              <w:top w:val="nil"/>
              <w:left w:val="nil"/>
              <w:bottom w:val="nil"/>
              <w:right w:val="nil"/>
            </w:tcBorders>
            <w:shd w:val="clear" w:color="FFFF00" w:fill="9BC2E6"/>
            <w:noWrap/>
            <w:vAlign w:val="bottom"/>
            <w:hideMark/>
          </w:tcPr>
          <w:p w14:paraId="280F6E89" w14:textId="77777777" w:rsidR="00350C1D" w:rsidRPr="004E0937" w:rsidRDefault="00350C1D" w:rsidP="00DB3615">
            <w:pPr>
              <w:spacing w:after="0" w:line="240" w:lineRule="auto"/>
              <w:jc w:val="center"/>
              <w:rPr>
                <w:rFonts w:ascii="Calibri" w:eastAsia="Times New Roman" w:hAnsi="Calibri" w:cs="Calibri"/>
                <w:color w:val="000000"/>
              </w:rPr>
            </w:pPr>
            <w:r w:rsidRPr="004E0937">
              <w:rPr>
                <w:rFonts w:ascii="Calibri" w:eastAsia="Times New Roman" w:hAnsi="Calibri" w:cs="Calibri"/>
                <w:color w:val="000000"/>
              </w:rPr>
              <w:t>26 to 30</w:t>
            </w:r>
          </w:p>
        </w:tc>
        <w:tc>
          <w:tcPr>
            <w:tcW w:w="498" w:type="pct"/>
            <w:gridSpan w:val="3"/>
            <w:tcBorders>
              <w:top w:val="nil"/>
              <w:left w:val="nil"/>
              <w:bottom w:val="nil"/>
              <w:right w:val="nil"/>
            </w:tcBorders>
            <w:shd w:val="clear" w:color="FFFF00" w:fill="9BC2E6"/>
            <w:noWrap/>
            <w:vAlign w:val="bottom"/>
            <w:hideMark/>
          </w:tcPr>
          <w:p w14:paraId="7310361D" w14:textId="77777777" w:rsidR="00350C1D" w:rsidRPr="004E0937" w:rsidRDefault="00350C1D" w:rsidP="00DB3615">
            <w:pPr>
              <w:spacing w:after="0" w:line="240" w:lineRule="auto"/>
              <w:jc w:val="center"/>
              <w:rPr>
                <w:rFonts w:ascii="Calibri" w:eastAsia="Times New Roman" w:hAnsi="Calibri" w:cs="Calibri"/>
                <w:color w:val="000000"/>
              </w:rPr>
            </w:pPr>
            <w:r w:rsidRPr="004E0937">
              <w:rPr>
                <w:rFonts w:ascii="Calibri" w:eastAsia="Times New Roman" w:hAnsi="Calibri" w:cs="Calibri"/>
                <w:color w:val="000000"/>
              </w:rPr>
              <w:t> </w:t>
            </w:r>
          </w:p>
        </w:tc>
        <w:tc>
          <w:tcPr>
            <w:tcW w:w="1052" w:type="pct"/>
            <w:gridSpan w:val="2"/>
            <w:tcBorders>
              <w:top w:val="nil"/>
              <w:left w:val="nil"/>
              <w:bottom w:val="nil"/>
              <w:right w:val="nil"/>
            </w:tcBorders>
            <w:shd w:val="clear" w:color="FFFF00" w:fill="9BC2E6"/>
            <w:vAlign w:val="bottom"/>
            <w:hideMark/>
          </w:tcPr>
          <w:p w14:paraId="4FF8E727" w14:textId="77777777" w:rsidR="00350C1D" w:rsidRPr="004E0937" w:rsidRDefault="00350C1D" w:rsidP="00DB3615">
            <w:pPr>
              <w:spacing w:after="0" w:line="240" w:lineRule="auto"/>
              <w:jc w:val="left"/>
              <w:rPr>
                <w:rFonts w:ascii="Calibri" w:eastAsia="Times New Roman" w:hAnsi="Calibri" w:cs="Calibri"/>
                <w:color w:val="000000"/>
              </w:rPr>
            </w:pPr>
            <w:r w:rsidRPr="004E0937">
              <w:rPr>
                <w:rFonts w:ascii="Calibri" w:eastAsia="Times New Roman" w:hAnsi="Calibri" w:cs="Calibri"/>
                <w:color w:val="000000"/>
              </w:rPr>
              <w:t>Rod-cone dystrophy</w:t>
            </w:r>
          </w:p>
        </w:tc>
        <w:tc>
          <w:tcPr>
            <w:tcW w:w="366" w:type="pct"/>
            <w:tcBorders>
              <w:top w:val="nil"/>
              <w:left w:val="nil"/>
              <w:bottom w:val="nil"/>
              <w:right w:val="nil"/>
            </w:tcBorders>
            <w:shd w:val="clear" w:color="FFFF00" w:fill="9BC2E6"/>
            <w:noWrap/>
            <w:vAlign w:val="bottom"/>
            <w:hideMark/>
          </w:tcPr>
          <w:p w14:paraId="1AC89D4F" w14:textId="77777777" w:rsidR="00350C1D" w:rsidRPr="004E0937" w:rsidRDefault="00350C1D" w:rsidP="00DB3615">
            <w:pPr>
              <w:spacing w:after="0" w:line="240" w:lineRule="auto"/>
              <w:jc w:val="left"/>
              <w:rPr>
                <w:rFonts w:ascii="Calibri" w:eastAsia="Times New Roman" w:hAnsi="Calibri" w:cs="Calibri"/>
                <w:color w:val="000000"/>
              </w:rPr>
            </w:pPr>
            <w:r w:rsidRPr="004E0937">
              <w:rPr>
                <w:rFonts w:ascii="Calibri" w:eastAsia="Times New Roman" w:hAnsi="Calibri" w:cs="Calibri"/>
                <w:color w:val="000000"/>
              </w:rPr>
              <w:t>Proband</w:t>
            </w:r>
          </w:p>
        </w:tc>
        <w:tc>
          <w:tcPr>
            <w:tcW w:w="120" w:type="pct"/>
            <w:tcBorders>
              <w:top w:val="nil"/>
              <w:left w:val="nil"/>
              <w:bottom w:val="nil"/>
              <w:right w:val="nil"/>
            </w:tcBorders>
            <w:shd w:val="clear" w:color="FFFF00" w:fill="9BC2E6"/>
            <w:noWrap/>
            <w:vAlign w:val="bottom"/>
            <w:hideMark/>
          </w:tcPr>
          <w:p w14:paraId="1D47A6E2" w14:textId="77777777" w:rsidR="00350C1D" w:rsidRPr="004E0937" w:rsidRDefault="00350C1D" w:rsidP="00DB3615">
            <w:pPr>
              <w:spacing w:after="0" w:line="240" w:lineRule="auto"/>
              <w:jc w:val="center"/>
              <w:rPr>
                <w:rFonts w:ascii="Calibri" w:eastAsia="Times New Roman" w:hAnsi="Calibri" w:cs="Calibri"/>
                <w:color w:val="000000"/>
              </w:rPr>
            </w:pPr>
            <w:r w:rsidRPr="004E0937">
              <w:rPr>
                <w:rFonts w:ascii="Calibri" w:eastAsia="Times New Roman" w:hAnsi="Calibri" w:cs="Calibri"/>
                <w:color w:val="000000"/>
              </w:rPr>
              <w:t>F</w:t>
            </w:r>
          </w:p>
        </w:tc>
        <w:tc>
          <w:tcPr>
            <w:tcW w:w="430" w:type="pct"/>
            <w:tcBorders>
              <w:top w:val="nil"/>
              <w:left w:val="nil"/>
              <w:bottom w:val="nil"/>
              <w:right w:val="nil"/>
            </w:tcBorders>
            <w:shd w:val="clear" w:color="FFFF00" w:fill="9BC2E6"/>
            <w:noWrap/>
            <w:vAlign w:val="bottom"/>
            <w:hideMark/>
          </w:tcPr>
          <w:p w14:paraId="60D9F501" w14:textId="77777777" w:rsidR="00350C1D" w:rsidRPr="004E0937" w:rsidRDefault="00350C1D" w:rsidP="00DB3615">
            <w:pPr>
              <w:spacing w:after="0" w:line="240" w:lineRule="auto"/>
              <w:jc w:val="center"/>
              <w:rPr>
                <w:rFonts w:ascii="Calibri" w:eastAsia="Times New Roman" w:hAnsi="Calibri" w:cs="Calibri"/>
                <w:color w:val="000000"/>
              </w:rPr>
            </w:pPr>
            <w:r w:rsidRPr="004E0937">
              <w:rPr>
                <w:rFonts w:ascii="Calibri" w:eastAsia="Times New Roman" w:hAnsi="Calibri" w:cs="Calibri"/>
                <w:color w:val="000000"/>
              </w:rPr>
              <w:t>SAS</w:t>
            </w:r>
          </w:p>
        </w:tc>
        <w:tc>
          <w:tcPr>
            <w:tcW w:w="458" w:type="pct"/>
            <w:tcBorders>
              <w:top w:val="nil"/>
              <w:left w:val="nil"/>
              <w:bottom w:val="nil"/>
              <w:right w:val="nil"/>
            </w:tcBorders>
            <w:shd w:val="clear" w:color="FFFF00" w:fill="9BC2E6"/>
            <w:vAlign w:val="bottom"/>
            <w:hideMark/>
          </w:tcPr>
          <w:p w14:paraId="24991D74" w14:textId="77777777" w:rsidR="00350C1D" w:rsidRPr="004E0937" w:rsidRDefault="00350C1D" w:rsidP="00DB3615">
            <w:pPr>
              <w:spacing w:after="0" w:line="240" w:lineRule="auto"/>
              <w:jc w:val="left"/>
              <w:rPr>
                <w:rFonts w:ascii="Calibri" w:eastAsia="Times New Roman" w:hAnsi="Calibri" w:cs="Calibri"/>
                <w:color w:val="000000"/>
              </w:rPr>
            </w:pPr>
            <w:r w:rsidRPr="004E0937">
              <w:rPr>
                <w:rFonts w:ascii="Calibri" w:eastAsia="Times New Roman" w:hAnsi="Calibri" w:cs="Calibri"/>
                <w:color w:val="000000"/>
              </w:rPr>
              <w:t>Missense</w:t>
            </w:r>
          </w:p>
        </w:tc>
        <w:tc>
          <w:tcPr>
            <w:tcW w:w="413" w:type="pct"/>
            <w:tcBorders>
              <w:top w:val="nil"/>
              <w:left w:val="nil"/>
              <w:bottom w:val="nil"/>
              <w:right w:val="nil"/>
            </w:tcBorders>
            <w:shd w:val="clear" w:color="FFFF00" w:fill="9BC2E6"/>
            <w:vAlign w:val="bottom"/>
            <w:hideMark/>
          </w:tcPr>
          <w:p w14:paraId="210BA8CF" w14:textId="77777777" w:rsidR="00350C1D" w:rsidRPr="004E0937" w:rsidRDefault="00350C1D" w:rsidP="00DB3615">
            <w:pPr>
              <w:spacing w:after="0" w:line="240" w:lineRule="auto"/>
              <w:jc w:val="left"/>
              <w:rPr>
                <w:rFonts w:ascii="Calibri" w:eastAsia="Times New Roman" w:hAnsi="Calibri" w:cs="Calibri"/>
                <w:color w:val="000000"/>
              </w:rPr>
            </w:pPr>
            <w:r w:rsidRPr="004E0937">
              <w:rPr>
                <w:rFonts w:ascii="Calibri" w:eastAsia="Times New Roman" w:hAnsi="Calibri" w:cs="Calibri"/>
                <w:color w:val="000000"/>
              </w:rPr>
              <w:t>Missense</w:t>
            </w:r>
          </w:p>
        </w:tc>
        <w:tc>
          <w:tcPr>
            <w:tcW w:w="417" w:type="pct"/>
            <w:tcBorders>
              <w:top w:val="nil"/>
              <w:left w:val="nil"/>
              <w:bottom w:val="nil"/>
              <w:right w:val="nil"/>
            </w:tcBorders>
            <w:shd w:val="clear" w:color="FFFF00" w:fill="9BC2E6"/>
            <w:noWrap/>
            <w:vAlign w:val="bottom"/>
            <w:hideMark/>
          </w:tcPr>
          <w:p w14:paraId="5757D37B" w14:textId="77777777" w:rsidR="00350C1D" w:rsidRPr="001064BB" w:rsidRDefault="00350C1D" w:rsidP="00DB3615">
            <w:pPr>
              <w:spacing w:after="0" w:line="240" w:lineRule="auto"/>
              <w:jc w:val="center"/>
              <w:rPr>
                <w:rFonts w:ascii="Calibri" w:eastAsia="Times New Roman" w:hAnsi="Calibri" w:cs="Calibri"/>
                <w:i/>
                <w:iCs/>
                <w:color w:val="000000"/>
              </w:rPr>
            </w:pPr>
            <w:r w:rsidRPr="001064BB">
              <w:rPr>
                <w:rFonts w:ascii="Calibri" w:eastAsia="Times New Roman" w:hAnsi="Calibri" w:cs="Calibri"/>
                <w:i/>
                <w:iCs/>
                <w:color w:val="000000"/>
              </w:rPr>
              <w:t>PDE6B</w:t>
            </w:r>
          </w:p>
        </w:tc>
      </w:tr>
      <w:tr w:rsidR="00350C1D" w:rsidRPr="004E0937" w14:paraId="2589A4A6" w14:textId="77777777" w:rsidTr="00350C1D">
        <w:trPr>
          <w:trHeight w:val="290"/>
        </w:trPr>
        <w:tc>
          <w:tcPr>
            <w:tcW w:w="184" w:type="pct"/>
            <w:tcBorders>
              <w:top w:val="nil"/>
              <w:left w:val="nil"/>
              <w:bottom w:val="nil"/>
              <w:right w:val="nil"/>
            </w:tcBorders>
            <w:shd w:val="clear" w:color="auto" w:fill="auto"/>
            <w:noWrap/>
            <w:vAlign w:val="bottom"/>
            <w:hideMark/>
          </w:tcPr>
          <w:p w14:paraId="74176042" w14:textId="77777777" w:rsidR="00350C1D" w:rsidRPr="004E0937" w:rsidRDefault="00350C1D" w:rsidP="00DB3615">
            <w:pPr>
              <w:spacing w:after="0" w:line="240" w:lineRule="auto"/>
              <w:jc w:val="center"/>
              <w:rPr>
                <w:rFonts w:ascii="Calibri" w:eastAsia="Times New Roman" w:hAnsi="Calibri" w:cs="Calibri"/>
                <w:color w:val="000000"/>
              </w:rPr>
            </w:pPr>
            <w:r w:rsidRPr="004E0937">
              <w:rPr>
                <w:rFonts w:ascii="Calibri" w:eastAsia="Times New Roman" w:hAnsi="Calibri" w:cs="Calibri"/>
                <w:color w:val="000000"/>
              </w:rPr>
              <w:t>11</w:t>
            </w:r>
          </w:p>
        </w:tc>
        <w:tc>
          <w:tcPr>
            <w:tcW w:w="190" w:type="pct"/>
            <w:tcBorders>
              <w:top w:val="nil"/>
              <w:left w:val="nil"/>
              <w:bottom w:val="nil"/>
              <w:right w:val="nil"/>
            </w:tcBorders>
            <w:vAlign w:val="bottom"/>
          </w:tcPr>
          <w:p w14:paraId="6FD03529" w14:textId="00661286" w:rsidR="00350C1D" w:rsidRDefault="00350C1D" w:rsidP="00DB3615">
            <w:pPr>
              <w:spacing w:after="0" w:line="240" w:lineRule="auto"/>
              <w:jc w:val="center"/>
              <w:rPr>
                <w:rFonts w:ascii="Calibri" w:eastAsia="Times New Roman" w:hAnsi="Calibri" w:cs="Calibri"/>
                <w:color w:val="000000"/>
              </w:rPr>
            </w:pPr>
            <w:r>
              <w:rPr>
                <w:rFonts w:ascii="Calibri" w:eastAsia="Times New Roman" w:hAnsi="Calibri" w:cs="Calibri"/>
                <w:color w:val="000000"/>
              </w:rPr>
              <w:t>No</w:t>
            </w:r>
          </w:p>
        </w:tc>
        <w:tc>
          <w:tcPr>
            <w:tcW w:w="498" w:type="pct"/>
            <w:tcBorders>
              <w:top w:val="nil"/>
              <w:left w:val="nil"/>
              <w:bottom w:val="nil"/>
              <w:right w:val="nil"/>
            </w:tcBorders>
            <w:shd w:val="clear" w:color="auto" w:fill="auto"/>
            <w:noWrap/>
            <w:vAlign w:val="bottom"/>
            <w:hideMark/>
          </w:tcPr>
          <w:p w14:paraId="3FD4C9E0" w14:textId="16AEF2DA" w:rsidR="00350C1D" w:rsidRPr="004E0937" w:rsidRDefault="00350C1D" w:rsidP="00DB3615">
            <w:pPr>
              <w:spacing w:after="0" w:line="240" w:lineRule="auto"/>
              <w:jc w:val="center"/>
              <w:rPr>
                <w:rFonts w:ascii="Calibri" w:eastAsia="Times New Roman" w:hAnsi="Calibri" w:cs="Calibri"/>
                <w:color w:val="000000"/>
              </w:rPr>
            </w:pPr>
          </w:p>
        </w:tc>
        <w:tc>
          <w:tcPr>
            <w:tcW w:w="374" w:type="pct"/>
            <w:tcBorders>
              <w:top w:val="nil"/>
              <w:left w:val="nil"/>
              <w:bottom w:val="nil"/>
              <w:right w:val="nil"/>
            </w:tcBorders>
            <w:shd w:val="clear" w:color="auto" w:fill="auto"/>
            <w:noWrap/>
            <w:vAlign w:val="bottom"/>
            <w:hideMark/>
          </w:tcPr>
          <w:p w14:paraId="615160A1" w14:textId="77777777" w:rsidR="00350C1D" w:rsidRPr="004E0937" w:rsidRDefault="00350C1D" w:rsidP="00DB3615">
            <w:pPr>
              <w:spacing w:after="0" w:line="240" w:lineRule="auto"/>
              <w:jc w:val="center"/>
              <w:rPr>
                <w:rFonts w:ascii="Calibri" w:eastAsia="Times New Roman" w:hAnsi="Calibri" w:cs="Calibri"/>
                <w:color w:val="000000"/>
              </w:rPr>
            </w:pPr>
            <w:r w:rsidRPr="004E0937">
              <w:rPr>
                <w:rFonts w:ascii="Calibri" w:eastAsia="Times New Roman" w:hAnsi="Calibri" w:cs="Calibri"/>
                <w:color w:val="000000"/>
              </w:rPr>
              <w:t>0 to 1</w:t>
            </w:r>
          </w:p>
        </w:tc>
        <w:tc>
          <w:tcPr>
            <w:tcW w:w="498" w:type="pct"/>
            <w:gridSpan w:val="3"/>
            <w:tcBorders>
              <w:top w:val="nil"/>
              <w:left w:val="nil"/>
              <w:bottom w:val="nil"/>
              <w:right w:val="nil"/>
            </w:tcBorders>
            <w:shd w:val="clear" w:color="auto" w:fill="auto"/>
            <w:noWrap/>
            <w:vAlign w:val="bottom"/>
            <w:hideMark/>
          </w:tcPr>
          <w:p w14:paraId="09F4DA8E" w14:textId="77777777" w:rsidR="00350C1D" w:rsidRPr="004E0937" w:rsidRDefault="00350C1D" w:rsidP="00DB3615">
            <w:pPr>
              <w:spacing w:after="0" w:line="240" w:lineRule="auto"/>
              <w:jc w:val="center"/>
              <w:rPr>
                <w:rFonts w:ascii="Calibri" w:eastAsia="Times New Roman" w:hAnsi="Calibri" w:cs="Calibri"/>
                <w:color w:val="000000"/>
              </w:rPr>
            </w:pPr>
          </w:p>
        </w:tc>
        <w:tc>
          <w:tcPr>
            <w:tcW w:w="1052" w:type="pct"/>
            <w:gridSpan w:val="2"/>
            <w:tcBorders>
              <w:top w:val="nil"/>
              <w:left w:val="nil"/>
              <w:bottom w:val="nil"/>
              <w:right w:val="nil"/>
            </w:tcBorders>
            <w:shd w:val="clear" w:color="auto" w:fill="auto"/>
            <w:vAlign w:val="bottom"/>
            <w:hideMark/>
          </w:tcPr>
          <w:p w14:paraId="117139CD" w14:textId="77777777" w:rsidR="00350C1D" w:rsidRPr="004E0937" w:rsidRDefault="00350C1D" w:rsidP="00DB3615">
            <w:pPr>
              <w:spacing w:after="0" w:line="240" w:lineRule="auto"/>
              <w:jc w:val="left"/>
              <w:rPr>
                <w:rFonts w:ascii="Calibri" w:eastAsia="Times New Roman" w:hAnsi="Calibri" w:cs="Calibri"/>
                <w:color w:val="000000"/>
              </w:rPr>
            </w:pPr>
            <w:r w:rsidRPr="004E0937">
              <w:rPr>
                <w:rFonts w:ascii="Calibri" w:eastAsia="Times New Roman" w:hAnsi="Calibri" w:cs="Calibri"/>
                <w:color w:val="000000"/>
              </w:rPr>
              <w:t>Rod-cone dystrophy</w:t>
            </w:r>
          </w:p>
        </w:tc>
        <w:tc>
          <w:tcPr>
            <w:tcW w:w="366" w:type="pct"/>
            <w:tcBorders>
              <w:top w:val="nil"/>
              <w:left w:val="nil"/>
              <w:bottom w:val="nil"/>
              <w:right w:val="nil"/>
            </w:tcBorders>
            <w:shd w:val="clear" w:color="auto" w:fill="auto"/>
            <w:noWrap/>
            <w:vAlign w:val="bottom"/>
            <w:hideMark/>
          </w:tcPr>
          <w:p w14:paraId="3FC33A80" w14:textId="77777777" w:rsidR="00350C1D" w:rsidRPr="004E0937" w:rsidRDefault="00350C1D" w:rsidP="00DB3615">
            <w:pPr>
              <w:spacing w:after="0" w:line="240" w:lineRule="auto"/>
              <w:jc w:val="left"/>
              <w:rPr>
                <w:rFonts w:ascii="Calibri" w:eastAsia="Times New Roman" w:hAnsi="Calibri" w:cs="Calibri"/>
                <w:color w:val="000000"/>
              </w:rPr>
            </w:pPr>
            <w:r w:rsidRPr="004E0937">
              <w:rPr>
                <w:rFonts w:ascii="Calibri" w:eastAsia="Times New Roman" w:hAnsi="Calibri" w:cs="Calibri"/>
                <w:color w:val="000000"/>
              </w:rPr>
              <w:t>Proband</w:t>
            </w:r>
          </w:p>
        </w:tc>
        <w:tc>
          <w:tcPr>
            <w:tcW w:w="120" w:type="pct"/>
            <w:tcBorders>
              <w:top w:val="nil"/>
              <w:left w:val="nil"/>
              <w:bottom w:val="nil"/>
              <w:right w:val="nil"/>
            </w:tcBorders>
            <w:shd w:val="clear" w:color="auto" w:fill="auto"/>
            <w:noWrap/>
            <w:vAlign w:val="bottom"/>
            <w:hideMark/>
          </w:tcPr>
          <w:p w14:paraId="3FA80FD9" w14:textId="77777777" w:rsidR="00350C1D" w:rsidRPr="004E0937" w:rsidRDefault="00350C1D" w:rsidP="00DB3615">
            <w:pPr>
              <w:spacing w:after="0" w:line="240" w:lineRule="auto"/>
              <w:jc w:val="center"/>
              <w:rPr>
                <w:rFonts w:ascii="Calibri" w:eastAsia="Times New Roman" w:hAnsi="Calibri" w:cs="Calibri"/>
                <w:color w:val="000000"/>
              </w:rPr>
            </w:pPr>
            <w:r w:rsidRPr="004E0937">
              <w:rPr>
                <w:rFonts w:ascii="Calibri" w:eastAsia="Times New Roman" w:hAnsi="Calibri" w:cs="Calibri"/>
                <w:color w:val="000000"/>
              </w:rPr>
              <w:t>F</w:t>
            </w:r>
          </w:p>
        </w:tc>
        <w:tc>
          <w:tcPr>
            <w:tcW w:w="430" w:type="pct"/>
            <w:tcBorders>
              <w:top w:val="nil"/>
              <w:left w:val="nil"/>
              <w:bottom w:val="nil"/>
              <w:right w:val="nil"/>
            </w:tcBorders>
            <w:shd w:val="clear" w:color="auto" w:fill="auto"/>
            <w:noWrap/>
            <w:vAlign w:val="bottom"/>
            <w:hideMark/>
          </w:tcPr>
          <w:p w14:paraId="2D74DF62" w14:textId="77777777" w:rsidR="00350C1D" w:rsidRPr="004E0937" w:rsidRDefault="00350C1D" w:rsidP="00DB3615">
            <w:pPr>
              <w:spacing w:after="0" w:line="240" w:lineRule="auto"/>
              <w:jc w:val="center"/>
              <w:rPr>
                <w:rFonts w:ascii="Calibri" w:eastAsia="Times New Roman" w:hAnsi="Calibri" w:cs="Calibri"/>
                <w:color w:val="000000"/>
              </w:rPr>
            </w:pPr>
          </w:p>
        </w:tc>
        <w:tc>
          <w:tcPr>
            <w:tcW w:w="458" w:type="pct"/>
            <w:tcBorders>
              <w:top w:val="nil"/>
              <w:left w:val="nil"/>
              <w:bottom w:val="nil"/>
              <w:right w:val="nil"/>
            </w:tcBorders>
            <w:shd w:val="clear" w:color="auto" w:fill="auto"/>
            <w:vAlign w:val="bottom"/>
            <w:hideMark/>
          </w:tcPr>
          <w:p w14:paraId="77AA8D7D" w14:textId="77777777" w:rsidR="00350C1D" w:rsidRPr="004E0937" w:rsidRDefault="00350C1D" w:rsidP="00DB3615">
            <w:pPr>
              <w:spacing w:after="0" w:line="240" w:lineRule="auto"/>
              <w:jc w:val="left"/>
              <w:rPr>
                <w:rFonts w:ascii="Calibri" w:eastAsia="Times New Roman" w:hAnsi="Calibri" w:cs="Calibri"/>
                <w:color w:val="000000"/>
              </w:rPr>
            </w:pPr>
            <w:r w:rsidRPr="004E0937">
              <w:rPr>
                <w:rFonts w:ascii="Calibri" w:eastAsia="Times New Roman" w:hAnsi="Calibri" w:cs="Calibri"/>
                <w:color w:val="000000"/>
              </w:rPr>
              <w:t>Stop gained</w:t>
            </w:r>
          </w:p>
        </w:tc>
        <w:tc>
          <w:tcPr>
            <w:tcW w:w="413" w:type="pct"/>
            <w:tcBorders>
              <w:top w:val="nil"/>
              <w:left w:val="nil"/>
              <w:bottom w:val="nil"/>
              <w:right w:val="nil"/>
            </w:tcBorders>
            <w:shd w:val="clear" w:color="auto" w:fill="auto"/>
            <w:vAlign w:val="bottom"/>
            <w:hideMark/>
          </w:tcPr>
          <w:p w14:paraId="6502DAE9" w14:textId="77777777" w:rsidR="00350C1D" w:rsidRPr="004E0937" w:rsidRDefault="00350C1D" w:rsidP="00DB3615">
            <w:pPr>
              <w:spacing w:after="0" w:line="240" w:lineRule="auto"/>
              <w:jc w:val="left"/>
              <w:rPr>
                <w:rFonts w:ascii="Calibri" w:eastAsia="Times New Roman" w:hAnsi="Calibri" w:cs="Calibri"/>
                <w:color w:val="000000"/>
              </w:rPr>
            </w:pPr>
          </w:p>
        </w:tc>
        <w:tc>
          <w:tcPr>
            <w:tcW w:w="417" w:type="pct"/>
            <w:tcBorders>
              <w:top w:val="nil"/>
              <w:left w:val="nil"/>
              <w:bottom w:val="nil"/>
              <w:right w:val="nil"/>
            </w:tcBorders>
            <w:shd w:val="clear" w:color="auto" w:fill="auto"/>
            <w:noWrap/>
            <w:vAlign w:val="bottom"/>
            <w:hideMark/>
          </w:tcPr>
          <w:p w14:paraId="39950911" w14:textId="77777777" w:rsidR="00350C1D" w:rsidRPr="004E0937" w:rsidRDefault="00350C1D" w:rsidP="00DB3615">
            <w:pPr>
              <w:spacing w:after="0" w:line="240" w:lineRule="auto"/>
              <w:jc w:val="left"/>
              <w:rPr>
                <w:rFonts w:ascii="Times New Roman" w:eastAsia="Times New Roman" w:hAnsi="Times New Roman" w:cs="Times New Roman"/>
                <w:sz w:val="20"/>
                <w:szCs w:val="20"/>
              </w:rPr>
            </w:pPr>
          </w:p>
        </w:tc>
      </w:tr>
      <w:tr w:rsidR="00350C1D" w:rsidRPr="004E0937" w14:paraId="4103EF65" w14:textId="77777777" w:rsidTr="00350C1D">
        <w:trPr>
          <w:trHeight w:val="300"/>
        </w:trPr>
        <w:tc>
          <w:tcPr>
            <w:tcW w:w="184" w:type="pct"/>
            <w:tcBorders>
              <w:top w:val="nil"/>
              <w:left w:val="nil"/>
              <w:bottom w:val="nil"/>
              <w:right w:val="nil"/>
            </w:tcBorders>
            <w:shd w:val="clear" w:color="auto" w:fill="auto"/>
            <w:noWrap/>
            <w:vAlign w:val="bottom"/>
            <w:hideMark/>
          </w:tcPr>
          <w:p w14:paraId="2C7E351F" w14:textId="77777777" w:rsidR="00350C1D" w:rsidRPr="004E0937" w:rsidRDefault="00350C1D" w:rsidP="00DB3615">
            <w:pPr>
              <w:spacing w:after="0" w:line="240" w:lineRule="auto"/>
              <w:jc w:val="center"/>
              <w:rPr>
                <w:rFonts w:ascii="Calibri" w:eastAsia="Times New Roman" w:hAnsi="Calibri" w:cs="Calibri"/>
                <w:color w:val="000000"/>
              </w:rPr>
            </w:pPr>
            <w:r w:rsidRPr="004E0937">
              <w:rPr>
                <w:rFonts w:ascii="Calibri" w:eastAsia="Times New Roman" w:hAnsi="Calibri" w:cs="Calibri"/>
                <w:color w:val="000000"/>
              </w:rPr>
              <w:t>12</w:t>
            </w:r>
          </w:p>
        </w:tc>
        <w:tc>
          <w:tcPr>
            <w:tcW w:w="190" w:type="pct"/>
            <w:tcBorders>
              <w:top w:val="nil"/>
              <w:left w:val="nil"/>
              <w:bottom w:val="nil"/>
              <w:right w:val="nil"/>
            </w:tcBorders>
            <w:vAlign w:val="bottom"/>
          </w:tcPr>
          <w:p w14:paraId="7245512D" w14:textId="66E14FE8" w:rsidR="00350C1D" w:rsidRDefault="00350C1D" w:rsidP="00DB3615">
            <w:pPr>
              <w:spacing w:after="0" w:line="240" w:lineRule="auto"/>
              <w:jc w:val="center"/>
              <w:rPr>
                <w:rFonts w:ascii="Calibri" w:eastAsia="Times New Roman" w:hAnsi="Calibri" w:cs="Calibri"/>
                <w:color w:val="000000"/>
              </w:rPr>
            </w:pPr>
            <w:r>
              <w:rPr>
                <w:rFonts w:ascii="Calibri" w:eastAsia="Times New Roman" w:hAnsi="Calibri" w:cs="Calibri"/>
                <w:color w:val="000000"/>
              </w:rPr>
              <w:t>Yes</w:t>
            </w:r>
          </w:p>
        </w:tc>
        <w:tc>
          <w:tcPr>
            <w:tcW w:w="498" w:type="pct"/>
            <w:tcBorders>
              <w:top w:val="nil"/>
              <w:left w:val="nil"/>
              <w:bottom w:val="nil"/>
              <w:right w:val="nil"/>
            </w:tcBorders>
            <w:shd w:val="clear" w:color="auto" w:fill="auto"/>
            <w:noWrap/>
            <w:vAlign w:val="bottom"/>
            <w:hideMark/>
          </w:tcPr>
          <w:p w14:paraId="00C89E50" w14:textId="19158700" w:rsidR="00350C1D" w:rsidRPr="004E0937" w:rsidRDefault="00350C1D" w:rsidP="00DB3615">
            <w:pPr>
              <w:spacing w:after="0" w:line="240" w:lineRule="auto"/>
              <w:jc w:val="center"/>
              <w:rPr>
                <w:rFonts w:ascii="Calibri" w:eastAsia="Times New Roman" w:hAnsi="Calibri" w:cs="Calibri"/>
                <w:color w:val="000000"/>
              </w:rPr>
            </w:pPr>
          </w:p>
        </w:tc>
        <w:tc>
          <w:tcPr>
            <w:tcW w:w="374" w:type="pct"/>
            <w:tcBorders>
              <w:top w:val="nil"/>
              <w:left w:val="nil"/>
              <w:bottom w:val="nil"/>
              <w:right w:val="nil"/>
            </w:tcBorders>
            <w:shd w:val="clear" w:color="auto" w:fill="auto"/>
            <w:noWrap/>
            <w:vAlign w:val="bottom"/>
            <w:hideMark/>
          </w:tcPr>
          <w:p w14:paraId="2B6E1172" w14:textId="77777777" w:rsidR="00350C1D" w:rsidRPr="004E0937" w:rsidRDefault="00350C1D" w:rsidP="00DB3615">
            <w:pPr>
              <w:spacing w:after="0" w:line="240" w:lineRule="auto"/>
              <w:jc w:val="center"/>
              <w:rPr>
                <w:rFonts w:ascii="Times New Roman" w:eastAsia="Times New Roman" w:hAnsi="Times New Roman" w:cs="Times New Roman"/>
                <w:sz w:val="20"/>
                <w:szCs w:val="20"/>
              </w:rPr>
            </w:pPr>
          </w:p>
        </w:tc>
        <w:tc>
          <w:tcPr>
            <w:tcW w:w="498" w:type="pct"/>
            <w:gridSpan w:val="3"/>
            <w:tcBorders>
              <w:top w:val="nil"/>
              <w:left w:val="nil"/>
              <w:bottom w:val="nil"/>
              <w:right w:val="nil"/>
            </w:tcBorders>
            <w:shd w:val="clear" w:color="auto" w:fill="auto"/>
            <w:noWrap/>
            <w:vAlign w:val="bottom"/>
            <w:hideMark/>
          </w:tcPr>
          <w:p w14:paraId="38A0069A" w14:textId="77777777" w:rsidR="00350C1D" w:rsidRPr="004E0937" w:rsidRDefault="00350C1D" w:rsidP="00DB3615">
            <w:pPr>
              <w:spacing w:after="0" w:line="240" w:lineRule="auto"/>
              <w:jc w:val="center"/>
              <w:rPr>
                <w:rFonts w:ascii="Times New Roman" w:eastAsia="Times New Roman" w:hAnsi="Times New Roman" w:cs="Times New Roman"/>
                <w:sz w:val="20"/>
                <w:szCs w:val="20"/>
              </w:rPr>
            </w:pPr>
          </w:p>
        </w:tc>
        <w:tc>
          <w:tcPr>
            <w:tcW w:w="1052" w:type="pct"/>
            <w:gridSpan w:val="2"/>
            <w:tcBorders>
              <w:top w:val="nil"/>
              <w:left w:val="nil"/>
              <w:bottom w:val="nil"/>
              <w:right w:val="nil"/>
            </w:tcBorders>
            <w:shd w:val="clear" w:color="auto" w:fill="auto"/>
            <w:vAlign w:val="bottom"/>
            <w:hideMark/>
          </w:tcPr>
          <w:p w14:paraId="6E2A0C29" w14:textId="77777777" w:rsidR="00350C1D" w:rsidRPr="004E0937" w:rsidRDefault="00350C1D" w:rsidP="00DB3615">
            <w:pPr>
              <w:spacing w:after="0" w:line="240" w:lineRule="auto"/>
              <w:jc w:val="left"/>
              <w:rPr>
                <w:rFonts w:ascii="Calibri" w:eastAsia="Times New Roman" w:hAnsi="Calibri" w:cs="Calibri"/>
                <w:color w:val="000000"/>
              </w:rPr>
            </w:pPr>
            <w:r w:rsidRPr="004E0937">
              <w:rPr>
                <w:rFonts w:ascii="Calibri" w:eastAsia="Times New Roman" w:hAnsi="Calibri" w:cs="Calibri"/>
                <w:color w:val="000000"/>
              </w:rPr>
              <w:t xml:space="preserve">Rod-cone dystrophy </w:t>
            </w:r>
          </w:p>
        </w:tc>
        <w:tc>
          <w:tcPr>
            <w:tcW w:w="366" w:type="pct"/>
            <w:tcBorders>
              <w:top w:val="nil"/>
              <w:left w:val="nil"/>
              <w:bottom w:val="nil"/>
              <w:right w:val="nil"/>
            </w:tcBorders>
            <w:shd w:val="clear" w:color="auto" w:fill="auto"/>
            <w:noWrap/>
            <w:vAlign w:val="bottom"/>
            <w:hideMark/>
          </w:tcPr>
          <w:p w14:paraId="5E216AB1" w14:textId="77777777" w:rsidR="00350C1D" w:rsidRPr="004E0937" w:rsidRDefault="00350C1D" w:rsidP="00DB3615">
            <w:pPr>
              <w:spacing w:after="0" w:line="240" w:lineRule="auto"/>
              <w:jc w:val="left"/>
              <w:rPr>
                <w:rFonts w:ascii="Calibri" w:eastAsia="Times New Roman" w:hAnsi="Calibri" w:cs="Calibri"/>
                <w:color w:val="000000"/>
              </w:rPr>
            </w:pPr>
            <w:r w:rsidRPr="004E0937">
              <w:rPr>
                <w:rFonts w:ascii="Calibri" w:eastAsia="Times New Roman" w:hAnsi="Calibri" w:cs="Calibri"/>
                <w:color w:val="000000"/>
              </w:rPr>
              <w:t>Relative</w:t>
            </w:r>
          </w:p>
        </w:tc>
        <w:tc>
          <w:tcPr>
            <w:tcW w:w="120" w:type="pct"/>
            <w:tcBorders>
              <w:top w:val="nil"/>
              <w:left w:val="nil"/>
              <w:bottom w:val="nil"/>
              <w:right w:val="nil"/>
            </w:tcBorders>
            <w:shd w:val="clear" w:color="auto" w:fill="auto"/>
            <w:noWrap/>
            <w:vAlign w:val="bottom"/>
            <w:hideMark/>
          </w:tcPr>
          <w:p w14:paraId="4306F46C" w14:textId="77777777" w:rsidR="00350C1D" w:rsidRPr="004E0937" w:rsidRDefault="00350C1D" w:rsidP="00DB3615">
            <w:pPr>
              <w:spacing w:after="0" w:line="240" w:lineRule="auto"/>
              <w:jc w:val="center"/>
              <w:rPr>
                <w:rFonts w:ascii="Calibri" w:eastAsia="Times New Roman" w:hAnsi="Calibri" w:cs="Calibri"/>
                <w:color w:val="000000"/>
              </w:rPr>
            </w:pPr>
            <w:r w:rsidRPr="004E0937">
              <w:rPr>
                <w:rFonts w:ascii="Calibri" w:eastAsia="Times New Roman" w:hAnsi="Calibri" w:cs="Calibri"/>
                <w:color w:val="000000"/>
              </w:rPr>
              <w:t>M</w:t>
            </w:r>
          </w:p>
        </w:tc>
        <w:tc>
          <w:tcPr>
            <w:tcW w:w="430" w:type="pct"/>
            <w:tcBorders>
              <w:top w:val="nil"/>
              <w:left w:val="nil"/>
              <w:bottom w:val="nil"/>
              <w:right w:val="nil"/>
            </w:tcBorders>
            <w:shd w:val="clear" w:color="auto" w:fill="auto"/>
            <w:noWrap/>
            <w:vAlign w:val="bottom"/>
            <w:hideMark/>
          </w:tcPr>
          <w:p w14:paraId="7CDBB131" w14:textId="77777777" w:rsidR="00350C1D" w:rsidRPr="004E0937" w:rsidRDefault="00350C1D" w:rsidP="00DB3615">
            <w:pPr>
              <w:spacing w:after="0" w:line="240" w:lineRule="auto"/>
              <w:jc w:val="center"/>
              <w:rPr>
                <w:rFonts w:ascii="Calibri" w:eastAsia="Times New Roman" w:hAnsi="Calibri" w:cs="Calibri"/>
                <w:color w:val="000000"/>
              </w:rPr>
            </w:pPr>
            <w:r w:rsidRPr="004E0937">
              <w:rPr>
                <w:rFonts w:ascii="Calibri" w:eastAsia="Times New Roman" w:hAnsi="Calibri" w:cs="Calibri"/>
                <w:color w:val="000000"/>
              </w:rPr>
              <w:t>AFR</w:t>
            </w:r>
          </w:p>
        </w:tc>
        <w:tc>
          <w:tcPr>
            <w:tcW w:w="458" w:type="pct"/>
            <w:tcBorders>
              <w:top w:val="nil"/>
              <w:left w:val="nil"/>
              <w:bottom w:val="nil"/>
              <w:right w:val="nil"/>
            </w:tcBorders>
            <w:shd w:val="clear" w:color="auto" w:fill="auto"/>
            <w:vAlign w:val="bottom"/>
            <w:hideMark/>
          </w:tcPr>
          <w:p w14:paraId="13299C77" w14:textId="77777777" w:rsidR="00350C1D" w:rsidRPr="004E0937" w:rsidRDefault="00350C1D" w:rsidP="00DB3615">
            <w:pPr>
              <w:spacing w:after="0" w:line="240" w:lineRule="auto"/>
              <w:jc w:val="left"/>
              <w:rPr>
                <w:rFonts w:ascii="Calibri" w:eastAsia="Times New Roman" w:hAnsi="Calibri" w:cs="Calibri"/>
                <w:color w:val="000000"/>
              </w:rPr>
            </w:pPr>
            <w:r w:rsidRPr="004E0937">
              <w:rPr>
                <w:rFonts w:ascii="Calibri" w:eastAsia="Times New Roman" w:hAnsi="Calibri" w:cs="Calibri"/>
                <w:color w:val="000000"/>
              </w:rPr>
              <w:t>Stop gained</w:t>
            </w:r>
          </w:p>
        </w:tc>
        <w:tc>
          <w:tcPr>
            <w:tcW w:w="413" w:type="pct"/>
            <w:tcBorders>
              <w:top w:val="nil"/>
              <w:left w:val="nil"/>
              <w:bottom w:val="nil"/>
              <w:right w:val="nil"/>
            </w:tcBorders>
            <w:shd w:val="clear" w:color="auto" w:fill="auto"/>
            <w:vAlign w:val="bottom"/>
            <w:hideMark/>
          </w:tcPr>
          <w:p w14:paraId="3E6437DB" w14:textId="77777777" w:rsidR="00350C1D" w:rsidRPr="004E0937" w:rsidRDefault="00350C1D" w:rsidP="00DB3615">
            <w:pPr>
              <w:spacing w:after="0" w:line="240" w:lineRule="auto"/>
              <w:jc w:val="left"/>
              <w:rPr>
                <w:rFonts w:ascii="Calibri" w:eastAsia="Times New Roman" w:hAnsi="Calibri" w:cs="Calibri"/>
                <w:color w:val="000000"/>
              </w:rPr>
            </w:pPr>
          </w:p>
        </w:tc>
        <w:tc>
          <w:tcPr>
            <w:tcW w:w="417" w:type="pct"/>
            <w:tcBorders>
              <w:top w:val="nil"/>
              <w:left w:val="nil"/>
              <w:bottom w:val="nil"/>
              <w:right w:val="nil"/>
            </w:tcBorders>
            <w:shd w:val="clear" w:color="auto" w:fill="auto"/>
            <w:noWrap/>
            <w:vAlign w:val="bottom"/>
            <w:hideMark/>
          </w:tcPr>
          <w:p w14:paraId="25BF8FFF" w14:textId="77777777" w:rsidR="00350C1D" w:rsidRPr="004E0937" w:rsidRDefault="00350C1D" w:rsidP="00DB3615">
            <w:pPr>
              <w:spacing w:after="0" w:line="240" w:lineRule="auto"/>
              <w:jc w:val="left"/>
              <w:rPr>
                <w:rFonts w:ascii="Times New Roman" w:eastAsia="Times New Roman" w:hAnsi="Times New Roman" w:cs="Times New Roman"/>
                <w:sz w:val="20"/>
                <w:szCs w:val="20"/>
              </w:rPr>
            </w:pPr>
          </w:p>
        </w:tc>
      </w:tr>
      <w:tr w:rsidR="00350C1D" w:rsidRPr="004E0937" w14:paraId="6A0BD180" w14:textId="77777777" w:rsidTr="00350C1D">
        <w:trPr>
          <w:trHeight w:val="550"/>
        </w:trPr>
        <w:tc>
          <w:tcPr>
            <w:tcW w:w="184" w:type="pct"/>
            <w:tcBorders>
              <w:top w:val="nil"/>
              <w:left w:val="nil"/>
              <w:bottom w:val="nil"/>
              <w:right w:val="nil"/>
            </w:tcBorders>
            <w:shd w:val="clear" w:color="auto" w:fill="auto"/>
            <w:noWrap/>
            <w:vAlign w:val="bottom"/>
            <w:hideMark/>
          </w:tcPr>
          <w:p w14:paraId="4F03D3A7" w14:textId="77777777" w:rsidR="00350C1D" w:rsidRPr="004E0937" w:rsidRDefault="00350C1D" w:rsidP="00DB3615">
            <w:pPr>
              <w:spacing w:after="0" w:line="240" w:lineRule="auto"/>
              <w:jc w:val="center"/>
              <w:rPr>
                <w:rFonts w:ascii="Calibri" w:eastAsia="Times New Roman" w:hAnsi="Calibri" w:cs="Calibri"/>
                <w:color w:val="000000"/>
              </w:rPr>
            </w:pPr>
            <w:r w:rsidRPr="004E0937">
              <w:rPr>
                <w:rFonts w:ascii="Calibri" w:eastAsia="Times New Roman" w:hAnsi="Calibri" w:cs="Calibri"/>
                <w:color w:val="000000"/>
              </w:rPr>
              <w:t>13</w:t>
            </w:r>
          </w:p>
        </w:tc>
        <w:tc>
          <w:tcPr>
            <w:tcW w:w="190" w:type="pct"/>
            <w:tcBorders>
              <w:top w:val="nil"/>
              <w:left w:val="nil"/>
              <w:bottom w:val="nil"/>
              <w:right w:val="nil"/>
            </w:tcBorders>
            <w:vAlign w:val="bottom"/>
          </w:tcPr>
          <w:p w14:paraId="3DCCD413" w14:textId="6CC35E15" w:rsidR="00350C1D" w:rsidRDefault="00350C1D" w:rsidP="00DB3615">
            <w:pPr>
              <w:spacing w:after="0" w:line="240" w:lineRule="auto"/>
              <w:jc w:val="center"/>
              <w:rPr>
                <w:rFonts w:ascii="Calibri" w:eastAsia="Times New Roman" w:hAnsi="Calibri" w:cs="Calibri"/>
                <w:color w:val="000000"/>
              </w:rPr>
            </w:pPr>
            <w:r>
              <w:rPr>
                <w:rFonts w:ascii="Calibri" w:eastAsia="Times New Roman" w:hAnsi="Calibri" w:cs="Calibri"/>
                <w:color w:val="000000"/>
              </w:rPr>
              <w:t>Yes</w:t>
            </w:r>
          </w:p>
        </w:tc>
        <w:tc>
          <w:tcPr>
            <w:tcW w:w="498" w:type="pct"/>
            <w:tcBorders>
              <w:top w:val="nil"/>
              <w:left w:val="nil"/>
              <w:bottom w:val="nil"/>
              <w:right w:val="nil"/>
            </w:tcBorders>
            <w:shd w:val="clear" w:color="auto" w:fill="auto"/>
            <w:noWrap/>
            <w:vAlign w:val="bottom"/>
            <w:hideMark/>
          </w:tcPr>
          <w:p w14:paraId="60DB7EF7" w14:textId="4CC2F15D" w:rsidR="00350C1D" w:rsidRPr="004E0937" w:rsidRDefault="00350C1D" w:rsidP="00DB3615">
            <w:pPr>
              <w:spacing w:after="0" w:line="240" w:lineRule="auto"/>
              <w:jc w:val="center"/>
              <w:rPr>
                <w:rFonts w:ascii="Calibri" w:eastAsia="Times New Roman" w:hAnsi="Calibri" w:cs="Calibri"/>
                <w:color w:val="000000"/>
              </w:rPr>
            </w:pPr>
          </w:p>
        </w:tc>
        <w:tc>
          <w:tcPr>
            <w:tcW w:w="374" w:type="pct"/>
            <w:tcBorders>
              <w:top w:val="nil"/>
              <w:left w:val="nil"/>
              <w:bottom w:val="nil"/>
              <w:right w:val="nil"/>
            </w:tcBorders>
            <w:shd w:val="clear" w:color="auto" w:fill="auto"/>
            <w:noWrap/>
            <w:vAlign w:val="bottom"/>
            <w:hideMark/>
          </w:tcPr>
          <w:p w14:paraId="5FA2A6A4" w14:textId="77777777" w:rsidR="00350C1D" w:rsidRPr="004E0937" w:rsidRDefault="00350C1D" w:rsidP="00DB3615">
            <w:pPr>
              <w:spacing w:after="0" w:line="240" w:lineRule="auto"/>
              <w:jc w:val="center"/>
              <w:rPr>
                <w:rFonts w:ascii="Times New Roman" w:eastAsia="Times New Roman" w:hAnsi="Times New Roman" w:cs="Times New Roman"/>
                <w:sz w:val="20"/>
                <w:szCs w:val="20"/>
              </w:rPr>
            </w:pPr>
          </w:p>
        </w:tc>
        <w:tc>
          <w:tcPr>
            <w:tcW w:w="498" w:type="pct"/>
            <w:gridSpan w:val="3"/>
            <w:tcBorders>
              <w:top w:val="nil"/>
              <w:left w:val="nil"/>
              <w:bottom w:val="nil"/>
              <w:right w:val="nil"/>
            </w:tcBorders>
            <w:shd w:val="clear" w:color="auto" w:fill="auto"/>
            <w:noWrap/>
            <w:vAlign w:val="bottom"/>
            <w:hideMark/>
          </w:tcPr>
          <w:p w14:paraId="7DDFC468" w14:textId="77777777" w:rsidR="00350C1D" w:rsidRPr="004E0937" w:rsidRDefault="00350C1D" w:rsidP="00DB3615">
            <w:pPr>
              <w:spacing w:after="0" w:line="240" w:lineRule="auto"/>
              <w:jc w:val="center"/>
              <w:rPr>
                <w:rFonts w:ascii="Times New Roman" w:eastAsia="Times New Roman" w:hAnsi="Times New Roman" w:cs="Times New Roman"/>
                <w:sz w:val="20"/>
                <w:szCs w:val="20"/>
              </w:rPr>
            </w:pPr>
          </w:p>
        </w:tc>
        <w:tc>
          <w:tcPr>
            <w:tcW w:w="1052" w:type="pct"/>
            <w:gridSpan w:val="2"/>
            <w:tcBorders>
              <w:top w:val="nil"/>
              <w:left w:val="nil"/>
              <w:bottom w:val="nil"/>
              <w:right w:val="nil"/>
            </w:tcBorders>
            <w:shd w:val="clear" w:color="auto" w:fill="auto"/>
            <w:vAlign w:val="bottom"/>
            <w:hideMark/>
          </w:tcPr>
          <w:p w14:paraId="0C7EBA07" w14:textId="77777777" w:rsidR="00350C1D" w:rsidRPr="004E0937" w:rsidRDefault="00350C1D" w:rsidP="00DB3615">
            <w:pPr>
              <w:spacing w:after="0" w:line="240" w:lineRule="auto"/>
              <w:jc w:val="left"/>
              <w:rPr>
                <w:rFonts w:ascii="Calibri" w:eastAsia="Times New Roman" w:hAnsi="Calibri" w:cs="Calibri"/>
                <w:color w:val="000000"/>
              </w:rPr>
            </w:pPr>
            <w:r w:rsidRPr="004E0937">
              <w:rPr>
                <w:rFonts w:ascii="Calibri" w:eastAsia="Times New Roman" w:hAnsi="Calibri" w:cs="Calibri"/>
                <w:color w:val="000000"/>
              </w:rPr>
              <w:t>Undiagnosed metabolic disorders Epilepsy plus other features</w:t>
            </w:r>
          </w:p>
        </w:tc>
        <w:tc>
          <w:tcPr>
            <w:tcW w:w="366" w:type="pct"/>
            <w:tcBorders>
              <w:top w:val="nil"/>
              <w:left w:val="nil"/>
              <w:bottom w:val="nil"/>
              <w:right w:val="nil"/>
            </w:tcBorders>
            <w:shd w:val="clear" w:color="auto" w:fill="auto"/>
            <w:noWrap/>
            <w:vAlign w:val="bottom"/>
            <w:hideMark/>
          </w:tcPr>
          <w:p w14:paraId="74B355E9" w14:textId="77777777" w:rsidR="00350C1D" w:rsidRPr="004E0937" w:rsidRDefault="00350C1D" w:rsidP="00DB3615">
            <w:pPr>
              <w:spacing w:after="0" w:line="240" w:lineRule="auto"/>
              <w:jc w:val="left"/>
              <w:rPr>
                <w:rFonts w:ascii="Calibri" w:eastAsia="Times New Roman" w:hAnsi="Calibri" w:cs="Calibri"/>
                <w:color w:val="000000"/>
              </w:rPr>
            </w:pPr>
            <w:r w:rsidRPr="004E0937">
              <w:rPr>
                <w:rFonts w:ascii="Calibri" w:eastAsia="Times New Roman" w:hAnsi="Calibri" w:cs="Calibri"/>
                <w:color w:val="000000"/>
              </w:rPr>
              <w:t>Relative</w:t>
            </w:r>
          </w:p>
        </w:tc>
        <w:tc>
          <w:tcPr>
            <w:tcW w:w="120" w:type="pct"/>
            <w:tcBorders>
              <w:top w:val="nil"/>
              <w:left w:val="nil"/>
              <w:bottom w:val="nil"/>
              <w:right w:val="nil"/>
            </w:tcBorders>
            <w:shd w:val="clear" w:color="auto" w:fill="auto"/>
            <w:noWrap/>
            <w:vAlign w:val="bottom"/>
            <w:hideMark/>
          </w:tcPr>
          <w:p w14:paraId="1EF3D4C4" w14:textId="77777777" w:rsidR="00350C1D" w:rsidRPr="004E0937" w:rsidRDefault="00350C1D" w:rsidP="00DB3615">
            <w:pPr>
              <w:spacing w:after="0" w:line="240" w:lineRule="auto"/>
              <w:jc w:val="center"/>
              <w:rPr>
                <w:rFonts w:ascii="Calibri" w:eastAsia="Times New Roman" w:hAnsi="Calibri" w:cs="Calibri"/>
                <w:color w:val="000000"/>
              </w:rPr>
            </w:pPr>
            <w:r w:rsidRPr="004E0937">
              <w:rPr>
                <w:rFonts w:ascii="Calibri" w:eastAsia="Times New Roman" w:hAnsi="Calibri" w:cs="Calibri"/>
                <w:color w:val="000000"/>
              </w:rPr>
              <w:t>F</w:t>
            </w:r>
          </w:p>
        </w:tc>
        <w:tc>
          <w:tcPr>
            <w:tcW w:w="430" w:type="pct"/>
            <w:tcBorders>
              <w:top w:val="nil"/>
              <w:left w:val="nil"/>
              <w:bottom w:val="nil"/>
              <w:right w:val="nil"/>
            </w:tcBorders>
            <w:shd w:val="clear" w:color="auto" w:fill="auto"/>
            <w:noWrap/>
            <w:vAlign w:val="bottom"/>
            <w:hideMark/>
          </w:tcPr>
          <w:p w14:paraId="0B362644" w14:textId="77777777" w:rsidR="00350C1D" w:rsidRPr="004E0937" w:rsidRDefault="00350C1D" w:rsidP="00DB3615">
            <w:pPr>
              <w:spacing w:after="0" w:line="240" w:lineRule="auto"/>
              <w:jc w:val="center"/>
              <w:rPr>
                <w:rFonts w:ascii="Calibri" w:eastAsia="Times New Roman" w:hAnsi="Calibri" w:cs="Calibri"/>
                <w:color w:val="000000"/>
              </w:rPr>
            </w:pPr>
            <w:r w:rsidRPr="004E0937">
              <w:rPr>
                <w:rFonts w:ascii="Calibri" w:eastAsia="Times New Roman" w:hAnsi="Calibri" w:cs="Calibri"/>
                <w:color w:val="000000"/>
              </w:rPr>
              <w:t>SAS</w:t>
            </w:r>
          </w:p>
        </w:tc>
        <w:tc>
          <w:tcPr>
            <w:tcW w:w="458" w:type="pct"/>
            <w:tcBorders>
              <w:top w:val="nil"/>
              <w:left w:val="nil"/>
              <w:bottom w:val="nil"/>
              <w:right w:val="nil"/>
            </w:tcBorders>
            <w:shd w:val="clear" w:color="auto" w:fill="auto"/>
            <w:vAlign w:val="bottom"/>
            <w:hideMark/>
          </w:tcPr>
          <w:p w14:paraId="3766C7FC" w14:textId="77777777" w:rsidR="00350C1D" w:rsidRPr="004E0937" w:rsidRDefault="00350C1D" w:rsidP="00DB3615">
            <w:pPr>
              <w:spacing w:after="0" w:line="240" w:lineRule="auto"/>
              <w:jc w:val="left"/>
              <w:rPr>
                <w:rFonts w:ascii="Calibri" w:eastAsia="Times New Roman" w:hAnsi="Calibri" w:cs="Calibri"/>
                <w:color w:val="000000"/>
              </w:rPr>
            </w:pPr>
            <w:r w:rsidRPr="004E0937">
              <w:rPr>
                <w:rFonts w:ascii="Calibri" w:eastAsia="Times New Roman" w:hAnsi="Calibri" w:cs="Calibri"/>
                <w:color w:val="000000"/>
              </w:rPr>
              <w:t>Compound het intronic*</w:t>
            </w:r>
          </w:p>
        </w:tc>
        <w:tc>
          <w:tcPr>
            <w:tcW w:w="413" w:type="pct"/>
            <w:tcBorders>
              <w:top w:val="nil"/>
              <w:left w:val="nil"/>
              <w:bottom w:val="nil"/>
              <w:right w:val="nil"/>
            </w:tcBorders>
            <w:shd w:val="clear" w:color="auto" w:fill="auto"/>
            <w:vAlign w:val="bottom"/>
            <w:hideMark/>
          </w:tcPr>
          <w:p w14:paraId="7D12DABF" w14:textId="77777777" w:rsidR="00350C1D" w:rsidRPr="004E0937" w:rsidRDefault="00350C1D" w:rsidP="00DB3615">
            <w:pPr>
              <w:spacing w:after="0" w:line="240" w:lineRule="auto"/>
              <w:jc w:val="left"/>
              <w:rPr>
                <w:rFonts w:ascii="Calibri" w:eastAsia="Times New Roman" w:hAnsi="Calibri" w:cs="Calibri"/>
                <w:color w:val="000000"/>
              </w:rPr>
            </w:pPr>
            <w:r w:rsidRPr="004E0937">
              <w:rPr>
                <w:rFonts w:ascii="Calibri" w:eastAsia="Times New Roman" w:hAnsi="Calibri" w:cs="Calibri"/>
                <w:color w:val="000000"/>
              </w:rPr>
              <w:t>Compound het intronic*</w:t>
            </w:r>
          </w:p>
        </w:tc>
        <w:tc>
          <w:tcPr>
            <w:tcW w:w="417" w:type="pct"/>
            <w:tcBorders>
              <w:top w:val="nil"/>
              <w:left w:val="nil"/>
              <w:bottom w:val="nil"/>
              <w:right w:val="nil"/>
            </w:tcBorders>
            <w:shd w:val="clear" w:color="auto" w:fill="auto"/>
            <w:noWrap/>
            <w:vAlign w:val="bottom"/>
            <w:hideMark/>
          </w:tcPr>
          <w:p w14:paraId="575EC72C" w14:textId="77777777" w:rsidR="00350C1D" w:rsidRPr="001064BB" w:rsidRDefault="00350C1D" w:rsidP="00DB3615">
            <w:pPr>
              <w:spacing w:after="0" w:line="240" w:lineRule="auto"/>
              <w:jc w:val="center"/>
              <w:rPr>
                <w:rFonts w:ascii="Calibri" w:eastAsia="Times New Roman" w:hAnsi="Calibri" w:cs="Calibri"/>
                <w:i/>
                <w:iCs/>
                <w:color w:val="000000"/>
              </w:rPr>
            </w:pPr>
            <w:r w:rsidRPr="001064BB">
              <w:rPr>
                <w:rFonts w:ascii="Calibri" w:eastAsia="Times New Roman" w:hAnsi="Calibri" w:cs="Calibri"/>
                <w:i/>
                <w:iCs/>
                <w:color w:val="000000"/>
              </w:rPr>
              <w:t>NSUN2</w:t>
            </w:r>
          </w:p>
        </w:tc>
      </w:tr>
      <w:tr w:rsidR="00350C1D" w:rsidRPr="004E0937" w14:paraId="7E9BA511" w14:textId="77777777" w:rsidTr="00350C1D">
        <w:trPr>
          <w:trHeight w:val="550"/>
        </w:trPr>
        <w:tc>
          <w:tcPr>
            <w:tcW w:w="184" w:type="pct"/>
            <w:tcBorders>
              <w:top w:val="nil"/>
              <w:left w:val="nil"/>
              <w:bottom w:val="nil"/>
              <w:right w:val="nil"/>
            </w:tcBorders>
            <w:shd w:val="clear" w:color="CCFFFF" w:fill="DEEBF7"/>
            <w:noWrap/>
            <w:vAlign w:val="bottom"/>
            <w:hideMark/>
          </w:tcPr>
          <w:p w14:paraId="627118A1" w14:textId="77777777" w:rsidR="00350C1D" w:rsidRPr="004E0937" w:rsidRDefault="00350C1D" w:rsidP="00DB3615">
            <w:pPr>
              <w:spacing w:after="0" w:line="240" w:lineRule="auto"/>
              <w:jc w:val="center"/>
              <w:rPr>
                <w:rFonts w:ascii="Calibri" w:eastAsia="Times New Roman" w:hAnsi="Calibri" w:cs="Calibri"/>
                <w:color w:val="000000"/>
              </w:rPr>
            </w:pPr>
            <w:r w:rsidRPr="004E0937">
              <w:rPr>
                <w:rFonts w:ascii="Calibri" w:eastAsia="Times New Roman" w:hAnsi="Calibri" w:cs="Calibri"/>
                <w:color w:val="000000"/>
              </w:rPr>
              <w:t>14</w:t>
            </w:r>
          </w:p>
        </w:tc>
        <w:tc>
          <w:tcPr>
            <w:tcW w:w="190" w:type="pct"/>
            <w:tcBorders>
              <w:top w:val="nil"/>
              <w:left w:val="nil"/>
              <w:bottom w:val="nil"/>
              <w:right w:val="nil"/>
            </w:tcBorders>
            <w:shd w:val="clear" w:color="CCFFFF" w:fill="DEEBF7"/>
            <w:vAlign w:val="bottom"/>
          </w:tcPr>
          <w:p w14:paraId="0935129F" w14:textId="1DFD3BF3" w:rsidR="00350C1D" w:rsidRDefault="00350C1D" w:rsidP="00DB3615">
            <w:pPr>
              <w:spacing w:after="0" w:line="240" w:lineRule="auto"/>
              <w:jc w:val="center"/>
              <w:rPr>
                <w:rFonts w:ascii="Calibri" w:eastAsia="Times New Roman" w:hAnsi="Calibri" w:cs="Calibri"/>
                <w:color w:val="000000"/>
              </w:rPr>
            </w:pPr>
            <w:r>
              <w:rPr>
                <w:rFonts w:ascii="Calibri" w:eastAsia="Times New Roman" w:hAnsi="Calibri" w:cs="Calibri"/>
                <w:color w:val="000000"/>
              </w:rPr>
              <w:t>Yes</w:t>
            </w:r>
          </w:p>
        </w:tc>
        <w:tc>
          <w:tcPr>
            <w:tcW w:w="498" w:type="pct"/>
            <w:tcBorders>
              <w:top w:val="nil"/>
              <w:left w:val="nil"/>
              <w:bottom w:val="nil"/>
              <w:right w:val="nil"/>
            </w:tcBorders>
            <w:shd w:val="clear" w:color="CCFFFF" w:fill="DEEBF7"/>
            <w:noWrap/>
            <w:vAlign w:val="bottom"/>
            <w:hideMark/>
          </w:tcPr>
          <w:p w14:paraId="27CABF5E" w14:textId="7DDA0869" w:rsidR="00350C1D" w:rsidRPr="004E0937" w:rsidRDefault="00350C1D" w:rsidP="00DB3615">
            <w:pPr>
              <w:spacing w:after="0" w:line="240" w:lineRule="auto"/>
              <w:jc w:val="center"/>
              <w:rPr>
                <w:rFonts w:ascii="Calibri" w:eastAsia="Times New Roman" w:hAnsi="Calibri" w:cs="Calibri"/>
                <w:color w:val="000000"/>
              </w:rPr>
            </w:pPr>
            <w:r w:rsidRPr="004E0937">
              <w:rPr>
                <w:rFonts w:ascii="Calibri" w:eastAsia="Times New Roman" w:hAnsi="Calibri" w:cs="Calibri"/>
                <w:color w:val="000000"/>
              </w:rPr>
              <w:t> </w:t>
            </w:r>
          </w:p>
        </w:tc>
        <w:tc>
          <w:tcPr>
            <w:tcW w:w="374" w:type="pct"/>
            <w:tcBorders>
              <w:top w:val="nil"/>
              <w:left w:val="nil"/>
              <w:bottom w:val="nil"/>
              <w:right w:val="nil"/>
            </w:tcBorders>
            <w:shd w:val="clear" w:color="CCFFFF" w:fill="DEEBF7"/>
            <w:noWrap/>
            <w:vAlign w:val="bottom"/>
            <w:hideMark/>
          </w:tcPr>
          <w:p w14:paraId="281C3BB0" w14:textId="77777777" w:rsidR="00350C1D" w:rsidRPr="004E0937" w:rsidRDefault="00350C1D" w:rsidP="00DB3615">
            <w:pPr>
              <w:spacing w:after="0" w:line="240" w:lineRule="auto"/>
              <w:jc w:val="center"/>
              <w:rPr>
                <w:rFonts w:ascii="Calibri" w:eastAsia="Times New Roman" w:hAnsi="Calibri" w:cs="Calibri"/>
                <w:color w:val="000000"/>
              </w:rPr>
            </w:pPr>
            <w:r w:rsidRPr="004E0937">
              <w:rPr>
                <w:rFonts w:ascii="Calibri" w:eastAsia="Times New Roman" w:hAnsi="Calibri" w:cs="Calibri"/>
                <w:color w:val="000000"/>
              </w:rPr>
              <w:t> </w:t>
            </w:r>
          </w:p>
        </w:tc>
        <w:tc>
          <w:tcPr>
            <w:tcW w:w="498" w:type="pct"/>
            <w:gridSpan w:val="3"/>
            <w:tcBorders>
              <w:top w:val="nil"/>
              <w:left w:val="nil"/>
              <w:bottom w:val="nil"/>
              <w:right w:val="nil"/>
            </w:tcBorders>
            <w:shd w:val="clear" w:color="CCFFFF" w:fill="DEEBF7"/>
            <w:noWrap/>
            <w:vAlign w:val="bottom"/>
            <w:hideMark/>
          </w:tcPr>
          <w:p w14:paraId="5E2A8DCD" w14:textId="77777777" w:rsidR="00350C1D" w:rsidRPr="004E0937" w:rsidRDefault="00350C1D" w:rsidP="00DB3615">
            <w:pPr>
              <w:spacing w:after="0" w:line="240" w:lineRule="auto"/>
              <w:jc w:val="center"/>
              <w:rPr>
                <w:rFonts w:ascii="Calibri" w:eastAsia="Times New Roman" w:hAnsi="Calibri" w:cs="Calibri"/>
                <w:color w:val="000000"/>
              </w:rPr>
            </w:pPr>
            <w:r w:rsidRPr="004E0937">
              <w:rPr>
                <w:rFonts w:ascii="Calibri" w:eastAsia="Times New Roman" w:hAnsi="Calibri" w:cs="Calibri"/>
                <w:color w:val="000000"/>
              </w:rPr>
              <w:t>0 to 1</w:t>
            </w:r>
          </w:p>
        </w:tc>
        <w:tc>
          <w:tcPr>
            <w:tcW w:w="1052" w:type="pct"/>
            <w:gridSpan w:val="2"/>
            <w:tcBorders>
              <w:top w:val="nil"/>
              <w:left w:val="nil"/>
              <w:bottom w:val="nil"/>
              <w:right w:val="nil"/>
            </w:tcBorders>
            <w:shd w:val="clear" w:color="CCFFFF" w:fill="DEEBF7"/>
            <w:vAlign w:val="bottom"/>
            <w:hideMark/>
          </w:tcPr>
          <w:p w14:paraId="218EDA86" w14:textId="77777777" w:rsidR="00350C1D" w:rsidRPr="004E0937" w:rsidRDefault="00350C1D" w:rsidP="00DB3615">
            <w:pPr>
              <w:spacing w:after="0" w:line="240" w:lineRule="auto"/>
              <w:jc w:val="left"/>
              <w:rPr>
                <w:rFonts w:ascii="Calibri" w:eastAsia="Times New Roman" w:hAnsi="Calibri" w:cs="Calibri"/>
                <w:color w:val="000000"/>
              </w:rPr>
            </w:pPr>
            <w:r w:rsidRPr="004E0937">
              <w:rPr>
                <w:rFonts w:ascii="Calibri" w:eastAsia="Times New Roman" w:hAnsi="Calibri" w:cs="Calibri"/>
                <w:color w:val="000000"/>
              </w:rPr>
              <w:t>Intellectual disability</w:t>
            </w:r>
          </w:p>
        </w:tc>
        <w:tc>
          <w:tcPr>
            <w:tcW w:w="366" w:type="pct"/>
            <w:tcBorders>
              <w:top w:val="nil"/>
              <w:left w:val="nil"/>
              <w:bottom w:val="nil"/>
              <w:right w:val="nil"/>
            </w:tcBorders>
            <w:shd w:val="clear" w:color="CCFFFF" w:fill="DEEBF7"/>
            <w:noWrap/>
            <w:vAlign w:val="bottom"/>
            <w:hideMark/>
          </w:tcPr>
          <w:p w14:paraId="0062137C" w14:textId="77777777" w:rsidR="00350C1D" w:rsidRPr="004E0937" w:rsidRDefault="00350C1D" w:rsidP="00DB3615">
            <w:pPr>
              <w:spacing w:after="0" w:line="240" w:lineRule="auto"/>
              <w:jc w:val="left"/>
              <w:rPr>
                <w:rFonts w:ascii="Calibri" w:eastAsia="Times New Roman" w:hAnsi="Calibri" w:cs="Calibri"/>
                <w:color w:val="000000"/>
              </w:rPr>
            </w:pPr>
            <w:r w:rsidRPr="004E0937">
              <w:rPr>
                <w:rFonts w:ascii="Calibri" w:eastAsia="Times New Roman" w:hAnsi="Calibri" w:cs="Calibri"/>
                <w:color w:val="000000"/>
              </w:rPr>
              <w:t>Proband</w:t>
            </w:r>
          </w:p>
        </w:tc>
        <w:tc>
          <w:tcPr>
            <w:tcW w:w="120" w:type="pct"/>
            <w:tcBorders>
              <w:top w:val="nil"/>
              <w:left w:val="nil"/>
              <w:bottom w:val="nil"/>
              <w:right w:val="nil"/>
            </w:tcBorders>
            <w:shd w:val="clear" w:color="CCFFFF" w:fill="DEEBF7"/>
            <w:noWrap/>
            <w:vAlign w:val="bottom"/>
            <w:hideMark/>
          </w:tcPr>
          <w:p w14:paraId="4D92367E" w14:textId="77777777" w:rsidR="00350C1D" w:rsidRPr="004E0937" w:rsidRDefault="00350C1D" w:rsidP="00DB3615">
            <w:pPr>
              <w:spacing w:after="0" w:line="240" w:lineRule="auto"/>
              <w:jc w:val="center"/>
              <w:rPr>
                <w:rFonts w:ascii="Calibri" w:eastAsia="Times New Roman" w:hAnsi="Calibri" w:cs="Calibri"/>
                <w:color w:val="000000"/>
              </w:rPr>
            </w:pPr>
            <w:r w:rsidRPr="004E0937">
              <w:rPr>
                <w:rFonts w:ascii="Calibri" w:eastAsia="Times New Roman" w:hAnsi="Calibri" w:cs="Calibri"/>
                <w:color w:val="000000"/>
              </w:rPr>
              <w:t>M</w:t>
            </w:r>
          </w:p>
        </w:tc>
        <w:tc>
          <w:tcPr>
            <w:tcW w:w="430" w:type="pct"/>
            <w:tcBorders>
              <w:top w:val="nil"/>
              <w:left w:val="nil"/>
              <w:bottom w:val="nil"/>
              <w:right w:val="nil"/>
            </w:tcBorders>
            <w:shd w:val="clear" w:color="CCFFFF" w:fill="DEEBF7"/>
            <w:noWrap/>
            <w:vAlign w:val="bottom"/>
            <w:hideMark/>
          </w:tcPr>
          <w:p w14:paraId="7D414D53" w14:textId="77777777" w:rsidR="00350C1D" w:rsidRPr="004E0937" w:rsidRDefault="00350C1D" w:rsidP="00DB3615">
            <w:pPr>
              <w:spacing w:after="0" w:line="240" w:lineRule="auto"/>
              <w:jc w:val="center"/>
              <w:rPr>
                <w:rFonts w:ascii="Calibri" w:eastAsia="Times New Roman" w:hAnsi="Calibri" w:cs="Calibri"/>
                <w:color w:val="000000"/>
              </w:rPr>
            </w:pPr>
            <w:r w:rsidRPr="004E0937">
              <w:rPr>
                <w:rFonts w:ascii="Calibri" w:eastAsia="Times New Roman" w:hAnsi="Calibri" w:cs="Calibri"/>
                <w:color w:val="000000"/>
              </w:rPr>
              <w:t>EUR</w:t>
            </w:r>
          </w:p>
        </w:tc>
        <w:tc>
          <w:tcPr>
            <w:tcW w:w="458" w:type="pct"/>
            <w:tcBorders>
              <w:top w:val="nil"/>
              <w:left w:val="nil"/>
              <w:bottom w:val="nil"/>
              <w:right w:val="nil"/>
            </w:tcBorders>
            <w:shd w:val="clear" w:color="CCFFFF" w:fill="DEEBF7"/>
            <w:vAlign w:val="bottom"/>
            <w:hideMark/>
          </w:tcPr>
          <w:p w14:paraId="4D40514D" w14:textId="77777777" w:rsidR="00350C1D" w:rsidRPr="004E0937" w:rsidRDefault="00350C1D" w:rsidP="00DB3615">
            <w:pPr>
              <w:spacing w:after="0" w:line="240" w:lineRule="auto"/>
              <w:jc w:val="left"/>
              <w:rPr>
                <w:rFonts w:ascii="Calibri" w:eastAsia="Times New Roman" w:hAnsi="Calibri" w:cs="Calibri"/>
                <w:color w:val="000000"/>
              </w:rPr>
            </w:pPr>
            <w:r w:rsidRPr="004E0937">
              <w:rPr>
                <w:rFonts w:ascii="Calibri" w:eastAsia="Times New Roman" w:hAnsi="Calibri" w:cs="Calibri"/>
                <w:color w:val="000000"/>
              </w:rPr>
              <w:t>Compound het Missense*</w:t>
            </w:r>
          </w:p>
        </w:tc>
        <w:tc>
          <w:tcPr>
            <w:tcW w:w="413" w:type="pct"/>
            <w:tcBorders>
              <w:top w:val="nil"/>
              <w:left w:val="nil"/>
              <w:bottom w:val="nil"/>
              <w:right w:val="nil"/>
            </w:tcBorders>
            <w:shd w:val="clear" w:color="CCFFFF" w:fill="DEEBF7"/>
            <w:vAlign w:val="bottom"/>
            <w:hideMark/>
          </w:tcPr>
          <w:p w14:paraId="377BE365" w14:textId="77777777" w:rsidR="00350C1D" w:rsidRPr="004E0937" w:rsidRDefault="00350C1D" w:rsidP="00DB3615">
            <w:pPr>
              <w:spacing w:after="0" w:line="240" w:lineRule="auto"/>
              <w:jc w:val="left"/>
              <w:rPr>
                <w:rFonts w:ascii="Calibri" w:eastAsia="Times New Roman" w:hAnsi="Calibri" w:cs="Calibri"/>
                <w:color w:val="000000"/>
              </w:rPr>
            </w:pPr>
            <w:r w:rsidRPr="004E0937">
              <w:rPr>
                <w:rFonts w:ascii="Calibri" w:eastAsia="Times New Roman" w:hAnsi="Calibri" w:cs="Calibri"/>
                <w:color w:val="000000"/>
              </w:rPr>
              <w:t>Compound het Missense*</w:t>
            </w:r>
          </w:p>
        </w:tc>
        <w:tc>
          <w:tcPr>
            <w:tcW w:w="417" w:type="pct"/>
            <w:tcBorders>
              <w:top w:val="nil"/>
              <w:left w:val="nil"/>
              <w:bottom w:val="nil"/>
              <w:right w:val="nil"/>
            </w:tcBorders>
            <w:shd w:val="clear" w:color="CCFFFF" w:fill="DEEBF7"/>
            <w:noWrap/>
            <w:vAlign w:val="bottom"/>
            <w:hideMark/>
          </w:tcPr>
          <w:p w14:paraId="26CF6D2A" w14:textId="77777777" w:rsidR="00350C1D" w:rsidRPr="001064BB" w:rsidRDefault="00350C1D" w:rsidP="00DB3615">
            <w:pPr>
              <w:spacing w:after="0" w:line="240" w:lineRule="auto"/>
              <w:jc w:val="center"/>
              <w:rPr>
                <w:rFonts w:ascii="Calibri" w:eastAsia="Times New Roman" w:hAnsi="Calibri" w:cs="Calibri"/>
                <w:i/>
                <w:iCs/>
                <w:color w:val="000000"/>
              </w:rPr>
            </w:pPr>
            <w:r w:rsidRPr="001064BB">
              <w:rPr>
                <w:rFonts w:ascii="Calibri" w:eastAsia="Times New Roman" w:hAnsi="Calibri" w:cs="Calibri"/>
                <w:i/>
                <w:iCs/>
                <w:color w:val="000000"/>
              </w:rPr>
              <w:t>TAFFAZIN</w:t>
            </w:r>
          </w:p>
        </w:tc>
      </w:tr>
      <w:tr w:rsidR="00350C1D" w:rsidRPr="004E0937" w14:paraId="480705ED" w14:textId="77777777" w:rsidTr="00350C1D">
        <w:trPr>
          <w:trHeight w:val="300"/>
        </w:trPr>
        <w:tc>
          <w:tcPr>
            <w:tcW w:w="184" w:type="pct"/>
            <w:tcBorders>
              <w:top w:val="nil"/>
              <w:left w:val="nil"/>
              <w:bottom w:val="nil"/>
              <w:right w:val="nil"/>
            </w:tcBorders>
            <w:shd w:val="clear" w:color="FFFF00" w:fill="9BC2E6"/>
            <w:noWrap/>
            <w:vAlign w:val="bottom"/>
            <w:hideMark/>
          </w:tcPr>
          <w:p w14:paraId="341881F3" w14:textId="77777777" w:rsidR="00350C1D" w:rsidRPr="004E0937" w:rsidRDefault="00350C1D" w:rsidP="00DB3615">
            <w:pPr>
              <w:spacing w:after="0" w:line="240" w:lineRule="auto"/>
              <w:jc w:val="center"/>
              <w:rPr>
                <w:rFonts w:ascii="Calibri" w:eastAsia="Times New Roman" w:hAnsi="Calibri" w:cs="Calibri"/>
                <w:color w:val="000000"/>
              </w:rPr>
            </w:pPr>
            <w:r w:rsidRPr="004E0937">
              <w:rPr>
                <w:rFonts w:ascii="Calibri" w:eastAsia="Times New Roman" w:hAnsi="Calibri" w:cs="Calibri"/>
                <w:color w:val="000000"/>
              </w:rPr>
              <w:t>15</w:t>
            </w:r>
          </w:p>
        </w:tc>
        <w:tc>
          <w:tcPr>
            <w:tcW w:w="190" w:type="pct"/>
            <w:tcBorders>
              <w:top w:val="nil"/>
              <w:left w:val="nil"/>
              <w:bottom w:val="nil"/>
              <w:right w:val="nil"/>
            </w:tcBorders>
            <w:shd w:val="clear" w:color="FFFF00" w:fill="9BC2E6"/>
            <w:vAlign w:val="bottom"/>
          </w:tcPr>
          <w:p w14:paraId="7B7492F8" w14:textId="16F1978C" w:rsidR="00350C1D" w:rsidRDefault="00350C1D" w:rsidP="00DB3615">
            <w:pPr>
              <w:spacing w:after="0" w:line="240" w:lineRule="auto"/>
              <w:jc w:val="center"/>
              <w:rPr>
                <w:rFonts w:ascii="Calibri" w:eastAsia="Times New Roman" w:hAnsi="Calibri" w:cs="Calibri"/>
                <w:color w:val="000000"/>
              </w:rPr>
            </w:pPr>
            <w:r>
              <w:rPr>
                <w:rFonts w:ascii="Calibri" w:eastAsia="Times New Roman" w:hAnsi="Calibri" w:cs="Calibri"/>
                <w:color w:val="000000"/>
              </w:rPr>
              <w:t>Yes</w:t>
            </w:r>
          </w:p>
        </w:tc>
        <w:tc>
          <w:tcPr>
            <w:tcW w:w="498" w:type="pct"/>
            <w:tcBorders>
              <w:top w:val="nil"/>
              <w:left w:val="nil"/>
              <w:bottom w:val="nil"/>
              <w:right w:val="nil"/>
            </w:tcBorders>
            <w:shd w:val="clear" w:color="FFFF00" w:fill="9BC2E6"/>
            <w:noWrap/>
            <w:vAlign w:val="bottom"/>
            <w:hideMark/>
          </w:tcPr>
          <w:p w14:paraId="2B3E1C06" w14:textId="697AEB39" w:rsidR="00350C1D" w:rsidRPr="004E0937" w:rsidRDefault="00350C1D" w:rsidP="00DB3615">
            <w:pPr>
              <w:spacing w:after="0" w:line="240" w:lineRule="auto"/>
              <w:jc w:val="center"/>
              <w:rPr>
                <w:rFonts w:ascii="Calibri" w:eastAsia="Times New Roman" w:hAnsi="Calibri" w:cs="Calibri"/>
                <w:color w:val="000000"/>
              </w:rPr>
            </w:pPr>
            <w:r w:rsidRPr="004E0937">
              <w:rPr>
                <w:rFonts w:ascii="Calibri" w:eastAsia="Times New Roman" w:hAnsi="Calibri" w:cs="Calibri"/>
                <w:color w:val="000000"/>
              </w:rPr>
              <w:t>11 to 15</w:t>
            </w:r>
          </w:p>
        </w:tc>
        <w:tc>
          <w:tcPr>
            <w:tcW w:w="374" w:type="pct"/>
            <w:tcBorders>
              <w:top w:val="nil"/>
              <w:left w:val="nil"/>
              <w:bottom w:val="nil"/>
              <w:right w:val="nil"/>
            </w:tcBorders>
            <w:shd w:val="clear" w:color="FFFF00" w:fill="9BC2E6"/>
            <w:noWrap/>
            <w:vAlign w:val="bottom"/>
            <w:hideMark/>
          </w:tcPr>
          <w:p w14:paraId="08C5D65E" w14:textId="77777777" w:rsidR="00350C1D" w:rsidRPr="004E0937" w:rsidRDefault="00350C1D" w:rsidP="00DB3615">
            <w:pPr>
              <w:spacing w:after="0" w:line="240" w:lineRule="auto"/>
              <w:jc w:val="center"/>
              <w:rPr>
                <w:rFonts w:ascii="Calibri" w:eastAsia="Times New Roman" w:hAnsi="Calibri" w:cs="Calibri"/>
                <w:color w:val="000000"/>
              </w:rPr>
            </w:pPr>
            <w:r w:rsidRPr="004E0937">
              <w:rPr>
                <w:rFonts w:ascii="Calibri" w:eastAsia="Times New Roman" w:hAnsi="Calibri" w:cs="Calibri"/>
                <w:color w:val="000000"/>
              </w:rPr>
              <w:t> </w:t>
            </w:r>
          </w:p>
        </w:tc>
        <w:tc>
          <w:tcPr>
            <w:tcW w:w="498" w:type="pct"/>
            <w:gridSpan w:val="3"/>
            <w:tcBorders>
              <w:top w:val="nil"/>
              <w:left w:val="nil"/>
              <w:bottom w:val="nil"/>
              <w:right w:val="nil"/>
            </w:tcBorders>
            <w:shd w:val="clear" w:color="FFFF00" w:fill="9BC2E6"/>
            <w:noWrap/>
            <w:vAlign w:val="bottom"/>
            <w:hideMark/>
          </w:tcPr>
          <w:p w14:paraId="28BD92DD" w14:textId="77777777" w:rsidR="00350C1D" w:rsidRPr="004E0937" w:rsidRDefault="00350C1D" w:rsidP="00DB3615">
            <w:pPr>
              <w:spacing w:after="0" w:line="240" w:lineRule="auto"/>
              <w:jc w:val="center"/>
              <w:rPr>
                <w:rFonts w:ascii="Calibri" w:eastAsia="Times New Roman" w:hAnsi="Calibri" w:cs="Calibri"/>
                <w:color w:val="000000"/>
              </w:rPr>
            </w:pPr>
            <w:r w:rsidRPr="004E0937">
              <w:rPr>
                <w:rFonts w:ascii="Calibri" w:eastAsia="Times New Roman" w:hAnsi="Calibri" w:cs="Calibri"/>
                <w:color w:val="000000"/>
              </w:rPr>
              <w:t> </w:t>
            </w:r>
          </w:p>
        </w:tc>
        <w:tc>
          <w:tcPr>
            <w:tcW w:w="1052" w:type="pct"/>
            <w:gridSpan w:val="2"/>
            <w:tcBorders>
              <w:top w:val="nil"/>
              <w:left w:val="nil"/>
              <w:bottom w:val="nil"/>
              <w:right w:val="nil"/>
            </w:tcBorders>
            <w:shd w:val="clear" w:color="FFFF00" w:fill="9BC2E6"/>
            <w:vAlign w:val="bottom"/>
            <w:hideMark/>
          </w:tcPr>
          <w:p w14:paraId="0BB80367" w14:textId="77777777" w:rsidR="00350C1D" w:rsidRPr="004E0937" w:rsidRDefault="00350C1D" w:rsidP="00DB3615">
            <w:pPr>
              <w:spacing w:after="0" w:line="240" w:lineRule="auto"/>
              <w:jc w:val="left"/>
              <w:rPr>
                <w:rFonts w:ascii="Calibri" w:eastAsia="Times New Roman" w:hAnsi="Calibri" w:cs="Calibri"/>
                <w:color w:val="000000"/>
              </w:rPr>
            </w:pPr>
            <w:r w:rsidRPr="004E0937">
              <w:rPr>
                <w:rFonts w:ascii="Calibri" w:eastAsia="Times New Roman" w:hAnsi="Calibri" w:cs="Calibri"/>
                <w:color w:val="000000"/>
              </w:rPr>
              <w:t>Congenital Anomaly of the Kidneys and Urinary Tract (CAKUT)</w:t>
            </w:r>
          </w:p>
        </w:tc>
        <w:tc>
          <w:tcPr>
            <w:tcW w:w="366" w:type="pct"/>
            <w:tcBorders>
              <w:top w:val="nil"/>
              <w:left w:val="nil"/>
              <w:bottom w:val="nil"/>
              <w:right w:val="nil"/>
            </w:tcBorders>
            <w:shd w:val="clear" w:color="FFFF00" w:fill="9BC2E6"/>
            <w:noWrap/>
            <w:vAlign w:val="bottom"/>
            <w:hideMark/>
          </w:tcPr>
          <w:p w14:paraId="2D67351A" w14:textId="77777777" w:rsidR="00350C1D" w:rsidRPr="004E0937" w:rsidRDefault="00350C1D" w:rsidP="00DB3615">
            <w:pPr>
              <w:spacing w:after="0" w:line="240" w:lineRule="auto"/>
              <w:jc w:val="left"/>
              <w:rPr>
                <w:rFonts w:ascii="Calibri" w:eastAsia="Times New Roman" w:hAnsi="Calibri" w:cs="Calibri"/>
                <w:color w:val="000000"/>
              </w:rPr>
            </w:pPr>
            <w:r w:rsidRPr="004E0937">
              <w:rPr>
                <w:rFonts w:ascii="Calibri" w:eastAsia="Times New Roman" w:hAnsi="Calibri" w:cs="Calibri"/>
                <w:color w:val="000000"/>
              </w:rPr>
              <w:t>Proband</w:t>
            </w:r>
          </w:p>
        </w:tc>
        <w:tc>
          <w:tcPr>
            <w:tcW w:w="120" w:type="pct"/>
            <w:tcBorders>
              <w:top w:val="nil"/>
              <w:left w:val="nil"/>
              <w:bottom w:val="nil"/>
              <w:right w:val="nil"/>
            </w:tcBorders>
            <w:shd w:val="clear" w:color="FFFF00" w:fill="9BC2E6"/>
            <w:noWrap/>
            <w:vAlign w:val="bottom"/>
            <w:hideMark/>
          </w:tcPr>
          <w:p w14:paraId="6B6CE023" w14:textId="77777777" w:rsidR="00350C1D" w:rsidRPr="004E0937" w:rsidRDefault="00350C1D" w:rsidP="00DB3615">
            <w:pPr>
              <w:spacing w:after="0" w:line="240" w:lineRule="auto"/>
              <w:jc w:val="center"/>
              <w:rPr>
                <w:rFonts w:ascii="Calibri" w:eastAsia="Times New Roman" w:hAnsi="Calibri" w:cs="Calibri"/>
                <w:color w:val="000000"/>
              </w:rPr>
            </w:pPr>
            <w:r w:rsidRPr="004E0937">
              <w:rPr>
                <w:rFonts w:ascii="Calibri" w:eastAsia="Times New Roman" w:hAnsi="Calibri" w:cs="Calibri"/>
                <w:color w:val="000000"/>
              </w:rPr>
              <w:t>M</w:t>
            </w:r>
          </w:p>
        </w:tc>
        <w:tc>
          <w:tcPr>
            <w:tcW w:w="430" w:type="pct"/>
            <w:tcBorders>
              <w:top w:val="nil"/>
              <w:left w:val="nil"/>
              <w:bottom w:val="nil"/>
              <w:right w:val="nil"/>
            </w:tcBorders>
            <w:shd w:val="clear" w:color="FFFF00" w:fill="9BC2E6"/>
            <w:noWrap/>
            <w:vAlign w:val="bottom"/>
            <w:hideMark/>
          </w:tcPr>
          <w:p w14:paraId="4ADF99AC" w14:textId="77777777" w:rsidR="00350C1D" w:rsidRPr="004E0937" w:rsidRDefault="00350C1D" w:rsidP="00DB3615">
            <w:pPr>
              <w:spacing w:after="0" w:line="240" w:lineRule="auto"/>
              <w:jc w:val="center"/>
              <w:rPr>
                <w:rFonts w:ascii="Calibri" w:eastAsia="Times New Roman" w:hAnsi="Calibri" w:cs="Calibri"/>
                <w:color w:val="000000"/>
              </w:rPr>
            </w:pPr>
            <w:r w:rsidRPr="004E0937">
              <w:rPr>
                <w:rFonts w:ascii="Calibri" w:eastAsia="Times New Roman" w:hAnsi="Calibri" w:cs="Calibri"/>
                <w:color w:val="000000"/>
              </w:rPr>
              <w:t>SAS</w:t>
            </w:r>
          </w:p>
        </w:tc>
        <w:tc>
          <w:tcPr>
            <w:tcW w:w="458" w:type="pct"/>
            <w:tcBorders>
              <w:top w:val="nil"/>
              <w:left w:val="nil"/>
              <w:bottom w:val="nil"/>
              <w:right w:val="nil"/>
            </w:tcBorders>
            <w:shd w:val="clear" w:color="FFFF00" w:fill="9BC2E6"/>
            <w:vAlign w:val="bottom"/>
            <w:hideMark/>
          </w:tcPr>
          <w:p w14:paraId="7F17382B" w14:textId="77777777" w:rsidR="00350C1D" w:rsidRPr="004E0937" w:rsidRDefault="00350C1D" w:rsidP="00DB3615">
            <w:pPr>
              <w:spacing w:after="0" w:line="240" w:lineRule="auto"/>
              <w:jc w:val="left"/>
              <w:rPr>
                <w:rFonts w:ascii="Calibri" w:eastAsia="Times New Roman" w:hAnsi="Calibri" w:cs="Calibri"/>
                <w:color w:val="000000"/>
              </w:rPr>
            </w:pPr>
            <w:r w:rsidRPr="004E0937">
              <w:rPr>
                <w:rFonts w:ascii="Calibri" w:eastAsia="Times New Roman" w:hAnsi="Calibri" w:cs="Calibri"/>
                <w:color w:val="000000"/>
              </w:rPr>
              <w:t>Missense</w:t>
            </w:r>
          </w:p>
        </w:tc>
        <w:tc>
          <w:tcPr>
            <w:tcW w:w="413" w:type="pct"/>
            <w:tcBorders>
              <w:top w:val="nil"/>
              <w:left w:val="nil"/>
              <w:bottom w:val="nil"/>
              <w:right w:val="nil"/>
            </w:tcBorders>
            <w:shd w:val="clear" w:color="FFFF00" w:fill="9BC2E6"/>
            <w:vAlign w:val="bottom"/>
            <w:hideMark/>
          </w:tcPr>
          <w:p w14:paraId="38D2BDE9" w14:textId="77777777" w:rsidR="00350C1D" w:rsidRPr="004E0937" w:rsidRDefault="00350C1D" w:rsidP="00DB3615">
            <w:pPr>
              <w:spacing w:after="0" w:line="240" w:lineRule="auto"/>
              <w:jc w:val="left"/>
              <w:rPr>
                <w:rFonts w:ascii="Calibri" w:eastAsia="Times New Roman" w:hAnsi="Calibri" w:cs="Calibri"/>
                <w:color w:val="000000"/>
              </w:rPr>
            </w:pPr>
            <w:r w:rsidRPr="004E0937">
              <w:rPr>
                <w:rFonts w:ascii="Calibri" w:eastAsia="Times New Roman" w:hAnsi="Calibri" w:cs="Calibri"/>
                <w:color w:val="000000"/>
              </w:rPr>
              <w:t>Missense</w:t>
            </w:r>
          </w:p>
        </w:tc>
        <w:tc>
          <w:tcPr>
            <w:tcW w:w="417" w:type="pct"/>
            <w:tcBorders>
              <w:top w:val="nil"/>
              <w:left w:val="nil"/>
              <w:bottom w:val="nil"/>
              <w:right w:val="nil"/>
            </w:tcBorders>
            <w:shd w:val="clear" w:color="FFFF00" w:fill="9BC2E6"/>
            <w:noWrap/>
            <w:vAlign w:val="bottom"/>
            <w:hideMark/>
          </w:tcPr>
          <w:p w14:paraId="07CC69E4" w14:textId="77777777" w:rsidR="00350C1D" w:rsidRPr="004E0937" w:rsidRDefault="00350C1D" w:rsidP="00DB3615">
            <w:pPr>
              <w:spacing w:after="0" w:line="240" w:lineRule="auto"/>
              <w:jc w:val="center"/>
              <w:rPr>
                <w:rFonts w:ascii="Calibri" w:eastAsia="Times New Roman" w:hAnsi="Calibri" w:cs="Calibri"/>
                <w:color w:val="000000"/>
              </w:rPr>
            </w:pPr>
            <w:r w:rsidRPr="004E0937">
              <w:rPr>
                <w:rFonts w:ascii="Calibri" w:eastAsia="Times New Roman" w:hAnsi="Calibri" w:cs="Calibri"/>
                <w:color w:val="000000"/>
              </w:rPr>
              <w:t> </w:t>
            </w:r>
          </w:p>
        </w:tc>
      </w:tr>
      <w:tr w:rsidR="00350C1D" w:rsidRPr="004E0937" w14:paraId="2DC16D84" w14:textId="77777777" w:rsidTr="00350C1D">
        <w:trPr>
          <w:trHeight w:val="570"/>
        </w:trPr>
        <w:tc>
          <w:tcPr>
            <w:tcW w:w="184" w:type="pct"/>
            <w:tcBorders>
              <w:top w:val="nil"/>
              <w:left w:val="nil"/>
              <w:bottom w:val="nil"/>
              <w:right w:val="nil"/>
            </w:tcBorders>
            <w:shd w:val="clear" w:color="auto" w:fill="auto"/>
            <w:noWrap/>
            <w:vAlign w:val="bottom"/>
            <w:hideMark/>
          </w:tcPr>
          <w:p w14:paraId="507B347B" w14:textId="77777777" w:rsidR="00350C1D" w:rsidRPr="004E0937" w:rsidRDefault="00350C1D" w:rsidP="00DB3615">
            <w:pPr>
              <w:spacing w:after="0" w:line="240" w:lineRule="auto"/>
              <w:jc w:val="center"/>
              <w:rPr>
                <w:rFonts w:ascii="Calibri" w:eastAsia="Times New Roman" w:hAnsi="Calibri" w:cs="Calibri"/>
                <w:color w:val="000000"/>
              </w:rPr>
            </w:pPr>
            <w:r w:rsidRPr="004E0937">
              <w:rPr>
                <w:rFonts w:ascii="Calibri" w:eastAsia="Times New Roman" w:hAnsi="Calibri" w:cs="Calibri"/>
                <w:color w:val="000000"/>
              </w:rPr>
              <w:lastRenderedPageBreak/>
              <w:t>16</w:t>
            </w:r>
          </w:p>
        </w:tc>
        <w:tc>
          <w:tcPr>
            <w:tcW w:w="190" w:type="pct"/>
            <w:tcBorders>
              <w:top w:val="nil"/>
              <w:left w:val="nil"/>
              <w:bottom w:val="nil"/>
              <w:right w:val="nil"/>
            </w:tcBorders>
            <w:vAlign w:val="bottom"/>
          </w:tcPr>
          <w:p w14:paraId="2E46509E" w14:textId="77777777" w:rsidR="00350C1D" w:rsidRPr="004E0937" w:rsidRDefault="00350C1D" w:rsidP="00DB3615">
            <w:pPr>
              <w:spacing w:after="0" w:line="240" w:lineRule="auto"/>
              <w:jc w:val="center"/>
              <w:rPr>
                <w:rFonts w:ascii="Calibri" w:eastAsia="Times New Roman" w:hAnsi="Calibri" w:cs="Calibri"/>
                <w:color w:val="000000"/>
              </w:rPr>
            </w:pPr>
          </w:p>
        </w:tc>
        <w:tc>
          <w:tcPr>
            <w:tcW w:w="498" w:type="pct"/>
            <w:tcBorders>
              <w:top w:val="nil"/>
              <w:left w:val="nil"/>
              <w:bottom w:val="nil"/>
              <w:right w:val="nil"/>
            </w:tcBorders>
            <w:shd w:val="clear" w:color="auto" w:fill="auto"/>
            <w:noWrap/>
            <w:vAlign w:val="bottom"/>
            <w:hideMark/>
          </w:tcPr>
          <w:p w14:paraId="2199354B" w14:textId="2EC23099" w:rsidR="00350C1D" w:rsidRPr="004E0937" w:rsidRDefault="00350C1D" w:rsidP="00DB3615">
            <w:pPr>
              <w:spacing w:after="0" w:line="240" w:lineRule="auto"/>
              <w:jc w:val="center"/>
              <w:rPr>
                <w:rFonts w:ascii="Calibri" w:eastAsia="Times New Roman" w:hAnsi="Calibri" w:cs="Calibri"/>
                <w:color w:val="000000"/>
              </w:rPr>
            </w:pPr>
          </w:p>
        </w:tc>
        <w:tc>
          <w:tcPr>
            <w:tcW w:w="374" w:type="pct"/>
            <w:tcBorders>
              <w:top w:val="nil"/>
              <w:left w:val="nil"/>
              <w:bottom w:val="nil"/>
              <w:right w:val="nil"/>
            </w:tcBorders>
            <w:shd w:val="clear" w:color="auto" w:fill="auto"/>
            <w:noWrap/>
            <w:vAlign w:val="bottom"/>
            <w:hideMark/>
          </w:tcPr>
          <w:p w14:paraId="0D9E3339" w14:textId="77777777" w:rsidR="00350C1D" w:rsidRPr="004E0937" w:rsidRDefault="00350C1D" w:rsidP="00DB3615">
            <w:pPr>
              <w:spacing w:after="0" w:line="240" w:lineRule="auto"/>
              <w:jc w:val="center"/>
              <w:rPr>
                <w:rFonts w:ascii="Times New Roman" w:eastAsia="Times New Roman" w:hAnsi="Times New Roman" w:cs="Times New Roman"/>
                <w:sz w:val="20"/>
                <w:szCs w:val="20"/>
              </w:rPr>
            </w:pPr>
          </w:p>
        </w:tc>
        <w:tc>
          <w:tcPr>
            <w:tcW w:w="498" w:type="pct"/>
            <w:gridSpan w:val="3"/>
            <w:tcBorders>
              <w:top w:val="nil"/>
              <w:left w:val="nil"/>
              <w:bottom w:val="nil"/>
              <w:right w:val="nil"/>
            </w:tcBorders>
            <w:shd w:val="clear" w:color="auto" w:fill="auto"/>
            <w:noWrap/>
            <w:vAlign w:val="bottom"/>
            <w:hideMark/>
          </w:tcPr>
          <w:p w14:paraId="091FD54C" w14:textId="77777777" w:rsidR="00350C1D" w:rsidRPr="004E0937" w:rsidRDefault="00350C1D" w:rsidP="00DB3615">
            <w:pPr>
              <w:spacing w:after="0" w:line="240" w:lineRule="auto"/>
              <w:jc w:val="center"/>
              <w:rPr>
                <w:rFonts w:ascii="Times New Roman" w:eastAsia="Times New Roman" w:hAnsi="Times New Roman" w:cs="Times New Roman"/>
                <w:sz w:val="20"/>
                <w:szCs w:val="20"/>
              </w:rPr>
            </w:pPr>
          </w:p>
        </w:tc>
        <w:tc>
          <w:tcPr>
            <w:tcW w:w="1052" w:type="pct"/>
            <w:gridSpan w:val="2"/>
            <w:tcBorders>
              <w:top w:val="nil"/>
              <w:left w:val="nil"/>
              <w:bottom w:val="nil"/>
              <w:right w:val="nil"/>
            </w:tcBorders>
            <w:shd w:val="clear" w:color="auto" w:fill="auto"/>
            <w:vAlign w:val="bottom"/>
            <w:hideMark/>
          </w:tcPr>
          <w:p w14:paraId="254671F1" w14:textId="77777777" w:rsidR="00350C1D" w:rsidRPr="004E0937" w:rsidRDefault="00350C1D" w:rsidP="00DB3615">
            <w:pPr>
              <w:spacing w:after="0" w:line="240" w:lineRule="auto"/>
              <w:jc w:val="left"/>
              <w:rPr>
                <w:rFonts w:ascii="Calibri" w:eastAsia="Times New Roman" w:hAnsi="Calibri" w:cs="Calibri"/>
                <w:color w:val="000000"/>
              </w:rPr>
            </w:pPr>
            <w:r w:rsidRPr="004E0937">
              <w:rPr>
                <w:rFonts w:ascii="Calibri" w:eastAsia="Times New Roman" w:hAnsi="Calibri" w:cs="Calibri"/>
                <w:color w:val="000000"/>
              </w:rPr>
              <w:t xml:space="preserve">IUGR and IGF abnormalities </w:t>
            </w:r>
          </w:p>
        </w:tc>
        <w:tc>
          <w:tcPr>
            <w:tcW w:w="366" w:type="pct"/>
            <w:tcBorders>
              <w:top w:val="nil"/>
              <w:left w:val="nil"/>
              <w:bottom w:val="nil"/>
              <w:right w:val="nil"/>
            </w:tcBorders>
            <w:shd w:val="clear" w:color="auto" w:fill="auto"/>
            <w:noWrap/>
            <w:vAlign w:val="bottom"/>
            <w:hideMark/>
          </w:tcPr>
          <w:p w14:paraId="1A8E0045" w14:textId="77777777" w:rsidR="00350C1D" w:rsidRPr="004E0937" w:rsidRDefault="00350C1D" w:rsidP="00DB3615">
            <w:pPr>
              <w:spacing w:after="0" w:line="240" w:lineRule="auto"/>
              <w:jc w:val="left"/>
              <w:rPr>
                <w:rFonts w:ascii="Calibri" w:eastAsia="Times New Roman" w:hAnsi="Calibri" w:cs="Calibri"/>
                <w:color w:val="000000"/>
              </w:rPr>
            </w:pPr>
            <w:r w:rsidRPr="004E0937">
              <w:rPr>
                <w:rFonts w:ascii="Calibri" w:eastAsia="Times New Roman" w:hAnsi="Calibri" w:cs="Calibri"/>
                <w:color w:val="000000"/>
              </w:rPr>
              <w:t>Relative</w:t>
            </w:r>
          </w:p>
        </w:tc>
        <w:tc>
          <w:tcPr>
            <w:tcW w:w="120" w:type="pct"/>
            <w:tcBorders>
              <w:top w:val="nil"/>
              <w:left w:val="nil"/>
              <w:bottom w:val="nil"/>
              <w:right w:val="nil"/>
            </w:tcBorders>
            <w:shd w:val="clear" w:color="auto" w:fill="auto"/>
            <w:noWrap/>
            <w:vAlign w:val="bottom"/>
            <w:hideMark/>
          </w:tcPr>
          <w:p w14:paraId="54AD291D" w14:textId="77777777" w:rsidR="00350C1D" w:rsidRPr="004E0937" w:rsidRDefault="00350C1D" w:rsidP="00DB3615">
            <w:pPr>
              <w:spacing w:after="0" w:line="240" w:lineRule="auto"/>
              <w:jc w:val="center"/>
              <w:rPr>
                <w:rFonts w:ascii="Calibri" w:eastAsia="Times New Roman" w:hAnsi="Calibri" w:cs="Calibri"/>
                <w:color w:val="000000"/>
              </w:rPr>
            </w:pPr>
            <w:r w:rsidRPr="004E0937">
              <w:rPr>
                <w:rFonts w:ascii="Calibri" w:eastAsia="Times New Roman" w:hAnsi="Calibri" w:cs="Calibri"/>
                <w:color w:val="000000"/>
              </w:rPr>
              <w:t>M</w:t>
            </w:r>
          </w:p>
        </w:tc>
        <w:tc>
          <w:tcPr>
            <w:tcW w:w="430" w:type="pct"/>
            <w:tcBorders>
              <w:top w:val="nil"/>
              <w:left w:val="nil"/>
              <w:bottom w:val="nil"/>
              <w:right w:val="nil"/>
            </w:tcBorders>
            <w:shd w:val="clear" w:color="auto" w:fill="auto"/>
            <w:noWrap/>
            <w:vAlign w:val="bottom"/>
            <w:hideMark/>
          </w:tcPr>
          <w:p w14:paraId="120F1368" w14:textId="77777777" w:rsidR="00350C1D" w:rsidRPr="004E0937" w:rsidRDefault="00350C1D" w:rsidP="00DB3615">
            <w:pPr>
              <w:spacing w:after="0" w:line="240" w:lineRule="auto"/>
              <w:jc w:val="center"/>
              <w:rPr>
                <w:rFonts w:ascii="Calibri" w:eastAsia="Times New Roman" w:hAnsi="Calibri" w:cs="Calibri"/>
                <w:color w:val="000000"/>
              </w:rPr>
            </w:pPr>
            <w:r w:rsidRPr="004E0937">
              <w:rPr>
                <w:rFonts w:ascii="Calibri" w:eastAsia="Times New Roman" w:hAnsi="Calibri" w:cs="Calibri"/>
                <w:color w:val="000000"/>
              </w:rPr>
              <w:t>SAS</w:t>
            </w:r>
          </w:p>
        </w:tc>
        <w:tc>
          <w:tcPr>
            <w:tcW w:w="458" w:type="pct"/>
            <w:tcBorders>
              <w:top w:val="nil"/>
              <w:left w:val="nil"/>
              <w:bottom w:val="nil"/>
              <w:right w:val="nil"/>
            </w:tcBorders>
            <w:shd w:val="clear" w:color="auto" w:fill="auto"/>
            <w:vAlign w:val="bottom"/>
            <w:hideMark/>
          </w:tcPr>
          <w:p w14:paraId="67683666" w14:textId="77777777" w:rsidR="00350C1D" w:rsidRPr="004E0937" w:rsidRDefault="00350C1D" w:rsidP="00DB3615">
            <w:pPr>
              <w:spacing w:after="0" w:line="240" w:lineRule="auto"/>
              <w:jc w:val="left"/>
              <w:rPr>
                <w:rFonts w:ascii="Calibri" w:eastAsia="Times New Roman" w:hAnsi="Calibri" w:cs="Calibri"/>
                <w:color w:val="000000"/>
              </w:rPr>
            </w:pPr>
            <w:r w:rsidRPr="004E0937">
              <w:rPr>
                <w:rFonts w:ascii="Calibri" w:eastAsia="Times New Roman" w:hAnsi="Calibri" w:cs="Calibri"/>
                <w:color w:val="000000"/>
              </w:rPr>
              <w:t>Compound het Missense*</w:t>
            </w:r>
          </w:p>
        </w:tc>
        <w:tc>
          <w:tcPr>
            <w:tcW w:w="413" w:type="pct"/>
            <w:tcBorders>
              <w:top w:val="nil"/>
              <w:left w:val="nil"/>
              <w:bottom w:val="nil"/>
              <w:right w:val="nil"/>
            </w:tcBorders>
            <w:shd w:val="clear" w:color="auto" w:fill="auto"/>
            <w:vAlign w:val="bottom"/>
            <w:hideMark/>
          </w:tcPr>
          <w:p w14:paraId="23FBDB0C" w14:textId="77777777" w:rsidR="00350C1D" w:rsidRPr="004E0937" w:rsidRDefault="00350C1D" w:rsidP="00DB3615">
            <w:pPr>
              <w:spacing w:after="0" w:line="240" w:lineRule="auto"/>
              <w:jc w:val="left"/>
              <w:rPr>
                <w:rFonts w:ascii="Calibri" w:eastAsia="Times New Roman" w:hAnsi="Calibri" w:cs="Calibri"/>
                <w:color w:val="000000"/>
              </w:rPr>
            </w:pPr>
            <w:r w:rsidRPr="004E0937">
              <w:rPr>
                <w:rFonts w:ascii="Calibri" w:eastAsia="Times New Roman" w:hAnsi="Calibri" w:cs="Calibri"/>
                <w:color w:val="000000"/>
              </w:rPr>
              <w:t>Compound het Missense* (benign)</w:t>
            </w:r>
          </w:p>
        </w:tc>
        <w:tc>
          <w:tcPr>
            <w:tcW w:w="417" w:type="pct"/>
            <w:tcBorders>
              <w:top w:val="nil"/>
              <w:left w:val="nil"/>
              <w:bottom w:val="nil"/>
              <w:right w:val="nil"/>
            </w:tcBorders>
            <w:shd w:val="clear" w:color="auto" w:fill="auto"/>
            <w:noWrap/>
            <w:vAlign w:val="bottom"/>
            <w:hideMark/>
          </w:tcPr>
          <w:p w14:paraId="100F15BB" w14:textId="77777777" w:rsidR="00350C1D" w:rsidRPr="004E0937" w:rsidRDefault="00350C1D" w:rsidP="00DB3615">
            <w:pPr>
              <w:spacing w:after="0" w:line="240" w:lineRule="auto"/>
              <w:jc w:val="left"/>
              <w:rPr>
                <w:rFonts w:ascii="Calibri" w:eastAsia="Times New Roman" w:hAnsi="Calibri" w:cs="Calibri"/>
                <w:color w:val="000000"/>
              </w:rPr>
            </w:pPr>
          </w:p>
        </w:tc>
      </w:tr>
      <w:tr w:rsidR="00350C1D" w:rsidRPr="004E0937" w14:paraId="42F80C8C" w14:textId="77777777" w:rsidTr="00350C1D">
        <w:trPr>
          <w:trHeight w:val="290"/>
        </w:trPr>
        <w:tc>
          <w:tcPr>
            <w:tcW w:w="184" w:type="pct"/>
            <w:tcBorders>
              <w:top w:val="nil"/>
              <w:left w:val="nil"/>
              <w:bottom w:val="nil"/>
              <w:right w:val="nil"/>
            </w:tcBorders>
            <w:shd w:val="clear" w:color="CCFFFF" w:fill="DEEBF7"/>
            <w:noWrap/>
            <w:vAlign w:val="bottom"/>
            <w:hideMark/>
          </w:tcPr>
          <w:p w14:paraId="70933ED6" w14:textId="77777777" w:rsidR="00350C1D" w:rsidRPr="004E0937" w:rsidRDefault="00350C1D" w:rsidP="00DB3615">
            <w:pPr>
              <w:spacing w:after="0" w:line="240" w:lineRule="auto"/>
              <w:jc w:val="center"/>
              <w:rPr>
                <w:rFonts w:ascii="Calibri" w:eastAsia="Times New Roman" w:hAnsi="Calibri" w:cs="Calibri"/>
                <w:color w:val="000000"/>
              </w:rPr>
            </w:pPr>
            <w:r w:rsidRPr="004E0937">
              <w:rPr>
                <w:rFonts w:ascii="Calibri" w:eastAsia="Times New Roman" w:hAnsi="Calibri" w:cs="Calibri"/>
                <w:color w:val="000000"/>
              </w:rPr>
              <w:t>17</w:t>
            </w:r>
          </w:p>
        </w:tc>
        <w:tc>
          <w:tcPr>
            <w:tcW w:w="190" w:type="pct"/>
            <w:tcBorders>
              <w:top w:val="nil"/>
              <w:left w:val="nil"/>
              <w:bottom w:val="nil"/>
              <w:right w:val="nil"/>
            </w:tcBorders>
            <w:shd w:val="clear" w:color="CCFFFF" w:fill="DEEBF7"/>
            <w:vAlign w:val="bottom"/>
          </w:tcPr>
          <w:p w14:paraId="71FB6533" w14:textId="4D4F8729" w:rsidR="00350C1D" w:rsidRDefault="00350C1D" w:rsidP="00DB3615">
            <w:pPr>
              <w:spacing w:after="0" w:line="240" w:lineRule="auto"/>
              <w:jc w:val="center"/>
              <w:rPr>
                <w:rFonts w:ascii="Calibri" w:eastAsia="Times New Roman" w:hAnsi="Calibri" w:cs="Calibri"/>
                <w:color w:val="000000"/>
              </w:rPr>
            </w:pPr>
            <w:r>
              <w:rPr>
                <w:rFonts w:ascii="Calibri" w:eastAsia="Times New Roman" w:hAnsi="Calibri" w:cs="Calibri"/>
                <w:color w:val="000000"/>
              </w:rPr>
              <w:t>No</w:t>
            </w:r>
          </w:p>
        </w:tc>
        <w:tc>
          <w:tcPr>
            <w:tcW w:w="498" w:type="pct"/>
            <w:tcBorders>
              <w:top w:val="nil"/>
              <w:left w:val="nil"/>
              <w:bottom w:val="nil"/>
              <w:right w:val="nil"/>
            </w:tcBorders>
            <w:shd w:val="clear" w:color="CCFFFF" w:fill="DEEBF7"/>
            <w:noWrap/>
            <w:vAlign w:val="bottom"/>
            <w:hideMark/>
          </w:tcPr>
          <w:p w14:paraId="5BDE886F" w14:textId="79227774" w:rsidR="00350C1D" w:rsidRPr="004E0937" w:rsidRDefault="00350C1D" w:rsidP="00DB3615">
            <w:pPr>
              <w:spacing w:after="0" w:line="240" w:lineRule="auto"/>
              <w:jc w:val="center"/>
              <w:rPr>
                <w:rFonts w:ascii="Calibri" w:eastAsia="Times New Roman" w:hAnsi="Calibri" w:cs="Calibri"/>
                <w:color w:val="000000"/>
              </w:rPr>
            </w:pPr>
            <w:r w:rsidRPr="004E0937">
              <w:rPr>
                <w:rFonts w:ascii="Calibri" w:eastAsia="Times New Roman" w:hAnsi="Calibri" w:cs="Calibri"/>
                <w:color w:val="000000"/>
              </w:rPr>
              <w:t> </w:t>
            </w:r>
          </w:p>
        </w:tc>
        <w:tc>
          <w:tcPr>
            <w:tcW w:w="374" w:type="pct"/>
            <w:tcBorders>
              <w:top w:val="nil"/>
              <w:left w:val="nil"/>
              <w:bottom w:val="nil"/>
              <w:right w:val="nil"/>
            </w:tcBorders>
            <w:shd w:val="clear" w:color="CCFFFF" w:fill="DEEBF7"/>
            <w:noWrap/>
            <w:vAlign w:val="bottom"/>
            <w:hideMark/>
          </w:tcPr>
          <w:p w14:paraId="0324EB5C" w14:textId="77777777" w:rsidR="00350C1D" w:rsidRPr="004E0937" w:rsidRDefault="00350C1D" w:rsidP="00DB3615">
            <w:pPr>
              <w:spacing w:after="0" w:line="240" w:lineRule="auto"/>
              <w:jc w:val="center"/>
              <w:rPr>
                <w:rFonts w:ascii="Calibri" w:eastAsia="Times New Roman" w:hAnsi="Calibri" w:cs="Calibri"/>
                <w:color w:val="000000"/>
              </w:rPr>
            </w:pPr>
            <w:r w:rsidRPr="004E0937">
              <w:rPr>
                <w:rFonts w:ascii="Calibri" w:eastAsia="Times New Roman" w:hAnsi="Calibri" w:cs="Calibri"/>
                <w:color w:val="000000"/>
              </w:rPr>
              <w:t> </w:t>
            </w:r>
          </w:p>
        </w:tc>
        <w:tc>
          <w:tcPr>
            <w:tcW w:w="498" w:type="pct"/>
            <w:gridSpan w:val="3"/>
            <w:tcBorders>
              <w:top w:val="nil"/>
              <w:left w:val="nil"/>
              <w:bottom w:val="nil"/>
              <w:right w:val="nil"/>
            </w:tcBorders>
            <w:shd w:val="clear" w:color="CCFFFF" w:fill="DEEBF7"/>
            <w:noWrap/>
            <w:vAlign w:val="bottom"/>
            <w:hideMark/>
          </w:tcPr>
          <w:p w14:paraId="3A65E484" w14:textId="77777777" w:rsidR="00350C1D" w:rsidRPr="004E0937" w:rsidRDefault="00350C1D" w:rsidP="00DB3615">
            <w:pPr>
              <w:spacing w:after="0" w:line="240" w:lineRule="auto"/>
              <w:jc w:val="center"/>
              <w:rPr>
                <w:rFonts w:ascii="Calibri" w:eastAsia="Times New Roman" w:hAnsi="Calibri" w:cs="Calibri"/>
                <w:color w:val="000000"/>
              </w:rPr>
            </w:pPr>
            <w:r w:rsidRPr="004E0937">
              <w:rPr>
                <w:rFonts w:ascii="Calibri" w:eastAsia="Times New Roman" w:hAnsi="Calibri" w:cs="Calibri"/>
                <w:color w:val="000000"/>
              </w:rPr>
              <w:t>26 to 30</w:t>
            </w:r>
          </w:p>
        </w:tc>
        <w:tc>
          <w:tcPr>
            <w:tcW w:w="1052" w:type="pct"/>
            <w:gridSpan w:val="2"/>
            <w:tcBorders>
              <w:top w:val="nil"/>
              <w:left w:val="nil"/>
              <w:bottom w:val="nil"/>
              <w:right w:val="nil"/>
            </w:tcBorders>
            <w:shd w:val="clear" w:color="CCFFFF" w:fill="DEEBF7"/>
            <w:vAlign w:val="bottom"/>
            <w:hideMark/>
          </w:tcPr>
          <w:p w14:paraId="71FC695B" w14:textId="77777777" w:rsidR="00350C1D" w:rsidRPr="004E0937" w:rsidRDefault="00350C1D" w:rsidP="00DB3615">
            <w:pPr>
              <w:spacing w:after="0" w:line="240" w:lineRule="auto"/>
              <w:jc w:val="left"/>
              <w:rPr>
                <w:rFonts w:ascii="Calibri" w:eastAsia="Times New Roman" w:hAnsi="Calibri" w:cs="Calibri"/>
                <w:color w:val="000000"/>
              </w:rPr>
            </w:pPr>
            <w:r w:rsidRPr="004E0937">
              <w:rPr>
                <w:rFonts w:ascii="Calibri" w:eastAsia="Times New Roman" w:hAnsi="Calibri" w:cs="Calibri"/>
                <w:color w:val="000000"/>
              </w:rPr>
              <w:t>Exceptionally young adult onset cancer</w:t>
            </w:r>
          </w:p>
        </w:tc>
        <w:tc>
          <w:tcPr>
            <w:tcW w:w="366" w:type="pct"/>
            <w:tcBorders>
              <w:top w:val="nil"/>
              <w:left w:val="nil"/>
              <w:bottom w:val="nil"/>
              <w:right w:val="nil"/>
            </w:tcBorders>
            <w:shd w:val="clear" w:color="CCFFFF" w:fill="DEEBF7"/>
            <w:noWrap/>
            <w:vAlign w:val="bottom"/>
            <w:hideMark/>
          </w:tcPr>
          <w:p w14:paraId="7B62AAE3" w14:textId="77777777" w:rsidR="00350C1D" w:rsidRPr="004E0937" w:rsidRDefault="00350C1D" w:rsidP="00DB3615">
            <w:pPr>
              <w:spacing w:after="0" w:line="240" w:lineRule="auto"/>
              <w:jc w:val="left"/>
              <w:rPr>
                <w:rFonts w:ascii="Calibri" w:eastAsia="Times New Roman" w:hAnsi="Calibri" w:cs="Calibri"/>
                <w:color w:val="000000"/>
              </w:rPr>
            </w:pPr>
            <w:r w:rsidRPr="004E0937">
              <w:rPr>
                <w:rFonts w:ascii="Calibri" w:eastAsia="Times New Roman" w:hAnsi="Calibri" w:cs="Calibri"/>
                <w:color w:val="000000"/>
              </w:rPr>
              <w:t>Proband</w:t>
            </w:r>
          </w:p>
        </w:tc>
        <w:tc>
          <w:tcPr>
            <w:tcW w:w="120" w:type="pct"/>
            <w:tcBorders>
              <w:top w:val="nil"/>
              <w:left w:val="nil"/>
              <w:bottom w:val="nil"/>
              <w:right w:val="nil"/>
            </w:tcBorders>
            <w:shd w:val="clear" w:color="CCFFFF" w:fill="DEEBF7"/>
            <w:noWrap/>
            <w:vAlign w:val="bottom"/>
            <w:hideMark/>
          </w:tcPr>
          <w:p w14:paraId="1342B6C9" w14:textId="77777777" w:rsidR="00350C1D" w:rsidRPr="004E0937" w:rsidRDefault="00350C1D" w:rsidP="00DB3615">
            <w:pPr>
              <w:spacing w:after="0" w:line="240" w:lineRule="auto"/>
              <w:jc w:val="center"/>
              <w:rPr>
                <w:rFonts w:ascii="Calibri" w:eastAsia="Times New Roman" w:hAnsi="Calibri" w:cs="Calibri"/>
                <w:color w:val="000000"/>
              </w:rPr>
            </w:pPr>
            <w:r w:rsidRPr="004E0937">
              <w:rPr>
                <w:rFonts w:ascii="Calibri" w:eastAsia="Times New Roman" w:hAnsi="Calibri" w:cs="Calibri"/>
                <w:color w:val="000000"/>
              </w:rPr>
              <w:t>F</w:t>
            </w:r>
          </w:p>
        </w:tc>
        <w:tc>
          <w:tcPr>
            <w:tcW w:w="430" w:type="pct"/>
            <w:tcBorders>
              <w:top w:val="nil"/>
              <w:left w:val="nil"/>
              <w:bottom w:val="nil"/>
              <w:right w:val="nil"/>
            </w:tcBorders>
            <w:shd w:val="clear" w:color="auto" w:fill="DEEAF6" w:themeFill="accent1" w:themeFillTint="33"/>
            <w:noWrap/>
            <w:vAlign w:val="bottom"/>
            <w:hideMark/>
          </w:tcPr>
          <w:p w14:paraId="016AFB4A" w14:textId="77777777" w:rsidR="00350C1D" w:rsidRPr="004E0937" w:rsidRDefault="00350C1D" w:rsidP="00DB3615">
            <w:pPr>
              <w:spacing w:after="0" w:line="240" w:lineRule="auto"/>
              <w:jc w:val="center"/>
              <w:rPr>
                <w:rFonts w:ascii="Calibri" w:eastAsia="Times New Roman" w:hAnsi="Calibri" w:cs="Calibri"/>
                <w:color w:val="000000"/>
              </w:rPr>
            </w:pPr>
            <w:r w:rsidRPr="004E0937">
              <w:rPr>
                <w:rFonts w:ascii="Calibri" w:eastAsia="Times New Roman" w:hAnsi="Calibri" w:cs="Calibri"/>
                <w:color w:val="000000"/>
              </w:rPr>
              <w:t>EUR</w:t>
            </w:r>
          </w:p>
        </w:tc>
        <w:tc>
          <w:tcPr>
            <w:tcW w:w="458" w:type="pct"/>
            <w:tcBorders>
              <w:top w:val="nil"/>
              <w:left w:val="nil"/>
              <w:bottom w:val="nil"/>
              <w:right w:val="nil"/>
            </w:tcBorders>
            <w:shd w:val="clear" w:color="auto" w:fill="DEEAF6" w:themeFill="accent1" w:themeFillTint="33"/>
            <w:vAlign w:val="bottom"/>
            <w:hideMark/>
          </w:tcPr>
          <w:p w14:paraId="0036F731" w14:textId="77777777" w:rsidR="00350C1D" w:rsidRPr="004E0937" w:rsidRDefault="00350C1D" w:rsidP="00DB3615">
            <w:pPr>
              <w:spacing w:after="0" w:line="240" w:lineRule="auto"/>
              <w:jc w:val="left"/>
              <w:rPr>
                <w:rFonts w:ascii="Calibri" w:eastAsia="Times New Roman" w:hAnsi="Calibri" w:cs="Calibri"/>
                <w:color w:val="000000"/>
              </w:rPr>
            </w:pPr>
            <w:r w:rsidRPr="004E0937">
              <w:rPr>
                <w:rFonts w:ascii="Calibri" w:eastAsia="Times New Roman" w:hAnsi="Calibri" w:cs="Calibri"/>
                <w:color w:val="000000"/>
              </w:rPr>
              <w:t>Compound het intronic*</w:t>
            </w:r>
          </w:p>
        </w:tc>
        <w:tc>
          <w:tcPr>
            <w:tcW w:w="413" w:type="pct"/>
            <w:tcBorders>
              <w:top w:val="nil"/>
              <w:left w:val="nil"/>
              <w:bottom w:val="nil"/>
              <w:right w:val="nil"/>
            </w:tcBorders>
            <w:shd w:val="clear" w:color="auto" w:fill="DEEAF6" w:themeFill="accent1" w:themeFillTint="33"/>
            <w:vAlign w:val="bottom"/>
            <w:hideMark/>
          </w:tcPr>
          <w:p w14:paraId="57B5B3D8" w14:textId="77020445" w:rsidR="00350C1D" w:rsidRPr="004E0937" w:rsidRDefault="00350C1D" w:rsidP="00DB3615">
            <w:pPr>
              <w:spacing w:after="0" w:line="240" w:lineRule="auto"/>
              <w:jc w:val="left"/>
              <w:rPr>
                <w:rFonts w:ascii="Calibri" w:eastAsia="Times New Roman" w:hAnsi="Calibri" w:cs="Calibri"/>
                <w:color w:val="000000"/>
              </w:rPr>
            </w:pPr>
            <w:r w:rsidRPr="004E0937">
              <w:rPr>
                <w:rFonts w:ascii="Calibri" w:eastAsia="Times New Roman" w:hAnsi="Calibri" w:cs="Calibri"/>
                <w:color w:val="000000"/>
              </w:rPr>
              <w:t>Compound het intronic* </w:t>
            </w:r>
          </w:p>
        </w:tc>
        <w:tc>
          <w:tcPr>
            <w:tcW w:w="417" w:type="pct"/>
            <w:tcBorders>
              <w:top w:val="nil"/>
              <w:left w:val="nil"/>
              <w:bottom w:val="nil"/>
              <w:right w:val="nil"/>
            </w:tcBorders>
            <w:shd w:val="clear" w:color="auto" w:fill="DEEAF6" w:themeFill="accent1" w:themeFillTint="33"/>
            <w:noWrap/>
            <w:vAlign w:val="bottom"/>
            <w:hideMark/>
          </w:tcPr>
          <w:p w14:paraId="70C14EC7" w14:textId="45731E47" w:rsidR="00350C1D" w:rsidRPr="004E0937" w:rsidRDefault="00350C1D" w:rsidP="00DB3615">
            <w:pPr>
              <w:spacing w:after="0" w:line="240" w:lineRule="auto"/>
              <w:jc w:val="center"/>
              <w:rPr>
                <w:rFonts w:ascii="Calibri" w:eastAsia="Times New Roman" w:hAnsi="Calibri" w:cs="Calibri"/>
                <w:color w:val="000000"/>
              </w:rPr>
            </w:pPr>
          </w:p>
        </w:tc>
      </w:tr>
      <w:tr w:rsidR="00350C1D" w:rsidRPr="004E0937" w14:paraId="66CD2024" w14:textId="77777777" w:rsidTr="00350C1D">
        <w:trPr>
          <w:trHeight w:val="290"/>
        </w:trPr>
        <w:tc>
          <w:tcPr>
            <w:tcW w:w="184" w:type="pct"/>
            <w:tcBorders>
              <w:top w:val="nil"/>
              <w:left w:val="nil"/>
              <w:bottom w:val="nil"/>
              <w:right w:val="nil"/>
            </w:tcBorders>
            <w:shd w:val="clear" w:color="auto" w:fill="auto"/>
            <w:noWrap/>
            <w:vAlign w:val="bottom"/>
            <w:hideMark/>
          </w:tcPr>
          <w:p w14:paraId="41063232" w14:textId="77777777" w:rsidR="00350C1D" w:rsidRPr="004E0937" w:rsidRDefault="00350C1D" w:rsidP="00DB3615">
            <w:pPr>
              <w:spacing w:after="0" w:line="240" w:lineRule="auto"/>
              <w:jc w:val="center"/>
              <w:rPr>
                <w:rFonts w:ascii="Calibri" w:eastAsia="Times New Roman" w:hAnsi="Calibri" w:cs="Calibri"/>
                <w:color w:val="000000"/>
              </w:rPr>
            </w:pPr>
            <w:r w:rsidRPr="004E0937">
              <w:rPr>
                <w:rFonts w:ascii="Calibri" w:eastAsia="Times New Roman" w:hAnsi="Calibri" w:cs="Calibri"/>
                <w:color w:val="000000"/>
              </w:rPr>
              <w:t>18</w:t>
            </w:r>
          </w:p>
        </w:tc>
        <w:tc>
          <w:tcPr>
            <w:tcW w:w="190" w:type="pct"/>
            <w:tcBorders>
              <w:top w:val="nil"/>
              <w:left w:val="nil"/>
              <w:bottom w:val="nil"/>
              <w:right w:val="nil"/>
            </w:tcBorders>
            <w:vAlign w:val="bottom"/>
          </w:tcPr>
          <w:p w14:paraId="42B0EF5A" w14:textId="7F011DA9" w:rsidR="00350C1D" w:rsidRDefault="00350C1D" w:rsidP="00DB3615">
            <w:pPr>
              <w:spacing w:after="0" w:line="240" w:lineRule="auto"/>
              <w:jc w:val="center"/>
              <w:rPr>
                <w:rFonts w:ascii="Calibri" w:eastAsia="Times New Roman" w:hAnsi="Calibri" w:cs="Calibri"/>
                <w:color w:val="000000"/>
              </w:rPr>
            </w:pPr>
            <w:r>
              <w:rPr>
                <w:rFonts w:ascii="Calibri" w:eastAsia="Times New Roman" w:hAnsi="Calibri" w:cs="Calibri"/>
                <w:color w:val="000000"/>
              </w:rPr>
              <w:t>Yes</w:t>
            </w:r>
          </w:p>
        </w:tc>
        <w:tc>
          <w:tcPr>
            <w:tcW w:w="498" w:type="pct"/>
            <w:tcBorders>
              <w:top w:val="nil"/>
              <w:left w:val="nil"/>
              <w:bottom w:val="nil"/>
              <w:right w:val="nil"/>
            </w:tcBorders>
            <w:shd w:val="clear" w:color="auto" w:fill="auto"/>
            <w:noWrap/>
            <w:vAlign w:val="bottom"/>
            <w:hideMark/>
          </w:tcPr>
          <w:p w14:paraId="25C0921D" w14:textId="15F55487" w:rsidR="00350C1D" w:rsidRPr="004E0937" w:rsidRDefault="00350C1D" w:rsidP="00DB3615">
            <w:pPr>
              <w:spacing w:after="0" w:line="240" w:lineRule="auto"/>
              <w:jc w:val="center"/>
              <w:rPr>
                <w:rFonts w:ascii="Calibri" w:eastAsia="Times New Roman" w:hAnsi="Calibri" w:cs="Calibri"/>
                <w:color w:val="000000"/>
              </w:rPr>
            </w:pPr>
            <w:r w:rsidRPr="004E0937">
              <w:rPr>
                <w:rFonts w:ascii="Calibri" w:eastAsia="Times New Roman" w:hAnsi="Calibri" w:cs="Calibri"/>
                <w:color w:val="000000"/>
              </w:rPr>
              <w:t>41 to 45</w:t>
            </w:r>
          </w:p>
        </w:tc>
        <w:tc>
          <w:tcPr>
            <w:tcW w:w="374" w:type="pct"/>
            <w:tcBorders>
              <w:top w:val="nil"/>
              <w:left w:val="nil"/>
              <w:bottom w:val="nil"/>
              <w:right w:val="nil"/>
            </w:tcBorders>
            <w:shd w:val="clear" w:color="auto" w:fill="auto"/>
            <w:noWrap/>
            <w:vAlign w:val="bottom"/>
            <w:hideMark/>
          </w:tcPr>
          <w:p w14:paraId="67B2363A" w14:textId="77777777" w:rsidR="00350C1D" w:rsidRPr="004E0937" w:rsidRDefault="00350C1D" w:rsidP="00DB3615">
            <w:pPr>
              <w:spacing w:after="0" w:line="240" w:lineRule="auto"/>
              <w:jc w:val="center"/>
              <w:rPr>
                <w:rFonts w:ascii="Calibri" w:eastAsia="Times New Roman" w:hAnsi="Calibri" w:cs="Calibri"/>
                <w:color w:val="000000"/>
              </w:rPr>
            </w:pPr>
          </w:p>
        </w:tc>
        <w:tc>
          <w:tcPr>
            <w:tcW w:w="498" w:type="pct"/>
            <w:gridSpan w:val="3"/>
            <w:tcBorders>
              <w:top w:val="nil"/>
              <w:left w:val="nil"/>
              <w:bottom w:val="nil"/>
              <w:right w:val="nil"/>
            </w:tcBorders>
            <w:shd w:val="clear" w:color="auto" w:fill="auto"/>
            <w:noWrap/>
            <w:vAlign w:val="bottom"/>
            <w:hideMark/>
          </w:tcPr>
          <w:p w14:paraId="3AD74B27" w14:textId="77777777" w:rsidR="00350C1D" w:rsidRPr="004E0937" w:rsidRDefault="00350C1D" w:rsidP="00DB3615">
            <w:pPr>
              <w:spacing w:after="0" w:line="240" w:lineRule="auto"/>
              <w:jc w:val="center"/>
              <w:rPr>
                <w:rFonts w:ascii="Times New Roman" w:eastAsia="Times New Roman" w:hAnsi="Times New Roman" w:cs="Times New Roman"/>
                <w:sz w:val="20"/>
                <w:szCs w:val="20"/>
              </w:rPr>
            </w:pPr>
          </w:p>
        </w:tc>
        <w:tc>
          <w:tcPr>
            <w:tcW w:w="1052" w:type="pct"/>
            <w:gridSpan w:val="2"/>
            <w:tcBorders>
              <w:top w:val="nil"/>
              <w:left w:val="nil"/>
              <w:bottom w:val="nil"/>
              <w:right w:val="nil"/>
            </w:tcBorders>
            <w:shd w:val="clear" w:color="auto" w:fill="auto"/>
            <w:vAlign w:val="bottom"/>
            <w:hideMark/>
          </w:tcPr>
          <w:p w14:paraId="706AE936" w14:textId="77777777" w:rsidR="00350C1D" w:rsidRPr="004E0937" w:rsidRDefault="00350C1D" w:rsidP="00DB3615">
            <w:pPr>
              <w:spacing w:after="0" w:line="240" w:lineRule="auto"/>
              <w:jc w:val="left"/>
              <w:rPr>
                <w:rFonts w:ascii="Calibri" w:eastAsia="Times New Roman" w:hAnsi="Calibri" w:cs="Calibri"/>
                <w:color w:val="000000"/>
              </w:rPr>
            </w:pPr>
            <w:r w:rsidRPr="004E0937">
              <w:rPr>
                <w:rFonts w:ascii="Calibri" w:eastAsia="Times New Roman" w:hAnsi="Calibri" w:cs="Calibri"/>
                <w:color w:val="000000"/>
              </w:rPr>
              <w:t>NA</w:t>
            </w:r>
          </w:p>
        </w:tc>
        <w:tc>
          <w:tcPr>
            <w:tcW w:w="366" w:type="pct"/>
            <w:tcBorders>
              <w:top w:val="nil"/>
              <w:left w:val="nil"/>
              <w:bottom w:val="nil"/>
              <w:right w:val="nil"/>
            </w:tcBorders>
            <w:shd w:val="clear" w:color="auto" w:fill="auto"/>
            <w:noWrap/>
            <w:vAlign w:val="bottom"/>
            <w:hideMark/>
          </w:tcPr>
          <w:p w14:paraId="5081B8D9" w14:textId="77777777" w:rsidR="00350C1D" w:rsidRPr="004E0937" w:rsidRDefault="00350C1D" w:rsidP="00DB3615">
            <w:pPr>
              <w:spacing w:after="0" w:line="240" w:lineRule="auto"/>
              <w:jc w:val="left"/>
              <w:rPr>
                <w:rFonts w:ascii="Calibri" w:eastAsia="Times New Roman" w:hAnsi="Calibri" w:cs="Calibri"/>
                <w:color w:val="000000"/>
              </w:rPr>
            </w:pPr>
            <w:r w:rsidRPr="004E0937">
              <w:rPr>
                <w:rFonts w:ascii="Calibri" w:eastAsia="Times New Roman" w:hAnsi="Calibri" w:cs="Calibri"/>
                <w:color w:val="000000"/>
              </w:rPr>
              <w:t>Cancer</w:t>
            </w:r>
          </w:p>
        </w:tc>
        <w:tc>
          <w:tcPr>
            <w:tcW w:w="120" w:type="pct"/>
            <w:tcBorders>
              <w:top w:val="nil"/>
              <w:left w:val="nil"/>
              <w:bottom w:val="nil"/>
              <w:right w:val="nil"/>
            </w:tcBorders>
            <w:shd w:val="clear" w:color="auto" w:fill="auto"/>
            <w:noWrap/>
            <w:vAlign w:val="bottom"/>
            <w:hideMark/>
          </w:tcPr>
          <w:p w14:paraId="1B9D3CF8" w14:textId="77777777" w:rsidR="00350C1D" w:rsidRPr="004E0937" w:rsidRDefault="00350C1D" w:rsidP="00DB3615">
            <w:pPr>
              <w:spacing w:after="0" w:line="240" w:lineRule="auto"/>
              <w:jc w:val="center"/>
              <w:rPr>
                <w:rFonts w:ascii="Calibri" w:eastAsia="Times New Roman" w:hAnsi="Calibri" w:cs="Calibri"/>
                <w:color w:val="000000"/>
              </w:rPr>
            </w:pPr>
            <w:r w:rsidRPr="004E0937">
              <w:rPr>
                <w:rFonts w:ascii="Calibri" w:eastAsia="Times New Roman" w:hAnsi="Calibri" w:cs="Calibri"/>
                <w:color w:val="000000"/>
              </w:rPr>
              <w:t>M</w:t>
            </w:r>
          </w:p>
        </w:tc>
        <w:tc>
          <w:tcPr>
            <w:tcW w:w="430" w:type="pct"/>
            <w:tcBorders>
              <w:top w:val="nil"/>
              <w:left w:val="nil"/>
              <w:bottom w:val="nil"/>
              <w:right w:val="nil"/>
            </w:tcBorders>
            <w:shd w:val="clear" w:color="auto" w:fill="auto"/>
            <w:noWrap/>
            <w:vAlign w:val="bottom"/>
            <w:hideMark/>
          </w:tcPr>
          <w:p w14:paraId="7A38AB4A" w14:textId="77777777" w:rsidR="00350C1D" w:rsidRPr="004E0937" w:rsidRDefault="00350C1D" w:rsidP="00DB3615">
            <w:pPr>
              <w:spacing w:after="0" w:line="240" w:lineRule="auto"/>
              <w:jc w:val="center"/>
              <w:rPr>
                <w:rFonts w:ascii="Calibri" w:eastAsia="Times New Roman" w:hAnsi="Calibri" w:cs="Calibri"/>
                <w:color w:val="000000"/>
              </w:rPr>
            </w:pPr>
            <w:r w:rsidRPr="004E0937">
              <w:rPr>
                <w:rFonts w:ascii="Calibri" w:eastAsia="Times New Roman" w:hAnsi="Calibri" w:cs="Calibri"/>
                <w:color w:val="000000"/>
              </w:rPr>
              <w:t>SAS</w:t>
            </w:r>
          </w:p>
        </w:tc>
        <w:tc>
          <w:tcPr>
            <w:tcW w:w="458" w:type="pct"/>
            <w:tcBorders>
              <w:top w:val="nil"/>
              <w:left w:val="nil"/>
              <w:bottom w:val="nil"/>
              <w:right w:val="nil"/>
            </w:tcBorders>
            <w:shd w:val="clear" w:color="auto" w:fill="auto"/>
            <w:vAlign w:val="bottom"/>
            <w:hideMark/>
          </w:tcPr>
          <w:p w14:paraId="6B1034BC" w14:textId="77777777" w:rsidR="00350C1D" w:rsidRPr="004E0937" w:rsidRDefault="00350C1D" w:rsidP="00DB3615">
            <w:pPr>
              <w:spacing w:after="0" w:line="240" w:lineRule="auto"/>
              <w:jc w:val="left"/>
              <w:rPr>
                <w:rFonts w:ascii="Calibri" w:eastAsia="Times New Roman" w:hAnsi="Calibri" w:cs="Calibri"/>
                <w:color w:val="000000"/>
              </w:rPr>
            </w:pPr>
            <w:r w:rsidRPr="004E0937">
              <w:rPr>
                <w:rFonts w:ascii="Calibri" w:eastAsia="Times New Roman" w:hAnsi="Calibri" w:cs="Calibri"/>
                <w:color w:val="000000"/>
              </w:rPr>
              <w:t>Compound het Missense*</w:t>
            </w:r>
          </w:p>
        </w:tc>
        <w:tc>
          <w:tcPr>
            <w:tcW w:w="413" w:type="pct"/>
            <w:tcBorders>
              <w:top w:val="nil"/>
              <w:left w:val="nil"/>
              <w:bottom w:val="nil"/>
              <w:right w:val="nil"/>
            </w:tcBorders>
            <w:shd w:val="clear" w:color="auto" w:fill="auto"/>
            <w:vAlign w:val="bottom"/>
            <w:hideMark/>
          </w:tcPr>
          <w:p w14:paraId="67C3FE11" w14:textId="77777777" w:rsidR="00350C1D" w:rsidRPr="004E0937" w:rsidRDefault="00350C1D" w:rsidP="00DB3615">
            <w:pPr>
              <w:spacing w:after="0" w:line="240" w:lineRule="auto"/>
              <w:jc w:val="left"/>
              <w:rPr>
                <w:rFonts w:ascii="Calibri" w:eastAsia="Times New Roman" w:hAnsi="Calibri" w:cs="Calibri"/>
                <w:color w:val="000000"/>
              </w:rPr>
            </w:pPr>
            <w:r w:rsidRPr="004E0937">
              <w:rPr>
                <w:rFonts w:ascii="Calibri" w:eastAsia="Times New Roman" w:hAnsi="Calibri" w:cs="Calibri"/>
                <w:color w:val="000000"/>
              </w:rPr>
              <w:t>Compound het Missense* (benign)</w:t>
            </w:r>
          </w:p>
        </w:tc>
        <w:tc>
          <w:tcPr>
            <w:tcW w:w="417" w:type="pct"/>
            <w:tcBorders>
              <w:top w:val="nil"/>
              <w:left w:val="nil"/>
              <w:bottom w:val="nil"/>
              <w:right w:val="nil"/>
            </w:tcBorders>
            <w:shd w:val="clear" w:color="auto" w:fill="auto"/>
            <w:noWrap/>
            <w:vAlign w:val="bottom"/>
            <w:hideMark/>
          </w:tcPr>
          <w:p w14:paraId="64F6B00F" w14:textId="77777777" w:rsidR="00350C1D" w:rsidRPr="004E0937" w:rsidRDefault="00350C1D" w:rsidP="00DB3615">
            <w:pPr>
              <w:spacing w:after="0" w:line="240" w:lineRule="auto"/>
              <w:jc w:val="left"/>
              <w:rPr>
                <w:rFonts w:ascii="Calibri" w:eastAsia="Times New Roman" w:hAnsi="Calibri" w:cs="Calibri"/>
                <w:color w:val="000000"/>
              </w:rPr>
            </w:pPr>
          </w:p>
        </w:tc>
      </w:tr>
      <w:tr w:rsidR="00350C1D" w:rsidRPr="004E0937" w14:paraId="5A8770FE" w14:textId="77777777" w:rsidTr="00350C1D">
        <w:trPr>
          <w:trHeight w:val="290"/>
        </w:trPr>
        <w:tc>
          <w:tcPr>
            <w:tcW w:w="184" w:type="pct"/>
            <w:tcBorders>
              <w:top w:val="nil"/>
              <w:left w:val="nil"/>
              <w:bottom w:val="nil"/>
              <w:right w:val="nil"/>
            </w:tcBorders>
            <w:shd w:val="clear" w:color="auto" w:fill="auto"/>
            <w:noWrap/>
            <w:vAlign w:val="bottom"/>
            <w:hideMark/>
          </w:tcPr>
          <w:p w14:paraId="6656E61C" w14:textId="77777777" w:rsidR="00350C1D" w:rsidRPr="004E0937" w:rsidRDefault="00350C1D" w:rsidP="00DB3615">
            <w:pPr>
              <w:spacing w:after="0" w:line="240" w:lineRule="auto"/>
              <w:jc w:val="center"/>
              <w:rPr>
                <w:rFonts w:ascii="Calibri" w:eastAsia="Times New Roman" w:hAnsi="Calibri" w:cs="Calibri"/>
                <w:color w:val="000000"/>
              </w:rPr>
            </w:pPr>
            <w:r w:rsidRPr="004E0937">
              <w:rPr>
                <w:rFonts w:ascii="Calibri" w:eastAsia="Times New Roman" w:hAnsi="Calibri" w:cs="Calibri"/>
                <w:color w:val="000000"/>
              </w:rPr>
              <w:t>19</w:t>
            </w:r>
          </w:p>
        </w:tc>
        <w:tc>
          <w:tcPr>
            <w:tcW w:w="190" w:type="pct"/>
            <w:tcBorders>
              <w:top w:val="nil"/>
              <w:left w:val="nil"/>
              <w:bottom w:val="nil"/>
              <w:right w:val="nil"/>
            </w:tcBorders>
            <w:vAlign w:val="bottom"/>
          </w:tcPr>
          <w:p w14:paraId="6D907F04" w14:textId="77777777" w:rsidR="00350C1D" w:rsidRPr="004E0937" w:rsidRDefault="00350C1D" w:rsidP="00DB3615">
            <w:pPr>
              <w:spacing w:after="0" w:line="240" w:lineRule="auto"/>
              <w:jc w:val="center"/>
              <w:rPr>
                <w:rFonts w:ascii="Calibri" w:eastAsia="Times New Roman" w:hAnsi="Calibri" w:cs="Calibri"/>
                <w:color w:val="000000"/>
              </w:rPr>
            </w:pPr>
          </w:p>
        </w:tc>
        <w:tc>
          <w:tcPr>
            <w:tcW w:w="498" w:type="pct"/>
            <w:tcBorders>
              <w:top w:val="nil"/>
              <w:left w:val="nil"/>
              <w:bottom w:val="nil"/>
              <w:right w:val="nil"/>
            </w:tcBorders>
            <w:shd w:val="clear" w:color="auto" w:fill="auto"/>
            <w:noWrap/>
            <w:vAlign w:val="bottom"/>
            <w:hideMark/>
          </w:tcPr>
          <w:p w14:paraId="2EC6A2A1" w14:textId="3A2CFB2F" w:rsidR="00350C1D" w:rsidRPr="004E0937" w:rsidRDefault="00350C1D" w:rsidP="00DB3615">
            <w:pPr>
              <w:spacing w:after="0" w:line="240" w:lineRule="auto"/>
              <w:jc w:val="center"/>
              <w:rPr>
                <w:rFonts w:ascii="Calibri" w:eastAsia="Times New Roman" w:hAnsi="Calibri" w:cs="Calibri"/>
                <w:color w:val="000000"/>
              </w:rPr>
            </w:pPr>
          </w:p>
        </w:tc>
        <w:tc>
          <w:tcPr>
            <w:tcW w:w="374" w:type="pct"/>
            <w:tcBorders>
              <w:top w:val="nil"/>
              <w:left w:val="nil"/>
              <w:bottom w:val="nil"/>
              <w:right w:val="nil"/>
            </w:tcBorders>
            <w:shd w:val="clear" w:color="auto" w:fill="auto"/>
            <w:noWrap/>
            <w:vAlign w:val="bottom"/>
            <w:hideMark/>
          </w:tcPr>
          <w:p w14:paraId="1559C7E4" w14:textId="77777777" w:rsidR="00350C1D" w:rsidRPr="004E0937" w:rsidRDefault="00350C1D" w:rsidP="00DB3615">
            <w:pPr>
              <w:spacing w:after="0" w:line="240" w:lineRule="auto"/>
              <w:jc w:val="center"/>
              <w:rPr>
                <w:rFonts w:ascii="Times New Roman" w:eastAsia="Times New Roman" w:hAnsi="Times New Roman" w:cs="Times New Roman"/>
                <w:sz w:val="20"/>
                <w:szCs w:val="20"/>
              </w:rPr>
            </w:pPr>
          </w:p>
        </w:tc>
        <w:tc>
          <w:tcPr>
            <w:tcW w:w="498" w:type="pct"/>
            <w:gridSpan w:val="3"/>
            <w:tcBorders>
              <w:top w:val="nil"/>
              <w:left w:val="nil"/>
              <w:bottom w:val="nil"/>
              <w:right w:val="nil"/>
            </w:tcBorders>
            <w:shd w:val="clear" w:color="auto" w:fill="auto"/>
            <w:noWrap/>
            <w:vAlign w:val="bottom"/>
            <w:hideMark/>
          </w:tcPr>
          <w:p w14:paraId="305641A8" w14:textId="77777777" w:rsidR="00350C1D" w:rsidRPr="004E0937" w:rsidRDefault="00350C1D" w:rsidP="00DB3615">
            <w:pPr>
              <w:spacing w:after="0" w:line="240" w:lineRule="auto"/>
              <w:jc w:val="center"/>
              <w:rPr>
                <w:rFonts w:ascii="Calibri" w:eastAsia="Times New Roman" w:hAnsi="Calibri" w:cs="Calibri"/>
                <w:color w:val="000000"/>
              </w:rPr>
            </w:pPr>
            <w:r w:rsidRPr="004E0937">
              <w:rPr>
                <w:rFonts w:ascii="Calibri" w:eastAsia="Times New Roman" w:hAnsi="Calibri" w:cs="Calibri"/>
                <w:color w:val="000000"/>
              </w:rPr>
              <w:t>6 to 10</w:t>
            </w:r>
          </w:p>
        </w:tc>
        <w:tc>
          <w:tcPr>
            <w:tcW w:w="1052" w:type="pct"/>
            <w:gridSpan w:val="2"/>
            <w:tcBorders>
              <w:top w:val="nil"/>
              <w:left w:val="nil"/>
              <w:bottom w:val="nil"/>
              <w:right w:val="nil"/>
            </w:tcBorders>
            <w:shd w:val="clear" w:color="auto" w:fill="auto"/>
            <w:vAlign w:val="bottom"/>
            <w:hideMark/>
          </w:tcPr>
          <w:p w14:paraId="78219CF9" w14:textId="77777777" w:rsidR="00350C1D" w:rsidRPr="004E0937" w:rsidRDefault="00350C1D" w:rsidP="00DB3615">
            <w:pPr>
              <w:spacing w:after="0" w:line="240" w:lineRule="auto"/>
              <w:jc w:val="left"/>
              <w:rPr>
                <w:rFonts w:ascii="Calibri" w:eastAsia="Times New Roman" w:hAnsi="Calibri" w:cs="Calibri"/>
                <w:color w:val="000000"/>
              </w:rPr>
            </w:pPr>
            <w:r w:rsidRPr="004E0937">
              <w:rPr>
                <w:rFonts w:ascii="Calibri" w:eastAsia="Times New Roman" w:hAnsi="Calibri" w:cs="Calibri"/>
                <w:color w:val="000000"/>
              </w:rPr>
              <w:t>Undiagnosed metabolic disorders</w:t>
            </w:r>
          </w:p>
        </w:tc>
        <w:tc>
          <w:tcPr>
            <w:tcW w:w="366" w:type="pct"/>
            <w:tcBorders>
              <w:top w:val="nil"/>
              <w:left w:val="nil"/>
              <w:bottom w:val="nil"/>
              <w:right w:val="nil"/>
            </w:tcBorders>
            <w:shd w:val="clear" w:color="auto" w:fill="auto"/>
            <w:noWrap/>
            <w:vAlign w:val="bottom"/>
            <w:hideMark/>
          </w:tcPr>
          <w:p w14:paraId="3C8FFF95" w14:textId="77777777" w:rsidR="00350C1D" w:rsidRPr="004E0937" w:rsidRDefault="00350C1D" w:rsidP="00DB3615">
            <w:pPr>
              <w:spacing w:after="0" w:line="240" w:lineRule="auto"/>
              <w:jc w:val="left"/>
              <w:rPr>
                <w:rFonts w:ascii="Calibri" w:eastAsia="Times New Roman" w:hAnsi="Calibri" w:cs="Calibri"/>
                <w:color w:val="000000"/>
              </w:rPr>
            </w:pPr>
            <w:r w:rsidRPr="004E0937">
              <w:rPr>
                <w:rFonts w:ascii="Calibri" w:eastAsia="Times New Roman" w:hAnsi="Calibri" w:cs="Calibri"/>
                <w:color w:val="000000"/>
              </w:rPr>
              <w:t>Proband</w:t>
            </w:r>
          </w:p>
        </w:tc>
        <w:tc>
          <w:tcPr>
            <w:tcW w:w="120" w:type="pct"/>
            <w:tcBorders>
              <w:top w:val="nil"/>
              <w:left w:val="nil"/>
              <w:bottom w:val="nil"/>
              <w:right w:val="nil"/>
            </w:tcBorders>
            <w:shd w:val="clear" w:color="auto" w:fill="auto"/>
            <w:noWrap/>
            <w:vAlign w:val="bottom"/>
            <w:hideMark/>
          </w:tcPr>
          <w:p w14:paraId="7B4CCC2B" w14:textId="77777777" w:rsidR="00350C1D" w:rsidRPr="004E0937" w:rsidRDefault="00350C1D" w:rsidP="00DB3615">
            <w:pPr>
              <w:spacing w:after="0" w:line="240" w:lineRule="auto"/>
              <w:jc w:val="center"/>
              <w:rPr>
                <w:rFonts w:ascii="Calibri" w:eastAsia="Times New Roman" w:hAnsi="Calibri" w:cs="Calibri"/>
                <w:color w:val="000000"/>
              </w:rPr>
            </w:pPr>
            <w:r w:rsidRPr="004E0937">
              <w:rPr>
                <w:rFonts w:ascii="Calibri" w:eastAsia="Times New Roman" w:hAnsi="Calibri" w:cs="Calibri"/>
                <w:color w:val="000000"/>
              </w:rPr>
              <w:t>M</w:t>
            </w:r>
          </w:p>
        </w:tc>
        <w:tc>
          <w:tcPr>
            <w:tcW w:w="430" w:type="pct"/>
            <w:tcBorders>
              <w:top w:val="nil"/>
              <w:left w:val="nil"/>
              <w:bottom w:val="nil"/>
              <w:right w:val="nil"/>
            </w:tcBorders>
            <w:shd w:val="clear" w:color="auto" w:fill="auto"/>
            <w:noWrap/>
            <w:vAlign w:val="bottom"/>
            <w:hideMark/>
          </w:tcPr>
          <w:p w14:paraId="4C41940B" w14:textId="77777777" w:rsidR="00350C1D" w:rsidRPr="004E0937" w:rsidRDefault="00350C1D" w:rsidP="00DB3615">
            <w:pPr>
              <w:spacing w:after="0" w:line="240" w:lineRule="auto"/>
              <w:jc w:val="center"/>
              <w:rPr>
                <w:rFonts w:ascii="Calibri" w:eastAsia="Times New Roman" w:hAnsi="Calibri" w:cs="Calibri"/>
                <w:color w:val="000000"/>
              </w:rPr>
            </w:pPr>
            <w:r w:rsidRPr="004E0937">
              <w:rPr>
                <w:rFonts w:ascii="Calibri" w:eastAsia="Times New Roman" w:hAnsi="Calibri" w:cs="Calibri"/>
                <w:color w:val="000000"/>
              </w:rPr>
              <w:t>AFR</w:t>
            </w:r>
          </w:p>
        </w:tc>
        <w:tc>
          <w:tcPr>
            <w:tcW w:w="458" w:type="pct"/>
            <w:tcBorders>
              <w:top w:val="nil"/>
              <w:left w:val="nil"/>
              <w:bottom w:val="nil"/>
              <w:right w:val="nil"/>
            </w:tcBorders>
            <w:shd w:val="clear" w:color="auto" w:fill="auto"/>
            <w:vAlign w:val="bottom"/>
            <w:hideMark/>
          </w:tcPr>
          <w:p w14:paraId="0AD93EBE" w14:textId="77777777" w:rsidR="00350C1D" w:rsidRPr="004E0937" w:rsidRDefault="00350C1D" w:rsidP="00DB3615">
            <w:pPr>
              <w:spacing w:after="0" w:line="240" w:lineRule="auto"/>
              <w:jc w:val="left"/>
              <w:rPr>
                <w:rFonts w:ascii="Calibri" w:eastAsia="Times New Roman" w:hAnsi="Calibri" w:cs="Calibri"/>
                <w:color w:val="000000"/>
              </w:rPr>
            </w:pPr>
            <w:r w:rsidRPr="004E0937">
              <w:rPr>
                <w:rFonts w:ascii="Calibri" w:eastAsia="Times New Roman" w:hAnsi="Calibri" w:cs="Calibri"/>
                <w:color w:val="000000"/>
              </w:rPr>
              <w:t>Stop gained</w:t>
            </w:r>
          </w:p>
        </w:tc>
        <w:tc>
          <w:tcPr>
            <w:tcW w:w="413" w:type="pct"/>
            <w:tcBorders>
              <w:top w:val="nil"/>
              <w:left w:val="nil"/>
              <w:bottom w:val="nil"/>
              <w:right w:val="nil"/>
            </w:tcBorders>
            <w:shd w:val="clear" w:color="auto" w:fill="auto"/>
            <w:vAlign w:val="bottom"/>
            <w:hideMark/>
          </w:tcPr>
          <w:p w14:paraId="4B48C335" w14:textId="77777777" w:rsidR="00350C1D" w:rsidRPr="004E0937" w:rsidRDefault="00350C1D" w:rsidP="00DB3615">
            <w:pPr>
              <w:spacing w:after="0" w:line="240" w:lineRule="auto"/>
              <w:jc w:val="left"/>
              <w:rPr>
                <w:rFonts w:ascii="Calibri" w:eastAsia="Times New Roman" w:hAnsi="Calibri" w:cs="Calibri"/>
                <w:color w:val="000000"/>
              </w:rPr>
            </w:pPr>
            <w:r w:rsidRPr="004E0937">
              <w:rPr>
                <w:rFonts w:ascii="Calibri" w:eastAsia="Times New Roman" w:hAnsi="Calibri" w:cs="Calibri"/>
                <w:color w:val="000000"/>
              </w:rPr>
              <w:t>Intronic variant</w:t>
            </w:r>
          </w:p>
        </w:tc>
        <w:tc>
          <w:tcPr>
            <w:tcW w:w="417" w:type="pct"/>
            <w:tcBorders>
              <w:top w:val="nil"/>
              <w:left w:val="nil"/>
              <w:bottom w:val="nil"/>
              <w:right w:val="nil"/>
            </w:tcBorders>
            <w:shd w:val="clear" w:color="auto" w:fill="auto"/>
            <w:noWrap/>
            <w:vAlign w:val="bottom"/>
            <w:hideMark/>
          </w:tcPr>
          <w:p w14:paraId="4175AD55" w14:textId="77777777" w:rsidR="00350C1D" w:rsidRPr="004E0937" w:rsidRDefault="00350C1D" w:rsidP="00DB3615">
            <w:pPr>
              <w:spacing w:after="0" w:line="240" w:lineRule="auto"/>
              <w:jc w:val="left"/>
              <w:rPr>
                <w:rFonts w:ascii="Calibri" w:eastAsia="Times New Roman" w:hAnsi="Calibri" w:cs="Calibri"/>
                <w:color w:val="000000"/>
              </w:rPr>
            </w:pPr>
          </w:p>
        </w:tc>
      </w:tr>
      <w:tr w:rsidR="00350C1D" w:rsidRPr="004E0937" w14:paraId="30031C3D" w14:textId="77777777" w:rsidTr="00350C1D">
        <w:trPr>
          <w:trHeight w:val="580"/>
        </w:trPr>
        <w:tc>
          <w:tcPr>
            <w:tcW w:w="184" w:type="pct"/>
            <w:tcBorders>
              <w:top w:val="nil"/>
              <w:left w:val="nil"/>
              <w:bottom w:val="nil"/>
              <w:right w:val="nil"/>
            </w:tcBorders>
            <w:shd w:val="clear" w:color="FFFF00" w:fill="9BC2E6"/>
            <w:noWrap/>
            <w:vAlign w:val="bottom"/>
            <w:hideMark/>
          </w:tcPr>
          <w:p w14:paraId="19069552" w14:textId="77777777" w:rsidR="00350C1D" w:rsidRPr="004E0937" w:rsidRDefault="00350C1D" w:rsidP="00DB3615">
            <w:pPr>
              <w:spacing w:after="0" w:line="240" w:lineRule="auto"/>
              <w:jc w:val="center"/>
              <w:rPr>
                <w:rFonts w:ascii="Calibri" w:eastAsia="Times New Roman" w:hAnsi="Calibri" w:cs="Calibri"/>
                <w:color w:val="000000"/>
              </w:rPr>
            </w:pPr>
            <w:r w:rsidRPr="004E0937">
              <w:rPr>
                <w:rFonts w:ascii="Calibri" w:eastAsia="Times New Roman" w:hAnsi="Calibri" w:cs="Calibri"/>
                <w:color w:val="000000"/>
              </w:rPr>
              <w:t>20</w:t>
            </w:r>
          </w:p>
        </w:tc>
        <w:tc>
          <w:tcPr>
            <w:tcW w:w="190" w:type="pct"/>
            <w:tcBorders>
              <w:top w:val="nil"/>
              <w:left w:val="nil"/>
              <w:bottom w:val="nil"/>
              <w:right w:val="nil"/>
            </w:tcBorders>
            <w:shd w:val="clear" w:color="FFFF00" w:fill="9BC2E6"/>
            <w:vAlign w:val="bottom"/>
          </w:tcPr>
          <w:p w14:paraId="6F7F810A" w14:textId="68DBE091" w:rsidR="00350C1D" w:rsidRDefault="00350C1D" w:rsidP="00DB3615">
            <w:pPr>
              <w:spacing w:after="0" w:line="240" w:lineRule="auto"/>
              <w:jc w:val="center"/>
              <w:rPr>
                <w:rFonts w:ascii="Calibri" w:eastAsia="Times New Roman" w:hAnsi="Calibri" w:cs="Calibri"/>
                <w:color w:val="000000"/>
              </w:rPr>
            </w:pPr>
            <w:r>
              <w:rPr>
                <w:rFonts w:ascii="Calibri" w:eastAsia="Times New Roman" w:hAnsi="Calibri" w:cs="Calibri"/>
                <w:color w:val="000000"/>
              </w:rPr>
              <w:t>No</w:t>
            </w:r>
          </w:p>
        </w:tc>
        <w:tc>
          <w:tcPr>
            <w:tcW w:w="498" w:type="pct"/>
            <w:tcBorders>
              <w:top w:val="nil"/>
              <w:left w:val="nil"/>
              <w:bottom w:val="nil"/>
              <w:right w:val="nil"/>
            </w:tcBorders>
            <w:shd w:val="clear" w:color="FFFF00" w:fill="9BC2E6"/>
            <w:noWrap/>
            <w:vAlign w:val="bottom"/>
            <w:hideMark/>
          </w:tcPr>
          <w:p w14:paraId="2C9B247C" w14:textId="6A98ED8C" w:rsidR="00350C1D" w:rsidRPr="004E0937" w:rsidRDefault="00350C1D" w:rsidP="00DB3615">
            <w:pPr>
              <w:spacing w:after="0" w:line="240" w:lineRule="auto"/>
              <w:jc w:val="center"/>
              <w:rPr>
                <w:rFonts w:ascii="Calibri" w:eastAsia="Times New Roman" w:hAnsi="Calibri" w:cs="Calibri"/>
                <w:color w:val="000000"/>
              </w:rPr>
            </w:pPr>
            <w:r w:rsidRPr="004E0937">
              <w:rPr>
                <w:rFonts w:ascii="Calibri" w:eastAsia="Times New Roman" w:hAnsi="Calibri" w:cs="Calibri"/>
                <w:color w:val="000000"/>
              </w:rPr>
              <w:t>31 to 35</w:t>
            </w:r>
          </w:p>
        </w:tc>
        <w:tc>
          <w:tcPr>
            <w:tcW w:w="374" w:type="pct"/>
            <w:tcBorders>
              <w:top w:val="nil"/>
              <w:left w:val="nil"/>
              <w:bottom w:val="nil"/>
              <w:right w:val="nil"/>
            </w:tcBorders>
            <w:shd w:val="clear" w:color="FFFF00" w:fill="9BC2E6"/>
            <w:noWrap/>
            <w:vAlign w:val="bottom"/>
            <w:hideMark/>
          </w:tcPr>
          <w:p w14:paraId="56D37DA4" w14:textId="77777777" w:rsidR="00350C1D" w:rsidRPr="004E0937" w:rsidRDefault="00350C1D" w:rsidP="00DB3615">
            <w:pPr>
              <w:spacing w:after="0" w:line="240" w:lineRule="auto"/>
              <w:jc w:val="center"/>
              <w:rPr>
                <w:rFonts w:ascii="Calibri" w:eastAsia="Times New Roman" w:hAnsi="Calibri" w:cs="Calibri"/>
                <w:color w:val="000000"/>
              </w:rPr>
            </w:pPr>
            <w:r w:rsidRPr="004E0937">
              <w:rPr>
                <w:rFonts w:ascii="Calibri" w:eastAsia="Times New Roman" w:hAnsi="Calibri" w:cs="Calibri"/>
                <w:color w:val="000000"/>
              </w:rPr>
              <w:t> </w:t>
            </w:r>
          </w:p>
        </w:tc>
        <w:tc>
          <w:tcPr>
            <w:tcW w:w="498" w:type="pct"/>
            <w:gridSpan w:val="3"/>
            <w:tcBorders>
              <w:top w:val="nil"/>
              <w:left w:val="nil"/>
              <w:bottom w:val="nil"/>
              <w:right w:val="nil"/>
            </w:tcBorders>
            <w:shd w:val="clear" w:color="FFFF00" w:fill="9BC2E6"/>
            <w:noWrap/>
            <w:vAlign w:val="bottom"/>
            <w:hideMark/>
          </w:tcPr>
          <w:p w14:paraId="0A87D931" w14:textId="77777777" w:rsidR="00350C1D" w:rsidRPr="004E0937" w:rsidRDefault="00350C1D" w:rsidP="00DB3615">
            <w:pPr>
              <w:spacing w:after="0" w:line="240" w:lineRule="auto"/>
              <w:jc w:val="center"/>
              <w:rPr>
                <w:rFonts w:ascii="Calibri" w:eastAsia="Times New Roman" w:hAnsi="Calibri" w:cs="Calibri"/>
                <w:color w:val="000000"/>
              </w:rPr>
            </w:pPr>
            <w:r w:rsidRPr="004E0937">
              <w:rPr>
                <w:rFonts w:ascii="Calibri" w:eastAsia="Times New Roman" w:hAnsi="Calibri" w:cs="Calibri"/>
                <w:color w:val="000000"/>
              </w:rPr>
              <w:t> </w:t>
            </w:r>
          </w:p>
        </w:tc>
        <w:tc>
          <w:tcPr>
            <w:tcW w:w="1052" w:type="pct"/>
            <w:gridSpan w:val="2"/>
            <w:tcBorders>
              <w:top w:val="nil"/>
              <w:left w:val="nil"/>
              <w:bottom w:val="nil"/>
              <w:right w:val="nil"/>
            </w:tcBorders>
            <w:shd w:val="clear" w:color="FFFF00" w:fill="9BC2E6"/>
            <w:vAlign w:val="bottom"/>
            <w:hideMark/>
          </w:tcPr>
          <w:p w14:paraId="18A3F3C3" w14:textId="77777777" w:rsidR="00350C1D" w:rsidRPr="004E0937" w:rsidRDefault="00350C1D" w:rsidP="00DB3615">
            <w:pPr>
              <w:spacing w:after="0" w:line="240" w:lineRule="auto"/>
              <w:jc w:val="left"/>
              <w:rPr>
                <w:rFonts w:ascii="Calibri" w:eastAsia="Times New Roman" w:hAnsi="Calibri" w:cs="Calibri"/>
                <w:color w:val="000000"/>
              </w:rPr>
            </w:pPr>
            <w:r w:rsidRPr="004E0937">
              <w:rPr>
                <w:rFonts w:ascii="Calibri" w:eastAsia="Times New Roman" w:hAnsi="Calibri" w:cs="Calibri"/>
                <w:color w:val="000000"/>
              </w:rPr>
              <w:t>Unexplained kidney failure in young people</w:t>
            </w:r>
          </w:p>
        </w:tc>
        <w:tc>
          <w:tcPr>
            <w:tcW w:w="366" w:type="pct"/>
            <w:tcBorders>
              <w:top w:val="nil"/>
              <w:left w:val="nil"/>
              <w:bottom w:val="nil"/>
              <w:right w:val="nil"/>
            </w:tcBorders>
            <w:shd w:val="clear" w:color="FFFF00" w:fill="9BC2E6"/>
            <w:noWrap/>
            <w:vAlign w:val="bottom"/>
            <w:hideMark/>
          </w:tcPr>
          <w:p w14:paraId="64CB33D7" w14:textId="77777777" w:rsidR="00350C1D" w:rsidRPr="004E0937" w:rsidRDefault="00350C1D" w:rsidP="00DB3615">
            <w:pPr>
              <w:spacing w:after="0" w:line="240" w:lineRule="auto"/>
              <w:jc w:val="left"/>
              <w:rPr>
                <w:rFonts w:ascii="Calibri" w:eastAsia="Times New Roman" w:hAnsi="Calibri" w:cs="Calibri"/>
                <w:color w:val="000000"/>
              </w:rPr>
            </w:pPr>
            <w:r w:rsidRPr="004E0937">
              <w:rPr>
                <w:rFonts w:ascii="Calibri" w:eastAsia="Times New Roman" w:hAnsi="Calibri" w:cs="Calibri"/>
                <w:color w:val="000000"/>
              </w:rPr>
              <w:t>Proband</w:t>
            </w:r>
          </w:p>
        </w:tc>
        <w:tc>
          <w:tcPr>
            <w:tcW w:w="120" w:type="pct"/>
            <w:tcBorders>
              <w:top w:val="nil"/>
              <w:left w:val="nil"/>
              <w:bottom w:val="nil"/>
              <w:right w:val="nil"/>
            </w:tcBorders>
            <w:shd w:val="clear" w:color="FFFF00" w:fill="9BC2E6"/>
            <w:noWrap/>
            <w:vAlign w:val="bottom"/>
            <w:hideMark/>
          </w:tcPr>
          <w:p w14:paraId="62909B31" w14:textId="77777777" w:rsidR="00350C1D" w:rsidRPr="004E0937" w:rsidRDefault="00350C1D" w:rsidP="00DB3615">
            <w:pPr>
              <w:spacing w:after="0" w:line="240" w:lineRule="auto"/>
              <w:jc w:val="center"/>
              <w:rPr>
                <w:rFonts w:ascii="Calibri" w:eastAsia="Times New Roman" w:hAnsi="Calibri" w:cs="Calibri"/>
                <w:color w:val="000000"/>
              </w:rPr>
            </w:pPr>
            <w:r w:rsidRPr="004E0937">
              <w:rPr>
                <w:rFonts w:ascii="Calibri" w:eastAsia="Times New Roman" w:hAnsi="Calibri" w:cs="Calibri"/>
                <w:color w:val="000000"/>
              </w:rPr>
              <w:t>M</w:t>
            </w:r>
          </w:p>
        </w:tc>
        <w:tc>
          <w:tcPr>
            <w:tcW w:w="430" w:type="pct"/>
            <w:tcBorders>
              <w:top w:val="nil"/>
              <w:left w:val="nil"/>
              <w:bottom w:val="nil"/>
              <w:right w:val="nil"/>
            </w:tcBorders>
            <w:shd w:val="clear" w:color="FFFF00" w:fill="9BC2E6"/>
            <w:noWrap/>
            <w:vAlign w:val="bottom"/>
            <w:hideMark/>
          </w:tcPr>
          <w:p w14:paraId="609E89B4" w14:textId="77777777" w:rsidR="00350C1D" w:rsidRPr="004E0937" w:rsidRDefault="00350C1D" w:rsidP="00DB3615">
            <w:pPr>
              <w:spacing w:after="0" w:line="240" w:lineRule="auto"/>
              <w:jc w:val="center"/>
              <w:rPr>
                <w:rFonts w:ascii="Calibri" w:eastAsia="Times New Roman" w:hAnsi="Calibri" w:cs="Calibri"/>
                <w:color w:val="000000"/>
              </w:rPr>
            </w:pPr>
            <w:r w:rsidRPr="004E0937">
              <w:rPr>
                <w:rFonts w:ascii="Calibri" w:eastAsia="Times New Roman" w:hAnsi="Calibri" w:cs="Calibri"/>
                <w:color w:val="000000"/>
              </w:rPr>
              <w:t> </w:t>
            </w:r>
          </w:p>
        </w:tc>
        <w:tc>
          <w:tcPr>
            <w:tcW w:w="458" w:type="pct"/>
            <w:tcBorders>
              <w:top w:val="nil"/>
              <w:left w:val="nil"/>
              <w:bottom w:val="nil"/>
              <w:right w:val="nil"/>
            </w:tcBorders>
            <w:shd w:val="clear" w:color="FFFF00" w:fill="9BC2E6"/>
            <w:vAlign w:val="bottom"/>
            <w:hideMark/>
          </w:tcPr>
          <w:p w14:paraId="3D15B59A" w14:textId="77777777" w:rsidR="00350C1D" w:rsidRPr="004E0937" w:rsidRDefault="00350C1D" w:rsidP="00DB3615">
            <w:pPr>
              <w:spacing w:after="0" w:line="240" w:lineRule="auto"/>
              <w:jc w:val="left"/>
              <w:rPr>
                <w:rFonts w:ascii="Calibri" w:eastAsia="Times New Roman" w:hAnsi="Calibri" w:cs="Calibri"/>
                <w:color w:val="000000"/>
              </w:rPr>
            </w:pPr>
            <w:r w:rsidRPr="004E0937">
              <w:rPr>
                <w:rFonts w:ascii="Calibri" w:eastAsia="Times New Roman" w:hAnsi="Calibri" w:cs="Calibri"/>
                <w:color w:val="000000"/>
              </w:rPr>
              <w:t>CNV deletion</w:t>
            </w:r>
          </w:p>
        </w:tc>
        <w:tc>
          <w:tcPr>
            <w:tcW w:w="413" w:type="pct"/>
            <w:tcBorders>
              <w:top w:val="nil"/>
              <w:left w:val="nil"/>
              <w:bottom w:val="nil"/>
              <w:right w:val="nil"/>
            </w:tcBorders>
            <w:shd w:val="clear" w:color="FFFF00" w:fill="9BC2E6"/>
            <w:vAlign w:val="bottom"/>
            <w:hideMark/>
          </w:tcPr>
          <w:p w14:paraId="04E4AE6A" w14:textId="77777777" w:rsidR="00350C1D" w:rsidRPr="004E0937" w:rsidRDefault="00350C1D" w:rsidP="00DB3615">
            <w:pPr>
              <w:spacing w:after="0" w:line="240" w:lineRule="auto"/>
              <w:jc w:val="left"/>
              <w:rPr>
                <w:rFonts w:ascii="Calibri" w:eastAsia="Times New Roman" w:hAnsi="Calibri" w:cs="Calibri"/>
                <w:color w:val="000000"/>
              </w:rPr>
            </w:pPr>
            <w:r w:rsidRPr="004E0937">
              <w:rPr>
                <w:rFonts w:ascii="Calibri" w:eastAsia="Times New Roman" w:hAnsi="Calibri" w:cs="Calibri"/>
                <w:color w:val="000000"/>
              </w:rPr>
              <w:t>CNV deletion</w:t>
            </w:r>
          </w:p>
        </w:tc>
        <w:tc>
          <w:tcPr>
            <w:tcW w:w="417" w:type="pct"/>
            <w:tcBorders>
              <w:top w:val="nil"/>
              <w:left w:val="nil"/>
              <w:bottom w:val="nil"/>
              <w:right w:val="nil"/>
            </w:tcBorders>
            <w:shd w:val="clear" w:color="FFFF00" w:fill="9BC2E6"/>
            <w:noWrap/>
            <w:vAlign w:val="bottom"/>
            <w:hideMark/>
          </w:tcPr>
          <w:p w14:paraId="5403C756" w14:textId="77777777" w:rsidR="00350C1D" w:rsidRPr="001064BB" w:rsidRDefault="00350C1D" w:rsidP="00DB3615">
            <w:pPr>
              <w:spacing w:after="0" w:line="240" w:lineRule="auto"/>
              <w:jc w:val="center"/>
              <w:rPr>
                <w:rFonts w:ascii="Calibri" w:eastAsia="Times New Roman" w:hAnsi="Calibri" w:cs="Calibri"/>
                <w:i/>
                <w:iCs/>
                <w:color w:val="000000"/>
              </w:rPr>
            </w:pPr>
            <w:r w:rsidRPr="001064BB">
              <w:rPr>
                <w:rFonts w:ascii="Calibri" w:eastAsia="Times New Roman" w:hAnsi="Calibri" w:cs="Calibri"/>
                <w:i/>
                <w:iCs/>
                <w:color w:val="000000"/>
              </w:rPr>
              <w:t>NPHP1</w:t>
            </w:r>
          </w:p>
        </w:tc>
      </w:tr>
      <w:tr w:rsidR="00350C1D" w:rsidRPr="004E0937" w14:paraId="5CC34ED2" w14:textId="77777777" w:rsidTr="00350C1D">
        <w:trPr>
          <w:trHeight w:val="290"/>
        </w:trPr>
        <w:tc>
          <w:tcPr>
            <w:tcW w:w="184" w:type="pct"/>
            <w:tcBorders>
              <w:top w:val="nil"/>
              <w:left w:val="nil"/>
              <w:bottom w:val="nil"/>
              <w:right w:val="nil"/>
            </w:tcBorders>
            <w:shd w:val="clear" w:color="FFFF00" w:fill="9BC2E6"/>
            <w:noWrap/>
            <w:vAlign w:val="bottom"/>
            <w:hideMark/>
          </w:tcPr>
          <w:p w14:paraId="025F1C84" w14:textId="77777777" w:rsidR="00350C1D" w:rsidRPr="004E0937" w:rsidRDefault="00350C1D" w:rsidP="00DB3615">
            <w:pPr>
              <w:spacing w:after="0" w:line="240" w:lineRule="auto"/>
              <w:jc w:val="center"/>
              <w:rPr>
                <w:rFonts w:ascii="Calibri" w:eastAsia="Times New Roman" w:hAnsi="Calibri" w:cs="Calibri"/>
                <w:color w:val="000000"/>
              </w:rPr>
            </w:pPr>
            <w:r w:rsidRPr="004E0937">
              <w:rPr>
                <w:rFonts w:ascii="Calibri" w:eastAsia="Times New Roman" w:hAnsi="Calibri" w:cs="Calibri"/>
                <w:color w:val="000000"/>
              </w:rPr>
              <w:t>21</w:t>
            </w:r>
          </w:p>
        </w:tc>
        <w:tc>
          <w:tcPr>
            <w:tcW w:w="190" w:type="pct"/>
            <w:tcBorders>
              <w:top w:val="nil"/>
              <w:left w:val="nil"/>
              <w:bottom w:val="nil"/>
              <w:right w:val="nil"/>
            </w:tcBorders>
            <w:shd w:val="clear" w:color="FFFF00" w:fill="9BC2E6"/>
            <w:vAlign w:val="bottom"/>
          </w:tcPr>
          <w:p w14:paraId="77E303F2" w14:textId="56430466" w:rsidR="00350C1D" w:rsidRDefault="00350C1D" w:rsidP="00DB3615">
            <w:pPr>
              <w:spacing w:after="0" w:line="240" w:lineRule="auto"/>
              <w:jc w:val="center"/>
              <w:rPr>
                <w:rFonts w:ascii="Calibri" w:eastAsia="Times New Roman" w:hAnsi="Calibri" w:cs="Calibri"/>
                <w:color w:val="000000"/>
              </w:rPr>
            </w:pPr>
            <w:r>
              <w:rPr>
                <w:rFonts w:ascii="Calibri" w:eastAsia="Times New Roman" w:hAnsi="Calibri" w:cs="Calibri"/>
                <w:color w:val="000000"/>
              </w:rPr>
              <w:t>No</w:t>
            </w:r>
          </w:p>
        </w:tc>
        <w:tc>
          <w:tcPr>
            <w:tcW w:w="498" w:type="pct"/>
            <w:tcBorders>
              <w:top w:val="nil"/>
              <w:left w:val="nil"/>
              <w:bottom w:val="nil"/>
              <w:right w:val="nil"/>
            </w:tcBorders>
            <w:shd w:val="clear" w:color="FFFF00" w:fill="9BC2E6"/>
            <w:noWrap/>
            <w:vAlign w:val="bottom"/>
            <w:hideMark/>
          </w:tcPr>
          <w:p w14:paraId="15D5AAF4" w14:textId="19CA9E38" w:rsidR="00350C1D" w:rsidRPr="004E0937" w:rsidRDefault="00350C1D" w:rsidP="00DB3615">
            <w:pPr>
              <w:spacing w:after="0" w:line="240" w:lineRule="auto"/>
              <w:jc w:val="center"/>
              <w:rPr>
                <w:rFonts w:ascii="Calibri" w:eastAsia="Times New Roman" w:hAnsi="Calibri" w:cs="Calibri"/>
                <w:color w:val="000000"/>
              </w:rPr>
            </w:pPr>
            <w:r w:rsidRPr="004E0937">
              <w:rPr>
                <w:rFonts w:ascii="Calibri" w:eastAsia="Times New Roman" w:hAnsi="Calibri" w:cs="Calibri"/>
                <w:color w:val="000000"/>
              </w:rPr>
              <w:t>16 to 20</w:t>
            </w:r>
          </w:p>
        </w:tc>
        <w:tc>
          <w:tcPr>
            <w:tcW w:w="374" w:type="pct"/>
            <w:tcBorders>
              <w:top w:val="nil"/>
              <w:left w:val="nil"/>
              <w:bottom w:val="nil"/>
              <w:right w:val="nil"/>
            </w:tcBorders>
            <w:shd w:val="clear" w:color="FFFF00" w:fill="9BC2E6"/>
            <w:noWrap/>
            <w:vAlign w:val="bottom"/>
            <w:hideMark/>
          </w:tcPr>
          <w:p w14:paraId="410C128F" w14:textId="77777777" w:rsidR="00350C1D" w:rsidRPr="004E0937" w:rsidRDefault="00350C1D" w:rsidP="00DB3615">
            <w:pPr>
              <w:spacing w:after="0" w:line="240" w:lineRule="auto"/>
              <w:jc w:val="center"/>
              <w:rPr>
                <w:rFonts w:ascii="Calibri" w:eastAsia="Times New Roman" w:hAnsi="Calibri" w:cs="Calibri"/>
                <w:color w:val="000000"/>
              </w:rPr>
            </w:pPr>
            <w:r w:rsidRPr="004E0937">
              <w:rPr>
                <w:rFonts w:ascii="Calibri" w:eastAsia="Times New Roman" w:hAnsi="Calibri" w:cs="Calibri"/>
                <w:color w:val="000000"/>
              </w:rPr>
              <w:t> </w:t>
            </w:r>
          </w:p>
        </w:tc>
        <w:tc>
          <w:tcPr>
            <w:tcW w:w="498" w:type="pct"/>
            <w:gridSpan w:val="3"/>
            <w:tcBorders>
              <w:top w:val="nil"/>
              <w:left w:val="nil"/>
              <w:bottom w:val="nil"/>
              <w:right w:val="nil"/>
            </w:tcBorders>
            <w:shd w:val="clear" w:color="FFFF00" w:fill="9BC2E6"/>
            <w:noWrap/>
            <w:vAlign w:val="bottom"/>
            <w:hideMark/>
          </w:tcPr>
          <w:p w14:paraId="0730C01C" w14:textId="77777777" w:rsidR="00350C1D" w:rsidRPr="004E0937" w:rsidRDefault="00350C1D" w:rsidP="00DB3615">
            <w:pPr>
              <w:spacing w:after="0" w:line="240" w:lineRule="auto"/>
              <w:jc w:val="center"/>
              <w:rPr>
                <w:rFonts w:ascii="Calibri" w:eastAsia="Times New Roman" w:hAnsi="Calibri" w:cs="Calibri"/>
                <w:color w:val="FF0000"/>
              </w:rPr>
            </w:pPr>
            <w:r w:rsidRPr="004E0937">
              <w:rPr>
                <w:rFonts w:ascii="Calibri" w:eastAsia="Times New Roman" w:hAnsi="Calibri" w:cs="Calibri"/>
                <w:color w:val="FF0000"/>
              </w:rPr>
              <w:t> </w:t>
            </w:r>
          </w:p>
        </w:tc>
        <w:tc>
          <w:tcPr>
            <w:tcW w:w="1052" w:type="pct"/>
            <w:gridSpan w:val="2"/>
            <w:tcBorders>
              <w:top w:val="nil"/>
              <w:left w:val="nil"/>
              <w:bottom w:val="nil"/>
              <w:right w:val="nil"/>
            </w:tcBorders>
            <w:shd w:val="clear" w:color="FFFF00" w:fill="9BC2E6"/>
            <w:vAlign w:val="bottom"/>
            <w:hideMark/>
          </w:tcPr>
          <w:p w14:paraId="7446A293" w14:textId="77777777" w:rsidR="00350C1D" w:rsidRPr="004E0937" w:rsidRDefault="00350C1D" w:rsidP="00DB3615">
            <w:pPr>
              <w:spacing w:after="0" w:line="240" w:lineRule="auto"/>
              <w:jc w:val="left"/>
              <w:rPr>
                <w:rFonts w:ascii="Calibri" w:eastAsia="Times New Roman" w:hAnsi="Calibri" w:cs="Calibri"/>
                <w:color w:val="000000"/>
              </w:rPr>
            </w:pPr>
            <w:r w:rsidRPr="004E0937">
              <w:rPr>
                <w:rFonts w:ascii="Calibri" w:eastAsia="Times New Roman" w:hAnsi="Calibri" w:cs="Calibri"/>
                <w:color w:val="000000"/>
              </w:rPr>
              <w:t>Primary ciliary dyskinesia</w:t>
            </w:r>
          </w:p>
        </w:tc>
        <w:tc>
          <w:tcPr>
            <w:tcW w:w="366" w:type="pct"/>
            <w:tcBorders>
              <w:top w:val="nil"/>
              <w:left w:val="nil"/>
              <w:bottom w:val="nil"/>
              <w:right w:val="nil"/>
            </w:tcBorders>
            <w:shd w:val="clear" w:color="FFFF00" w:fill="9BC2E6"/>
            <w:noWrap/>
            <w:vAlign w:val="bottom"/>
            <w:hideMark/>
          </w:tcPr>
          <w:p w14:paraId="54D7C847" w14:textId="77777777" w:rsidR="00350C1D" w:rsidRPr="004E0937" w:rsidRDefault="00350C1D" w:rsidP="00DB3615">
            <w:pPr>
              <w:spacing w:after="0" w:line="240" w:lineRule="auto"/>
              <w:jc w:val="left"/>
              <w:rPr>
                <w:rFonts w:ascii="Calibri" w:eastAsia="Times New Roman" w:hAnsi="Calibri" w:cs="Calibri"/>
                <w:color w:val="000000"/>
              </w:rPr>
            </w:pPr>
            <w:r w:rsidRPr="004E0937">
              <w:rPr>
                <w:rFonts w:ascii="Calibri" w:eastAsia="Times New Roman" w:hAnsi="Calibri" w:cs="Calibri"/>
                <w:color w:val="000000"/>
              </w:rPr>
              <w:t>Proband</w:t>
            </w:r>
          </w:p>
        </w:tc>
        <w:tc>
          <w:tcPr>
            <w:tcW w:w="120" w:type="pct"/>
            <w:tcBorders>
              <w:top w:val="nil"/>
              <w:left w:val="nil"/>
              <w:bottom w:val="nil"/>
              <w:right w:val="nil"/>
            </w:tcBorders>
            <w:shd w:val="clear" w:color="FFFF00" w:fill="9BC2E6"/>
            <w:noWrap/>
            <w:vAlign w:val="bottom"/>
            <w:hideMark/>
          </w:tcPr>
          <w:p w14:paraId="752B34C4" w14:textId="77777777" w:rsidR="00350C1D" w:rsidRPr="004E0937" w:rsidRDefault="00350C1D" w:rsidP="00DB3615">
            <w:pPr>
              <w:spacing w:after="0" w:line="240" w:lineRule="auto"/>
              <w:jc w:val="center"/>
              <w:rPr>
                <w:rFonts w:ascii="Calibri" w:eastAsia="Times New Roman" w:hAnsi="Calibri" w:cs="Calibri"/>
                <w:color w:val="000000"/>
              </w:rPr>
            </w:pPr>
            <w:r w:rsidRPr="004E0937">
              <w:rPr>
                <w:rFonts w:ascii="Calibri" w:eastAsia="Times New Roman" w:hAnsi="Calibri" w:cs="Calibri"/>
                <w:color w:val="000000"/>
              </w:rPr>
              <w:t>F</w:t>
            </w:r>
          </w:p>
        </w:tc>
        <w:tc>
          <w:tcPr>
            <w:tcW w:w="430" w:type="pct"/>
            <w:tcBorders>
              <w:top w:val="nil"/>
              <w:left w:val="nil"/>
              <w:bottom w:val="nil"/>
              <w:right w:val="nil"/>
            </w:tcBorders>
            <w:shd w:val="clear" w:color="FFFF00" w:fill="9BC2E6"/>
            <w:noWrap/>
            <w:vAlign w:val="bottom"/>
            <w:hideMark/>
          </w:tcPr>
          <w:p w14:paraId="15942F67" w14:textId="77777777" w:rsidR="00350C1D" w:rsidRPr="004E0937" w:rsidRDefault="00350C1D" w:rsidP="00DB3615">
            <w:pPr>
              <w:spacing w:after="0" w:line="240" w:lineRule="auto"/>
              <w:jc w:val="center"/>
              <w:rPr>
                <w:rFonts w:ascii="Calibri" w:eastAsia="Times New Roman" w:hAnsi="Calibri" w:cs="Calibri"/>
                <w:color w:val="000000"/>
              </w:rPr>
            </w:pPr>
            <w:r w:rsidRPr="004E0937">
              <w:rPr>
                <w:rFonts w:ascii="Calibri" w:eastAsia="Times New Roman" w:hAnsi="Calibri" w:cs="Calibri"/>
                <w:color w:val="000000"/>
              </w:rPr>
              <w:t>SAS</w:t>
            </w:r>
          </w:p>
        </w:tc>
        <w:tc>
          <w:tcPr>
            <w:tcW w:w="458" w:type="pct"/>
            <w:tcBorders>
              <w:top w:val="nil"/>
              <w:left w:val="nil"/>
              <w:bottom w:val="nil"/>
              <w:right w:val="nil"/>
            </w:tcBorders>
            <w:shd w:val="clear" w:color="FFFF00" w:fill="9BC2E6"/>
            <w:vAlign w:val="bottom"/>
            <w:hideMark/>
          </w:tcPr>
          <w:p w14:paraId="70EB40FB" w14:textId="77777777" w:rsidR="00350C1D" w:rsidRPr="004E0937" w:rsidRDefault="00350C1D" w:rsidP="00DB3615">
            <w:pPr>
              <w:spacing w:after="0" w:line="240" w:lineRule="auto"/>
              <w:jc w:val="left"/>
              <w:rPr>
                <w:rFonts w:ascii="Calibri" w:eastAsia="Times New Roman" w:hAnsi="Calibri" w:cs="Calibri"/>
                <w:color w:val="000000"/>
              </w:rPr>
            </w:pPr>
            <w:r w:rsidRPr="004E0937">
              <w:rPr>
                <w:rFonts w:ascii="Calibri" w:eastAsia="Times New Roman" w:hAnsi="Calibri" w:cs="Calibri"/>
                <w:color w:val="000000"/>
              </w:rPr>
              <w:t>CNV deletion</w:t>
            </w:r>
          </w:p>
        </w:tc>
        <w:tc>
          <w:tcPr>
            <w:tcW w:w="413" w:type="pct"/>
            <w:tcBorders>
              <w:top w:val="nil"/>
              <w:left w:val="nil"/>
              <w:bottom w:val="nil"/>
              <w:right w:val="nil"/>
            </w:tcBorders>
            <w:shd w:val="clear" w:color="FFFF00" w:fill="9BC2E6"/>
            <w:vAlign w:val="bottom"/>
            <w:hideMark/>
          </w:tcPr>
          <w:p w14:paraId="0C28D0BA" w14:textId="77777777" w:rsidR="00350C1D" w:rsidRPr="004E0937" w:rsidRDefault="00350C1D" w:rsidP="00DB3615">
            <w:pPr>
              <w:spacing w:after="0" w:line="240" w:lineRule="auto"/>
              <w:jc w:val="left"/>
              <w:rPr>
                <w:rFonts w:ascii="Calibri" w:eastAsia="Times New Roman" w:hAnsi="Calibri" w:cs="Calibri"/>
                <w:color w:val="000000"/>
              </w:rPr>
            </w:pPr>
            <w:r w:rsidRPr="004E0937">
              <w:rPr>
                <w:rFonts w:ascii="Calibri" w:eastAsia="Times New Roman" w:hAnsi="Calibri" w:cs="Calibri"/>
                <w:color w:val="000000"/>
              </w:rPr>
              <w:t>CNV deletion</w:t>
            </w:r>
          </w:p>
        </w:tc>
        <w:tc>
          <w:tcPr>
            <w:tcW w:w="417" w:type="pct"/>
            <w:tcBorders>
              <w:top w:val="nil"/>
              <w:left w:val="nil"/>
              <w:bottom w:val="nil"/>
              <w:right w:val="nil"/>
            </w:tcBorders>
            <w:shd w:val="clear" w:color="FFFF00" w:fill="9BC2E6"/>
            <w:noWrap/>
            <w:vAlign w:val="bottom"/>
            <w:hideMark/>
          </w:tcPr>
          <w:p w14:paraId="14DC26A5" w14:textId="77777777" w:rsidR="00350C1D" w:rsidRPr="004E0937" w:rsidRDefault="00350C1D" w:rsidP="00DB3615">
            <w:pPr>
              <w:spacing w:after="0" w:line="240" w:lineRule="auto"/>
              <w:jc w:val="center"/>
              <w:rPr>
                <w:rFonts w:ascii="Calibri" w:eastAsia="Times New Roman" w:hAnsi="Calibri" w:cs="Calibri"/>
                <w:color w:val="000000"/>
              </w:rPr>
            </w:pPr>
            <w:r w:rsidRPr="004E0937">
              <w:rPr>
                <w:rFonts w:ascii="Calibri" w:eastAsia="Times New Roman" w:hAnsi="Calibri" w:cs="Calibri"/>
                <w:color w:val="000000"/>
              </w:rPr>
              <w:t> </w:t>
            </w:r>
          </w:p>
        </w:tc>
      </w:tr>
      <w:tr w:rsidR="00350C1D" w:rsidRPr="004E0937" w14:paraId="47FC33EF" w14:textId="77777777" w:rsidTr="00350C1D">
        <w:trPr>
          <w:trHeight w:val="580"/>
        </w:trPr>
        <w:tc>
          <w:tcPr>
            <w:tcW w:w="184" w:type="pct"/>
            <w:tcBorders>
              <w:top w:val="nil"/>
              <w:left w:val="nil"/>
              <w:bottom w:val="nil"/>
              <w:right w:val="nil"/>
            </w:tcBorders>
            <w:shd w:val="clear" w:color="FFFF00" w:fill="9BC2E6"/>
            <w:noWrap/>
            <w:vAlign w:val="bottom"/>
            <w:hideMark/>
          </w:tcPr>
          <w:p w14:paraId="4BB3C80C" w14:textId="77777777" w:rsidR="00350C1D" w:rsidRPr="004E0937" w:rsidRDefault="00350C1D" w:rsidP="00DB3615">
            <w:pPr>
              <w:spacing w:after="0" w:line="240" w:lineRule="auto"/>
              <w:jc w:val="center"/>
              <w:rPr>
                <w:rFonts w:ascii="Calibri" w:eastAsia="Times New Roman" w:hAnsi="Calibri" w:cs="Calibri"/>
                <w:color w:val="000000"/>
              </w:rPr>
            </w:pPr>
            <w:r w:rsidRPr="004E0937">
              <w:rPr>
                <w:rFonts w:ascii="Calibri" w:eastAsia="Times New Roman" w:hAnsi="Calibri" w:cs="Calibri"/>
                <w:color w:val="000000"/>
              </w:rPr>
              <w:t>22</w:t>
            </w:r>
          </w:p>
        </w:tc>
        <w:tc>
          <w:tcPr>
            <w:tcW w:w="190" w:type="pct"/>
            <w:tcBorders>
              <w:top w:val="nil"/>
              <w:left w:val="nil"/>
              <w:bottom w:val="nil"/>
              <w:right w:val="nil"/>
            </w:tcBorders>
            <w:shd w:val="clear" w:color="FFFF00" w:fill="9BC2E6"/>
            <w:vAlign w:val="bottom"/>
          </w:tcPr>
          <w:p w14:paraId="1CAD8BC8" w14:textId="640CA235" w:rsidR="00350C1D" w:rsidRDefault="00350C1D" w:rsidP="00DB3615">
            <w:pPr>
              <w:spacing w:after="0" w:line="240" w:lineRule="auto"/>
              <w:jc w:val="center"/>
              <w:rPr>
                <w:rFonts w:ascii="Calibri" w:eastAsia="Times New Roman" w:hAnsi="Calibri" w:cs="Calibri"/>
                <w:color w:val="000000"/>
              </w:rPr>
            </w:pPr>
            <w:r>
              <w:rPr>
                <w:rFonts w:ascii="Calibri" w:eastAsia="Times New Roman" w:hAnsi="Calibri" w:cs="Calibri"/>
                <w:color w:val="000000"/>
              </w:rPr>
              <w:t>Yes</w:t>
            </w:r>
          </w:p>
        </w:tc>
        <w:tc>
          <w:tcPr>
            <w:tcW w:w="498" w:type="pct"/>
            <w:tcBorders>
              <w:top w:val="nil"/>
              <w:left w:val="nil"/>
              <w:bottom w:val="nil"/>
              <w:right w:val="nil"/>
            </w:tcBorders>
            <w:shd w:val="clear" w:color="FFFF00" w:fill="9BC2E6"/>
            <w:noWrap/>
            <w:vAlign w:val="bottom"/>
            <w:hideMark/>
          </w:tcPr>
          <w:p w14:paraId="4B0E5491" w14:textId="1F81E7A3" w:rsidR="00350C1D" w:rsidRPr="004E0937" w:rsidRDefault="00350C1D" w:rsidP="00DB3615">
            <w:pPr>
              <w:spacing w:after="0" w:line="240" w:lineRule="auto"/>
              <w:jc w:val="center"/>
              <w:rPr>
                <w:rFonts w:ascii="Calibri" w:eastAsia="Times New Roman" w:hAnsi="Calibri" w:cs="Calibri"/>
                <w:color w:val="000000"/>
              </w:rPr>
            </w:pPr>
            <w:r w:rsidRPr="004E0937">
              <w:rPr>
                <w:rFonts w:ascii="Calibri" w:eastAsia="Times New Roman" w:hAnsi="Calibri" w:cs="Calibri"/>
                <w:color w:val="000000"/>
              </w:rPr>
              <w:t> </w:t>
            </w:r>
          </w:p>
        </w:tc>
        <w:tc>
          <w:tcPr>
            <w:tcW w:w="374" w:type="pct"/>
            <w:tcBorders>
              <w:top w:val="nil"/>
              <w:left w:val="nil"/>
              <w:bottom w:val="nil"/>
              <w:right w:val="nil"/>
            </w:tcBorders>
            <w:shd w:val="clear" w:color="FFFF00" w:fill="9BC2E6"/>
            <w:noWrap/>
            <w:vAlign w:val="bottom"/>
            <w:hideMark/>
          </w:tcPr>
          <w:p w14:paraId="7FCF2134" w14:textId="77777777" w:rsidR="00350C1D" w:rsidRPr="004E0937" w:rsidRDefault="00350C1D" w:rsidP="00DB3615">
            <w:pPr>
              <w:spacing w:after="0" w:line="240" w:lineRule="auto"/>
              <w:jc w:val="center"/>
              <w:rPr>
                <w:rFonts w:ascii="Calibri" w:eastAsia="Times New Roman" w:hAnsi="Calibri" w:cs="Calibri"/>
                <w:color w:val="000000"/>
              </w:rPr>
            </w:pPr>
            <w:r w:rsidRPr="004E0937">
              <w:rPr>
                <w:rFonts w:ascii="Calibri" w:eastAsia="Times New Roman" w:hAnsi="Calibri" w:cs="Calibri"/>
                <w:color w:val="000000"/>
              </w:rPr>
              <w:t> </w:t>
            </w:r>
          </w:p>
        </w:tc>
        <w:tc>
          <w:tcPr>
            <w:tcW w:w="498" w:type="pct"/>
            <w:gridSpan w:val="3"/>
            <w:tcBorders>
              <w:top w:val="nil"/>
              <w:left w:val="nil"/>
              <w:bottom w:val="nil"/>
              <w:right w:val="nil"/>
            </w:tcBorders>
            <w:shd w:val="clear" w:color="FFFF00" w:fill="9BC2E6"/>
            <w:noWrap/>
            <w:vAlign w:val="bottom"/>
            <w:hideMark/>
          </w:tcPr>
          <w:p w14:paraId="4839C29F" w14:textId="77777777" w:rsidR="00350C1D" w:rsidRPr="004E0937" w:rsidRDefault="00350C1D" w:rsidP="00DB3615">
            <w:pPr>
              <w:spacing w:after="0" w:line="240" w:lineRule="auto"/>
              <w:jc w:val="center"/>
              <w:rPr>
                <w:rFonts w:ascii="Calibri" w:eastAsia="Times New Roman" w:hAnsi="Calibri" w:cs="Calibri"/>
                <w:color w:val="000000"/>
              </w:rPr>
            </w:pPr>
            <w:r w:rsidRPr="004E0937">
              <w:rPr>
                <w:rFonts w:ascii="Calibri" w:eastAsia="Times New Roman" w:hAnsi="Calibri" w:cs="Calibri"/>
                <w:color w:val="000000"/>
              </w:rPr>
              <w:t> </w:t>
            </w:r>
          </w:p>
        </w:tc>
        <w:tc>
          <w:tcPr>
            <w:tcW w:w="1052" w:type="pct"/>
            <w:gridSpan w:val="2"/>
            <w:tcBorders>
              <w:top w:val="nil"/>
              <w:left w:val="nil"/>
              <w:bottom w:val="nil"/>
              <w:right w:val="nil"/>
            </w:tcBorders>
            <w:shd w:val="clear" w:color="FFFF00" w:fill="9BC2E6"/>
            <w:vAlign w:val="bottom"/>
            <w:hideMark/>
          </w:tcPr>
          <w:p w14:paraId="6AEC3BFB" w14:textId="77777777" w:rsidR="00350C1D" w:rsidRPr="004E0937" w:rsidRDefault="00350C1D" w:rsidP="00DB3615">
            <w:pPr>
              <w:spacing w:after="0" w:line="240" w:lineRule="auto"/>
              <w:jc w:val="left"/>
              <w:rPr>
                <w:rFonts w:ascii="Calibri" w:eastAsia="Times New Roman" w:hAnsi="Calibri" w:cs="Calibri"/>
                <w:color w:val="000000"/>
              </w:rPr>
            </w:pPr>
            <w:r w:rsidRPr="004E0937">
              <w:rPr>
                <w:rFonts w:ascii="Calibri" w:eastAsia="Times New Roman" w:hAnsi="Calibri" w:cs="Calibri"/>
                <w:color w:val="000000"/>
              </w:rPr>
              <w:t>Unexplained kidney failure in young people</w:t>
            </w:r>
          </w:p>
        </w:tc>
        <w:tc>
          <w:tcPr>
            <w:tcW w:w="366" w:type="pct"/>
            <w:tcBorders>
              <w:top w:val="nil"/>
              <w:left w:val="nil"/>
              <w:bottom w:val="nil"/>
              <w:right w:val="nil"/>
            </w:tcBorders>
            <w:shd w:val="clear" w:color="FFFF00" w:fill="9BC2E6"/>
            <w:noWrap/>
            <w:vAlign w:val="bottom"/>
            <w:hideMark/>
          </w:tcPr>
          <w:p w14:paraId="03C5ED72" w14:textId="77777777" w:rsidR="00350C1D" w:rsidRPr="004E0937" w:rsidRDefault="00350C1D" w:rsidP="00DB3615">
            <w:pPr>
              <w:spacing w:after="0" w:line="240" w:lineRule="auto"/>
              <w:jc w:val="left"/>
              <w:rPr>
                <w:rFonts w:ascii="Calibri" w:eastAsia="Times New Roman" w:hAnsi="Calibri" w:cs="Calibri"/>
                <w:color w:val="000000"/>
              </w:rPr>
            </w:pPr>
            <w:r w:rsidRPr="004E0937">
              <w:rPr>
                <w:rFonts w:ascii="Calibri" w:eastAsia="Times New Roman" w:hAnsi="Calibri" w:cs="Calibri"/>
                <w:color w:val="000000"/>
              </w:rPr>
              <w:t>Proband</w:t>
            </w:r>
          </w:p>
        </w:tc>
        <w:tc>
          <w:tcPr>
            <w:tcW w:w="120" w:type="pct"/>
            <w:tcBorders>
              <w:top w:val="nil"/>
              <w:left w:val="nil"/>
              <w:bottom w:val="nil"/>
              <w:right w:val="nil"/>
            </w:tcBorders>
            <w:shd w:val="clear" w:color="FFFF00" w:fill="9BC2E6"/>
            <w:noWrap/>
            <w:vAlign w:val="bottom"/>
            <w:hideMark/>
          </w:tcPr>
          <w:p w14:paraId="5B32D932" w14:textId="77777777" w:rsidR="00350C1D" w:rsidRPr="004E0937" w:rsidRDefault="00350C1D" w:rsidP="00DB3615">
            <w:pPr>
              <w:spacing w:after="0" w:line="240" w:lineRule="auto"/>
              <w:jc w:val="center"/>
              <w:rPr>
                <w:rFonts w:ascii="Calibri" w:eastAsia="Times New Roman" w:hAnsi="Calibri" w:cs="Calibri"/>
                <w:color w:val="000000"/>
              </w:rPr>
            </w:pPr>
            <w:r w:rsidRPr="004E0937">
              <w:rPr>
                <w:rFonts w:ascii="Calibri" w:eastAsia="Times New Roman" w:hAnsi="Calibri" w:cs="Calibri"/>
                <w:color w:val="000000"/>
              </w:rPr>
              <w:t>M</w:t>
            </w:r>
          </w:p>
        </w:tc>
        <w:tc>
          <w:tcPr>
            <w:tcW w:w="430" w:type="pct"/>
            <w:tcBorders>
              <w:top w:val="nil"/>
              <w:left w:val="nil"/>
              <w:bottom w:val="nil"/>
              <w:right w:val="nil"/>
            </w:tcBorders>
            <w:shd w:val="clear" w:color="FFFF00" w:fill="9BC2E6"/>
            <w:noWrap/>
            <w:vAlign w:val="bottom"/>
            <w:hideMark/>
          </w:tcPr>
          <w:p w14:paraId="48C34880" w14:textId="77777777" w:rsidR="00350C1D" w:rsidRPr="004E0937" w:rsidRDefault="00350C1D" w:rsidP="00DB3615">
            <w:pPr>
              <w:spacing w:after="0" w:line="240" w:lineRule="auto"/>
              <w:jc w:val="center"/>
              <w:rPr>
                <w:rFonts w:ascii="Calibri" w:eastAsia="Times New Roman" w:hAnsi="Calibri" w:cs="Calibri"/>
                <w:color w:val="000000"/>
              </w:rPr>
            </w:pPr>
            <w:r w:rsidRPr="004E0937">
              <w:rPr>
                <w:rFonts w:ascii="Calibri" w:eastAsia="Times New Roman" w:hAnsi="Calibri" w:cs="Calibri"/>
                <w:color w:val="000000"/>
              </w:rPr>
              <w:t>SAS</w:t>
            </w:r>
          </w:p>
        </w:tc>
        <w:tc>
          <w:tcPr>
            <w:tcW w:w="458" w:type="pct"/>
            <w:tcBorders>
              <w:top w:val="nil"/>
              <w:left w:val="nil"/>
              <w:bottom w:val="nil"/>
              <w:right w:val="nil"/>
            </w:tcBorders>
            <w:shd w:val="clear" w:color="FFFF00" w:fill="9BC2E6"/>
            <w:vAlign w:val="bottom"/>
            <w:hideMark/>
          </w:tcPr>
          <w:p w14:paraId="06C14194" w14:textId="77777777" w:rsidR="00350C1D" w:rsidRPr="004E0937" w:rsidRDefault="00350C1D" w:rsidP="00DB3615">
            <w:pPr>
              <w:spacing w:after="0" w:line="240" w:lineRule="auto"/>
              <w:jc w:val="left"/>
              <w:rPr>
                <w:rFonts w:ascii="Calibri" w:eastAsia="Times New Roman" w:hAnsi="Calibri" w:cs="Calibri"/>
                <w:color w:val="000000"/>
              </w:rPr>
            </w:pPr>
            <w:r w:rsidRPr="004E0937">
              <w:rPr>
                <w:rFonts w:ascii="Calibri" w:eastAsia="Times New Roman" w:hAnsi="Calibri" w:cs="Calibri"/>
                <w:color w:val="000000"/>
              </w:rPr>
              <w:t>CNV deletion</w:t>
            </w:r>
          </w:p>
        </w:tc>
        <w:tc>
          <w:tcPr>
            <w:tcW w:w="413" w:type="pct"/>
            <w:tcBorders>
              <w:top w:val="nil"/>
              <w:left w:val="nil"/>
              <w:bottom w:val="nil"/>
              <w:right w:val="nil"/>
            </w:tcBorders>
            <w:shd w:val="clear" w:color="FFFF00" w:fill="9BC2E6"/>
            <w:vAlign w:val="bottom"/>
            <w:hideMark/>
          </w:tcPr>
          <w:p w14:paraId="3EFD6D88" w14:textId="77777777" w:rsidR="00350C1D" w:rsidRPr="004E0937" w:rsidRDefault="00350C1D" w:rsidP="00DB3615">
            <w:pPr>
              <w:spacing w:after="0" w:line="240" w:lineRule="auto"/>
              <w:jc w:val="left"/>
              <w:rPr>
                <w:rFonts w:ascii="Calibri" w:eastAsia="Times New Roman" w:hAnsi="Calibri" w:cs="Calibri"/>
                <w:color w:val="000000"/>
              </w:rPr>
            </w:pPr>
            <w:r w:rsidRPr="004E0937">
              <w:rPr>
                <w:rFonts w:ascii="Calibri" w:eastAsia="Times New Roman" w:hAnsi="Calibri" w:cs="Calibri"/>
                <w:color w:val="000000"/>
              </w:rPr>
              <w:t>CNV deletion</w:t>
            </w:r>
          </w:p>
        </w:tc>
        <w:tc>
          <w:tcPr>
            <w:tcW w:w="417" w:type="pct"/>
            <w:tcBorders>
              <w:top w:val="nil"/>
              <w:left w:val="nil"/>
              <w:bottom w:val="nil"/>
              <w:right w:val="nil"/>
            </w:tcBorders>
            <w:shd w:val="clear" w:color="FFFF00" w:fill="9BC2E6"/>
            <w:noWrap/>
            <w:vAlign w:val="bottom"/>
            <w:hideMark/>
          </w:tcPr>
          <w:p w14:paraId="1B5FDF0A" w14:textId="77777777" w:rsidR="00350C1D" w:rsidRPr="001064BB" w:rsidRDefault="00350C1D" w:rsidP="00DB3615">
            <w:pPr>
              <w:spacing w:after="0" w:line="240" w:lineRule="auto"/>
              <w:jc w:val="center"/>
              <w:rPr>
                <w:rFonts w:ascii="Calibri" w:eastAsia="Times New Roman" w:hAnsi="Calibri" w:cs="Calibri"/>
                <w:i/>
                <w:iCs/>
                <w:color w:val="000000"/>
              </w:rPr>
            </w:pPr>
            <w:r w:rsidRPr="001064BB">
              <w:rPr>
                <w:rFonts w:ascii="Calibri" w:eastAsia="Times New Roman" w:hAnsi="Calibri" w:cs="Calibri"/>
                <w:i/>
                <w:iCs/>
                <w:color w:val="000000"/>
              </w:rPr>
              <w:t>NPHP1</w:t>
            </w:r>
          </w:p>
        </w:tc>
      </w:tr>
      <w:tr w:rsidR="00350C1D" w:rsidRPr="004E0937" w14:paraId="7D7596D6" w14:textId="77777777" w:rsidTr="00350C1D">
        <w:trPr>
          <w:trHeight w:val="580"/>
        </w:trPr>
        <w:tc>
          <w:tcPr>
            <w:tcW w:w="184" w:type="pct"/>
            <w:tcBorders>
              <w:top w:val="nil"/>
              <w:left w:val="nil"/>
              <w:bottom w:val="nil"/>
              <w:right w:val="nil"/>
            </w:tcBorders>
            <w:shd w:val="clear" w:color="FFFF00" w:fill="9BC2E6"/>
            <w:noWrap/>
            <w:vAlign w:val="bottom"/>
            <w:hideMark/>
          </w:tcPr>
          <w:p w14:paraId="31614598" w14:textId="77777777" w:rsidR="00350C1D" w:rsidRPr="004E0937" w:rsidRDefault="00350C1D" w:rsidP="00DB3615">
            <w:pPr>
              <w:spacing w:after="0" w:line="240" w:lineRule="auto"/>
              <w:jc w:val="center"/>
              <w:rPr>
                <w:rFonts w:ascii="Calibri" w:eastAsia="Times New Roman" w:hAnsi="Calibri" w:cs="Calibri"/>
                <w:color w:val="000000"/>
              </w:rPr>
            </w:pPr>
            <w:r w:rsidRPr="004E0937">
              <w:rPr>
                <w:rFonts w:ascii="Calibri" w:eastAsia="Times New Roman" w:hAnsi="Calibri" w:cs="Calibri"/>
                <w:color w:val="000000"/>
              </w:rPr>
              <w:t>23</w:t>
            </w:r>
          </w:p>
        </w:tc>
        <w:tc>
          <w:tcPr>
            <w:tcW w:w="190" w:type="pct"/>
            <w:tcBorders>
              <w:top w:val="nil"/>
              <w:left w:val="nil"/>
              <w:bottom w:val="nil"/>
              <w:right w:val="nil"/>
            </w:tcBorders>
            <w:shd w:val="clear" w:color="FFFF00" w:fill="9BC2E6"/>
            <w:vAlign w:val="bottom"/>
          </w:tcPr>
          <w:p w14:paraId="236B888F" w14:textId="53B7AD56" w:rsidR="00350C1D" w:rsidRDefault="00350C1D" w:rsidP="00DB3615">
            <w:pPr>
              <w:spacing w:after="0" w:line="240" w:lineRule="auto"/>
              <w:jc w:val="center"/>
              <w:rPr>
                <w:rFonts w:ascii="Calibri" w:eastAsia="Times New Roman" w:hAnsi="Calibri" w:cs="Calibri"/>
                <w:color w:val="000000"/>
              </w:rPr>
            </w:pPr>
            <w:r>
              <w:rPr>
                <w:rFonts w:ascii="Calibri" w:eastAsia="Times New Roman" w:hAnsi="Calibri" w:cs="Calibri"/>
                <w:color w:val="000000"/>
              </w:rPr>
              <w:t>Yes</w:t>
            </w:r>
          </w:p>
        </w:tc>
        <w:tc>
          <w:tcPr>
            <w:tcW w:w="498" w:type="pct"/>
            <w:tcBorders>
              <w:top w:val="nil"/>
              <w:left w:val="nil"/>
              <w:bottom w:val="nil"/>
              <w:right w:val="nil"/>
            </w:tcBorders>
            <w:shd w:val="clear" w:color="FFFF00" w:fill="9BC2E6"/>
            <w:noWrap/>
            <w:vAlign w:val="bottom"/>
            <w:hideMark/>
          </w:tcPr>
          <w:p w14:paraId="7BB7B607" w14:textId="0783FEF2" w:rsidR="00350C1D" w:rsidRPr="004E0937" w:rsidRDefault="00350C1D" w:rsidP="00DB3615">
            <w:pPr>
              <w:spacing w:after="0" w:line="240" w:lineRule="auto"/>
              <w:jc w:val="center"/>
              <w:rPr>
                <w:rFonts w:ascii="Calibri" w:eastAsia="Times New Roman" w:hAnsi="Calibri" w:cs="Calibri"/>
                <w:color w:val="000000"/>
              </w:rPr>
            </w:pPr>
            <w:r w:rsidRPr="004E0937">
              <w:rPr>
                <w:rFonts w:ascii="Calibri" w:eastAsia="Times New Roman" w:hAnsi="Calibri" w:cs="Calibri"/>
                <w:color w:val="000000"/>
              </w:rPr>
              <w:t>11 to 15</w:t>
            </w:r>
          </w:p>
        </w:tc>
        <w:tc>
          <w:tcPr>
            <w:tcW w:w="374" w:type="pct"/>
            <w:tcBorders>
              <w:top w:val="nil"/>
              <w:left w:val="nil"/>
              <w:bottom w:val="nil"/>
              <w:right w:val="nil"/>
            </w:tcBorders>
            <w:shd w:val="clear" w:color="FFFF00" w:fill="9BC2E6"/>
            <w:noWrap/>
            <w:vAlign w:val="bottom"/>
            <w:hideMark/>
          </w:tcPr>
          <w:p w14:paraId="51CF1444" w14:textId="77777777" w:rsidR="00350C1D" w:rsidRPr="004E0937" w:rsidRDefault="00350C1D" w:rsidP="00DB3615">
            <w:pPr>
              <w:spacing w:after="0" w:line="240" w:lineRule="auto"/>
              <w:jc w:val="center"/>
              <w:rPr>
                <w:rFonts w:ascii="Calibri" w:eastAsia="Times New Roman" w:hAnsi="Calibri" w:cs="Calibri"/>
                <w:color w:val="000000"/>
              </w:rPr>
            </w:pPr>
            <w:r w:rsidRPr="004E0937">
              <w:rPr>
                <w:rFonts w:ascii="Calibri" w:eastAsia="Times New Roman" w:hAnsi="Calibri" w:cs="Calibri"/>
                <w:color w:val="000000"/>
              </w:rPr>
              <w:t> </w:t>
            </w:r>
          </w:p>
        </w:tc>
        <w:tc>
          <w:tcPr>
            <w:tcW w:w="498" w:type="pct"/>
            <w:gridSpan w:val="3"/>
            <w:tcBorders>
              <w:top w:val="nil"/>
              <w:left w:val="nil"/>
              <w:bottom w:val="nil"/>
              <w:right w:val="nil"/>
            </w:tcBorders>
            <w:shd w:val="clear" w:color="FFFF00" w:fill="9BC2E6"/>
            <w:noWrap/>
            <w:vAlign w:val="bottom"/>
            <w:hideMark/>
          </w:tcPr>
          <w:p w14:paraId="104959EF" w14:textId="77777777" w:rsidR="00350C1D" w:rsidRPr="004E0937" w:rsidRDefault="00350C1D" w:rsidP="00DB3615">
            <w:pPr>
              <w:spacing w:after="0" w:line="240" w:lineRule="auto"/>
              <w:jc w:val="center"/>
              <w:rPr>
                <w:rFonts w:ascii="Calibri" w:eastAsia="Times New Roman" w:hAnsi="Calibri" w:cs="Calibri"/>
                <w:color w:val="000000"/>
              </w:rPr>
            </w:pPr>
            <w:r w:rsidRPr="004E0937">
              <w:rPr>
                <w:rFonts w:ascii="Calibri" w:eastAsia="Times New Roman" w:hAnsi="Calibri" w:cs="Calibri"/>
                <w:color w:val="000000"/>
              </w:rPr>
              <w:t> </w:t>
            </w:r>
          </w:p>
        </w:tc>
        <w:tc>
          <w:tcPr>
            <w:tcW w:w="1052" w:type="pct"/>
            <w:gridSpan w:val="2"/>
            <w:tcBorders>
              <w:top w:val="nil"/>
              <w:left w:val="nil"/>
              <w:bottom w:val="nil"/>
              <w:right w:val="nil"/>
            </w:tcBorders>
            <w:shd w:val="clear" w:color="FFFF00" w:fill="9BC2E6"/>
            <w:vAlign w:val="bottom"/>
            <w:hideMark/>
          </w:tcPr>
          <w:p w14:paraId="690BE882" w14:textId="77777777" w:rsidR="00350C1D" w:rsidRPr="004E0937" w:rsidRDefault="00350C1D" w:rsidP="00DB3615">
            <w:pPr>
              <w:spacing w:after="0" w:line="240" w:lineRule="auto"/>
              <w:jc w:val="left"/>
              <w:rPr>
                <w:rFonts w:ascii="Calibri" w:eastAsia="Times New Roman" w:hAnsi="Calibri" w:cs="Calibri"/>
                <w:color w:val="000000"/>
              </w:rPr>
            </w:pPr>
            <w:r w:rsidRPr="004E0937">
              <w:rPr>
                <w:rFonts w:ascii="Calibri" w:eastAsia="Times New Roman" w:hAnsi="Calibri" w:cs="Calibri"/>
                <w:color w:val="000000"/>
              </w:rPr>
              <w:t>Renal tract calcification (or Nephrolithiasis or nephrocalcinosis)</w:t>
            </w:r>
          </w:p>
        </w:tc>
        <w:tc>
          <w:tcPr>
            <w:tcW w:w="366" w:type="pct"/>
            <w:tcBorders>
              <w:top w:val="nil"/>
              <w:left w:val="nil"/>
              <w:bottom w:val="nil"/>
              <w:right w:val="nil"/>
            </w:tcBorders>
            <w:shd w:val="clear" w:color="FFFF00" w:fill="9BC2E6"/>
            <w:noWrap/>
            <w:vAlign w:val="bottom"/>
            <w:hideMark/>
          </w:tcPr>
          <w:p w14:paraId="08E3B665" w14:textId="77777777" w:rsidR="00350C1D" w:rsidRPr="004E0937" w:rsidRDefault="00350C1D" w:rsidP="00DB3615">
            <w:pPr>
              <w:spacing w:after="0" w:line="240" w:lineRule="auto"/>
              <w:jc w:val="left"/>
              <w:rPr>
                <w:rFonts w:ascii="Calibri" w:eastAsia="Times New Roman" w:hAnsi="Calibri" w:cs="Calibri"/>
                <w:color w:val="000000"/>
              </w:rPr>
            </w:pPr>
            <w:r w:rsidRPr="004E0937">
              <w:rPr>
                <w:rFonts w:ascii="Calibri" w:eastAsia="Times New Roman" w:hAnsi="Calibri" w:cs="Calibri"/>
                <w:color w:val="000000"/>
              </w:rPr>
              <w:t>Proband</w:t>
            </w:r>
          </w:p>
        </w:tc>
        <w:tc>
          <w:tcPr>
            <w:tcW w:w="120" w:type="pct"/>
            <w:tcBorders>
              <w:top w:val="nil"/>
              <w:left w:val="nil"/>
              <w:bottom w:val="nil"/>
              <w:right w:val="nil"/>
            </w:tcBorders>
            <w:shd w:val="clear" w:color="FFFF00" w:fill="9BC2E6"/>
            <w:noWrap/>
            <w:vAlign w:val="bottom"/>
            <w:hideMark/>
          </w:tcPr>
          <w:p w14:paraId="22D8FB23" w14:textId="77777777" w:rsidR="00350C1D" w:rsidRPr="004E0937" w:rsidRDefault="00350C1D" w:rsidP="00DB3615">
            <w:pPr>
              <w:spacing w:after="0" w:line="240" w:lineRule="auto"/>
              <w:jc w:val="center"/>
              <w:rPr>
                <w:rFonts w:ascii="Calibri" w:eastAsia="Times New Roman" w:hAnsi="Calibri" w:cs="Calibri"/>
                <w:color w:val="000000"/>
              </w:rPr>
            </w:pPr>
            <w:r w:rsidRPr="004E0937">
              <w:rPr>
                <w:rFonts w:ascii="Calibri" w:eastAsia="Times New Roman" w:hAnsi="Calibri" w:cs="Calibri"/>
                <w:color w:val="000000"/>
              </w:rPr>
              <w:t>F</w:t>
            </w:r>
          </w:p>
        </w:tc>
        <w:tc>
          <w:tcPr>
            <w:tcW w:w="430" w:type="pct"/>
            <w:tcBorders>
              <w:top w:val="nil"/>
              <w:left w:val="nil"/>
              <w:bottom w:val="nil"/>
              <w:right w:val="nil"/>
            </w:tcBorders>
            <w:shd w:val="clear" w:color="FFFF00" w:fill="9BC2E6"/>
            <w:noWrap/>
            <w:vAlign w:val="bottom"/>
            <w:hideMark/>
          </w:tcPr>
          <w:p w14:paraId="79273B43" w14:textId="77777777" w:rsidR="00350C1D" w:rsidRPr="004E0937" w:rsidRDefault="00350C1D" w:rsidP="00DB3615">
            <w:pPr>
              <w:spacing w:after="0" w:line="240" w:lineRule="auto"/>
              <w:jc w:val="center"/>
              <w:rPr>
                <w:rFonts w:ascii="Calibri" w:eastAsia="Times New Roman" w:hAnsi="Calibri" w:cs="Calibri"/>
                <w:color w:val="000000"/>
              </w:rPr>
            </w:pPr>
            <w:r w:rsidRPr="004E0937">
              <w:rPr>
                <w:rFonts w:ascii="Calibri" w:eastAsia="Times New Roman" w:hAnsi="Calibri" w:cs="Calibri"/>
                <w:color w:val="000000"/>
              </w:rPr>
              <w:t>EUR</w:t>
            </w:r>
          </w:p>
        </w:tc>
        <w:tc>
          <w:tcPr>
            <w:tcW w:w="458" w:type="pct"/>
            <w:tcBorders>
              <w:top w:val="nil"/>
              <w:left w:val="nil"/>
              <w:bottom w:val="nil"/>
              <w:right w:val="nil"/>
            </w:tcBorders>
            <w:shd w:val="clear" w:color="FFFF00" w:fill="9BC2E6"/>
            <w:vAlign w:val="bottom"/>
            <w:hideMark/>
          </w:tcPr>
          <w:p w14:paraId="71197977" w14:textId="77777777" w:rsidR="00350C1D" w:rsidRPr="004E0937" w:rsidRDefault="00350C1D" w:rsidP="00DB3615">
            <w:pPr>
              <w:spacing w:after="0" w:line="240" w:lineRule="auto"/>
              <w:jc w:val="left"/>
              <w:rPr>
                <w:rFonts w:ascii="Calibri" w:eastAsia="Times New Roman" w:hAnsi="Calibri" w:cs="Calibri"/>
                <w:color w:val="000000"/>
              </w:rPr>
            </w:pPr>
            <w:r w:rsidRPr="004E0937">
              <w:rPr>
                <w:rFonts w:ascii="Calibri" w:eastAsia="Times New Roman" w:hAnsi="Calibri" w:cs="Calibri"/>
                <w:color w:val="000000"/>
              </w:rPr>
              <w:t>CNV deletion</w:t>
            </w:r>
          </w:p>
        </w:tc>
        <w:tc>
          <w:tcPr>
            <w:tcW w:w="413" w:type="pct"/>
            <w:tcBorders>
              <w:top w:val="nil"/>
              <w:left w:val="nil"/>
              <w:bottom w:val="nil"/>
              <w:right w:val="nil"/>
            </w:tcBorders>
            <w:shd w:val="clear" w:color="FFFF00" w:fill="9BC2E6"/>
            <w:vAlign w:val="bottom"/>
            <w:hideMark/>
          </w:tcPr>
          <w:p w14:paraId="7955BB72" w14:textId="77777777" w:rsidR="00350C1D" w:rsidRPr="004E0937" w:rsidRDefault="00350C1D" w:rsidP="00DB3615">
            <w:pPr>
              <w:spacing w:after="0" w:line="240" w:lineRule="auto"/>
              <w:jc w:val="left"/>
              <w:rPr>
                <w:rFonts w:ascii="Calibri" w:eastAsia="Times New Roman" w:hAnsi="Calibri" w:cs="Calibri"/>
                <w:color w:val="000000"/>
              </w:rPr>
            </w:pPr>
            <w:r w:rsidRPr="004E0937">
              <w:rPr>
                <w:rFonts w:ascii="Calibri" w:eastAsia="Times New Roman" w:hAnsi="Calibri" w:cs="Calibri"/>
                <w:color w:val="000000"/>
              </w:rPr>
              <w:t>CNV deletion</w:t>
            </w:r>
          </w:p>
        </w:tc>
        <w:tc>
          <w:tcPr>
            <w:tcW w:w="417" w:type="pct"/>
            <w:tcBorders>
              <w:top w:val="nil"/>
              <w:left w:val="nil"/>
              <w:bottom w:val="nil"/>
              <w:right w:val="nil"/>
            </w:tcBorders>
            <w:shd w:val="clear" w:color="FFFF00" w:fill="9BC2E6"/>
            <w:noWrap/>
            <w:vAlign w:val="bottom"/>
            <w:hideMark/>
          </w:tcPr>
          <w:p w14:paraId="6904EFEF" w14:textId="77777777" w:rsidR="00350C1D" w:rsidRPr="004E0937" w:rsidRDefault="00350C1D" w:rsidP="00DB3615">
            <w:pPr>
              <w:spacing w:after="0" w:line="240" w:lineRule="auto"/>
              <w:jc w:val="center"/>
              <w:rPr>
                <w:rFonts w:ascii="Calibri" w:eastAsia="Times New Roman" w:hAnsi="Calibri" w:cs="Calibri"/>
                <w:color w:val="000000"/>
              </w:rPr>
            </w:pPr>
            <w:r w:rsidRPr="004E0937">
              <w:rPr>
                <w:rFonts w:ascii="Calibri" w:eastAsia="Times New Roman" w:hAnsi="Calibri" w:cs="Calibri"/>
                <w:color w:val="000000"/>
              </w:rPr>
              <w:t> </w:t>
            </w:r>
          </w:p>
        </w:tc>
      </w:tr>
      <w:tr w:rsidR="00350C1D" w:rsidRPr="004E0937" w14:paraId="73DCAC29" w14:textId="77777777" w:rsidTr="00350C1D">
        <w:trPr>
          <w:trHeight w:val="290"/>
        </w:trPr>
        <w:tc>
          <w:tcPr>
            <w:tcW w:w="184" w:type="pct"/>
            <w:tcBorders>
              <w:top w:val="nil"/>
              <w:left w:val="nil"/>
              <w:bottom w:val="nil"/>
              <w:right w:val="nil"/>
            </w:tcBorders>
            <w:shd w:val="clear" w:color="FFFF00" w:fill="9BC2E6"/>
            <w:noWrap/>
            <w:vAlign w:val="bottom"/>
            <w:hideMark/>
          </w:tcPr>
          <w:p w14:paraId="232888FA" w14:textId="77777777" w:rsidR="00350C1D" w:rsidRPr="004E0937" w:rsidRDefault="00350C1D" w:rsidP="00DB3615">
            <w:pPr>
              <w:spacing w:after="0" w:line="240" w:lineRule="auto"/>
              <w:jc w:val="center"/>
              <w:rPr>
                <w:rFonts w:ascii="Calibri" w:eastAsia="Times New Roman" w:hAnsi="Calibri" w:cs="Calibri"/>
                <w:color w:val="000000"/>
              </w:rPr>
            </w:pPr>
            <w:r w:rsidRPr="004E0937">
              <w:rPr>
                <w:rFonts w:ascii="Calibri" w:eastAsia="Times New Roman" w:hAnsi="Calibri" w:cs="Calibri"/>
                <w:color w:val="000000"/>
              </w:rPr>
              <w:t>24</w:t>
            </w:r>
          </w:p>
        </w:tc>
        <w:tc>
          <w:tcPr>
            <w:tcW w:w="190" w:type="pct"/>
            <w:tcBorders>
              <w:top w:val="nil"/>
              <w:left w:val="nil"/>
              <w:bottom w:val="nil"/>
              <w:right w:val="nil"/>
            </w:tcBorders>
            <w:shd w:val="clear" w:color="FFFF00" w:fill="9BC2E6"/>
            <w:vAlign w:val="bottom"/>
          </w:tcPr>
          <w:p w14:paraId="556C01FE" w14:textId="48818D2A" w:rsidR="00350C1D" w:rsidRDefault="00350C1D" w:rsidP="00DB3615">
            <w:pPr>
              <w:spacing w:after="0" w:line="240" w:lineRule="auto"/>
              <w:jc w:val="center"/>
              <w:rPr>
                <w:rFonts w:ascii="Calibri" w:eastAsia="Times New Roman" w:hAnsi="Calibri" w:cs="Calibri"/>
                <w:color w:val="000000"/>
              </w:rPr>
            </w:pPr>
            <w:r>
              <w:rPr>
                <w:rFonts w:ascii="Calibri" w:eastAsia="Times New Roman" w:hAnsi="Calibri" w:cs="Calibri"/>
                <w:color w:val="000000"/>
              </w:rPr>
              <w:t>No</w:t>
            </w:r>
          </w:p>
        </w:tc>
        <w:tc>
          <w:tcPr>
            <w:tcW w:w="498" w:type="pct"/>
            <w:tcBorders>
              <w:top w:val="nil"/>
              <w:left w:val="nil"/>
              <w:bottom w:val="nil"/>
              <w:right w:val="nil"/>
            </w:tcBorders>
            <w:shd w:val="clear" w:color="FFFF00" w:fill="9BC2E6"/>
            <w:noWrap/>
            <w:vAlign w:val="bottom"/>
            <w:hideMark/>
          </w:tcPr>
          <w:p w14:paraId="651BB4C3" w14:textId="280F2CDC" w:rsidR="00350C1D" w:rsidRPr="004E0937" w:rsidRDefault="00350C1D" w:rsidP="00DB3615">
            <w:pPr>
              <w:spacing w:after="0" w:line="240" w:lineRule="auto"/>
              <w:jc w:val="center"/>
              <w:rPr>
                <w:rFonts w:ascii="Calibri" w:eastAsia="Times New Roman" w:hAnsi="Calibri" w:cs="Calibri"/>
                <w:color w:val="000000"/>
              </w:rPr>
            </w:pPr>
            <w:r w:rsidRPr="004E0937">
              <w:rPr>
                <w:rFonts w:ascii="Calibri" w:eastAsia="Times New Roman" w:hAnsi="Calibri" w:cs="Calibri"/>
                <w:color w:val="000000"/>
              </w:rPr>
              <w:t>31 to 35</w:t>
            </w:r>
          </w:p>
        </w:tc>
        <w:tc>
          <w:tcPr>
            <w:tcW w:w="374" w:type="pct"/>
            <w:tcBorders>
              <w:top w:val="nil"/>
              <w:left w:val="nil"/>
              <w:bottom w:val="nil"/>
              <w:right w:val="nil"/>
            </w:tcBorders>
            <w:shd w:val="clear" w:color="FFFF00" w:fill="9BC2E6"/>
            <w:noWrap/>
            <w:vAlign w:val="bottom"/>
            <w:hideMark/>
          </w:tcPr>
          <w:p w14:paraId="72F283CA" w14:textId="77777777" w:rsidR="00350C1D" w:rsidRPr="004E0937" w:rsidRDefault="00350C1D" w:rsidP="00DB3615">
            <w:pPr>
              <w:spacing w:after="0" w:line="240" w:lineRule="auto"/>
              <w:jc w:val="center"/>
              <w:rPr>
                <w:rFonts w:ascii="Calibri" w:eastAsia="Times New Roman" w:hAnsi="Calibri" w:cs="Calibri"/>
                <w:color w:val="000000"/>
              </w:rPr>
            </w:pPr>
            <w:r w:rsidRPr="004E0937">
              <w:rPr>
                <w:rFonts w:ascii="Calibri" w:eastAsia="Times New Roman" w:hAnsi="Calibri" w:cs="Calibri"/>
                <w:color w:val="000000"/>
              </w:rPr>
              <w:t>46 to 50</w:t>
            </w:r>
          </w:p>
        </w:tc>
        <w:tc>
          <w:tcPr>
            <w:tcW w:w="498" w:type="pct"/>
            <w:gridSpan w:val="3"/>
            <w:tcBorders>
              <w:top w:val="nil"/>
              <w:left w:val="nil"/>
              <w:bottom w:val="nil"/>
              <w:right w:val="nil"/>
            </w:tcBorders>
            <w:shd w:val="clear" w:color="FFFF00" w:fill="9BC2E6"/>
            <w:noWrap/>
            <w:vAlign w:val="bottom"/>
            <w:hideMark/>
          </w:tcPr>
          <w:p w14:paraId="5CB6CC40" w14:textId="77777777" w:rsidR="00350C1D" w:rsidRPr="004E0937" w:rsidRDefault="00350C1D" w:rsidP="00DB3615">
            <w:pPr>
              <w:spacing w:after="0" w:line="240" w:lineRule="auto"/>
              <w:jc w:val="center"/>
              <w:rPr>
                <w:rFonts w:ascii="Calibri" w:eastAsia="Times New Roman" w:hAnsi="Calibri" w:cs="Calibri"/>
                <w:color w:val="000000"/>
              </w:rPr>
            </w:pPr>
            <w:r w:rsidRPr="004E0937">
              <w:rPr>
                <w:rFonts w:ascii="Calibri" w:eastAsia="Times New Roman" w:hAnsi="Calibri" w:cs="Calibri"/>
                <w:color w:val="000000"/>
              </w:rPr>
              <w:t> </w:t>
            </w:r>
          </w:p>
        </w:tc>
        <w:tc>
          <w:tcPr>
            <w:tcW w:w="1052" w:type="pct"/>
            <w:gridSpan w:val="2"/>
            <w:tcBorders>
              <w:top w:val="nil"/>
              <w:left w:val="nil"/>
              <w:bottom w:val="nil"/>
              <w:right w:val="nil"/>
            </w:tcBorders>
            <w:shd w:val="clear" w:color="FFFF00" w:fill="9BC2E6"/>
            <w:vAlign w:val="bottom"/>
            <w:hideMark/>
          </w:tcPr>
          <w:p w14:paraId="6BC6946E" w14:textId="77777777" w:rsidR="00350C1D" w:rsidRPr="004E0937" w:rsidRDefault="00350C1D" w:rsidP="00DB3615">
            <w:pPr>
              <w:spacing w:after="0" w:line="240" w:lineRule="auto"/>
              <w:jc w:val="left"/>
              <w:rPr>
                <w:rFonts w:ascii="Calibri" w:eastAsia="Times New Roman" w:hAnsi="Calibri" w:cs="Calibri"/>
                <w:color w:val="000000"/>
              </w:rPr>
            </w:pPr>
            <w:r w:rsidRPr="004E0937">
              <w:rPr>
                <w:rFonts w:ascii="Calibri" w:eastAsia="Times New Roman" w:hAnsi="Calibri" w:cs="Calibri"/>
                <w:color w:val="000000"/>
              </w:rPr>
              <w:t>Rod-cone dystrophy</w:t>
            </w:r>
          </w:p>
        </w:tc>
        <w:tc>
          <w:tcPr>
            <w:tcW w:w="366" w:type="pct"/>
            <w:tcBorders>
              <w:top w:val="nil"/>
              <w:left w:val="nil"/>
              <w:bottom w:val="nil"/>
              <w:right w:val="nil"/>
            </w:tcBorders>
            <w:shd w:val="clear" w:color="FFFF00" w:fill="9BC2E6"/>
            <w:noWrap/>
            <w:vAlign w:val="bottom"/>
            <w:hideMark/>
          </w:tcPr>
          <w:p w14:paraId="3C39305B" w14:textId="77777777" w:rsidR="00350C1D" w:rsidRPr="004E0937" w:rsidRDefault="00350C1D" w:rsidP="00DB3615">
            <w:pPr>
              <w:spacing w:after="0" w:line="240" w:lineRule="auto"/>
              <w:jc w:val="left"/>
              <w:rPr>
                <w:rFonts w:ascii="Calibri" w:eastAsia="Times New Roman" w:hAnsi="Calibri" w:cs="Calibri"/>
                <w:color w:val="000000"/>
              </w:rPr>
            </w:pPr>
            <w:r w:rsidRPr="004E0937">
              <w:rPr>
                <w:rFonts w:ascii="Calibri" w:eastAsia="Times New Roman" w:hAnsi="Calibri" w:cs="Calibri"/>
                <w:color w:val="000000"/>
              </w:rPr>
              <w:t>Proband</w:t>
            </w:r>
          </w:p>
        </w:tc>
        <w:tc>
          <w:tcPr>
            <w:tcW w:w="120" w:type="pct"/>
            <w:tcBorders>
              <w:top w:val="nil"/>
              <w:left w:val="nil"/>
              <w:bottom w:val="nil"/>
              <w:right w:val="nil"/>
            </w:tcBorders>
            <w:shd w:val="clear" w:color="FFFF00" w:fill="9BC2E6"/>
            <w:noWrap/>
            <w:vAlign w:val="bottom"/>
            <w:hideMark/>
          </w:tcPr>
          <w:p w14:paraId="7900D837" w14:textId="77777777" w:rsidR="00350C1D" w:rsidRPr="004E0937" w:rsidRDefault="00350C1D" w:rsidP="00DB3615">
            <w:pPr>
              <w:spacing w:after="0" w:line="240" w:lineRule="auto"/>
              <w:jc w:val="center"/>
              <w:rPr>
                <w:rFonts w:ascii="Calibri" w:eastAsia="Times New Roman" w:hAnsi="Calibri" w:cs="Calibri"/>
                <w:color w:val="000000"/>
              </w:rPr>
            </w:pPr>
            <w:r w:rsidRPr="004E0937">
              <w:rPr>
                <w:rFonts w:ascii="Calibri" w:eastAsia="Times New Roman" w:hAnsi="Calibri" w:cs="Calibri"/>
                <w:color w:val="000000"/>
              </w:rPr>
              <w:t>M</w:t>
            </w:r>
          </w:p>
        </w:tc>
        <w:tc>
          <w:tcPr>
            <w:tcW w:w="430" w:type="pct"/>
            <w:tcBorders>
              <w:top w:val="nil"/>
              <w:left w:val="nil"/>
              <w:bottom w:val="nil"/>
              <w:right w:val="nil"/>
            </w:tcBorders>
            <w:shd w:val="clear" w:color="FFFF00" w:fill="9BC2E6"/>
            <w:noWrap/>
            <w:vAlign w:val="bottom"/>
            <w:hideMark/>
          </w:tcPr>
          <w:p w14:paraId="3073A8EC" w14:textId="77777777" w:rsidR="00350C1D" w:rsidRPr="004E0937" w:rsidRDefault="00350C1D" w:rsidP="00DB3615">
            <w:pPr>
              <w:spacing w:after="0" w:line="240" w:lineRule="auto"/>
              <w:jc w:val="center"/>
              <w:rPr>
                <w:rFonts w:ascii="Calibri" w:eastAsia="Times New Roman" w:hAnsi="Calibri" w:cs="Calibri"/>
                <w:color w:val="000000"/>
              </w:rPr>
            </w:pPr>
            <w:r w:rsidRPr="004E0937">
              <w:rPr>
                <w:rFonts w:ascii="Calibri" w:eastAsia="Times New Roman" w:hAnsi="Calibri" w:cs="Calibri"/>
                <w:color w:val="000000"/>
              </w:rPr>
              <w:t> </w:t>
            </w:r>
          </w:p>
        </w:tc>
        <w:tc>
          <w:tcPr>
            <w:tcW w:w="458" w:type="pct"/>
            <w:tcBorders>
              <w:top w:val="nil"/>
              <w:left w:val="nil"/>
              <w:bottom w:val="nil"/>
              <w:right w:val="nil"/>
            </w:tcBorders>
            <w:shd w:val="clear" w:color="FFFF00" w:fill="9BC2E6"/>
            <w:vAlign w:val="bottom"/>
            <w:hideMark/>
          </w:tcPr>
          <w:p w14:paraId="602431C9" w14:textId="77777777" w:rsidR="00350C1D" w:rsidRPr="004E0937" w:rsidRDefault="00350C1D" w:rsidP="00DB3615">
            <w:pPr>
              <w:spacing w:after="0" w:line="240" w:lineRule="auto"/>
              <w:jc w:val="left"/>
              <w:rPr>
                <w:rFonts w:ascii="Calibri" w:eastAsia="Times New Roman" w:hAnsi="Calibri" w:cs="Calibri"/>
                <w:color w:val="000000"/>
              </w:rPr>
            </w:pPr>
            <w:r w:rsidRPr="004E0937">
              <w:rPr>
                <w:rFonts w:ascii="Calibri" w:eastAsia="Times New Roman" w:hAnsi="Calibri" w:cs="Calibri"/>
                <w:color w:val="000000"/>
              </w:rPr>
              <w:t>CNV deletion</w:t>
            </w:r>
          </w:p>
        </w:tc>
        <w:tc>
          <w:tcPr>
            <w:tcW w:w="413" w:type="pct"/>
            <w:tcBorders>
              <w:top w:val="nil"/>
              <w:left w:val="nil"/>
              <w:bottom w:val="nil"/>
              <w:right w:val="nil"/>
            </w:tcBorders>
            <w:shd w:val="clear" w:color="FFFF00" w:fill="9BC2E6"/>
            <w:vAlign w:val="bottom"/>
            <w:hideMark/>
          </w:tcPr>
          <w:p w14:paraId="6796D3DE" w14:textId="77777777" w:rsidR="00350C1D" w:rsidRPr="004E0937" w:rsidRDefault="00350C1D" w:rsidP="00DB3615">
            <w:pPr>
              <w:spacing w:after="0" w:line="240" w:lineRule="auto"/>
              <w:jc w:val="left"/>
              <w:rPr>
                <w:rFonts w:ascii="Calibri" w:eastAsia="Times New Roman" w:hAnsi="Calibri" w:cs="Calibri"/>
                <w:color w:val="000000"/>
              </w:rPr>
            </w:pPr>
            <w:r w:rsidRPr="004E0937">
              <w:rPr>
                <w:rFonts w:ascii="Calibri" w:eastAsia="Times New Roman" w:hAnsi="Calibri" w:cs="Calibri"/>
                <w:color w:val="000000"/>
              </w:rPr>
              <w:t>CNV deletion</w:t>
            </w:r>
          </w:p>
        </w:tc>
        <w:tc>
          <w:tcPr>
            <w:tcW w:w="417" w:type="pct"/>
            <w:tcBorders>
              <w:top w:val="nil"/>
              <w:left w:val="nil"/>
              <w:bottom w:val="nil"/>
              <w:right w:val="nil"/>
            </w:tcBorders>
            <w:shd w:val="clear" w:color="FFFF00" w:fill="9BC2E6"/>
            <w:noWrap/>
            <w:vAlign w:val="bottom"/>
            <w:hideMark/>
          </w:tcPr>
          <w:p w14:paraId="204AE269" w14:textId="77777777" w:rsidR="00350C1D" w:rsidRPr="004E0937" w:rsidRDefault="00350C1D" w:rsidP="00DB3615">
            <w:pPr>
              <w:spacing w:after="0" w:line="240" w:lineRule="auto"/>
              <w:jc w:val="center"/>
              <w:rPr>
                <w:rFonts w:ascii="Calibri" w:eastAsia="Times New Roman" w:hAnsi="Calibri" w:cs="Calibri"/>
                <w:color w:val="000000"/>
              </w:rPr>
            </w:pPr>
            <w:r w:rsidRPr="004E0937">
              <w:rPr>
                <w:rFonts w:ascii="Calibri" w:eastAsia="Times New Roman" w:hAnsi="Calibri" w:cs="Calibri"/>
                <w:color w:val="000000"/>
              </w:rPr>
              <w:t> </w:t>
            </w:r>
          </w:p>
        </w:tc>
      </w:tr>
      <w:tr w:rsidR="00350C1D" w:rsidRPr="004E0937" w14:paraId="658DF0D4" w14:textId="77777777" w:rsidTr="00350C1D">
        <w:trPr>
          <w:trHeight w:val="580"/>
        </w:trPr>
        <w:tc>
          <w:tcPr>
            <w:tcW w:w="184" w:type="pct"/>
            <w:tcBorders>
              <w:top w:val="nil"/>
              <w:left w:val="nil"/>
              <w:bottom w:val="nil"/>
              <w:right w:val="nil"/>
            </w:tcBorders>
            <w:shd w:val="clear" w:color="FFFF00" w:fill="9BC2E6"/>
            <w:noWrap/>
            <w:vAlign w:val="bottom"/>
            <w:hideMark/>
          </w:tcPr>
          <w:p w14:paraId="73C58ED0" w14:textId="77777777" w:rsidR="00350C1D" w:rsidRPr="004E0937" w:rsidRDefault="00350C1D" w:rsidP="00DB3615">
            <w:pPr>
              <w:spacing w:after="0" w:line="240" w:lineRule="auto"/>
              <w:jc w:val="center"/>
              <w:rPr>
                <w:rFonts w:ascii="Calibri" w:eastAsia="Times New Roman" w:hAnsi="Calibri" w:cs="Calibri"/>
                <w:color w:val="000000"/>
              </w:rPr>
            </w:pPr>
            <w:r w:rsidRPr="004E0937">
              <w:rPr>
                <w:rFonts w:ascii="Calibri" w:eastAsia="Times New Roman" w:hAnsi="Calibri" w:cs="Calibri"/>
                <w:color w:val="000000"/>
              </w:rPr>
              <w:t>25</w:t>
            </w:r>
          </w:p>
        </w:tc>
        <w:tc>
          <w:tcPr>
            <w:tcW w:w="190" w:type="pct"/>
            <w:tcBorders>
              <w:top w:val="nil"/>
              <w:left w:val="nil"/>
              <w:bottom w:val="nil"/>
              <w:right w:val="nil"/>
            </w:tcBorders>
            <w:shd w:val="clear" w:color="FFFF00" w:fill="9BC2E6"/>
            <w:vAlign w:val="bottom"/>
          </w:tcPr>
          <w:p w14:paraId="7825527B" w14:textId="2D1164B1" w:rsidR="00350C1D" w:rsidRDefault="00350C1D" w:rsidP="00DB3615">
            <w:pPr>
              <w:spacing w:after="0" w:line="240" w:lineRule="auto"/>
              <w:jc w:val="center"/>
              <w:rPr>
                <w:rFonts w:ascii="Calibri" w:eastAsia="Times New Roman" w:hAnsi="Calibri" w:cs="Calibri"/>
                <w:color w:val="000000"/>
              </w:rPr>
            </w:pPr>
            <w:r>
              <w:rPr>
                <w:rFonts w:ascii="Calibri" w:eastAsia="Times New Roman" w:hAnsi="Calibri" w:cs="Calibri"/>
                <w:color w:val="000000"/>
              </w:rPr>
              <w:t>No</w:t>
            </w:r>
          </w:p>
        </w:tc>
        <w:tc>
          <w:tcPr>
            <w:tcW w:w="498" w:type="pct"/>
            <w:tcBorders>
              <w:top w:val="nil"/>
              <w:left w:val="nil"/>
              <w:bottom w:val="nil"/>
              <w:right w:val="nil"/>
            </w:tcBorders>
            <w:shd w:val="clear" w:color="FFFF00" w:fill="9BC2E6"/>
            <w:noWrap/>
            <w:vAlign w:val="bottom"/>
            <w:hideMark/>
          </w:tcPr>
          <w:p w14:paraId="7D04AD62" w14:textId="3B0B04E8" w:rsidR="00350C1D" w:rsidRPr="004E0937" w:rsidRDefault="00350C1D" w:rsidP="00DB3615">
            <w:pPr>
              <w:spacing w:after="0" w:line="240" w:lineRule="auto"/>
              <w:jc w:val="center"/>
              <w:rPr>
                <w:rFonts w:ascii="Calibri" w:eastAsia="Times New Roman" w:hAnsi="Calibri" w:cs="Calibri"/>
                <w:color w:val="000000"/>
              </w:rPr>
            </w:pPr>
            <w:r w:rsidRPr="004E0937">
              <w:rPr>
                <w:rFonts w:ascii="Calibri" w:eastAsia="Times New Roman" w:hAnsi="Calibri" w:cs="Calibri"/>
                <w:color w:val="000000"/>
              </w:rPr>
              <w:t>21 to 25</w:t>
            </w:r>
          </w:p>
        </w:tc>
        <w:tc>
          <w:tcPr>
            <w:tcW w:w="374" w:type="pct"/>
            <w:tcBorders>
              <w:top w:val="nil"/>
              <w:left w:val="nil"/>
              <w:bottom w:val="nil"/>
              <w:right w:val="nil"/>
            </w:tcBorders>
            <w:shd w:val="clear" w:color="FFFF00" w:fill="9BC2E6"/>
            <w:noWrap/>
            <w:vAlign w:val="bottom"/>
            <w:hideMark/>
          </w:tcPr>
          <w:p w14:paraId="377C7121" w14:textId="77777777" w:rsidR="00350C1D" w:rsidRPr="004E0937" w:rsidRDefault="00350C1D" w:rsidP="00DB3615">
            <w:pPr>
              <w:spacing w:after="0" w:line="240" w:lineRule="auto"/>
              <w:jc w:val="center"/>
              <w:rPr>
                <w:rFonts w:ascii="Calibri" w:eastAsia="Times New Roman" w:hAnsi="Calibri" w:cs="Calibri"/>
                <w:color w:val="000000"/>
              </w:rPr>
            </w:pPr>
            <w:r w:rsidRPr="004E0937">
              <w:rPr>
                <w:rFonts w:ascii="Calibri" w:eastAsia="Times New Roman" w:hAnsi="Calibri" w:cs="Calibri"/>
                <w:color w:val="000000"/>
              </w:rPr>
              <w:t> </w:t>
            </w:r>
          </w:p>
        </w:tc>
        <w:tc>
          <w:tcPr>
            <w:tcW w:w="498" w:type="pct"/>
            <w:gridSpan w:val="3"/>
            <w:tcBorders>
              <w:top w:val="nil"/>
              <w:left w:val="nil"/>
              <w:bottom w:val="nil"/>
              <w:right w:val="nil"/>
            </w:tcBorders>
            <w:shd w:val="clear" w:color="FFFF00" w:fill="9BC2E6"/>
            <w:noWrap/>
            <w:vAlign w:val="bottom"/>
            <w:hideMark/>
          </w:tcPr>
          <w:p w14:paraId="3C0CC173" w14:textId="77777777" w:rsidR="00350C1D" w:rsidRPr="004E0937" w:rsidRDefault="00350C1D" w:rsidP="00DB3615">
            <w:pPr>
              <w:spacing w:after="0" w:line="240" w:lineRule="auto"/>
              <w:jc w:val="center"/>
              <w:rPr>
                <w:rFonts w:ascii="Calibri" w:eastAsia="Times New Roman" w:hAnsi="Calibri" w:cs="Calibri"/>
                <w:color w:val="000000"/>
              </w:rPr>
            </w:pPr>
            <w:r w:rsidRPr="004E0937">
              <w:rPr>
                <w:rFonts w:ascii="Calibri" w:eastAsia="Times New Roman" w:hAnsi="Calibri" w:cs="Calibri"/>
                <w:color w:val="000000"/>
              </w:rPr>
              <w:t> </w:t>
            </w:r>
          </w:p>
        </w:tc>
        <w:tc>
          <w:tcPr>
            <w:tcW w:w="1052" w:type="pct"/>
            <w:gridSpan w:val="2"/>
            <w:tcBorders>
              <w:top w:val="nil"/>
              <w:left w:val="nil"/>
              <w:bottom w:val="nil"/>
              <w:right w:val="nil"/>
            </w:tcBorders>
            <w:shd w:val="clear" w:color="FFFF00" w:fill="9BC2E6"/>
            <w:vAlign w:val="bottom"/>
            <w:hideMark/>
          </w:tcPr>
          <w:p w14:paraId="50663709" w14:textId="77777777" w:rsidR="00350C1D" w:rsidRPr="004E0937" w:rsidRDefault="00350C1D" w:rsidP="00DB3615">
            <w:pPr>
              <w:spacing w:after="0" w:line="240" w:lineRule="auto"/>
              <w:jc w:val="left"/>
              <w:rPr>
                <w:rFonts w:ascii="Calibri" w:eastAsia="Times New Roman" w:hAnsi="Calibri" w:cs="Calibri"/>
                <w:color w:val="000000"/>
              </w:rPr>
            </w:pPr>
            <w:r w:rsidRPr="004E0937">
              <w:rPr>
                <w:rFonts w:ascii="Calibri" w:eastAsia="Times New Roman" w:hAnsi="Calibri" w:cs="Calibri"/>
                <w:color w:val="000000"/>
              </w:rPr>
              <w:t>Unexplained kidney failure in young people</w:t>
            </w:r>
          </w:p>
        </w:tc>
        <w:tc>
          <w:tcPr>
            <w:tcW w:w="366" w:type="pct"/>
            <w:tcBorders>
              <w:top w:val="nil"/>
              <w:left w:val="nil"/>
              <w:bottom w:val="nil"/>
              <w:right w:val="nil"/>
            </w:tcBorders>
            <w:shd w:val="clear" w:color="FFFF00" w:fill="9BC2E6"/>
            <w:noWrap/>
            <w:vAlign w:val="bottom"/>
            <w:hideMark/>
          </w:tcPr>
          <w:p w14:paraId="7C5A4170" w14:textId="77777777" w:rsidR="00350C1D" w:rsidRPr="004E0937" w:rsidRDefault="00350C1D" w:rsidP="00DB3615">
            <w:pPr>
              <w:spacing w:after="0" w:line="240" w:lineRule="auto"/>
              <w:jc w:val="left"/>
              <w:rPr>
                <w:rFonts w:ascii="Calibri" w:eastAsia="Times New Roman" w:hAnsi="Calibri" w:cs="Calibri"/>
                <w:color w:val="000000"/>
              </w:rPr>
            </w:pPr>
            <w:r w:rsidRPr="004E0937">
              <w:rPr>
                <w:rFonts w:ascii="Calibri" w:eastAsia="Times New Roman" w:hAnsi="Calibri" w:cs="Calibri"/>
                <w:color w:val="000000"/>
              </w:rPr>
              <w:t>Proband</w:t>
            </w:r>
          </w:p>
        </w:tc>
        <w:tc>
          <w:tcPr>
            <w:tcW w:w="120" w:type="pct"/>
            <w:tcBorders>
              <w:top w:val="nil"/>
              <w:left w:val="nil"/>
              <w:bottom w:val="nil"/>
              <w:right w:val="nil"/>
            </w:tcBorders>
            <w:shd w:val="clear" w:color="FFFF00" w:fill="9BC2E6"/>
            <w:noWrap/>
            <w:vAlign w:val="bottom"/>
            <w:hideMark/>
          </w:tcPr>
          <w:p w14:paraId="2D8D587B" w14:textId="77777777" w:rsidR="00350C1D" w:rsidRPr="004E0937" w:rsidRDefault="00350C1D" w:rsidP="00DB3615">
            <w:pPr>
              <w:spacing w:after="0" w:line="240" w:lineRule="auto"/>
              <w:jc w:val="center"/>
              <w:rPr>
                <w:rFonts w:ascii="Calibri" w:eastAsia="Times New Roman" w:hAnsi="Calibri" w:cs="Calibri"/>
                <w:color w:val="000000"/>
              </w:rPr>
            </w:pPr>
            <w:r w:rsidRPr="004E0937">
              <w:rPr>
                <w:rFonts w:ascii="Calibri" w:eastAsia="Times New Roman" w:hAnsi="Calibri" w:cs="Calibri"/>
                <w:color w:val="000000"/>
              </w:rPr>
              <w:t>M</w:t>
            </w:r>
          </w:p>
        </w:tc>
        <w:tc>
          <w:tcPr>
            <w:tcW w:w="430" w:type="pct"/>
            <w:tcBorders>
              <w:top w:val="nil"/>
              <w:left w:val="nil"/>
              <w:bottom w:val="nil"/>
              <w:right w:val="nil"/>
            </w:tcBorders>
            <w:shd w:val="clear" w:color="FFFF00" w:fill="9BC2E6"/>
            <w:noWrap/>
            <w:vAlign w:val="bottom"/>
            <w:hideMark/>
          </w:tcPr>
          <w:p w14:paraId="228824A7" w14:textId="77777777" w:rsidR="00350C1D" w:rsidRPr="004E0937" w:rsidRDefault="00350C1D" w:rsidP="00DB3615">
            <w:pPr>
              <w:spacing w:after="0" w:line="240" w:lineRule="auto"/>
              <w:jc w:val="center"/>
              <w:rPr>
                <w:rFonts w:ascii="Calibri" w:eastAsia="Times New Roman" w:hAnsi="Calibri" w:cs="Calibri"/>
                <w:color w:val="000000"/>
              </w:rPr>
            </w:pPr>
            <w:r w:rsidRPr="004E0937">
              <w:rPr>
                <w:rFonts w:ascii="Calibri" w:eastAsia="Times New Roman" w:hAnsi="Calibri" w:cs="Calibri"/>
                <w:color w:val="000000"/>
              </w:rPr>
              <w:t> </w:t>
            </w:r>
          </w:p>
        </w:tc>
        <w:tc>
          <w:tcPr>
            <w:tcW w:w="458" w:type="pct"/>
            <w:tcBorders>
              <w:top w:val="nil"/>
              <w:left w:val="nil"/>
              <w:bottom w:val="nil"/>
              <w:right w:val="nil"/>
            </w:tcBorders>
            <w:shd w:val="clear" w:color="FFFF00" w:fill="9BC2E6"/>
            <w:vAlign w:val="bottom"/>
            <w:hideMark/>
          </w:tcPr>
          <w:p w14:paraId="5BF2D676" w14:textId="77777777" w:rsidR="00350C1D" w:rsidRPr="004E0937" w:rsidRDefault="00350C1D" w:rsidP="00DB3615">
            <w:pPr>
              <w:spacing w:after="0" w:line="240" w:lineRule="auto"/>
              <w:jc w:val="left"/>
              <w:rPr>
                <w:rFonts w:ascii="Calibri" w:eastAsia="Times New Roman" w:hAnsi="Calibri" w:cs="Calibri"/>
                <w:color w:val="000000"/>
              </w:rPr>
            </w:pPr>
            <w:r w:rsidRPr="004E0937">
              <w:rPr>
                <w:rFonts w:ascii="Calibri" w:eastAsia="Times New Roman" w:hAnsi="Calibri" w:cs="Calibri"/>
                <w:color w:val="000000"/>
              </w:rPr>
              <w:t>CNV deletion</w:t>
            </w:r>
          </w:p>
        </w:tc>
        <w:tc>
          <w:tcPr>
            <w:tcW w:w="413" w:type="pct"/>
            <w:tcBorders>
              <w:top w:val="nil"/>
              <w:left w:val="nil"/>
              <w:bottom w:val="nil"/>
              <w:right w:val="nil"/>
            </w:tcBorders>
            <w:shd w:val="clear" w:color="FFFF00" w:fill="9BC2E6"/>
            <w:vAlign w:val="bottom"/>
            <w:hideMark/>
          </w:tcPr>
          <w:p w14:paraId="0E1A44C3" w14:textId="77777777" w:rsidR="00350C1D" w:rsidRPr="004E0937" w:rsidRDefault="00350C1D" w:rsidP="00DB3615">
            <w:pPr>
              <w:spacing w:after="0" w:line="240" w:lineRule="auto"/>
              <w:jc w:val="left"/>
              <w:rPr>
                <w:rFonts w:ascii="Calibri" w:eastAsia="Times New Roman" w:hAnsi="Calibri" w:cs="Calibri"/>
                <w:color w:val="000000"/>
              </w:rPr>
            </w:pPr>
            <w:r w:rsidRPr="004E0937">
              <w:rPr>
                <w:rFonts w:ascii="Calibri" w:eastAsia="Times New Roman" w:hAnsi="Calibri" w:cs="Calibri"/>
                <w:color w:val="000000"/>
              </w:rPr>
              <w:t>CNV deletion</w:t>
            </w:r>
          </w:p>
        </w:tc>
        <w:tc>
          <w:tcPr>
            <w:tcW w:w="417" w:type="pct"/>
            <w:tcBorders>
              <w:top w:val="nil"/>
              <w:left w:val="nil"/>
              <w:bottom w:val="nil"/>
              <w:right w:val="nil"/>
            </w:tcBorders>
            <w:shd w:val="clear" w:color="FFFF00" w:fill="9BC2E6"/>
            <w:noWrap/>
            <w:vAlign w:val="bottom"/>
            <w:hideMark/>
          </w:tcPr>
          <w:p w14:paraId="20CCA2CA" w14:textId="77777777" w:rsidR="00350C1D" w:rsidRPr="004E0937" w:rsidRDefault="00350C1D" w:rsidP="00DB3615">
            <w:pPr>
              <w:spacing w:after="0" w:line="240" w:lineRule="auto"/>
              <w:jc w:val="center"/>
              <w:rPr>
                <w:rFonts w:ascii="Calibri" w:eastAsia="Times New Roman" w:hAnsi="Calibri" w:cs="Calibri"/>
                <w:color w:val="000000"/>
              </w:rPr>
            </w:pPr>
            <w:r w:rsidRPr="004E0937">
              <w:rPr>
                <w:rFonts w:ascii="Calibri" w:eastAsia="Times New Roman" w:hAnsi="Calibri" w:cs="Calibri"/>
                <w:color w:val="000000"/>
              </w:rPr>
              <w:t> </w:t>
            </w:r>
          </w:p>
        </w:tc>
      </w:tr>
      <w:tr w:rsidR="00350C1D" w:rsidRPr="004E0937" w14:paraId="639BF8CD" w14:textId="77777777" w:rsidTr="00350C1D">
        <w:trPr>
          <w:trHeight w:val="290"/>
        </w:trPr>
        <w:tc>
          <w:tcPr>
            <w:tcW w:w="184" w:type="pct"/>
            <w:tcBorders>
              <w:top w:val="nil"/>
              <w:left w:val="nil"/>
              <w:bottom w:val="nil"/>
              <w:right w:val="nil"/>
            </w:tcBorders>
            <w:shd w:val="clear" w:color="FFFF00" w:fill="9BC2E6"/>
            <w:noWrap/>
            <w:vAlign w:val="bottom"/>
            <w:hideMark/>
          </w:tcPr>
          <w:p w14:paraId="115CDFDE" w14:textId="77777777" w:rsidR="00350C1D" w:rsidRPr="004E0937" w:rsidRDefault="00350C1D" w:rsidP="00DB3615">
            <w:pPr>
              <w:spacing w:after="0" w:line="240" w:lineRule="auto"/>
              <w:jc w:val="center"/>
              <w:rPr>
                <w:rFonts w:ascii="Calibri" w:eastAsia="Times New Roman" w:hAnsi="Calibri" w:cs="Calibri"/>
                <w:color w:val="000000"/>
              </w:rPr>
            </w:pPr>
            <w:r w:rsidRPr="004E0937">
              <w:rPr>
                <w:rFonts w:ascii="Calibri" w:eastAsia="Times New Roman" w:hAnsi="Calibri" w:cs="Calibri"/>
                <w:color w:val="000000"/>
              </w:rPr>
              <w:t>26</w:t>
            </w:r>
          </w:p>
        </w:tc>
        <w:tc>
          <w:tcPr>
            <w:tcW w:w="190" w:type="pct"/>
            <w:tcBorders>
              <w:top w:val="nil"/>
              <w:left w:val="nil"/>
              <w:bottom w:val="nil"/>
              <w:right w:val="nil"/>
            </w:tcBorders>
            <w:shd w:val="clear" w:color="FFFF00" w:fill="9BC2E6"/>
            <w:vAlign w:val="bottom"/>
          </w:tcPr>
          <w:p w14:paraId="3E4119ED" w14:textId="0F50AB60" w:rsidR="00350C1D" w:rsidRDefault="00350C1D" w:rsidP="00DB3615">
            <w:pPr>
              <w:spacing w:after="0" w:line="240" w:lineRule="auto"/>
              <w:jc w:val="center"/>
              <w:rPr>
                <w:rFonts w:ascii="Calibri" w:eastAsia="Times New Roman" w:hAnsi="Calibri" w:cs="Calibri"/>
                <w:color w:val="000000"/>
              </w:rPr>
            </w:pPr>
            <w:r>
              <w:rPr>
                <w:rFonts w:ascii="Calibri" w:eastAsia="Times New Roman" w:hAnsi="Calibri" w:cs="Calibri"/>
                <w:color w:val="000000"/>
              </w:rPr>
              <w:t>No</w:t>
            </w:r>
          </w:p>
        </w:tc>
        <w:tc>
          <w:tcPr>
            <w:tcW w:w="498" w:type="pct"/>
            <w:tcBorders>
              <w:top w:val="nil"/>
              <w:left w:val="nil"/>
              <w:bottom w:val="nil"/>
              <w:right w:val="nil"/>
            </w:tcBorders>
            <w:shd w:val="clear" w:color="FFFF00" w:fill="9BC2E6"/>
            <w:noWrap/>
            <w:vAlign w:val="bottom"/>
            <w:hideMark/>
          </w:tcPr>
          <w:p w14:paraId="3304FBE0" w14:textId="260AA8F0" w:rsidR="00350C1D" w:rsidRPr="004E0937" w:rsidRDefault="00350C1D" w:rsidP="00DB3615">
            <w:pPr>
              <w:spacing w:after="0" w:line="240" w:lineRule="auto"/>
              <w:jc w:val="center"/>
              <w:rPr>
                <w:rFonts w:ascii="Calibri" w:eastAsia="Times New Roman" w:hAnsi="Calibri" w:cs="Calibri"/>
                <w:color w:val="000000"/>
              </w:rPr>
            </w:pPr>
            <w:r w:rsidRPr="004E0937">
              <w:rPr>
                <w:rFonts w:ascii="Calibri" w:eastAsia="Times New Roman" w:hAnsi="Calibri" w:cs="Calibri"/>
                <w:color w:val="000000"/>
              </w:rPr>
              <w:t>26 to 30</w:t>
            </w:r>
          </w:p>
        </w:tc>
        <w:tc>
          <w:tcPr>
            <w:tcW w:w="374" w:type="pct"/>
            <w:tcBorders>
              <w:top w:val="nil"/>
              <w:left w:val="nil"/>
              <w:bottom w:val="nil"/>
              <w:right w:val="nil"/>
            </w:tcBorders>
            <w:shd w:val="clear" w:color="FFFF00" w:fill="9BC2E6"/>
            <w:noWrap/>
            <w:vAlign w:val="bottom"/>
            <w:hideMark/>
          </w:tcPr>
          <w:p w14:paraId="613F8B00" w14:textId="77777777" w:rsidR="00350C1D" w:rsidRPr="004E0937" w:rsidRDefault="00350C1D" w:rsidP="00DB3615">
            <w:pPr>
              <w:spacing w:after="0" w:line="240" w:lineRule="auto"/>
              <w:jc w:val="center"/>
              <w:rPr>
                <w:rFonts w:ascii="Calibri" w:eastAsia="Times New Roman" w:hAnsi="Calibri" w:cs="Calibri"/>
                <w:color w:val="000000"/>
              </w:rPr>
            </w:pPr>
            <w:r w:rsidRPr="004E0937">
              <w:rPr>
                <w:rFonts w:ascii="Calibri" w:eastAsia="Times New Roman" w:hAnsi="Calibri" w:cs="Calibri"/>
                <w:color w:val="000000"/>
              </w:rPr>
              <w:t>41 to 45</w:t>
            </w:r>
          </w:p>
        </w:tc>
        <w:tc>
          <w:tcPr>
            <w:tcW w:w="498" w:type="pct"/>
            <w:gridSpan w:val="3"/>
            <w:tcBorders>
              <w:top w:val="nil"/>
              <w:left w:val="nil"/>
              <w:bottom w:val="nil"/>
              <w:right w:val="nil"/>
            </w:tcBorders>
            <w:shd w:val="clear" w:color="FFFF00" w:fill="9BC2E6"/>
            <w:noWrap/>
            <w:vAlign w:val="bottom"/>
            <w:hideMark/>
          </w:tcPr>
          <w:p w14:paraId="5DC47BE7" w14:textId="77777777" w:rsidR="00350C1D" w:rsidRPr="004E0937" w:rsidRDefault="00350C1D" w:rsidP="00DB3615">
            <w:pPr>
              <w:spacing w:after="0" w:line="240" w:lineRule="auto"/>
              <w:jc w:val="center"/>
              <w:rPr>
                <w:rFonts w:ascii="Calibri" w:eastAsia="Times New Roman" w:hAnsi="Calibri" w:cs="Calibri"/>
                <w:color w:val="000000"/>
              </w:rPr>
            </w:pPr>
            <w:r w:rsidRPr="004E0937">
              <w:rPr>
                <w:rFonts w:ascii="Calibri" w:eastAsia="Times New Roman" w:hAnsi="Calibri" w:cs="Calibri"/>
                <w:color w:val="000000"/>
              </w:rPr>
              <w:t> </w:t>
            </w:r>
          </w:p>
        </w:tc>
        <w:tc>
          <w:tcPr>
            <w:tcW w:w="1052" w:type="pct"/>
            <w:gridSpan w:val="2"/>
            <w:tcBorders>
              <w:top w:val="nil"/>
              <w:left w:val="nil"/>
              <w:bottom w:val="nil"/>
              <w:right w:val="nil"/>
            </w:tcBorders>
            <w:shd w:val="clear" w:color="FFFF00" w:fill="9BC2E6"/>
            <w:vAlign w:val="bottom"/>
            <w:hideMark/>
          </w:tcPr>
          <w:p w14:paraId="55D24540" w14:textId="77777777" w:rsidR="00350C1D" w:rsidRPr="004E0937" w:rsidRDefault="00350C1D" w:rsidP="00DB3615">
            <w:pPr>
              <w:spacing w:after="0" w:line="240" w:lineRule="auto"/>
              <w:jc w:val="left"/>
              <w:rPr>
                <w:rFonts w:ascii="Calibri" w:eastAsia="Times New Roman" w:hAnsi="Calibri" w:cs="Calibri"/>
                <w:color w:val="000000"/>
              </w:rPr>
            </w:pPr>
            <w:r w:rsidRPr="004E0937">
              <w:rPr>
                <w:rFonts w:ascii="Calibri" w:eastAsia="Times New Roman" w:hAnsi="Calibri" w:cs="Calibri"/>
                <w:color w:val="000000"/>
              </w:rPr>
              <w:t>Inherited macular dystrophy</w:t>
            </w:r>
          </w:p>
        </w:tc>
        <w:tc>
          <w:tcPr>
            <w:tcW w:w="366" w:type="pct"/>
            <w:tcBorders>
              <w:top w:val="nil"/>
              <w:left w:val="nil"/>
              <w:bottom w:val="nil"/>
              <w:right w:val="nil"/>
            </w:tcBorders>
            <w:shd w:val="clear" w:color="FFFF00" w:fill="9BC2E6"/>
            <w:noWrap/>
            <w:vAlign w:val="bottom"/>
            <w:hideMark/>
          </w:tcPr>
          <w:p w14:paraId="7EB79D82" w14:textId="77777777" w:rsidR="00350C1D" w:rsidRPr="004E0937" w:rsidRDefault="00350C1D" w:rsidP="00DB3615">
            <w:pPr>
              <w:spacing w:after="0" w:line="240" w:lineRule="auto"/>
              <w:jc w:val="left"/>
              <w:rPr>
                <w:rFonts w:ascii="Calibri" w:eastAsia="Times New Roman" w:hAnsi="Calibri" w:cs="Calibri"/>
                <w:color w:val="000000"/>
              </w:rPr>
            </w:pPr>
            <w:r w:rsidRPr="004E0937">
              <w:rPr>
                <w:rFonts w:ascii="Calibri" w:eastAsia="Times New Roman" w:hAnsi="Calibri" w:cs="Calibri"/>
                <w:color w:val="000000"/>
              </w:rPr>
              <w:t>Proband</w:t>
            </w:r>
          </w:p>
        </w:tc>
        <w:tc>
          <w:tcPr>
            <w:tcW w:w="120" w:type="pct"/>
            <w:tcBorders>
              <w:top w:val="nil"/>
              <w:left w:val="nil"/>
              <w:bottom w:val="nil"/>
              <w:right w:val="nil"/>
            </w:tcBorders>
            <w:shd w:val="clear" w:color="FFFF00" w:fill="9BC2E6"/>
            <w:noWrap/>
            <w:vAlign w:val="bottom"/>
            <w:hideMark/>
          </w:tcPr>
          <w:p w14:paraId="65228EB1" w14:textId="77777777" w:rsidR="00350C1D" w:rsidRPr="004E0937" w:rsidRDefault="00350C1D" w:rsidP="00DB3615">
            <w:pPr>
              <w:spacing w:after="0" w:line="240" w:lineRule="auto"/>
              <w:jc w:val="center"/>
              <w:rPr>
                <w:rFonts w:ascii="Calibri" w:eastAsia="Times New Roman" w:hAnsi="Calibri" w:cs="Calibri"/>
                <w:color w:val="000000"/>
              </w:rPr>
            </w:pPr>
            <w:r w:rsidRPr="004E0937">
              <w:rPr>
                <w:rFonts w:ascii="Calibri" w:eastAsia="Times New Roman" w:hAnsi="Calibri" w:cs="Calibri"/>
                <w:color w:val="000000"/>
              </w:rPr>
              <w:t>M</w:t>
            </w:r>
          </w:p>
        </w:tc>
        <w:tc>
          <w:tcPr>
            <w:tcW w:w="430" w:type="pct"/>
            <w:tcBorders>
              <w:top w:val="nil"/>
              <w:left w:val="nil"/>
              <w:bottom w:val="nil"/>
              <w:right w:val="nil"/>
            </w:tcBorders>
            <w:shd w:val="clear" w:color="FFFF00" w:fill="9BC2E6"/>
            <w:noWrap/>
            <w:vAlign w:val="bottom"/>
            <w:hideMark/>
          </w:tcPr>
          <w:p w14:paraId="79C90FE9" w14:textId="77777777" w:rsidR="00350C1D" w:rsidRPr="004E0937" w:rsidRDefault="00350C1D" w:rsidP="00DB3615">
            <w:pPr>
              <w:spacing w:after="0" w:line="240" w:lineRule="auto"/>
              <w:jc w:val="center"/>
              <w:rPr>
                <w:rFonts w:ascii="Calibri" w:eastAsia="Times New Roman" w:hAnsi="Calibri" w:cs="Calibri"/>
                <w:color w:val="000000"/>
              </w:rPr>
            </w:pPr>
            <w:r w:rsidRPr="004E0937">
              <w:rPr>
                <w:rFonts w:ascii="Calibri" w:eastAsia="Times New Roman" w:hAnsi="Calibri" w:cs="Calibri"/>
                <w:color w:val="000000"/>
              </w:rPr>
              <w:t>SAS</w:t>
            </w:r>
          </w:p>
        </w:tc>
        <w:tc>
          <w:tcPr>
            <w:tcW w:w="458" w:type="pct"/>
            <w:tcBorders>
              <w:top w:val="nil"/>
              <w:left w:val="nil"/>
              <w:bottom w:val="nil"/>
              <w:right w:val="nil"/>
            </w:tcBorders>
            <w:shd w:val="clear" w:color="FFFF00" w:fill="9BC2E6"/>
            <w:vAlign w:val="bottom"/>
            <w:hideMark/>
          </w:tcPr>
          <w:p w14:paraId="31746843" w14:textId="77777777" w:rsidR="00350C1D" w:rsidRPr="004E0937" w:rsidRDefault="00350C1D" w:rsidP="00DB3615">
            <w:pPr>
              <w:spacing w:after="0" w:line="240" w:lineRule="auto"/>
              <w:jc w:val="left"/>
              <w:rPr>
                <w:rFonts w:ascii="Calibri" w:eastAsia="Times New Roman" w:hAnsi="Calibri" w:cs="Calibri"/>
                <w:color w:val="000000"/>
              </w:rPr>
            </w:pPr>
            <w:r w:rsidRPr="004E0937">
              <w:rPr>
                <w:rFonts w:ascii="Calibri" w:eastAsia="Times New Roman" w:hAnsi="Calibri" w:cs="Calibri"/>
                <w:color w:val="000000"/>
              </w:rPr>
              <w:t>CNV deletion</w:t>
            </w:r>
          </w:p>
        </w:tc>
        <w:tc>
          <w:tcPr>
            <w:tcW w:w="413" w:type="pct"/>
            <w:tcBorders>
              <w:top w:val="nil"/>
              <w:left w:val="nil"/>
              <w:bottom w:val="nil"/>
              <w:right w:val="nil"/>
            </w:tcBorders>
            <w:shd w:val="clear" w:color="FFFF00" w:fill="9BC2E6"/>
            <w:vAlign w:val="bottom"/>
            <w:hideMark/>
          </w:tcPr>
          <w:p w14:paraId="59D0ADAD" w14:textId="77777777" w:rsidR="00350C1D" w:rsidRPr="004E0937" w:rsidRDefault="00350C1D" w:rsidP="00DB3615">
            <w:pPr>
              <w:spacing w:after="0" w:line="240" w:lineRule="auto"/>
              <w:jc w:val="left"/>
              <w:rPr>
                <w:rFonts w:ascii="Calibri" w:eastAsia="Times New Roman" w:hAnsi="Calibri" w:cs="Calibri"/>
                <w:color w:val="000000"/>
              </w:rPr>
            </w:pPr>
            <w:r w:rsidRPr="004E0937">
              <w:rPr>
                <w:rFonts w:ascii="Calibri" w:eastAsia="Times New Roman" w:hAnsi="Calibri" w:cs="Calibri"/>
                <w:color w:val="000000"/>
              </w:rPr>
              <w:t>CNV deletion</w:t>
            </w:r>
          </w:p>
        </w:tc>
        <w:tc>
          <w:tcPr>
            <w:tcW w:w="417" w:type="pct"/>
            <w:tcBorders>
              <w:top w:val="nil"/>
              <w:left w:val="nil"/>
              <w:bottom w:val="nil"/>
              <w:right w:val="nil"/>
            </w:tcBorders>
            <w:shd w:val="clear" w:color="FFFF00" w:fill="9BC2E6"/>
            <w:noWrap/>
            <w:vAlign w:val="bottom"/>
            <w:hideMark/>
          </w:tcPr>
          <w:p w14:paraId="35A3AFCC" w14:textId="77777777" w:rsidR="00350C1D" w:rsidRPr="004E0937" w:rsidRDefault="00350C1D" w:rsidP="00DB3615">
            <w:pPr>
              <w:spacing w:after="0" w:line="240" w:lineRule="auto"/>
              <w:jc w:val="center"/>
              <w:rPr>
                <w:rFonts w:ascii="Calibri" w:eastAsia="Times New Roman" w:hAnsi="Calibri" w:cs="Calibri"/>
              </w:rPr>
            </w:pPr>
            <w:r w:rsidRPr="004E0937">
              <w:rPr>
                <w:rFonts w:ascii="Calibri" w:eastAsia="Times New Roman" w:hAnsi="Calibri" w:cs="Calibri"/>
              </w:rPr>
              <w:t>solved</w:t>
            </w:r>
          </w:p>
        </w:tc>
      </w:tr>
      <w:tr w:rsidR="00350C1D" w:rsidRPr="004E0937" w14:paraId="114A9762" w14:textId="77777777" w:rsidTr="00350C1D">
        <w:trPr>
          <w:trHeight w:val="290"/>
        </w:trPr>
        <w:tc>
          <w:tcPr>
            <w:tcW w:w="184" w:type="pct"/>
            <w:tcBorders>
              <w:top w:val="nil"/>
              <w:left w:val="nil"/>
              <w:bottom w:val="nil"/>
              <w:right w:val="nil"/>
            </w:tcBorders>
            <w:shd w:val="clear" w:color="FFFF00" w:fill="9BC2E6"/>
            <w:noWrap/>
            <w:vAlign w:val="bottom"/>
            <w:hideMark/>
          </w:tcPr>
          <w:p w14:paraId="71A4CC8D" w14:textId="77777777" w:rsidR="00350C1D" w:rsidRPr="004E0937" w:rsidRDefault="00350C1D" w:rsidP="00DB3615">
            <w:pPr>
              <w:spacing w:after="0" w:line="240" w:lineRule="auto"/>
              <w:jc w:val="center"/>
              <w:rPr>
                <w:rFonts w:ascii="Calibri" w:eastAsia="Times New Roman" w:hAnsi="Calibri" w:cs="Calibri"/>
                <w:color w:val="000000"/>
              </w:rPr>
            </w:pPr>
            <w:r w:rsidRPr="004E0937">
              <w:rPr>
                <w:rFonts w:ascii="Calibri" w:eastAsia="Times New Roman" w:hAnsi="Calibri" w:cs="Calibri"/>
                <w:color w:val="000000"/>
              </w:rPr>
              <w:t>27</w:t>
            </w:r>
          </w:p>
        </w:tc>
        <w:tc>
          <w:tcPr>
            <w:tcW w:w="190" w:type="pct"/>
            <w:tcBorders>
              <w:top w:val="nil"/>
              <w:left w:val="nil"/>
              <w:bottom w:val="nil"/>
              <w:right w:val="nil"/>
            </w:tcBorders>
            <w:shd w:val="clear" w:color="FFFF00" w:fill="9BC2E6"/>
            <w:vAlign w:val="bottom"/>
          </w:tcPr>
          <w:p w14:paraId="1CF9A52F" w14:textId="77777777" w:rsidR="00350C1D" w:rsidRPr="004E0937" w:rsidRDefault="00350C1D" w:rsidP="00DB3615">
            <w:pPr>
              <w:spacing w:after="0" w:line="240" w:lineRule="auto"/>
              <w:jc w:val="center"/>
              <w:rPr>
                <w:rFonts w:ascii="Calibri" w:eastAsia="Times New Roman" w:hAnsi="Calibri" w:cs="Calibri"/>
                <w:color w:val="000000"/>
              </w:rPr>
            </w:pPr>
          </w:p>
        </w:tc>
        <w:tc>
          <w:tcPr>
            <w:tcW w:w="498" w:type="pct"/>
            <w:tcBorders>
              <w:top w:val="nil"/>
              <w:left w:val="nil"/>
              <w:bottom w:val="nil"/>
              <w:right w:val="nil"/>
            </w:tcBorders>
            <w:shd w:val="clear" w:color="FFFF00" w:fill="9BC2E6"/>
            <w:noWrap/>
            <w:vAlign w:val="bottom"/>
            <w:hideMark/>
          </w:tcPr>
          <w:p w14:paraId="5A4835A2" w14:textId="7ED9C1F3" w:rsidR="00350C1D" w:rsidRPr="004E0937" w:rsidRDefault="00350C1D" w:rsidP="00DB3615">
            <w:pPr>
              <w:spacing w:after="0" w:line="240" w:lineRule="auto"/>
              <w:jc w:val="center"/>
              <w:rPr>
                <w:rFonts w:ascii="Calibri" w:eastAsia="Times New Roman" w:hAnsi="Calibri" w:cs="Calibri"/>
                <w:color w:val="000000"/>
              </w:rPr>
            </w:pPr>
            <w:r w:rsidRPr="004E0937">
              <w:rPr>
                <w:rFonts w:ascii="Calibri" w:eastAsia="Times New Roman" w:hAnsi="Calibri" w:cs="Calibri"/>
                <w:color w:val="000000"/>
              </w:rPr>
              <w:t> </w:t>
            </w:r>
          </w:p>
        </w:tc>
        <w:tc>
          <w:tcPr>
            <w:tcW w:w="374" w:type="pct"/>
            <w:tcBorders>
              <w:top w:val="nil"/>
              <w:left w:val="nil"/>
              <w:bottom w:val="nil"/>
              <w:right w:val="nil"/>
            </w:tcBorders>
            <w:shd w:val="clear" w:color="FFFF00" w:fill="9BC2E6"/>
            <w:noWrap/>
            <w:vAlign w:val="bottom"/>
            <w:hideMark/>
          </w:tcPr>
          <w:p w14:paraId="1F3E5DCC" w14:textId="77777777" w:rsidR="00350C1D" w:rsidRPr="004E0937" w:rsidRDefault="00350C1D" w:rsidP="00DB3615">
            <w:pPr>
              <w:spacing w:after="0" w:line="240" w:lineRule="auto"/>
              <w:jc w:val="center"/>
              <w:rPr>
                <w:rFonts w:ascii="Calibri" w:eastAsia="Times New Roman" w:hAnsi="Calibri" w:cs="Calibri"/>
                <w:color w:val="000000"/>
              </w:rPr>
            </w:pPr>
            <w:r w:rsidRPr="004E0937">
              <w:rPr>
                <w:rFonts w:ascii="Calibri" w:eastAsia="Times New Roman" w:hAnsi="Calibri" w:cs="Calibri"/>
                <w:color w:val="000000"/>
              </w:rPr>
              <w:t>21 to 25</w:t>
            </w:r>
          </w:p>
        </w:tc>
        <w:tc>
          <w:tcPr>
            <w:tcW w:w="498" w:type="pct"/>
            <w:gridSpan w:val="3"/>
            <w:tcBorders>
              <w:top w:val="nil"/>
              <w:left w:val="nil"/>
              <w:bottom w:val="nil"/>
              <w:right w:val="nil"/>
            </w:tcBorders>
            <w:shd w:val="clear" w:color="FFFF00" w:fill="9BC2E6"/>
            <w:noWrap/>
            <w:vAlign w:val="bottom"/>
            <w:hideMark/>
          </w:tcPr>
          <w:p w14:paraId="36A11BB3" w14:textId="77777777" w:rsidR="00350C1D" w:rsidRPr="004E0937" w:rsidRDefault="00350C1D" w:rsidP="00DB3615">
            <w:pPr>
              <w:spacing w:after="0" w:line="240" w:lineRule="auto"/>
              <w:jc w:val="center"/>
              <w:rPr>
                <w:rFonts w:ascii="Calibri" w:eastAsia="Times New Roman" w:hAnsi="Calibri" w:cs="Calibri"/>
                <w:color w:val="000000"/>
              </w:rPr>
            </w:pPr>
            <w:r w:rsidRPr="004E0937">
              <w:rPr>
                <w:rFonts w:ascii="Calibri" w:eastAsia="Times New Roman" w:hAnsi="Calibri" w:cs="Calibri"/>
                <w:color w:val="000000"/>
              </w:rPr>
              <w:t> </w:t>
            </w:r>
          </w:p>
        </w:tc>
        <w:tc>
          <w:tcPr>
            <w:tcW w:w="1052" w:type="pct"/>
            <w:gridSpan w:val="2"/>
            <w:tcBorders>
              <w:top w:val="nil"/>
              <w:left w:val="nil"/>
              <w:bottom w:val="nil"/>
              <w:right w:val="nil"/>
            </w:tcBorders>
            <w:shd w:val="clear" w:color="FFFF00" w:fill="9BC2E6"/>
            <w:vAlign w:val="bottom"/>
            <w:hideMark/>
          </w:tcPr>
          <w:p w14:paraId="5DB06B88" w14:textId="77777777" w:rsidR="00350C1D" w:rsidRPr="004E0937" w:rsidRDefault="00350C1D" w:rsidP="00DB3615">
            <w:pPr>
              <w:spacing w:after="0" w:line="240" w:lineRule="auto"/>
              <w:jc w:val="left"/>
              <w:rPr>
                <w:rFonts w:ascii="Calibri" w:eastAsia="Times New Roman" w:hAnsi="Calibri" w:cs="Calibri"/>
                <w:color w:val="000000"/>
              </w:rPr>
            </w:pPr>
            <w:r w:rsidRPr="004E0937">
              <w:rPr>
                <w:rFonts w:ascii="Calibri" w:eastAsia="Times New Roman" w:hAnsi="Calibri" w:cs="Calibri"/>
                <w:color w:val="000000"/>
              </w:rPr>
              <w:t>Rod-cone dystrophy</w:t>
            </w:r>
          </w:p>
        </w:tc>
        <w:tc>
          <w:tcPr>
            <w:tcW w:w="366" w:type="pct"/>
            <w:tcBorders>
              <w:top w:val="nil"/>
              <w:left w:val="nil"/>
              <w:bottom w:val="nil"/>
              <w:right w:val="nil"/>
            </w:tcBorders>
            <w:shd w:val="clear" w:color="FFFF00" w:fill="9BC2E6"/>
            <w:noWrap/>
            <w:vAlign w:val="bottom"/>
            <w:hideMark/>
          </w:tcPr>
          <w:p w14:paraId="541A2183" w14:textId="77777777" w:rsidR="00350C1D" w:rsidRPr="004E0937" w:rsidRDefault="00350C1D" w:rsidP="00DB3615">
            <w:pPr>
              <w:spacing w:after="0" w:line="240" w:lineRule="auto"/>
              <w:jc w:val="left"/>
              <w:rPr>
                <w:rFonts w:ascii="Calibri" w:eastAsia="Times New Roman" w:hAnsi="Calibri" w:cs="Calibri"/>
                <w:color w:val="000000"/>
              </w:rPr>
            </w:pPr>
            <w:r w:rsidRPr="004E0937">
              <w:rPr>
                <w:rFonts w:ascii="Calibri" w:eastAsia="Times New Roman" w:hAnsi="Calibri" w:cs="Calibri"/>
                <w:color w:val="000000"/>
              </w:rPr>
              <w:t>Proband</w:t>
            </w:r>
          </w:p>
        </w:tc>
        <w:tc>
          <w:tcPr>
            <w:tcW w:w="120" w:type="pct"/>
            <w:tcBorders>
              <w:top w:val="nil"/>
              <w:left w:val="nil"/>
              <w:bottom w:val="nil"/>
              <w:right w:val="nil"/>
            </w:tcBorders>
            <w:shd w:val="clear" w:color="FFFF00" w:fill="9BC2E6"/>
            <w:noWrap/>
            <w:vAlign w:val="bottom"/>
            <w:hideMark/>
          </w:tcPr>
          <w:p w14:paraId="09848805" w14:textId="77777777" w:rsidR="00350C1D" w:rsidRPr="004E0937" w:rsidRDefault="00350C1D" w:rsidP="00DB3615">
            <w:pPr>
              <w:spacing w:after="0" w:line="240" w:lineRule="auto"/>
              <w:jc w:val="center"/>
              <w:rPr>
                <w:rFonts w:ascii="Calibri" w:eastAsia="Times New Roman" w:hAnsi="Calibri" w:cs="Calibri"/>
                <w:color w:val="000000"/>
              </w:rPr>
            </w:pPr>
            <w:r w:rsidRPr="004E0937">
              <w:rPr>
                <w:rFonts w:ascii="Calibri" w:eastAsia="Times New Roman" w:hAnsi="Calibri" w:cs="Calibri"/>
                <w:color w:val="000000"/>
              </w:rPr>
              <w:t>F</w:t>
            </w:r>
          </w:p>
        </w:tc>
        <w:tc>
          <w:tcPr>
            <w:tcW w:w="430" w:type="pct"/>
            <w:tcBorders>
              <w:top w:val="nil"/>
              <w:left w:val="nil"/>
              <w:bottom w:val="nil"/>
              <w:right w:val="nil"/>
            </w:tcBorders>
            <w:shd w:val="clear" w:color="FFFF00" w:fill="9BC2E6"/>
            <w:noWrap/>
            <w:vAlign w:val="bottom"/>
            <w:hideMark/>
          </w:tcPr>
          <w:p w14:paraId="3C62CABC" w14:textId="77777777" w:rsidR="00350C1D" w:rsidRPr="004E0937" w:rsidRDefault="00350C1D" w:rsidP="00DB3615">
            <w:pPr>
              <w:spacing w:after="0" w:line="240" w:lineRule="auto"/>
              <w:jc w:val="center"/>
              <w:rPr>
                <w:rFonts w:ascii="Calibri" w:eastAsia="Times New Roman" w:hAnsi="Calibri" w:cs="Calibri"/>
                <w:color w:val="000000"/>
              </w:rPr>
            </w:pPr>
            <w:r w:rsidRPr="004E0937">
              <w:rPr>
                <w:rFonts w:ascii="Calibri" w:eastAsia="Times New Roman" w:hAnsi="Calibri" w:cs="Calibri"/>
                <w:color w:val="000000"/>
              </w:rPr>
              <w:t>EUR</w:t>
            </w:r>
          </w:p>
        </w:tc>
        <w:tc>
          <w:tcPr>
            <w:tcW w:w="458" w:type="pct"/>
            <w:tcBorders>
              <w:top w:val="nil"/>
              <w:left w:val="nil"/>
              <w:bottom w:val="nil"/>
              <w:right w:val="nil"/>
            </w:tcBorders>
            <w:shd w:val="clear" w:color="FFFF00" w:fill="9BC2E6"/>
            <w:vAlign w:val="bottom"/>
            <w:hideMark/>
          </w:tcPr>
          <w:p w14:paraId="35085A80" w14:textId="77777777" w:rsidR="00350C1D" w:rsidRPr="004E0937" w:rsidRDefault="00350C1D" w:rsidP="00DB3615">
            <w:pPr>
              <w:spacing w:after="0" w:line="240" w:lineRule="auto"/>
              <w:jc w:val="left"/>
              <w:rPr>
                <w:rFonts w:ascii="Calibri" w:eastAsia="Times New Roman" w:hAnsi="Calibri" w:cs="Calibri"/>
                <w:color w:val="000000"/>
              </w:rPr>
            </w:pPr>
            <w:r w:rsidRPr="004E0937">
              <w:rPr>
                <w:rFonts w:ascii="Calibri" w:eastAsia="Times New Roman" w:hAnsi="Calibri" w:cs="Calibri"/>
                <w:color w:val="000000"/>
              </w:rPr>
              <w:t>CNV deletion</w:t>
            </w:r>
          </w:p>
        </w:tc>
        <w:tc>
          <w:tcPr>
            <w:tcW w:w="413" w:type="pct"/>
            <w:tcBorders>
              <w:top w:val="nil"/>
              <w:left w:val="nil"/>
              <w:bottom w:val="nil"/>
              <w:right w:val="nil"/>
            </w:tcBorders>
            <w:shd w:val="clear" w:color="FFFF00" w:fill="9BC2E6"/>
            <w:vAlign w:val="bottom"/>
            <w:hideMark/>
          </w:tcPr>
          <w:p w14:paraId="1C84AFED" w14:textId="77777777" w:rsidR="00350C1D" w:rsidRPr="004E0937" w:rsidRDefault="00350C1D" w:rsidP="00DB3615">
            <w:pPr>
              <w:spacing w:after="0" w:line="240" w:lineRule="auto"/>
              <w:jc w:val="left"/>
              <w:rPr>
                <w:rFonts w:ascii="Calibri" w:eastAsia="Times New Roman" w:hAnsi="Calibri" w:cs="Calibri"/>
                <w:color w:val="000000"/>
              </w:rPr>
            </w:pPr>
            <w:r w:rsidRPr="004E0937">
              <w:rPr>
                <w:rFonts w:ascii="Calibri" w:eastAsia="Times New Roman" w:hAnsi="Calibri" w:cs="Calibri"/>
                <w:color w:val="000000"/>
              </w:rPr>
              <w:t>CNV deletion</w:t>
            </w:r>
          </w:p>
        </w:tc>
        <w:tc>
          <w:tcPr>
            <w:tcW w:w="417" w:type="pct"/>
            <w:tcBorders>
              <w:top w:val="nil"/>
              <w:left w:val="nil"/>
              <w:bottom w:val="nil"/>
              <w:right w:val="nil"/>
            </w:tcBorders>
            <w:shd w:val="clear" w:color="FFFF00" w:fill="9BC2E6"/>
            <w:noWrap/>
            <w:vAlign w:val="bottom"/>
            <w:hideMark/>
          </w:tcPr>
          <w:p w14:paraId="295DDF41" w14:textId="77777777" w:rsidR="00350C1D" w:rsidRPr="004E0937" w:rsidRDefault="00350C1D" w:rsidP="00DB3615">
            <w:pPr>
              <w:spacing w:after="0" w:line="240" w:lineRule="auto"/>
              <w:jc w:val="center"/>
              <w:rPr>
                <w:rFonts w:ascii="Calibri" w:eastAsia="Times New Roman" w:hAnsi="Calibri" w:cs="Calibri"/>
                <w:color w:val="000000"/>
              </w:rPr>
            </w:pPr>
            <w:r w:rsidRPr="004E0937">
              <w:rPr>
                <w:rFonts w:ascii="Calibri" w:eastAsia="Times New Roman" w:hAnsi="Calibri" w:cs="Calibri"/>
                <w:color w:val="000000"/>
              </w:rPr>
              <w:t> </w:t>
            </w:r>
          </w:p>
        </w:tc>
      </w:tr>
      <w:tr w:rsidR="00350C1D" w:rsidRPr="004E0937" w14:paraId="213884B0" w14:textId="77777777" w:rsidTr="00350C1D">
        <w:trPr>
          <w:trHeight w:val="580"/>
        </w:trPr>
        <w:tc>
          <w:tcPr>
            <w:tcW w:w="184" w:type="pct"/>
            <w:tcBorders>
              <w:top w:val="nil"/>
              <w:left w:val="nil"/>
              <w:bottom w:val="nil"/>
              <w:right w:val="nil"/>
            </w:tcBorders>
            <w:shd w:val="clear" w:color="FFFF00" w:fill="9BC2E6"/>
            <w:noWrap/>
            <w:vAlign w:val="bottom"/>
            <w:hideMark/>
          </w:tcPr>
          <w:p w14:paraId="759E4B1D" w14:textId="77777777" w:rsidR="00350C1D" w:rsidRPr="004E0937" w:rsidRDefault="00350C1D" w:rsidP="00DB3615">
            <w:pPr>
              <w:spacing w:after="0" w:line="240" w:lineRule="auto"/>
              <w:jc w:val="center"/>
              <w:rPr>
                <w:rFonts w:ascii="Calibri" w:eastAsia="Times New Roman" w:hAnsi="Calibri" w:cs="Calibri"/>
                <w:color w:val="000000"/>
              </w:rPr>
            </w:pPr>
            <w:r w:rsidRPr="004E0937">
              <w:rPr>
                <w:rFonts w:ascii="Calibri" w:eastAsia="Times New Roman" w:hAnsi="Calibri" w:cs="Calibri"/>
                <w:color w:val="000000"/>
              </w:rPr>
              <w:t>28</w:t>
            </w:r>
          </w:p>
        </w:tc>
        <w:tc>
          <w:tcPr>
            <w:tcW w:w="190" w:type="pct"/>
            <w:tcBorders>
              <w:top w:val="nil"/>
              <w:left w:val="nil"/>
              <w:bottom w:val="nil"/>
              <w:right w:val="nil"/>
            </w:tcBorders>
            <w:shd w:val="clear" w:color="FFFF00" w:fill="9BC2E6"/>
            <w:vAlign w:val="bottom"/>
          </w:tcPr>
          <w:p w14:paraId="06B90E2B" w14:textId="24CB49E2" w:rsidR="00350C1D" w:rsidRDefault="00350C1D" w:rsidP="00DB3615">
            <w:pPr>
              <w:spacing w:after="0" w:line="240" w:lineRule="auto"/>
              <w:jc w:val="center"/>
              <w:rPr>
                <w:rFonts w:ascii="Calibri" w:eastAsia="Times New Roman" w:hAnsi="Calibri" w:cs="Calibri"/>
                <w:color w:val="000000"/>
              </w:rPr>
            </w:pPr>
            <w:r>
              <w:rPr>
                <w:rFonts w:ascii="Calibri" w:eastAsia="Times New Roman" w:hAnsi="Calibri" w:cs="Calibri"/>
                <w:color w:val="000000"/>
              </w:rPr>
              <w:t>Yes</w:t>
            </w:r>
          </w:p>
        </w:tc>
        <w:tc>
          <w:tcPr>
            <w:tcW w:w="498" w:type="pct"/>
            <w:tcBorders>
              <w:top w:val="nil"/>
              <w:left w:val="nil"/>
              <w:bottom w:val="nil"/>
              <w:right w:val="nil"/>
            </w:tcBorders>
            <w:shd w:val="clear" w:color="FFFF00" w:fill="9BC2E6"/>
            <w:noWrap/>
            <w:vAlign w:val="bottom"/>
            <w:hideMark/>
          </w:tcPr>
          <w:p w14:paraId="54B4806F" w14:textId="5C8B69DE" w:rsidR="00350C1D" w:rsidRPr="004E0937" w:rsidRDefault="00350C1D" w:rsidP="00DB3615">
            <w:pPr>
              <w:spacing w:after="0" w:line="240" w:lineRule="auto"/>
              <w:jc w:val="center"/>
              <w:rPr>
                <w:rFonts w:ascii="Calibri" w:eastAsia="Times New Roman" w:hAnsi="Calibri" w:cs="Calibri"/>
                <w:color w:val="000000"/>
              </w:rPr>
            </w:pPr>
            <w:r w:rsidRPr="004E0937">
              <w:rPr>
                <w:rFonts w:ascii="Calibri" w:eastAsia="Times New Roman" w:hAnsi="Calibri" w:cs="Calibri"/>
                <w:color w:val="000000"/>
              </w:rPr>
              <w:t>6 to 10</w:t>
            </w:r>
          </w:p>
        </w:tc>
        <w:tc>
          <w:tcPr>
            <w:tcW w:w="374" w:type="pct"/>
            <w:tcBorders>
              <w:top w:val="nil"/>
              <w:left w:val="nil"/>
              <w:bottom w:val="nil"/>
              <w:right w:val="nil"/>
            </w:tcBorders>
            <w:shd w:val="clear" w:color="FFFF00" w:fill="9BC2E6"/>
            <w:noWrap/>
            <w:vAlign w:val="bottom"/>
            <w:hideMark/>
          </w:tcPr>
          <w:p w14:paraId="2BB0078E" w14:textId="77777777" w:rsidR="00350C1D" w:rsidRPr="004E0937" w:rsidRDefault="00350C1D" w:rsidP="00DB3615">
            <w:pPr>
              <w:spacing w:after="0" w:line="240" w:lineRule="auto"/>
              <w:jc w:val="center"/>
              <w:rPr>
                <w:rFonts w:ascii="Calibri" w:eastAsia="Times New Roman" w:hAnsi="Calibri" w:cs="Calibri"/>
                <w:color w:val="000000"/>
              </w:rPr>
            </w:pPr>
            <w:r w:rsidRPr="004E0937">
              <w:rPr>
                <w:rFonts w:ascii="Calibri" w:eastAsia="Times New Roman" w:hAnsi="Calibri" w:cs="Calibri"/>
                <w:color w:val="000000"/>
              </w:rPr>
              <w:t> </w:t>
            </w:r>
          </w:p>
        </w:tc>
        <w:tc>
          <w:tcPr>
            <w:tcW w:w="498" w:type="pct"/>
            <w:gridSpan w:val="3"/>
            <w:tcBorders>
              <w:top w:val="nil"/>
              <w:left w:val="nil"/>
              <w:bottom w:val="nil"/>
              <w:right w:val="nil"/>
            </w:tcBorders>
            <w:shd w:val="clear" w:color="FFFF00" w:fill="9BC2E6"/>
            <w:noWrap/>
            <w:vAlign w:val="bottom"/>
            <w:hideMark/>
          </w:tcPr>
          <w:p w14:paraId="1B1E9546" w14:textId="77777777" w:rsidR="00350C1D" w:rsidRPr="004E0937" w:rsidRDefault="00350C1D" w:rsidP="00DB3615">
            <w:pPr>
              <w:spacing w:after="0" w:line="240" w:lineRule="auto"/>
              <w:jc w:val="center"/>
              <w:rPr>
                <w:rFonts w:ascii="Calibri" w:eastAsia="Times New Roman" w:hAnsi="Calibri" w:cs="Calibri"/>
                <w:color w:val="000000"/>
              </w:rPr>
            </w:pPr>
            <w:r w:rsidRPr="004E0937">
              <w:rPr>
                <w:rFonts w:ascii="Calibri" w:eastAsia="Times New Roman" w:hAnsi="Calibri" w:cs="Calibri"/>
                <w:color w:val="000000"/>
              </w:rPr>
              <w:t> </w:t>
            </w:r>
          </w:p>
        </w:tc>
        <w:tc>
          <w:tcPr>
            <w:tcW w:w="1052" w:type="pct"/>
            <w:gridSpan w:val="2"/>
            <w:tcBorders>
              <w:top w:val="nil"/>
              <w:left w:val="nil"/>
              <w:bottom w:val="nil"/>
              <w:right w:val="nil"/>
            </w:tcBorders>
            <w:shd w:val="clear" w:color="FFFF00" w:fill="9BC2E6"/>
            <w:vAlign w:val="bottom"/>
            <w:hideMark/>
          </w:tcPr>
          <w:p w14:paraId="7F516B3A" w14:textId="77777777" w:rsidR="00350C1D" w:rsidRPr="004E0937" w:rsidRDefault="00350C1D" w:rsidP="00DB3615">
            <w:pPr>
              <w:spacing w:after="0" w:line="240" w:lineRule="auto"/>
              <w:jc w:val="left"/>
              <w:rPr>
                <w:rFonts w:ascii="Calibri" w:eastAsia="Times New Roman" w:hAnsi="Calibri" w:cs="Calibri"/>
                <w:color w:val="000000"/>
              </w:rPr>
            </w:pPr>
            <w:r w:rsidRPr="004E0937">
              <w:rPr>
                <w:rFonts w:ascii="Calibri" w:eastAsia="Times New Roman" w:hAnsi="Calibri" w:cs="Calibri"/>
                <w:color w:val="000000"/>
              </w:rPr>
              <w:t>Congenital Anomaly of the Kidneys and Urinary Tract (CAKUT)</w:t>
            </w:r>
          </w:p>
        </w:tc>
        <w:tc>
          <w:tcPr>
            <w:tcW w:w="366" w:type="pct"/>
            <w:tcBorders>
              <w:top w:val="nil"/>
              <w:left w:val="nil"/>
              <w:bottom w:val="nil"/>
              <w:right w:val="nil"/>
            </w:tcBorders>
            <w:shd w:val="clear" w:color="FFFF00" w:fill="9BC2E6"/>
            <w:noWrap/>
            <w:vAlign w:val="bottom"/>
            <w:hideMark/>
          </w:tcPr>
          <w:p w14:paraId="718B973D" w14:textId="77777777" w:rsidR="00350C1D" w:rsidRPr="004E0937" w:rsidRDefault="00350C1D" w:rsidP="00DB3615">
            <w:pPr>
              <w:spacing w:after="0" w:line="240" w:lineRule="auto"/>
              <w:jc w:val="left"/>
              <w:rPr>
                <w:rFonts w:ascii="Calibri" w:eastAsia="Times New Roman" w:hAnsi="Calibri" w:cs="Calibri"/>
                <w:color w:val="000000"/>
              </w:rPr>
            </w:pPr>
            <w:r w:rsidRPr="004E0937">
              <w:rPr>
                <w:rFonts w:ascii="Calibri" w:eastAsia="Times New Roman" w:hAnsi="Calibri" w:cs="Calibri"/>
                <w:color w:val="000000"/>
              </w:rPr>
              <w:t>Proband</w:t>
            </w:r>
          </w:p>
        </w:tc>
        <w:tc>
          <w:tcPr>
            <w:tcW w:w="120" w:type="pct"/>
            <w:tcBorders>
              <w:top w:val="nil"/>
              <w:left w:val="nil"/>
              <w:bottom w:val="nil"/>
              <w:right w:val="nil"/>
            </w:tcBorders>
            <w:shd w:val="clear" w:color="FFFF00" w:fill="9BC2E6"/>
            <w:noWrap/>
            <w:vAlign w:val="bottom"/>
            <w:hideMark/>
          </w:tcPr>
          <w:p w14:paraId="1335F314" w14:textId="77777777" w:rsidR="00350C1D" w:rsidRPr="004E0937" w:rsidRDefault="00350C1D" w:rsidP="00DB3615">
            <w:pPr>
              <w:spacing w:after="0" w:line="240" w:lineRule="auto"/>
              <w:jc w:val="center"/>
              <w:rPr>
                <w:rFonts w:ascii="Calibri" w:eastAsia="Times New Roman" w:hAnsi="Calibri" w:cs="Calibri"/>
                <w:color w:val="000000"/>
              </w:rPr>
            </w:pPr>
            <w:r w:rsidRPr="004E0937">
              <w:rPr>
                <w:rFonts w:ascii="Calibri" w:eastAsia="Times New Roman" w:hAnsi="Calibri" w:cs="Calibri"/>
                <w:color w:val="000000"/>
              </w:rPr>
              <w:t>F</w:t>
            </w:r>
          </w:p>
        </w:tc>
        <w:tc>
          <w:tcPr>
            <w:tcW w:w="430" w:type="pct"/>
            <w:tcBorders>
              <w:top w:val="nil"/>
              <w:left w:val="nil"/>
              <w:bottom w:val="nil"/>
              <w:right w:val="nil"/>
            </w:tcBorders>
            <w:shd w:val="clear" w:color="FFFF00" w:fill="9BC2E6"/>
            <w:noWrap/>
            <w:vAlign w:val="bottom"/>
            <w:hideMark/>
          </w:tcPr>
          <w:p w14:paraId="17BAF9BF" w14:textId="77777777" w:rsidR="00350C1D" w:rsidRPr="004E0937" w:rsidRDefault="00350C1D" w:rsidP="00DB3615">
            <w:pPr>
              <w:spacing w:after="0" w:line="240" w:lineRule="auto"/>
              <w:jc w:val="center"/>
              <w:rPr>
                <w:rFonts w:ascii="Calibri" w:eastAsia="Times New Roman" w:hAnsi="Calibri" w:cs="Calibri"/>
                <w:color w:val="000000"/>
              </w:rPr>
            </w:pPr>
            <w:r w:rsidRPr="004E0937">
              <w:rPr>
                <w:rFonts w:ascii="Calibri" w:eastAsia="Times New Roman" w:hAnsi="Calibri" w:cs="Calibri"/>
                <w:color w:val="000000"/>
              </w:rPr>
              <w:t>EUR</w:t>
            </w:r>
          </w:p>
        </w:tc>
        <w:tc>
          <w:tcPr>
            <w:tcW w:w="458" w:type="pct"/>
            <w:tcBorders>
              <w:top w:val="nil"/>
              <w:left w:val="nil"/>
              <w:bottom w:val="nil"/>
              <w:right w:val="nil"/>
            </w:tcBorders>
            <w:shd w:val="clear" w:color="FFFF00" w:fill="9BC2E6"/>
            <w:vAlign w:val="bottom"/>
            <w:hideMark/>
          </w:tcPr>
          <w:p w14:paraId="7B0BBFB1" w14:textId="77777777" w:rsidR="00350C1D" w:rsidRPr="004E0937" w:rsidRDefault="00350C1D" w:rsidP="00DB3615">
            <w:pPr>
              <w:spacing w:after="0" w:line="240" w:lineRule="auto"/>
              <w:jc w:val="left"/>
              <w:rPr>
                <w:rFonts w:ascii="Calibri" w:eastAsia="Times New Roman" w:hAnsi="Calibri" w:cs="Calibri"/>
                <w:color w:val="000000"/>
              </w:rPr>
            </w:pPr>
            <w:r w:rsidRPr="004E0937">
              <w:rPr>
                <w:rFonts w:ascii="Calibri" w:eastAsia="Times New Roman" w:hAnsi="Calibri" w:cs="Calibri"/>
                <w:color w:val="000000"/>
              </w:rPr>
              <w:t>CNV deletion</w:t>
            </w:r>
          </w:p>
        </w:tc>
        <w:tc>
          <w:tcPr>
            <w:tcW w:w="413" w:type="pct"/>
            <w:tcBorders>
              <w:top w:val="nil"/>
              <w:left w:val="nil"/>
              <w:bottom w:val="nil"/>
              <w:right w:val="nil"/>
            </w:tcBorders>
            <w:shd w:val="clear" w:color="FFFF00" w:fill="9BC2E6"/>
            <w:vAlign w:val="bottom"/>
            <w:hideMark/>
          </w:tcPr>
          <w:p w14:paraId="0CC5E90F" w14:textId="77777777" w:rsidR="00350C1D" w:rsidRPr="004E0937" w:rsidRDefault="00350C1D" w:rsidP="00DB3615">
            <w:pPr>
              <w:spacing w:after="0" w:line="240" w:lineRule="auto"/>
              <w:jc w:val="left"/>
              <w:rPr>
                <w:rFonts w:ascii="Calibri" w:eastAsia="Times New Roman" w:hAnsi="Calibri" w:cs="Calibri"/>
                <w:color w:val="000000"/>
              </w:rPr>
            </w:pPr>
            <w:r w:rsidRPr="004E0937">
              <w:rPr>
                <w:rFonts w:ascii="Calibri" w:eastAsia="Times New Roman" w:hAnsi="Calibri" w:cs="Calibri"/>
                <w:color w:val="000000"/>
              </w:rPr>
              <w:t>CNV deletion</w:t>
            </w:r>
          </w:p>
        </w:tc>
        <w:tc>
          <w:tcPr>
            <w:tcW w:w="417" w:type="pct"/>
            <w:tcBorders>
              <w:top w:val="nil"/>
              <w:left w:val="nil"/>
              <w:bottom w:val="nil"/>
              <w:right w:val="nil"/>
            </w:tcBorders>
            <w:shd w:val="clear" w:color="FFFF00" w:fill="9BC2E6"/>
            <w:noWrap/>
            <w:vAlign w:val="bottom"/>
            <w:hideMark/>
          </w:tcPr>
          <w:p w14:paraId="1F8A8C63" w14:textId="77777777" w:rsidR="00350C1D" w:rsidRPr="001064BB" w:rsidRDefault="00350C1D" w:rsidP="00DB3615">
            <w:pPr>
              <w:spacing w:after="0" w:line="240" w:lineRule="auto"/>
              <w:jc w:val="center"/>
              <w:rPr>
                <w:rFonts w:ascii="Calibri" w:eastAsia="Times New Roman" w:hAnsi="Calibri" w:cs="Calibri"/>
                <w:i/>
                <w:iCs/>
                <w:color w:val="000000"/>
              </w:rPr>
            </w:pPr>
            <w:r w:rsidRPr="001064BB">
              <w:rPr>
                <w:rFonts w:ascii="Calibri" w:eastAsia="Times New Roman" w:hAnsi="Calibri" w:cs="Calibri"/>
                <w:i/>
                <w:iCs/>
                <w:color w:val="000000"/>
              </w:rPr>
              <w:t>NPHP1</w:t>
            </w:r>
          </w:p>
        </w:tc>
      </w:tr>
      <w:tr w:rsidR="00350C1D" w:rsidRPr="004E0937" w14:paraId="44946156" w14:textId="77777777" w:rsidTr="00350C1D">
        <w:trPr>
          <w:trHeight w:val="290"/>
        </w:trPr>
        <w:tc>
          <w:tcPr>
            <w:tcW w:w="184" w:type="pct"/>
            <w:tcBorders>
              <w:top w:val="nil"/>
              <w:left w:val="nil"/>
              <w:bottom w:val="nil"/>
              <w:right w:val="nil"/>
            </w:tcBorders>
            <w:shd w:val="clear" w:color="FFFF00" w:fill="9BC2E6"/>
            <w:noWrap/>
            <w:vAlign w:val="bottom"/>
            <w:hideMark/>
          </w:tcPr>
          <w:p w14:paraId="10471BCC" w14:textId="77777777" w:rsidR="00350C1D" w:rsidRPr="004E0937" w:rsidRDefault="00350C1D" w:rsidP="00DB3615">
            <w:pPr>
              <w:spacing w:after="0" w:line="240" w:lineRule="auto"/>
              <w:jc w:val="center"/>
              <w:rPr>
                <w:rFonts w:ascii="Calibri" w:eastAsia="Times New Roman" w:hAnsi="Calibri" w:cs="Calibri"/>
                <w:color w:val="000000"/>
              </w:rPr>
            </w:pPr>
            <w:r w:rsidRPr="004E0937">
              <w:rPr>
                <w:rFonts w:ascii="Calibri" w:eastAsia="Times New Roman" w:hAnsi="Calibri" w:cs="Calibri"/>
                <w:color w:val="000000"/>
              </w:rPr>
              <w:t>29</w:t>
            </w:r>
          </w:p>
        </w:tc>
        <w:tc>
          <w:tcPr>
            <w:tcW w:w="190" w:type="pct"/>
            <w:tcBorders>
              <w:top w:val="nil"/>
              <w:left w:val="nil"/>
              <w:bottom w:val="nil"/>
              <w:right w:val="nil"/>
            </w:tcBorders>
            <w:shd w:val="clear" w:color="FFFF00" w:fill="9BC2E6"/>
            <w:vAlign w:val="bottom"/>
          </w:tcPr>
          <w:p w14:paraId="0B9D5EFB" w14:textId="77777777" w:rsidR="00350C1D" w:rsidRPr="004E0937" w:rsidRDefault="00350C1D" w:rsidP="00DB3615">
            <w:pPr>
              <w:spacing w:after="0" w:line="240" w:lineRule="auto"/>
              <w:jc w:val="center"/>
              <w:rPr>
                <w:rFonts w:ascii="Calibri" w:eastAsia="Times New Roman" w:hAnsi="Calibri" w:cs="Calibri"/>
                <w:color w:val="000000"/>
              </w:rPr>
            </w:pPr>
          </w:p>
        </w:tc>
        <w:tc>
          <w:tcPr>
            <w:tcW w:w="498" w:type="pct"/>
            <w:tcBorders>
              <w:top w:val="nil"/>
              <w:left w:val="nil"/>
              <w:bottom w:val="nil"/>
              <w:right w:val="nil"/>
            </w:tcBorders>
            <w:shd w:val="clear" w:color="FFFF00" w:fill="9BC2E6"/>
            <w:noWrap/>
            <w:vAlign w:val="bottom"/>
            <w:hideMark/>
          </w:tcPr>
          <w:p w14:paraId="13021C02" w14:textId="09B2EB0E" w:rsidR="00350C1D" w:rsidRPr="004E0937" w:rsidRDefault="00350C1D" w:rsidP="00DB3615">
            <w:pPr>
              <w:spacing w:after="0" w:line="240" w:lineRule="auto"/>
              <w:jc w:val="center"/>
              <w:rPr>
                <w:rFonts w:ascii="Calibri" w:eastAsia="Times New Roman" w:hAnsi="Calibri" w:cs="Calibri"/>
                <w:color w:val="000000"/>
              </w:rPr>
            </w:pPr>
            <w:r w:rsidRPr="004E0937">
              <w:rPr>
                <w:rFonts w:ascii="Calibri" w:eastAsia="Times New Roman" w:hAnsi="Calibri" w:cs="Calibri"/>
                <w:color w:val="000000"/>
              </w:rPr>
              <w:t>51 to 55</w:t>
            </w:r>
          </w:p>
        </w:tc>
        <w:tc>
          <w:tcPr>
            <w:tcW w:w="374" w:type="pct"/>
            <w:tcBorders>
              <w:top w:val="nil"/>
              <w:left w:val="nil"/>
              <w:bottom w:val="nil"/>
              <w:right w:val="nil"/>
            </w:tcBorders>
            <w:shd w:val="clear" w:color="FFFF00" w:fill="9BC2E6"/>
            <w:noWrap/>
            <w:vAlign w:val="bottom"/>
            <w:hideMark/>
          </w:tcPr>
          <w:p w14:paraId="52F9235C" w14:textId="77777777" w:rsidR="00350C1D" w:rsidRPr="004E0937" w:rsidRDefault="00350C1D" w:rsidP="00DB3615">
            <w:pPr>
              <w:spacing w:after="0" w:line="240" w:lineRule="auto"/>
              <w:jc w:val="center"/>
              <w:rPr>
                <w:rFonts w:ascii="Calibri" w:eastAsia="Times New Roman" w:hAnsi="Calibri" w:cs="Calibri"/>
                <w:color w:val="000000"/>
              </w:rPr>
            </w:pPr>
            <w:r w:rsidRPr="004E0937">
              <w:rPr>
                <w:rFonts w:ascii="Calibri" w:eastAsia="Times New Roman" w:hAnsi="Calibri" w:cs="Calibri"/>
                <w:color w:val="000000"/>
              </w:rPr>
              <w:t>51 to 55</w:t>
            </w:r>
          </w:p>
        </w:tc>
        <w:tc>
          <w:tcPr>
            <w:tcW w:w="498" w:type="pct"/>
            <w:gridSpan w:val="3"/>
            <w:tcBorders>
              <w:top w:val="nil"/>
              <w:left w:val="nil"/>
              <w:bottom w:val="nil"/>
              <w:right w:val="nil"/>
            </w:tcBorders>
            <w:shd w:val="clear" w:color="FFFF00" w:fill="9BC2E6"/>
            <w:noWrap/>
            <w:vAlign w:val="bottom"/>
            <w:hideMark/>
          </w:tcPr>
          <w:p w14:paraId="3ACE67D3" w14:textId="77777777" w:rsidR="00350C1D" w:rsidRPr="004E0937" w:rsidRDefault="00350C1D" w:rsidP="00DB3615">
            <w:pPr>
              <w:spacing w:after="0" w:line="240" w:lineRule="auto"/>
              <w:jc w:val="center"/>
              <w:rPr>
                <w:rFonts w:ascii="Calibri" w:eastAsia="Times New Roman" w:hAnsi="Calibri" w:cs="Calibri"/>
                <w:color w:val="000000"/>
              </w:rPr>
            </w:pPr>
            <w:r w:rsidRPr="004E0937">
              <w:rPr>
                <w:rFonts w:ascii="Calibri" w:eastAsia="Times New Roman" w:hAnsi="Calibri" w:cs="Calibri"/>
                <w:color w:val="000000"/>
              </w:rPr>
              <w:t> </w:t>
            </w:r>
          </w:p>
        </w:tc>
        <w:tc>
          <w:tcPr>
            <w:tcW w:w="1052" w:type="pct"/>
            <w:gridSpan w:val="2"/>
            <w:tcBorders>
              <w:top w:val="nil"/>
              <w:left w:val="nil"/>
              <w:bottom w:val="nil"/>
              <w:right w:val="nil"/>
            </w:tcBorders>
            <w:shd w:val="clear" w:color="FFFF00" w:fill="9BC2E6"/>
            <w:vAlign w:val="bottom"/>
            <w:hideMark/>
          </w:tcPr>
          <w:p w14:paraId="1B71D69B" w14:textId="77777777" w:rsidR="00350C1D" w:rsidRPr="004E0937" w:rsidRDefault="00350C1D" w:rsidP="00DB3615">
            <w:pPr>
              <w:spacing w:after="0" w:line="240" w:lineRule="auto"/>
              <w:jc w:val="left"/>
              <w:rPr>
                <w:rFonts w:ascii="Calibri" w:eastAsia="Times New Roman" w:hAnsi="Calibri" w:cs="Calibri"/>
                <w:color w:val="000000"/>
              </w:rPr>
            </w:pPr>
            <w:r w:rsidRPr="004E0937">
              <w:rPr>
                <w:rFonts w:ascii="Calibri" w:eastAsia="Times New Roman" w:hAnsi="Calibri" w:cs="Calibri"/>
                <w:color w:val="000000"/>
              </w:rPr>
              <w:t>NA</w:t>
            </w:r>
          </w:p>
        </w:tc>
        <w:tc>
          <w:tcPr>
            <w:tcW w:w="366" w:type="pct"/>
            <w:tcBorders>
              <w:top w:val="nil"/>
              <w:left w:val="nil"/>
              <w:bottom w:val="nil"/>
              <w:right w:val="nil"/>
            </w:tcBorders>
            <w:shd w:val="clear" w:color="FFFF00" w:fill="9BC2E6"/>
            <w:noWrap/>
            <w:vAlign w:val="bottom"/>
            <w:hideMark/>
          </w:tcPr>
          <w:p w14:paraId="7942C0B0" w14:textId="77777777" w:rsidR="00350C1D" w:rsidRPr="004E0937" w:rsidRDefault="00350C1D" w:rsidP="00DB3615">
            <w:pPr>
              <w:spacing w:after="0" w:line="240" w:lineRule="auto"/>
              <w:jc w:val="left"/>
              <w:rPr>
                <w:rFonts w:ascii="Calibri" w:eastAsia="Times New Roman" w:hAnsi="Calibri" w:cs="Calibri"/>
                <w:color w:val="000000"/>
              </w:rPr>
            </w:pPr>
            <w:r w:rsidRPr="004E0937">
              <w:rPr>
                <w:rFonts w:ascii="Calibri" w:eastAsia="Times New Roman" w:hAnsi="Calibri" w:cs="Calibri"/>
                <w:color w:val="000000"/>
              </w:rPr>
              <w:t>Cancer</w:t>
            </w:r>
          </w:p>
        </w:tc>
        <w:tc>
          <w:tcPr>
            <w:tcW w:w="120" w:type="pct"/>
            <w:tcBorders>
              <w:top w:val="nil"/>
              <w:left w:val="nil"/>
              <w:bottom w:val="nil"/>
              <w:right w:val="nil"/>
            </w:tcBorders>
            <w:shd w:val="clear" w:color="FFFF00" w:fill="9BC2E6"/>
            <w:noWrap/>
            <w:vAlign w:val="bottom"/>
            <w:hideMark/>
          </w:tcPr>
          <w:p w14:paraId="10E70B9D" w14:textId="77777777" w:rsidR="00350C1D" w:rsidRPr="004E0937" w:rsidRDefault="00350C1D" w:rsidP="00DB3615">
            <w:pPr>
              <w:spacing w:after="0" w:line="240" w:lineRule="auto"/>
              <w:jc w:val="center"/>
              <w:rPr>
                <w:rFonts w:ascii="Calibri" w:eastAsia="Times New Roman" w:hAnsi="Calibri" w:cs="Calibri"/>
                <w:color w:val="000000"/>
              </w:rPr>
            </w:pPr>
            <w:r w:rsidRPr="004E0937">
              <w:rPr>
                <w:rFonts w:ascii="Calibri" w:eastAsia="Times New Roman" w:hAnsi="Calibri" w:cs="Calibri"/>
                <w:color w:val="000000"/>
              </w:rPr>
              <w:t>F</w:t>
            </w:r>
          </w:p>
        </w:tc>
        <w:tc>
          <w:tcPr>
            <w:tcW w:w="430" w:type="pct"/>
            <w:tcBorders>
              <w:top w:val="nil"/>
              <w:left w:val="nil"/>
              <w:bottom w:val="nil"/>
              <w:right w:val="nil"/>
            </w:tcBorders>
            <w:shd w:val="clear" w:color="FFFF00" w:fill="9BC2E6"/>
            <w:noWrap/>
            <w:vAlign w:val="bottom"/>
            <w:hideMark/>
          </w:tcPr>
          <w:p w14:paraId="0AB53A44" w14:textId="77777777" w:rsidR="00350C1D" w:rsidRPr="004E0937" w:rsidRDefault="00350C1D" w:rsidP="00DB3615">
            <w:pPr>
              <w:spacing w:after="0" w:line="240" w:lineRule="auto"/>
              <w:jc w:val="center"/>
              <w:rPr>
                <w:rFonts w:ascii="Calibri" w:eastAsia="Times New Roman" w:hAnsi="Calibri" w:cs="Calibri"/>
                <w:color w:val="000000"/>
              </w:rPr>
            </w:pPr>
            <w:r w:rsidRPr="004E0937">
              <w:rPr>
                <w:rFonts w:ascii="Calibri" w:eastAsia="Times New Roman" w:hAnsi="Calibri" w:cs="Calibri"/>
                <w:color w:val="000000"/>
              </w:rPr>
              <w:t>EUR</w:t>
            </w:r>
          </w:p>
        </w:tc>
        <w:tc>
          <w:tcPr>
            <w:tcW w:w="458" w:type="pct"/>
            <w:tcBorders>
              <w:top w:val="nil"/>
              <w:left w:val="nil"/>
              <w:bottom w:val="nil"/>
              <w:right w:val="nil"/>
            </w:tcBorders>
            <w:shd w:val="clear" w:color="FFFF00" w:fill="9BC2E6"/>
            <w:vAlign w:val="bottom"/>
            <w:hideMark/>
          </w:tcPr>
          <w:p w14:paraId="6588E6F7" w14:textId="77777777" w:rsidR="00350C1D" w:rsidRPr="004E0937" w:rsidRDefault="00350C1D" w:rsidP="00DB3615">
            <w:pPr>
              <w:spacing w:after="0" w:line="240" w:lineRule="auto"/>
              <w:jc w:val="left"/>
              <w:rPr>
                <w:rFonts w:ascii="Calibri" w:eastAsia="Times New Roman" w:hAnsi="Calibri" w:cs="Calibri"/>
                <w:color w:val="000000"/>
              </w:rPr>
            </w:pPr>
            <w:r w:rsidRPr="004E0937">
              <w:rPr>
                <w:rFonts w:ascii="Calibri" w:eastAsia="Times New Roman" w:hAnsi="Calibri" w:cs="Calibri"/>
                <w:color w:val="000000"/>
              </w:rPr>
              <w:t>CNV deletion</w:t>
            </w:r>
          </w:p>
        </w:tc>
        <w:tc>
          <w:tcPr>
            <w:tcW w:w="413" w:type="pct"/>
            <w:tcBorders>
              <w:top w:val="nil"/>
              <w:left w:val="nil"/>
              <w:bottom w:val="nil"/>
              <w:right w:val="nil"/>
            </w:tcBorders>
            <w:shd w:val="clear" w:color="FFFF00" w:fill="9BC2E6"/>
            <w:vAlign w:val="bottom"/>
            <w:hideMark/>
          </w:tcPr>
          <w:p w14:paraId="50118EA3" w14:textId="77777777" w:rsidR="00350C1D" w:rsidRPr="004E0937" w:rsidRDefault="00350C1D" w:rsidP="00DB3615">
            <w:pPr>
              <w:spacing w:after="0" w:line="240" w:lineRule="auto"/>
              <w:jc w:val="left"/>
              <w:rPr>
                <w:rFonts w:ascii="Calibri" w:eastAsia="Times New Roman" w:hAnsi="Calibri" w:cs="Calibri"/>
                <w:color w:val="000000"/>
              </w:rPr>
            </w:pPr>
            <w:r w:rsidRPr="004E0937">
              <w:rPr>
                <w:rFonts w:ascii="Calibri" w:eastAsia="Times New Roman" w:hAnsi="Calibri" w:cs="Calibri"/>
                <w:color w:val="000000"/>
              </w:rPr>
              <w:t>CNV deletion</w:t>
            </w:r>
          </w:p>
        </w:tc>
        <w:tc>
          <w:tcPr>
            <w:tcW w:w="417" w:type="pct"/>
            <w:tcBorders>
              <w:top w:val="nil"/>
              <w:left w:val="nil"/>
              <w:bottom w:val="nil"/>
              <w:right w:val="nil"/>
            </w:tcBorders>
            <w:shd w:val="clear" w:color="FFFF00" w:fill="9BC2E6"/>
            <w:noWrap/>
            <w:vAlign w:val="bottom"/>
            <w:hideMark/>
          </w:tcPr>
          <w:p w14:paraId="4C99D530" w14:textId="77777777" w:rsidR="00350C1D" w:rsidRPr="004E0937" w:rsidRDefault="00350C1D" w:rsidP="00DB3615">
            <w:pPr>
              <w:spacing w:after="0" w:line="240" w:lineRule="auto"/>
              <w:jc w:val="center"/>
              <w:rPr>
                <w:rFonts w:ascii="Calibri" w:eastAsia="Times New Roman" w:hAnsi="Calibri" w:cs="Calibri"/>
                <w:color w:val="000000"/>
              </w:rPr>
            </w:pPr>
            <w:r w:rsidRPr="004E0937">
              <w:rPr>
                <w:rFonts w:ascii="Calibri" w:eastAsia="Times New Roman" w:hAnsi="Calibri" w:cs="Calibri"/>
                <w:color w:val="000000"/>
              </w:rPr>
              <w:t> </w:t>
            </w:r>
          </w:p>
        </w:tc>
      </w:tr>
      <w:tr w:rsidR="00350C1D" w:rsidRPr="004E0937" w14:paraId="50C4630F" w14:textId="77777777" w:rsidTr="00350C1D">
        <w:trPr>
          <w:trHeight w:val="290"/>
        </w:trPr>
        <w:tc>
          <w:tcPr>
            <w:tcW w:w="184" w:type="pct"/>
            <w:tcBorders>
              <w:top w:val="nil"/>
              <w:left w:val="nil"/>
              <w:bottom w:val="nil"/>
              <w:right w:val="nil"/>
            </w:tcBorders>
            <w:shd w:val="clear" w:color="auto" w:fill="auto"/>
            <w:noWrap/>
            <w:vAlign w:val="bottom"/>
            <w:hideMark/>
          </w:tcPr>
          <w:p w14:paraId="0B67045A" w14:textId="77777777" w:rsidR="00350C1D" w:rsidRPr="004E0937" w:rsidRDefault="00350C1D" w:rsidP="00DB3615">
            <w:pPr>
              <w:spacing w:after="0" w:line="240" w:lineRule="auto"/>
              <w:jc w:val="center"/>
              <w:rPr>
                <w:rFonts w:ascii="Calibri" w:eastAsia="Times New Roman" w:hAnsi="Calibri" w:cs="Calibri"/>
                <w:color w:val="000000"/>
              </w:rPr>
            </w:pPr>
            <w:r w:rsidRPr="004E0937">
              <w:rPr>
                <w:rFonts w:ascii="Calibri" w:eastAsia="Times New Roman" w:hAnsi="Calibri" w:cs="Calibri"/>
                <w:color w:val="000000"/>
              </w:rPr>
              <w:t>30</w:t>
            </w:r>
          </w:p>
        </w:tc>
        <w:tc>
          <w:tcPr>
            <w:tcW w:w="190" w:type="pct"/>
            <w:tcBorders>
              <w:top w:val="nil"/>
              <w:left w:val="nil"/>
              <w:bottom w:val="nil"/>
              <w:right w:val="nil"/>
            </w:tcBorders>
            <w:vAlign w:val="bottom"/>
          </w:tcPr>
          <w:p w14:paraId="2A7D4CD9" w14:textId="25DE2BEF" w:rsidR="00350C1D" w:rsidRDefault="00350C1D" w:rsidP="00DB3615">
            <w:pPr>
              <w:spacing w:after="0" w:line="240" w:lineRule="auto"/>
              <w:jc w:val="center"/>
              <w:rPr>
                <w:rFonts w:ascii="Calibri" w:eastAsia="Times New Roman" w:hAnsi="Calibri" w:cs="Calibri"/>
                <w:color w:val="000000"/>
              </w:rPr>
            </w:pPr>
            <w:r>
              <w:rPr>
                <w:rFonts w:ascii="Calibri" w:eastAsia="Times New Roman" w:hAnsi="Calibri" w:cs="Calibri"/>
                <w:color w:val="000000"/>
              </w:rPr>
              <w:t>No</w:t>
            </w:r>
          </w:p>
        </w:tc>
        <w:tc>
          <w:tcPr>
            <w:tcW w:w="498" w:type="pct"/>
            <w:tcBorders>
              <w:top w:val="nil"/>
              <w:left w:val="nil"/>
              <w:bottom w:val="nil"/>
              <w:right w:val="nil"/>
            </w:tcBorders>
            <w:shd w:val="clear" w:color="auto" w:fill="auto"/>
            <w:noWrap/>
            <w:vAlign w:val="bottom"/>
            <w:hideMark/>
          </w:tcPr>
          <w:p w14:paraId="0A1E9796" w14:textId="0DC95CEC" w:rsidR="00350C1D" w:rsidRPr="004E0937" w:rsidRDefault="00350C1D" w:rsidP="00DB3615">
            <w:pPr>
              <w:spacing w:after="0" w:line="240" w:lineRule="auto"/>
              <w:jc w:val="center"/>
              <w:rPr>
                <w:rFonts w:ascii="Calibri" w:eastAsia="Times New Roman" w:hAnsi="Calibri" w:cs="Calibri"/>
                <w:color w:val="000000"/>
              </w:rPr>
            </w:pPr>
          </w:p>
        </w:tc>
        <w:tc>
          <w:tcPr>
            <w:tcW w:w="374" w:type="pct"/>
            <w:tcBorders>
              <w:top w:val="nil"/>
              <w:left w:val="nil"/>
              <w:bottom w:val="nil"/>
              <w:right w:val="nil"/>
            </w:tcBorders>
            <w:shd w:val="clear" w:color="auto" w:fill="auto"/>
            <w:noWrap/>
            <w:vAlign w:val="bottom"/>
            <w:hideMark/>
          </w:tcPr>
          <w:p w14:paraId="52AA1362" w14:textId="77777777" w:rsidR="00350C1D" w:rsidRPr="004E0937" w:rsidRDefault="00350C1D" w:rsidP="00DB3615">
            <w:pPr>
              <w:spacing w:after="0" w:line="240" w:lineRule="auto"/>
              <w:jc w:val="center"/>
              <w:rPr>
                <w:rFonts w:ascii="Times New Roman" w:eastAsia="Times New Roman" w:hAnsi="Times New Roman" w:cs="Times New Roman"/>
                <w:sz w:val="20"/>
                <w:szCs w:val="20"/>
              </w:rPr>
            </w:pPr>
          </w:p>
        </w:tc>
        <w:tc>
          <w:tcPr>
            <w:tcW w:w="498" w:type="pct"/>
            <w:gridSpan w:val="3"/>
            <w:tcBorders>
              <w:top w:val="nil"/>
              <w:left w:val="nil"/>
              <w:bottom w:val="nil"/>
              <w:right w:val="nil"/>
            </w:tcBorders>
            <w:shd w:val="clear" w:color="auto" w:fill="auto"/>
            <w:noWrap/>
            <w:vAlign w:val="bottom"/>
            <w:hideMark/>
          </w:tcPr>
          <w:p w14:paraId="61B671CA" w14:textId="77777777" w:rsidR="00350C1D" w:rsidRPr="004E0937" w:rsidRDefault="00350C1D" w:rsidP="00DB3615">
            <w:pPr>
              <w:spacing w:after="0" w:line="240" w:lineRule="auto"/>
              <w:jc w:val="center"/>
              <w:rPr>
                <w:rFonts w:ascii="Times New Roman" w:eastAsia="Times New Roman" w:hAnsi="Times New Roman" w:cs="Times New Roman"/>
                <w:sz w:val="20"/>
                <w:szCs w:val="20"/>
              </w:rPr>
            </w:pPr>
          </w:p>
        </w:tc>
        <w:tc>
          <w:tcPr>
            <w:tcW w:w="1052" w:type="pct"/>
            <w:gridSpan w:val="2"/>
            <w:tcBorders>
              <w:top w:val="nil"/>
              <w:left w:val="nil"/>
              <w:bottom w:val="nil"/>
              <w:right w:val="nil"/>
            </w:tcBorders>
            <w:shd w:val="clear" w:color="auto" w:fill="auto"/>
            <w:vAlign w:val="bottom"/>
            <w:hideMark/>
          </w:tcPr>
          <w:p w14:paraId="2F382E65" w14:textId="77777777" w:rsidR="00350C1D" w:rsidRPr="004E0937" w:rsidRDefault="00350C1D" w:rsidP="00DB3615">
            <w:pPr>
              <w:spacing w:after="0" w:line="240" w:lineRule="auto"/>
              <w:jc w:val="left"/>
              <w:rPr>
                <w:rFonts w:ascii="Calibri" w:eastAsia="Times New Roman" w:hAnsi="Calibri" w:cs="Calibri"/>
                <w:color w:val="000000"/>
              </w:rPr>
            </w:pPr>
            <w:r w:rsidRPr="004E0937">
              <w:rPr>
                <w:rFonts w:ascii="Calibri" w:eastAsia="Times New Roman" w:hAnsi="Calibri" w:cs="Calibri"/>
                <w:color w:val="000000"/>
              </w:rPr>
              <w:t xml:space="preserve">Paediatric motor neuronopathies </w:t>
            </w:r>
          </w:p>
        </w:tc>
        <w:tc>
          <w:tcPr>
            <w:tcW w:w="366" w:type="pct"/>
            <w:tcBorders>
              <w:top w:val="nil"/>
              <w:left w:val="nil"/>
              <w:bottom w:val="nil"/>
              <w:right w:val="nil"/>
            </w:tcBorders>
            <w:shd w:val="clear" w:color="auto" w:fill="auto"/>
            <w:noWrap/>
            <w:vAlign w:val="bottom"/>
            <w:hideMark/>
          </w:tcPr>
          <w:p w14:paraId="1958B4A2" w14:textId="77777777" w:rsidR="00350C1D" w:rsidRPr="004E0937" w:rsidRDefault="00350C1D" w:rsidP="00DB3615">
            <w:pPr>
              <w:spacing w:after="0" w:line="240" w:lineRule="auto"/>
              <w:jc w:val="left"/>
              <w:rPr>
                <w:rFonts w:ascii="Calibri" w:eastAsia="Times New Roman" w:hAnsi="Calibri" w:cs="Calibri"/>
                <w:color w:val="000000"/>
              </w:rPr>
            </w:pPr>
            <w:r w:rsidRPr="004E0937">
              <w:rPr>
                <w:rFonts w:ascii="Calibri" w:eastAsia="Times New Roman" w:hAnsi="Calibri" w:cs="Calibri"/>
                <w:color w:val="000000"/>
              </w:rPr>
              <w:t>Relative</w:t>
            </w:r>
          </w:p>
        </w:tc>
        <w:tc>
          <w:tcPr>
            <w:tcW w:w="120" w:type="pct"/>
            <w:tcBorders>
              <w:top w:val="nil"/>
              <w:left w:val="nil"/>
              <w:bottom w:val="nil"/>
              <w:right w:val="nil"/>
            </w:tcBorders>
            <w:shd w:val="clear" w:color="auto" w:fill="auto"/>
            <w:noWrap/>
            <w:vAlign w:val="bottom"/>
            <w:hideMark/>
          </w:tcPr>
          <w:p w14:paraId="7B165974" w14:textId="77777777" w:rsidR="00350C1D" w:rsidRPr="004E0937" w:rsidRDefault="00350C1D" w:rsidP="00DB3615">
            <w:pPr>
              <w:spacing w:after="0" w:line="240" w:lineRule="auto"/>
              <w:jc w:val="center"/>
              <w:rPr>
                <w:rFonts w:ascii="Calibri" w:eastAsia="Times New Roman" w:hAnsi="Calibri" w:cs="Calibri"/>
                <w:color w:val="000000"/>
              </w:rPr>
            </w:pPr>
            <w:r w:rsidRPr="004E0937">
              <w:rPr>
                <w:rFonts w:ascii="Calibri" w:eastAsia="Times New Roman" w:hAnsi="Calibri" w:cs="Calibri"/>
                <w:color w:val="000000"/>
              </w:rPr>
              <w:t>F</w:t>
            </w:r>
          </w:p>
        </w:tc>
        <w:tc>
          <w:tcPr>
            <w:tcW w:w="430" w:type="pct"/>
            <w:tcBorders>
              <w:top w:val="nil"/>
              <w:left w:val="nil"/>
              <w:bottom w:val="nil"/>
              <w:right w:val="nil"/>
            </w:tcBorders>
            <w:shd w:val="clear" w:color="auto" w:fill="auto"/>
            <w:noWrap/>
            <w:vAlign w:val="bottom"/>
            <w:hideMark/>
          </w:tcPr>
          <w:p w14:paraId="2372B699" w14:textId="77777777" w:rsidR="00350C1D" w:rsidRPr="004E0937" w:rsidRDefault="00350C1D" w:rsidP="00DB3615">
            <w:pPr>
              <w:spacing w:after="0" w:line="240" w:lineRule="auto"/>
              <w:jc w:val="center"/>
              <w:rPr>
                <w:rFonts w:ascii="Calibri" w:eastAsia="Times New Roman" w:hAnsi="Calibri" w:cs="Calibri"/>
                <w:color w:val="000000"/>
              </w:rPr>
            </w:pPr>
            <w:r w:rsidRPr="004E0937">
              <w:rPr>
                <w:rFonts w:ascii="Calibri" w:eastAsia="Times New Roman" w:hAnsi="Calibri" w:cs="Calibri"/>
                <w:color w:val="000000"/>
              </w:rPr>
              <w:t>EUR</w:t>
            </w:r>
          </w:p>
        </w:tc>
        <w:tc>
          <w:tcPr>
            <w:tcW w:w="458" w:type="pct"/>
            <w:tcBorders>
              <w:top w:val="nil"/>
              <w:left w:val="nil"/>
              <w:bottom w:val="nil"/>
              <w:right w:val="nil"/>
            </w:tcBorders>
            <w:shd w:val="clear" w:color="auto" w:fill="auto"/>
            <w:vAlign w:val="bottom"/>
            <w:hideMark/>
          </w:tcPr>
          <w:p w14:paraId="02D3BE03" w14:textId="77777777" w:rsidR="00350C1D" w:rsidRPr="004E0937" w:rsidRDefault="00350C1D" w:rsidP="00DB3615">
            <w:pPr>
              <w:spacing w:after="0" w:line="240" w:lineRule="auto"/>
              <w:jc w:val="left"/>
              <w:rPr>
                <w:rFonts w:ascii="Calibri" w:eastAsia="Times New Roman" w:hAnsi="Calibri" w:cs="Calibri"/>
                <w:color w:val="000000"/>
              </w:rPr>
            </w:pPr>
            <w:r w:rsidRPr="004E0937">
              <w:rPr>
                <w:rFonts w:ascii="Calibri" w:eastAsia="Times New Roman" w:hAnsi="Calibri" w:cs="Calibri"/>
                <w:color w:val="000000"/>
              </w:rPr>
              <w:t>Inframe deletion</w:t>
            </w:r>
          </w:p>
        </w:tc>
        <w:tc>
          <w:tcPr>
            <w:tcW w:w="413" w:type="pct"/>
            <w:tcBorders>
              <w:top w:val="nil"/>
              <w:left w:val="nil"/>
              <w:bottom w:val="nil"/>
              <w:right w:val="nil"/>
            </w:tcBorders>
            <w:shd w:val="clear" w:color="auto" w:fill="auto"/>
            <w:vAlign w:val="bottom"/>
            <w:hideMark/>
          </w:tcPr>
          <w:p w14:paraId="102D35EF" w14:textId="77777777" w:rsidR="00350C1D" w:rsidRPr="004E0937" w:rsidRDefault="00350C1D" w:rsidP="00DB3615">
            <w:pPr>
              <w:spacing w:after="0" w:line="240" w:lineRule="auto"/>
              <w:jc w:val="left"/>
              <w:rPr>
                <w:rFonts w:ascii="Calibri" w:eastAsia="Times New Roman" w:hAnsi="Calibri" w:cs="Calibri"/>
                <w:color w:val="000000"/>
              </w:rPr>
            </w:pPr>
            <w:r w:rsidRPr="004E0937">
              <w:rPr>
                <w:rFonts w:ascii="Calibri" w:eastAsia="Times New Roman" w:hAnsi="Calibri" w:cs="Calibri"/>
                <w:color w:val="000000"/>
              </w:rPr>
              <w:t>Intronic variant</w:t>
            </w:r>
          </w:p>
        </w:tc>
        <w:tc>
          <w:tcPr>
            <w:tcW w:w="417" w:type="pct"/>
            <w:tcBorders>
              <w:top w:val="nil"/>
              <w:left w:val="nil"/>
              <w:bottom w:val="nil"/>
              <w:right w:val="nil"/>
            </w:tcBorders>
            <w:shd w:val="clear" w:color="auto" w:fill="auto"/>
            <w:noWrap/>
            <w:vAlign w:val="bottom"/>
            <w:hideMark/>
          </w:tcPr>
          <w:p w14:paraId="317AD82F" w14:textId="77777777" w:rsidR="00350C1D" w:rsidRPr="004E0937" w:rsidRDefault="00350C1D" w:rsidP="00DB3615">
            <w:pPr>
              <w:spacing w:after="0" w:line="240" w:lineRule="auto"/>
              <w:jc w:val="left"/>
              <w:rPr>
                <w:rFonts w:ascii="Calibri" w:eastAsia="Times New Roman" w:hAnsi="Calibri" w:cs="Calibri"/>
                <w:color w:val="000000"/>
              </w:rPr>
            </w:pPr>
          </w:p>
        </w:tc>
      </w:tr>
      <w:tr w:rsidR="00350C1D" w:rsidRPr="004E0937" w14:paraId="7D8A471E" w14:textId="77777777" w:rsidTr="00350C1D">
        <w:trPr>
          <w:trHeight w:val="290"/>
        </w:trPr>
        <w:tc>
          <w:tcPr>
            <w:tcW w:w="184" w:type="pct"/>
            <w:tcBorders>
              <w:top w:val="nil"/>
              <w:left w:val="nil"/>
              <w:bottom w:val="nil"/>
              <w:right w:val="nil"/>
            </w:tcBorders>
            <w:shd w:val="clear" w:color="FFFF00" w:fill="9BC2E6"/>
            <w:noWrap/>
            <w:vAlign w:val="bottom"/>
            <w:hideMark/>
          </w:tcPr>
          <w:p w14:paraId="19190414" w14:textId="77777777" w:rsidR="00350C1D" w:rsidRPr="004E0937" w:rsidRDefault="00350C1D" w:rsidP="00DB3615">
            <w:pPr>
              <w:spacing w:after="0" w:line="240" w:lineRule="auto"/>
              <w:jc w:val="center"/>
              <w:rPr>
                <w:rFonts w:ascii="Calibri" w:eastAsia="Times New Roman" w:hAnsi="Calibri" w:cs="Calibri"/>
                <w:color w:val="000000"/>
              </w:rPr>
            </w:pPr>
            <w:r w:rsidRPr="004E0937">
              <w:rPr>
                <w:rFonts w:ascii="Calibri" w:eastAsia="Times New Roman" w:hAnsi="Calibri" w:cs="Calibri"/>
                <w:color w:val="000000"/>
              </w:rPr>
              <w:t>31</w:t>
            </w:r>
          </w:p>
        </w:tc>
        <w:tc>
          <w:tcPr>
            <w:tcW w:w="190" w:type="pct"/>
            <w:tcBorders>
              <w:top w:val="nil"/>
              <w:left w:val="nil"/>
              <w:bottom w:val="nil"/>
              <w:right w:val="nil"/>
            </w:tcBorders>
            <w:shd w:val="clear" w:color="FFFF00" w:fill="9BC2E6"/>
            <w:vAlign w:val="bottom"/>
          </w:tcPr>
          <w:p w14:paraId="07CD2220" w14:textId="57483894" w:rsidR="00350C1D" w:rsidRDefault="00350C1D" w:rsidP="00DB3615">
            <w:pPr>
              <w:spacing w:after="0" w:line="240" w:lineRule="auto"/>
              <w:jc w:val="center"/>
              <w:rPr>
                <w:rFonts w:ascii="Calibri" w:eastAsia="Times New Roman" w:hAnsi="Calibri" w:cs="Calibri"/>
                <w:color w:val="000000"/>
              </w:rPr>
            </w:pPr>
            <w:r>
              <w:rPr>
                <w:rFonts w:ascii="Calibri" w:eastAsia="Times New Roman" w:hAnsi="Calibri" w:cs="Calibri"/>
                <w:color w:val="000000"/>
              </w:rPr>
              <w:t>No</w:t>
            </w:r>
          </w:p>
        </w:tc>
        <w:tc>
          <w:tcPr>
            <w:tcW w:w="498" w:type="pct"/>
            <w:tcBorders>
              <w:top w:val="nil"/>
              <w:left w:val="nil"/>
              <w:bottom w:val="nil"/>
              <w:right w:val="nil"/>
            </w:tcBorders>
            <w:shd w:val="clear" w:color="FFFF00" w:fill="9BC2E6"/>
            <w:noWrap/>
            <w:vAlign w:val="bottom"/>
            <w:hideMark/>
          </w:tcPr>
          <w:p w14:paraId="6FBE2DA2" w14:textId="4572E6B4" w:rsidR="00350C1D" w:rsidRPr="004E0937" w:rsidRDefault="00350C1D" w:rsidP="00DB3615">
            <w:pPr>
              <w:spacing w:after="0" w:line="240" w:lineRule="auto"/>
              <w:jc w:val="center"/>
              <w:rPr>
                <w:rFonts w:ascii="Calibri" w:eastAsia="Times New Roman" w:hAnsi="Calibri" w:cs="Calibri"/>
                <w:color w:val="000000"/>
              </w:rPr>
            </w:pPr>
            <w:r w:rsidRPr="004E0937">
              <w:rPr>
                <w:rFonts w:ascii="Calibri" w:eastAsia="Times New Roman" w:hAnsi="Calibri" w:cs="Calibri"/>
                <w:color w:val="000000"/>
              </w:rPr>
              <w:t>56 to 60</w:t>
            </w:r>
          </w:p>
        </w:tc>
        <w:tc>
          <w:tcPr>
            <w:tcW w:w="374" w:type="pct"/>
            <w:tcBorders>
              <w:top w:val="nil"/>
              <w:left w:val="nil"/>
              <w:bottom w:val="nil"/>
              <w:right w:val="nil"/>
            </w:tcBorders>
            <w:shd w:val="clear" w:color="FFFF00" w:fill="9BC2E6"/>
            <w:noWrap/>
            <w:vAlign w:val="bottom"/>
            <w:hideMark/>
          </w:tcPr>
          <w:p w14:paraId="6DE98CCB" w14:textId="77777777" w:rsidR="00350C1D" w:rsidRPr="004E0937" w:rsidRDefault="00350C1D" w:rsidP="00DB3615">
            <w:pPr>
              <w:spacing w:after="0" w:line="240" w:lineRule="auto"/>
              <w:jc w:val="center"/>
              <w:rPr>
                <w:rFonts w:ascii="Calibri" w:eastAsia="Times New Roman" w:hAnsi="Calibri" w:cs="Calibri"/>
                <w:color w:val="000000"/>
              </w:rPr>
            </w:pPr>
            <w:r w:rsidRPr="004E0937">
              <w:rPr>
                <w:rFonts w:ascii="Calibri" w:eastAsia="Times New Roman" w:hAnsi="Calibri" w:cs="Calibri"/>
                <w:color w:val="000000"/>
              </w:rPr>
              <w:t> </w:t>
            </w:r>
          </w:p>
        </w:tc>
        <w:tc>
          <w:tcPr>
            <w:tcW w:w="498" w:type="pct"/>
            <w:gridSpan w:val="3"/>
            <w:tcBorders>
              <w:top w:val="nil"/>
              <w:left w:val="nil"/>
              <w:bottom w:val="nil"/>
              <w:right w:val="nil"/>
            </w:tcBorders>
            <w:shd w:val="clear" w:color="FFFF00" w:fill="9BC2E6"/>
            <w:noWrap/>
            <w:vAlign w:val="bottom"/>
            <w:hideMark/>
          </w:tcPr>
          <w:p w14:paraId="33CB4C25" w14:textId="77777777" w:rsidR="00350C1D" w:rsidRPr="004E0937" w:rsidRDefault="00350C1D" w:rsidP="00DB3615">
            <w:pPr>
              <w:spacing w:after="0" w:line="240" w:lineRule="auto"/>
              <w:jc w:val="center"/>
              <w:rPr>
                <w:rFonts w:ascii="Calibri" w:eastAsia="Times New Roman" w:hAnsi="Calibri" w:cs="Calibri"/>
                <w:color w:val="000000"/>
              </w:rPr>
            </w:pPr>
            <w:r w:rsidRPr="004E0937">
              <w:rPr>
                <w:rFonts w:ascii="Calibri" w:eastAsia="Times New Roman" w:hAnsi="Calibri" w:cs="Calibri"/>
                <w:color w:val="000000"/>
              </w:rPr>
              <w:t>56 to 60</w:t>
            </w:r>
          </w:p>
        </w:tc>
        <w:tc>
          <w:tcPr>
            <w:tcW w:w="1052" w:type="pct"/>
            <w:gridSpan w:val="2"/>
            <w:tcBorders>
              <w:top w:val="nil"/>
              <w:left w:val="nil"/>
              <w:bottom w:val="nil"/>
              <w:right w:val="nil"/>
            </w:tcBorders>
            <w:shd w:val="clear" w:color="FFFF00" w:fill="9BC2E6"/>
            <w:vAlign w:val="bottom"/>
            <w:hideMark/>
          </w:tcPr>
          <w:p w14:paraId="1934FFC9" w14:textId="77777777" w:rsidR="00350C1D" w:rsidRPr="004E0937" w:rsidRDefault="00350C1D" w:rsidP="00DB3615">
            <w:pPr>
              <w:spacing w:after="0" w:line="240" w:lineRule="auto"/>
              <w:jc w:val="left"/>
              <w:rPr>
                <w:rFonts w:ascii="Calibri" w:eastAsia="Times New Roman" w:hAnsi="Calibri" w:cs="Calibri"/>
                <w:color w:val="000000"/>
              </w:rPr>
            </w:pPr>
            <w:r w:rsidRPr="004E0937">
              <w:rPr>
                <w:rFonts w:ascii="Calibri" w:eastAsia="Times New Roman" w:hAnsi="Calibri" w:cs="Calibri"/>
                <w:color w:val="000000"/>
              </w:rPr>
              <w:t>Hereditary ataxia</w:t>
            </w:r>
          </w:p>
        </w:tc>
        <w:tc>
          <w:tcPr>
            <w:tcW w:w="366" w:type="pct"/>
            <w:tcBorders>
              <w:top w:val="nil"/>
              <w:left w:val="nil"/>
              <w:bottom w:val="nil"/>
              <w:right w:val="nil"/>
            </w:tcBorders>
            <w:shd w:val="clear" w:color="FFFF00" w:fill="9BC2E6"/>
            <w:noWrap/>
            <w:vAlign w:val="bottom"/>
            <w:hideMark/>
          </w:tcPr>
          <w:p w14:paraId="21457B6B" w14:textId="77777777" w:rsidR="00350C1D" w:rsidRPr="004E0937" w:rsidRDefault="00350C1D" w:rsidP="00DB3615">
            <w:pPr>
              <w:spacing w:after="0" w:line="240" w:lineRule="auto"/>
              <w:jc w:val="left"/>
              <w:rPr>
                <w:rFonts w:ascii="Calibri" w:eastAsia="Times New Roman" w:hAnsi="Calibri" w:cs="Calibri"/>
                <w:color w:val="000000"/>
              </w:rPr>
            </w:pPr>
            <w:r w:rsidRPr="004E0937">
              <w:rPr>
                <w:rFonts w:ascii="Calibri" w:eastAsia="Times New Roman" w:hAnsi="Calibri" w:cs="Calibri"/>
                <w:color w:val="000000"/>
              </w:rPr>
              <w:t>Proband</w:t>
            </w:r>
          </w:p>
        </w:tc>
        <w:tc>
          <w:tcPr>
            <w:tcW w:w="120" w:type="pct"/>
            <w:tcBorders>
              <w:top w:val="nil"/>
              <w:left w:val="nil"/>
              <w:bottom w:val="nil"/>
              <w:right w:val="nil"/>
            </w:tcBorders>
            <w:shd w:val="clear" w:color="FFFF00" w:fill="9BC2E6"/>
            <w:noWrap/>
            <w:vAlign w:val="bottom"/>
            <w:hideMark/>
          </w:tcPr>
          <w:p w14:paraId="019C7099" w14:textId="77777777" w:rsidR="00350C1D" w:rsidRPr="004E0937" w:rsidRDefault="00350C1D" w:rsidP="00DB3615">
            <w:pPr>
              <w:spacing w:after="0" w:line="240" w:lineRule="auto"/>
              <w:jc w:val="center"/>
              <w:rPr>
                <w:rFonts w:ascii="Calibri" w:eastAsia="Times New Roman" w:hAnsi="Calibri" w:cs="Calibri"/>
                <w:color w:val="000000"/>
              </w:rPr>
            </w:pPr>
            <w:r w:rsidRPr="004E0937">
              <w:rPr>
                <w:rFonts w:ascii="Calibri" w:eastAsia="Times New Roman" w:hAnsi="Calibri" w:cs="Calibri"/>
                <w:color w:val="000000"/>
              </w:rPr>
              <w:t>M</w:t>
            </w:r>
          </w:p>
        </w:tc>
        <w:tc>
          <w:tcPr>
            <w:tcW w:w="430" w:type="pct"/>
            <w:tcBorders>
              <w:top w:val="nil"/>
              <w:left w:val="nil"/>
              <w:bottom w:val="nil"/>
              <w:right w:val="nil"/>
            </w:tcBorders>
            <w:shd w:val="clear" w:color="FFFF00" w:fill="9BC2E6"/>
            <w:noWrap/>
            <w:vAlign w:val="bottom"/>
            <w:hideMark/>
          </w:tcPr>
          <w:p w14:paraId="69983DF3" w14:textId="77777777" w:rsidR="00350C1D" w:rsidRPr="004E0937" w:rsidRDefault="00350C1D" w:rsidP="00DB3615">
            <w:pPr>
              <w:spacing w:after="0" w:line="240" w:lineRule="auto"/>
              <w:jc w:val="center"/>
              <w:rPr>
                <w:rFonts w:ascii="Calibri" w:eastAsia="Times New Roman" w:hAnsi="Calibri" w:cs="Calibri"/>
                <w:color w:val="000000"/>
              </w:rPr>
            </w:pPr>
            <w:r w:rsidRPr="004E0937">
              <w:rPr>
                <w:rFonts w:ascii="Calibri" w:eastAsia="Times New Roman" w:hAnsi="Calibri" w:cs="Calibri"/>
                <w:color w:val="000000"/>
              </w:rPr>
              <w:t> </w:t>
            </w:r>
          </w:p>
        </w:tc>
        <w:tc>
          <w:tcPr>
            <w:tcW w:w="458" w:type="pct"/>
            <w:tcBorders>
              <w:top w:val="nil"/>
              <w:left w:val="nil"/>
              <w:bottom w:val="nil"/>
              <w:right w:val="nil"/>
            </w:tcBorders>
            <w:shd w:val="clear" w:color="FFFF00" w:fill="9BC2E6"/>
            <w:vAlign w:val="bottom"/>
            <w:hideMark/>
          </w:tcPr>
          <w:p w14:paraId="108D7F1B" w14:textId="77777777" w:rsidR="00350C1D" w:rsidRPr="004E0937" w:rsidRDefault="00350C1D" w:rsidP="00DB3615">
            <w:pPr>
              <w:spacing w:after="0" w:line="240" w:lineRule="auto"/>
              <w:jc w:val="left"/>
              <w:rPr>
                <w:rFonts w:ascii="Calibri" w:eastAsia="Times New Roman" w:hAnsi="Calibri" w:cs="Calibri"/>
                <w:color w:val="000000"/>
              </w:rPr>
            </w:pPr>
            <w:r w:rsidRPr="004E0937">
              <w:rPr>
                <w:rFonts w:ascii="Calibri" w:eastAsia="Times New Roman" w:hAnsi="Calibri" w:cs="Calibri"/>
                <w:color w:val="000000"/>
              </w:rPr>
              <w:t>Compound het Missense*</w:t>
            </w:r>
          </w:p>
        </w:tc>
        <w:tc>
          <w:tcPr>
            <w:tcW w:w="413" w:type="pct"/>
            <w:tcBorders>
              <w:top w:val="nil"/>
              <w:left w:val="nil"/>
              <w:bottom w:val="nil"/>
              <w:right w:val="nil"/>
            </w:tcBorders>
            <w:shd w:val="clear" w:color="FFFF00" w:fill="9BC2E6"/>
            <w:vAlign w:val="bottom"/>
            <w:hideMark/>
          </w:tcPr>
          <w:p w14:paraId="1F51D600" w14:textId="77777777" w:rsidR="00350C1D" w:rsidRPr="004E0937" w:rsidRDefault="00350C1D" w:rsidP="00DB3615">
            <w:pPr>
              <w:spacing w:after="0" w:line="240" w:lineRule="auto"/>
              <w:jc w:val="left"/>
              <w:rPr>
                <w:rFonts w:ascii="Calibri" w:eastAsia="Times New Roman" w:hAnsi="Calibri" w:cs="Calibri"/>
                <w:color w:val="000000"/>
              </w:rPr>
            </w:pPr>
            <w:r w:rsidRPr="004E0937">
              <w:rPr>
                <w:rFonts w:ascii="Calibri" w:eastAsia="Times New Roman" w:hAnsi="Calibri" w:cs="Calibri"/>
                <w:color w:val="000000"/>
              </w:rPr>
              <w:t>Compound het Missense*</w:t>
            </w:r>
          </w:p>
        </w:tc>
        <w:tc>
          <w:tcPr>
            <w:tcW w:w="417" w:type="pct"/>
            <w:tcBorders>
              <w:top w:val="nil"/>
              <w:left w:val="nil"/>
              <w:bottom w:val="nil"/>
              <w:right w:val="nil"/>
            </w:tcBorders>
            <w:shd w:val="clear" w:color="FFFF00" w:fill="9BC2E6"/>
            <w:noWrap/>
            <w:vAlign w:val="bottom"/>
            <w:hideMark/>
          </w:tcPr>
          <w:p w14:paraId="218B7167" w14:textId="77777777" w:rsidR="00350C1D" w:rsidRPr="004E0937" w:rsidRDefault="00350C1D" w:rsidP="00DB3615">
            <w:pPr>
              <w:spacing w:after="0" w:line="240" w:lineRule="auto"/>
              <w:jc w:val="center"/>
              <w:rPr>
                <w:rFonts w:ascii="Calibri" w:eastAsia="Times New Roman" w:hAnsi="Calibri" w:cs="Calibri"/>
                <w:color w:val="000000"/>
              </w:rPr>
            </w:pPr>
            <w:r w:rsidRPr="004E0937">
              <w:rPr>
                <w:rFonts w:ascii="Calibri" w:eastAsia="Times New Roman" w:hAnsi="Calibri" w:cs="Calibri"/>
                <w:color w:val="000000"/>
              </w:rPr>
              <w:t> </w:t>
            </w:r>
          </w:p>
        </w:tc>
      </w:tr>
      <w:tr w:rsidR="00350C1D" w:rsidRPr="004E0937" w14:paraId="44035494" w14:textId="77777777" w:rsidTr="00350C1D">
        <w:trPr>
          <w:trHeight w:val="290"/>
        </w:trPr>
        <w:tc>
          <w:tcPr>
            <w:tcW w:w="184" w:type="pct"/>
            <w:tcBorders>
              <w:top w:val="nil"/>
              <w:left w:val="nil"/>
              <w:bottom w:val="nil"/>
              <w:right w:val="nil"/>
            </w:tcBorders>
            <w:shd w:val="clear" w:color="CCFFFF" w:fill="DEEBF7"/>
            <w:noWrap/>
            <w:vAlign w:val="bottom"/>
            <w:hideMark/>
          </w:tcPr>
          <w:p w14:paraId="3CD74DC6" w14:textId="77777777" w:rsidR="00350C1D" w:rsidRPr="004E0937" w:rsidRDefault="00350C1D" w:rsidP="00DB3615">
            <w:pPr>
              <w:spacing w:after="0" w:line="240" w:lineRule="auto"/>
              <w:jc w:val="center"/>
              <w:rPr>
                <w:rFonts w:ascii="Calibri" w:eastAsia="Times New Roman" w:hAnsi="Calibri" w:cs="Calibri"/>
                <w:color w:val="000000"/>
              </w:rPr>
            </w:pPr>
            <w:r w:rsidRPr="004E0937">
              <w:rPr>
                <w:rFonts w:ascii="Calibri" w:eastAsia="Times New Roman" w:hAnsi="Calibri" w:cs="Calibri"/>
                <w:color w:val="000000"/>
              </w:rPr>
              <w:lastRenderedPageBreak/>
              <w:t>32</w:t>
            </w:r>
          </w:p>
        </w:tc>
        <w:tc>
          <w:tcPr>
            <w:tcW w:w="190" w:type="pct"/>
            <w:tcBorders>
              <w:top w:val="nil"/>
              <w:left w:val="nil"/>
              <w:bottom w:val="nil"/>
              <w:right w:val="nil"/>
            </w:tcBorders>
            <w:shd w:val="clear" w:color="CCFFFF" w:fill="DEEBF7"/>
            <w:vAlign w:val="bottom"/>
          </w:tcPr>
          <w:p w14:paraId="18A7C86E" w14:textId="08AF6DEB" w:rsidR="00350C1D" w:rsidRDefault="00350C1D" w:rsidP="00DB3615">
            <w:pPr>
              <w:spacing w:after="0" w:line="240" w:lineRule="auto"/>
              <w:jc w:val="center"/>
              <w:rPr>
                <w:rFonts w:ascii="Calibri" w:eastAsia="Times New Roman" w:hAnsi="Calibri" w:cs="Calibri"/>
                <w:color w:val="000000"/>
              </w:rPr>
            </w:pPr>
            <w:r>
              <w:rPr>
                <w:rFonts w:ascii="Calibri" w:eastAsia="Times New Roman" w:hAnsi="Calibri" w:cs="Calibri"/>
                <w:color w:val="000000"/>
              </w:rPr>
              <w:t>No</w:t>
            </w:r>
          </w:p>
        </w:tc>
        <w:tc>
          <w:tcPr>
            <w:tcW w:w="498" w:type="pct"/>
            <w:tcBorders>
              <w:top w:val="nil"/>
              <w:left w:val="nil"/>
              <w:bottom w:val="nil"/>
              <w:right w:val="nil"/>
            </w:tcBorders>
            <w:shd w:val="clear" w:color="CCFFFF" w:fill="DEEBF7"/>
            <w:noWrap/>
            <w:vAlign w:val="bottom"/>
            <w:hideMark/>
          </w:tcPr>
          <w:p w14:paraId="2ACF72C8" w14:textId="53AF1624" w:rsidR="00350C1D" w:rsidRPr="004E0937" w:rsidRDefault="00350C1D" w:rsidP="00DB3615">
            <w:pPr>
              <w:spacing w:after="0" w:line="240" w:lineRule="auto"/>
              <w:jc w:val="center"/>
              <w:rPr>
                <w:rFonts w:ascii="Calibri" w:eastAsia="Times New Roman" w:hAnsi="Calibri" w:cs="Calibri"/>
                <w:color w:val="000000"/>
              </w:rPr>
            </w:pPr>
            <w:r w:rsidRPr="004E0937">
              <w:rPr>
                <w:rFonts w:ascii="Calibri" w:eastAsia="Times New Roman" w:hAnsi="Calibri" w:cs="Calibri"/>
                <w:color w:val="000000"/>
              </w:rPr>
              <w:t> </w:t>
            </w:r>
          </w:p>
        </w:tc>
        <w:tc>
          <w:tcPr>
            <w:tcW w:w="374" w:type="pct"/>
            <w:tcBorders>
              <w:top w:val="nil"/>
              <w:left w:val="nil"/>
              <w:bottom w:val="nil"/>
              <w:right w:val="nil"/>
            </w:tcBorders>
            <w:shd w:val="clear" w:color="CCFFFF" w:fill="DEEBF7"/>
            <w:noWrap/>
            <w:vAlign w:val="bottom"/>
            <w:hideMark/>
          </w:tcPr>
          <w:p w14:paraId="737331ED" w14:textId="77777777" w:rsidR="00350C1D" w:rsidRPr="004E0937" w:rsidRDefault="00350C1D" w:rsidP="00DB3615">
            <w:pPr>
              <w:spacing w:after="0" w:line="240" w:lineRule="auto"/>
              <w:jc w:val="center"/>
              <w:rPr>
                <w:rFonts w:ascii="Calibri" w:eastAsia="Times New Roman" w:hAnsi="Calibri" w:cs="Calibri"/>
                <w:color w:val="000000"/>
              </w:rPr>
            </w:pPr>
            <w:r w:rsidRPr="004E0937">
              <w:rPr>
                <w:rFonts w:ascii="Calibri" w:eastAsia="Times New Roman" w:hAnsi="Calibri" w:cs="Calibri"/>
                <w:color w:val="000000"/>
              </w:rPr>
              <w:t> </w:t>
            </w:r>
          </w:p>
        </w:tc>
        <w:tc>
          <w:tcPr>
            <w:tcW w:w="498" w:type="pct"/>
            <w:gridSpan w:val="3"/>
            <w:tcBorders>
              <w:top w:val="nil"/>
              <w:left w:val="nil"/>
              <w:bottom w:val="nil"/>
              <w:right w:val="nil"/>
            </w:tcBorders>
            <w:shd w:val="clear" w:color="CCFFFF" w:fill="DEEBF7"/>
            <w:noWrap/>
            <w:vAlign w:val="bottom"/>
            <w:hideMark/>
          </w:tcPr>
          <w:p w14:paraId="254F580C" w14:textId="77777777" w:rsidR="00350C1D" w:rsidRPr="004E0937" w:rsidRDefault="00350C1D" w:rsidP="00DB3615">
            <w:pPr>
              <w:spacing w:after="0" w:line="240" w:lineRule="auto"/>
              <w:jc w:val="center"/>
              <w:rPr>
                <w:rFonts w:ascii="Calibri" w:eastAsia="Times New Roman" w:hAnsi="Calibri" w:cs="Calibri"/>
                <w:color w:val="000000"/>
              </w:rPr>
            </w:pPr>
            <w:r w:rsidRPr="004E0937">
              <w:rPr>
                <w:rFonts w:ascii="Calibri" w:eastAsia="Times New Roman" w:hAnsi="Calibri" w:cs="Calibri"/>
                <w:color w:val="000000"/>
              </w:rPr>
              <w:t> </w:t>
            </w:r>
          </w:p>
        </w:tc>
        <w:tc>
          <w:tcPr>
            <w:tcW w:w="1052" w:type="pct"/>
            <w:gridSpan w:val="2"/>
            <w:tcBorders>
              <w:top w:val="nil"/>
              <w:left w:val="nil"/>
              <w:bottom w:val="nil"/>
              <w:right w:val="nil"/>
            </w:tcBorders>
            <w:shd w:val="clear" w:color="CCFFFF" w:fill="DEEBF7"/>
            <w:vAlign w:val="bottom"/>
            <w:hideMark/>
          </w:tcPr>
          <w:p w14:paraId="6FF17D14" w14:textId="77777777" w:rsidR="00350C1D" w:rsidRPr="004E0937" w:rsidRDefault="00350C1D" w:rsidP="00DB3615">
            <w:pPr>
              <w:spacing w:after="0" w:line="240" w:lineRule="auto"/>
              <w:jc w:val="left"/>
              <w:rPr>
                <w:rFonts w:ascii="Calibri" w:eastAsia="Times New Roman" w:hAnsi="Calibri" w:cs="Calibri"/>
                <w:color w:val="000000"/>
              </w:rPr>
            </w:pPr>
            <w:r w:rsidRPr="004E0937">
              <w:rPr>
                <w:rFonts w:ascii="Calibri" w:eastAsia="Times New Roman" w:hAnsi="Calibri" w:cs="Calibri"/>
                <w:color w:val="000000"/>
              </w:rPr>
              <w:t>Hereditary ataxia</w:t>
            </w:r>
          </w:p>
        </w:tc>
        <w:tc>
          <w:tcPr>
            <w:tcW w:w="366" w:type="pct"/>
            <w:tcBorders>
              <w:top w:val="nil"/>
              <w:left w:val="nil"/>
              <w:bottom w:val="nil"/>
              <w:right w:val="nil"/>
            </w:tcBorders>
            <w:shd w:val="clear" w:color="CCFFFF" w:fill="DEEBF7"/>
            <w:noWrap/>
            <w:vAlign w:val="bottom"/>
            <w:hideMark/>
          </w:tcPr>
          <w:p w14:paraId="1E58555D" w14:textId="77777777" w:rsidR="00350C1D" w:rsidRPr="004E0937" w:rsidRDefault="00350C1D" w:rsidP="00DB3615">
            <w:pPr>
              <w:spacing w:after="0" w:line="240" w:lineRule="auto"/>
              <w:jc w:val="left"/>
              <w:rPr>
                <w:rFonts w:ascii="Calibri" w:eastAsia="Times New Roman" w:hAnsi="Calibri" w:cs="Calibri"/>
                <w:color w:val="000000"/>
              </w:rPr>
            </w:pPr>
            <w:r w:rsidRPr="004E0937">
              <w:rPr>
                <w:rFonts w:ascii="Calibri" w:eastAsia="Times New Roman" w:hAnsi="Calibri" w:cs="Calibri"/>
                <w:color w:val="000000"/>
              </w:rPr>
              <w:t>Relative</w:t>
            </w:r>
          </w:p>
        </w:tc>
        <w:tc>
          <w:tcPr>
            <w:tcW w:w="120" w:type="pct"/>
            <w:tcBorders>
              <w:top w:val="nil"/>
              <w:left w:val="nil"/>
              <w:bottom w:val="nil"/>
              <w:right w:val="nil"/>
            </w:tcBorders>
            <w:shd w:val="clear" w:color="CCFFFF" w:fill="DEEBF7"/>
            <w:noWrap/>
            <w:vAlign w:val="bottom"/>
            <w:hideMark/>
          </w:tcPr>
          <w:p w14:paraId="3DCF963F" w14:textId="77777777" w:rsidR="00350C1D" w:rsidRPr="004E0937" w:rsidRDefault="00350C1D" w:rsidP="00DB3615">
            <w:pPr>
              <w:spacing w:after="0" w:line="240" w:lineRule="auto"/>
              <w:jc w:val="center"/>
              <w:rPr>
                <w:rFonts w:ascii="Calibri" w:eastAsia="Times New Roman" w:hAnsi="Calibri" w:cs="Calibri"/>
                <w:color w:val="000000"/>
              </w:rPr>
            </w:pPr>
            <w:r w:rsidRPr="004E0937">
              <w:rPr>
                <w:rFonts w:ascii="Calibri" w:eastAsia="Times New Roman" w:hAnsi="Calibri" w:cs="Calibri"/>
                <w:color w:val="000000"/>
              </w:rPr>
              <w:t>F</w:t>
            </w:r>
          </w:p>
        </w:tc>
        <w:tc>
          <w:tcPr>
            <w:tcW w:w="430" w:type="pct"/>
            <w:tcBorders>
              <w:top w:val="nil"/>
              <w:left w:val="nil"/>
              <w:bottom w:val="nil"/>
              <w:right w:val="nil"/>
            </w:tcBorders>
            <w:shd w:val="clear" w:color="CCFFFF" w:fill="DEEBF7"/>
            <w:noWrap/>
            <w:vAlign w:val="bottom"/>
            <w:hideMark/>
          </w:tcPr>
          <w:p w14:paraId="5FC3B0F9" w14:textId="77777777" w:rsidR="00350C1D" w:rsidRPr="004E0937" w:rsidRDefault="00350C1D" w:rsidP="00DB3615">
            <w:pPr>
              <w:spacing w:after="0" w:line="240" w:lineRule="auto"/>
              <w:jc w:val="center"/>
              <w:rPr>
                <w:rFonts w:ascii="Calibri" w:eastAsia="Times New Roman" w:hAnsi="Calibri" w:cs="Calibri"/>
                <w:color w:val="000000"/>
              </w:rPr>
            </w:pPr>
            <w:r w:rsidRPr="004E0937">
              <w:rPr>
                <w:rFonts w:ascii="Calibri" w:eastAsia="Times New Roman" w:hAnsi="Calibri" w:cs="Calibri"/>
                <w:color w:val="000000"/>
              </w:rPr>
              <w:t> </w:t>
            </w:r>
          </w:p>
        </w:tc>
        <w:tc>
          <w:tcPr>
            <w:tcW w:w="458" w:type="pct"/>
            <w:tcBorders>
              <w:top w:val="nil"/>
              <w:left w:val="nil"/>
              <w:bottom w:val="nil"/>
              <w:right w:val="nil"/>
            </w:tcBorders>
            <w:shd w:val="clear" w:color="CCFFFF" w:fill="DEEBF7"/>
            <w:vAlign w:val="bottom"/>
            <w:hideMark/>
          </w:tcPr>
          <w:p w14:paraId="7169223C" w14:textId="77777777" w:rsidR="00350C1D" w:rsidRPr="004E0937" w:rsidRDefault="00350C1D" w:rsidP="00DB3615">
            <w:pPr>
              <w:spacing w:after="0" w:line="240" w:lineRule="auto"/>
              <w:jc w:val="left"/>
              <w:rPr>
                <w:rFonts w:ascii="Calibri" w:eastAsia="Times New Roman" w:hAnsi="Calibri" w:cs="Calibri"/>
                <w:color w:val="000000"/>
              </w:rPr>
            </w:pPr>
            <w:r w:rsidRPr="004E0937">
              <w:rPr>
                <w:rFonts w:ascii="Calibri" w:eastAsia="Times New Roman" w:hAnsi="Calibri" w:cs="Calibri"/>
                <w:color w:val="000000"/>
              </w:rPr>
              <w:t>Compound het Missense*</w:t>
            </w:r>
          </w:p>
        </w:tc>
        <w:tc>
          <w:tcPr>
            <w:tcW w:w="413" w:type="pct"/>
            <w:tcBorders>
              <w:top w:val="nil"/>
              <w:left w:val="nil"/>
              <w:bottom w:val="nil"/>
              <w:right w:val="nil"/>
            </w:tcBorders>
            <w:shd w:val="clear" w:color="CCFFFF" w:fill="DEEBF7"/>
            <w:vAlign w:val="bottom"/>
            <w:hideMark/>
          </w:tcPr>
          <w:p w14:paraId="69535992" w14:textId="77777777" w:rsidR="00350C1D" w:rsidRPr="004E0937" w:rsidRDefault="00350C1D" w:rsidP="00DB3615">
            <w:pPr>
              <w:spacing w:after="0" w:line="240" w:lineRule="auto"/>
              <w:jc w:val="left"/>
              <w:rPr>
                <w:rFonts w:ascii="Calibri" w:eastAsia="Times New Roman" w:hAnsi="Calibri" w:cs="Calibri"/>
                <w:color w:val="000000"/>
              </w:rPr>
            </w:pPr>
            <w:r w:rsidRPr="004E0937">
              <w:rPr>
                <w:rFonts w:ascii="Calibri" w:eastAsia="Times New Roman" w:hAnsi="Calibri" w:cs="Calibri"/>
                <w:color w:val="000000"/>
              </w:rPr>
              <w:t>Compound het Missense*</w:t>
            </w:r>
          </w:p>
        </w:tc>
        <w:tc>
          <w:tcPr>
            <w:tcW w:w="417" w:type="pct"/>
            <w:tcBorders>
              <w:top w:val="nil"/>
              <w:left w:val="nil"/>
              <w:bottom w:val="nil"/>
              <w:right w:val="nil"/>
            </w:tcBorders>
            <w:shd w:val="clear" w:color="CCFFFF" w:fill="DEEBF7"/>
            <w:noWrap/>
            <w:vAlign w:val="bottom"/>
            <w:hideMark/>
          </w:tcPr>
          <w:p w14:paraId="3DA026F5" w14:textId="77777777" w:rsidR="00350C1D" w:rsidRPr="004E0937" w:rsidRDefault="00350C1D" w:rsidP="00DB3615">
            <w:pPr>
              <w:spacing w:after="0" w:line="240" w:lineRule="auto"/>
              <w:jc w:val="center"/>
              <w:rPr>
                <w:rFonts w:ascii="Calibri" w:eastAsia="Times New Roman" w:hAnsi="Calibri" w:cs="Calibri"/>
                <w:color w:val="000000"/>
              </w:rPr>
            </w:pPr>
            <w:r w:rsidRPr="004E0937">
              <w:rPr>
                <w:rFonts w:ascii="Calibri" w:eastAsia="Times New Roman" w:hAnsi="Calibri" w:cs="Calibri"/>
                <w:color w:val="000000"/>
              </w:rPr>
              <w:t> </w:t>
            </w:r>
          </w:p>
        </w:tc>
      </w:tr>
      <w:tr w:rsidR="00350C1D" w:rsidRPr="004E0937" w14:paraId="00D6300C" w14:textId="77777777" w:rsidTr="00350C1D">
        <w:trPr>
          <w:trHeight w:val="290"/>
        </w:trPr>
        <w:tc>
          <w:tcPr>
            <w:tcW w:w="184" w:type="pct"/>
            <w:tcBorders>
              <w:top w:val="nil"/>
              <w:left w:val="nil"/>
              <w:bottom w:val="nil"/>
              <w:right w:val="nil"/>
            </w:tcBorders>
            <w:shd w:val="clear" w:color="auto" w:fill="auto"/>
            <w:noWrap/>
            <w:vAlign w:val="bottom"/>
            <w:hideMark/>
          </w:tcPr>
          <w:p w14:paraId="4ED087DC" w14:textId="77777777" w:rsidR="00350C1D" w:rsidRPr="004E0937" w:rsidRDefault="00350C1D" w:rsidP="00DB3615">
            <w:pPr>
              <w:spacing w:after="0" w:line="240" w:lineRule="auto"/>
              <w:jc w:val="center"/>
              <w:rPr>
                <w:rFonts w:ascii="Calibri" w:eastAsia="Times New Roman" w:hAnsi="Calibri" w:cs="Calibri"/>
                <w:color w:val="000000"/>
              </w:rPr>
            </w:pPr>
            <w:r w:rsidRPr="004E0937">
              <w:rPr>
                <w:rFonts w:ascii="Calibri" w:eastAsia="Times New Roman" w:hAnsi="Calibri" w:cs="Calibri"/>
                <w:color w:val="000000"/>
              </w:rPr>
              <w:t>33</w:t>
            </w:r>
          </w:p>
        </w:tc>
        <w:tc>
          <w:tcPr>
            <w:tcW w:w="190" w:type="pct"/>
            <w:tcBorders>
              <w:top w:val="nil"/>
              <w:left w:val="nil"/>
              <w:bottom w:val="nil"/>
              <w:right w:val="nil"/>
            </w:tcBorders>
            <w:vAlign w:val="bottom"/>
          </w:tcPr>
          <w:p w14:paraId="357A8088" w14:textId="4D189647" w:rsidR="00350C1D" w:rsidRDefault="00350C1D" w:rsidP="00DB3615">
            <w:pPr>
              <w:spacing w:after="0" w:line="240" w:lineRule="auto"/>
              <w:jc w:val="center"/>
              <w:rPr>
                <w:rFonts w:ascii="Calibri" w:eastAsia="Times New Roman" w:hAnsi="Calibri" w:cs="Calibri"/>
                <w:color w:val="000000"/>
              </w:rPr>
            </w:pPr>
            <w:r>
              <w:rPr>
                <w:rFonts w:ascii="Calibri" w:eastAsia="Times New Roman" w:hAnsi="Calibri" w:cs="Calibri"/>
                <w:color w:val="000000"/>
              </w:rPr>
              <w:t>Yes</w:t>
            </w:r>
          </w:p>
        </w:tc>
        <w:tc>
          <w:tcPr>
            <w:tcW w:w="498" w:type="pct"/>
            <w:tcBorders>
              <w:top w:val="nil"/>
              <w:left w:val="nil"/>
              <w:bottom w:val="nil"/>
              <w:right w:val="nil"/>
            </w:tcBorders>
            <w:shd w:val="clear" w:color="auto" w:fill="auto"/>
            <w:noWrap/>
            <w:vAlign w:val="bottom"/>
            <w:hideMark/>
          </w:tcPr>
          <w:p w14:paraId="30F8D173" w14:textId="10CEAD3A" w:rsidR="00350C1D" w:rsidRPr="004E0937" w:rsidRDefault="00350C1D" w:rsidP="00DB3615">
            <w:pPr>
              <w:spacing w:after="0" w:line="240" w:lineRule="auto"/>
              <w:jc w:val="center"/>
              <w:rPr>
                <w:rFonts w:ascii="Calibri" w:eastAsia="Times New Roman" w:hAnsi="Calibri" w:cs="Calibri"/>
                <w:color w:val="000000"/>
              </w:rPr>
            </w:pPr>
            <w:r w:rsidRPr="004E0937">
              <w:rPr>
                <w:rFonts w:ascii="Calibri" w:eastAsia="Times New Roman" w:hAnsi="Calibri" w:cs="Calibri"/>
                <w:color w:val="000000"/>
              </w:rPr>
              <w:t>11 to 15</w:t>
            </w:r>
          </w:p>
        </w:tc>
        <w:tc>
          <w:tcPr>
            <w:tcW w:w="374" w:type="pct"/>
            <w:tcBorders>
              <w:top w:val="nil"/>
              <w:left w:val="nil"/>
              <w:bottom w:val="nil"/>
              <w:right w:val="nil"/>
            </w:tcBorders>
            <w:shd w:val="clear" w:color="auto" w:fill="auto"/>
            <w:noWrap/>
            <w:vAlign w:val="bottom"/>
            <w:hideMark/>
          </w:tcPr>
          <w:p w14:paraId="5487EA0A" w14:textId="77777777" w:rsidR="00350C1D" w:rsidRPr="004E0937" w:rsidRDefault="00350C1D" w:rsidP="00DB3615">
            <w:pPr>
              <w:spacing w:after="0" w:line="240" w:lineRule="auto"/>
              <w:jc w:val="center"/>
              <w:rPr>
                <w:rFonts w:ascii="Calibri" w:eastAsia="Times New Roman" w:hAnsi="Calibri" w:cs="Calibri"/>
                <w:color w:val="000000"/>
              </w:rPr>
            </w:pPr>
          </w:p>
        </w:tc>
        <w:tc>
          <w:tcPr>
            <w:tcW w:w="498" w:type="pct"/>
            <w:gridSpan w:val="3"/>
            <w:tcBorders>
              <w:top w:val="nil"/>
              <w:left w:val="nil"/>
              <w:bottom w:val="nil"/>
              <w:right w:val="nil"/>
            </w:tcBorders>
            <w:shd w:val="clear" w:color="auto" w:fill="auto"/>
            <w:noWrap/>
            <w:vAlign w:val="bottom"/>
            <w:hideMark/>
          </w:tcPr>
          <w:p w14:paraId="7D2A637C" w14:textId="77777777" w:rsidR="00350C1D" w:rsidRPr="004E0937" w:rsidRDefault="00350C1D" w:rsidP="00DB3615">
            <w:pPr>
              <w:spacing w:after="0" w:line="240" w:lineRule="auto"/>
              <w:jc w:val="center"/>
              <w:rPr>
                <w:rFonts w:ascii="Calibri" w:eastAsia="Times New Roman" w:hAnsi="Calibri" w:cs="Calibri"/>
                <w:color w:val="000000"/>
              </w:rPr>
            </w:pPr>
            <w:r w:rsidRPr="004E0937">
              <w:rPr>
                <w:rFonts w:ascii="Calibri" w:eastAsia="Times New Roman" w:hAnsi="Calibri" w:cs="Calibri"/>
                <w:color w:val="000000"/>
              </w:rPr>
              <w:t>16 to 20</w:t>
            </w:r>
          </w:p>
        </w:tc>
        <w:tc>
          <w:tcPr>
            <w:tcW w:w="1052" w:type="pct"/>
            <w:gridSpan w:val="2"/>
            <w:tcBorders>
              <w:top w:val="nil"/>
              <w:left w:val="nil"/>
              <w:bottom w:val="nil"/>
              <w:right w:val="nil"/>
            </w:tcBorders>
            <w:shd w:val="clear" w:color="auto" w:fill="auto"/>
            <w:vAlign w:val="bottom"/>
            <w:hideMark/>
          </w:tcPr>
          <w:p w14:paraId="5E3794CA" w14:textId="77777777" w:rsidR="00350C1D" w:rsidRPr="004E0937" w:rsidRDefault="00350C1D" w:rsidP="00DB3615">
            <w:pPr>
              <w:spacing w:after="0" w:line="240" w:lineRule="auto"/>
              <w:jc w:val="left"/>
              <w:rPr>
                <w:rFonts w:ascii="Calibri" w:eastAsia="Times New Roman" w:hAnsi="Calibri" w:cs="Calibri"/>
                <w:color w:val="000000"/>
              </w:rPr>
            </w:pPr>
            <w:r w:rsidRPr="004E0937">
              <w:rPr>
                <w:rFonts w:ascii="Calibri" w:eastAsia="Times New Roman" w:hAnsi="Calibri" w:cs="Calibri"/>
                <w:color w:val="000000"/>
              </w:rPr>
              <w:t>Mitochondrial disorders</w:t>
            </w:r>
          </w:p>
        </w:tc>
        <w:tc>
          <w:tcPr>
            <w:tcW w:w="366" w:type="pct"/>
            <w:tcBorders>
              <w:top w:val="nil"/>
              <w:left w:val="nil"/>
              <w:bottom w:val="nil"/>
              <w:right w:val="nil"/>
            </w:tcBorders>
            <w:shd w:val="clear" w:color="auto" w:fill="auto"/>
            <w:noWrap/>
            <w:vAlign w:val="bottom"/>
            <w:hideMark/>
          </w:tcPr>
          <w:p w14:paraId="1553F642" w14:textId="77777777" w:rsidR="00350C1D" w:rsidRPr="004E0937" w:rsidRDefault="00350C1D" w:rsidP="00DB3615">
            <w:pPr>
              <w:spacing w:after="0" w:line="240" w:lineRule="auto"/>
              <w:jc w:val="left"/>
              <w:rPr>
                <w:rFonts w:ascii="Calibri" w:eastAsia="Times New Roman" w:hAnsi="Calibri" w:cs="Calibri"/>
                <w:color w:val="000000"/>
              </w:rPr>
            </w:pPr>
            <w:r w:rsidRPr="004E0937">
              <w:rPr>
                <w:rFonts w:ascii="Calibri" w:eastAsia="Times New Roman" w:hAnsi="Calibri" w:cs="Calibri"/>
                <w:color w:val="000000"/>
              </w:rPr>
              <w:t>Proband</w:t>
            </w:r>
          </w:p>
        </w:tc>
        <w:tc>
          <w:tcPr>
            <w:tcW w:w="120" w:type="pct"/>
            <w:tcBorders>
              <w:top w:val="nil"/>
              <w:left w:val="nil"/>
              <w:bottom w:val="nil"/>
              <w:right w:val="nil"/>
            </w:tcBorders>
            <w:shd w:val="clear" w:color="auto" w:fill="auto"/>
            <w:noWrap/>
            <w:vAlign w:val="bottom"/>
            <w:hideMark/>
          </w:tcPr>
          <w:p w14:paraId="511AF288" w14:textId="77777777" w:rsidR="00350C1D" w:rsidRPr="004E0937" w:rsidRDefault="00350C1D" w:rsidP="00DB3615">
            <w:pPr>
              <w:spacing w:after="0" w:line="240" w:lineRule="auto"/>
              <w:jc w:val="center"/>
              <w:rPr>
                <w:rFonts w:ascii="Calibri" w:eastAsia="Times New Roman" w:hAnsi="Calibri" w:cs="Calibri"/>
                <w:color w:val="000000"/>
              </w:rPr>
            </w:pPr>
            <w:r w:rsidRPr="004E0937">
              <w:rPr>
                <w:rFonts w:ascii="Calibri" w:eastAsia="Times New Roman" w:hAnsi="Calibri" w:cs="Calibri"/>
                <w:color w:val="000000"/>
              </w:rPr>
              <w:t>M</w:t>
            </w:r>
          </w:p>
        </w:tc>
        <w:tc>
          <w:tcPr>
            <w:tcW w:w="430" w:type="pct"/>
            <w:tcBorders>
              <w:top w:val="nil"/>
              <w:left w:val="nil"/>
              <w:bottom w:val="nil"/>
              <w:right w:val="nil"/>
            </w:tcBorders>
            <w:shd w:val="clear" w:color="auto" w:fill="auto"/>
            <w:noWrap/>
            <w:vAlign w:val="bottom"/>
            <w:hideMark/>
          </w:tcPr>
          <w:p w14:paraId="11D719DC" w14:textId="77777777" w:rsidR="00350C1D" w:rsidRPr="004E0937" w:rsidRDefault="00350C1D" w:rsidP="00DB3615">
            <w:pPr>
              <w:spacing w:after="0" w:line="240" w:lineRule="auto"/>
              <w:jc w:val="center"/>
              <w:rPr>
                <w:rFonts w:ascii="Calibri" w:eastAsia="Times New Roman" w:hAnsi="Calibri" w:cs="Calibri"/>
                <w:color w:val="000000"/>
              </w:rPr>
            </w:pPr>
            <w:r w:rsidRPr="004E0937">
              <w:rPr>
                <w:rFonts w:ascii="Calibri" w:eastAsia="Times New Roman" w:hAnsi="Calibri" w:cs="Calibri"/>
                <w:color w:val="000000"/>
              </w:rPr>
              <w:t>EUR</w:t>
            </w:r>
          </w:p>
        </w:tc>
        <w:tc>
          <w:tcPr>
            <w:tcW w:w="458" w:type="pct"/>
            <w:tcBorders>
              <w:top w:val="nil"/>
              <w:left w:val="nil"/>
              <w:bottom w:val="nil"/>
              <w:right w:val="nil"/>
            </w:tcBorders>
            <w:shd w:val="clear" w:color="auto" w:fill="auto"/>
            <w:vAlign w:val="bottom"/>
            <w:hideMark/>
          </w:tcPr>
          <w:p w14:paraId="0407C738" w14:textId="77777777" w:rsidR="00350C1D" w:rsidRPr="004E0937" w:rsidRDefault="00350C1D" w:rsidP="00DB3615">
            <w:pPr>
              <w:spacing w:after="0" w:line="240" w:lineRule="auto"/>
              <w:jc w:val="left"/>
              <w:rPr>
                <w:rFonts w:ascii="Calibri" w:eastAsia="Times New Roman" w:hAnsi="Calibri" w:cs="Calibri"/>
                <w:color w:val="000000"/>
              </w:rPr>
            </w:pPr>
            <w:r w:rsidRPr="004E0937">
              <w:rPr>
                <w:rFonts w:ascii="Calibri" w:eastAsia="Times New Roman" w:hAnsi="Calibri" w:cs="Calibri"/>
                <w:color w:val="000000"/>
              </w:rPr>
              <w:t>Compound het Missense*</w:t>
            </w:r>
          </w:p>
        </w:tc>
        <w:tc>
          <w:tcPr>
            <w:tcW w:w="413" w:type="pct"/>
            <w:tcBorders>
              <w:top w:val="nil"/>
              <w:left w:val="nil"/>
              <w:bottom w:val="nil"/>
              <w:right w:val="nil"/>
            </w:tcBorders>
            <w:shd w:val="clear" w:color="auto" w:fill="auto"/>
            <w:vAlign w:val="bottom"/>
            <w:hideMark/>
          </w:tcPr>
          <w:p w14:paraId="39726EF5" w14:textId="77777777" w:rsidR="00350C1D" w:rsidRPr="004E0937" w:rsidRDefault="00350C1D" w:rsidP="00DB3615">
            <w:pPr>
              <w:spacing w:after="0" w:line="240" w:lineRule="auto"/>
              <w:jc w:val="left"/>
              <w:rPr>
                <w:rFonts w:ascii="Calibri" w:eastAsia="Times New Roman" w:hAnsi="Calibri" w:cs="Calibri"/>
                <w:color w:val="000000"/>
              </w:rPr>
            </w:pPr>
            <w:r w:rsidRPr="004E0937">
              <w:rPr>
                <w:rFonts w:ascii="Calibri" w:eastAsia="Times New Roman" w:hAnsi="Calibri" w:cs="Calibri"/>
                <w:color w:val="000000"/>
              </w:rPr>
              <w:t>Compound het Missense*</w:t>
            </w:r>
          </w:p>
        </w:tc>
        <w:tc>
          <w:tcPr>
            <w:tcW w:w="417" w:type="pct"/>
            <w:tcBorders>
              <w:top w:val="nil"/>
              <w:left w:val="nil"/>
              <w:bottom w:val="nil"/>
              <w:right w:val="nil"/>
            </w:tcBorders>
            <w:shd w:val="clear" w:color="auto" w:fill="auto"/>
            <w:noWrap/>
            <w:vAlign w:val="bottom"/>
            <w:hideMark/>
          </w:tcPr>
          <w:p w14:paraId="76178F02" w14:textId="77777777" w:rsidR="00350C1D" w:rsidRPr="004E0937" w:rsidRDefault="00350C1D" w:rsidP="00DB3615">
            <w:pPr>
              <w:spacing w:after="0" w:line="240" w:lineRule="auto"/>
              <w:jc w:val="left"/>
              <w:rPr>
                <w:rFonts w:ascii="Calibri" w:eastAsia="Times New Roman" w:hAnsi="Calibri" w:cs="Calibri"/>
                <w:color w:val="000000"/>
              </w:rPr>
            </w:pPr>
          </w:p>
        </w:tc>
      </w:tr>
      <w:tr w:rsidR="00350C1D" w:rsidRPr="004E0937" w14:paraId="1B2F01A2" w14:textId="77777777" w:rsidTr="00350C1D">
        <w:trPr>
          <w:trHeight w:val="290"/>
        </w:trPr>
        <w:tc>
          <w:tcPr>
            <w:tcW w:w="184" w:type="pct"/>
            <w:tcBorders>
              <w:top w:val="nil"/>
              <w:left w:val="nil"/>
              <w:bottom w:val="nil"/>
              <w:right w:val="nil"/>
            </w:tcBorders>
            <w:shd w:val="clear" w:color="auto" w:fill="auto"/>
            <w:noWrap/>
            <w:vAlign w:val="bottom"/>
            <w:hideMark/>
          </w:tcPr>
          <w:p w14:paraId="33FDFAA0" w14:textId="77777777" w:rsidR="00350C1D" w:rsidRPr="004E0937" w:rsidRDefault="00350C1D" w:rsidP="00DB3615">
            <w:pPr>
              <w:spacing w:after="0" w:line="240" w:lineRule="auto"/>
              <w:jc w:val="center"/>
              <w:rPr>
                <w:rFonts w:ascii="Calibri" w:eastAsia="Times New Roman" w:hAnsi="Calibri" w:cs="Calibri"/>
                <w:color w:val="000000"/>
              </w:rPr>
            </w:pPr>
            <w:r w:rsidRPr="004E0937">
              <w:rPr>
                <w:rFonts w:ascii="Calibri" w:eastAsia="Times New Roman" w:hAnsi="Calibri" w:cs="Calibri"/>
                <w:color w:val="000000"/>
              </w:rPr>
              <w:t>34</w:t>
            </w:r>
          </w:p>
        </w:tc>
        <w:tc>
          <w:tcPr>
            <w:tcW w:w="190" w:type="pct"/>
            <w:tcBorders>
              <w:top w:val="nil"/>
              <w:left w:val="nil"/>
              <w:bottom w:val="nil"/>
              <w:right w:val="nil"/>
            </w:tcBorders>
            <w:vAlign w:val="bottom"/>
          </w:tcPr>
          <w:p w14:paraId="7BED7346" w14:textId="434A0DB1" w:rsidR="00350C1D" w:rsidRDefault="00350C1D" w:rsidP="00DB3615">
            <w:pPr>
              <w:spacing w:after="0" w:line="240" w:lineRule="auto"/>
              <w:jc w:val="center"/>
              <w:rPr>
                <w:rFonts w:ascii="Calibri" w:eastAsia="Times New Roman" w:hAnsi="Calibri" w:cs="Calibri"/>
                <w:color w:val="000000"/>
              </w:rPr>
            </w:pPr>
            <w:r>
              <w:rPr>
                <w:rFonts w:ascii="Calibri" w:eastAsia="Times New Roman" w:hAnsi="Calibri" w:cs="Calibri"/>
                <w:color w:val="000000"/>
              </w:rPr>
              <w:t>No</w:t>
            </w:r>
          </w:p>
        </w:tc>
        <w:tc>
          <w:tcPr>
            <w:tcW w:w="498" w:type="pct"/>
            <w:tcBorders>
              <w:top w:val="nil"/>
              <w:left w:val="nil"/>
              <w:bottom w:val="nil"/>
              <w:right w:val="nil"/>
            </w:tcBorders>
            <w:shd w:val="clear" w:color="auto" w:fill="auto"/>
            <w:noWrap/>
            <w:vAlign w:val="bottom"/>
            <w:hideMark/>
          </w:tcPr>
          <w:p w14:paraId="3184A3CB" w14:textId="07F79030" w:rsidR="00350C1D" w:rsidRPr="004E0937" w:rsidRDefault="00350C1D" w:rsidP="00DB3615">
            <w:pPr>
              <w:spacing w:after="0" w:line="240" w:lineRule="auto"/>
              <w:jc w:val="center"/>
              <w:rPr>
                <w:rFonts w:ascii="Calibri" w:eastAsia="Times New Roman" w:hAnsi="Calibri" w:cs="Calibri"/>
                <w:color w:val="000000"/>
              </w:rPr>
            </w:pPr>
          </w:p>
        </w:tc>
        <w:tc>
          <w:tcPr>
            <w:tcW w:w="374" w:type="pct"/>
            <w:tcBorders>
              <w:top w:val="nil"/>
              <w:left w:val="nil"/>
              <w:bottom w:val="nil"/>
              <w:right w:val="nil"/>
            </w:tcBorders>
            <w:shd w:val="clear" w:color="auto" w:fill="auto"/>
            <w:noWrap/>
            <w:vAlign w:val="bottom"/>
            <w:hideMark/>
          </w:tcPr>
          <w:p w14:paraId="488C75A7" w14:textId="77777777" w:rsidR="00350C1D" w:rsidRPr="004E0937" w:rsidRDefault="00350C1D" w:rsidP="00DB3615">
            <w:pPr>
              <w:spacing w:after="0" w:line="240" w:lineRule="auto"/>
              <w:jc w:val="center"/>
              <w:rPr>
                <w:rFonts w:ascii="Times New Roman" w:eastAsia="Times New Roman" w:hAnsi="Times New Roman" w:cs="Times New Roman"/>
                <w:sz w:val="20"/>
                <w:szCs w:val="20"/>
              </w:rPr>
            </w:pPr>
          </w:p>
        </w:tc>
        <w:tc>
          <w:tcPr>
            <w:tcW w:w="498" w:type="pct"/>
            <w:gridSpan w:val="3"/>
            <w:tcBorders>
              <w:top w:val="nil"/>
              <w:left w:val="nil"/>
              <w:bottom w:val="nil"/>
              <w:right w:val="nil"/>
            </w:tcBorders>
            <w:shd w:val="clear" w:color="auto" w:fill="auto"/>
            <w:noWrap/>
            <w:vAlign w:val="bottom"/>
            <w:hideMark/>
          </w:tcPr>
          <w:p w14:paraId="4F8A7420" w14:textId="77777777" w:rsidR="00350C1D" w:rsidRPr="004E0937" w:rsidRDefault="00350C1D" w:rsidP="00DB3615">
            <w:pPr>
              <w:spacing w:after="0" w:line="240" w:lineRule="auto"/>
              <w:jc w:val="center"/>
              <w:rPr>
                <w:rFonts w:ascii="Times New Roman" w:eastAsia="Times New Roman" w:hAnsi="Times New Roman" w:cs="Times New Roman"/>
                <w:sz w:val="20"/>
                <w:szCs w:val="20"/>
              </w:rPr>
            </w:pPr>
          </w:p>
        </w:tc>
        <w:tc>
          <w:tcPr>
            <w:tcW w:w="1052" w:type="pct"/>
            <w:gridSpan w:val="2"/>
            <w:tcBorders>
              <w:top w:val="nil"/>
              <w:left w:val="nil"/>
              <w:bottom w:val="nil"/>
              <w:right w:val="nil"/>
            </w:tcBorders>
            <w:shd w:val="clear" w:color="auto" w:fill="auto"/>
            <w:vAlign w:val="bottom"/>
            <w:hideMark/>
          </w:tcPr>
          <w:p w14:paraId="0D95D9BA" w14:textId="77777777" w:rsidR="00350C1D" w:rsidRPr="004E0937" w:rsidRDefault="00350C1D" w:rsidP="00DB3615">
            <w:pPr>
              <w:spacing w:after="0" w:line="240" w:lineRule="auto"/>
              <w:jc w:val="left"/>
              <w:rPr>
                <w:rFonts w:ascii="Calibri" w:eastAsia="Times New Roman" w:hAnsi="Calibri" w:cs="Calibri"/>
                <w:color w:val="000000"/>
              </w:rPr>
            </w:pPr>
            <w:r w:rsidRPr="004E0937">
              <w:rPr>
                <w:rFonts w:ascii="Calibri" w:eastAsia="Times New Roman" w:hAnsi="Calibri" w:cs="Calibri"/>
                <w:color w:val="000000"/>
              </w:rPr>
              <w:t>Mitochondrial disorders</w:t>
            </w:r>
          </w:p>
        </w:tc>
        <w:tc>
          <w:tcPr>
            <w:tcW w:w="366" w:type="pct"/>
            <w:tcBorders>
              <w:top w:val="nil"/>
              <w:left w:val="nil"/>
              <w:bottom w:val="nil"/>
              <w:right w:val="nil"/>
            </w:tcBorders>
            <w:shd w:val="clear" w:color="auto" w:fill="auto"/>
            <w:noWrap/>
            <w:vAlign w:val="bottom"/>
            <w:hideMark/>
          </w:tcPr>
          <w:p w14:paraId="48CE6FD7" w14:textId="77777777" w:rsidR="00350C1D" w:rsidRPr="004E0937" w:rsidRDefault="00350C1D" w:rsidP="00DB3615">
            <w:pPr>
              <w:spacing w:after="0" w:line="240" w:lineRule="auto"/>
              <w:jc w:val="left"/>
              <w:rPr>
                <w:rFonts w:ascii="Calibri" w:eastAsia="Times New Roman" w:hAnsi="Calibri" w:cs="Calibri"/>
                <w:color w:val="000000"/>
              </w:rPr>
            </w:pPr>
            <w:r w:rsidRPr="004E0937">
              <w:rPr>
                <w:rFonts w:ascii="Calibri" w:eastAsia="Times New Roman" w:hAnsi="Calibri" w:cs="Calibri"/>
                <w:color w:val="000000"/>
              </w:rPr>
              <w:t>Relative</w:t>
            </w:r>
          </w:p>
        </w:tc>
        <w:tc>
          <w:tcPr>
            <w:tcW w:w="120" w:type="pct"/>
            <w:tcBorders>
              <w:top w:val="nil"/>
              <w:left w:val="nil"/>
              <w:bottom w:val="nil"/>
              <w:right w:val="nil"/>
            </w:tcBorders>
            <w:shd w:val="clear" w:color="auto" w:fill="auto"/>
            <w:noWrap/>
            <w:vAlign w:val="bottom"/>
            <w:hideMark/>
          </w:tcPr>
          <w:p w14:paraId="32A55895" w14:textId="77777777" w:rsidR="00350C1D" w:rsidRPr="004E0937" w:rsidRDefault="00350C1D" w:rsidP="00DB3615">
            <w:pPr>
              <w:spacing w:after="0" w:line="240" w:lineRule="auto"/>
              <w:jc w:val="center"/>
              <w:rPr>
                <w:rFonts w:ascii="Calibri" w:eastAsia="Times New Roman" w:hAnsi="Calibri" w:cs="Calibri"/>
                <w:color w:val="000000"/>
              </w:rPr>
            </w:pPr>
            <w:r w:rsidRPr="004E0937">
              <w:rPr>
                <w:rFonts w:ascii="Calibri" w:eastAsia="Times New Roman" w:hAnsi="Calibri" w:cs="Calibri"/>
                <w:color w:val="000000"/>
              </w:rPr>
              <w:t>F</w:t>
            </w:r>
          </w:p>
        </w:tc>
        <w:tc>
          <w:tcPr>
            <w:tcW w:w="430" w:type="pct"/>
            <w:tcBorders>
              <w:top w:val="nil"/>
              <w:left w:val="nil"/>
              <w:bottom w:val="nil"/>
              <w:right w:val="nil"/>
            </w:tcBorders>
            <w:shd w:val="clear" w:color="auto" w:fill="auto"/>
            <w:noWrap/>
            <w:vAlign w:val="bottom"/>
            <w:hideMark/>
          </w:tcPr>
          <w:p w14:paraId="0C441EEE" w14:textId="77777777" w:rsidR="00350C1D" w:rsidRPr="004E0937" w:rsidRDefault="00350C1D" w:rsidP="00DB3615">
            <w:pPr>
              <w:spacing w:after="0" w:line="240" w:lineRule="auto"/>
              <w:jc w:val="center"/>
              <w:rPr>
                <w:rFonts w:ascii="Calibri" w:eastAsia="Times New Roman" w:hAnsi="Calibri" w:cs="Calibri"/>
                <w:color w:val="000000"/>
              </w:rPr>
            </w:pPr>
          </w:p>
        </w:tc>
        <w:tc>
          <w:tcPr>
            <w:tcW w:w="458" w:type="pct"/>
            <w:tcBorders>
              <w:top w:val="nil"/>
              <w:left w:val="nil"/>
              <w:bottom w:val="nil"/>
              <w:right w:val="nil"/>
            </w:tcBorders>
            <w:shd w:val="clear" w:color="auto" w:fill="auto"/>
            <w:vAlign w:val="bottom"/>
            <w:hideMark/>
          </w:tcPr>
          <w:p w14:paraId="2C6338EC" w14:textId="77777777" w:rsidR="00350C1D" w:rsidRPr="004E0937" w:rsidRDefault="00350C1D" w:rsidP="00DB3615">
            <w:pPr>
              <w:spacing w:after="0" w:line="240" w:lineRule="auto"/>
              <w:jc w:val="left"/>
              <w:rPr>
                <w:rFonts w:ascii="Calibri" w:eastAsia="Times New Roman" w:hAnsi="Calibri" w:cs="Calibri"/>
                <w:color w:val="000000"/>
              </w:rPr>
            </w:pPr>
            <w:r w:rsidRPr="004E0937">
              <w:rPr>
                <w:rFonts w:ascii="Calibri" w:eastAsia="Times New Roman" w:hAnsi="Calibri" w:cs="Calibri"/>
                <w:color w:val="000000"/>
              </w:rPr>
              <w:t>Compound het Missense*</w:t>
            </w:r>
          </w:p>
        </w:tc>
        <w:tc>
          <w:tcPr>
            <w:tcW w:w="413" w:type="pct"/>
            <w:tcBorders>
              <w:top w:val="nil"/>
              <w:left w:val="nil"/>
              <w:bottom w:val="nil"/>
              <w:right w:val="nil"/>
            </w:tcBorders>
            <w:shd w:val="clear" w:color="auto" w:fill="auto"/>
            <w:vAlign w:val="bottom"/>
            <w:hideMark/>
          </w:tcPr>
          <w:p w14:paraId="758B92DE" w14:textId="77777777" w:rsidR="00350C1D" w:rsidRPr="004E0937" w:rsidRDefault="00350C1D" w:rsidP="00DB3615">
            <w:pPr>
              <w:spacing w:after="0" w:line="240" w:lineRule="auto"/>
              <w:jc w:val="left"/>
              <w:rPr>
                <w:rFonts w:ascii="Calibri" w:eastAsia="Times New Roman" w:hAnsi="Calibri" w:cs="Calibri"/>
                <w:color w:val="000000"/>
              </w:rPr>
            </w:pPr>
            <w:r w:rsidRPr="004E0937">
              <w:rPr>
                <w:rFonts w:ascii="Calibri" w:eastAsia="Times New Roman" w:hAnsi="Calibri" w:cs="Calibri"/>
                <w:color w:val="000000"/>
              </w:rPr>
              <w:t>Compound het Missense*</w:t>
            </w:r>
          </w:p>
        </w:tc>
        <w:tc>
          <w:tcPr>
            <w:tcW w:w="417" w:type="pct"/>
            <w:tcBorders>
              <w:top w:val="nil"/>
              <w:left w:val="nil"/>
              <w:bottom w:val="nil"/>
              <w:right w:val="nil"/>
            </w:tcBorders>
            <w:shd w:val="clear" w:color="auto" w:fill="auto"/>
            <w:noWrap/>
            <w:vAlign w:val="bottom"/>
            <w:hideMark/>
          </w:tcPr>
          <w:p w14:paraId="068E4663" w14:textId="77777777" w:rsidR="00350C1D" w:rsidRPr="004E0937" w:rsidRDefault="00350C1D" w:rsidP="00DB3615">
            <w:pPr>
              <w:spacing w:after="0" w:line="240" w:lineRule="auto"/>
              <w:jc w:val="left"/>
              <w:rPr>
                <w:rFonts w:ascii="Calibri" w:eastAsia="Times New Roman" w:hAnsi="Calibri" w:cs="Calibri"/>
                <w:color w:val="000000"/>
              </w:rPr>
            </w:pPr>
          </w:p>
        </w:tc>
      </w:tr>
      <w:tr w:rsidR="00350C1D" w:rsidRPr="004E0937" w14:paraId="7AFB247E" w14:textId="77777777" w:rsidTr="00350C1D">
        <w:trPr>
          <w:trHeight w:val="580"/>
        </w:trPr>
        <w:tc>
          <w:tcPr>
            <w:tcW w:w="184" w:type="pct"/>
            <w:tcBorders>
              <w:top w:val="nil"/>
              <w:left w:val="nil"/>
              <w:bottom w:val="nil"/>
              <w:right w:val="nil"/>
            </w:tcBorders>
            <w:shd w:val="clear" w:color="CCFFFF" w:fill="DEEBF7"/>
            <w:noWrap/>
            <w:vAlign w:val="bottom"/>
            <w:hideMark/>
          </w:tcPr>
          <w:p w14:paraId="755E6A22" w14:textId="77777777" w:rsidR="00350C1D" w:rsidRPr="004E0937" w:rsidRDefault="00350C1D" w:rsidP="00DB3615">
            <w:pPr>
              <w:spacing w:after="0" w:line="240" w:lineRule="auto"/>
              <w:jc w:val="center"/>
              <w:rPr>
                <w:rFonts w:ascii="Calibri" w:eastAsia="Times New Roman" w:hAnsi="Calibri" w:cs="Calibri"/>
                <w:color w:val="000000"/>
              </w:rPr>
            </w:pPr>
            <w:r w:rsidRPr="004E0937">
              <w:rPr>
                <w:rFonts w:ascii="Calibri" w:eastAsia="Times New Roman" w:hAnsi="Calibri" w:cs="Calibri"/>
                <w:color w:val="000000"/>
              </w:rPr>
              <w:t>35</w:t>
            </w:r>
          </w:p>
        </w:tc>
        <w:tc>
          <w:tcPr>
            <w:tcW w:w="190" w:type="pct"/>
            <w:tcBorders>
              <w:top w:val="nil"/>
              <w:left w:val="nil"/>
              <w:bottom w:val="nil"/>
              <w:right w:val="nil"/>
            </w:tcBorders>
            <w:shd w:val="clear" w:color="CCFFFF" w:fill="DEEBF7"/>
            <w:vAlign w:val="bottom"/>
          </w:tcPr>
          <w:p w14:paraId="53844BD8" w14:textId="0AFC085C" w:rsidR="00350C1D" w:rsidRDefault="00350C1D" w:rsidP="00DB3615">
            <w:pPr>
              <w:spacing w:after="0" w:line="240" w:lineRule="auto"/>
              <w:jc w:val="center"/>
              <w:rPr>
                <w:rFonts w:ascii="Calibri" w:eastAsia="Times New Roman" w:hAnsi="Calibri" w:cs="Calibri"/>
                <w:color w:val="000000"/>
              </w:rPr>
            </w:pPr>
            <w:r>
              <w:rPr>
                <w:rFonts w:ascii="Calibri" w:eastAsia="Times New Roman" w:hAnsi="Calibri" w:cs="Calibri"/>
                <w:color w:val="000000"/>
              </w:rPr>
              <w:t>No</w:t>
            </w:r>
          </w:p>
        </w:tc>
        <w:tc>
          <w:tcPr>
            <w:tcW w:w="498" w:type="pct"/>
            <w:tcBorders>
              <w:top w:val="nil"/>
              <w:left w:val="nil"/>
              <w:bottom w:val="nil"/>
              <w:right w:val="nil"/>
            </w:tcBorders>
            <w:shd w:val="clear" w:color="CCFFFF" w:fill="DEEBF7"/>
            <w:noWrap/>
            <w:vAlign w:val="bottom"/>
            <w:hideMark/>
          </w:tcPr>
          <w:p w14:paraId="421A82BA" w14:textId="56DE3F1A" w:rsidR="00350C1D" w:rsidRPr="004E0937" w:rsidRDefault="00350C1D" w:rsidP="00DB3615">
            <w:pPr>
              <w:spacing w:after="0" w:line="240" w:lineRule="auto"/>
              <w:jc w:val="center"/>
              <w:rPr>
                <w:rFonts w:ascii="Calibri" w:eastAsia="Times New Roman" w:hAnsi="Calibri" w:cs="Calibri"/>
                <w:color w:val="000000"/>
              </w:rPr>
            </w:pPr>
            <w:r w:rsidRPr="004E0937">
              <w:rPr>
                <w:rFonts w:ascii="Calibri" w:eastAsia="Times New Roman" w:hAnsi="Calibri" w:cs="Calibri"/>
                <w:color w:val="000000"/>
              </w:rPr>
              <w:t> </w:t>
            </w:r>
          </w:p>
        </w:tc>
        <w:tc>
          <w:tcPr>
            <w:tcW w:w="374" w:type="pct"/>
            <w:tcBorders>
              <w:top w:val="nil"/>
              <w:left w:val="nil"/>
              <w:bottom w:val="nil"/>
              <w:right w:val="nil"/>
            </w:tcBorders>
            <w:shd w:val="clear" w:color="CCFFFF" w:fill="DEEBF7"/>
            <w:noWrap/>
            <w:vAlign w:val="bottom"/>
            <w:hideMark/>
          </w:tcPr>
          <w:p w14:paraId="0E15F476" w14:textId="77777777" w:rsidR="00350C1D" w:rsidRPr="004E0937" w:rsidRDefault="00350C1D" w:rsidP="00DB3615">
            <w:pPr>
              <w:spacing w:after="0" w:line="240" w:lineRule="auto"/>
              <w:jc w:val="center"/>
              <w:rPr>
                <w:rFonts w:ascii="Calibri" w:eastAsia="Times New Roman" w:hAnsi="Calibri" w:cs="Calibri"/>
                <w:color w:val="000000"/>
              </w:rPr>
            </w:pPr>
            <w:r w:rsidRPr="004E0937">
              <w:rPr>
                <w:rFonts w:ascii="Calibri" w:eastAsia="Times New Roman" w:hAnsi="Calibri" w:cs="Calibri"/>
                <w:color w:val="000000"/>
              </w:rPr>
              <w:t> </w:t>
            </w:r>
          </w:p>
        </w:tc>
        <w:tc>
          <w:tcPr>
            <w:tcW w:w="498" w:type="pct"/>
            <w:gridSpan w:val="3"/>
            <w:tcBorders>
              <w:top w:val="nil"/>
              <w:left w:val="nil"/>
              <w:bottom w:val="nil"/>
              <w:right w:val="nil"/>
            </w:tcBorders>
            <w:shd w:val="clear" w:color="CCFFFF" w:fill="DEEBF7"/>
            <w:noWrap/>
            <w:vAlign w:val="bottom"/>
            <w:hideMark/>
          </w:tcPr>
          <w:p w14:paraId="7B501301" w14:textId="77777777" w:rsidR="00350C1D" w:rsidRPr="004E0937" w:rsidRDefault="00350C1D" w:rsidP="00DB3615">
            <w:pPr>
              <w:spacing w:after="0" w:line="240" w:lineRule="auto"/>
              <w:jc w:val="center"/>
              <w:rPr>
                <w:rFonts w:ascii="Calibri" w:eastAsia="Times New Roman" w:hAnsi="Calibri" w:cs="Calibri"/>
                <w:color w:val="000000"/>
              </w:rPr>
            </w:pPr>
            <w:r w:rsidRPr="004E0937">
              <w:rPr>
                <w:rFonts w:ascii="Calibri" w:eastAsia="Times New Roman" w:hAnsi="Calibri" w:cs="Calibri"/>
                <w:color w:val="000000"/>
              </w:rPr>
              <w:t> </w:t>
            </w:r>
          </w:p>
        </w:tc>
        <w:tc>
          <w:tcPr>
            <w:tcW w:w="1052" w:type="pct"/>
            <w:gridSpan w:val="2"/>
            <w:tcBorders>
              <w:top w:val="nil"/>
              <w:left w:val="nil"/>
              <w:bottom w:val="nil"/>
              <w:right w:val="nil"/>
            </w:tcBorders>
            <w:shd w:val="clear" w:color="CCFFFF" w:fill="DEEBF7"/>
            <w:vAlign w:val="bottom"/>
            <w:hideMark/>
          </w:tcPr>
          <w:p w14:paraId="49F5F9C9" w14:textId="77777777" w:rsidR="00350C1D" w:rsidRPr="004E0937" w:rsidRDefault="00350C1D" w:rsidP="00DB3615">
            <w:pPr>
              <w:spacing w:after="0" w:line="240" w:lineRule="auto"/>
              <w:jc w:val="left"/>
              <w:rPr>
                <w:rFonts w:ascii="Calibri" w:eastAsia="Times New Roman" w:hAnsi="Calibri" w:cs="Calibri"/>
                <w:color w:val="000000"/>
              </w:rPr>
            </w:pPr>
            <w:r w:rsidRPr="004E0937">
              <w:rPr>
                <w:rFonts w:ascii="Calibri" w:eastAsia="Times New Roman" w:hAnsi="Calibri" w:cs="Calibri"/>
                <w:color w:val="000000"/>
              </w:rPr>
              <w:t>Amyotrophic lateral sclerosis or motor neuron disease</w:t>
            </w:r>
          </w:p>
        </w:tc>
        <w:tc>
          <w:tcPr>
            <w:tcW w:w="366" w:type="pct"/>
            <w:tcBorders>
              <w:top w:val="nil"/>
              <w:left w:val="nil"/>
              <w:bottom w:val="nil"/>
              <w:right w:val="nil"/>
            </w:tcBorders>
            <w:shd w:val="clear" w:color="CCFFFF" w:fill="DEEBF7"/>
            <w:noWrap/>
            <w:vAlign w:val="bottom"/>
            <w:hideMark/>
          </w:tcPr>
          <w:p w14:paraId="7C7C6790" w14:textId="77777777" w:rsidR="00350C1D" w:rsidRPr="004E0937" w:rsidRDefault="00350C1D" w:rsidP="00DB3615">
            <w:pPr>
              <w:spacing w:after="0" w:line="240" w:lineRule="auto"/>
              <w:jc w:val="left"/>
              <w:rPr>
                <w:rFonts w:ascii="Calibri" w:eastAsia="Times New Roman" w:hAnsi="Calibri" w:cs="Calibri"/>
                <w:color w:val="000000"/>
              </w:rPr>
            </w:pPr>
            <w:r w:rsidRPr="004E0937">
              <w:rPr>
                <w:rFonts w:ascii="Calibri" w:eastAsia="Times New Roman" w:hAnsi="Calibri" w:cs="Calibri"/>
                <w:color w:val="000000"/>
              </w:rPr>
              <w:t>Relative</w:t>
            </w:r>
          </w:p>
        </w:tc>
        <w:tc>
          <w:tcPr>
            <w:tcW w:w="120" w:type="pct"/>
            <w:tcBorders>
              <w:top w:val="nil"/>
              <w:left w:val="nil"/>
              <w:bottom w:val="nil"/>
              <w:right w:val="nil"/>
            </w:tcBorders>
            <w:shd w:val="clear" w:color="CCFFFF" w:fill="DEEBF7"/>
            <w:noWrap/>
            <w:vAlign w:val="bottom"/>
            <w:hideMark/>
          </w:tcPr>
          <w:p w14:paraId="4B9DED75" w14:textId="77777777" w:rsidR="00350C1D" w:rsidRPr="004E0937" w:rsidRDefault="00350C1D" w:rsidP="00DB3615">
            <w:pPr>
              <w:spacing w:after="0" w:line="240" w:lineRule="auto"/>
              <w:jc w:val="center"/>
              <w:rPr>
                <w:rFonts w:ascii="Calibri" w:eastAsia="Times New Roman" w:hAnsi="Calibri" w:cs="Calibri"/>
                <w:color w:val="000000"/>
              </w:rPr>
            </w:pPr>
            <w:r w:rsidRPr="004E0937">
              <w:rPr>
                <w:rFonts w:ascii="Calibri" w:eastAsia="Times New Roman" w:hAnsi="Calibri" w:cs="Calibri"/>
                <w:color w:val="000000"/>
              </w:rPr>
              <w:t>F</w:t>
            </w:r>
          </w:p>
        </w:tc>
        <w:tc>
          <w:tcPr>
            <w:tcW w:w="430" w:type="pct"/>
            <w:tcBorders>
              <w:top w:val="nil"/>
              <w:left w:val="nil"/>
              <w:bottom w:val="nil"/>
              <w:right w:val="nil"/>
            </w:tcBorders>
            <w:shd w:val="clear" w:color="CCFFFF" w:fill="DEEBF7"/>
            <w:noWrap/>
            <w:vAlign w:val="bottom"/>
            <w:hideMark/>
          </w:tcPr>
          <w:p w14:paraId="04AB7BF2" w14:textId="77777777" w:rsidR="00350C1D" w:rsidRPr="004E0937" w:rsidRDefault="00350C1D" w:rsidP="00DB3615">
            <w:pPr>
              <w:spacing w:after="0" w:line="240" w:lineRule="auto"/>
              <w:jc w:val="center"/>
              <w:rPr>
                <w:rFonts w:ascii="Calibri" w:eastAsia="Times New Roman" w:hAnsi="Calibri" w:cs="Calibri"/>
                <w:color w:val="000000"/>
              </w:rPr>
            </w:pPr>
            <w:r w:rsidRPr="004E0937">
              <w:rPr>
                <w:rFonts w:ascii="Calibri" w:eastAsia="Times New Roman" w:hAnsi="Calibri" w:cs="Calibri"/>
                <w:color w:val="000000"/>
              </w:rPr>
              <w:t> </w:t>
            </w:r>
          </w:p>
        </w:tc>
        <w:tc>
          <w:tcPr>
            <w:tcW w:w="458" w:type="pct"/>
            <w:tcBorders>
              <w:top w:val="nil"/>
              <w:left w:val="nil"/>
              <w:bottom w:val="nil"/>
              <w:right w:val="nil"/>
            </w:tcBorders>
            <w:shd w:val="clear" w:color="CCFFFF" w:fill="DEEBF7"/>
            <w:vAlign w:val="bottom"/>
            <w:hideMark/>
          </w:tcPr>
          <w:p w14:paraId="41BEAF9B" w14:textId="77777777" w:rsidR="00350C1D" w:rsidRPr="004E0937" w:rsidRDefault="00350C1D" w:rsidP="00DB3615">
            <w:pPr>
              <w:spacing w:after="0" w:line="240" w:lineRule="auto"/>
              <w:jc w:val="left"/>
              <w:rPr>
                <w:rFonts w:ascii="Calibri" w:eastAsia="Times New Roman" w:hAnsi="Calibri" w:cs="Calibri"/>
                <w:color w:val="000000"/>
              </w:rPr>
            </w:pPr>
            <w:r w:rsidRPr="004E0937">
              <w:rPr>
                <w:rFonts w:ascii="Calibri" w:eastAsia="Times New Roman" w:hAnsi="Calibri" w:cs="Calibri"/>
                <w:color w:val="000000"/>
              </w:rPr>
              <w:t>Compound het Missense*</w:t>
            </w:r>
          </w:p>
        </w:tc>
        <w:tc>
          <w:tcPr>
            <w:tcW w:w="413" w:type="pct"/>
            <w:tcBorders>
              <w:top w:val="nil"/>
              <w:left w:val="nil"/>
              <w:bottom w:val="nil"/>
              <w:right w:val="nil"/>
            </w:tcBorders>
            <w:shd w:val="clear" w:color="CCFFFF" w:fill="DEEBF7"/>
            <w:vAlign w:val="bottom"/>
            <w:hideMark/>
          </w:tcPr>
          <w:p w14:paraId="4B63AC18" w14:textId="77777777" w:rsidR="00350C1D" w:rsidRPr="004E0937" w:rsidRDefault="00350C1D" w:rsidP="00DB3615">
            <w:pPr>
              <w:spacing w:after="0" w:line="240" w:lineRule="auto"/>
              <w:jc w:val="left"/>
              <w:rPr>
                <w:rFonts w:ascii="Calibri" w:eastAsia="Times New Roman" w:hAnsi="Calibri" w:cs="Calibri"/>
                <w:color w:val="000000"/>
              </w:rPr>
            </w:pPr>
            <w:r w:rsidRPr="004E0937">
              <w:rPr>
                <w:rFonts w:ascii="Calibri" w:eastAsia="Times New Roman" w:hAnsi="Calibri" w:cs="Calibri"/>
                <w:color w:val="000000"/>
              </w:rPr>
              <w:t>Compound het Missense*</w:t>
            </w:r>
          </w:p>
        </w:tc>
        <w:tc>
          <w:tcPr>
            <w:tcW w:w="417" w:type="pct"/>
            <w:tcBorders>
              <w:top w:val="nil"/>
              <w:left w:val="nil"/>
              <w:bottom w:val="nil"/>
              <w:right w:val="nil"/>
            </w:tcBorders>
            <w:shd w:val="clear" w:color="CCFFFF" w:fill="DEEBF7"/>
            <w:noWrap/>
            <w:vAlign w:val="bottom"/>
            <w:hideMark/>
          </w:tcPr>
          <w:p w14:paraId="49CDE5F1" w14:textId="77777777" w:rsidR="00350C1D" w:rsidRPr="004E0937" w:rsidRDefault="00350C1D" w:rsidP="00DB3615">
            <w:pPr>
              <w:spacing w:after="0" w:line="240" w:lineRule="auto"/>
              <w:jc w:val="center"/>
              <w:rPr>
                <w:rFonts w:ascii="Calibri" w:eastAsia="Times New Roman" w:hAnsi="Calibri" w:cs="Calibri"/>
                <w:color w:val="000000"/>
              </w:rPr>
            </w:pPr>
            <w:r w:rsidRPr="004E0937">
              <w:rPr>
                <w:rFonts w:ascii="Calibri" w:eastAsia="Times New Roman" w:hAnsi="Calibri" w:cs="Calibri"/>
                <w:color w:val="000000"/>
              </w:rPr>
              <w:t> </w:t>
            </w:r>
          </w:p>
        </w:tc>
      </w:tr>
      <w:tr w:rsidR="00350C1D" w:rsidRPr="004E0937" w14:paraId="1D5AEB57" w14:textId="77777777" w:rsidTr="00350C1D">
        <w:trPr>
          <w:trHeight w:val="290"/>
        </w:trPr>
        <w:tc>
          <w:tcPr>
            <w:tcW w:w="184" w:type="pct"/>
            <w:tcBorders>
              <w:top w:val="nil"/>
              <w:left w:val="nil"/>
              <w:bottom w:val="nil"/>
              <w:right w:val="nil"/>
            </w:tcBorders>
            <w:shd w:val="clear" w:color="auto" w:fill="auto"/>
            <w:noWrap/>
            <w:vAlign w:val="bottom"/>
            <w:hideMark/>
          </w:tcPr>
          <w:p w14:paraId="0FB3DCBA" w14:textId="77777777" w:rsidR="00350C1D" w:rsidRPr="004E0937" w:rsidRDefault="00350C1D" w:rsidP="00DB3615">
            <w:pPr>
              <w:spacing w:after="0" w:line="240" w:lineRule="auto"/>
              <w:jc w:val="center"/>
              <w:rPr>
                <w:rFonts w:ascii="Calibri" w:eastAsia="Times New Roman" w:hAnsi="Calibri" w:cs="Calibri"/>
                <w:color w:val="000000"/>
              </w:rPr>
            </w:pPr>
            <w:r w:rsidRPr="004E0937">
              <w:rPr>
                <w:rFonts w:ascii="Calibri" w:eastAsia="Times New Roman" w:hAnsi="Calibri" w:cs="Calibri"/>
                <w:color w:val="000000"/>
              </w:rPr>
              <w:t>36</w:t>
            </w:r>
          </w:p>
        </w:tc>
        <w:tc>
          <w:tcPr>
            <w:tcW w:w="190" w:type="pct"/>
            <w:tcBorders>
              <w:top w:val="nil"/>
              <w:left w:val="nil"/>
              <w:bottom w:val="nil"/>
              <w:right w:val="nil"/>
            </w:tcBorders>
            <w:vAlign w:val="bottom"/>
          </w:tcPr>
          <w:p w14:paraId="28D5D929" w14:textId="01D968B9" w:rsidR="00350C1D" w:rsidRDefault="00350C1D" w:rsidP="00DB3615">
            <w:pPr>
              <w:spacing w:after="0" w:line="240" w:lineRule="auto"/>
              <w:jc w:val="center"/>
              <w:rPr>
                <w:rFonts w:ascii="Calibri" w:eastAsia="Times New Roman" w:hAnsi="Calibri" w:cs="Calibri"/>
                <w:color w:val="000000"/>
              </w:rPr>
            </w:pPr>
            <w:r>
              <w:rPr>
                <w:rFonts w:ascii="Calibri" w:eastAsia="Times New Roman" w:hAnsi="Calibri" w:cs="Calibri"/>
                <w:color w:val="000000"/>
              </w:rPr>
              <w:t>No</w:t>
            </w:r>
          </w:p>
        </w:tc>
        <w:tc>
          <w:tcPr>
            <w:tcW w:w="498" w:type="pct"/>
            <w:tcBorders>
              <w:top w:val="nil"/>
              <w:left w:val="nil"/>
              <w:bottom w:val="nil"/>
              <w:right w:val="nil"/>
            </w:tcBorders>
            <w:shd w:val="clear" w:color="auto" w:fill="auto"/>
            <w:noWrap/>
            <w:vAlign w:val="bottom"/>
            <w:hideMark/>
          </w:tcPr>
          <w:p w14:paraId="0227953B" w14:textId="44DFD786" w:rsidR="00350C1D" w:rsidRPr="004E0937" w:rsidRDefault="00350C1D" w:rsidP="00DB3615">
            <w:pPr>
              <w:spacing w:after="0" w:line="240" w:lineRule="auto"/>
              <w:jc w:val="center"/>
              <w:rPr>
                <w:rFonts w:ascii="Calibri" w:eastAsia="Times New Roman" w:hAnsi="Calibri" w:cs="Calibri"/>
                <w:color w:val="000000"/>
              </w:rPr>
            </w:pPr>
          </w:p>
        </w:tc>
        <w:tc>
          <w:tcPr>
            <w:tcW w:w="374" w:type="pct"/>
            <w:tcBorders>
              <w:top w:val="nil"/>
              <w:left w:val="nil"/>
              <w:bottom w:val="nil"/>
              <w:right w:val="nil"/>
            </w:tcBorders>
            <w:shd w:val="clear" w:color="auto" w:fill="auto"/>
            <w:noWrap/>
            <w:vAlign w:val="bottom"/>
            <w:hideMark/>
          </w:tcPr>
          <w:p w14:paraId="43949AC0" w14:textId="77777777" w:rsidR="00350C1D" w:rsidRPr="004E0937" w:rsidRDefault="00350C1D" w:rsidP="00DB3615">
            <w:pPr>
              <w:spacing w:after="0" w:line="240" w:lineRule="auto"/>
              <w:jc w:val="center"/>
              <w:rPr>
                <w:rFonts w:ascii="Times New Roman" w:eastAsia="Times New Roman" w:hAnsi="Times New Roman" w:cs="Times New Roman"/>
                <w:sz w:val="20"/>
                <w:szCs w:val="20"/>
              </w:rPr>
            </w:pPr>
          </w:p>
        </w:tc>
        <w:tc>
          <w:tcPr>
            <w:tcW w:w="498" w:type="pct"/>
            <w:gridSpan w:val="3"/>
            <w:tcBorders>
              <w:top w:val="nil"/>
              <w:left w:val="nil"/>
              <w:bottom w:val="nil"/>
              <w:right w:val="nil"/>
            </w:tcBorders>
            <w:shd w:val="clear" w:color="auto" w:fill="auto"/>
            <w:noWrap/>
            <w:vAlign w:val="bottom"/>
            <w:hideMark/>
          </w:tcPr>
          <w:p w14:paraId="370198EF" w14:textId="77777777" w:rsidR="00350C1D" w:rsidRPr="004E0937" w:rsidRDefault="00350C1D" w:rsidP="00DB3615">
            <w:pPr>
              <w:spacing w:after="0" w:line="240" w:lineRule="auto"/>
              <w:jc w:val="center"/>
              <w:rPr>
                <w:rFonts w:ascii="Times New Roman" w:eastAsia="Times New Roman" w:hAnsi="Times New Roman" w:cs="Times New Roman"/>
                <w:sz w:val="20"/>
                <w:szCs w:val="20"/>
              </w:rPr>
            </w:pPr>
          </w:p>
        </w:tc>
        <w:tc>
          <w:tcPr>
            <w:tcW w:w="1052" w:type="pct"/>
            <w:gridSpan w:val="2"/>
            <w:tcBorders>
              <w:top w:val="nil"/>
              <w:left w:val="nil"/>
              <w:bottom w:val="nil"/>
              <w:right w:val="nil"/>
            </w:tcBorders>
            <w:shd w:val="clear" w:color="auto" w:fill="auto"/>
            <w:vAlign w:val="bottom"/>
            <w:hideMark/>
          </w:tcPr>
          <w:p w14:paraId="5354E9DB" w14:textId="77777777" w:rsidR="00350C1D" w:rsidRPr="004E0937" w:rsidRDefault="00350C1D" w:rsidP="00DB3615">
            <w:pPr>
              <w:spacing w:after="0" w:line="240" w:lineRule="auto"/>
              <w:jc w:val="left"/>
              <w:rPr>
                <w:rFonts w:ascii="Calibri" w:eastAsia="Times New Roman" w:hAnsi="Calibri" w:cs="Calibri"/>
                <w:color w:val="000000"/>
              </w:rPr>
            </w:pPr>
            <w:r w:rsidRPr="004E0937">
              <w:rPr>
                <w:rFonts w:ascii="Calibri" w:eastAsia="Times New Roman" w:hAnsi="Calibri" w:cs="Calibri"/>
                <w:color w:val="000000"/>
              </w:rPr>
              <w:t>NA</w:t>
            </w:r>
          </w:p>
        </w:tc>
        <w:tc>
          <w:tcPr>
            <w:tcW w:w="366" w:type="pct"/>
            <w:tcBorders>
              <w:top w:val="nil"/>
              <w:left w:val="nil"/>
              <w:bottom w:val="nil"/>
              <w:right w:val="nil"/>
            </w:tcBorders>
            <w:shd w:val="clear" w:color="auto" w:fill="auto"/>
            <w:noWrap/>
            <w:vAlign w:val="bottom"/>
            <w:hideMark/>
          </w:tcPr>
          <w:p w14:paraId="7B9C5903" w14:textId="77777777" w:rsidR="00350C1D" w:rsidRPr="004E0937" w:rsidRDefault="00350C1D" w:rsidP="00DB3615">
            <w:pPr>
              <w:spacing w:after="0" w:line="240" w:lineRule="auto"/>
              <w:jc w:val="left"/>
              <w:rPr>
                <w:rFonts w:ascii="Calibri" w:eastAsia="Times New Roman" w:hAnsi="Calibri" w:cs="Calibri"/>
                <w:color w:val="000000"/>
              </w:rPr>
            </w:pPr>
            <w:r w:rsidRPr="004E0937">
              <w:rPr>
                <w:rFonts w:ascii="Calibri" w:eastAsia="Times New Roman" w:hAnsi="Calibri" w:cs="Calibri"/>
                <w:color w:val="000000"/>
              </w:rPr>
              <w:t>Cancer</w:t>
            </w:r>
          </w:p>
        </w:tc>
        <w:tc>
          <w:tcPr>
            <w:tcW w:w="120" w:type="pct"/>
            <w:tcBorders>
              <w:top w:val="nil"/>
              <w:left w:val="nil"/>
              <w:bottom w:val="nil"/>
              <w:right w:val="nil"/>
            </w:tcBorders>
            <w:shd w:val="clear" w:color="auto" w:fill="auto"/>
            <w:noWrap/>
            <w:vAlign w:val="bottom"/>
            <w:hideMark/>
          </w:tcPr>
          <w:p w14:paraId="380FBBDB" w14:textId="77777777" w:rsidR="00350C1D" w:rsidRPr="004E0937" w:rsidRDefault="00350C1D" w:rsidP="00DB3615">
            <w:pPr>
              <w:spacing w:after="0" w:line="240" w:lineRule="auto"/>
              <w:jc w:val="center"/>
              <w:rPr>
                <w:rFonts w:ascii="Calibri" w:eastAsia="Times New Roman" w:hAnsi="Calibri" w:cs="Calibri"/>
                <w:color w:val="000000"/>
              </w:rPr>
            </w:pPr>
            <w:r w:rsidRPr="004E0937">
              <w:rPr>
                <w:rFonts w:ascii="Calibri" w:eastAsia="Times New Roman" w:hAnsi="Calibri" w:cs="Calibri"/>
                <w:color w:val="000000"/>
              </w:rPr>
              <w:t>M</w:t>
            </w:r>
          </w:p>
        </w:tc>
        <w:tc>
          <w:tcPr>
            <w:tcW w:w="430" w:type="pct"/>
            <w:tcBorders>
              <w:top w:val="nil"/>
              <w:left w:val="nil"/>
              <w:bottom w:val="nil"/>
              <w:right w:val="nil"/>
            </w:tcBorders>
            <w:shd w:val="clear" w:color="auto" w:fill="auto"/>
            <w:noWrap/>
            <w:vAlign w:val="bottom"/>
            <w:hideMark/>
          </w:tcPr>
          <w:p w14:paraId="4EA68C76" w14:textId="77777777" w:rsidR="00350C1D" w:rsidRPr="004E0937" w:rsidRDefault="00350C1D" w:rsidP="00DB3615">
            <w:pPr>
              <w:spacing w:after="0" w:line="240" w:lineRule="auto"/>
              <w:jc w:val="center"/>
              <w:rPr>
                <w:rFonts w:ascii="Calibri" w:eastAsia="Times New Roman" w:hAnsi="Calibri" w:cs="Calibri"/>
                <w:color w:val="000000"/>
              </w:rPr>
            </w:pPr>
            <w:r w:rsidRPr="004E0937">
              <w:rPr>
                <w:rFonts w:ascii="Calibri" w:eastAsia="Times New Roman" w:hAnsi="Calibri" w:cs="Calibri"/>
                <w:color w:val="000000"/>
              </w:rPr>
              <w:t>EAS</w:t>
            </w:r>
          </w:p>
        </w:tc>
        <w:tc>
          <w:tcPr>
            <w:tcW w:w="458" w:type="pct"/>
            <w:tcBorders>
              <w:top w:val="nil"/>
              <w:left w:val="nil"/>
              <w:bottom w:val="nil"/>
              <w:right w:val="nil"/>
            </w:tcBorders>
            <w:shd w:val="clear" w:color="auto" w:fill="auto"/>
            <w:vAlign w:val="bottom"/>
            <w:hideMark/>
          </w:tcPr>
          <w:p w14:paraId="666764C7" w14:textId="77777777" w:rsidR="00350C1D" w:rsidRPr="004E0937" w:rsidRDefault="00350C1D" w:rsidP="00DB3615">
            <w:pPr>
              <w:spacing w:after="0" w:line="240" w:lineRule="auto"/>
              <w:jc w:val="left"/>
              <w:rPr>
                <w:rFonts w:ascii="Calibri" w:eastAsia="Times New Roman" w:hAnsi="Calibri" w:cs="Calibri"/>
                <w:color w:val="000000"/>
              </w:rPr>
            </w:pPr>
            <w:r w:rsidRPr="004E0937">
              <w:rPr>
                <w:rFonts w:ascii="Calibri" w:eastAsia="Times New Roman" w:hAnsi="Calibri" w:cs="Calibri"/>
                <w:color w:val="000000"/>
              </w:rPr>
              <w:t>Compound het Missense*</w:t>
            </w:r>
          </w:p>
        </w:tc>
        <w:tc>
          <w:tcPr>
            <w:tcW w:w="413" w:type="pct"/>
            <w:tcBorders>
              <w:top w:val="nil"/>
              <w:left w:val="nil"/>
              <w:bottom w:val="nil"/>
              <w:right w:val="nil"/>
            </w:tcBorders>
            <w:shd w:val="clear" w:color="auto" w:fill="auto"/>
            <w:vAlign w:val="bottom"/>
            <w:hideMark/>
          </w:tcPr>
          <w:p w14:paraId="2792254C" w14:textId="77777777" w:rsidR="00350C1D" w:rsidRPr="004E0937" w:rsidRDefault="00350C1D" w:rsidP="00DB3615">
            <w:pPr>
              <w:spacing w:after="0" w:line="240" w:lineRule="auto"/>
              <w:jc w:val="left"/>
              <w:rPr>
                <w:rFonts w:ascii="Calibri" w:eastAsia="Times New Roman" w:hAnsi="Calibri" w:cs="Calibri"/>
                <w:color w:val="000000"/>
              </w:rPr>
            </w:pPr>
            <w:r w:rsidRPr="004E0937">
              <w:rPr>
                <w:rFonts w:ascii="Calibri" w:eastAsia="Times New Roman" w:hAnsi="Calibri" w:cs="Calibri"/>
                <w:color w:val="000000"/>
              </w:rPr>
              <w:t>Compound het Missense*</w:t>
            </w:r>
          </w:p>
        </w:tc>
        <w:tc>
          <w:tcPr>
            <w:tcW w:w="417" w:type="pct"/>
            <w:tcBorders>
              <w:top w:val="nil"/>
              <w:left w:val="nil"/>
              <w:bottom w:val="nil"/>
              <w:right w:val="nil"/>
            </w:tcBorders>
            <w:shd w:val="clear" w:color="auto" w:fill="auto"/>
            <w:noWrap/>
            <w:vAlign w:val="bottom"/>
            <w:hideMark/>
          </w:tcPr>
          <w:p w14:paraId="2CADA9E1" w14:textId="77777777" w:rsidR="00350C1D" w:rsidRPr="004E0937" w:rsidRDefault="00350C1D" w:rsidP="00DB3615">
            <w:pPr>
              <w:spacing w:after="0" w:line="240" w:lineRule="auto"/>
              <w:jc w:val="left"/>
              <w:rPr>
                <w:rFonts w:ascii="Calibri" w:eastAsia="Times New Roman" w:hAnsi="Calibri" w:cs="Calibri"/>
                <w:color w:val="000000"/>
              </w:rPr>
            </w:pPr>
          </w:p>
        </w:tc>
      </w:tr>
      <w:tr w:rsidR="00350C1D" w:rsidRPr="004E0937" w14:paraId="410CD6A4" w14:textId="77777777" w:rsidTr="00350C1D">
        <w:trPr>
          <w:trHeight w:val="580"/>
        </w:trPr>
        <w:tc>
          <w:tcPr>
            <w:tcW w:w="184" w:type="pct"/>
            <w:tcBorders>
              <w:top w:val="nil"/>
              <w:left w:val="nil"/>
              <w:bottom w:val="nil"/>
              <w:right w:val="nil"/>
            </w:tcBorders>
            <w:shd w:val="clear" w:color="auto" w:fill="auto"/>
            <w:noWrap/>
            <w:vAlign w:val="bottom"/>
            <w:hideMark/>
          </w:tcPr>
          <w:p w14:paraId="440330D6" w14:textId="77777777" w:rsidR="00350C1D" w:rsidRPr="004E0937" w:rsidRDefault="00350C1D" w:rsidP="00DB3615">
            <w:pPr>
              <w:spacing w:after="0" w:line="240" w:lineRule="auto"/>
              <w:jc w:val="center"/>
              <w:rPr>
                <w:rFonts w:ascii="Calibri" w:eastAsia="Times New Roman" w:hAnsi="Calibri" w:cs="Calibri"/>
                <w:color w:val="000000"/>
              </w:rPr>
            </w:pPr>
            <w:r w:rsidRPr="004E0937">
              <w:rPr>
                <w:rFonts w:ascii="Calibri" w:eastAsia="Times New Roman" w:hAnsi="Calibri" w:cs="Calibri"/>
                <w:color w:val="000000"/>
              </w:rPr>
              <w:t>37</w:t>
            </w:r>
          </w:p>
        </w:tc>
        <w:tc>
          <w:tcPr>
            <w:tcW w:w="190" w:type="pct"/>
            <w:tcBorders>
              <w:top w:val="nil"/>
              <w:left w:val="nil"/>
              <w:bottom w:val="nil"/>
              <w:right w:val="nil"/>
            </w:tcBorders>
            <w:vAlign w:val="bottom"/>
          </w:tcPr>
          <w:p w14:paraId="074FB881" w14:textId="77777777" w:rsidR="00350C1D" w:rsidRPr="004E0937" w:rsidRDefault="00350C1D" w:rsidP="00DB3615">
            <w:pPr>
              <w:spacing w:after="0" w:line="240" w:lineRule="auto"/>
              <w:jc w:val="center"/>
              <w:rPr>
                <w:rFonts w:ascii="Calibri" w:eastAsia="Times New Roman" w:hAnsi="Calibri" w:cs="Calibri"/>
                <w:color w:val="000000"/>
              </w:rPr>
            </w:pPr>
          </w:p>
        </w:tc>
        <w:tc>
          <w:tcPr>
            <w:tcW w:w="498" w:type="pct"/>
            <w:tcBorders>
              <w:top w:val="nil"/>
              <w:left w:val="nil"/>
              <w:bottom w:val="nil"/>
              <w:right w:val="nil"/>
            </w:tcBorders>
            <w:shd w:val="clear" w:color="auto" w:fill="auto"/>
            <w:noWrap/>
            <w:vAlign w:val="bottom"/>
            <w:hideMark/>
          </w:tcPr>
          <w:p w14:paraId="49755F7A" w14:textId="4781063D" w:rsidR="00350C1D" w:rsidRPr="004E0937" w:rsidRDefault="00350C1D" w:rsidP="00DB3615">
            <w:pPr>
              <w:spacing w:after="0" w:line="240" w:lineRule="auto"/>
              <w:jc w:val="center"/>
              <w:rPr>
                <w:rFonts w:ascii="Calibri" w:eastAsia="Times New Roman" w:hAnsi="Calibri" w:cs="Calibri"/>
                <w:color w:val="000000"/>
              </w:rPr>
            </w:pPr>
          </w:p>
        </w:tc>
        <w:tc>
          <w:tcPr>
            <w:tcW w:w="374" w:type="pct"/>
            <w:tcBorders>
              <w:top w:val="nil"/>
              <w:left w:val="nil"/>
              <w:bottom w:val="nil"/>
              <w:right w:val="nil"/>
            </w:tcBorders>
            <w:shd w:val="clear" w:color="auto" w:fill="auto"/>
            <w:noWrap/>
            <w:vAlign w:val="bottom"/>
            <w:hideMark/>
          </w:tcPr>
          <w:p w14:paraId="36DCAE14" w14:textId="77777777" w:rsidR="00350C1D" w:rsidRPr="004E0937" w:rsidRDefault="00350C1D" w:rsidP="00DB3615">
            <w:pPr>
              <w:spacing w:after="0" w:line="240" w:lineRule="auto"/>
              <w:jc w:val="center"/>
              <w:rPr>
                <w:rFonts w:ascii="Times New Roman" w:eastAsia="Times New Roman" w:hAnsi="Times New Roman" w:cs="Times New Roman"/>
                <w:sz w:val="20"/>
                <w:szCs w:val="20"/>
              </w:rPr>
            </w:pPr>
          </w:p>
        </w:tc>
        <w:tc>
          <w:tcPr>
            <w:tcW w:w="498" w:type="pct"/>
            <w:gridSpan w:val="3"/>
            <w:tcBorders>
              <w:top w:val="nil"/>
              <w:left w:val="nil"/>
              <w:bottom w:val="nil"/>
              <w:right w:val="nil"/>
            </w:tcBorders>
            <w:shd w:val="clear" w:color="auto" w:fill="auto"/>
            <w:noWrap/>
            <w:vAlign w:val="bottom"/>
            <w:hideMark/>
          </w:tcPr>
          <w:p w14:paraId="4B0EF82D" w14:textId="77777777" w:rsidR="00350C1D" w:rsidRPr="004E0937" w:rsidRDefault="00350C1D" w:rsidP="00DB3615">
            <w:pPr>
              <w:spacing w:after="0" w:line="240" w:lineRule="auto"/>
              <w:jc w:val="center"/>
              <w:rPr>
                <w:rFonts w:ascii="Times New Roman" w:eastAsia="Times New Roman" w:hAnsi="Times New Roman" w:cs="Times New Roman"/>
                <w:sz w:val="20"/>
                <w:szCs w:val="20"/>
              </w:rPr>
            </w:pPr>
          </w:p>
        </w:tc>
        <w:tc>
          <w:tcPr>
            <w:tcW w:w="1052" w:type="pct"/>
            <w:gridSpan w:val="2"/>
            <w:tcBorders>
              <w:top w:val="nil"/>
              <w:left w:val="nil"/>
              <w:bottom w:val="nil"/>
              <w:right w:val="nil"/>
            </w:tcBorders>
            <w:shd w:val="clear" w:color="auto" w:fill="auto"/>
            <w:vAlign w:val="bottom"/>
            <w:hideMark/>
          </w:tcPr>
          <w:p w14:paraId="1853B80F" w14:textId="77777777" w:rsidR="00350C1D" w:rsidRPr="004E0937" w:rsidRDefault="00350C1D" w:rsidP="00DB3615">
            <w:pPr>
              <w:spacing w:after="0" w:line="240" w:lineRule="auto"/>
              <w:jc w:val="left"/>
              <w:rPr>
                <w:rFonts w:ascii="Calibri" w:eastAsia="Times New Roman" w:hAnsi="Calibri" w:cs="Calibri"/>
                <w:color w:val="000000"/>
              </w:rPr>
            </w:pPr>
            <w:r w:rsidRPr="004E0937">
              <w:rPr>
                <w:rFonts w:ascii="Calibri" w:eastAsia="Times New Roman" w:hAnsi="Calibri" w:cs="Calibri"/>
                <w:color w:val="000000"/>
              </w:rPr>
              <w:t xml:space="preserve">Ultra-rare undescribed monogenic disorders </w:t>
            </w:r>
          </w:p>
        </w:tc>
        <w:tc>
          <w:tcPr>
            <w:tcW w:w="366" w:type="pct"/>
            <w:tcBorders>
              <w:top w:val="nil"/>
              <w:left w:val="nil"/>
              <w:bottom w:val="nil"/>
              <w:right w:val="nil"/>
            </w:tcBorders>
            <w:shd w:val="clear" w:color="auto" w:fill="auto"/>
            <w:noWrap/>
            <w:vAlign w:val="bottom"/>
            <w:hideMark/>
          </w:tcPr>
          <w:p w14:paraId="5EC8C587" w14:textId="77777777" w:rsidR="00350C1D" w:rsidRPr="004E0937" w:rsidRDefault="00350C1D" w:rsidP="00DB3615">
            <w:pPr>
              <w:spacing w:after="0" w:line="240" w:lineRule="auto"/>
              <w:jc w:val="left"/>
              <w:rPr>
                <w:rFonts w:ascii="Calibri" w:eastAsia="Times New Roman" w:hAnsi="Calibri" w:cs="Calibri"/>
                <w:color w:val="000000"/>
              </w:rPr>
            </w:pPr>
            <w:r w:rsidRPr="004E0937">
              <w:rPr>
                <w:rFonts w:ascii="Calibri" w:eastAsia="Times New Roman" w:hAnsi="Calibri" w:cs="Calibri"/>
                <w:color w:val="000000"/>
              </w:rPr>
              <w:t>Relative</w:t>
            </w:r>
          </w:p>
        </w:tc>
        <w:tc>
          <w:tcPr>
            <w:tcW w:w="120" w:type="pct"/>
            <w:tcBorders>
              <w:top w:val="nil"/>
              <w:left w:val="nil"/>
              <w:bottom w:val="nil"/>
              <w:right w:val="nil"/>
            </w:tcBorders>
            <w:shd w:val="clear" w:color="auto" w:fill="auto"/>
            <w:noWrap/>
            <w:vAlign w:val="bottom"/>
            <w:hideMark/>
          </w:tcPr>
          <w:p w14:paraId="574EC114" w14:textId="77777777" w:rsidR="00350C1D" w:rsidRPr="004E0937" w:rsidRDefault="00350C1D" w:rsidP="00DB3615">
            <w:pPr>
              <w:spacing w:after="0" w:line="240" w:lineRule="auto"/>
              <w:jc w:val="center"/>
              <w:rPr>
                <w:rFonts w:ascii="Calibri" w:eastAsia="Times New Roman" w:hAnsi="Calibri" w:cs="Calibri"/>
                <w:color w:val="000000"/>
              </w:rPr>
            </w:pPr>
            <w:r w:rsidRPr="004E0937">
              <w:rPr>
                <w:rFonts w:ascii="Calibri" w:eastAsia="Times New Roman" w:hAnsi="Calibri" w:cs="Calibri"/>
                <w:color w:val="000000"/>
              </w:rPr>
              <w:t>F</w:t>
            </w:r>
          </w:p>
        </w:tc>
        <w:tc>
          <w:tcPr>
            <w:tcW w:w="430" w:type="pct"/>
            <w:tcBorders>
              <w:top w:val="nil"/>
              <w:left w:val="nil"/>
              <w:bottom w:val="nil"/>
              <w:right w:val="nil"/>
            </w:tcBorders>
            <w:shd w:val="clear" w:color="auto" w:fill="auto"/>
            <w:noWrap/>
            <w:vAlign w:val="bottom"/>
            <w:hideMark/>
          </w:tcPr>
          <w:p w14:paraId="035211D5" w14:textId="77777777" w:rsidR="00350C1D" w:rsidRPr="004E0937" w:rsidRDefault="00350C1D" w:rsidP="00DB3615">
            <w:pPr>
              <w:spacing w:after="0" w:line="240" w:lineRule="auto"/>
              <w:jc w:val="center"/>
              <w:rPr>
                <w:rFonts w:ascii="Calibri" w:eastAsia="Times New Roman" w:hAnsi="Calibri" w:cs="Calibri"/>
                <w:color w:val="000000"/>
              </w:rPr>
            </w:pPr>
            <w:r w:rsidRPr="004E0937">
              <w:rPr>
                <w:rFonts w:ascii="Calibri" w:eastAsia="Times New Roman" w:hAnsi="Calibri" w:cs="Calibri"/>
                <w:color w:val="000000"/>
              </w:rPr>
              <w:t>SAS</w:t>
            </w:r>
          </w:p>
        </w:tc>
        <w:tc>
          <w:tcPr>
            <w:tcW w:w="458" w:type="pct"/>
            <w:tcBorders>
              <w:top w:val="nil"/>
              <w:left w:val="nil"/>
              <w:bottom w:val="nil"/>
              <w:right w:val="nil"/>
            </w:tcBorders>
            <w:shd w:val="clear" w:color="auto" w:fill="auto"/>
            <w:vAlign w:val="bottom"/>
            <w:hideMark/>
          </w:tcPr>
          <w:p w14:paraId="7E82CBA0" w14:textId="77777777" w:rsidR="00350C1D" w:rsidRPr="004E0937" w:rsidRDefault="00350C1D" w:rsidP="00DB3615">
            <w:pPr>
              <w:spacing w:after="0" w:line="240" w:lineRule="auto"/>
              <w:jc w:val="left"/>
              <w:rPr>
                <w:rFonts w:ascii="Calibri" w:eastAsia="Times New Roman" w:hAnsi="Calibri" w:cs="Calibri"/>
                <w:color w:val="000000"/>
              </w:rPr>
            </w:pPr>
            <w:r w:rsidRPr="004E0937">
              <w:rPr>
                <w:rFonts w:ascii="Calibri" w:eastAsia="Times New Roman" w:hAnsi="Calibri" w:cs="Calibri"/>
                <w:color w:val="000000"/>
              </w:rPr>
              <w:t>Missense</w:t>
            </w:r>
          </w:p>
        </w:tc>
        <w:tc>
          <w:tcPr>
            <w:tcW w:w="413" w:type="pct"/>
            <w:tcBorders>
              <w:top w:val="nil"/>
              <w:left w:val="nil"/>
              <w:bottom w:val="nil"/>
              <w:right w:val="nil"/>
            </w:tcBorders>
            <w:shd w:val="clear" w:color="auto" w:fill="auto"/>
            <w:vAlign w:val="bottom"/>
            <w:hideMark/>
          </w:tcPr>
          <w:p w14:paraId="7ACAC29E" w14:textId="77777777" w:rsidR="00350C1D" w:rsidRPr="004E0937" w:rsidRDefault="00350C1D" w:rsidP="00DB3615">
            <w:pPr>
              <w:spacing w:after="0" w:line="240" w:lineRule="auto"/>
              <w:jc w:val="left"/>
              <w:rPr>
                <w:rFonts w:ascii="Calibri" w:eastAsia="Times New Roman" w:hAnsi="Calibri" w:cs="Calibri"/>
                <w:color w:val="000000"/>
              </w:rPr>
            </w:pPr>
          </w:p>
        </w:tc>
        <w:tc>
          <w:tcPr>
            <w:tcW w:w="417" w:type="pct"/>
            <w:tcBorders>
              <w:top w:val="nil"/>
              <w:left w:val="nil"/>
              <w:bottom w:val="nil"/>
              <w:right w:val="nil"/>
            </w:tcBorders>
            <w:shd w:val="clear" w:color="auto" w:fill="auto"/>
            <w:noWrap/>
            <w:vAlign w:val="bottom"/>
            <w:hideMark/>
          </w:tcPr>
          <w:p w14:paraId="4F992427" w14:textId="77777777" w:rsidR="00350C1D" w:rsidRPr="004E0937" w:rsidRDefault="00350C1D" w:rsidP="00DB3615">
            <w:pPr>
              <w:spacing w:after="0" w:line="240" w:lineRule="auto"/>
              <w:jc w:val="left"/>
              <w:rPr>
                <w:rFonts w:ascii="Times New Roman" w:eastAsia="Times New Roman" w:hAnsi="Times New Roman" w:cs="Times New Roman"/>
                <w:sz w:val="20"/>
                <w:szCs w:val="20"/>
              </w:rPr>
            </w:pPr>
          </w:p>
        </w:tc>
      </w:tr>
      <w:tr w:rsidR="00350C1D" w:rsidRPr="004E0937" w14:paraId="01FDB5E7" w14:textId="77777777" w:rsidTr="00350C1D">
        <w:trPr>
          <w:trHeight w:val="580"/>
        </w:trPr>
        <w:tc>
          <w:tcPr>
            <w:tcW w:w="184" w:type="pct"/>
            <w:tcBorders>
              <w:top w:val="nil"/>
              <w:left w:val="nil"/>
              <w:bottom w:val="nil"/>
              <w:right w:val="nil"/>
            </w:tcBorders>
            <w:shd w:val="clear" w:color="auto" w:fill="auto"/>
            <w:noWrap/>
            <w:vAlign w:val="bottom"/>
            <w:hideMark/>
          </w:tcPr>
          <w:p w14:paraId="24932FB1" w14:textId="77777777" w:rsidR="00350C1D" w:rsidRPr="004E0937" w:rsidRDefault="00350C1D" w:rsidP="00DB3615">
            <w:pPr>
              <w:spacing w:after="0" w:line="240" w:lineRule="auto"/>
              <w:jc w:val="center"/>
              <w:rPr>
                <w:rFonts w:ascii="Calibri" w:eastAsia="Times New Roman" w:hAnsi="Calibri" w:cs="Calibri"/>
                <w:color w:val="000000"/>
              </w:rPr>
            </w:pPr>
            <w:r w:rsidRPr="004E0937">
              <w:rPr>
                <w:rFonts w:ascii="Calibri" w:eastAsia="Times New Roman" w:hAnsi="Calibri" w:cs="Calibri"/>
                <w:color w:val="000000"/>
              </w:rPr>
              <w:t>38</w:t>
            </w:r>
          </w:p>
        </w:tc>
        <w:tc>
          <w:tcPr>
            <w:tcW w:w="190" w:type="pct"/>
            <w:tcBorders>
              <w:top w:val="nil"/>
              <w:left w:val="nil"/>
              <w:bottom w:val="nil"/>
              <w:right w:val="nil"/>
            </w:tcBorders>
            <w:vAlign w:val="bottom"/>
          </w:tcPr>
          <w:p w14:paraId="70C9D55A" w14:textId="0C9336A2" w:rsidR="00350C1D" w:rsidRDefault="00350C1D" w:rsidP="00DB3615">
            <w:pPr>
              <w:spacing w:after="0" w:line="240" w:lineRule="auto"/>
              <w:jc w:val="center"/>
              <w:rPr>
                <w:rFonts w:ascii="Calibri" w:eastAsia="Times New Roman" w:hAnsi="Calibri" w:cs="Calibri"/>
                <w:color w:val="000000"/>
              </w:rPr>
            </w:pPr>
            <w:r>
              <w:rPr>
                <w:rFonts w:ascii="Calibri" w:eastAsia="Times New Roman" w:hAnsi="Calibri" w:cs="Calibri"/>
                <w:color w:val="000000"/>
              </w:rPr>
              <w:t>No</w:t>
            </w:r>
          </w:p>
        </w:tc>
        <w:tc>
          <w:tcPr>
            <w:tcW w:w="498" w:type="pct"/>
            <w:tcBorders>
              <w:top w:val="nil"/>
              <w:left w:val="nil"/>
              <w:bottom w:val="nil"/>
              <w:right w:val="nil"/>
            </w:tcBorders>
            <w:shd w:val="clear" w:color="auto" w:fill="auto"/>
            <w:noWrap/>
            <w:vAlign w:val="bottom"/>
            <w:hideMark/>
          </w:tcPr>
          <w:p w14:paraId="3D99522C" w14:textId="1FD8222A" w:rsidR="00350C1D" w:rsidRPr="004E0937" w:rsidRDefault="00350C1D" w:rsidP="00DB3615">
            <w:pPr>
              <w:spacing w:after="0" w:line="240" w:lineRule="auto"/>
              <w:jc w:val="center"/>
              <w:rPr>
                <w:rFonts w:ascii="Calibri" w:eastAsia="Times New Roman" w:hAnsi="Calibri" w:cs="Calibri"/>
                <w:color w:val="000000"/>
              </w:rPr>
            </w:pPr>
            <w:r w:rsidRPr="004E0937">
              <w:rPr>
                <w:rFonts w:ascii="Calibri" w:eastAsia="Times New Roman" w:hAnsi="Calibri" w:cs="Calibri"/>
                <w:color w:val="000000"/>
              </w:rPr>
              <w:t>76 to 80</w:t>
            </w:r>
          </w:p>
        </w:tc>
        <w:tc>
          <w:tcPr>
            <w:tcW w:w="374" w:type="pct"/>
            <w:tcBorders>
              <w:top w:val="nil"/>
              <w:left w:val="nil"/>
              <w:bottom w:val="nil"/>
              <w:right w:val="nil"/>
            </w:tcBorders>
            <w:shd w:val="clear" w:color="auto" w:fill="auto"/>
            <w:noWrap/>
            <w:vAlign w:val="bottom"/>
            <w:hideMark/>
          </w:tcPr>
          <w:p w14:paraId="3DF236A7" w14:textId="77777777" w:rsidR="00350C1D" w:rsidRPr="004E0937" w:rsidRDefault="00350C1D" w:rsidP="00DB3615">
            <w:pPr>
              <w:spacing w:after="0" w:line="240" w:lineRule="auto"/>
              <w:jc w:val="center"/>
              <w:rPr>
                <w:rFonts w:ascii="Calibri" w:eastAsia="Times New Roman" w:hAnsi="Calibri" w:cs="Calibri"/>
                <w:color w:val="000000"/>
              </w:rPr>
            </w:pPr>
          </w:p>
        </w:tc>
        <w:tc>
          <w:tcPr>
            <w:tcW w:w="498" w:type="pct"/>
            <w:gridSpan w:val="3"/>
            <w:tcBorders>
              <w:top w:val="nil"/>
              <w:left w:val="nil"/>
              <w:bottom w:val="nil"/>
              <w:right w:val="nil"/>
            </w:tcBorders>
            <w:shd w:val="clear" w:color="auto" w:fill="auto"/>
            <w:noWrap/>
            <w:vAlign w:val="bottom"/>
            <w:hideMark/>
          </w:tcPr>
          <w:p w14:paraId="10278840" w14:textId="77777777" w:rsidR="00350C1D" w:rsidRPr="004E0937" w:rsidRDefault="00350C1D" w:rsidP="00DB3615">
            <w:pPr>
              <w:spacing w:after="0" w:line="240" w:lineRule="auto"/>
              <w:jc w:val="center"/>
              <w:rPr>
                <w:rFonts w:ascii="Times New Roman" w:eastAsia="Times New Roman" w:hAnsi="Times New Roman" w:cs="Times New Roman"/>
                <w:sz w:val="20"/>
                <w:szCs w:val="20"/>
              </w:rPr>
            </w:pPr>
          </w:p>
        </w:tc>
        <w:tc>
          <w:tcPr>
            <w:tcW w:w="1052" w:type="pct"/>
            <w:gridSpan w:val="2"/>
            <w:tcBorders>
              <w:top w:val="nil"/>
              <w:left w:val="nil"/>
              <w:bottom w:val="nil"/>
              <w:right w:val="nil"/>
            </w:tcBorders>
            <w:shd w:val="clear" w:color="auto" w:fill="auto"/>
            <w:vAlign w:val="bottom"/>
            <w:hideMark/>
          </w:tcPr>
          <w:p w14:paraId="57A2C216" w14:textId="77777777" w:rsidR="00350C1D" w:rsidRPr="004E0937" w:rsidRDefault="00350C1D" w:rsidP="00DB3615">
            <w:pPr>
              <w:spacing w:after="0" w:line="240" w:lineRule="auto"/>
              <w:jc w:val="left"/>
              <w:rPr>
                <w:rFonts w:ascii="Calibri" w:eastAsia="Times New Roman" w:hAnsi="Calibri" w:cs="Calibri"/>
                <w:color w:val="000000"/>
              </w:rPr>
            </w:pPr>
            <w:r w:rsidRPr="004E0937">
              <w:rPr>
                <w:rFonts w:ascii="Calibri" w:eastAsia="Times New Roman" w:hAnsi="Calibri" w:cs="Calibri"/>
                <w:color w:val="000000"/>
              </w:rPr>
              <w:t>Familial Thoracic Aortic Aneurysm Disease</w:t>
            </w:r>
          </w:p>
        </w:tc>
        <w:tc>
          <w:tcPr>
            <w:tcW w:w="366" w:type="pct"/>
            <w:tcBorders>
              <w:top w:val="nil"/>
              <w:left w:val="nil"/>
              <w:bottom w:val="nil"/>
              <w:right w:val="nil"/>
            </w:tcBorders>
            <w:shd w:val="clear" w:color="auto" w:fill="auto"/>
            <w:noWrap/>
            <w:vAlign w:val="bottom"/>
            <w:hideMark/>
          </w:tcPr>
          <w:p w14:paraId="19FCA0BC" w14:textId="77777777" w:rsidR="00350C1D" w:rsidRPr="004E0937" w:rsidRDefault="00350C1D" w:rsidP="00DB3615">
            <w:pPr>
              <w:spacing w:after="0" w:line="240" w:lineRule="auto"/>
              <w:jc w:val="left"/>
              <w:rPr>
                <w:rFonts w:ascii="Calibri" w:eastAsia="Times New Roman" w:hAnsi="Calibri" w:cs="Calibri"/>
                <w:color w:val="000000"/>
              </w:rPr>
            </w:pPr>
            <w:r w:rsidRPr="004E0937">
              <w:rPr>
                <w:rFonts w:ascii="Calibri" w:eastAsia="Times New Roman" w:hAnsi="Calibri" w:cs="Calibri"/>
                <w:color w:val="000000"/>
              </w:rPr>
              <w:t>Relative</w:t>
            </w:r>
          </w:p>
        </w:tc>
        <w:tc>
          <w:tcPr>
            <w:tcW w:w="120" w:type="pct"/>
            <w:tcBorders>
              <w:top w:val="nil"/>
              <w:left w:val="nil"/>
              <w:bottom w:val="nil"/>
              <w:right w:val="nil"/>
            </w:tcBorders>
            <w:shd w:val="clear" w:color="auto" w:fill="auto"/>
            <w:noWrap/>
            <w:vAlign w:val="bottom"/>
            <w:hideMark/>
          </w:tcPr>
          <w:p w14:paraId="0BAEFE81" w14:textId="77777777" w:rsidR="00350C1D" w:rsidRPr="004E0937" w:rsidRDefault="00350C1D" w:rsidP="00DB3615">
            <w:pPr>
              <w:spacing w:after="0" w:line="240" w:lineRule="auto"/>
              <w:jc w:val="center"/>
              <w:rPr>
                <w:rFonts w:ascii="Calibri" w:eastAsia="Times New Roman" w:hAnsi="Calibri" w:cs="Calibri"/>
                <w:color w:val="000000"/>
              </w:rPr>
            </w:pPr>
            <w:r w:rsidRPr="004E0937">
              <w:rPr>
                <w:rFonts w:ascii="Calibri" w:eastAsia="Times New Roman" w:hAnsi="Calibri" w:cs="Calibri"/>
                <w:color w:val="000000"/>
              </w:rPr>
              <w:t>F</w:t>
            </w:r>
          </w:p>
        </w:tc>
        <w:tc>
          <w:tcPr>
            <w:tcW w:w="430" w:type="pct"/>
            <w:tcBorders>
              <w:top w:val="nil"/>
              <w:left w:val="nil"/>
              <w:bottom w:val="nil"/>
              <w:right w:val="nil"/>
            </w:tcBorders>
            <w:shd w:val="clear" w:color="auto" w:fill="auto"/>
            <w:noWrap/>
            <w:vAlign w:val="bottom"/>
            <w:hideMark/>
          </w:tcPr>
          <w:p w14:paraId="536642CD" w14:textId="77777777" w:rsidR="00350C1D" w:rsidRPr="004E0937" w:rsidRDefault="00350C1D" w:rsidP="00DB3615">
            <w:pPr>
              <w:spacing w:after="0" w:line="240" w:lineRule="auto"/>
              <w:jc w:val="center"/>
              <w:rPr>
                <w:rFonts w:ascii="Calibri" w:eastAsia="Times New Roman" w:hAnsi="Calibri" w:cs="Calibri"/>
                <w:color w:val="000000"/>
              </w:rPr>
            </w:pPr>
            <w:r w:rsidRPr="004E0937">
              <w:rPr>
                <w:rFonts w:ascii="Calibri" w:eastAsia="Times New Roman" w:hAnsi="Calibri" w:cs="Calibri"/>
                <w:color w:val="000000"/>
              </w:rPr>
              <w:t>EUR</w:t>
            </w:r>
          </w:p>
        </w:tc>
        <w:tc>
          <w:tcPr>
            <w:tcW w:w="458" w:type="pct"/>
            <w:tcBorders>
              <w:top w:val="nil"/>
              <w:left w:val="nil"/>
              <w:bottom w:val="nil"/>
              <w:right w:val="nil"/>
            </w:tcBorders>
            <w:shd w:val="clear" w:color="auto" w:fill="auto"/>
            <w:vAlign w:val="bottom"/>
            <w:hideMark/>
          </w:tcPr>
          <w:p w14:paraId="151D8532" w14:textId="77777777" w:rsidR="00350C1D" w:rsidRPr="004E0937" w:rsidRDefault="00350C1D" w:rsidP="00DB3615">
            <w:pPr>
              <w:spacing w:after="0" w:line="240" w:lineRule="auto"/>
              <w:jc w:val="left"/>
              <w:rPr>
                <w:rFonts w:ascii="Calibri" w:eastAsia="Times New Roman" w:hAnsi="Calibri" w:cs="Calibri"/>
                <w:color w:val="000000"/>
              </w:rPr>
            </w:pPr>
            <w:r w:rsidRPr="004E0937">
              <w:rPr>
                <w:rFonts w:ascii="Calibri" w:eastAsia="Times New Roman" w:hAnsi="Calibri" w:cs="Calibri"/>
                <w:color w:val="000000"/>
              </w:rPr>
              <w:t>Stop gained</w:t>
            </w:r>
          </w:p>
        </w:tc>
        <w:tc>
          <w:tcPr>
            <w:tcW w:w="413" w:type="pct"/>
            <w:tcBorders>
              <w:top w:val="nil"/>
              <w:left w:val="nil"/>
              <w:bottom w:val="nil"/>
              <w:right w:val="nil"/>
            </w:tcBorders>
            <w:shd w:val="clear" w:color="auto" w:fill="auto"/>
            <w:vAlign w:val="bottom"/>
            <w:hideMark/>
          </w:tcPr>
          <w:p w14:paraId="288B9706" w14:textId="77777777" w:rsidR="00350C1D" w:rsidRPr="004E0937" w:rsidRDefault="00350C1D" w:rsidP="00DB3615">
            <w:pPr>
              <w:spacing w:after="0" w:line="240" w:lineRule="auto"/>
              <w:jc w:val="left"/>
              <w:rPr>
                <w:rFonts w:ascii="Calibri" w:eastAsia="Times New Roman" w:hAnsi="Calibri" w:cs="Calibri"/>
                <w:color w:val="000000"/>
              </w:rPr>
            </w:pPr>
          </w:p>
        </w:tc>
        <w:tc>
          <w:tcPr>
            <w:tcW w:w="417" w:type="pct"/>
            <w:tcBorders>
              <w:top w:val="nil"/>
              <w:left w:val="nil"/>
              <w:bottom w:val="nil"/>
              <w:right w:val="nil"/>
            </w:tcBorders>
            <w:shd w:val="clear" w:color="auto" w:fill="auto"/>
            <w:noWrap/>
            <w:vAlign w:val="bottom"/>
            <w:hideMark/>
          </w:tcPr>
          <w:p w14:paraId="0E2D7C14" w14:textId="77777777" w:rsidR="00350C1D" w:rsidRPr="004E0937" w:rsidRDefault="00350C1D" w:rsidP="00DB3615">
            <w:pPr>
              <w:spacing w:after="0" w:line="240" w:lineRule="auto"/>
              <w:jc w:val="left"/>
              <w:rPr>
                <w:rFonts w:ascii="Times New Roman" w:eastAsia="Times New Roman" w:hAnsi="Times New Roman" w:cs="Times New Roman"/>
                <w:sz w:val="20"/>
                <w:szCs w:val="20"/>
              </w:rPr>
            </w:pPr>
          </w:p>
        </w:tc>
      </w:tr>
      <w:tr w:rsidR="00350C1D" w:rsidRPr="004E0937" w14:paraId="0DEDD554" w14:textId="77777777" w:rsidTr="00350C1D">
        <w:trPr>
          <w:trHeight w:val="290"/>
        </w:trPr>
        <w:tc>
          <w:tcPr>
            <w:tcW w:w="184" w:type="pct"/>
            <w:tcBorders>
              <w:top w:val="nil"/>
              <w:left w:val="nil"/>
              <w:bottom w:val="nil"/>
              <w:right w:val="nil"/>
            </w:tcBorders>
            <w:shd w:val="clear" w:color="auto" w:fill="auto"/>
            <w:noWrap/>
            <w:vAlign w:val="bottom"/>
            <w:hideMark/>
          </w:tcPr>
          <w:p w14:paraId="7D381FF4" w14:textId="77777777" w:rsidR="00350C1D" w:rsidRPr="004E0937" w:rsidRDefault="00350C1D" w:rsidP="00DB3615">
            <w:pPr>
              <w:spacing w:after="0" w:line="240" w:lineRule="auto"/>
              <w:jc w:val="center"/>
              <w:rPr>
                <w:rFonts w:ascii="Calibri" w:eastAsia="Times New Roman" w:hAnsi="Calibri" w:cs="Calibri"/>
                <w:color w:val="000000"/>
              </w:rPr>
            </w:pPr>
            <w:r w:rsidRPr="004E0937">
              <w:rPr>
                <w:rFonts w:ascii="Calibri" w:eastAsia="Times New Roman" w:hAnsi="Calibri" w:cs="Calibri"/>
                <w:color w:val="000000"/>
              </w:rPr>
              <w:t>39</w:t>
            </w:r>
          </w:p>
        </w:tc>
        <w:tc>
          <w:tcPr>
            <w:tcW w:w="190" w:type="pct"/>
            <w:tcBorders>
              <w:top w:val="nil"/>
              <w:left w:val="nil"/>
              <w:bottom w:val="nil"/>
              <w:right w:val="nil"/>
            </w:tcBorders>
            <w:vAlign w:val="bottom"/>
          </w:tcPr>
          <w:p w14:paraId="62898451" w14:textId="06A3ABE4" w:rsidR="00350C1D" w:rsidRDefault="00350C1D" w:rsidP="00DB3615">
            <w:pPr>
              <w:spacing w:after="0" w:line="240" w:lineRule="auto"/>
              <w:jc w:val="center"/>
              <w:rPr>
                <w:rFonts w:ascii="Calibri" w:eastAsia="Times New Roman" w:hAnsi="Calibri" w:cs="Calibri"/>
                <w:color w:val="000000"/>
              </w:rPr>
            </w:pPr>
            <w:r>
              <w:rPr>
                <w:rFonts w:ascii="Calibri" w:eastAsia="Times New Roman" w:hAnsi="Calibri" w:cs="Calibri"/>
                <w:color w:val="000000"/>
              </w:rPr>
              <w:t>Yes</w:t>
            </w:r>
          </w:p>
        </w:tc>
        <w:tc>
          <w:tcPr>
            <w:tcW w:w="498" w:type="pct"/>
            <w:tcBorders>
              <w:top w:val="nil"/>
              <w:left w:val="nil"/>
              <w:bottom w:val="nil"/>
              <w:right w:val="nil"/>
            </w:tcBorders>
            <w:shd w:val="clear" w:color="auto" w:fill="auto"/>
            <w:noWrap/>
            <w:vAlign w:val="bottom"/>
            <w:hideMark/>
          </w:tcPr>
          <w:p w14:paraId="6D2EC6F5" w14:textId="33A69689" w:rsidR="00350C1D" w:rsidRPr="004E0937" w:rsidRDefault="00350C1D" w:rsidP="00DB3615">
            <w:pPr>
              <w:spacing w:after="0" w:line="240" w:lineRule="auto"/>
              <w:jc w:val="center"/>
              <w:rPr>
                <w:rFonts w:ascii="Calibri" w:eastAsia="Times New Roman" w:hAnsi="Calibri" w:cs="Calibri"/>
                <w:color w:val="000000"/>
              </w:rPr>
            </w:pPr>
          </w:p>
        </w:tc>
        <w:tc>
          <w:tcPr>
            <w:tcW w:w="374" w:type="pct"/>
            <w:tcBorders>
              <w:top w:val="nil"/>
              <w:left w:val="nil"/>
              <w:bottom w:val="nil"/>
              <w:right w:val="nil"/>
            </w:tcBorders>
            <w:shd w:val="clear" w:color="auto" w:fill="auto"/>
            <w:noWrap/>
            <w:vAlign w:val="bottom"/>
            <w:hideMark/>
          </w:tcPr>
          <w:p w14:paraId="36938463" w14:textId="77777777" w:rsidR="00350C1D" w:rsidRPr="004E0937" w:rsidRDefault="00350C1D" w:rsidP="00DB3615">
            <w:pPr>
              <w:spacing w:after="0" w:line="240" w:lineRule="auto"/>
              <w:jc w:val="center"/>
              <w:rPr>
                <w:rFonts w:ascii="Times New Roman" w:eastAsia="Times New Roman" w:hAnsi="Times New Roman" w:cs="Times New Roman"/>
                <w:sz w:val="20"/>
                <w:szCs w:val="20"/>
              </w:rPr>
            </w:pPr>
          </w:p>
        </w:tc>
        <w:tc>
          <w:tcPr>
            <w:tcW w:w="498" w:type="pct"/>
            <w:gridSpan w:val="3"/>
            <w:tcBorders>
              <w:top w:val="nil"/>
              <w:left w:val="nil"/>
              <w:bottom w:val="nil"/>
              <w:right w:val="nil"/>
            </w:tcBorders>
            <w:shd w:val="clear" w:color="auto" w:fill="auto"/>
            <w:noWrap/>
            <w:vAlign w:val="bottom"/>
            <w:hideMark/>
          </w:tcPr>
          <w:p w14:paraId="544AACA5" w14:textId="77777777" w:rsidR="00350C1D" w:rsidRPr="004E0937" w:rsidRDefault="00350C1D" w:rsidP="00DB3615">
            <w:pPr>
              <w:spacing w:after="0" w:line="240" w:lineRule="auto"/>
              <w:jc w:val="center"/>
              <w:rPr>
                <w:rFonts w:ascii="Times New Roman" w:eastAsia="Times New Roman" w:hAnsi="Times New Roman" w:cs="Times New Roman"/>
                <w:sz w:val="20"/>
                <w:szCs w:val="20"/>
              </w:rPr>
            </w:pPr>
          </w:p>
        </w:tc>
        <w:tc>
          <w:tcPr>
            <w:tcW w:w="1052" w:type="pct"/>
            <w:gridSpan w:val="2"/>
            <w:tcBorders>
              <w:top w:val="nil"/>
              <w:left w:val="nil"/>
              <w:bottom w:val="nil"/>
              <w:right w:val="nil"/>
            </w:tcBorders>
            <w:shd w:val="clear" w:color="auto" w:fill="auto"/>
            <w:vAlign w:val="bottom"/>
            <w:hideMark/>
          </w:tcPr>
          <w:p w14:paraId="4FCE183F" w14:textId="77777777" w:rsidR="00350C1D" w:rsidRPr="004E0937" w:rsidRDefault="00350C1D" w:rsidP="00DB3615">
            <w:pPr>
              <w:spacing w:after="0" w:line="240" w:lineRule="auto"/>
              <w:jc w:val="left"/>
              <w:rPr>
                <w:rFonts w:ascii="Calibri" w:eastAsia="Times New Roman" w:hAnsi="Calibri" w:cs="Calibri"/>
                <w:color w:val="000000"/>
              </w:rPr>
            </w:pPr>
            <w:r w:rsidRPr="004E0937">
              <w:rPr>
                <w:rFonts w:ascii="Calibri" w:eastAsia="Times New Roman" w:hAnsi="Calibri" w:cs="Calibri"/>
                <w:color w:val="000000"/>
              </w:rPr>
              <w:t xml:space="preserve">Intellectual disability </w:t>
            </w:r>
          </w:p>
        </w:tc>
        <w:tc>
          <w:tcPr>
            <w:tcW w:w="366" w:type="pct"/>
            <w:tcBorders>
              <w:top w:val="nil"/>
              <w:left w:val="nil"/>
              <w:bottom w:val="nil"/>
              <w:right w:val="nil"/>
            </w:tcBorders>
            <w:shd w:val="clear" w:color="auto" w:fill="auto"/>
            <w:noWrap/>
            <w:vAlign w:val="bottom"/>
            <w:hideMark/>
          </w:tcPr>
          <w:p w14:paraId="30850EB7" w14:textId="77777777" w:rsidR="00350C1D" w:rsidRPr="004E0937" w:rsidRDefault="00350C1D" w:rsidP="00DB3615">
            <w:pPr>
              <w:spacing w:after="0" w:line="240" w:lineRule="auto"/>
              <w:jc w:val="left"/>
              <w:rPr>
                <w:rFonts w:ascii="Calibri" w:eastAsia="Times New Roman" w:hAnsi="Calibri" w:cs="Calibri"/>
                <w:color w:val="000000"/>
              </w:rPr>
            </w:pPr>
            <w:r w:rsidRPr="004E0937">
              <w:rPr>
                <w:rFonts w:ascii="Calibri" w:eastAsia="Times New Roman" w:hAnsi="Calibri" w:cs="Calibri"/>
                <w:color w:val="000000"/>
              </w:rPr>
              <w:t>Relative</w:t>
            </w:r>
          </w:p>
        </w:tc>
        <w:tc>
          <w:tcPr>
            <w:tcW w:w="120" w:type="pct"/>
            <w:tcBorders>
              <w:top w:val="nil"/>
              <w:left w:val="nil"/>
              <w:bottom w:val="nil"/>
              <w:right w:val="nil"/>
            </w:tcBorders>
            <w:shd w:val="clear" w:color="auto" w:fill="auto"/>
            <w:noWrap/>
            <w:vAlign w:val="bottom"/>
            <w:hideMark/>
          </w:tcPr>
          <w:p w14:paraId="7B92568C" w14:textId="77777777" w:rsidR="00350C1D" w:rsidRPr="004E0937" w:rsidRDefault="00350C1D" w:rsidP="00DB3615">
            <w:pPr>
              <w:spacing w:after="0" w:line="240" w:lineRule="auto"/>
              <w:jc w:val="center"/>
              <w:rPr>
                <w:rFonts w:ascii="Calibri" w:eastAsia="Times New Roman" w:hAnsi="Calibri" w:cs="Calibri"/>
                <w:color w:val="000000"/>
              </w:rPr>
            </w:pPr>
            <w:r w:rsidRPr="004E0937">
              <w:rPr>
                <w:rFonts w:ascii="Calibri" w:eastAsia="Times New Roman" w:hAnsi="Calibri" w:cs="Calibri"/>
                <w:color w:val="000000"/>
              </w:rPr>
              <w:t>M</w:t>
            </w:r>
          </w:p>
        </w:tc>
        <w:tc>
          <w:tcPr>
            <w:tcW w:w="430" w:type="pct"/>
            <w:tcBorders>
              <w:top w:val="nil"/>
              <w:left w:val="nil"/>
              <w:bottom w:val="nil"/>
              <w:right w:val="nil"/>
            </w:tcBorders>
            <w:shd w:val="clear" w:color="auto" w:fill="auto"/>
            <w:noWrap/>
            <w:vAlign w:val="bottom"/>
            <w:hideMark/>
          </w:tcPr>
          <w:p w14:paraId="380F316B" w14:textId="77777777" w:rsidR="00350C1D" w:rsidRPr="004E0937" w:rsidRDefault="00350C1D" w:rsidP="00DB3615">
            <w:pPr>
              <w:spacing w:after="0" w:line="240" w:lineRule="auto"/>
              <w:jc w:val="center"/>
              <w:rPr>
                <w:rFonts w:ascii="Calibri" w:eastAsia="Times New Roman" w:hAnsi="Calibri" w:cs="Calibri"/>
                <w:color w:val="000000"/>
              </w:rPr>
            </w:pPr>
            <w:r w:rsidRPr="004E0937">
              <w:rPr>
                <w:rFonts w:ascii="Calibri" w:eastAsia="Times New Roman" w:hAnsi="Calibri" w:cs="Calibri"/>
                <w:color w:val="000000"/>
              </w:rPr>
              <w:t>EAS</w:t>
            </w:r>
          </w:p>
        </w:tc>
        <w:tc>
          <w:tcPr>
            <w:tcW w:w="458" w:type="pct"/>
            <w:tcBorders>
              <w:top w:val="nil"/>
              <w:left w:val="nil"/>
              <w:bottom w:val="nil"/>
              <w:right w:val="nil"/>
            </w:tcBorders>
            <w:shd w:val="clear" w:color="auto" w:fill="auto"/>
            <w:vAlign w:val="bottom"/>
            <w:hideMark/>
          </w:tcPr>
          <w:p w14:paraId="39E7B9C0" w14:textId="77777777" w:rsidR="00350C1D" w:rsidRPr="004E0937" w:rsidRDefault="00350C1D" w:rsidP="00DB3615">
            <w:pPr>
              <w:spacing w:after="0" w:line="240" w:lineRule="auto"/>
              <w:jc w:val="left"/>
              <w:rPr>
                <w:rFonts w:ascii="Calibri" w:eastAsia="Times New Roman" w:hAnsi="Calibri" w:cs="Calibri"/>
                <w:color w:val="000000"/>
              </w:rPr>
            </w:pPr>
            <w:r w:rsidRPr="004E0937">
              <w:rPr>
                <w:rFonts w:ascii="Calibri" w:eastAsia="Times New Roman" w:hAnsi="Calibri" w:cs="Calibri"/>
                <w:color w:val="000000"/>
              </w:rPr>
              <w:t>Missense*</w:t>
            </w:r>
          </w:p>
        </w:tc>
        <w:tc>
          <w:tcPr>
            <w:tcW w:w="413" w:type="pct"/>
            <w:tcBorders>
              <w:top w:val="nil"/>
              <w:left w:val="nil"/>
              <w:bottom w:val="nil"/>
              <w:right w:val="nil"/>
            </w:tcBorders>
            <w:shd w:val="clear" w:color="auto" w:fill="auto"/>
            <w:vAlign w:val="bottom"/>
            <w:hideMark/>
          </w:tcPr>
          <w:p w14:paraId="09CDD977" w14:textId="77777777" w:rsidR="00350C1D" w:rsidRPr="004E0937" w:rsidRDefault="00350C1D" w:rsidP="00DB3615">
            <w:pPr>
              <w:spacing w:after="0" w:line="240" w:lineRule="auto"/>
              <w:jc w:val="left"/>
              <w:rPr>
                <w:rFonts w:ascii="Calibri" w:eastAsia="Times New Roman" w:hAnsi="Calibri" w:cs="Calibri"/>
                <w:color w:val="000000"/>
              </w:rPr>
            </w:pPr>
            <w:r w:rsidRPr="004E0937">
              <w:rPr>
                <w:rFonts w:ascii="Calibri" w:eastAsia="Times New Roman" w:hAnsi="Calibri" w:cs="Calibri"/>
                <w:color w:val="000000"/>
              </w:rPr>
              <w:t>Intronic variant*</w:t>
            </w:r>
          </w:p>
        </w:tc>
        <w:tc>
          <w:tcPr>
            <w:tcW w:w="417" w:type="pct"/>
            <w:tcBorders>
              <w:top w:val="nil"/>
              <w:left w:val="nil"/>
              <w:bottom w:val="nil"/>
              <w:right w:val="nil"/>
            </w:tcBorders>
            <w:shd w:val="clear" w:color="auto" w:fill="auto"/>
            <w:noWrap/>
            <w:vAlign w:val="bottom"/>
            <w:hideMark/>
          </w:tcPr>
          <w:p w14:paraId="391C4E1F" w14:textId="77777777" w:rsidR="00350C1D" w:rsidRPr="004E0937" w:rsidRDefault="00350C1D" w:rsidP="00DB3615">
            <w:pPr>
              <w:spacing w:after="0" w:line="240" w:lineRule="auto"/>
              <w:jc w:val="left"/>
              <w:rPr>
                <w:rFonts w:ascii="Calibri" w:eastAsia="Times New Roman" w:hAnsi="Calibri" w:cs="Calibri"/>
                <w:color w:val="000000"/>
              </w:rPr>
            </w:pPr>
          </w:p>
        </w:tc>
      </w:tr>
      <w:tr w:rsidR="00350C1D" w:rsidRPr="004E0937" w14:paraId="7F1CA466" w14:textId="77777777" w:rsidTr="00350C1D">
        <w:trPr>
          <w:trHeight w:val="290"/>
        </w:trPr>
        <w:tc>
          <w:tcPr>
            <w:tcW w:w="184" w:type="pct"/>
            <w:tcBorders>
              <w:top w:val="nil"/>
              <w:left w:val="nil"/>
              <w:bottom w:val="nil"/>
              <w:right w:val="nil"/>
            </w:tcBorders>
            <w:shd w:val="clear" w:color="auto" w:fill="auto"/>
            <w:noWrap/>
            <w:vAlign w:val="bottom"/>
            <w:hideMark/>
          </w:tcPr>
          <w:p w14:paraId="781DB7BA" w14:textId="77777777" w:rsidR="00350C1D" w:rsidRPr="004E0937" w:rsidRDefault="00350C1D" w:rsidP="00DB3615">
            <w:pPr>
              <w:spacing w:after="0" w:line="240" w:lineRule="auto"/>
              <w:jc w:val="center"/>
              <w:rPr>
                <w:rFonts w:ascii="Calibri" w:eastAsia="Times New Roman" w:hAnsi="Calibri" w:cs="Calibri"/>
                <w:color w:val="000000"/>
              </w:rPr>
            </w:pPr>
            <w:r w:rsidRPr="004E0937">
              <w:rPr>
                <w:rFonts w:ascii="Calibri" w:eastAsia="Times New Roman" w:hAnsi="Calibri" w:cs="Calibri"/>
                <w:color w:val="000000"/>
              </w:rPr>
              <w:t>40</w:t>
            </w:r>
          </w:p>
        </w:tc>
        <w:tc>
          <w:tcPr>
            <w:tcW w:w="190" w:type="pct"/>
            <w:tcBorders>
              <w:top w:val="nil"/>
              <w:left w:val="nil"/>
              <w:bottom w:val="nil"/>
              <w:right w:val="nil"/>
            </w:tcBorders>
            <w:vAlign w:val="bottom"/>
          </w:tcPr>
          <w:p w14:paraId="5772CD1E" w14:textId="5005F56D" w:rsidR="00350C1D" w:rsidRDefault="00350C1D" w:rsidP="00DB3615">
            <w:pPr>
              <w:spacing w:after="0" w:line="240" w:lineRule="auto"/>
              <w:jc w:val="center"/>
              <w:rPr>
                <w:rFonts w:ascii="Calibri" w:eastAsia="Times New Roman" w:hAnsi="Calibri" w:cs="Calibri"/>
                <w:color w:val="000000"/>
              </w:rPr>
            </w:pPr>
            <w:r>
              <w:rPr>
                <w:rFonts w:ascii="Calibri" w:eastAsia="Times New Roman" w:hAnsi="Calibri" w:cs="Calibri"/>
                <w:color w:val="000000"/>
              </w:rPr>
              <w:t>Yes</w:t>
            </w:r>
          </w:p>
        </w:tc>
        <w:tc>
          <w:tcPr>
            <w:tcW w:w="498" w:type="pct"/>
            <w:tcBorders>
              <w:top w:val="nil"/>
              <w:left w:val="nil"/>
              <w:bottom w:val="nil"/>
              <w:right w:val="nil"/>
            </w:tcBorders>
            <w:shd w:val="clear" w:color="auto" w:fill="auto"/>
            <w:noWrap/>
            <w:vAlign w:val="bottom"/>
            <w:hideMark/>
          </w:tcPr>
          <w:p w14:paraId="271E4DF6" w14:textId="19D338D7" w:rsidR="00350C1D" w:rsidRPr="004E0937" w:rsidRDefault="00350C1D" w:rsidP="00DB3615">
            <w:pPr>
              <w:spacing w:after="0" w:line="240" w:lineRule="auto"/>
              <w:jc w:val="center"/>
              <w:rPr>
                <w:rFonts w:ascii="Calibri" w:eastAsia="Times New Roman" w:hAnsi="Calibri" w:cs="Calibri"/>
                <w:color w:val="000000"/>
              </w:rPr>
            </w:pPr>
          </w:p>
        </w:tc>
        <w:tc>
          <w:tcPr>
            <w:tcW w:w="374" w:type="pct"/>
            <w:tcBorders>
              <w:top w:val="nil"/>
              <w:left w:val="nil"/>
              <w:bottom w:val="nil"/>
              <w:right w:val="nil"/>
            </w:tcBorders>
            <w:shd w:val="clear" w:color="auto" w:fill="auto"/>
            <w:noWrap/>
            <w:vAlign w:val="bottom"/>
            <w:hideMark/>
          </w:tcPr>
          <w:p w14:paraId="50A1A5B7" w14:textId="77777777" w:rsidR="00350C1D" w:rsidRPr="004E0937" w:rsidRDefault="00350C1D" w:rsidP="00DB3615">
            <w:pPr>
              <w:spacing w:after="0" w:line="240" w:lineRule="auto"/>
              <w:jc w:val="center"/>
              <w:rPr>
                <w:rFonts w:ascii="Times New Roman" w:eastAsia="Times New Roman" w:hAnsi="Times New Roman" w:cs="Times New Roman"/>
                <w:sz w:val="20"/>
                <w:szCs w:val="20"/>
              </w:rPr>
            </w:pPr>
          </w:p>
        </w:tc>
        <w:tc>
          <w:tcPr>
            <w:tcW w:w="498" w:type="pct"/>
            <w:gridSpan w:val="3"/>
            <w:tcBorders>
              <w:top w:val="nil"/>
              <w:left w:val="nil"/>
              <w:bottom w:val="nil"/>
              <w:right w:val="nil"/>
            </w:tcBorders>
            <w:shd w:val="clear" w:color="auto" w:fill="auto"/>
            <w:noWrap/>
            <w:vAlign w:val="bottom"/>
            <w:hideMark/>
          </w:tcPr>
          <w:p w14:paraId="645F4508" w14:textId="77777777" w:rsidR="00350C1D" w:rsidRPr="004E0937" w:rsidRDefault="00350C1D" w:rsidP="00DB3615">
            <w:pPr>
              <w:spacing w:after="0" w:line="240" w:lineRule="auto"/>
              <w:jc w:val="center"/>
              <w:rPr>
                <w:rFonts w:ascii="Times New Roman" w:eastAsia="Times New Roman" w:hAnsi="Times New Roman" w:cs="Times New Roman"/>
                <w:sz w:val="20"/>
                <w:szCs w:val="20"/>
              </w:rPr>
            </w:pPr>
          </w:p>
        </w:tc>
        <w:tc>
          <w:tcPr>
            <w:tcW w:w="1052" w:type="pct"/>
            <w:gridSpan w:val="2"/>
            <w:tcBorders>
              <w:top w:val="nil"/>
              <w:left w:val="nil"/>
              <w:bottom w:val="nil"/>
              <w:right w:val="nil"/>
            </w:tcBorders>
            <w:shd w:val="clear" w:color="auto" w:fill="auto"/>
            <w:vAlign w:val="bottom"/>
            <w:hideMark/>
          </w:tcPr>
          <w:p w14:paraId="35E81ECC" w14:textId="77777777" w:rsidR="00350C1D" w:rsidRPr="004E0937" w:rsidRDefault="00350C1D" w:rsidP="00DB3615">
            <w:pPr>
              <w:spacing w:after="0" w:line="240" w:lineRule="auto"/>
              <w:jc w:val="left"/>
              <w:rPr>
                <w:rFonts w:ascii="Calibri" w:eastAsia="Times New Roman" w:hAnsi="Calibri" w:cs="Calibri"/>
                <w:color w:val="000000"/>
              </w:rPr>
            </w:pPr>
            <w:r w:rsidRPr="004E0937">
              <w:rPr>
                <w:rFonts w:ascii="Calibri" w:eastAsia="Times New Roman" w:hAnsi="Calibri" w:cs="Calibri"/>
                <w:color w:val="000000"/>
              </w:rPr>
              <w:t>NA</w:t>
            </w:r>
          </w:p>
        </w:tc>
        <w:tc>
          <w:tcPr>
            <w:tcW w:w="366" w:type="pct"/>
            <w:tcBorders>
              <w:top w:val="nil"/>
              <w:left w:val="nil"/>
              <w:bottom w:val="nil"/>
              <w:right w:val="nil"/>
            </w:tcBorders>
            <w:shd w:val="clear" w:color="auto" w:fill="auto"/>
            <w:noWrap/>
            <w:vAlign w:val="bottom"/>
            <w:hideMark/>
          </w:tcPr>
          <w:p w14:paraId="24F23840" w14:textId="77777777" w:rsidR="00350C1D" w:rsidRPr="004E0937" w:rsidRDefault="00350C1D" w:rsidP="00DB3615">
            <w:pPr>
              <w:spacing w:after="0" w:line="240" w:lineRule="auto"/>
              <w:jc w:val="left"/>
              <w:rPr>
                <w:rFonts w:ascii="Calibri" w:eastAsia="Times New Roman" w:hAnsi="Calibri" w:cs="Calibri"/>
                <w:color w:val="000000"/>
              </w:rPr>
            </w:pPr>
            <w:r w:rsidRPr="004E0937">
              <w:rPr>
                <w:rFonts w:ascii="Calibri" w:eastAsia="Times New Roman" w:hAnsi="Calibri" w:cs="Calibri"/>
                <w:color w:val="000000"/>
              </w:rPr>
              <w:t>Cancer</w:t>
            </w:r>
          </w:p>
        </w:tc>
        <w:tc>
          <w:tcPr>
            <w:tcW w:w="120" w:type="pct"/>
            <w:tcBorders>
              <w:top w:val="nil"/>
              <w:left w:val="nil"/>
              <w:bottom w:val="nil"/>
              <w:right w:val="nil"/>
            </w:tcBorders>
            <w:shd w:val="clear" w:color="auto" w:fill="auto"/>
            <w:noWrap/>
            <w:vAlign w:val="bottom"/>
            <w:hideMark/>
          </w:tcPr>
          <w:p w14:paraId="7B64B54E" w14:textId="77777777" w:rsidR="00350C1D" w:rsidRPr="004E0937" w:rsidRDefault="00350C1D" w:rsidP="00DB3615">
            <w:pPr>
              <w:spacing w:after="0" w:line="240" w:lineRule="auto"/>
              <w:jc w:val="center"/>
              <w:rPr>
                <w:rFonts w:ascii="Calibri" w:eastAsia="Times New Roman" w:hAnsi="Calibri" w:cs="Calibri"/>
                <w:color w:val="000000"/>
              </w:rPr>
            </w:pPr>
            <w:r w:rsidRPr="004E0937">
              <w:rPr>
                <w:rFonts w:ascii="Calibri" w:eastAsia="Times New Roman" w:hAnsi="Calibri" w:cs="Calibri"/>
                <w:color w:val="000000"/>
              </w:rPr>
              <w:t>F</w:t>
            </w:r>
          </w:p>
        </w:tc>
        <w:tc>
          <w:tcPr>
            <w:tcW w:w="430" w:type="pct"/>
            <w:tcBorders>
              <w:top w:val="nil"/>
              <w:left w:val="nil"/>
              <w:bottom w:val="nil"/>
              <w:right w:val="nil"/>
            </w:tcBorders>
            <w:shd w:val="clear" w:color="auto" w:fill="auto"/>
            <w:noWrap/>
            <w:vAlign w:val="bottom"/>
            <w:hideMark/>
          </w:tcPr>
          <w:p w14:paraId="618C6B2B" w14:textId="77777777" w:rsidR="00350C1D" w:rsidRPr="004E0937" w:rsidRDefault="00350C1D" w:rsidP="00DB3615">
            <w:pPr>
              <w:spacing w:after="0" w:line="240" w:lineRule="auto"/>
              <w:jc w:val="center"/>
              <w:rPr>
                <w:rFonts w:ascii="Calibri" w:eastAsia="Times New Roman" w:hAnsi="Calibri" w:cs="Calibri"/>
                <w:color w:val="000000"/>
              </w:rPr>
            </w:pPr>
          </w:p>
        </w:tc>
        <w:tc>
          <w:tcPr>
            <w:tcW w:w="458" w:type="pct"/>
            <w:tcBorders>
              <w:top w:val="nil"/>
              <w:left w:val="nil"/>
              <w:bottom w:val="nil"/>
              <w:right w:val="nil"/>
            </w:tcBorders>
            <w:shd w:val="clear" w:color="auto" w:fill="auto"/>
            <w:vAlign w:val="bottom"/>
            <w:hideMark/>
          </w:tcPr>
          <w:p w14:paraId="62F837F2" w14:textId="77777777" w:rsidR="00350C1D" w:rsidRPr="004E0937" w:rsidRDefault="00350C1D" w:rsidP="00DB3615">
            <w:pPr>
              <w:spacing w:after="0" w:line="240" w:lineRule="auto"/>
              <w:jc w:val="left"/>
              <w:rPr>
                <w:rFonts w:ascii="Calibri" w:eastAsia="Times New Roman" w:hAnsi="Calibri" w:cs="Calibri"/>
                <w:color w:val="000000"/>
              </w:rPr>
            </w:pPr>
            <w:r w:rsidRPr="004E0937">
              <w:rPr>
                <w:rFonts w:ascii="Calibri" w:eastAsia="Times New Roman" w:hAnsi="Calibri" w:cs="Calibri"/>
                <w:color w:val="000000"/>
              </w:rPr>
              <w:t>Missense</w:t>
            </w:r>
          </w:p>
        </w:tc>
        <w:tc>
          <w:tcPr>
            <w:tcW w:w="413" w:type="pct"/>
            <w:tcBorders>
              <w:top w:val="nil"/>
              <w:left w:val="nil"/>
              <w:bottom w:val="nil"/>
              <w:right w:val="nil"/>
            </w:tcBorders>
            <w:shd w:val="clear" w:color="auto" w:fill="auto"/>
            <w:vAlign w:val="bottom"/>
            <w:hideMark/>
          </w:tcPr>
          <w:p w14:paraId="67872B42" w14:textId="77777777" w:rsidR="00350C1D" w:rsidRPr="004E0937" w:rsidRDefault="00350C1D" w:rsidP="00DB3615">
            <w:pPr>
              <w:spacing w:after="0" w:line="240" w:lineRule="auto"/>
              <w:jc w:val="left"/>
              <w:rPr>
                <w:rFonts w:ascii="Calibri" w:eastAsia="Times New Roman" w:hAnsi="Calibri" w:cs="Calibri"/>
                <w:color w:val="000000"/>
              </w:rPr>
            </w:pPr>
            <w:r w:rsidRPr="004E0937">
              <w:rPr>
                <w:rFonts w:ascii="Calibri" w:eastAsia="Times New Roman" w:hAnsi="Calibri" w:cs="Calibri"/>
                <w:color w:val="000000"/>
              </w:rPr>
              <w:t>Intronic variant</w:t>
            </w:r>
          </w:p>
        </w:tc>
        <w:tc>
          <w:tcPr>
            <w:tcW w:w="417" w:type="pct"/>
            <w:tcBorders>
              <w:top w:val="nil"/>
              <w:left w:val="nil"/>
              <w:bottom w:val="nil"/>
              <w:right w:val="nil"/>
            </w:tcBorders>
            <w:shd w:val="clear" w:color="auto" w:fill="auto"/>
            <w:noWrap/>
            <w:vAlign w:val="bottom"/>
            <w:hideMark/>
          </w:tcPr>
          <w:p w14:paraId="479375D7" w14:textId="77777777" w:rsidR="00350C1D" w:rsidRPr="004E0937" w:rsidRDefault="00350C1D" w:rsidP="00DB3615">
            <w:pPr>
              <w:spacing w:after="0" w:line="240" w:lineRule="auto"/>
              <w:jc w:val="left"/>
              <w:rPr>
                <w:rFonts w:ascii="Calibri" w:eastAsia="Times New Roman" w:hAnsi="Calibri" w:cs="Calibri"/>
                <w:color w:val="000000"/>
              </w:rPr>
            </w:pPr>
          </w:p>
        </w:tc>
      </w:tr>
      <w:tr w:rsidR="00350C1D" w:rsidRPr="004E0937" w14:paraId="2A6ED277" w14:textId="77777777" w:rsidTr="00350C1D">
        <w:trPr>
          <w:trHeight w:val="290"/>
        </w:trPr>
        <w:tc>
          <w:tcPr>
            <w:tcW w:w="184" w:type="pct"/>
            <w:tcBorders>
              <w:top w:val="nil"/>
              <w:left w:val="nil"/>
              <w:bottom w:val="nil"/>
              <w:right w:val="nil"/>
            </w:tcBorders>
            <w:shd w:val="clear" w:color="auto" w:fill="auto"/>
            <w:noWrap/>
            <w:vAlign w:val="bottom"/>
            <w:hideMark/>
          </w:tcPr>
          <w:p w14:paraId="08DBE175" w14:textId="77777777" w:rsidR="00350C1D" w:rsidRPr="004E0937" w:rsidRDefault="00350C1D" w:rsidP="00DB3615">
            <w:pPr>
              <w:spacing w:after="0" w:line="240" w:lineRule="auto"/>
              <w:jc w:val="center"/>
              <w:rPr>
                <w:rFonts w:ascii="Calibri" w:eastAsia="Times New Roman" w:hAnsi="Calibri" w:cs="Calibri"/>
                <w:color w:val="000000"/>
              </w:rPr>
            </w:pPr>
            <w:r w:rsidRPr="004E0937">
              <w:rPr>
                <w:rFonts w:ascii="Calibri" w:eastAsia="Times New Roman" w:hAnsi="Calibri" w:cs="Calibri"/>
                <w:color w:val="000000"/>
              </w:rPr>
              <w:t>41</w:t>
            </w:r>
          </w:p>
        </w:tc>
        <w:tc>
          <w:tcPr>
            <w:tcW w:w="190" w:type="pct"/>
            <w:tcBorders>
              <w:top w:val="nil"/>
              <w:left w:val="nil"/>
              <w:bottom w:val="nil"/>
              <w:right w:val="nil"/>
            </w:tcBorders>
            <w:vAlign w:val="bottom"/>
          </w:tcPr>
          <w:p w14:paraId="270BD49B" w14:textId="77777777" w:rsidR="00350C1D" w:rsidRPr="004E0937" w:rsidRDefault="00350C1D" w:rsidP="00DB3615">
            <w:pPr>
              <w:spacing w:after="0" w:line="240" w:lineRule="auto"/>
              <w:jc w:val="center"/>
              <w:rPr>
                <w:rFonts w:ascii="Calibri" w:eastAsia="Times New Roman" w:hAnsi="Calibri" w:cs="Calibri"/>
                <w:color w:val="000000"/>
              </w:rPr>
            </w:pPr>
          </w:p>
        </w:tc>
        <w:tc>
          <w:tcPr>
            <w:tcW w:w="498" w:type="pct"/>
            <w:tcBorders>
              <w:top w:val="nil"/>
              <w:left w:val="nil"/>
              <w:bottom w:val="nil"/>
              <w:right w:val="nil"/>
            </w:tcBorders>
            <w:shd w:val="clear" w:color="auto" w:fill="auto"/>
            <w:noWrap/>
            <w:vAlign w:val="bottom"/>
            <w:hideMark/>
          </w:tcPr>
          <w:p w14:paraId="7664F77A" w14:textId="2EE1F583" w:rsidR="00350C1D" w:rsidRPr="004E0937" w:rsidRDefault="00350C1D" w:rsidP="00DB3615">
            <w:pPr>
              <w:spacing w:after="0" w:line="240" w:lineRule="auto"/>
              <w:jc w:val="center"/>
              <w:rPr>
                <w:rFonts w:ascii="Calibri" w:eastAsia="Times New Roman" w:hAnsi="Calibri" w:cs="Calibri"/>
                <w:color w:val="000000"/>
              </w:rPr>
            </w:pPr>
          </w:p>
        </w:tc>
        <w:tc>
          <w:tcPr>
            <w:tcW w:w="374" w:type="pct"/>
            <w:tcBorders>
              <w:top w:val="nil"/>
              <w:left w:val="nil"/>
              <w:bottom w:val="nil"/>
              <w:right w:val="nil"/>
            </w:tcBorders>
            <w:shd w:val="clear" w:color="auto" w:fill="auto"/>
            <w:noWrap/>
            <w:vAlign w:val="bottom"/>
            <w:hideMark/>
          </w:tcPr>
          <w:p w14:paraId="1A770972" w14:textId="77777777" w:rsidR="00350C1D" w:rsidRPr="004E0937" w:rsidRDefault="00350C1D" w:rsidP="00DB3615">
            <w:pPr>
              <w:spacing w:after="0" w:line="240" w:lineRule="auto"/>
              <w:jc w:val="center"/>
              <w:rPr>
                <w:rFonts w:ascii="Times New Roman" w:eastAsia="Times New Roman" w:hAnsi="Times New Roman" w:cs="Times New Roman"/>
                <w:sz w:val="20"/>
                <w:szCs w:val="20"/>
              </w:rPr>
            </w:pPr>
          </w:p>
        </w:tc>
        <w:tc>
          <w:tcPr>
            <w:tcW w:w="498" w:type="pct"/>
            <w:gridSpan w:val="3"/>
            <w:tcBorders>
              <w:top w:val="nil"/>
              <w:left w:val="nil"/>
              <w:bottom w:val="nil"/>
              <w:right w:val="nil"/>
            </w:tcBorders>
            <w:shd w:val="clear" w:color="auto" w:fill="auto"/>
            <w:noWrap/>
            <w:vAlign w:val="bottom"/>
            <w:hideMark/>
          </w:tcPr>
          <w:p w14:paraId="63B21348" w14:textId="77777777" w:rsidR="00350C1D" w:rsidRPr="004E0937" w:rsidRDefault="00350C1D" w:rsidP="00DB3615">
            <w:pPr>
              <w:spacing w:after="0" w:line="240" w:lineRule="auto"/>
              <w:jc w:val="center"/>
              <w:rPr>
                <w:rFonts w:ascii="Times New Roman" w:eastAsia="Times New Roman" w:hAnsi="Times New Roman" w:cs="Times New Roman"/>
                <w:sz w:val="20"/>
                <w:szCs w:val="20"/>
              </w:rPr>
            </w:pPr>
          </w:p>
        </w:tc>
        <w:tc>
          <w:tcPr>
            <w:tcW w:w="1052" w:type="pct"/>
            <w:gridSpan w:val="2"/>
            <w:tcBorders>
              <w:top w:val="nil"/>
              <w:left w:val="nil"/>
              <w:bottom w:val="nil"/>
              <w:right w:val="nil"/>
            </w:tcBorders>
            <w:shd w:val="clear" w:color="auto" w:fill="auto"/>
            <w:vAlign w:val="bottom"/>
            <w:hideMark/>
          </w:tcPr>
          <w:p w14:paraId="419AAC30" w14:textId="77777777" w:rsidR="00350C1D" w:rsidRPr="004E0937" w:rsidRDefault="00350C1D" w:rsidP="00DB3615">
            <w:pPr>
              <w:spacing w:after="0" w:line="240" w:lineRule="auto"/>
              <w:jc w:val="left"/>
              <w:rPr>
                <w:rFonts w:ascii="Calibri" w:eastAsia="Times New Roman" w:hAnsi="Calibri" w:cs="Calibri"/>
                <w:color w:val="000000"/>
              </w:rPr>
            </w:pPr>
            <w:r w:rsidRPr="004E0937">
              <w:rPr>
                <w:rFonts w:ascii="Calibri" w:eastAsia="Times New Roman" w:hAnsi="Calibri" w:cs="Calibri"/>
                <w:color w:val="000000"/>
              </w:rPr>
              <w:t>NA</w:t>
            </w:r>
          </w:p>
        </w:tc>
        <w:tc>
          <w:tcPr>
            <w:tcW w:w="366" w:type="pct"/>
            <w:tcBorders>
              <w:top w:val="nil"/>
              <w:left w:val="nil"/>
              <w:bottom w:val="nil"/>
              <w:right w:val="nil"/>
            </w:tcBorders>
            <w:shd w:val="clear" w:color="auto" w:fill="auto"/>
            <w:noWrap/>
            <w:vAlign w:val="bottom"/>
            <w:hideMark/>
          </w:tcPr>
          <w:p w14:paraId="65CC9104" w14:textId="77777777" w:rsidR="00350C1D" w:rsidRPr="004E0937" w:rsidRDefault="00350C1D" w:rsidP="00DB3615">
            <w:pPr>
              <w:spacing w:after="0" w:line="240" w:lineRule="auto"/>
              <w:jc w:val="left"/>
              <w:rPr>
                <w:rFonts w:ascii="Calibri" w:eastAsia="Times New Roman" w:hAnsi="Calibri" w:cs="Calibri"/>
                <w:color w:val="000000"/>
              </w:rPr>
            </w:pPr>
            <w:r w:rsidRPr="004E0937">
              <w:rPr>
                <w:rFonts w:ascii="Calibri" w:eastAsia="Times New Roman" w:hAnsi="Calibri" w:cs="Calibri"/>
                <w:color w:val="000000"/>
              </w:rPr>
              <w:t>Cancer</w:t>
            </w:r>
          </w:p>
        </w:tc>
        <w:tc>
          <w:tcPr>
            <w:tcW w:w="120" w:type="pct"/>
            <w:tcBorders>
              <w:top w:val="nil"/>
              <w:left w:val="nil"/>
              <w:bottom w:val="nil"/>
              <w:right w:val="nil"/>
            </w:tcBorders>
            <w:shd w:val="clear" w:color="auto" w:fill="auto"/>
            <w:noWrap/>
            <w:vAlign w:val="bottom"/>
            <w:hideMark/>
          </w:tcPr>
          <w:p w14:paraId="73E42FA6" w14:textId="77777777" w:rsidR="00350C1D" w:rsidRPr="004E0937" w:rsidRDefault="00350C1D" w:rsidP="00DB3615">
            <w:pPr>
              <w:spacing w:after="0" w:line="240" w:lineRule="auto"/>
              <w:jc w:val="center"/>
              <w:rPr>
                <w:rFonts w:ascii="Calibri" w:eastAsia="Times New Roman" w:hAnsi="Calibri" w:cs="Calibri"/>
                <w:color w:val="000000"/>
              </w:rPr>
            </w:pPr>
            <w:r w:rsidRPr="004E0937">
              <w:rPr>
                <w:rFonts w:ascii="Calibri" w:eastAsia="Times New Roman" w:hAnsi="Calibri" w:cs="Calibri"/>
                <w:color w:val="000000"/>
              </w:rPr>
              <w:t>M</w:t>
            </w:r>
          </w:p>
        </w:tc>
        <w:tc>
          <w:tcPr>
            <w:tcW w:w="430" w:type="pct"/>
            <w:tcBorders>
              <w:top w:val="nil"/>
              <w:left w:val="nil"/>
              <w:bottom w:val="nil"/>
              <w:right w:val="nil"/>
            </w:tcBorders>
            <w:shd w:val="clear" w:color="auto" w:fill="auto"/>
            <w:noWrap/>
            <w:vAlign w:val="bottom"/>
            <w:hideMark/>
          </w:tcPr>
          <w:p w14:paraId="1404F469" w14:textId="77777777" w:rsidR="00350C1D" w:rsidRPr="004E0937" w:rsidRDefault="00350C1D" w:rsidP="00DB3615">
            <w:pPr>
              <w:spacing w:after="0" w:line="240" w:lineRule="auto"/>
              <w:jc w:val="center"/>
              <w:rPr>
                <w:rFonts w:ascii="Calibri" w:eastAsia="Times New Roman" w:hAnsi="Calibri" w:cs="Calibri"/>
                <w:color w:val="000000"/>
              </w:rPr>
            </w:pPr>
            <w:r w:rsidRPr="004E0937">
              <w:rPr>
                <w:rFonts w:ascii="Calibri" w:eastAsia="Times New Roman" w:hAnsi="Calibri" w:cs="Calibri"/>
                <w:color w:val="000000"/>
              </w:rPr>
              <w:t>AFR</w:t>
            </w:r>
          </w:p>
        </w:tc>
        <w:tc>
          <w:tcPr>
            <w:tcW w:w="458" w:type="pct"/>
            <w:tcBorders>
              <w:top w:val="nil"/>
              <w:left w:val="nil"/>
              <w:bottom w:val="nil"/>
              <w:right w:val="nil"/>
            </w:tcBorders>
            <w:shd w:val="clear" w:color="auto" w:fill="auto"/>
            <w:vAlign w:val="bottom"/>
            <w:hideMark/>
          </w:tcPr>
          <w:p w14:paraId="1D21126D" w14:textId="77777777" w:rsidR="00350C1D" w:rsidRPr="004E0937" w:rsidRDefault="00350C1D" w:rsidP="00DB3615">
            <w:pPr>
              <w:spacing w:after="0" w:line="240" w:lineRule="auto"/>
              <w:jc w:val="left"/>
              <w:rPr>
                <w:rFonts w:ascii="Calibri" w:eastAsia="Times New Roman" w:hAnsi="Calibri" w:cs="Calibri"/>
                <w:color w:val="000000"/>
              </w:rPr>
            </w:pPr>
            <w:r w:rsidRPr="004E0937">
              <w:rPr>
                <w:rFonts w:ascii="Calibri" w:eastAsia="Times New Roman" w:hAnsi="Calibri" w:cs="Calibri"/>
                <w:color w:val="000000"/>
              </w:rPr>
              <w:t>CNV deletion</w:t>
            </w:r>
          </w:p>
        </w:tc>
        <w:tc>
          <w:tcPr>
            <w:tcW w:w="413" w:type="pct"/>
            <w:tcBorders>
              <w:top w:val="nil"/>
              <w:left w:val="nil"/>
              <w:bottom w:val="nil"/>
              <w:right w:val="nil"/>
            </w:tcBorders>
            <w:shd w:val="clear" w:color="auto" w:fill="auto"/>
            <w:vAlign w:val="bottom"/>
            <w:hideMark/>
          </w:tcPr>
          <w:p w14:paraId="18CC8E81" w14:textId="77777777" w:rsidR="00350C1D" w:rsidRPr="004E0937" w:rsidRDefault="00350C1D" w:rsidP="00DB3615">
            <w:pPr>
              <w:spacing w:after="0" w:line="240" w:lineRule="auto"/>
              <w:jc w:val="left"/>
              <w:rPr>
                <w:rFonts w:ascii="Calibri" w:eastAsia="Times New Roman" w:hAnsi="Calibri" w:cs="Calibri"/>
                <w:color w:val="000000"/>
              </w:rPr>
            </w:pPr>
            <w:r w:rsidRPr="004E0937">
              <w:rPr>
                <w:rFonts w:ascii="Calibri" w:eastAsia="Times New Roman" w:hAnsi="Calibri" w:cs="Calibri"/>
                <w:color w:val="000000"/>
              </w:rPr>
              <w:t>Intronic variant</w:t>
            </w:r>
          </w:p>
        </w:tc>
        <w:tc>
          <w:tcPr>
            <w:tcW w:w="417" w:type="pct"/>
            <w:tcBorders>
              <w:top w:val="nil"/>
              <w:left w:val="nil"/>
              <w:bottom w:val="nil"/>
              <w:right w:val="nil"/>
            </w:tcBorders>
            <w:shd w:val="clear" w:color="auto" w:fill="auto"/>
            <w:noWrap/>
            <w:vAlign w:val="bottom"/>
            <w:hideMark/>
          </w:tcPr>
          <w:p w14:paraId="7A83B976" w14:textId="77777777" w:rsidR="00350C1D" w:rsidRPr="004E0937" w:rsidRDefault="00350C1D" w:rsidP="00DB3615">
            <w:pPr>
              <w:spacing w:after="0" w:line="240" w:lineRule="auto"/>
              <w:jc w:val="left"/>
              <w:rPr>
                <w:rFonts w:ascii="Calibri" w:eastAsia="Times New Roman" w:hAnsi="Calibri" w:cs="Calibri"/>
                <w:color w:val="000000"/>
              </w:rPr>
            </w:pPr>
          </w:p>
        </w:tc>
      </w:tr>
      <w:tr w:rsidR="00350C1D" w:rsidRPr="004E0937" w14:paraId="56E083F5" w14:textId="77777777" w:rsidTr="00350C1D">
        <w:trPr>
          <w:trHeight w:val="290"/>
        </w:trPr>
        <w:tc>
          <w:tcPr>
            <w:tcW w:w="184" w:type="pct"/>
            <w:tcBorders>
              <w:top w:val="nil"/>
              <w:left w:val="nil"/>
              <w:bottom w:val="nil"/>
              <w:right w:val="nil"/>
            </w:tcBorders>
            <w:shd w:val="clear" w:color="auto" w:fill="auto"/>
            <w:noWrap/>
            <w:vAlign w:val="bottom"/>
            <w:hideMark/>
          </w:tcPr>
          <w:p w14:paraId="788CD699" w14:textId="77777777" w:rsidR="00350C1D" w:rsidRPr="004E0937" w:rsidRDefault="00350C1D" w:rsidP="00DB3615">
            <w:pPr>
              <w:spacing w:after="0" w:line="240" w:lineRule="auto"/>
              <w:jc w:val="center"/>
              <w:rPr>
                <w:rFonts w:ascii="Calibri" w:eastAsia="Times New Roman" w:hAnsi="Calibri" w:cs="Calibri"/>
                <w:color w:val="000000"/>
              </w:rPr>
            </w:pPr>
            <w:r w:rsidRPr="004E0937">
              <w:rPr>
                <w:rFonts w:ascii="Calibri" w:eastAsia="Times New Roman" w:hAnsi="Calibri" w:cs="Calibri"/>
                <w:color w:val="000000"/>
              </w:rPr>
              <w:t>42</w:t>
            </w:r>
          </w:p>
        </w:tc>
        <w:tc>
          <w:tcPr>
            <w:tcW w:w="190" w:type="pct"/>
            <w:tcBorders>
              <w:top w:val="nil"/>
              <w:left w:val="nil"/>
              <w:bottom w:val="nil"/>
              <w:right w:val="nil"/>
            </w:tcBorders>
            <w:vAlign w:val="bottom"/>
          </w:tcPr>
          <w:p w14:paraId="36EC66C2" w14:textId="0FA53C9B" w:rsidR="00350C1D" w:rsidRDefault="00350C1D" w:rsidP="00DB3615">
            <w:pPr>
              <w:spacing w:after="0" w:line="240" w:lineRule="auto"/>
              <w:jc w:val="center"/>
              <w:rPr>
                <w:rFonts w:ascii="Calibri" w:eastAsia="Times New Roman" w:hAnsi="Calibri" w:cs="Calibri"/>
                <w:color w:val="000000"/>
              </w:rPr>
            </w:pPr>
            <w:r>
              <w:rPr>
                <w:rFonts w:ascii="Calibri" w:eastAsia="Times New Roman" w:hAnsi="Calibri" w:cs="Calibri"/>
                <w:color w:val="000000"/>
              </w:rPr>
              <w:t>No</w:t>
            </w:r>
          </w:p>
        </w:tc>
        <w:tc>
          <w:tcPr>
            <w:tcW w:w="498" w:type="pct"/>
            <w:tcBorders>
              <w:top w:val="nil"/>
              <w:left w:val="nil"/>
              <w:bottom w:val="nil"/>
              <w:right w:val="nil"/>
            </w:tcBorders>
            <w:shd w:val="clear" w:color="auto" w:fill="auto"/>
            <w:noWrap/>
            <w:vAlign w:val="bottom"/>
            <w:hideMark/>
          </w:tcPr>
          <w:p w14:paraId="4E11B4B3" w14:textId="05E8B3A2" w:rsidR="00350C1D" w:rsidRPr="004E0937" w:rsidRDefault="00350C1D" w:rsidP="00DB3615">
            <w:pPr>
              <w:spacing w:after="0" w:line="240" w:lineRule="auto"/>
              <w:jc w:val="center"/>
              <w:rPr>
                <w:rFonts w:ascii="Calibri" w:eastAsia="Times New Roman" w:hAnsi="Calibri" w:cs="Calibri"/>
                <w:color w:val="000000"/>
              </w:rPr>
            </w:pPr>
          </w:p>
        </w:tc>
        <w:tc>
          <w:tcPr>
            <w:tcW w:w="374" w:type="pct"/>
            <w:tcBorders>
              <w:top w:val="nil"/>
              <w:left w:val="nil"/>
              <w:bottom w:val="nil"/>
              <w:right w:val="nil"/>
            </w:tcBorders>
            <w:shd w:val="clear" w:color="auto" w:fill="auto"/>
            <w:noWrap/>
            <w:vAlign w:val="bottom"/>
            <w:hideMark/>
          </w:tcPr>
          <w:p w14:paraId="184E2074" w14:textId="77777777" w:rsidR="00350C1D" w:rsidRPr="004E0937" w:rsidRDefault="00350C1D" w:rsidP="00DB3615">
            <w:pPr>
              <w:spacing w:after="0" w:line="240" w:lineRule="auto"/>
              <w:jc w:val="center"/>
              <w:rPr>
                <w:rFonts w:ascii="Times New Roman" w:eastAsia="Times New Roman" w:hAnsi="Times New Roman" w:cs="Times New Roman"/>
                <w:sz w:val="20"/>
                <w:szCs w:val="20"/>
              </w:rPr>
            </w:pPr>
          </w:p>
        </w:tc>
        <w:tc>
          <w:tcPr>
            <w:tcW w:w="498" w:type="pct"/>
            <w:gridSpan w:val="3"/>
            <w:tcBorders>
              <w:top w:val="nil"/>
              <w:left w:val="nil"/>
              <w:bottom w:val="nil"/>
              <w:right w:val="nil"/>
            </w:tcBorders>
            <w:shd w:val="clear" w:color="auto" w:fill="auto"/>
            <w:noWrap/>
            <w:vAlign w:val="bottom"/>
            <w:hideMark/>
          </w:tcPr>
          <w:p w14:paraId="083FCB6D" w14:textId="77777777" w:rsidR="00350C1D" w:rsidRPr="004E0937" w:rsidRDefault="00350C1D" w:rsidP="00DB3615">
            <w:pPr>
              <w:spacing w:after="0" w:line="240" w:lineRule="auto"/>
              <w:jc w:val="center"/>
              <w:rPr>
                <w:rFonts w:ascii="Times New Roman" w:eastAsia="Times New Roman" w:hAnsi="Times New Roman" w:cs="Times New Roman"/>
                <w:sz w:val="20"/>
                <w:szCs w:val="20"/>
              </w:rPr>
            </w:pPr>
          </w:p>
        </w:tc>
        <w:tc>
          <w:tcPr>
            <w:tcW w:w="1052" w:type="pct"/>
            <w:gridSpan w:val="2"/>
            <w:tcBorders>
              <w:top w:val="nil"/>
              <w:left w:val="nil"/>
              <w:bottom w:val="nil"/>
              <w:right w:val="nil"/>
            </w:tcBorders>
            <w:shd w:val="clear" w:color="auto" w:fill="auto"/>
            <w:vAlign w:val="bottom"/>
            <w:hideMark/>
          </w:tcPr>
          <w:p w14:paraId="126BBA71" w14:textId="77777777" w:rsidR="00350C1D" w:rsidRPr="004E0937" w:rsidRDefault="00350C1D" w:rsidP="00DB3615">
            <w:pPr>
              <w:spacing w:after="0" w:line="240" w:lineRule="auto"/>
              <w:jc w:val="left"/>
              <w:rPr>
                <w:rFonts w:ascii="Calibri" w:eastAsia="Times New Roman" w:hAnsi="Calibri" w:cs="Calibri"/>
                <w:color w:val="000000"/>
              </w:rPr>
            </w:pPr>
            <w:r w:rsidRPr="004E0937">
              <w:rPr>
                <w:rFonts w:ascii="Calibri" w:eastAsia="Times New Roman" w:hAnsi="Calibri" w:cs="Calibri"/>
                <w:color w:val="000000"/>
              </w:rPr>
              <w:t>NA</w:t>
            </w:r>
          </w:p>
        </w:tc>
        <w:tc>
          <w:tcPr>
            <w:tcW w:w="366" w:type="pct"/>
            <w:tcBorders>
              <w:top w:val="nil"/>
              <w:left w:val="nil"/>
              <w:bottom w:val="nil"/>
              <w:right w:val="nil"/>
            </w:tcBorders>
            <w:shd w:val="clear" w:color="auto" w:fill="auto"/>
            <w:noWrap/>
            <w:vAlign w:val="bottom"/>
            <w:hideMark/>
          </w:tcPr>
          <w:p w14:paraId="49DC2A1C" w14:textId="77777777" w:rsidR="00350C1D" w:rsidRPr="004E0937" w:rsidRDefault="00350C1D" w:rsidP="00DB3615">
            <w:pPr>
              <w:spacing w:after="0" w:line="240" w:lineRule="auto"/>
              <w:jc w:val="left"/>
              <w:rPr>
                <w:rFonts w:ascii="Calibri" w:eastAsia="Times New Roman" w:hAnsi="Calibri" w:cs="Calibri"/>
                <w:color w:val="000000"/>
              </w:rPr>
            </w:pPr>
            <w:r w:rsidRPr="004E0937">
              <w:rPr>
                <w:rFonts w:ascii="Calibri" w:eastAsia="Times New Roman" w:hAnsi="Calibri" w:cs="Calibri"/>
                <w:color w:val="000000"/>
              </w:rPr>
              <w:t>Cancer</w:t>
            </w:r>
          </w:p>
        </w:tc>
        <w:tc>
          <w:tcPr>
            <w:tcW w:w="120" w:type="pct"/>
            <w:tcBorders>
              <w:top w:val="nil"/>
              <w:left w:val="nil"/>
              <w:bottom w:val="nil"/>
              <w:right w:val="nil"/>
            </w:tcBorders>
            <w:shd w:val="clear" w:color="auto" w:fill="auto"/>
            <w:noWrap/>
            <w:vAlign w:val="bottom"/>
            <w:hideMark/>
          </w:tcPr>
          <w:p w14:paraId="1E4862B2" w14:textId="77777777" w:rsidR="00350C1D" w:rsidRPr="004E0937" w:rsidRDefault="00350C1D" w:rsidP="00DB3615">
            <w:pPr>
              <w:spacing w:after="0" w:line="240" w:lineRule="auto"/>
              <w:jc w:val="center"/>
              <w:rPr>
                <w:rFonts w:ascii="Calibri" w:eastAsia="Times New Roman" w:hAnsi="Calibri" w:cs="Calibri"/>
                <w:color w:val="000000"/>
              </w:rPr>
            </w:pPr>
            <w:r w:rsidRPr="004E0937">
              <w:rPr>
                <w:rFonts w:ascii="Calibri" w:eastAsia="Times New Roman" w:hAnsi="Calibri" w:cs="Calibri"/>
                <w:color w:val="000000"/>
              </w:rPr>
              <w:t>F</w:t>
            </w:r>
          </w:p>
        </w:tc>
        <w:tc>
          <w:tcPr>
            <w:tcW w:w="430" w:type="pct"/>
            <w:tcBorders>
              <w:top w:val="nil"/>
              <w:left w:val="nil"/>
              <w:bottom w:val="nil"/>
              <w:right w:val="nil"/>
            </w:tcBorders>
            <w:shd w:val="clear" w:color="auto" w:fill="auto"/>
            <w:noWrap/>
            <w:vAlign w:val="bottom"/>
            <w:hideMark/>
          </w:tcPr>
          <w:p w14:paraId="59FEF711" w14:textId="77777777" w:rsidR="00350C1D" w:rsidRPr="004E0937" w:rsidRDefault="00350C1D" w:rsidP="00DB3615">
            <w:pPr>
              <w:spacing w:after="0" w:line="240" w:lineRule="auto"/>
              <w:jc w:val="center"/>
              <w:rPr>
                <w:rFonts w:ascii="Calibri" w:eastAsia="Times New Roman" w:hAnsi="Calibri" w:cs="Calibri"/>
                <w:color w:val="000000"/>
              </w:rPr>
            </w:pPr>
            <w:r w:rsidRPr="004E0937">
              <w:rPr>
                <w:rFonts w:ascii="Calibri" w:eastAsia="Times New Roman" w:hAnsi="Calibri" w:cs="Calibri"/>
                <w:color w:val="000000"/>
              </w:rPr>
              <w:t>AFR</w:t>
            </w:r>
          </w:p>
        </w:tc>
        <w:tc>
          <w:tcPr>
            <w:tcW w:w="458" w:type="pct"/>
            <w:tcBorders>
              <w:top w:val="nil"/>
              <w:left w:val="nil"/>
              <w:bottom w:val="nil"/>
              <w:right w:val="nil"/>
            </w:tcBorders>
            <w:shd w:val="clear" w:color="auto" w:fill="auto"/>
            <w:vAlign w:val="bottom"/>
            <w:hideMark/>
          </w:tcPr>
          <w:p w14:paraId="25592E0E" w14:textId="77777777" w:rsidR="00350C1D" w:rsidRPr="004E0937" w:rsidRDefault="00350C1D" w:rsidP="00DB3615">
            <w:pPr>
              <w:spacing w:after="0" w:line="240" w:lineRule="auto"/>
              <w:jc w:val="left"/>
              <w:rPr>
                <w:rFonts w:ascii="Calibri" w:eastAsia="Times New Roman" w:hAnsi="Calibri" w:cs="Calibri"/>
                <w:color w:val="000000"/>
              </w:rPr>
            </w:pPr>
            <w:r w:rsidRPr="004E0937">
              <w:rPr>
                <w:rFonts w:ascii="Calibri" w:eastAsia="Times New Roman" w:hAnsi="Calibri" w:cs="Calibri"/>
                <w:color w:val="000000"/>
              </w:rPr>
              <w:t>CNV deletion</w:t>
            </w:r>
          </w:p>
        </w:tc>
        <w:tc>
          <w:tcPr>
            <w:tcW w:w="413" w:type="pct"/>
            <w:tcBorders>
              <w:top w:val="nil"/>
              <w:left w:val="nil"/>
              <w:bottom w:val="nil"/>
              <w:right w:val="nil"/>
            </w:tcBorders>
            <w:shd w:val="clear" w:color="auto" w:fill="auto"/>
            <w:vAlign w:val="bottom"/>
            <w:hideMark/>
          </w:tcPr>
          <w:p w14:paraId="6948919F" w14:textId="77777777" w:rsidR="00350C1D" w:rsidRPr="004E0937" w:rsidRDefault="00350C1D" w:rsidP="00DB3615">
            <w:pPr>
              <w:spacing w:after="0" w:line="240" w:lineRule="auto"/>
              <w:jc w:val="left"/>
              <w:rPr>
                <w:rFonts w:ascii="Calibri" w:eastAsia="Times New Roman" w:hAnsi="Calibri" w:cs="Calibri"/>
                <w:color w:val="000000"/>
              </w:rPr>
            </w:pPr>
            <w:r w:rsidRPr="004E0937">
              <w:rPr>
                <w:rFonts w:ascii="Calibri" w:eastAsia="Times New Roman" w:hAnsi="Calibri" w:cs="Calibri"/>
                <w:color w:val="000000"/>
              </w:rPr>
              <w:t>Intronic variant</w:t>
            </w:r>
          </w:p>
        </w:tc>
        <w:tc>
          <w:tcPr>
            <w:tcW w:w="417" w:type="pct"/>
            <w:tcBorders>
              <w:top w:val="nil"/>
              <w:left w:val="nil"/>
              <w:bottom w:val="nil"/>
              <w:right w:val="nil"/>
            </w:tcBorders>
            <w:shd w:val="clear" w:color="auto" w:fill="auto"/>
            <w:noWrap/>
            <w:vAlign w:val="bottom"/>
            <w:hideMark/>
          </w:tcPr>
          <w:p w14:paraId="200765FE" w14:textId="77777777" w:rsidR="00350C1D" w:rsidRPr="004E0937" w:rsidRDefault="00350C1D" w:rsidP="00DB3615">
            <w:pPr>
              <w:spacing w:after="0" w:line="240" w:lineRule="auto"/>
              <w:jc w:val="left"/>
              <w:rPr>
                <w:rFonts w:ascii="Calibri" w:eastAsia="Times New Roman" w:hAnsi="Calibri" w:cs="Calibri"/>
                <w:color w:val="000000"/>
              </w:rPr>
            </w:pPr>
          </w:p>
        </w:tc>
      </w:tr>
      <w:tr w:rsidR="00350C1D" w:rsidRPr="004E0937" w14:paraId="3710FACF" w14:textId="77777777" w:rsidTr="00350C1D">
        <w:trPr>
          <w:trHeight w:val="290"/>
        </w:trPr>
        <w:tc>
          <w:tcPr>
            <w:tcW w:w="184" w:type="pct"/>
            <w:tcBorders>
              <w:top w:val="nil"/>
              <w:left w:val="nil"/>
              <w:bottom w:val="nil"/>
              <w:right w:val="nil"/>
            </w:tcBorders>
            <w:shd w:val="clear" w:color="auto" w:fill="auto"/>
            <w:noWrap/>
            <w:vAlign w:val="bottom"/>
            <w:hideMark/>
          </w:tcPr>
          <w:p w14:paraId="7E33412A" w14:textId="77777777" w:rsidR="00350C1D" w:rsidRPr="004E0937" w:rsidRDefault="00350C1D" w:rsidP="00DB3615">
            <w:pPr>
              <w:spacing w:after="0" w:line="240" w:lineRule="auto"/>
              <w:jc w:val="center"/>
              <w:rPr>
                <w:rFonts w:ascii="Calibri" w:eastAsia="Times New Roman" w:hAnsi="Calibri" w:cs="Calibri"/>
                <w:color w:val="000000"/>
              </w:rPr>
            </w:pPr>
            <w:r w:rsidRPr="004E0937">
              <w:rPr>
                <w:rFonts w:ascii="Calibri" w:eastAsia="Times New Roman" w:hAnsi="Calibri" w:cs="Calibri"/>
                <w:color w:val="000000"/>
              </w:rPr>
              <w:t>43</w:t>
            </w:r>
          </w:p>
        </w:tc>
        <w:tc>
          <w:tcPr>
            <w:tcW w:w="190" w:type="pct"/>
            <w:tcBorders>
              <w:top w:val="nil"/>
              <w:left w:val="nil"/>
              <w:bottom w:val="nil"/>
              <w:right w:val="nil"/>
            </w:tcBorders>
            <w:vAlign w:val="bottom"/>
          </w:tcPr>
          <w:p w14:paraId="7A9FF0F3" w14:textId="5112C95E" w:rsidR="00350C1D" w:rsidRDefault="00350C1D" w:rsidP="00DB3615">
            <w:pPr>
              <w:spacing w:after="0" w:line="240" w:lineRule="auto"/>
              <w:jc w:val="center"/>
              <w:rPr>
                <w:rFonts w:ascii="Calibri" w:eastAsia="Times New Roman" w:hAnsi="Calibri" w:cs="Calibri"/>
                <w:color w:val="000000"/>
              </w:rPr>
            </w:pPr>
            <w:r>
              <w:rPr>
                <w:rFonts w:ascii="Calibri" w:eastAsia="Times New Roman" w:hAnsi="Calibri" w:cs="Calibri"/>
                <w:color w:val="000000"/>
              </w:rPr>
              <w:t>No</w:t>
            </w:r>
          </w:p>
        </w:tc>
        <w:tc>
          <w:tcPr>
            <w:tcW w:w="498" w:type="pct"/>
            <w:tcBorders>
              <w:top w:val="nil"/>
              <w:left w:val="nil"/>
              <w:bottom w:val="nil"/>
              <w:right w:val="nil"/>
            </w:tcBorders>
            <w:shd w:val="clear" w:color="auto" w:fill="auto"/>
            <w:noWrap/>
            <w:vAlign w:val="bottom"/>
            <w:hideMark/>
          </w:tcPr>
          <w:p w14:paraId="0F57EF6F" w14:textId="1F0156F7" w:rsidR="00350C1D" w:rsidRPr="004E0937" w:rsidRDefault="00350C1D" w:rsidP="00DB3615">
            <w:pPr>
              <w:spacing w:after="0" w:line="240" w:lineRule="auto"/>
              <w:jc w:val="center"/>
              <w:rPr>
                <w:rFonts w:ascii="Calibri" w:eastAsia="Times New Roman" w:hAnsi="Calibri" w:cs="Calibri"/>
                <w:color w:val="000000"/>
              </w:rPr>
            </w:pPr>
          </w:p>
        </w:tc>
        <w:tc>
          <w:tcPr>
            <w:tcW w:w="374" w:type="pct"/>
            <w:tcBorders>
              <w:top w:val="nil"/>
              <w:left w:val="nil"/>
              <w:bottom w:val="nil"/>
              <w:right w:val="nil"/>
            </w:tcBorders>
            <w:shd w:val="clear" w:color="auto" w:fill="auto"/>
            <w:noWrap/>
            <w:vAlign w:val="bottom"/>
            <w:hideMark/>
          </w:tcPr>
          <w:p w14:paraId="3B891C83" w14:textId="77777777" w:rsidR="00350C1D" w:rsidRPr="004E0937" w:rsidRDefault="00350C1D" w:rsidP="00DB3615">
            <w:pPr>
              <w:spacing w:after="0" w:line="240" w:lineRule="auto"/>
              <w:jc w:val="center"/>
              <w:rPr>
                <w:rFonts w:ascii="Times New Roman" w:eastAsia="Times New Roman" w:hAnsi="Times New Roman" w:cs="Times New Roman"/>
                <w:sz w:val="20"/>
                <w:szCs w:val="20"/>
              </w:rPr>
            </w:pPr>
          </w:p>
        </w:tc>
        <w:tc>
          <w:tcPr>
            <w:tcW w:w="498" w:type="pct"/>
            <w:gridSpan w:val="3"/>
            <w:tcBorders>
              <w:top w:val="nil"/>
              <w:left w:val="nil"/>
              <w:bottom w:val="nil"/>
              <w:right w:val="nil"/>
            </w:tcBorders>
            <w:shd w:val="clear" w:color="auto" w:fill="auto"/>
            <w:noWrap/>
            <w:vAlign w:val="bottom"/>
            <w:hideMark/>
          </w:tcPr>
          <w:p w14:paraId="1617A75B" w14:textId="77777777" w:rsidR="00350C1D" w:rsidRPr="004E0937" w:rsidRDefault="00350C1D" w:rsidP="00DB3615">
            <w:pPr>
              <w:spacing w:after="0" w:line="240" w:lineRule="auto"/>
              <w:jc w:val="center"/>
              <w:rPr>
                <w:rFonts w:ascii="Times New Roman" w:eastAsia="Times New Roman" w:hAnsi="Times New Roman" w:cs="Times New Roman"/>
                <w:sz w:val="20"/>
                <w:szCs w:val="20"/>
              </w:rPr>
            </w:pPr>
          </w:p>
        </w:tc>
        <w:tc>
          <w:tcPr>
            <w:tcW w:w="1052" w:type="pct"/>
            <w:gridSpan w:val="2"/>
            <w:tcBorders>
              <w:top w:val="nil"/>
              <w:left w:val="nil"/>
              <w:bottom w:val="nil"/>
              <w:right w:val="nil"/>
            </w:tcBorders>
            <w:shd w:val="clear" w:color="auto" w:fill="auto"/>
            <w:vAlign w:val="bottom"/>
            <w:hideMark/>
          </w:tcPr>
          <w:p w14:paraId="247C18C4" w14:textId="77777777" w:rsidR="00350C1D" w:rsidRPr="004E0937" w:rsidRDefault="00350C1D" w:rsidP="00DB3615">
            <w:pPr>
              <w:spacing w:after="0" w:line="240" w:lineRule="auto"/>
              <w:jc w:val="left"/>
              <w:rPr>
                <w:rFonts w:ascii="Calibri" w:eastAsia="Times New Roman" w:hAnsi="Calibri" w:cs="Calibri"/>
                <w:color w:val="000000"/>
              </w:rPr>
            </w:pPr>
            <w:r w:rsidRPr="004E0937">
              <w:rPr>
                <w:rFonts w:ascii="Calibri" w:eastAsia="Times New Roman" w:hAnsi="Calibri" w:cs="Calibri"/>
                <w:color w:val="000000"/>
              </w:rPr>
              <w:t xml:space="preserve">Intellectual disability </w:t>
            </w:r>
          </w:p>
        </w:tc>
        <w:tc>
          <w:tcPr>
            <w:tcW w:w="366" w:type="pct"/>
            <w:tcBorders>
              <w:top w:val="nil"/>
              <w:left w:val="nil"/>
              <w:bottom w:val="nil"/>
              <w:right w:val="nil"/>
            </w:tcBorders>
            <w:shd w:val="clear" w:color="auto" w:fill="auto"/>
            <w:noWrap/>
            <w:vAlign w:val="bottom"/>
            <w:hideMark/>
          </w:tcPr>
          <w:p w14:paraId="47CECE5A" w14:textId="77777777" w:rsidR="00350C1D" w:rsidRPr="004E0937" w:rsidRDefault="00350C1D" w:rsidP="00DB3615">
            <w:pPr>
              <w:spacing w:after="0" w:line="240" w:lineRule="auto"/>
              <w:jc w:val="left"/>
              <w:rPr>
                <w:rFonts w:ascii="Calibri" w:eastAsia="Times New Roman" w:hAnsi="Calibri" w:cs="Calibri"/>
                <w:color w:val="000000"/>
              </w:rPr>
            </w:pPr>
            <w:r w:rsidRPr="004E0937">
              <w:rPr>
                <w:rFonts w:ascii="Calibri" w:eastAsia="Times New Roman" w:hAnsi="Calibri" w:cs="Calibri"/>
                <w:color w:val="000000"/>
              </w:rPr>
              <w:t>Proband</w:t>
            </w:r>
          </w:p>
        </w:tc>
        <w:tc>
          <w:tcPr>
            <w:tcW w:w="120" w:type="pct"/>
            <w:tcBorders>
              <w:top w:val="nil"/>
              <w:left w:val="nil"/>
              <w:bottom w:val="nil"/>
              <w:right w:val="nil"/>
            </w:tcBorders>
            <w:shd w:val="clear" w:color="auto" w:fill="auto"/>
            <w:noWrap/>
            <w:vAlign w:val="bottom"/>
            <w:hideMark/>
          </w:tcPr>
          <w:p w14:paraId="63CF208B" w14:textId="77777777" w:rsidR="00350C1D" w:rsidRPr="004E0937" w:rsidRDefault="00350C1D" w:rsidP="00DB3615">
            <w:pPr>
              <w:spacing w:after="0" w:line="240" w:lineRule="auto"/>
              <w:jc w:val="center"/>
              <w:rPr>
                <w:rFonts w:ascii="Calibri" w:eastAsia="Times New Roman" w:hAnsi="Calibri" w:cs="Calibri"/>
                <w:color w:val="000000"/>
              </w:rPr>
            </w:pPr>
            <w:r w:rsidRPr="004E0937">
              <w:rPr>
                <w:rFonts w:ascii="Calibri" w:eastAsia="Times New Roman" w:hAnsi="Calibri" w:cs="Calibri"/>
                <w:color w:val="000000"/>
              </w:rPr>
              <w:t>M</w:t>
            </w:r>
          </w:p>
        </w:tc>
        <w:tc>
          <w:tcPr>
            <w:tcW w:w="430" w:type="pct"/>
            <w:tcBorders>
              <w:top w:val="nil"/>
              <w:left w:val="nil"/>
              <w:bottom w:val="nil"/>
              <w:right w:val="nil"/>
            </w:tcBorders>
            <w:shd w:val="clear" w:color="auto" w:fill="auto"/>
            <w:noWrap/>
            <w:vAlign w:val="bottom"/>
            <w:hideMark/>
          </w:tcPr>
          <w:p w14:paraId="1C206A23" w14:textId="77777777" w:rsidR="00350C1D" w:rsidRPr="004E0937" w:rsidRDefault="00350C1D" w:rsidP="00DB3615">
            <w:pPr>
              <w:spacing w:after="0" w:line="240" w:lineRule="auto"/>
              <w:jc w:val="center"/>
              <w:rPr>
                <w:rFonts w:ascii="Calibri" w:eastAsia="Times New Roman" w:hAnsi="Calibri" w:cs="Calibri"/>
                <w:color w:val="000000"/>
              </w:rPr>
            </w:pPr>
            <w:r w:rsidRPr="004E0937">
              <w:rPr>
                <w:rFonts w:ascii="Calibri" w:eastAsia="Times New Roman" w:hAnsi="Calibri" w:cs="Calibri"/>
                <w:color w:val="000000"/>
              </w:rPr>
              <w:t>EUR</w:t>
            </w:r>
          </w:p>
        </w:tc>
        <w:tc>
          <w:tcPr>
            <w:tcW w:w="458" w:type="pct"/>
            <w:tcBorders>
              <w:top w:val="nil"/>
              <w:left w:val="nil"/>
              <w:bottom w:val="nil"/>
              <w:right w:val="nil"/>
            </w:tcBorders>
            <w:shd w:val="clear" w:color="auto" w:fill="auto"/>
            <w:vAlign w:val="bottom"/>
            <w:hideMark/>
          </w:tcPr>
          <w:p w14:paraId="22947AF0" w14:textId="77777777" w:rsidR="00350C1D" w:rsidRPr="004E0937" w:rsidRDefault="00350C1D" w:rsidP="00DB3615">
            <w:pPr>
              <w:spacing w:after="0" w:line="240" w:lineRule="auto"/>
              <w:jc w:val="left"/>
              <w:rPr>
                <w:rFonts w:ascii="Calibri" w:eastAsia="Times New Roman" w:hAnsi="Calibri" w:cs="Calibri"/>
                <w:color w:val="000000"/>
              </w:rPr>
            </w:pPr>
            <w:r w:rsidRPr="004E0937">
              <w:rPr>
                <w:rFonts w:ascii="Calibri" w:eastAsia="Times New Roman" w:hAnsi="Calibri" w:cs="Calibri"/>
                <w:color w:val="000000"/>
              </w:rPr>
              <w:t>Missense*</w:t>
            </w:r>
          </w:p>
        </w:tc>
        <w:tc>
          <w:tcPr>
            <w:tcW w:w="413" w:type="pct"/>
            <w:tcBorders>
              <w:top w:val="nil"/>
              <w:left w:val="nil"/>
              <w:bottom w:val="nil"/>
              <w:right w:val="nil"/>
            </w:tcBorders>
            <w:shd w:val="clear" w:color="auto" w:fill="auto"/>
            <w:vAlign w:val="bottom"/>
            <w:hideMark/>
          </w:tcPr>
          <w:p w14:paraId="353D01D6" w14:textId="77777777" w:rsidR="00350C1D" w:rsidRPr="004E0937" w:rsidRDefault="00350C1D" w:rsidP="00DB3615">
            <w:pPr>
              <w:spacing w:after="0" w:line="240" w:lineRule="auto"/>
              <w:jc w:val="left"/>
              <w:rPr>
                <w:rFonts w:ascii="Calibri" w:eastAsia="Times New Roman" w:hAnsi="Calibri" w:cs="Calibri"/>
                <w:color w:val="000000"/>
              </w:rPr>
            </w:pPr>
            <w:r w:rsidRPr="004E0937">
              <w:rPr>
                <w:rFonts w:ascii="Calibri" w:eastAsia="Times New Roman" w:hAnsi="Calibri" w:cs="Calibri"/>
                <w:color w:val="000000"/>
              </w:rPr>
              <w:t>Intronic variant*</w:t>
            </w:r>
          </w:p>
        </w:tc>
        <w:tc>
          <w:tcPr>
            <w:tcW w:w="417" w:type="pct"/>
            <w:tcBorders>
              <w:top w:val="nil"/>
              <w:left w:val="nil"/>
              <w:bottom w:val="nil"/>
              <w:right w:val="nil"/>
            </w:tcBorders>
            <w:shd w:val="clear" w:color="auto" w:fill="auto"/>
            <w:noWrap/>
            <w:vAlign w:val="bottom"/>
            <w:hideMark/>
          </w:tcPr>
          <w:p w14:paraId="007C2E83" w14:textId="77777777" w:rsidR="00350C1D" w:rsidRPr="004E0937" w:rsidRDefault="00350C1D" w:rsidP="00DB3615">
            <w:pPr>
              <w:spacing w:after="0" w:line="240" w:lineRule="auto"/>
              <w:jc w:val="left"/>
              <w:rPr>
                <w:rFonts w:ascii="Calibri" w:eastAsia="Times New Roman" w:hAnsi="Calibri" w:cs="Calibri"/>
                <w:color w:val="000000"/>
              </w:rPr>
            </w:pPr>
          </w:p>
        </w:tc>
      </w:tr>
      <w:tr w:rsidR="00350C1D" w:rsidRPr="004E0937" w14:paraId="6114F193" w14:textId="77777777" w:rsidTr="00350C1D">
        <w:trPr>
          <w:trHeight w:val="290"/>
        </w:trPr>
        <w:tc>
          <w:tcPr>
            <w:tcW w:w="184" w:type="pct"/>
            <w:tcBorders>
              <w:top w:val="nil"/>
              <w:left w:val="nil"/>
              <w:bottom w:val="nil"/>
              <w:right w:val="nil"/>
            </w:tcBorders>
            <w:shd w:val="clear" w:color="auto" w:fill="auto"/>
            <w:noWrap/>
            <w:vAlign w:val="bottom"/>
            <w:hideMark/>
          </w:tcPr>
          <w:p w14:paraId="217298EA" w14:textId="77777777" w:rsidR="00350C1D" w:rsidRPr="004E0937" w:rsidRDefault="00350C1D" w:rsidP="00DB3615">
            <w:pPr>
              <w:spacing w:after="0" w:line="240" w:lineRule="auto"/>
              <w:jc w:val="center"/>
              <w:rPr>
                <w:rFonts w:ascii="Calibri" w:eastAsia="Times New Roman" w:hAnsi="Calibri" w:cs="Calibri"/>
                <w:color w:val="000000"/>
              </w:rPr>
            </w:pPr>
            <w:r w:rsidRPr="004E0937">
              <w:rPr>
                <w:rFonts w:ascii="Calibri" w:eastAsia="Times New Roman" w:hAnsi="Calibri" w:cs="Calibri"/>
                <w:color w:val="000000"/>
              </w:rPr>
              <w:t>44</w:t>
            </w:r>
          </w:p>
        </w:tc>
        <w:tc>
          <w:tcPr>
            <w:tcW w:w="190" w:type="pct"/>
            <w:tcBorders>
              <w:top w:val="nil"/>
              <w:left w:val="nil"/>
              <w:bottom w:val="nil"/>
              <w:right w:val="nil"/>
            </w:tcBorders>
            <w:vAlign w:val="bottom"/>
          </w:tcPr>
          <w:p w14:paraId="5400F8F8" w14:textId="58C40ACA" w:rsidR="00350C1D" w:rsidRDefault="00350C1D" w:rsidP="00DB3615">
            <w:pPr>
              <w:spacing w:after="0" w:line="240" w:lineRule="auto"/>
              <w:jc w:val="center"/>
              <w:rPr>
                <w:rFonts w:ascii="Calibri" w:eastAsia="Times New Roman" w:hAnsi="Calibri" w:cs="Calibri"/>
                <w:color w:val="000000"/>
              </w:rPr>
            </w:pPr>
            <w:r>
              <w:rPr>
                <w:rFonts w:ascii="Calibri" w:eastAsia="Times New Roman" w:hAnsi="Calibri" w:cs="Calibri"/>
                <w:color w:val="000000"/>
              </w:rPr>
              <w:t>No</w:t>
            </w:r>
          </w:p>
        </w:tc>
        <w:tc>
          <w:tcPr>
            <w:tcW w:w="498" w:type="pct"/>
            <w:tcBorders>
              <w:top w:val="nil"/>
              <w:left w:val="nil"/>
              <w:bottom w:val="nil"/>
              <w:right w:val="nil"/>
            </w:tcBorders>
            <w:shd w:val="clear" w:color="auto" w:fill="auto"/>
            <w:noWrap/>
            <w:vAlign w:val="bottom"/>
            <w:hideMark/>
          </w:tcPr>
          <w:p w14:paraId="44611369" w14:textId="7FCC38F8" w:rsidR="00350C1D" w:rsidRPr="004E0937" w:rsidRDefault="00350C1D" w:rsidP="00DB3615">
            <w:pPr>
              <w:spacing w:after="0" w:line="240" w:lineRule="auto"/>
              <w:jc w:val="center"/>
              <w:rPr>
                <w:rFonts w:ascii="Calibri" w:eastAsia="Times New Roman" w:hAnsi="Calibri" w:cs="Calibri"/>
                <w:color w:val="000000"/>
              </w:rPr>
            </w:pPr>
          </w:p>
        </w:tc>
        <w:tc>
          <w:tcPr>
            <w:tcW w:w="374" w:type="pct"/>
            <w:tcBorders>
              <w:top w:val="nil"/>
              <w:left w:val="nil"/>
              <w:bottom w:val="nil"/>
              <w:right w:val="nil"/>
            </w:tcBorders>
            <w:shd w:val="clear" w:color="auto" w:fill="auto"/>
            <w:noWrap/>
            <w:vAlign w:val="bottom"/>
            <w:hideMark/>
          </w:tcPr>
          <w:p w14:paraId="5B328B25" w14:textId="77777777" w:rsidR="00350C1D" w:rsidRPr="004E0937" w:rsidRDefault="00350C1D" w:rsidP="00DB3615">
            <w:pPr>
              <w:spacing w:after="0" w:line="240" w:lineRule="auto"/>
              <w:jc w:val="center"/>
              <w:rPr>
                <w:rFonts w:ascii="Times New Roman" w:eastAsia="Times New Roman" w:hAnsi="Times New Roman" w:cs="Times New Roman"/>
                <w:sz w:val="20"/>
                <w:szCs w:val="20"/>
              </w:rPr>
            </w:pPr>
          </w:p>
        </w:tc>
        <w:tc>
          <w:tcPr>
            <w:tcW w:w="498" w:type="pct"/>
            <w:gridSpan w:val="3"/>
            <w:tcBorders>
              <w:top w:val="nil"/>
              <w:left w:val="nil"/>
              <w:bottom w:val="nil"/>
              <w:right w:val="nil"/>
            </w:tcBorders>
            <w:shd w:val="clear" w:color="auto" w:fill="auto"/>
            <w:noWrap/>
            <w:vAlign w:val="bottom"/>
            <w:hideMark/>
          </w:tcPr>
          <w:p w14:paraId="3D10E8C7" w14:textId="77777777" w:rsidR="00350C1D" w:rsidRPr="004E0937" w:rsidRDefault="00350C1D" w:rsidP="00DB3615">
            <w:pPr>
              <w:spacing w:after="0" w:line="240" w:lineRule="auto"/>
              <w:jc w:val="center"/>
              <w:rPr>
                <w:rFonts w:ascii="Times New Roman" w:eastAsia="Times New Roman" w:hAnsi="Times New Roman" w:cs="Times New Roman"/>
                <w:sz w:val="20"/>
                <w:szCs w:val="20"/>
              </w:rPr>
            </w:pPr>
          </w:p>
        </w:tc>
        <w:tc>
          <w:tcPr>
            <w:tcW w:w="1052" w:type="pct"/>
            <w:gridSpan w:val="2"/>
            <w:tcBorders>
              <w:top w:val="nil"/>
              <w:left w:val="nil"/>
              <w:bottom w:val="nil"/>
              <w:right w:val="nil"/>
            </w:tcBorders>
            <w:shd w:val="clear" w:color="auto" w:fill="auto"/>
            <w:vAlign w:val="bottom"/>
            <w:hideMark/>
          </w:tcPr>
          <w:p w14:paraId="4CBEE811" w14:textId="77777777" w:rsidR="00350C1D" w:rsidRPr="004E0937" w:rsidRDefault="00350C1D" w:rsidP="00DB3615">
            <w:pPr>
              <w:spacing w:after="0" w:line="240" w:lineRule="auto"/>
              <w:jc w:val="left"/>
              <w:rPr>
                <w:rFonts w:ascii="Calibri" w:eastAsia="Times New Roman" w:hAnsi="Calibri" w:cs="Calibri"/>
                <w:color w:val="000000"/>
              </w:rPr>
            </w:pPr>
            <w:r w:rsidRPr="004E0937">
              <w:rPr>
                <w:rFonts w:ascii="Calibri" w:eastAsia="Times New Roman" w:hAnsi="Calibri" w:cs="Calibri"/>
                <w:color w:val="000000"/>
              </w:rPr>
              <w:t xml:space="preserve">Holoprosencephaly </w:t>
            </w:r>
          </w:p>
        </w:tc>
        <w:tc>
          <w:tcPr>
            <w:tcW w:w="366" w:type="pct"/>
            <w:tcBorders>
              <w:top w:val="nil"/>
              <w:left w:val="nil"/>
              <w:bottom w:val="nil"/>
              <w:right w:val="nil"/>
            </w:tcBorders>
            <w:shd w:val="clear" w:color="auto" w:fill="auto"/>
            <w:noWrap/>
            <w:vAlign w:val="bottom"/>
            <w:hideMark/>
          </w:tcPr>
          <w:p w14:paraId="52D9C2D8" w14:textId="77777777" w:rsidR="00350C1D" w:rsidRPr="004E0937" w:rsidRDefault="00350C1D" w:rsidP="00DB3615">
            <w:pPr>
              <w:spacing w:after="0" w:line="240" w:lineRule="auto"/>
              <w:jc w:val="left"/>
              <w:rPr>
                <w:rFonts w:ascii="Calibri" w:eastAsia="Times New Roman" w:hAnsi="Calibri" w:cs="Calibri"/>
                <w:color w:val="000000"/>
              </w:rPr>
            </w:pPr>
            <w:r w:rsidRPr="004E0937">
              <w:rPr>
                <w:rFonts w:ascii="Calibri" w:eastAsia="Times New Roman" w:hAnsi="Calibri" w:cs="Calibri"/>
                <w:color w:val="000000"/>
              </w:rPr>
              <w:t>Relative</w:t>
            </w:r>
          </w:p>
        </w:tc>
        <w:tc>
          <w:tcPr>
            <w:tcW w:w="120" w:type="pct"/>
            <w:tcBorders>
              <w:top w:val="nil"/>
              <w:left w:val="nil"/>
              <w:bottom w:val="nil"/>
              <w:right w:val="nil"/>
            </w:tcBorders>
            <w:shd w:val="clear" w:color="auto" w:fill="auto"/>
            <w:noWrap/>
            <w:vAlign w:val="bottom"/>
            <w:hideMark/>
          </w:tcPr>
          <w:p w14:paraId="0714BD2D" w14:textId="77777777" w:rsidR="00350C1D" w:rsidRPr="004E0937" w:rsidRDefault="00350C1D" w:rsidP="00DB3615">
            <w:pPr>
              <w:spacing w:after="0" w:line="240" w:lineRule="auto"/>
              <w:jc w:val="center"/>
              <w:rPr>
                <w:rFonts w:ascii="Calibri" w:eastAsia="Times New Roman" w:hAnsi="Calibri" w:cs="Calibri"/>
                <w:color w:val="000000"/>
              </w:rPr>
            </w:pPr>
            <w:r w:rsidRPr="004E0937">
              <w:rPr>
                <w:rFonts w:ascii="Calibri" w:eastAsia="Times New Roman" w:hAnsi="Calibri" w:cs="Calibri"/>
                <w:color w:val="000000"/>
              </w:rPr>
              <w:t>M</w:t>
            </w:r>
          </w:p>
        </w:tc>
        <w:tc>
          <w:tcPr>
            <w:tcW w:w="430" w:type="pct"/>
            <w:tcBorders>
              <w:top w:val="nil"/>
              <w:left w:val="nil"/>
              <w:bottom w:val="nil"/>
              <w:right w:val="nil"/>
            </w:tcBorders>
            <w:shd w:val="clear" w:color="auto" w:fill="auto"/>
            <w:noWrap/>
            <w:vAlign w:val="bottom"/>
            <w:hideMark/>
          </w:tcPr>
          <w:p w14:paraId="41AA1F9E" w14:textId="77777777" w:rsidR="00350C1D" w:rsidRPr="004E0937" w:rsidRDefault="00350C1D" w:rsidP="00DB3615">
            <w:pPr>
              <w:spacing w:after="0" w:line="240" w:lineRule="auto"/>
              <w:jc w:val="center"/>
              <w:rPr>
                <w:rFonts w:ascii="Calibri" w:eastAsia="Times New Roman" w:hAnsi="Calibri" w:cs="Calibri"/>
                <w:color w:val="000000"/>
              </w:rPr>
            </w:pPr>
            <w:r w:rsidRPr="004E0937">
              <w:rPr>
                <w:rFonts w:ascii="Calibri" w:eastAsia="Times New Roman" w:hAnsi="Calibri" w:cs="Calibri"/>
                <w:color w:val="000000"/>
              </w:rPr>
              <w:t>SAS</w:t>
            </w:r>
          </w:p>
        </w:tc>
        <w:tc>
          <w:tcPr>
            <w:tcW w:w="458" w:type="pct"/>
            <w:tcBorders>
              <w:top w:val="nil"/>
              <w:left w:val="nil"/>
              <w:bottom w:val="nil"/>
              <w:right w:val="nil"/>
            </w:tcBorders>
            <w:shd w:val="clear" w:color="auto" w:fill="auto"/>
            <w:vAlign w:val="bottom"/>
            <w:hideMark/>
          </w:tcPr>
          <w:p w14:paraId="368BDA0C" w14:textId="77777777" w:rsidR="00350C1D" w:rsidRPr="004E0937" w:rsidRDefault="00350C1D" w:rsidP="00DB3615">
            <w:pPr>
              <w:spacing w:after="0" w:line="240" w:lineRule="auto"/>
              <w:jc w:val="left"/>
              <w:rPr>
                <w:rFonts w:ascii="Calibri" w:eastAsia="Times New Roman" w:hAnsi="Calibri" w:cs="Calibri"/>
                <w:color w:val="000000"/>
              </w:rPr>
            </w:pPr>
            <w:r w:rsidRPr="004E0937">
              <w:rPr>
                <w:rFonts w:ascii="Calibri" w:eastAsia="Times New Roman" w:hAnsi="Calibri" w:cs="Calibri"/>
                <w:color w:val="000000"/>
              </w:rPr>
              <w:t>Missense*</w:t>
            </w:r>
          </w:p>
        </w:tc>
        <w:tc>
          <w:tcPr>
            <w:tcW w:w="413" w:type="pct"/>
            <w:tcBorders>
              <w:top w:val="nil"/>
              <w:left w:val="nil"/>
              <w:bottom w:val="nil"/>
              <w:right w:val="nil"/>
            </w:tcBorders>
            <w:shd w:val="clear" w:color="auto" w:fill="auto"/>
            <w:vAlign w:val="bottom"/>
            <w:hideMark/>
          </w:tcPr>
          <w:p w14:paraId="2E38DC8C" w14:textId="77777777" w:rsidR="00350C1D" w:rsidRPr="004E0937" w:rsidRDefault="00350C1D" w:rsidP="00DB3615">
            <w:pPr>
              <w:spacing w:after="0" w:line="240" w:lineRule="auto"/>
              <w:jc w:val="left"/>
              <w:rPr>
                <w:rFonts w:ascii="Calibri" w:eastAsia="Times New Roman" w:hAnsi="Calibri" w:cs="Calibri"/>
                <w:color w:val="000000"/>
              </w:rPr>
            </w:pPr>
            <w:r w:rsidRPr="004E0937">
              <w:rPr>
                <w:rFonts w:ascii="Calibri" w:eastAsia="Times New Roman" w:hAnsi="Calibri" w:cs="Calibri"/>
                <w:color w:val="000000"/>
              </w:rPr>
              <w:t>Intronic variant*</w:t>
            </w:r>
          </w:p>
        </w:tc>
        <w:tc>
          <w:tcPr>
            <w:tcW w:w="417" w:type="pct"/>
            <w:tcBorders>
              <w:top w:val="nil"/>
              <w:left w:val="nil"/>
              <w:bottom w:val="nil"/>
              <w:right w:val="nil"/>
            </w:tcBorders>
            <w:shd w:val="clear" w:color="auto" w:fill="auto"/>
            <w:noWrap/>
            <w:vAlign w:val="bottom"/>
            <w:hideMark/>
          </w:tcPr>
          <w:p w14:paraId="5671A6B2" w14:textId="77777777" w:rsidR="00350C1D" w:rsidRPr="001064BB" w:rsidRDefault="00350C1D" w:rsidP="00DB3615">
            <w:pPr>
              <w:spacing w:after="0" w:line="240" w:lineRule="auto"/>
              <w:jc w:val="center"/>
              <w:rPr>
                <w:rFonts w:ascii="Calibri" w:eastAsia="Times New Roman" w:hAnsi="Calibri" w:cs="Calibri"/>
                <w:i/>
                <w:iCs/>
                <w:color w:val="000000"/>
              </w:rPr>
            </w:pPr>
            <w:r w:rsidRPr="001064BB">
              <w:rPr>
                <w:rFonts w:ascii="Calibri" w:eastAsia="Times New Roman" w:hAnsi="Calibri" w:cs="Calibri"/>
                <w:i/>
                <w:iCs/>
                <w:color w:val="000000"/>
              </w:rPr>
              <w:t>MPDZ</w:t>
            </w:r>
          </w:p>
        </w:tc>
      </w:tr>
      <w:tr w:rsidR="00350C1D" w:rsidRPr="004E0937" w14:paraId="5EB9019C" w14:textId="77777777" w:rsidTr="00350C1D">
        <w:trPr>
          <w:trHeight w:val="580"/>
        </w:trPr>
        <w:tc>
          <w:tcPr>
            <w:tcW w:w="184" w:type="pct"/>
            <w:tcBorders>
              <w:top w:val="nil"/>
              <w:left w:val="nil"/>
              <w:bottom w:val="nil"/>
              <w:right w:val="nil"/>
            </w:tcBorders>
            <w:shd w:val="clear" w:color="auto" w:fill="auto"/>
            <w:noWrap/>
            <w:vAlign w:val="bottom"/>
            <w:hideMark/>
          </w:tcPr>
          <w:p w14:paraId="7B84785A" w14:textId="77777777" w:rsidR="00350C1D" w:rsidRPr="004E0937" w:rsidRDefault="00350C1D" w:rsidP="00DB3615">
            <w:pPr>
              <w:spacing w:after="0" w:line="240" w:lineRule="auto"/>
              <w:jc w:val="center"/>
              <w:rPr>
                <w:rFonts w:ascii="Calibri" w:eastAsia="Times New Roman" w:hAnsi="Calibri" w:cs="Calibri"/>
                <w:color w:val="000000"/>
              </w:rPr>
            </w:pPr>
            <w:r w:rsidRPr="004E0937">
              <w:rPr>
                <w:rFonts w:ascii="Calibri" w:eastAsia="Times New Roman" w:hAnsi="Calibri" w:cs="Calibri"/>
                <w:color w:val="000000"/>
              </w:rPr>
              <w:t>45</w:t>
            </w:r>
          </w:p>
        </w:tc>
        <w:tc>
          <w:tcPr>
            <w:tcW w:w="190" w:type="pct"/>
            <w:tcBorders>
              <w:top w:val="nil"/>
              <w:left w:val="nil"/>
              <w:bottom w:val="nil"/>
              <w:right w:val="nil"/>
            </w:tcBorders>
            <w:vAlign w:val="bottom"/>
          </w:tcPr>
          <w:p w14:paraId="5AD2D608" w14:textId="73DED9F2" w:rsidR="00350C1D" w:rsidRDefault="00350C1D" w:rsidP="00DB3615">
            <w:pPr>
              <w:spacing w:after="0" w:line="240" w:lineRule="auto"/>
              <w:jc w:val="center"/>
              <w:rPr>
                <w:rFonts w:ascii="Calibri" w:eastAsia="Times New Roman" w:hAnsi="Calibri" w:cs="Calibri"/>
                <w:color w:val="000000"/>
              </w:rPr>
            </w:pPr>
            <w:r>
              <w:rPr>
                <w:rFonts w:ascii="Calibri" w:eastAsia="Times New Roman" w:hAnsi="Calibri" w:cs="Calibri"/>
                <w:color w:val="000000"/>
              </w:rPr>
              <w:t>No</w:t>
            </w:r>
          </w:p>
        </w:tc>
        <w:tc>
          <w:tcPr>
            <w:tcW w:w="498" w:type="pct"/>
            <w:tcBorders>
              <w:top w:val="nil"/>
              <w:left w:val="nil"/>
              <w:bottom w:val="nil"/>
              <w:right w:val="nil"/>
            </w:tcBorders>
            <w:shd w:val="clear" w:color="auto" w:fill="auto"/>
            <w:noWrap/>
            <w:vAlign w:val="bottom"/>
            <w:hideMark/>
          </w:tcPr>
          <w:p w14:paraId="240A20BD" w14:textId="4C0C1C86" w:rsidR="00350C1D" w:rsidRPr="004E0937" w:rsidRDefault="00350C1D" w:rsidP="00DB3615">
            <w:pPr>
              <w:spacing w:after="0" w:line="240" w:lineRule="auto"/>
              <w:jc w:val="center"/>
              <w:rPr>
                <w:rFonts w:ascii="Calibri" w:eastAsia="Times New Roman" w:hAnsi="Calibri" w:cs="Calibri"/>
                <w:color w:val="000000"/>
              </w:rPr>
            </w:pPr>
            <w:r w:rsidRPr="004E0937">
              <w:rPr>
                <w:rFonts w:ascii="Calibri" w:eastAsia="Times New Roman" w:hAnsi="Calibri" w:cs="Calibri"/>
                <w:color w:val="000000"/>
              </w:rPr>
              <w:t>0 to 1</w:t>
            </w:r>
          </w:p>
        </w:tc>
        <w:tc>
          <w:tcPr>
            <w:tcW w:w="374" w:type="pct"/>
            <w:tcBorders>
              <w:top w:val="nil"/>
              <w:left w:val="nil"/>
              <w:bottom w:val="nil"/>
              <w:right w:val="nil"/>
            </w:tcBorders>
            <w:shd w:val="clear" w:color="auto" w:fill="auto"/>
            <w:noWrap/>
            <w:vAlign w:val="bottom"/>
            <w:hideMark/>
          </w:tcPr>
          <w:p w14:paraId="3396B8DE" w14:textId="77777777" w:rsidR="00350C1D" w:rsidRPr="004E0937" w:rsidRDefault="00350C1D" w:rsidP="00DB3615">
            <w:pPr>
              <w:spacing w:after="0" w:line="240" w:lineRule="auto"/>
              <w:jc w:val="center"/>
              <w:rPr>
                <w:rFonts w:ascii="Calibri" w:eastAsia="Times New Roman" w:hAnsi="Calibri" w:cs="Calibri"/>
                <w:color w:val="000000"/>
              </w:rPr>
            </w:pPr>
          </w:p>
        </w:tc>
        <w:tc>
          <w:tcPr>
            <w:tcW w:w="498" w:type="pct"/>
            <w:gridSpan w:val="3"/>
            <w:tcBorders>
              <w:top w:val="nil"/>
              <w:left w:val="nil"/>
              <w:bottom w:val="nil"/>
              <w:right w:val="nil"/>
            </w:tcBorders>
            <w:shd w:val="clear" w:color="auto" w:fill="auto"/>
            <w:noWrap/>
            <w:vAlign w:val="bottom"/>
            <w:hideMark/>
          </w:tcPr>
          <w:p w14:paraId="383EFE0E" w14:textId="77777777" w:rsidR="00350C1D" w:rsidRPr="004E0937" w:rsidRDefault="00350C1D" w:rsidP="00DB3615">
            <w:pPr>
              <w:spacing w:after="0" w:line="240" w:lineRule="auto"/>
              <w:jc w:val="center"/>
              <w:rPr>
                <w:rFonts w:ascii="Times New Roman" w:eastAsia="Times New Roman" w:hAnsi="Times New Roman" w:cs="Times New Roman"/>
                <w:sz w:val="20"/>
                <w:szCs w:val="20"/>
              </w:rPr>
            </w:pPr>
          </w:p>
        </w:tc>
        <w:tc>
          <w:tcPr>
            <w:tcW w:w="1052" w:type="pct"/>
            <w:gridSpan w:val="2"/>
            <w:tcBorders>
              <w:top w:val="nil"/>
              <w:left w:val="nil"/>
              <w:bottom w:val="nil"/>
              <w:right w:val="nil"/>
            </w:tcBorders>
            <w:shd w:val="clear" w:color="auto" w:fill="auto"/>
            <w:vAlign w:val="bottom"/>
            <w:hideMark/>
          </w:tcPr>
          <w:p w14:paraId="63A53E05" w14:textId="77777777" w:rsidR="00350C1D" w:rsidRPr="004E0937" w:rsidRDefault="00350C1D" w:rsidP="00DB3615">
            <w:pPr>
              <w:spacing w:after="0" w:line="240" w:lineRule="auto"/>
              <w:jc w:val="left"/>
              <w:rPr>
                <w:rFonts w:ascii="Calibri" w:eastAsia="Times New Roman" w:hAnsi="Calibri" w:cs="Calibri"/>
                <w:color w:val="000000"/>
              </w:rPr>
            </w:pPr>
            <w:r w:rsidRPr="004E0937">
              <w:rPr>
                <w:rFonts w:ascii="Calibri" w:eastAsia="Times New Roman" w:hAnsi="Calibri" w:cs="Calibri"/>
                <w:color w:val="000000"/>
              </w:rPr>
              <w:t xml:space="preserve">Congenital Anomaly of the Kidneys and Urinary Tract (CAKUT) </w:t>
            </w:r>
          </w:p>
        </w:tc>
        <w:tc>
          <w:tcPr>
            <w:tcW w:w="366" w:type="pct"/>
            <w:tcBorders>
              <w:top w:val="nil"/>
              <w:left w:val="nil"/>
              <w:bottom w:val="nil"/>
              <w:right w:val="nil"/>
            </w:tcBorders>
            <w:shd w:val="clear" w:color="auto" w:fill="auto"/>
            <w:noWrap/>
            <w:vAlign w:val="bottom"/>
            <w:hideMark/>
          </w:tcPr>
          <w:p w14:paraId="554924F9" w14:textId="77777777" w:rsidR="00350C1D" w:rsidRPr="004E0937" w:rsidRDefault="00350C1D" w:rsidP="00DB3615">
            <w:pPr>
              <w:spacing w:after="0" w:line="240" w:lineRule="auto"/>
              <w:jc w:val="left"/>
              <w:rPr>
                <w:rFonts w:ascii="Calibri" w:eastAsia="Times New Roman" w:hAnsi="Calibri" w:cs="Calibri"/>
                <w:color w:val="000000"/>
              </w:rPr>
            </w:pPr>
            <w:r w:rsidRPr="004E0937">
              <w:rPr>
                <w:rFonts w:ascii="Calibri" w:eastAsia="Times New Roman" w:hAnsi="Calibri" w:cs="Calibri"/>
                <w:color w:val="000000"/>
              </w:rPr>
              <w:t>Proband</w:t>
            </w:r>
          </w:p>
        </w:tc>
        <w:tc>
          <w:tcPr>
            <w:tcW w:w="120" w:type="pct"/>
            <w:tcBorders>
              <w:top w:val="nil"/>
              <w:left w:val="nil"/>
              <w:bottom w:val="nil"/>
              <w:right w:val="nil"/>
            </w:tcBorders>
            <w:shd w:val="clear" w:color="auto" w:fill="auto"/>
            <w:noWrap/>
            <w:vAlign w:val="bottom"/>
            <w:hideMark/>
          </w:tcPr>
          <w:p w14:paraId="721C5885" w14:textId="77777777" w:rsidR="00350C1D" w:rsidRPr="004E0937" w:rsidRDefault="00350C1D" w:rsidP="00DB3615">
            <w:pPr>
              <w:spacing w:after="0" w:line="240" w:lineRule="auto"/>
              <w:jc w:val="center"/>
              <w:rPr>
                <w:rFonts w:ascii="Calibri" w:eastAsia="Times New Roman" w:hAnsi="Calibri" w:cs="Calibri"/>
                <w:color w:val="000000"/>
              </w:rPr>
            </w:pPr>
            <w:r w:rsidRPr="004E0937">
              <w:rPr>
                <w:rFonts w:ascii="Calibri" w:eastAsia="Times New Roman" w:hAnsi="Calibri" w:cs="Calibri"/>
                <w:color w:val="000000"/>
              </w:rPr>
              <w:t>M</w:t>
            </w:r>
          </w:p>
        </w:tc>
        <w:tc>
          <w:tcPr>
            <w:tcW w:w="430" w:type="pct"/>
            <w:tcBorders>
              <w:top w:val="nil"/>
              <w:left w:val="nil"/>
              <w:bottom w:val="nil"/>
              <w:right w:val="nil"/>
            </w:tcBorders>
            <w:shd w:val="clear" w:color="auto" w:fill="auto"/>
            <w:noWrap/>
            <w:vAlign w:val="bottom"/>
            <w:hideMark/>
          </w:tcPr>
          <w:p w14:paraId="447CCE04" w14:textId="77777777" w:rsidR="00350C1D" w:rsidRPr="004E0937" w:rsidRDefault="00350C1D" w:rsidP="00DB3615">
            <w:pPr>
              <w:spacing w:after="0" w:line="240" w:lineRule="auto"/>
              <w:jc w:val="center"/>
              <w:rPr>
                <w:rFonts w:ascii="Calibri" w:eastAsia="Times New Roman" w:hAnsi="Calibri" w:cs="Calibri"/>
                <w:color w:val="000000"/>
              </w:rPr>
            </w:pPr>
            <w:r w:rsidRPr="004E0937">
              <w:rPr>
                <w:rFonts w:ascii="Calibri" w:eastAsia="Times New Roman" w:hAnsi="Calibri" w:cs="Calibri"/>
                <w:color w:val="000000"/>
              </w:rPr>
              <w:t>AFR</w:t>
            </w:r>
          </w:p>
        </w:tc>
        <w:tc>
          <w:tcPr>
            <w:tcW w:w="458" w:type="pct"/>
            <w:tcBorders>
              <w:top w:val="nil"/>
              <w:left w:val="nil"/>
              <w:bottom w:val="nil"/>
              <w:right w:val="nil"/>
            </w:tcBorders>
            <w:shd w:val="clear" w:color="auto" w:fill="auto"/>
            <w:vAlign w:val="bottom"/>
            <w:hideMark/>
          </w:tcPr>
          <w:p w14:paraId="02F85848" w14:textId="77777777" w:rsidR="00350C1D" w:rsidRPr="004E0937" w:rsidRDefault="00350C1D" w:rsidP="00DB3615">
            <w:pPr>
              <w:spacing w:after="0" w:line="240" w:lineRule="auto"/>
              <w:jc w:val="left"/>
              <w:rPr>
                <w:rFonts w:ascii="Calibri" w:eastAsia="Times New Roman" w:hAnsi="Calibri" w:cs="Calibri"/>
                <w:color w:val="000000"/>
              </w:rPr>
            </w:pPr>
            <w:r w:rsidRPr="004E0937">
              <w:rPr>
                <w:rFonts w:ascii="Calibri" w:eastAsia="Times New Roman" w:hAnsi="Calibri" w:cs="Calibri"/>
                <w:color w:val="000000"/>
              </w:rPr>
              <w:t>Missense*</w:t>
            </w:r>
          </w:p>
        </w:tc>
        <w:tc>
          <w:tcPr>
            <w:tcW w:w="413" w:type="pct"/>
            <w:tcBorders>
              <w:top w:val="nil"/>
              <w:left w:val="nil"/>
              <w:bottom w:val="nil"/>
              <w:right w:val="nil"/>
            </w:tcBorders>
            <w:shd w:val="clear" w:color="auto" w:fill="auto"/>
            <w:vAlign w:val="bottom"/>
            <w:hideMark/>
          </w:tcPr>
          <w:p w14:paraId="0C5F7A0E" w14:textId="77777777" w:rsidR="00350C1D" w:rsidRPr="004E0937" w:rsidRDefault="00350C1D" w:rsidP="00DB3615">
            <w:pPr>
              <w:spacing w:after="0" w:line="240" w:lineRule="auto"/>
              <w:jc w:val="left"/>
              <w:rPr>
                <w:rFonts w:ascii="Calibri" w:eastAsia="Times New Roman" w:hAnsi="Calibri" w:cs="Calibri"/>
                <w:color w:val="000000"/>
              </w:rPr>
            </w:pPr>
            <w:r w:rsidRPr="004E0937">
              <w:rPr>
                <w:rFonts w:ascii="Calibri" w:eastAsia="Times New Roman" w:hAnsi="Calibri" w:cs="Calibri"/>
                <w:color w:val="000000"/>
              </w:rPr>
              <w:t>Intronic variant*</w:t>
            </w:r>
          </w:p>
        </w:tc>
        <w:tc>
          <w:tcPr>
            <w:tcW w:w="417" w:type="pct"/>
            <w:tcBorders>
              <w:top w:val="nil"/>
              <w:left w:val="nil"/>
              <w:bottom w:val="nil"/>
              <w:right w:val="nil"/>
            </w:tcBorders>
            <w:shd w:val="clear" w:color="auto" w:fill="auto"/>
            <w:noWrap/>
            <w:vAlign w:val="bottom"/>
            <w:hideMark/>
          </w:tcPr>
          <w:p w14:paraId="45DA31E5" w14:textId="77777777" w:rsidR="00350C1D" w:rsidRPr="004E0937" w:rsidRDefault="00350C1D" w:rsidP="00DB3615">
            <w:pPr>
              <w:spacing w:after="0" w:line="240" w:lineRule="auto"/>
              <w:jc w:val="left"/>
              <w:rPr>
                <w:rFonts w:ascii="Calibri" w:eastAsia="Times New Roman" w:hAnsi="Calibri" w:cs="Calibri"/>
                <w:color w:val="000000"/>
              </w:rPr>
            </w:pPr>
          </w:p>
        </w:tc>
      </w:tr>
      <w:tr w:rsidR="00350C1D" w:rsidRPr="004E0937" w14:paraId="00A8AD83" w14:textId="77777777" w:rsidTr="00350C1D">
        <w:trPr>
          <w:trHeight w:val="290"/>
        </w:trPr>
        <w:tc>
          <w:tcPr>
            <w:tcW w:w="184" w:type="pct"/>
            <w:tcBorders>
              <w:top w:val="nil"/>
              <w:left w:val="nil"/>
              <w:bottom w:val="nil"/>
              <w:right w:val="nil"/>
            </w:tcBorders>
            <w:shd w:val="clear" w:color="auto" w:fill="auto"/>
            <w:noWrap/>
            <w:vAlign w:val="bottom"/>
            <w:hideMark/>
          </w:tcPr>
          <w:p w14:paraId="7A7FB002" w14:textId="77777777" w:rsidR="00350C1D" w:rsidRPr="004E0937" w:rsidRDefault="00350C1D" w:rsidP="00DB3615">
            <w:pPr>
              <w:spacing w:after="0" w:line="240" w:lineRule="auto"/>
              <w:jc w:val="center"/>
              <w:rPr>
                <w:rFonts w:ascii="Calibri" w:eastAsia="Times New Roman" w:hAnsi="Calibri" w:cs="Calibri"/>
                <w:color w:val="000000"/>
              </w:rPr>
            </w:pPr>
            <w:r w:rsidRPr="004E0937">
              <w:rPr>
                <w:rFonts w:ascii="Calibri" w:eastAsia="Times New Roman" w:hAnsi="Calibri" w:cs="Calibri"/>
                <w:color w:val="000000"/>
              </w:rPr>
              <w:t>46</w:t>
            </w:r>
          </w:p>
        </w:tc>
        <w:tc>
          <w:tcPr>
            <w:tcW w:w="190" w:type="pct"/>
            <w:tcBorders>
              <w:top w:val="nil"/>
              <w:left w:val="nil"/>
              <w:bottom w:val="nil"/>
              <w:right w:val="nil"/>
            </w:tcBorders>
            <w:vAlign w:val="bottom"/>
          </w:tcPr>
          <w:p w14:paraId="74FBF72C" w14:textId="475C0EB4" w:rsidR="00350C1D" w:rsidRDefault="00350C1D" w:rsidP="00DB3615">
            <w:pPr>
              <w:spacing w:after="0" w:line="240" w:lineRule="auto"/>
              <w:jc w:val="center"/>
              <w:rPr>
                <w:rFonts w:ascii="Calibri" w:eastAsia="Times New Roman" w:hAnsi="Calibri" w:cs="Calibri"/>
                <w:color w:val="000000"/>
              </w:rPr>
            </w:pPr>
            <w:r>
              <w:rPr>
                <w:rFonts w:ascii="Calibri" w:eastAsia="Times New Roman" w:hAnsi="Calibri" w:cs="Calibri"/>
                <w:color w:val="000000"/>
              </w:rPr>
              <w:t>No</w:t>
            </w:r>
          </w:p>
        </w:tc>
        <w:tc>
          <w:tcPr>
            <w:tcW w:w="498" w:type="pct"/>
            <w:tcBorders>
              <w:top w:val="nil"/>
              <w:left w:val="nil"/>
              <w:bottom w:val="nil"/>
              <w:right w:val="nil"/>
            </w:tcBorders>
            <w:shd w:val="clear" w:color="auto" w:fill="auto"/>
            <w:noWrap/>
            <w:vAlign w:val="bottom"/>
            <w:hideMark/>
          </w:tcPr>
          <w:p w14:paraId="0F9043FA" w14:textId="1FC4D4B7" w:rsidR="00350C1D" w:rsidRPr="004E0937" w:rsidRDefault="00350C1D" w:rsidP="00DB3615">
            <w:pPr>
              <w:spacing w:after="0" w:line="240" w:lineRule="auto"/>
              <w:jc w:val="center"/>
              <w:rPr>
                <w:rFonts w:ascii="Calibri" w:eastAsia="Times New Roman" w:hAnsi="Calibri" w:cs="Calibri"/>
                <w:color w:val="000000"/>
              </w:rPr>
            </w:pPr>
          </w:p>
        </w:tc>
        <w:tc>
          <w:tcPr>
            <w:tcW w:w="374" w:type="pct"/>
            <w:tcBorders>
              <w:top w:val="nil"/>
              <w:left w:val="nil"/>
              <w:bottom w:val="nil"/>
              <w:right w:val="nil"/>
            </w:tcBorders>
            <w:shd w:val="clear" w:color="auto" w:fill="auto"/>
            <w:noWrap/>
            <w:vAlign w:val="bottom"/>
            <w:hideMark/>
          </w:tcPr>
          <w:p w14:paraId="2C8C7C0D" w14:textId="77777777" w:rsidR="00350C1D" w:rsidRPr="004E0937" w:rsidRDefault="00350C1D" w:rsidP="00DB3615">
            <w:pPr>
              <w:spacing w:after="0" w:line="240" w:lineRule="auto"/>
              <w:jc w:val="center"/>
              <w:rPr>
                <w:rFonts w:ascii="Calibri" w:eastAsia="Times New Roman" w:hAnsi="Calibri" w:cs="Calibri"/>
                <w:color w:val="000000"/>
              </w:rPr>
            </w:pPr>
            <w:r w:rsidRPr="004E0937">
              <w:rPr>
                <w:rFonts w:ascii="Calibri" w:eastAsia="Times New Roman" w:hAnsi="Calibri" w:cs="Calibri"/>
                <w:color w:val="000000"/>
              </w:rPr>
              <w:t>41 to 45</w:t>
            </w:r>
          </w:p>
        </w:tc>
        <w:tc>
          <w:tcPr>
            <w:tcW w:w="498" w:type="pct"/>
            <w:gridSpan w:val="3"/>
            <w:tcBorders>
              <w:top w:val="nil"/>
              <w:left w:val="nil"/>
              <w:bottom w:val="nil"/>
              <w:right w:val="nil"/>
            </w:tcBorders>
            <w:shd w:val="clear" w:color="auto" w:fill="auto"/>
            <w:noWrap/>
            <w:vAlign w:val="bottom"/>
            <w:hideMark/>
          </w:tcPr>
          <w:p w14:paraId="247FDB56" w14:textId="77777777" w:rsidR="00350C1D" w:rsidRPr="004E0937" w:rsidRDefault="00350C1D" w:rsidP="00DB3615">
            <w:pPr>
              <w:spacing w:after="0" w:line="240" w:lineRule="auto"/>
              <w:jc w:val="center"/>
              <w:rPr>
                <w:rFonts w:ascii="Calibri" w:eastAsia="Times New Roman" w:hAnsi="Calibri" w:cs="Calibri"/>
                <w:color w:val="000000"/>
              </w:rPr>
            </w:pPr>
          </w:p>
        </w:tc>
        <w:tc>
          <w:tcPr>
            <w:tcW w:w="1052" w:type="pct"/>
            <w:gridSpan w:val="2"/>
            <w:tcBorders>
              <w:top w:val="nil"/>
              <w:left w:val="nil"/>
              <w:bottom w:val="nil"/>
              <w:right w:val="nil"/>
            </w:tcBorders>
            <w:shd w:val="clear" w:color="auto" w:fill="auto"/>
            <w:vAlign w:val="bottom"/>
            <w:hideMark/>
          </w:tcPr>
          <w:p w14:paraId="580E3933" w14:textId="77777777" w:rsidR="00350C1D" w:rsidRPr="004E0937" w:rsidRDefault="00350C1D" w:rsidP="00DB3615">
            <w:pPr>
              <w:spacing w:after="0" w:line="240" w:lineRule="auto"/>
              <w:jc w:val="left"/>
              <w:rPr>
                <w:rFonts w:ascii="Calibri" w:eastAsia="Times New Roman" w:hAnsi="Calibri" w:cs="Calibri"/>
                <w:color w:val="000000"/>
              </w:rPr>
            </w:pPr>
            <w:r w:rsidRPr="004E0937">
              <w:rPr>
                <w:rFonts w:ascii="Calibri" w:eastAsia="Times New Roman" w:hAnsi="Calibri" w:cs="Calibri"/>
                <w:color w:val="000000"/>
              </w:rPr>
              <w:t>Rod-cone dystrophy</w:t>
            </w:r>
          </w:p>
        </w:tc>
        <w:tc>
          <w:tcPr>
            <w:tcW w:w="366" w:type="pct"/>
            <w:tcBorders>
              <w:top w:val="nil"/>
              <w:left w:val="nil"/>
              <w:bottom w:val="nil"/>
              <w:right w:val="nil"/>
            </w:tcBorders>
            <w:shd w:val="clear" w:color="auto" w:fill="auto"/>
            <w:noWrap/>
            <w:vAlign w:val="bottom"/>
            <w:hideMark/>
          </w:tcPr>
          <w:p w14:paraId="34B533E4" w14:textId="77777777" w:rsidR="00350C1D" w:rsidRPr="004E0937" w:rsidRDefault="00350C1D" w:rsidP="00DB3615">
            <w:pPr>
              <w:spacing w:after="0" w:line="240" w:lineRule="auto"/>
              <w:jc w:val="left"/>
              <w:rPr>
                <w:rFonts w:ascii="Calibri" w:eastAsia="Times New Roman" w:hAnsi="Calibri" w:cs="Calibri"/>
                <w:color w:val="000000"/>
              </w:rPr>
            </w:pPr>
            <w:r w:rsidRPr="004E0937">
              <w:rPr>
                <w:rFonts w:ascii="Calibri" w:eastAsia="Times New Roman" w:hAnsi="Calibri" w:cs="Calibri"/>
                <w:color w:val="000000"/>
              </w:rPr>
              <w:t>Proband</w:t>
            </w:r>
          </w:p>
        </w:tc>
        <w:tc>
          <w:tcPr>
            <w:tcW w:w="120" w:type="pct"/>
            <w:tcBorders>
              <w:top w:val="nil"/>
              <w:left w:val="nil"/>
              <w:bottom w:val="nil"/>
              <w:right w:val="nil"/>
            </w:tcBorders>
            <w:shd w:val="clear" w:color="auto" w:fill="auto"/>
            <w:noWrap/>
            <w:vAlign w:val="bottom"/>
            <w:hideMark/>
          </w:tcPr>
          <w:p w14:paraId="26948DEB" w14:textId="77777777" w:rsidR="00350C1D" w:rsidRPr="004E0937" w:rsidRDefault="00350C1D" w:rsidP="00DB3615">
            <w:pPr>
              <w:spacing w:after="0" w:line="240" w:lineRule="auto"/>
              <w:jc w:val="center"/>
              <w:rPr>
                <w:rFonts w:ascii="Calibri" w:eastAsia="Times New Roman" w:hAnsi="Calibri" w:cs="Calibri"/>
                <w:color w:val="000000"/>
              </w:rPr>
            </w:pPr>
            <w:r w:rsidRPr="004E0937">
              <w:rPr>
                <w:rFonts w:ascii="Calibri" w:eastAsia="Times New Roman" w:hAnsi="Calibri" w:cs="Calibri"/>
                <w:color w:val="000000"/>
              </w:rPr>
              <w:t>M</w:t>
            </w:r>
          </w:p>
        </w:tc>
        <w:tc>
          <w:tcPr>
            <w:tcW w:w="430" w:type="pct"/>
            <w:tcBorders>
              <w:top w:val="nil"/>
              <w:left w:val="nil"/>
              <w:bottom w:val="nil"/>
              <w:right w:val="nil"/>
            </w:tcBorders>
            <w:shd w:val="clear" w:color="auto" w:fill="auto"/>
            <w:noWrap/>
            <w:vAlign w:val="bottom"/>
            <w:hideMark/>
          </w:tcPr>
          <w:p w14:paraId="2C152CEA" w14:textId="77777777" w:rsidR="00350C1D" w:rsidRPr="004E0937" w:rsidRDefault="00350C1D" w:rsidP="00DB3615">
            <w:pPr>
              <w:spacing w:after="0" w:line="240" w:lineRule="auto"/>
              <w:jc w:val="center"/>
              <w:rPr>
                <w:rFonts w:ascii="Calibri" w:eastAsia="Times New Roman" w:hAnsi="Calibri" w:cs="Calibri"/>
                <w:color w:val="000000"/>
              </w:rPr>
            </w:pPr>
          </w:p>
        </w:tc>
        <w:tc>
          <w:tcPr>
            <w:tcW w:w="458" w:type="pct"/>
            <w:tcBorders>
              <w:top w:val="nil"/>
              <w:left w:val="nil"/>
              <w:bottom w:val="nil"/>
              <w:right w:val="nil"/>
            </w:tcBorders>
            <w:shd w:val="clear" w:color="auto" w:fill="auto"/>
            <w:vAlign w:val="bottom"/>
            <w:hideMark/>
          </w:tcPr>
          <w:p w14:paraId="4368DDDB" w14:textId="77777777" w:rsidR="00350C1D" w:rsidRPr="004E0937" w:rsidRDefault="00350C1D" w:rsidP="00DB3615">
            <w:pPr>
              <w:spacing w:after="0" w:line="240" w:lineRule="auto"/>
              <w:jc w:val="left"/>
              <w:rPr>
                <w:rFonts w:ascii="Calibri" w:eastAsia="Times New Roman" w:hAnsi="Calibri" w:cs="Calibri"/>
                <w:color w:val="000000"/>
              </w:rPr>
            </w:pPr>
            <w:r w:rsidRPr="004E0937">
              <w:rPr>
                <w:rFonts w:ascii="Calibri" w:eastAsia="Times New Roman" w:hAnsi="Calibri" w:cs="Calibri"/>
                <w:color w:val="000000"/>
              </w:rPr>
              <w:t>Stop gained</w:t>
            </w:r>
          </w:p>
        </w:tc>
        <w:tc>
          <w:tcPr>
            <w:tcW w:w="413" w:type="pct"/>
            <w:tcBorders>
              <w:top w:val="nil"/>
              <w:left w:val="nil"/>
              <w:bottom w:val="nil"/>
              <w:right w:val="nil"/>
            </w:tcBorders>
            <w:shd w:val="clear" w:color="auto" w:fill="auto"/>
            <w:vAlign w:val="bottom"/>
            <w:hideMark/>
          </w:tcPr>
          <w:p w14:paraId="2913F406" w14:textId="77777777" w:rsidR="00350C1D" w:rsidRPr="004E0937" w:rsidRDefault="00350C1D" w:rsidP="00DB3615">
            <w:pPr>
              <w:spacing w:after="0" w:line="240" w:lineRule="auto"/>
              <w:jc w:val="left"/>
              <w:rPr>
                <w:rFonts w:ascii="Calibri" w:eastAsia="Times New Roman" w:hAnsi="Calibri" w:cs="Calibri"/>
                <w:color w:val="000000"/>
              </w:rPr>
            </w:pPr>
          </w:p>
        </w:tc>
        <w:tc>
          <w:tcPr>
            <w:tcW w:w="417" w:type="pct"/>
            <w:tcBorders>
              <w:top w:val="nil"/>
              <w:left w:val="nil"/>
              <w:bottom w:val="nil"/>
              <w:right w:val="nil"/>
            </w:tcBorders>
            <w:shd w:val="clear" w:color="auto" w:fill="auto"/>
            <w:noWrap/>
            <w:vAlign w:val="bottom"/>
            <w:hideMark/>
          </w:tcPr>
          <w:p w14:paraId="7D855F5F" w14:textId="77777777" w:rsidR="00350C1D" w:rsidRPr="001064BB" w:rsidRDefault="00350C1D" w:rsidP="00DB3615">
            <w:pPr>
              <w:spacing w:after="0" w:line="240" w:lineRule="auto"/>
              <w:jc w:val="center"/>
              <w:rPr>
                <w:rFonts w:ascii="Calibri" w:eastAsia="Times New Roman" w:hAnsi="Calibri" w:cs="Calibri"/>
                <w:i/>
                <w:iCs/>
                <w:color w:val="000000"/>
              </w:rPr>
            </w:pPr>
            <w:r w:rsidRPr="001064BB">
              <w:rPr>
                <w:rFonts w:ascii="Calibri" w:eastAsia="Times New Roman" w:hAnsi="Calibri" w:cs="Calibri"/>
                <w:i/>
                <w:iCs/>
                <w:color w:val="000000"/>
              </w:rPr>
              <w:t>EYS</w:t>
            </w:r>
          </w:p>
        </w:tc>
      </w:tr>
      <w:tr w:rsidR="00350C1D" w:rsidRPr="004E0937" w14:paraId="5C7C964E" w14:textId="77777777" w:rsidTr="00350C1D">
        <w:trPr>
          <w:trHeight w:val="290"/>
        </w:trPr>
        <w:tc>
          <w:tcPr>
            <w:tcW w:w="184" w:type="pct"/>
            <w:tcBorders>
              <w:top w:val="nil"/>
              <w:left w:val="nil"/>
              <w:bottom w:val="nil"/>
              <w:right w:val="nil"/>
            </w:tcBorders>
            <w:shd w:val="clear" w:color="CCFFFF" w:fill="DEEBF7"/>
            <w:noWrap/>
            <w:vAlign w:val="bottom"/>
            <w:hideMark/>
          </w:tcPr>
          <w:p w14:paraId="62152094" w14:textId="77777777" w:rsidR="00350C1D" w:rsidRPr="004E0937" w:rsidRDefault="00350C1D" w:rsidP="00DB3615">
            <w:pPr>
              <w:spacing w:after="0" w:line="240" w:lineRule="auto"/>
              <w:jc w:val="center"/>
              <w:rPr>
                <w:rFonts w:ascii="Calibri" w:eastAsia="Times New Roman" w:hAnsi="Calibri" w:cs="Calibri"/>
                <w:color w:val="000000"/>
              </w:rPr>
            </w:pPr>
            <w:r w:rsidRPr="004E0937">
              <w:rPr>
                <w:rFonts w:ascii="Calibri" w:eastAsia="Times New Roman" w:hAnsi="Calibri" w:cs="Calibri"/>
                <w:color w:val="000000"/>
              </w:rPr>
              <w:lastRenderedPageBreak/>
              <w:t>47</w:t>
            </w:r>
          </w:p>
        </w:tc>
        <w:tc>
          <w:tcPr>
            <w:tcW w:w="190" w:type="pct"/>
            <w:tcBorders>
              <w:top w:val="nil"/>
              <w:left w:val="nil"/>
              <w:bottom w:val="nil"/>
              <w:right w:val="nil"/>
            </w:tcBorders>
            <w:shd w:val="clear" w:color="CCFFFF" w:fill="DEEBF7"/>
            <w:vAlign w:val="bottom"/>
          </w:tcPr>
          <w:p w14:paraId="26EE8B41" w14:textId="77777777" w:rsidR="00350C1D" w:rsidRPr="004E0937" w:rsidRDefault="00350C1D" w:rsidP="00DB3615">
            <w:pPr>
              <w:spacing w:after="0" w:line="240" w:lineRule="auto"/>
              <w:jc w:val="center"/>
              <w:rPr>
                <w:rFonts w:ascii="Calibri" w:eastAsia="Times New Roman" w:hAnsi="Calibri" w:cs="Calibri"/>
                <w:color w:val="000000"/>
              </w:rPr>
            </w:pPr>
          </w:p>
        </w:tc>
        <w:tc>
          <w:tcPr>
            <w:tcW w:w="498" w:type="pct"/>
            <w:tcBorders>
              <w:top w:val="nil"/>
              <w:left w:val="nil"/>
              <w:bottom w:val="nil"/>
              <w:right w:val="nil"/>
            </w:tcBorders>
            <w:shd w:val="clear" w:color="CCFFFF" w:fill="DEEBF7"/>
            <w:noWrap/>
            <w:vAlign w:val="bottom"/>
            <w:hideMark/>
          </w:tcPr>
          <w:p w14:paraId="5F8FAB20" w14:textId="44452FC6" w:rsidR="00350C1D" w:rsidRPr="004E0937" w:rsidRDefault="00350C1D" w:rsidP="00DB3615">
            <w:pPr>
              <w:spacing w:after="0" w:line="240" w:lineRule="auto"/>
              <w:jc w:val="center"/>
              <w:rPr>
                <w:rFonts w:ascii="Calibri" w:eastAsia="Times New Roman" w:hAnsi="Calibri" w:cs="Calibri"/>
                <w:color w:val="000000"/>
              </w:rPr>
            </w:pPr>
            <w:r w:rsidRPr="004E0937">
              <w:rPr>
                <w:rFonts w:ascii="Calibri" w:eastAsia="Times New Roman" w:hAnsi="Calibri" w:cs="Calibri"/>
                <w:color w:val="000000"/>
              </w:rPr>
              <w:t> </w:t>
            </w:r>
          </w:p>
        </w:tc>
        <w:tc>
          <w:tcPr>
            <w:tcW w:w="374" w:type="pct"/>
            <w:tcBorders>
              <w:top w:val="nil"/>
              <w:left w:val="nil"/>
              <w:bottom w:val="nil"/>
              <w:right w:val="nil"/>
            </w:tcBorders>
            <w:shd w:val="clear" w:color="CCFFFF" w:fill="DEEBF7"/>
            <w:noWrap/>
            <w:vAlign w:val="bottom"/>
            <w:hideMark/>
          </w:tcPr>
          <w:p w14:paraId="25A4DC5E" w14:textId="77777777" w:rsidR="00350C1D" w:rsidRPr="004E0937" w:rsidRDefault="00350C1D" w:rsidP="00DB3615">
            <w:pPr>
              <w:spacing w:after="0" w:line="240" w:lineRule="auto"/>
              <w:jc w:val="center"/>
              <w:rPr>
                <w:rFonts w:ascii="Calibri" w:eastAsia="Times New Roman" w:hAnsi="Calibri" w:cs="Calibri"/>
                <w:color w:val="000000"/>
              </w:rPr>
            </w:pPr>
            <w:r w:rsidRPr="004E0937">
              <w:rPr>
                <w:rFonts w:ascii="Calibri" w:eastAsia="Times New Roman" w:hAnsi="Calibri" w:cs="Calibri"/>
                <w:color w:val="000000"/>
              </w:rPr>
              <w:t> </w:t>
            </w:r>
          </w:p>
        </w:tc>
        <w:tc>
          <w:tcPr>
            <w:tcW w:w="498" w:type="pct"/>
            <w:gridSpan w:val="3"/>
            <w:tcBorders>
              <w:top w:val="nil"/>
              <w:left w:val="nil"/>
              <w:bottom w:val="nil"/>
              <w:right w:val="nil"/>
            </w:tcBorders>
            <w:shd w:val="clear" w:color="CCFFFF" w:fill="DEEBF7"/>
            <w:noWrap/>
            <w:vAlign w:val="bottom"/>
            <w:hideMark/>
          </w:tcPr>
          <w:p w14:paraId="40A6D1A6" w14:textId="77777777" w:rsidR="00350C1D" w:rsidRPr="004E0937" w:rsidRDefault="00350C1D" w:rsidP="00DB3615">
            <w:pPr>
              <w:spacing w:after="0" w:line="240" w:lineRule="auto"/>
              <w:jc w:val="center"/>
              <w:rPr>
                <w:rFonts w:ascii="Calibri" w:eastAsia="Times New Roman" w:hAnsi="Calibri" w:cs="Calibri"/>
                <w:color w:val="000000"/>
              </w:rPr>
            </w:pPr>
            <w:r w:rsidRPr="004E0937">
              <w:rPr>
                <w:rFonts w:ascii="Calibri" w:eastAsia="Times New Roman" w:hAnsi="Calibri" w:cs="Calibri"/>
                <w:color w:val="000000"/>
              </w:rPr>
              <w:t>46 to 50</w:t>
            </w:r>
          </w:p>
        </w:tc>
        <w:tc>
          <w:tcPr>
            <w:tcW w:w="1052" w:type="pct"/>
            <w:gridSpan w:val="2"/>
            <w:tcBorders>
              <w:top w:val="nil"/>
              <w:left w:val="nil"/>
              <w:bottom w:val="nil"/>
              <w:right w:val="nil"/>
            </w:tcBorders>
            <w:shd w:val="clear" w:color="CCFFFF" w:fill="DEEBF7"/>
            <w:vAlign w:val="bottom"/>
            <w:hideMark/>
          </w:tcPr>
          <w:p w14:paraId="5AC59C6D" w14:textId="77777777" w:rsidR="00350C1D" w:rsidRPr="004E0937" w:rsidRDefault="00350C1D" w:rsidP="00DB3615">
            <w:pPr>
              <w:spacing w:after="0" w:line="240" w:lineRule="auto"/>
              <w:jc w:val="left"/>
              <w:rPr>
                <w:rFonts w:ascii="Calibri" w:eastAsia="Times New Roman" w:hAnsi="Calibri" w:cs="Calibri"/>
                <w:color w:val="000000"/>
              </w:rPr>
            </w:pPr>
            <w:r w:rsidRPr="004E0937">
              <w:rPr>
                <w:rFonts w:ascii="Calibri" w:eastAsia="Times New Roman" w:hAnsi="Calibri" w:cs="Calibri"/>
                <w:color w:val="000000"/>
              </w:rPr>
              <w:t>Charcot-Marie-Tooth disease</w:t>
            </w:r>
          </w:p>
        </w:tc>
        <w:tc>
          <w:tcPr>
            <w:tcW w:w="366" w:type="pct"/>
            <w:tcBorders>
              <w:top w:val="nil"/>
              <w:left w:val="nil"/>
              <w:bottom w:val="nil"/>
              <w:right w:val="nil"/>
            </w:tcBorders>
            <w:shd w:val="clear" w:color="CCFFFF" w:fill="DEEBF7"/>
            <w:noWrap/>
            <w:vAlign w:val="bottom"/>
            <w:hideMark/>
          </w:tcPr>
          <w:p w14:paraId="6A0EFA9B" w14:textId="77777777" w:rsidR="00350C1D" w:rsidRPr="004E0937" w:rsidRDefault="00350C1D" w:rsidP="00DB3615">
            <w:pPr>
              <w:spacing w:after="0" w:line="240" w:lineRule="auto"/>
              <w:jc w:val="left"/>
              <w:rPr>
                <w:rFonts w:ascii="Calibri" w:eastAsia="Times New Roman" w:hAnsi="Calibri" w:cs="Calibri"/>
                <w:color w:val="000000"/>
              </w:rPr>
            </w:pPr>
            <w:r w:rsidRPr="004E0937">
              <w:rPr>
                <w:rFonts w:ascii="Calibri" w:eastAsia="Times New Roman" w:hAnsi="Calibri" w:cs="Calibri"/>
                <w:color w:val="000000"/>
              </w:rPr>
              <w:t>Proband</w:t>
            </w:r>
          </w:p>
        </w:tc>
        <w:tc>
          <w:tcPr>
            <w:tcW w:w="120" w:type="pct"/>
            <w:tcBorders>
              <w:top w:val="nil"/>
              <w:left w:val="nil"/>
              <w:bottom w:val="nil"/>
              <w:right w:val="nil"/>
            </w:tcBorders>
            <w:shd w:val="clear" w:color="CCFFFF" w:fill="DEEBF7"/>
            <w:noWrap/>
            <w:vAlign w:val="bottom"/>
            <w:hideMark/>
          </w:tcPr>
          <w:p w14:paraId="5BB0F38F" w14:textId="77777777" w:rsidR="00350C1D" w:rsidRPr="004E0937" w:rsidRDefault="00350C1D" w:rsidP="00DB3615">
            <w:pPr>
              <w:spacing w:after="0" w:line="240" w:lineRule="auto"/>
              <w:jc w:val="center"/>
              <w:rPr>
                <w:rFonts w:ascii="Calibri" w:eastAsia="Times New Roman" w:hAnsi="Calibri" w:cs="Calibri"/>
                <w:color w:val="000000"/>
              </w:rPr>
            </w:pPr>
            <w:r w:rsidRPr="004E0937">
              <w:rPr>
                <w:rFonts w:ascii="Calibri" w:eastAsia="Times New Roman" w:hAnsi="Calibri" w:cs="Calibri"/>
                <w:color w:val="000000"/>
              </w:rPr>
              <w:t>M</w:t>
            </w:r>
          </w:p>
        </w:tc>
        <w:tc>
          <w:tcPr>
            <w:tcW w:w="430" w:type="pct"/>
            <w:tcBorders>
              <w:top w:val="nil"/>
              <w:left w:val="nil"/>
              <w:bottom w:val="nil"/>
              <w:right w:val="nil"/>
            </w:tcBorders>
            <w:shd w:val="clear" w:color="CCFFFF" w:fill="DEEBF7"/>
            <w:noWrap/>
            <w:vAlign w:val="bottom"/>
            <w:hideMark/>
          </w:tcPr>
          <w:p w14:paraId="2E7C9A54" w14:textId="77777777" w:rsidR="00350C1D" w:rsidRPr="004E0937" w:rsidRDefault="00350C1D" w:rsidP="00DB3615">
            <w:pPr>
              <w:spacing w:after="0" w:line="240" w:lineRule="auto"/>
              <w:jc w:val="center"/>
              <w:rPr>
                <w:rFonts w:ascii="Calibri" w:eastAsia="Times New Roman" w:hAnsi="Calibri" w:cs="Calibri"/>
                <w:color w:val="000000"/>
              </w:rPr>
            </w:pPr>
            <w:r w:rsidRPr="004E0937">
              <w:rPr>
                <w:rFonts w:ascii="Calibri" w:eastAsia="Times New Roman" w:hAnsi="Calibri" w:cs="Calibri"/>
                <w:color w:val="000000"/>
              </w:rPr>
              <w:t>EUR</w:t>
            </w:r>
          </w:p>
        </w:tc>
        <w:tc>
          <w:tcPr>
            <w:tcW w:w="458" w:type="pct"/>
            <w:tcBorders>
              <w:top w:val="nil"/>
              <w:left w:val="nil"/>
              <w:bottom w:val="nil"/>
              <w:right w:val="nil"/>
            </w:tcBorders>
            <w:shd w:val="clear" w:color="CCFFFF" w:fill="DEEBF7"/>
            <w:vAlign w:val="bottom"/>
            <w:hideMark/>
          </w:tcPr>
          <w:p w14:paraId="7D395923" w14:textId="77777777" w:rsidR="00350C1D" w:rsidRPr="004E0937" w:rsidRDefault="00350C1D" w:rsidP="00DB3615">
            <w:pPr>
              <w:spacing w:after="0" w:line="240" w:lineRule="auto"/>
              <w:jc w:val="left"/>
              <w:rPr>
                <w:rFonts w:ascii="Calibri" w:eastAsia="Times New Roman" w:hAnsi="Calibri" w:cs="Calibri"/>
                <w:color w:val="000000"/>
              </w:rPr>
            </w:pPr>
            <w:r w:rsidRPr="004E0937">
              <w:rPr>
                <w:rFonts w:ascii="Calibri" w:eastAsia="Times New Roman" w:hAnsi="Calibri" w:cs="Calibri"/>
                <w:color w:val="000000"/>
              </w:rPr>
              <w:t>Compound het Missense*</w:t>
            </w:r>
          </w:p>
        </w:tc>
        <w:tc>
          <w:tcPr>
            <w:tcW w:w="413" w:type="pct"/>
            <w:tcBorders>
              <w:top w:val="nil"/>
              <w:left w:val="nil"/>
              <w:bottom w:val="nil"/>
              <w:right w:val="nil"/>
            </w:tcBorders>
            <w:shd w:val="clear" w:color="CCFFFF" w:fill="DEEBF7"/>
            <w:vAlign w:val="bottom"/>
            <w:hideMark/>
          </w:tcPr>
          <w:p w14:paraId="1C1D7EA4" w14:textId="77777777" w:rsidR="00350C1D" w:rsidRPr="004E0937" w:rsidRDefault="00350C1D" w:rsidP="00DB3615">
            <w:pPr>
              <w:spacing w:after="0" w:line="240" w:lineRule="auto"/>
              <w:jc w:val="left"/>
              <w:rPr>
                <w:rFonts w:ascii="Calibri" w:eastAsia="Times New Roman" w:hAnsi="Calibri" w:cs="Calibri"/>
                <w:color w:val="000000"/>
              </w:rPr>
            </w:pPr>
            <w:r w:rsidRPr="004E0937">
              <w:rPr>
                <w:rFonts w:ascii="Calibri" w:eastAsia="Times New Roman" w:hAnsi="Calibri" w:cs="Calibri"/>
                <w:color w:val="000000"/>
              </w:rPr>
              <w:t>Compound het Missense*</w:t>
            </w:r>
          </w:p>
        </w:tc>
        <w:tc>
          <w:tcPr>
            <w:tcW w:w="417" w:type="pct"/>
            <w:tcBorders>
              <w:top w:val="nil"/>
              <w:left w:val="nil"/>
              <w:bottom w:val="nil"/>
              <w:right w:val="nil"/>
            </w:tcBorders>
            <w:shd w:val="clear" w:color="CCFFFF" w:fill="DEEBF7"/>
            <w:noWrap/>
            <w:vAlign w:val="bottom"/>
            <w:hideMark/>
          </w:tcPr>
          <w:p w14:paraId="329014D9" w14:textId="77777777" w:rsidR="00350C1D" w:rsidRPr="004E0937" w:rsidRDefault="00350C1D" w:rsidP="00DB3615">
            <w:pPr>
              <w:spacing w:after="0" w:line="240" w:lineRule="auto"/>
              <w:jc w:val="center"/>
              <w:rPr>
                <w:rFonts w:ascii="Calibri" w:eastAsia="Times New Roman" w:hAnsi="Calibri" w:cs="Calibri"/>
                <w:color w:val="000000"/>
              </w:rPr>
            </w:pPr>
            <w:r w:rsidRPr="004E0937">
              <w:rPr>
                <w:rFonts w:ascii="Calibri" w:eastAsia="Times New Roman" w:hAnsi="Calibri" w:cs="Calibri"/>
                <w:color w:val="000000"/>
              </w:rPr>
              <w:t> </w:t>
            </w:r>
          </w:p>
        </w:tc>
      </w:tr>
      <w:tr w:rsidR="00350C1D" w:rsidRPr="004E0937" w14:paraId="5AE7395D" w14:textId="77777777" w:rsidTr="00350C1D">
        <w:trPr>
          <w:trHeight w:val="290"/>
        </w:trPr>
        <w:tc>
          <w:tcPr>
            <w:tcW w:w="184" w:type="pct"/>
            <w:tcBorders>
              <w:top w:val="nil"/>
              <w:left w:val="nil"/>
              <w:bottom w:val="nil"/>
              <w:right w:val="nil"/>
            </w:tcBorders>
            <w:shd w:val="clear" w:color="auto" w:fill="auto"/>
            <w:noWrap/>
            <w:vAlign w:val="bottom"/>
            <w:hideMark/>
          </w:tcPr>
          <w:p w14:paraId="329F277F" w14:textId="77777777" w:rsidR="00350C1D" w:rsidRPr="004E0937" w:rsidRDefault="00350C1D" w:rsidP="00DB3615">
            <w:pPr>
              <w:spacing w:after="0" w:line="240" w:lineRule="auto"/>
              <w:jc w:val="center"/>
              <w:rPr>
                <w:rFonts w:ascii="Calibri" w:eastAsia="Times New Roman" w:hAnsi="Calibri" w:cs="Calibri"/>
                <w:color w:val="000000"/>
              </w:rPr>
            </w:pPr>
            <w:r w:rsidRPr="004E0937">
              <w:rPr>
                <w:rFonts w:ascii="Calibri" w:eastAsia="Times New Roman" w:hAnsi="Calibri" w:cs="Calibri"/>
                <w:color w:val="000000"/>
              </w:rPr>
              <w:t>48</w:t>
            </w:r>
          </w:p>
        </w:tc>
        <w:tc>
          <w:tcPr>
            <w:tcW w:w="190" w:type="pct"/>
            <w:tcBorders>
              <w:top w:val="nil"/>
              <w:left w:val="nil"/>
              <w:bottom w:val="nil"/>
              <w:right w:val="nil"/>
            </w:tcBorders>
            <w:vAlign w:val="bottom"/>
          </w:tcPr>
          <w:p w14:paraId="5ED37BA0" w14:textId="31ACD78C" w:rsidR="00350C1D" w:rsidRDefault="00350C1D" w:rsidP="00DB3615">
            <w:pPr>
              <w:spacing w:after="0" w:line="240" w:lineRule="auto"/>
              <w:jc w:val="center"/>
              <w:rPr>
                <w:rFonts w:ascii="Calibri" w:eastAsia="Times New Roman" w:hAnsi="Calibri" w:cs="Calibri"/>
                <w:color w:val="000000"/>
              </w:rPr>
            </w:pPr>
            <w:r>
              <w:rPr>
                <w:rFonts w:ascii="Calibri" w:eastAsia="Times New Roman" w:hAnsi="Calibri" w:cs="Calibri"/>
                <w:color w:val="000000"/>
              </w:rPr>
              <w:t>Yes</w:t>
            </w:r>
          </w:p>
        </w:tc>
        <w:tc>
          <w:tcPr>
            <w:tcW w:w="498" w:type="pct"/>
            <w:tcBorders>
              <w:top w:val="nil"/>
              <w:left w:val="nil"/>
              <w:bottom w:val="nil"/>
              <w:right w:val="nil"/>
            </w:tcBorders>
            <w:shd w:val="clear" w:color="auto" w:fill="auto"/>
            <w:noWrap/>
            <w:vAlign w:val="bottom"/>
            <w:hideMark/>
          </w:tcPr>
          <w:p w14:paraId="1EBB01F7" w14:textId="1C1CE10E" w:rsidR="00350C1D" w:rsidRPr="004E0937" w:rsidRDefault="00350C1D" w:rsidP="00DB3615">
            <w:pPr>
              <w:spacing w:after="0" w:line="240" w:lineRule="auto"/>
              <w:jc w:val="center"/>
              <w:rPr>
                <w:rFonts w:ascii="Calibri" w:eastAsia="Times New Roman" w:hAnsi="Calibri" w:cs="Calibri"/>
                <w:color w:val="000000"/>
              </w:rPr>
            </w:pPr>
          </w:p>
        </w:tc>
        <w:tc>
          <w:tcPr>
            <w:tcW w:w="374" w:type="pct"/>
            <w:tcBorders>
              <w:top w:val="nil"/>
              <w:left w:val="nil"/>
              <w:bottom w:val="nil"/>
              <w:right w:val="nil"/>
            </w:tcBorders>
            <w:shd w:val="clear" w:color="auto" w:fill="auto"/>
            <w:noWrap/>
            <w:vAlign w:val="bottom"/>
            <w:hideMark/>
          </w:tcPr>
          <w:p w14:paraId="07471782" w14:textId="77777777" w:rsidR="00350C1D" w:rsidRPr="004E0937" w:rsidRDefault="00350C1D" w:rsidP="00DB3615">
            <w:pPr>
              <w:spacing w:after="0" w:line="240" w:lineRule="auto"/>
              <w:jc w:val="center"/>
              <w:rPr>
                <w:rFonts w:ascii="Times New Roman" w:eastAsia="Times New Roman" w:hAnsi="Times New Roman" w:cs="Times New Roman"/>
                <w:sz w:val="20"/>
                <w:szCs w:val="20"/>
              </w:rPr>
            </w:pPr>
          </w:p>
        </w:tc>
        <w:tc>
          <w:tcPr>
            <w:tcW w:w="498" w:type="pct"/>
            <w:gridSpan w:val="3"/>
            <w:tcBorders>
              <w:top w:val="nil"/>
              <w:left w:val="nil"/>
              <w:bottom w:val="nil"/>
              <w:right w:val="nil"/>
            </w:tcBorders>
            <w:shd w:val="clear" w:color="auto" w:fill="auto"/>
            <w:noWrap/>
            <w:vAlign w:val="bottom"/>
            <w:hideMark/>
          </w:tcPr>
          <w:p w14:paraId="4D5D813C" w14:textId="77777777" w:rsidR="00350C1D" w:rsidRPr="004E0937" w:rsidRDefault="00350C1D" w:rsidP="00DB3615">
            <w:pPr>
              <w:spacing w:after="0" w:line="240" w:lineRule="auto"/>
              <w:jc w:val="center"/>
              <w:rPr>
                <w:rFonts w:ascii="Calibri" w:eastAsia="Times New Roman" w:hAnsi="Calibri" w:cs="Calibri"/>
                <w:color w:val="000000"/>
              </w:rPr>
            </w:pPr>
            <w:r w:rsidRPr="004E0937">
              <w:rPr>
                <w:rFonts w:ascii="Calibri" w:eastAsia="Times New Roman" w:hAnsi="Calibri" w:cs="Calibri"/>
                <w:color w:val="000000"/>
              </w:rPr>
              <w:t>6 to 10</w:t>
            </w:r>
          </w:p>
        </w:tc>
        <w:tc>
          <w:tcPr>
            <w:tcW w:w="1052" w:type="pct"/>
            <w:gridSpan w:val="2"/>
            <w:tcBorders>
              <w:top w:val="nil"/>
              <w:left w:val="nil"/>
              <w:bottom w:val="nil"/>
              <w:right w:val="nil"/>
            </w:tcBorders>
            <w:shd w:val="clear" w:color="auto" w:fill="auto"/>
            <w:vAlign w:val="bottom"/>
            <w:hideMark/>
          </w:tcPr>
          <w:p w14:paraId="1733BEAE" w14:textId="77777777" w:rsidR="00350C1D" w:rsidRPr="004E0937" w:rsidRDefault="00350C1D" w:rsidP="00DB3615">
            <w:pPr>
              <w:spacing w:after="0" w:line="240" w:lineRule="auto"/>
              <w:jc w:val="left"/>
              <w:rPr>
                <w:rFonts w:ascii="Calibri" w:eastAsia="Times New Roman" w:hAnsi="Calibri" w:cs="Calibri"/>
                <w:color w:val="000000"/>
              </w:rPr>
            </w:pPr>
            <w:r w:rsidRPr="004E0937">
              <w:rPr>
                <w:rFonts w:ascii="Calibri" w:eastAsia="Times New Roman" w:hAnsi="Calibri" w:cs="Calibri"/>
                <w:color w:val="000000"/>
              </w:rPr>
              <w:t>Intellectual disability</w:t>
            </w:r>
          </w:p>
        </w:tc>
        <w:tc>
          <w:tcPr>
            <w:tcW w:w="366" w:type="pct"/>
            <w:tcBorders>
              <w:top w:val="nil"/>
              <w:left w:val="nil"/>
              <w:bottom w:val="nil"/>
              <w:right w:val="nil"/>
            </w:tcBorders>
            <w:shd w:val="clear" w:color="auto" w:fill="auto"/>
            <w:noWrap/>
            <w:vAlign w:val="bottom"/>
            <w:hideMark/>
          </w:tcPr>
          <w:p w14:paraId="3726D18F" w14:textId="77777777" w:rsidR="00350C1D" w:rsidRPr="004E0937" w:rsidRDefault="00350C1D" w:rsidP="00DB3615">
            <w:pPr>
              <w:spacing w:after="0" w:line="240" w:lineRule="auto"/>
              <w:jc w:val="left"/>
              <w:rPr>
                <w:rFonts w:ascii="Calibri" w:eastAsia="Times New Roman" w:hAnsi="Calibri" w:cs="Calibri"/>
                <w:color w:val="000000"/>
              </w:rPr>
            </w:pPr>
            <w:r w:rsidRPr="004E0937">
              <w:rPr>
                <w:rFonts w:ascii="Calibri" w:eastAsia="Times New Roman" w:hAnsi="Calibri" w:cs="Calibri"/>
                <w:color w:val="000000"/>
              </w:rPr>
              <w:t>Proband</w:t>
            </w:r>
          </w:p>
        </w:tc>
        <w:tc>
          <w:tcPr>
            <w:tcW w:w="120" w:type="pct"/>
            <w:tcBorders>
              <w:top w:val="nil"/>
              <w:left w:val="nil"/>
              <w:bottom w:val="nil"/>
              <w:right w:val="nil"/>
            </w:tcBorders>
            <w:shd w:val="clear" w:color="auto" w:fill="auto"/>
            <w:noWrap/>
            <w:vAlign w:val="bottom"/>
            <w:hideMark/>
          </w:tcPr>
          <w:p w14:paraId="67422533" w14:textId="77777777" w:rsidR="00350C1D" w:rsidRPr="004E0937" w:rsidRDefault="00350C1D" w:rsidP="00DB3615">
            <w:pPr>
              <w:spacing w:after="0" w:line="240" w:lineRule="auto"/>
              <w:jc w:val="center"/>
              <w:rPr>
                <w:rFonts w:ascii="Calibri" w:eastAsia="Times New Roman" w:hAnsi="Calibri" w:cs="Calibri"/>
                <w:color w:val="000000"/>
              </w:rPr>
            </w:pPr>
            <w:r w:rsidRPr="004E0937">
              <w:rPr>
                <w:rFonts w:ascii="Calibri" w:eastAsia="Times New Roman" w:hAnsi="Calibri" w:cs="Calibri"/>
                <w:color w:val="000000"/>
              </w:rPr>
              <w:t>M</w:t>
            </w:r>
          </w:p>
        </w:tc>
        <w:tc>
          <w:tcPr>
            <w:tcW w:w="430" w:type="pct"/>
            <w:tcBorders>
              <w:top w:val="nil"/>
              <w:left w:val="nil"/>
              <w:bottom w:val="nil"/>
              <w:right w:val="nil"/>
            </w:tcBorders>
            <w:shd w:val="clear" w:color="auto" w:fill="auto"/>
            <w:noWrap/>
            <w:vAlign w:val="bottom"/>
            <w:hideMark/>
          </w:tcPr>
          <w:p w14:paraId="6F9A15F4" w14:textId="77777777" w:rsidR="00350C1D" w:rsidRPr="004E0937" w:rsidRDefault="00350C1D" w:rsidP="00DB3615">
            <w:pPr>
              <w:spacing w:after="0" w:line="240" w:lineRule="auto"/>
              <w:jc w:val="center"/>
              <w:rPr>
                <w:rFonts w:ascii="Calibri" w:eastAsia="Times New Roman" w:hAnsi="Calibri" w:cs="Calibri"/>
                <w:color w:val="000000"/>
              </w:rPr>
            </w:pPr>
            <w:r w:rsidRPr="004E0937">
              <w:rPr>
                <w:rFonts w:ascii="Calibri" w:eastAsia="Times New Roman" w:hAnsi="Calibri" w:cs="Calibri"/>
                <w:color w:val="000000"/>
              </w:rPr>
              <w:t>EUR</w:t>
            </w:r>
          </w:p>
        </w:tc>
        <w:tc>
          <w:tcPr>
            <w:tcW w:w="458" w:type="pct"/>
            <w:tcBorders>
              <w:top w:val="nil"/>
              <w:left w:val="nil"/>
              <w:bottom w:val="nil"/>
              <w:right w:val="nil"/>
            </w:tcBorders>
            <w:shd w:val="clear" w:color="auto" w:fill="auto"/>
            <w:vAlign w:val="bottom"/>
            <w:hideMark/>
          </w:tcPr>
          <w:p w14:paraId="05491839" w14:textId="77777777" w:rsidR="00350C1D" w:rsidRPr="004E0937" w:rsidRDefault="00350C1D" w:rsidP="00DB3615">
            <w:pPr>
              <w:spacing w:after="0" w:line="240" w:lineRule="auto"/>
              <w:jc w:val="left"/>
              <w:rPr>
                <w:rFonts w:ascii="Calibri" w:eastAsia="Times New Roman" w:hAnsi="Calibri" w:cs="Calibri"/>
                <w:color w:val="000000"/>
              </w:rPr>
            </w:pPr>
            <w:r w:rsidRPr="004E0937">
              <w:rPr>
                <w:rFonts w:ascii="Calibri" w:eastAsia="Times New Roman" w:hAnsi="Calibri" w:cs="Calibri"/>
                <w:color w:val="000000"/>
              </w:rPr>
              <w:t>Stop gained</w:t>
            </w:r>
          </w:p>
        </w:tc>
        <w:tc>
          <w:tcPr>
            <w:tcW w:w="413" w:type="pct"/>
            <w:tcBorders>
              <w:top w:val="nil"/>
              <w:left w:val="nil"/>
              <w:bottom w:val="nil"/>
              <w:right w:val="nil"/>
            </w:tcBorders>
            <w:shd w:val="clear" w:color="auto" w:fill="auto"/>
            <w:vAlign w:val="bottom"/>
            <w:hideMark/>
          </w:tcPr>
          <w:p w14:paraId="6032E971" w14:textId="77777777" w:rsidR="00350C1D" w:rsidRPr="004E0937" w:rsidRDefault="00350C1D" w:rsidP="00DB3615">
            <w:pPr>
              <w:spacing w:after="0" w:line="240" w:lineRule="auto"/>
              <w:jc w:val="left"/>
              <w:rPr>
                <w:rFonts w:ascii="Calibri" w:eastAsia="Times New Roman" w:hAnsi="Calibri" w:cs="Calibri"/>
                <w:color w:val="000000"/>
              </w:rPr>
            </w:pPr>
          </w:p>
        </w:tc>
        <w:tc>
          <w:tcPr>
            <w:tcW w:w="417" w:type="pct"/>
            <w:tcBorders>
              <w:top w:val="nil"/>
              <w:left w:val="nil"/>
              <w:bottom w:val="nil"/>
              <w:right w:val="nil"/>
            </w:tcBorders>
            <w:shd w:val="clear" w:color="auto" w:fill="auto"/>
            <w:noWrap/>
            <w:vAlign w:val="bottom"/>
            <w:hideMark/>
          </w:tcPr>
          <w:p w14:paraId="1C3290BC" w14:textId="77777777" w:rsidR="00350C1D" w:rsidRPr="004E0937" w:rsidRDefault="00350C1D" w:rsidP="00DB3615">
            <w:pPr>
              <w:spacing w:after="0" w:line="240" w:lineRule="auto"/>
              <w:jc w:val="left"/>
              <w:rPr>
                <w:rFonts w:ascii="Times New Roman" w:eastAsia="Times New Roman" w:hAnsi="Times New Roman" w:cs="Times New Roman"/>
                <w:sz w:val="20"/>
                <w:szCs w:val="20"/>
              </w:rPr>
            </w:pPr>
          </w:p>
        </w:tc>
      </w:tr>
      <w:tr w:rsidR="00350C1D" w:rsidRPr="004E0937" w14:paraId="386695FB" w14:textId="77777777" w:rsidTr="00350C1D">
        <w:trPr>
          <w:trHeight w:val="290"/>
        </w:trPr>
        <w:tc>
          <w:tcPr>
            <w:tcW w:w="184" w:type="pct"/>
            <w:tcBorders>
              <w:top w:val="nil"/>
              <w:left w:val="nil"/>
              <w:bottom w:val="nil"/>
              <w:right w:val="nil"/>
            </w:tcBorders>
            <w:shd w:val="clear" w:color="auto" w:fill="auto"/>
            <w:noWrap/>
            <w:vAlign w:val="bottom"/>
            <w:hideMark/>
          </w:tcPr>
          <w:p w14:paraId="7390800C" w14:textId="77777777" w:rsidR="00350C1D" w:rsidRPr="004E0937" w:rsidRDefault="00350C1D" w:rsidP="00DB3615">
            <w:pPr>
              <w:spacing w:after="0" w:line="240" w:lineRule="auto"/>
              <w:jc w:val="center"/>
              <w:rPr>
                <w:rFonts w:ascii="Calibri" w:eastAsia="Times New Roman" w:hAnsi="Calibri" w:cs="Calibri"/>
                <w:color w:val="000000"/>
              </w:rPr>
            </w:pPr>
            <w:r w:rsidRPr="004E0937">
              <w:rPr>
                <w:rFonts w:ascii="Calibri" w:eastAsia="Times New Roman" w:hAnsi="Calibri" w:cs="Calibri"/>
                <w:color w:val="000000"/>
              </w:rPr>
              <w:t>49</w:t>
            </w:r>
          </w:p>
        </w:tc>
        <w:tc>
          <w:tcPr>
            <w:tcW w:w="190" w:type="pct"/>
            <w:tcBorders>
              <w:top w:val="nil"/>
              <w:left w:val="nil"/>
              <w:bottom w:val="nil"/>
              <w:right w:val="nil"/>
            </w:tcBorders>
            <w:vAlign w:val="bottom"/>
          </w:tcPr>
          <w:p w14:paraId="4F1B4A05" w14:textId="4ED5ECA0" w:rsidR="00350C1D" w:rsidRDefault="00350C1D" w:rsidP="00DB3615">
            <w:pPr>
              <w:spacing w:after="0" w:line="240" w:lineRule="auto"/>
              <w:jc w:val="center"/>
              <w:rPr>
                <w:rFonts w:ascii="Calibri" w:eastAsia="Times New Roman" w:hAnsi="Calibri" w:cs="Calibri"/>
                <w:color w:val="000000"/>
              </w:rPr>
            </w:pPr>
            <w:r>
              <w:rPr>
                <w:rFonts w:ascii="Calibri" w:eastAsia="Times New Roman" w:hAnsi="Calibri" w:cs="Calibri"/>
                <w:color w:val="000000"/>
              </w:rPr>
              <w:t>No</w:t>
            </w:r>
          </w:p>
        </w:tc>
        <w:tc>
          <w:tcPr>
            <w:tcW w:w="498" w:type="pct"/>
            <w:tcBorders>
              <w:top w:val="nil"/>
              <w:left w:val="nil"/>
              <w:bottom w:val="nil"/>
              <w:right w:val="nil"/>
            </w:tcBorders>
            <w:shd w:val="clear" w:color="auto" w:fill="auto"/>
            <w:noWrap/>
            <w:vAlign w:val="bottom"/>
            <w:hideMark/>
          </w:tcPr>
          <w:p w14:paraId="098D2F58" w14:textId="78068B06" w:rsidR="00350C1D" w:rsidRPr="004E0937" w:rsidRDefault="00350C1D" w:rsidP="00DB3615">
            <w:pPr>
              <w:spacing w:after="0" w:line="240" w:lineRule="auto"/>
              <w:jc w:val="center"/>
              <w:rPr>
                <w:rFonts w:ascii="Calibri" w:eastAsia="Times New Roman" w:hAnsi="Calibri" w:cs="Calibri"/>
                <w:color w:val="000000"/>
              </w:rPr>
            </w:pPr>
          </w:p>
        </w:tc>
        <w:tc>
          <w:tcPr>
            <w:tcW w:w="374" w:type="pct"/>
            <w:tcBorders>
              <w:top w:val="nil"/>
              <w:left w:val="nil"/>
              <w:bottom w:val="nil"/>
              <w:right w:val="nil"/>
            </w:tcBorders>
            <w:shd w:val="clear" w:color="auto" w:fill="auto"/>
            <w:noWrap/>
            <w:vAlign w:val="bottom"/>
            <w:hideMark/>
          </w:tcPr>
          <w:p w14:paraId="085DF480" w14:textId="77777777" w:rsidR="00350C1D" w:rsidRPr="004E0937" w:rsidRDefault="00350C1D" w:rsidP="00DB3615">
            <w:pPr>
              <w:spacing w:after="0" w:line="240" w:lineRule="auto"/>
              <w:jc w:val="center"/>
              <w:rPr>
                <w:rFonts w:ascii="Times New Roman" w:eastAsia="Times New Roman" w:hAnsi="Times New Roman" w:cs="Times New Roman"/>
                <w:sz w:val="20"/>
                <w:szCs w:val="20"/>
              </w:rPr>
            </w:pPr>
          </w:p>
        </w:tc>
        <w:tc>
          <w:tcPr>
            <w:tcW w:w="498" w:type="pct"/>
            <w:gridSpan w:val="3"/>
            <w:tcBorders>
              <w:top w:val="nil"/>
              <w:left w:val="nil"/>
              <w:bottom w:val="nil"/>
              <w:right w:val="nil"/>
            </w:tcBorders>
            <w:shd w:val="clear" w:color="auto" w:fill="auto"/>
            <w:noWrap/>
            <w:vAlign w:val="bottom"/>
            <w:hideMark/>
          </w:tcPr>
          <w:p w14:paraId="17798874" w14:textId="77777777" w:rsidR="00350C1D" w:rsidRPr="004E0937" w:rsidRDefault="00350C1D" w:rsidP="00DB3615">
            <w:pPr>
              <w:spacing w:after="0" w:line="240" w:lineRule="auto"/>
              <w:jc w:val="center"/>
              <w:rPr>
                <w:rFonts w:ascii="Calibri" w:eastAsia="Times New Roman" w:hAnsi="Calibri" w:cs="Calibri"/>
                <w:color w:val="000000"/>
              </w:rPr>
            </w:pPr>
            <w:r w:rsidRPr="004E0937">
              <w:rPr>
                <w:rFonts w:ascii="Calibri" w:eastAsia="Times New Roman" w:hAnsi="Calibri" w:cs="Calibri"/>
                <w:color w:val="000000"/>
              </w:rPr>
              <w:t>21 to 25</w:t>
            </w:r>
          </w:p>
        </w:tc>
        <w:tc>
          <w:tcPr>
            <w:tcW w:w="1052" w:type="pct"/>
            <w:gridSpan w:val="2"/>
            <w:tcBorders>
              <w:top w:val="nil"/>
              <w:left w:val="nil"/>
              <w:bottom w:val="nil"/>
              <w:right w:val="nil"/>
            </w:tcBorders>
            <w:shd w:val="clear" w:color="auto" w:fill="auto"/>
            <w:vAlign w:val="bottom"/>
            <w:hideMark/>
          </w:tcPr>
          <w:p w14:paraId="2C74753A" w14:textId="77777777" w:rsidR="00350C1D" w:rsidRPr="004E0937" w:rsidRDefault="00350C1D" w:rsidP="00DB3615">
            <w:pPr>
              <w:spacing w:after="0" w:line="240" w:lineRule="auto"/>
              <w:jc w:val="left"/>
              <w:rPr>
                <w:rFonts w:ascii="Calibri" w:eastAsia="Times New Roman" w:hAnsi="Calibri" w:cs="Calibri"/>
                <w:color w:val="000000"/>
              </w:rPr>
            </w:pPr>
            <w:r w:rsidRPr="004E0937">
              <w:rPr>
                <w:rFonts w:ascii="Calibri" w:eastAsia="Times New Roman" w:hAnsi="Calibri" w:cs="Calibri"/>
                <w:color w:val="000000"/>
              </w:rPr>
              <w:t>Epilepsy plus other features</w:t>
            </w:r>
          </w:p>
        </w:tc>
        <w:tc>
          <w:tcPr>
            <w:tcW w:w="366" w:type="pct"/>
            <w:tcBorders>
              <w:top w:val="nil"/>
              <w:left w:val="nil"/>
              <w:bottom w:val="nil"/>
              <w:right w:val="nil"/>
            </w:tcBorders>
            <w:shd w:val="clear" w:color="auto" w:fill="auto"/>
            <w:noWrap/>
            <w:vAlign w:val="bottom"/>
            <w:hideMark/>
          </w:tcPr>
          <w:p w14:paraId="0AC1F68F" w14:textId="77777777" w:rsidR="00350C1D" w:rsidRPr="004E0937" w:rsidRDefault="00350C1D" w:rsidP="00DB3615">
            <w:pPr>
              <w:spacing w:after="0" w:line="240" w:lineRule="auto"/>
              <w:jc w:val="left"/>
              <w:rPr>
                <w:rFonts w:ascii="Calibri" w:eastAsia="Times New Roman" w:hAnsi="Calibri" w:cs="Calibri"/>
                <w:color w:val="000000"/>
              </w:rPr>
            </w:pPr>
            <w:r w:rsidRPr="004E0937">
              <w:rPr>
                <w:rFonts w:ascii="Calibri" w:eastAsia="Times New Roman" w:hAnsi="Calibri" w:cs="Calibri"/>
                <w:color w:val="000000"/>
              </w:rPr>
              <w:t>Proband</w:t>
            </w:r>
          </w:p>
        </w:tc>
        <w:tc>
          <w:tcPr>
            <w:tcW w:w="120" w:type="pct"/>
            <w:tcBorders>
              <w:top w:val="nil"/>
              <w:left w:val="nil"/>
              <w:bottom w:val="nil"/>
              <w:right w:val="nil"/>
            </w:tcBorders>
            <w:shd w:val="clear" w:color="auto" w:fill="auto"/>
            <w:noWrap/>
            <w:vAlign w:val="bottom"/>
            <w:hideMark/>
          </w:tcPr>
          <w:p w14:paraId="4E1C802C" w14:textId="77777777" w:rsidR="00350C1D" w:rsidRPr="004E0937" w:rsidRDefault="00350C1D" w:rsidP="00DB3615">
            <w:pPr>
              <w:spacing w:after="0" w:line="240" w:lineRule="auto"/>
              <w:jc w:val="center"/>
              <w:rPr>
                <w:rFonts w:ascii="Calibri" w:eastAsia="Times New Roman" w:hAnsi="Calibri" w:cs="Calibri"/>
                <w:color w:val="000000"/>
              </w:rPr>
            </w:pPr>
            <w:r w:rsidRPr="004E0937">
              <w:rPr>
                <w:rFonts w:ascii="Calibri" w:eastAsia="Times New Roman" w:hAnsi="Calibri" w:cs="Calibri"/>
                <w:color w:val="000000"/>
              </w:rPr>
              <w:t>M</w:t>
            </w:r>
          </w:p>
        </w:tc>
        <w:tc>
          <w:tcPr>
            <w:tcW w:w="430" w:type="pct"/>
            <w:tcBorders>
              <w:top w:val="nil"/>
              <w:left w:val="nil"/>
              <w:bottom w:val="nil"/>
              <w:right w:val="nil"/>
            </w:tcBorders>
            <w:shd w:val="clear" w:color="auto" w:fill="auto"/>
            <w:noWrap/>
            <w:vAlign w:val="bottom"/>
            <w:hideMark/>
          </w:tcPr>
          <w:p w14:paraId="366E08FA" w14:textId="77777777" w:rsidR="00350C1D" w:rsidRPr="004E0937" w:rsidRDefault="00350C1D" w:rsidP="00DB3615">
            <w:pPr>
              <w:spacing w:after="0" w:line="240" w:lineRule="auto"/>
              <w:jc w:val="center"/>
              <w:rPr>
                <w:rFonts w:ascii="Calibri" w:eastAsia="Times New Roman" w:hAnsi="Calibri" w:cs="Calibri"/>
                <w:color w:val="000000"/>
              </w:rPr>
            </w:pPr>
            <w:r w:rsidRPr="004E0937">
              <w:rPr>
                <w:rFonts w:ascii="Calibri" w:eastAsia="Times New Roman" w:hAnsi="Calibri" w:cs="Calibri"/>
                <w:color w:val="000000"/>
              </w:rPr>
              <w:t>EUR</w:t>
            </w:r>
          </w:p>
        </w:tc>
        <w:tc>
          <w:tcPr>
            <w:tcW w:w="458" w:type="pct"/>
            <w:tcBorders>
              <w:top w:val="nil"/>
              <w:left w:val="nil"/>
              <w:bottom w:val="nil"/>
              <w:right w:val="nil"/>
            </w:tcBorders>
            <w:shd w:val="clear" w:color="auto" w:fill="auto"/>
            <w:vAlign w:val="bottom"/>
            <w:hideMark/>
          </w:tcPr>
          <w:p w14:paraId="365B355D" w14:textId="77777777" w:rsidR="00350C1D" w:rsidRPr="004E0937" w:rsidRDefault="00350C1D" w:rsidP="00DB3615">
            <w:pPr>
              <w:spacing w:after="0" w:line="240" w:lineRule="auto"/>
              <w:jc w:val="left"/>
              <w:rPr>
                <w:rFonts w:ascii="Calibri" w:eastAsia="Times New Roman" w:hAnsi="Calibri" w:cs="Calibri"/>
                <w:color w:val="000000"/>
              </w:rPr>
            </w:pPr>
            <w:r w:rsidRPr="004E0937">
              <w:rPr>
                <w:rFonts w:ascii="Calibri" w:eastAsia="Times New Roman" w:hAnsi="Calibri" w:cs="Calibri"/>
                <w:color w:val="000000"/>
              </w:rPr>
              <w:t>Stop gained</w:t>
            </w:r>
          </w:p>
        </w:tc>
        <w:tc>
          <w:tcPr>
            <w:tcW w:w="413" w:type="pct"/>
            <w:tcBorders>
              <w:top w:val="nil"/>
              <w:left w:val="nil"/>
              <w:bottom w:val="nil"/>
              <w:right w:val="nil"/>
            </w:tcBorders>
            <w:shd w:val="clear" w:color="auto" w:fill="auto"/>
            <w:vAlign w:val="bottom"/>
            <w:hideMark/>
          </w:tcPr>
          <w:p w14:paraId="641B02C1" w14:textId="77777777" w:rsidR="00350C1D" w:rsidRPr="004E0937" w:rsidRDefault="00350C1D" w:rsidP="00DB3615">
            <w:pPr>
              <w:spacing w:after="0" w:line="240" w:lineRule="auto"/>
              <w:jc w:val="left"/>
              <w:rPr>
                <w:rFonts w:ascii="Calibri" w:eastAsia="Times New Roman" w:hAnsi="Calibri" w:cs="Calibri"/>
                <w:color w:val="000000"/>
              </w:rPr>
            </w:pPr>
          </w:p>
        </w:tc>
        <w:tc>
          <w:tcPr>
            <w:tcW w:w="417" w:type="pct"/>
            <w:tcBorders>
              <w:top w:val="nil"/>
              <w:left w:val="nil"/>
              <w:bottom w:val="nil"/>
              <w:right w:val="nil"/>
            </w:tcBorders>
            <w:shd w:val="clear" w:color="auto" w:fill="auto"/>
            <w:noWrap/>
            <w:vAlign w:val="bottom"/>
            <w:hideMark/>
          </w:tcPr>
          <w:p w14:paraId="7B459B5F" w14:textId="77777777" w:rsidR="00350C1D" w:rsidRPr="004E0937" w:rsidRDefault="00350C1D" w:rsidP="00DB3615">
            <w:pPr>
              <w:spacing w:after="0" w:line="240" w:lineRule="auto"/>
              <w:jc w:val="left"/>
              <w:rPr>
                <w:rFonts w:ascii="Times New Roman" w:eastAsia="Times New Roman" w:hAnsi="Times New Roman" w:cs="Times New Roman"/>
                <w:sz w:val="20"/>
                <w:szCs w:val="20"/>
              </w:rPr>
            </w:pPr>
          </w:p>
        </w:tc>
      </w:tr>
      <w:tr w:rsidR="00350C1D" w:rsidRPr="004E0937" w14:paraId="51E29146" w14:textId="77777777" w:rsidTr="00350C1D">
        <w:trPr>
          <w:trHeight w:val="290"/>
        </w:trPr>
        <w:tc>
          <w:tcPr>
            <w:tcW w:w="184" w:type="pct"/>
            <w:tcBorders>
              <w:top w:val="nil"/>
              <w:left w:val="nil"/>
              <w:bottom w:val="nil"/>
              <w:right w:val="nil"/>
            </w:tcBorders>
            <w:shd w:val="clear" w:color="auto" w:fill="auto"/>
            <w:noWrap/>
            <w:vAlign w:val="bottom"/>
            <w:hideMark/>
          </w:tcPr>
          <w:p w14:paraId="52948B6F" w14:textId="77777777" w:rsidR="00350C1D" w:rsidRPr="004E0937" w:rsidRDefault="00350C1D" w:rsidP="00DB3615">
            <w:pPr>
              <w:spacing w:after="0" w:line="240" w:lineRule="auto"/>
              <w:jc w:val="center"/>
              <w:rPr>
                <w:rFonts w:ascii="Calibri" w:eastAsia="Times New Roman" w:hAnsi="Calibri" w:cs="Calibri"/>
                <w:color w:val="000000"/>
              </w:rPr>
            </w:pPr>
            <w:r w:rsidRPr="004E0937">
              <w:rPr>
                <w:rFonts w:ascii="Calibri" w:eastAsia="Times New Roman" w:hAnsi="Calibri" w:cs="Calibri"/>
                <w:color w:val="000000"/>
              </w:rPr>
              <w:t>50</w:t>
            </w:r>
          </w:p>
        </w:tc>
        <w:tc>
          <w:tcPr>
            <w:tcW w:w="190" w:type="pct"/>
            <w:tcBorders>
              <w:top w:val="nil"/>
              <w:left w:val="nil"/>
              <w:bottom w:val="nil"/>
              <w:right w:val="nil"/>
            </w:tcBorders>
            <w:vAlign w:val="bottom"/>
          </w:tcPr>
          <w:p w14:paraId="68376F93" w14:textId="77777777" w:rsidR="00350C1D" w:rsidRPr="004E0937" w:rsidRDefault="00350C1D" w:rsidP="00DB3615">
            <w:pPr>
              <w:spacing w:after="0" w:line="240" w:lineRule="auto"/>
              <w:jc w:val="center"/>
              <w:rPr>
                <w:rFonts w:ascii="Calibri" w:eastAsia="Times New Roman" w:hAnsi="Calibri" w:cs="Calibri"/>
                <w:color w:val="000000"/>
              </w:rPr>
            </w:pPr>
          </w:p>
        </w:tc>
        <w:tc>
          <w:tcPr>
            <w:tcW w:w="1063" w:type="pct"/>
            <w:gridSpan w:val="3"/>
            <w:tcBorders>
              <w:top w:val="nil"/>
              <w:left w:val="nil"/>
              <w:bottom w:val="nil"/>
              <w:right w:val="nil"/>
            </w:tcBorders>
            <w:shd w:val="clear" w:color="auto" w:fill="auto"/>
            <w:noWrap/>
            <w:vAlign w:val="bottom"/>
            <w:hideMark/>
          </w:tcPr>
          <w:p w14:paraId="27B60595" w14:textId="53FFE94C" w:rsidR="00350C1D" w:rsidRPr="004E0937" w:rsidRDefault="00350C1D" w:rsidP="00DB3615">
            <w:pPr>
              <w:spacing w:after="0" w:line="240" w:lineRule="auto"/>
              <w:jc w:val="center"/>
              <w:rPr>
                <w:rFonts w:ascii="Calibri" w:eastAsia="Times New Roman" w:hAnsi="Calibri" w:cs="Calibri"/>
                <w:color w:val="000000"/>
              </w:rPr>
            </w:pPr>
          </w:p>
        </w:tc>
        <w:tc>
          <w:tcPr>
            <w:tcW w:w="76" w:type="pct"/>
            <w:tcBorders>
              <w:top w:val="nil"/>
              <w:left w:val="nil"/>
              <w:bottom w:val="nil"/>
              <w:right w:val="nil"/>
            </w:tcBorders>
            <w:shd w:val="clear" w:color="auto" w:fill="auto"/>
            <w:noWrap/>
            <w:vAlign w:val="bottom"/>
            <w:hideMark/>
          </w:tcPr>
          <w:p w14:paraId="0D00D9F5" w14:textId="77777777" w:rsidR="00350C1D" w:rsidRPr="004E0937" w:rsidRDefault="00350C1D" w:rsidP="00DB3615">
            <w:pPr>
              <w:spacing w:after="0" w:line="240" w:lineRule="auto"/>
              <w:jc w:val="center"/>
              <w:rPr>
                <w:rFonts w:ascii="Times New Roman" w:eastAsia="Times New Roman" w:hAnsi="Times New Roman" w:cs="Times New Roman"/>
                <w:sz w:val="20"/>
                <w:szCs w:val="20"/>
              </w:rPr>
            </w:pPr>
          </w:p>
        </w:tc>
        <w:tc>
          <w:tcPr>
            <w:tcW w:w="1108" w:type="pct"/>
            <w:gridSpan w:val="2"/>
            <w:tcBorders>
              <w:top w:val="nil"/>
              <w:left w:val="nil"/>
              <w:bottom w:val="nil"/>
              <w:right w:val="nil"/>
            </w:tcBorders>
            <w:shd w:val="clear" w:color="auto" w:fill="auto"/>
            <w:noWrap/>
            <w:vAlign w:val="bottom"/>
            <w:hideMark/>
          </w:tcPr>
          <w:p w14:paraId="74B641A6" w14:textId="77777777" w:rsidR="00350C1D" w:rsidRPr="004E0937" w:rsidRDefault="00350C1D" w:rsidP="00DB3615">
            <w:pPr>
              <w:spacing w:after="0" w:line="240" w:lineRule="auto"/>
              <w:jc w:val="center"/>
              <w:rPr>
                <w:rFonts w:ascii="Times New Roman" w:eastAsia="Times New Roman" w:hAnsi="Times New Roman" w:cs="Times New Roman"/>
                <w:sz w:val="20"/>
                <w:szCs w:val="20"/>
              </w:rPr>
            </w:pPr>
          </w:p>
        </w:tc>
        <w:tc>
          <w:tcPr>
            <w:tcW w:w="175" w:type="pct"/>
            <w:tcBorders>
              <w:top w:val="nil"/>
              <w:left w:val="nil"/>
              <w:bottom w:val="nil"/>
              <w:right w:val="nil"/>
            </w:tcBorders>
            <w:shd w:val="clear" w:color="auto" w:fill="auto"/>
            <w:vAlign w:val="bottom"/>
            <w:hideMark/>
          </w:tcPr>
          <w:p w14:paraId="0F017F9C" w14:textId="77777777" w:rsidR="00350C1D" w:rsidRPr="004E0937" w:rsidRDefault="00350C1D" w:rsidP="00DB3615">
            <w:pPr>
              <w:spacing w:after="0" w:line="240" w:lineRule="auto"/>
              <w:jc w:val="left"/>
              <w:rPr>
                <w:rFonts w:ascii="Calibri" w:eastAsia="Times New Roman" w:hAnsi="Calibri" w:cs="Calibri"/>
                <w:color w:val="000000"/>
              </w:rPr>
            </w:pPr>
            <w:r w:rsidRPr="004E0937">
              <w:rPr>
                <w:rFonts w:ascii="Calibri" w:eastAsia="Times New Roman" w:hAnsi="Calibri" w:cs="Calibri"/>
                <w:color w:val="000000"/>
              </w:rPr>
              <w:t>NA</w:t>
            </w:r>
          </w:p>
        </w:tc>
        <w:tc>
          <w:tcPr>
            <w:tcW w:w="366" w:type="pct"/>
            <w:tcBorders>
              <w:top w:val="nil"/>
              <w:left w:val="nil"/>
              <w:bottom w:val="nil"/>
              <w:right w:val="nil"/>
            </w:tcBorders>
            <w:shd w:val="clear" w:color="auto" w:fill="auto"/>
            <w:noWrap/>
            <w:vAlign w:val="bottom"/>
            <w:hideMark/>
          </w:tcPr>
          <w:p w14:paraId="4789325A" w14:textId="77777777" w:rsidR="00350C1D" w:rsidRPr="004E0937" w:rsidRDefault="00350C1D" w:rsidP="00DB3615">
            <w:pPr>
              <w:spacing w:after="0" w:line="240" w:lineRule="auto"/>
              <w:jc w:val="left"/>
              <w:rPr>
                <w:rFonts w:ascii="Calibri" w:eastAsia="Times New Roman" w:hAnsi="Calibri" w:cs="Calibri"/>
                <w:color w:val="000000"/>
              </w:rPr>
            </w:pPr>
            <w:r w:rsidRPr="004E0937">
              <w:rPr>
                <w:rFonts w:ascii="Calibri" w:eastAsia="Times New Roman" w:hAnsi="Calibri" w:cs="Calibri"/>
                <w:color w:val="000000"/>
              </w:rPr>
              <w:t>Cancer</w:t>
            </w:r>
          </w:p>
        </w:tc>
        <w:tc>
          <w:tcPr>
            <w:tcW w:w="120" w:type="pct"/>
            <w:tcBorders>
              <w:top w:val="nil"/>
              <w:left w:val="nil"/>
              <w:bottom w:val="nil"/>
              <w:right w:val="nil"/>
            </w:tcBorders>
            <w:shd w:val="clear" w:color="auto" w:fill="auto"/>
            <w:noWrap/>
            <w:vAlign w:val="bottom"/>
            <w:hideMark/>
          </w:tcPr>
          <w:p w14:paraId="755D86C0" w14:textId="77777777" w:rsidR="00350C1D" w:rsidRPr="004E0937" w:rsidRDefault="00350C1D" w:rsidP="00DB3615">
            <w:pPr>
              <w:spacing w:after="0" w:line="240" w:lineRule="auto"/>
              <w:jc w:val="center"/>
              <w:rPr>
                <w:rFonts w:ascii="Calibri" w:eastAsia="Times New Roman" w:hAnsi="Calibri" w:cs="Calibri"/>
                <w:color w:val="000000"/>
              </w:rPr>
            </w:pPr>
            <w:r w:rsidRPr="004E0937">
              <w:rPr>
                <w:rFonts w:ascii="Calibri" w:eastAsia="Times New Roman" w:hAnsi="Calibri" w:cs="Calibri"/>
                <w:color w:val="000000"/>
              </w:rPr>
              <w:t>M</w:t>
            </w:r>
          </w:p>
        </w:tc>
        <w:tc>
          <w:tcPr>
            <w:tcW w:w="430" w:type="pct"/>
            <w:tcBorders>
              <w:top w:val="nil"/>
              <w:left w:val="nil"/>
              <w:bottom w:val="nil"/>
              <w:right w:val="nil"/>
            </w:tcBorders>
            <w:shd w:val="clear" w:color="auto" w:fill="auto"/>
            <w:noWrap/>
            <w:vAlign w:val="bottom"/>
            <w:hideMark/>
          </w:tcPr>
          <w:p w14:paraId="20076EB6" w14:textId="77777777" w:rsidR="00350C1D" w:rsidRPr="004E0937" w:rsidRDefault="00350C1D" w:rsidP="00DB3615">
            <w:pPr>
              <w:spacing w:after="0" w:line="240" w:lineRule="auto"/>
              <w:jc w:val="center"/>
              <w:rPr>
                <w:rFonts w:ascii="Calibri" w:eastAsia="Times New Roman" w:hAnsi="Calibri" w:cs="Calibri"/>
                <w:color w:val="000000"/>
              </w:rPr>
            </w:pPr>
            <w:r w:rsidRPr="004E0937">
              <w:rPr>
                <w:rFonts w:ascii="Calibri" w:eastAsia="Times New Roman" w:hAnsi="Calibri" w:cs="Calibri"/>
                <w:color w:val="000000"/>
              </w:rPr>
              <w:t>EUR</w:t>
            </w:r>
          </w:p>
        </w:tc>
        <w:tc>
          <w:tcPr>
            <w:tcW w:w="458" w:type="pct"/>
            <w:tcBorders>
              <w:top w:val="nil"/>
              <w:left w:val="nil"/>
              <w:bottom w:val="nil"/>
              <w:right w:val="nil"/>
            </w:tcBorders>
            <w:shd w:val="clear" w:color="auto" w:fill="auto"/>
            <w:vAlign w:val="bottom"/>
            <w:hideMark/>
          </w:tcPr>
          <w:p w14:paraId="582EF270" w14:textId="77777777" w:rsidR="00350C1D" w:rsidRPr="004E0937" w:rsidRDefault="00350C1D" w:rsidP="00DB3615">
            <w:pPr>
              <w:spacing w:after="0" w:line="240" w:lineRule="auto"/>
              <w:jc w:val="left"/>
              <w:rPr>
                <w:rFonts w:ascii="Calibri" w:eastAsia="Times New Roman" w:hAnsi="Calibri" w:cs="Calibri"/>
                <w:color w:val="000000"/>
              </w:rPr>
            </w:pPr>
            <w:r w:rsidRPr="004E0937">
              <w:rPr>
                <w:rFonts w:ascii="Calibri" w:eastAsia="Times New Roman" w:hAnsi="Calibri" w:cs="Calibri"/>
                <w:color w:val="000000"/>
              </w:rPr>
              <w:t>Stop gained</w:t>
            </w:r>
          </w:p>
        </w:tc>
        <w:tc>
          <w:tcPr>
            <w:tcW w:w="413" w:type="pct"/>
            <w:tcBorders>
              <w:top w:val="nil"/>
              <w:left w:val="nil"/>
              <w:bottom w:val="nil"/>
              <w:right w:val="nil"/>
            </w:tcBorders>
            <w:shd w:val="clear" w:color="auto" w:fill="auto"/>
            <w:vAlign w:val="bottom"/>
            <w:hideMark/>
          </w:tcPr>
          <w:p w14:paraId="1C17A6FB" w14:textId="77777777" w:rsidR="00350C1D" w:rsidRPr="004E0937" w:rsidRDefault="00350C1D" w:rsidP="00DB3615">
            <w:pPr>
              <w:spacing w:after="0" w:line="240" w:lineRule="auto"/>
              <w:jc w:val="left"/>
              <w:rPr>
                <w:rFonts w:ascii="Calibri" w:eastAsia="Times New Roman" w:hAnsi="Calibri" w:cs="Calibri"/>
                <w:color w:val="000000"/>
              </w:rPr>
            </w:pPr>
          </w:p>
        </w:tc>
        <w:tc>
          <w:tcPr>
            <w:tcW w:w="417" w:type="pct"/>
            <w:tcBorders>
              <w:top w:val="nil"/>
              <w:left w:val="nil"/>
              <w:bottom w:val="nil"/>
              <w:right w:val="nil"/>
            </w:tcBorders>
            <w:shd w:val="clear" w:color="auto" w:fill="auto"/>
            <w:noWrap/>
            <w:vAlign w:val="bottom"/>
            <w:hideMark/>
          </w:tcPr>
          <w:p w14:paraId="526D9B10" w14:textId="77777777" w:rsidR="00350C1D" w:rsidRPr="004E0937" w:rsidRDefault="00350C1D" w:rsidP="00DB3615">
            <w:pPr>
              <w:spacing w:after="0" w:line="240" w:lineRule="auto"/>
              <w:jc w:val="left"/>
              <w:rPr>
                <w:rFonts w:ascii="Times New Roman" w:eastAsia="Times New Roman" w:hAnsi="Times New Roman" w:cs="Times New Roman"/>
                <w:sz w:val="20"/>
                <w:szCs w:val="20"/>
              </w:rPr>
            </w:pPr>
          </w:p>
        </w:tc>
      </w:tr>
    </w:tbl>
    <w:p w14:paraId="26BBD2DC" w14:textId="75CFDBA9" w:rsidR="0020719A" w:rsidRPr="00F0254C" w:rsidRDefault="0020719A" w:rsidP="0020719A">
      <w:pPr>
        <w:keepNext/>
        <w:rPr>
          <w:rFonts w:ascii="Segoe UI" w:hAnsi="Segoe UI" w:cs="Segoe UI"/>
        </w:rPr>
      </w:pPr>
    </w:p>
    <w:p w14:paraId="44917BE3" w14:textId="41B61D77" w:rsidR="003C61FB" w:rsidRPr="00C9492B" w:rsidRDefault="0020719A" w:rsidP="00D11E66">
      <w:pPr>
        <w:pStyle w:val="Caption"/>
        <w:spacing w:line="480" w:lineRule="auto"/>
        <w:rPr>
          <w:rFonts w:ascii="Segoe UI" w:hAnsi="Segoe UI" w:cs="Segoe UI"/>
          <w:i w:val="0"/>
          <w:iCs w:val="0"/>
          <w:lang w:eastAsia="en-US"/>
        </w:rPr>
      </w:pPr>
      <w:bookmarkStart w:id="8" w:name="_Ref99378565"/>
      <w:r w:rsidRPr="00C9492B">
        <w:rPr>
          <w:rFonts w:ascii="Segoe UI" w:hAnsi="Segoe UI" w:cs="Segoe UI"/>
          <w:b/>
          <w:bCs/>
          <w:i w:val="0"/>
          <w:iCs w:val="0"/>
        </w:rPr>
        <w:t xml:space="preserve">Table </w:t>
      </w:r>
      <w:r w:rsidRPr="00C9492B">
        <w:rPr>
          <w:rFonts w:ascii="Segoe UI" w:hAnsi="Segoe UI" w:cs="Segoe UI"/>
          <w:b/>
          <w:bCs/>
          <w:i w:val="0"/>
          <w:iCs w:val="0"/>
        </w:rPr>
        <w:fldChar w:fldCharType="begin"/>
      </w:r>
      <w:r w:rsidRPr="00C9492B">
        <w:rPr>
          <w:rFonts w:ascii="Segoe UI" w:hAnsi="Segoe UI" w:cs="Segoe UI"/>
          <w:b/>
          <w:bCs/>
          <w:i w:val="0"/>
          <w:iCs w:val="0"/>
        </w:rPr>
        <w:instrText xml:space="preserve"> SEQ Table \* ARABIC </w:instrText>
      </w:r>
      <w:r w:rsidRPr="00C9492B">
        <w:rPr>
          <w:rFonts w:ascii="Segoe UI" w:hAnsi="Segoe UI" w:cs="Segoe UI"/>
          <w:b/>
          <w:bCs/>
          <w:i w:val="0"/>
          <w:iCs w:val="0"/>
        </w:rPr>
        <w:fldChar w:fldCharType="separate"/>
      </w:r>
      <w:r w:rsidR="000554B0" w:rsidRPr="00C9492B">
        <w:rPr>
          <w:rFonts w:ascii="Segoe UI" w:hAnsi="Segoe UI" w:cs="Segoe UI"/>
          <w:b/>
          <w:bCs/>
          <w:i w:val="0"/>
          <w:iCs w:val="0"/>
          <w:noProof/>
        </w:rPr>
        <w:t>2</w:t>
      </w:r>
      <w:r w:rsidRPr="00C9492B">
        <w:rPr>
          <w:rFonts w:ascii="Segoe UI" w:hAnsi="Segoe UI" w:cs="Segoe UI"/>
          <w:b/>
          <w:bCs/>
          <w:i w:val="0"/>
          <w:iCs w:val="0"/>
        </w:rPr>
        <w:fldChar w:fldCharType="end"/>
      </w:r>
      <w:bookmarkEnd w:id="8"/>
      <w:r w:rsidRPr="00C9492B">
        <w:rPr>
          <w:rFonts w:ascii="Segoe UI" w:hAnsi="Segoe UI" w:cs="Segoe UI"/>
          <w:b/>
          <w:bCs/>
          <w:i w:val="0"/>
          <w:iCs w:val="0"/>
        </w:rPr>
        <w:t xml:space="preserve"> - Top 50 GenePy scores from 78,050 participants across the Genomics England recruitments, including cancer and rare disease.</w:t>
      </w:r>
      <w:r w:rsidRPr="00C9492B">
        <w:rPr>
          <w:rFonts w:ascii="Segoe UI" w:hAnsi="Segoe UI" w:cs="Segoe UI"/>
          <w:i w:val="0"/>
          <w:iCs w:val="0"/>
        </w:rPr>
        <w:t xml:space="preserve"> </w:t>
      </w:r>
      <w:r w:rsidRPr="00C9492B">
        <w:rPr>
          <w:rFonts w:ascii="Segoe UI" w:hAnsi="Segoe UI" w:cs="Segoe UI"/>
          <w:i w:val="0"/>
          <w:iCs w:val="0"/>
          <w:lang w:eastAsia="en-US"/>
        </w:rPr>
        <w:t xml:space="preserve">Individuals in dark blue (n=18) have both a genotype and phenotype consistent with </w:t>
      </w:r>
      <w:r w:rsidRPr="00540ED7">
        <w:rPr>
          <w:rFonts w:ascii="Segoe UI" w:hAnsi="Segoe UI" w:cs="Segoe UI"/>
          <w:lang w:eastAsia="en-US"/>
        </w:rPr>
        <w:t>NPHP1</w:t>
      </w:r>
      <w:r w:rsidRPr="00C9492B">
        <w:rPr>
          <w:rFonts w:ascii="Segoe UI" w:hAnsi="Segoe UI" w:cs="Segoe UI"/>
          <w:i w:val="0"/>
          <w:iCs w:val="0"/>
          <w:lang w:eastAsia="en-US"/>
        </w:rPr>
        <w:t xml:space="preserve"> related disease. Participants highlighted in light blue (n=8) have a genotype consistent with </w:t>
      </w:r>
      <w:r w:rsidRPr="00540ED7">
        <w:rPr>
          <w:rFonts w:ascii="Segoe UI" w:hAnsi="Segoe UI" w:cs="Segoe UI"/>
          <w:lang w:eastAsia="en-US"/>
        </w:rPr>
        <w:t>NPHP1</w:t>
      </w:r>
      <w:r w:rsidRPr="00C9492B">
        <w:rPr>
          <w:rFonts w:ascii="Segoe UI" w:hAnsi="Segoe UI" w:cs="Segoe UI"/>
          <w:i w:val="0"/>
          <w:iCs w:val="0"/>
          <w:lang w:eastAsia="en-US"/>
        </w:rPr>
        <w:t xml:space="preserve"> related disease but no phenotype recorded in the Genomics England research environment. This may either be because of inaccurate phenotyping, documentation or because they are yet to present to a healthcare professional or because of incompletely penetrant disease. *Currently unable to confirm phase.</w:t>
      </w:r>
      <w:r w:rsidR="007A2DDF" w:rsidRPr="00C9492B">
        <w:rPr>
          <w:rFonts w:ascii="Segoe UI" w:hAnsi="Segoe UI" w:cs="Segoe UI"/>
          <w:i w:val="0"/>
          <w:iCs w:val="0"/>
          <w:lang w:eastAsia="en-US"/>
        </w:rPr>
        <w:t xml:space="preserve"> Genomics England did not permit publication of more detailed phenotype data due to confidentiality concerns.</w:t>
      </w:r>
    </w:p>
    <w:p w14:paraId="71DF893B" w14:textId="749E52C1" w:rsidR="003C61FB" w:rsidRDefault="003C61FB" w:rsidP="005614E6">
      <w:pPr>
        <w:rPr>
          <w:rFonts w:ascii="Segoe UI" w:hAnsi="Segoe UI" w:cs="Segoe UI"/>
          <w:lang w:eastAsia="en-US"/>
        </w:rPr>
      </w:pPr>
    </w:p>
    <w:p w14:paraId="78D99DA9" w14:textId="3498401D" w:rsidR="005C4748" w:rsidRDefault="005C4748" w:rsidP="005614E6">
      <w:pPr>
        <w:rPr>
          <w:rFonts w:ascii="Segoe UI" w:hAnsi="Segoe UI" w:cs="Segoe UI"/>
          <w:lang w:eastAsia="en-US"/>
        </w:rPr>
      </w:pPr>
    </w:p>
    <w:p w14:paraId="4FE05C7F" w14:textId="6C83D8BD" w:rsidR="008D1EB3" w:rsidRDefault="008D1EB3" w:rsidP="005614E6">
      <w:pPr>
        <w:rPr>
          <w:rFonts w:ascii="Segoe UI" w:hAnsi="Segoe UI" w:cs="Segoe UI"/>
          <w:lang w:eastAsia="en-US"/>
        </w:rPr>
      </w:pPr>
    </w:p>
    <w:p w14:paraId="191EB2E3" w14:textId="4DA7E2A8" w:rsidR="008D1EB3" w:rsidRDefault="008D1EB3" w:rsidP="005614E6">
      <w:pPr>
        <w:rPr>
          <w:rFonts w:ascii="Segoe UI" w:hAnsi="Segoe UI" w:cs="Segoe UI"/>
          <w:lang w:eastAsia="en-US"/>
        </w:rPr>
      </w:pPr>
    </w:p>
    <w:p w14:paraId="3CAF1422" w14:textId="77777777" w:rsidR="008D1EB3" w:rsidRDefault="008D1EB3" w:rsidP="005614E6">
      <w:pPr>
        <w:rPr>
          <w:rFonts w:ascii="Segoe UI" w:hAnsi="Segoe UI" w:cs="Segoe UI"/>
          <w:lang w:eastAsia="en-US"/>
        </w:rPr>
      </w:pPr>
    </w:p>
    <w:p w14:paraId="459ECCF8" w14:textId="77777777" w:rsidR="005C4748" w:rsidRPr="00F0254C" w:rsidRDefault="005C4748" w:rsidP="005614E6">
      <w:pPr>
        <w:rPr>
          <w:rFonts w:ascii="Segoe UI" w:hAnsi="Segoe UI" w:cs="Segoe UI"/>
          <w:lang w:eastAsia="en-US"/>
        </w:rPr>
      </w:pPr>
    </w:p>
    <w:tbl>
      <w:tblPr>
        <w:tblW w:w="15276" w:type="dxa"/>
        <w:tblLook w:val="04A0" w:firstRow="1" w:lastRow="0" w:firstColumn="1" w:lastColumn="0" w:noHBand="0" w:noVBand="1"/>
      </w:tblPr>
      <w:tblGrid>
        <w:gridCol w:w="1070"/>
        <w:gridCol w:w="498"/>
        <w:gridCol w:w="498"/>
        <w:gridCol w:w="632"/>
        <w:gridCol w:w="850"/>
        <w:gridCol w:w="990"/>
        <w:gridCol w:w="500"/>
        <w:gridCol w:w="534"/>
        <w:gridCol w:w="498"/>
        <w:gridCol w:w="298"/>
        <w:gridCol w:w="298"/>
        <w:gridCol w:w="298"/>
        <w:gridCol w:w="298"/>
        <w:gridCol w:w="298"/>
        <w:gridCol w:w="298"/>
        <w:gridCol w:w="298"/>
        <w:gridCol w:w="298"/>
        <w:gridCol w:w="379"/>
        <w:gridCol w:w="379"/>
        <w:gridCol w:w="379"/>
        <w:gridCol w:w="379"/>
        <w:gridCol w:w="379"/>
        <w:gridCol w:w="379"/>
        <w:gridCol w:w="379"/>
        <w:gridCol w:w="379"/>
        <w:gridCol w:w="379"/>
        <w:gridCol w:w="379"/>
        <w:gridCol w:w="379"/>
        <w:gridCol w:w="379"/>
        <w:gridCol w:w="379"/>
        <w:gridCol w:w="379"/>
        <w:gridCol w:w="379"/>
        <w:gridCol w:w="379"/>
        <w:gridCol w:w="379"/>
        <w:gridCol w:w="379"/>
      </w:tblGrid>
      <w:tr w:rsidR="008C0F8B" w:rsidRPr="00AB4AFF" w14:paraId="429F7E6F" w14:textId="77777777" w:rsidTr="005A6797">
        <w:trPr>
          <w:cantSplit/>
          <w:trHeight w:val="2106"/>
        </w:trPr>
        <w:tc>
          <w:tcPr>
            <w:tcW w:w="1070" w:type="dxa"/>
            <w:vMerge w:val="restart"/>
            <w:tcBorders>
              <w:top w:val="single" w:sz="8" w:space="0" w:color="auto"/>
              <w:left w:val="single" w:sz="8" w:space="0" w:color="auto"/>
              <w:right w:val="single" w:sz="4" w:space="0" w:color="auto"/>
            </w:tcBorders>
            <w:shd w:val="clear" w:color="auto" w:fill="auto"/>
            <w:noWrap/>
            <w:textDirection w:val="btLr"/>
            <w:vAlign w:val="center"/>
          </w:tcPr>
          <w:p w14:paraId="128D16D0" w14:textId="77B3E6A8" w:rsidR="008C0F8B" w:rsidRPr="0084601C" w:rsidRDefault="008C0F8B" w:rsidP="00AB4AFF">
            <w:pPr>
              <w:spacing w:after="0" w:line="240" w:lineRule="auto"/>
              <w:ind w:left="113" w:right="113"/>
              <w:jc w:val="center"/>
              <w:rPr>
                <w:rFonts w:ascii="Calibri" w:eastAsia="Times New Roman" w:hAnsi="Calibri" w:cs="Calibri"/>
                <w:b/>
                <w:bCs/>
                <w:color w:val="000000"/>
              </w:rPr>
            </w:pPr>
            <w:r w:rsidRPr="0084601C">
              <w:rPr>
                <w:rFonts w:ascii="Calibri" w:eastAsia="Times New Roman" w:hAnsi="Calibri" w:cs="Calibri"/>
                <w:b/>
                <w:bCs/>
                <w:color w:val="000000"/>
              </w:rPr>
              <w:lastRenderedPageBreak/>
              <w:t>Chr:Position</w:t>
            </w:r>
          </w:p>
        </w:tc>
        <w:tc>
          <w:tcPr>
            <w:tcW w:w="498" w:type="dxa"/>
            <w:vMerge w:val="restart"/>
            <w:tcBorders>
              <w:top w:val="single" w:sz="8" w:space="0" w:color="auto"/>
              <w:left w:val="nil"/>
              <w:right w:val="single" w:sz="4" w:space="0" w:color="auto"/>
            </w:tcBorders>
            <w:shd w:val="clear" w:color="auto" w:fill="auto"/>
            <w:noWrap/>
            <w:textDirection w:val="btLr"/>
            <w:vAlign w:val="center"/>
          </w:tcPr>
          <w:p w14:paraId="49B0D58C" w14:textId="5C188A86" w:rsidR="008C0F8B" w:rsidRPr="0084601C" w:rsidRDefault="008C0F8B" w:rsidP="00AB4AFF">
            <w:pPr>
              <w:spacing w:after="0" w:line="240" w:lineRule="auto"/>
              <w:ind w:left="113" w:right="113"/>
              <w:jc w:val="center"/>
              <w:rPr>
                <w:rFonts w:ascii="Calibri" w:eastAsia="Times New Roman" w:hAnsi="Calibri" w:cs="Calibri"/>
                <w:b/>
                <w:bCs/>
                <w:color w:val="000000"/>
              </w:rPr>
            </w:pPr>
            <w:r w:rsidRPr="0084601C">
              <w:rPr>
                <w:rFonts w:ascii="Calibri" w:eastAsia="Times New Roman" w:hAnsi="Calibri" w:cs="Calibri"/>
                <w:b/>
                <w:bCs/>
                <w:color w:val="000000"/>
              </w:rPr>
              <w:t>Ref</w:t>
            </w:r>
          </w:p>
        </w:tc>
        <w:tc>
          <w:tcPr>
            <w:tcW w:w="498" w:type="dxa"/>
            <w:vMerge w:val="restart"/>
            <w:tcBorders>
              <w:top w:val="single" w:sz="8" w:space="0" w:color="auto"/>
              <w:left w:val="nil"/>
              <w:right w:val="single" w:sz="8" w:space="0" w:color="auto"/>
            </w:tcBorders>
            <w:shd w:val="clear" w:color="auto" w:fill="auto"/>
            <w:noWrap/>
            <w:textDirection w:val="btLr"/>
            <w:vAlign w:val="center"/>
          </w:tcPr>
          <w:p w14:paraId="1FFD273D" w14:textId="471F3171" w:rsidR="008C0F8B" w:rsidRPr="0084601C" w:rsidRDefault="008C0F8B" w:rsidP="00AB4AFF">
            <w:pPr>
              <w:spacing w:after="0" w:line="240" w:lineRule="auto"/>
              <w:ind w:left="113" w:right="113"/>
              <w:jc w:val="center"/>
              <w:rPr>
                <w:rFonts w:ascii="Calibri" w:eastAsia="Times New Roman" w:hAnsi="Calibri" w:cs="Calibri"/>
                <w:b/>
                <w:bCs/>
                <w:color w:val="000000"/>
              </w:rPr>
            </w:pPr>
            <w:r w:rsidRPr="0084601C">
              <w:rPr>
                <w:rFonts w:ascii="Calibri" w:eastAsia="Times New Roman" w:hAnsi="Calibri" w:cs="Calibri"/>
                <w:b/>
                <w:bCs/>
                <w:color w:val="000000"/>
              </w:rPr>
              <w:t>Alt</w:t>
            </w:r>
          </w:p>
        </w:tc>
        <w:tc>
          <w:tcPr>
            <w:tcW w:w="632" w:type="dxa"/>
            <w:vMerge w:val="restart"/>
            <w:tcBorders>
              <w:top w:val="single" w:sz="8" w:space="0" w:color="auto"/>
              <w:left w:val="nil"/>
              <w:right w:val="single" w:sz="4" w:space="0" w:color="auto"/>
            </w:tcBorders>
            <w:shd w:val="clear" w:color="auto" w:fill="auto"/>
            <w:noWrap/>
            <w:textDirection w:val="btLr"/>
            <w:vAlign w:val="center"/>
          </w:tcPr>
          <w:p w14:paraId="4DD71EA9" w14:textId="031A9971" w:rsidR="008C0F8B" w:rsidRPr="0084601C" w:rsidRDefault="008C0F8B" w:rsidP="00AB4AFF">
            <w:pPr>
              <w:spacing w:after="0" w:line="240" w:lineRule="auto"/>
              <w:ind w:left="113" w:right="113"/>
              <w:jc w:val="center"/>
              <w:rPr>
                <w:rFonts w:ascii="Calibri" w:eastAsia="Times New Roman" w:hAnsi="Calibri" w:cs="Calibri"/>
                <w:b/>
                <w:bCs/>
                <w:color w:val="000000"/>
              </w:rPr>
            </w:pPr>
            <w:r w:rsidRPr="0084601C">
              <w:rPr>
                <w:rFonts w:ascii="Calibri" w:eastAsia="Times New Roman" w:hAnsi="Calibri" w:cs="Calibri"/>
                <w:b/>
                <w:bCs/>
                <w:color w:val="000000"/>
              </w:rPr>
              <w:t>Consequence</w:t>
            </w:r>
          </w:p>
        </w:tc>
        <w:tc>
          <w:tcPr>
            <w:tcW w:w="850" w:type="dxa"/>
            <w:vMerge w:val="restart"/>
            <w:tcBorders>
              <w:top w:val="single" w:sz="8" w:space="0" w:color="auto"/>
              <w:left w:val="nil"/>
              <w:right w:val="single" w:sz="8" w:space="0" w:color="auto"/>
            </w:tcBorders>
            <w:shd w:val="clear" w:color="auto" w:fill="auto"/>
            <w:noWrap/>
            <w:textDirection w:val="btLr"/>
            <w:vAlign w:val="center"/>
          </w:tcPr>
          <w:p w14:paraId="50C00885" w14:textId="587AC03D" w:rsidR="008C0F8B" w:rsidRPr="0084601C" w:rsidRDefault="008C0F8B" w:rsidP="00AB4AFF">
            <w:pPr>
              <w:spacing w:after="0" w:line="240" w:lineRule="auto"/>
              <w:ind w:left="113" w:right="113"/>
              <w:jc w:val="center"/>
              <w:rPr>
                <w:rFonts w:ascii="Calibri" w:eastAsia="Times New Roman" w:hAnsi="Calibri" w:cs="Calibri"/>
                <w:b/>
                <w:bCs/>
                <w:color w:val="000000"/>
              </w:rPr>
            </w:pPr>
            <w:r w:rsidRPr="0084601C">
              <w:rPr>
                <w:rFonts w:ascii="Calibri" w:eastAsia="Times New Roman" w:hAnsi="Calibri" w:cs="Calibri"/>
                <w:b/>
                <w:bCs/>
                <w:color w:val="000000"/>
              </w:rPr>
              <w:t>Amino acid</w:t>
            </w:r>
          </w:p>
        </w:tc>
        <w:tc>
          <w:tcPr>
            <w:tcW w:w="990" w:type="dxa"/>
            <w:vMerge w:val="restart"/>
            <w:tcBorders>
              <w:top w:val="single" w:sz="8" w:space="0" w:color="auto"/>
              <w:left w:val="nil"/>
              <w:right w:val="single" w:sz="4" w:space="0" w:color="auto"/>
            </w:tcBorders>
            <w:shd w:val="clear" w:color="auto" w:fill="auto"/>
            <w:noWrap/>
            <w:textDirection w:val="btLr"/>
            <w:vAlign w:val="center"/>
          </w:tcPr>
          <w:p w14:paraId="7213A8F6" w14:textId="3865F912" w:rsidR="008C0F8B" w:rsidRPr="0084601C" w:rsidRDefault="008C0F8B" w:rsidP="00AB4AFF">
            <w:pPr>
              <w:spacing w:after="0" w:line="240" w:lineRule="auto"/>
              <w:ind w:left="113" w:right="113"/>
              <w:jc w:val="center"/>
              <w:rPr>
                <w:rFonts w:ascii="Calibri" w:eastAsia="Times New Roman" w:hAnsi="Calibri" w:cs="Calibri"/>
                <w:b/>
                <w:bCs/>
                <w:color w:val="000000"/>
              </w:rPr>
            </w:pPr>
            <w:r w:rsidRPr="0084601C">
              <w:rPr>
                <w:rFonts w:ascii="Calibri" w:eastAsia="Times New Roman" w:hAnsi="Calibri" w:cs="Calibri"/>
                <w:b/>
                <w:bCs/>
                <w:color w:val="000000"/>
              </w:rPr>
              <w:t>gnomAD frequency</w:t>
            </w:r>
          </w:p>
        </w:tc>
        <w:tc>
          <w:tcPr>
            <w:tcW w:w="500" w:type="dxa"/>
            <w:vMerge w:val="restart"/>
            <w:tcBorders>
              <w:top w:val="single" w:sz="8" w:space="0" w:color="auto"/>
              <w:left w:val="nil"/>
              <w:right w:val="single" w:sz="4" w:space="0" w:color="auto"/>
            </w:tcBorders>
            <w:shd w:val="clear" w:color="auto" w:fill="auto"/>
            <w:noWrap/>
            <w:textDirection w:val="btLr"/>
            <w:vAlign w:val="center"/>
          </w:tcPr>
          <w:p w14:paraId="7745CC9E" w14:textId="29008D92" w:rsidR="008C0F8B" w:rsidRPr="0084601C" w:rsidRDefault="008C0F8B" w:rsidP="00AB4AFF">
            <w:pPr>
              <w:spacing w:after="0" w:line="240" w:lineRule="auto"/>
              <w:ind w:left="113" w:right="113"/>
              <w:jc w:val="center"/>
              <w:rPr>
                <w:rFonts w:ascii="Calibri" w:eastAsia="Times New Roman" w:hAnsi="Calibri" w:cs="Calibri"/>
                <w:b/>
                <w:bCs/>
                <w:color w:val="000000"/>
              </w:rPr>
            </w:pPr>
            <w:r w:rsidRPr="0084601C">
              <w:rPr>
                <w:rFonts w:ascii="Calibri" w:eastAsia="Times New Roman" w:hAnsi="Calibri" w:cs="Calibri"/>
                <w:b/>
                <w:bCs/>
                <w:color w:val="000000"/>
              </w:rPr>
              <w:t>CADD phred</w:t>
            </w:r>
          </w:p>
        </w:tc>
        <w:tc>
          <w:tcPr>
            <w:tcW w:w="534" w:type="dxa"/>
            <w:vMerge w:val="restart"/>
            <w:tcBorders>
              <w:top w:val="single" w:sz="8" w:space="0" w:color="auto"/>
              <w:left w:val="nil"/>
              <w:right w:val="single" w:sz="4" w:space="0" w:color="auto"/>
            </w:tcBorders>
            <w:shd w:val="clear" w:color="auto" w:fill="auto"/>
            <w:noWrap/>
            <w:textDirection w:val="btLr"/>
            <w:vAlign w:val="center"/>
          </w:tcPr>
          <w:p w14:paraId="4BC7AEED" w14:textId="48D2C336" w:rsidR="008C0F8B" w:rsidRPr="0084601C" w:rsidRDefault="008C0F8B" w:rsidP="00AB4AFF">
            <w:pPr>
              <w:spacing w:after="0" w:line="240" w:lineRule="auto"/>
              <w:ind w:left="113" w:right="113"/>
              <w:jc w:val="center"/>
              <w:rPr>
                <w:rFonts w:ascii="Calibri" w:eastAsia="Times New Roman" w:hAnsi="Calibri" w:cs="Calibri"/>
                <w:b/>
                <w:bCs/>
                <w:color w:val="000000"/>
              </w:rPr>
            </w:pPr>
            <w:r w:rsidRPr="0084601C">
              <w:rPr>
                <w:rFonts w:ascii="Calibri" w:eastAsia="Times New Roman" w:hAnsi="Calibri" w:cs="Calibri"/>
                <w:b/>
                <w:bCs/>
                <w:color w:val="000000"/>
              </w:rPr>
              <w:t>Clinvar</w:t>
            </w:r>
          </w:p>
        </w:tc>
        <w:tc>
          <w:tcPr>
            <w:tcW w:w="498" w:type="dxa"/>
            <w:vMerge w:val="restart"/>
            <w:tcBorders>
              <w:top w:val="single" w:sz="8" w:space="0" w:color="auto"/>
              <w:left w:val="nil"/>
              <w:right w:val="single" w:sz="8" w:space="0" w:color="auto"/>
            </w:tcBorders>
            <w:shd w:val="clear" w:color="auto" w:fill="auto"/>
            <w:noWrap/>
            <w:textDirection w:val="btLr"/>
            <w:vAlign w:val="center"/>
          </w:tcPr>
          <w:p w14:paraId="468E98BB" w14:textId="1BF49C42" w:rsidR="008C0F8B" w:rsidRPr="0084601C" w:rsidRDefault="008C0F8B" w:rsidP="00AB4AFF">
            <w:pPr>
              <w:spacing w:after="0" w:line="240" w:lineRule="auto"/>
              <w:ind w:left="113" w:right="113"/>
              <w:jc w:val="center"/>
              <w:rPr>
                <w:rFonts w:ascii="Calibri" w:eastAsia="Times New Roman" w:hAnsi="Calibri" w:cs="Calibri"/>
                <w:b/>
                <w:bCs/>
                <w:color w:val="000000"/>
              </w:rPr>
            </w:pPr>
            <w:r w:rsidRPr="0084601C">
              <w:rPr>
                <w:rFonts w:ascii="Calibri" w:eastAsia="Times New Roman" w:hAnsi="Calibri" w:cs="Calibri"/>
                <w:b/>
                <w:bCs/>
                <w:color w:val="000000"/>
              </w:rPr>
              <w:t>ACMG</w:t>
            </w:r>
          </w:p>
        </w:tc>
        <w:tc>
          <w:tcPr>
            <w:tcW w:w="9206" w:type="dxa"/>
            <w:gridSpan w:val="26"/>
            <w:tcBorders>
              <w:top w:val="single" w:sz="8" w:space="0" w:color="auto"/>
              <w:left w:val="nil"/>
              <w:bottom w:val="nil"/>
              <w:right w:val="single" w:sz="8" w:space="0" w:color="auto"/>
            </w:tcBorders>
            <w:shd w:val="clear" w:color="000000" w:fill="FFFFFF"/>
            <w:noWrap/>
            <w:vAlign w:val="center"/>
          </w:tcPr>
          <w:p w14:paraId="6FFC719D" w14:textId="16510B76" w:rsidR="008C0F8B" w:rsidRPr="0084601C" w:rsidRDefault="0038600E" w:rsidP="00851A04">
            <w:pPr>
              <w:spacing w:after="0" w:line="240" w:lineRule="auto"/>
              <w:jc w:val="center"/>
              <w:rPr>
                <w:rFonts w:ascii="Calibri" w:eastAsia="Times New Roman" w:hAnsi="Calibri" w:cs="Calibri"/>
                <w:b/>
                <w:bCs/>
                <w:color w:val="000000"/>
              </w:rPr>
            </w:pPr>
            <w:r w:rsidRPr="0084601C">
              <w:rPr>
                <w:rFonts w:ascii="Calibri" w:eastAsia="Times New Roman" w:hAnsi="Calibri" w:cs="Calibri"/>
                <w:b/>
                <w:bCs/>
                <w:color w:val="000000"/>
              </w:rPr>
              <w:t>Patient Number</w:t>
            </w:r>
          </w:p>
        </w:tc>
      </w:tr>
      <w:tr w:rsidR="009C21F7" w:rsidRPr="00AB4AFF" w14:paraId="169BFE99" w14:textId="77777777" w:rsidTr="00851A04">
        <w:trPr>
          <w:cantSplit/>
          <w:trHeight w:val="548"/>
        </w:trPr>
        <w:tc>
          <w:tcPr>
            <w:tcW w:w="1070" w:type="dxa"/>
            <w:vMerge/>
            <w:tcBorders>
              <w:left w:val="single" w:sz="8" w:space="0" w:color="auto"/>
              <w:bottom w:val="nil"/>
              <w:right w:val="single" w:sz="4" w:space="0" w:color="auto"/>
            </w:tcBorders>
            <w:shd w:val="clear" w:color="auto" w:fill="auto"/>
            <w:noWrap/>
            <w:textDirection w:val="btLr"/>
            <w:vAlign w:val="center"/>
            <w:hideMark/>
          </w:tcPr>
          <w:p w14:paraId="768DFF19" w14:textId="4E5ED6D4" w:rsidR="008C0F8B" w:rsidRPr="00AB4AFF" w:rsidRDefault="008C0F8B" w:rsidP="00AB4AFF">
            <w:pPr>
              <w:spacing w:after="0" w:line="240" w:lineRule="auto"/>
              <w:ind w:left="113" w:right="113"/>
              <w:jc w:val="center"/>
              <w:rPr>
                <w:rFonts w:ascii="Calibri" w:eastAsia="Times New Roman" w:hAnsi="Calibri" w:cs="Calibri"/>
                <w:color w:val="000000"/>
              </w:rPr>
            </w:pPr>
          </w:p>
        </w:tc>
        <w:tc>
          <w:tcPr>
            <w:tcW w:w="498" w:type="dxa"/>
            <w:vMerge/>
            <w:tcBorders>
              <w:left w:val="nil"/>
              <w:bottom w:val="nil"/>
              <w:right w:val="single" w:sz="4" w:space="0" w:color="auto"/>
            </w:tcBorders>
            <w:shd w:val="clear" w:color="auto" w:fill="auto"/>
            <w:noWrap/>
            <w:textDirection w:val="btLr"/>
            <w:vAlign w:val="center"/>
            <w:hideMark/>
          </w:tcPr>
          <w:p w14:paraId="40805027" w14:textId="21EA3BF7" w:rsidR="008C0F8B" w:rsidRPr="00AB4AFF" w:rsidRDefault="008C0F8B" w:rsidP="00AB4AFF">
            <w:pPr>
              <w:spacing w:after="0" w:line="240" w:lineRule="auto"/>
              <w:ind w:left="113" w:right="113"/>
              <w:jc w:val="center"/>
              <w:rPr>
                <w:rFonts w:ascii="Calibri" w:eastAsia="Times New Roman" w:hAnsi="Calibri" w:cs="Calibri"/>
                <w:color w:val="000000"/>
              </w:rPr>
            </w:pPr>
          </w:p>
        </w:tc>
        <w:tc>
          <w:tcPr>
            <w:tcW w:w="498" w:type="dxa"/>
            <w:vMerge/>
            <w:tcBorders>
              <w:left w:val="nil"/>
              <w:bottom w:val="nil"/>
              <w:right w:val="single" w:sz="8" w:space="0" w:color="auto"/>
            </w:tcBorders>
            <w:shd w:val="clear" w:color="auto" w:fill="auto"/>
            <w:noWrap/>
            <w:textDirection w:val="btLr"/>
            <w:vAlign w:val="center"/>
            <w:hideMark/>
          </w:tcPr>
          <w:p w14:paraId="158FBB91" w14:textId="54D2354E" w:rsidR="008C0F8B" w:rsidRPr="00AB4AFF" w:rsidRDefault="008C0F8B" w:rsidP="00AB4AFF">
            <w:pPr>
              <w:spacing w:after="0" w:line="240" w:lineRule="auto"/>
              <w:ind w:left="113" w:right="113"/>
              <w:jc w:val="center"/>
              <w:rPr>
                <w:rFonts w:ascii="Calibri" w:eastAsia="Times New Roman" w:hAnsi="Calibri" w:cs="Calibri"/>
                <w:color w:val="000000"/>
              </w:rPr>
            </w:pPr>
          </w:p>
        </w:tc>
        <w:tc>
          <w:tcPr>
            <w:tcW w:w="632" w:type="dxa"/>
            <w:vMerge/>
            <w:tcBorders>
              <w:left w:val="nil"/>
              <w:bottom w:val="nil"/>
              <w:right w:val="single" w:sz="4" w:space="0" w:color="auto"/>
            </w:tcBorders>
            <w:shd w:val="clear" w:color="auto" w:fill="auto"/>
            <w:noWrap/>
            <w:textDirection w:val="btLr"/>
            <w:vAlign w:val="center"/>
            <w:hideMark/>
          </w:tcPr>
          <w:p w14:paraId="461B6385" w14:textId="10DFD5C9" w:rsidR="008C0F8B" w:rsidRPr="00AB4AFF" w:rsidRDefault="008C0F8B" w:rsidP="00AB4AFF">
            <w:pPr>
              <w:spacing w:after="0" w:line="240" w:lineRule="auto"/>
              <w:ind w:left="113" w:right="113"/>
              <w:jc w:val="center"/>
              <w:rPr>
                <w:rFonts w:ascii="Calibri" w:eastAsia="Times New Roman" w:hAnsi="Calibri" w:cs="Calibri"/>
                <w:color w:val="000000"/>
              </w:rPr>
            </w:pPr>
          </w:p>
        </w:tc>
        <w:tc>
          <w:tcPr>
            <w:tcW w:w="850" w:type="dxa"/>
            <w:vMerge/>
            <w:tcBorders>
              <w:left w:val="nil"/>
              <w:bottom w:val="nil"/>
              <w:right w:val="single" w:sz="8" w:space="0" w:color="auto"/>
            </w:tcBorders>
            <w:shd w:val="clear" w:color="auto" w:fill="auto"/>
            <w:noWrap/>
            <w:textDirection w:val="btLr"/>
            <w:vAlign w:val="center"/>
            <w:hideMark/>
          </w:tcPr>
          <w:p w14:paraId="23C5C7D9" w14:textId="5DA83908" w:rsidR="008C0F8B" w:rsidRPr="00AB4AFF" w:rsidRDefault="008C0F8B" w:rsidP="00AB4AFF">
            <w:pPr>
              <w:spacing w:after="0" w:line="240" w:lineRule="auto"/>
              <w:ind w:left="113" w:right="113"/>
              <w:jc w:val="center"/>
              <w:rPr>
                <w:rFonts w:ascii="Calibri" w:eastAsia="Times New Roman" w:hAnsi="Calibri" w:cs="Calibri"/>
                <w:color w:val="000000"/>
              </w:rPr>
            </w:pPr>
          </w:p>
        </w:tc>
        <w:tc>
          <w:tcPr>
            <w:tcW w:w="990" w:type="dxa"/>
            <w:vMerge/>
            <w:tcBorders>
              <w:left w:val="nil"/>
              <w:bottom w:val="nil"/>
              <w:right w:val="single" w:sz="4" w:space="0" w:color="auto"/>
            </w:tcBorders>
            <w:shd w:val="clear" w:color="auto" w:fill="auto"/>
            <w:noWrap/>
            <w:textDirection w:val="btLr"/>
            <w:vAlign w:val="center"/>
            <w:hideMark/>
          </w:tcPr>
          <w:p w14:paraId="7590A433" w14:textId="390F4497" w:rsidR="008C0F8B" w:rsidRPr="00AB4AFF" w:rsidRDefault="008C0F8B" w:rsidP="00AB4AFF">
            <w:pPr>
              <w:spacing w:after="0" w:line="240" w:lineRule="auto"/>
              <w:ind w:left="113" w:right="113"/>
              <w:jc w:val="center"/>
              <w:rPr>
                <w:rFonts w:ascii="Calibri" w:eastAsia="Times New Roman" w:hAnsi="Calibri" w:cs="Calibri"/>
                <w:color w:val="000000"/>
              </w:rPr>
            </w:pPr>
          </w:p>
        </w:tc>
        <w:tc>
          <w:tcPr>
            <w:tcW w:w="500" w:type="dxa"/>
            <w:vMerge/>
            <w:tcBorders>
              <w:left w:val="nil"/>
              <w:bottom w:val="nil"/>
              <w:right w:val="single" w:sz="4" w:space="0" w:color="auto"/>
            </w:tcBorders>
            <w:shd w:val="clear" w:color="auto" w:fill="auto"/>
            <w:noWrap/>
            <w:textDirection w:val="btLr"/>
            <w:vAlign w:val="center"/>
            <w:hideMark/>
          </w:tcPr>
          <w:p w14:paraId="48F82699" w14:textId="7A5B7013" w:rsidR="008C0F8B" w:rsidRPr="00AB4AFF" w:rsidRDefault="008C0F8B" w:rsidP="00AB4AFF">
            <w:pPr>
              <w:spacing w:after="0" w:line="240" w:lineRule="auto"/>
              <w:ind w:left="113" w:right="113"/>
              <w:jc w:val="center"/>
              <w:rPr>
                <w:rFonts w:ascii="Calibri" w:eastAsia="Times New Roman" w:hAnsi="Calibri" w:cs="Calibri"/>
                <w:color w:val="000000"/>
              </w:rPr>
            </w:pPr>
          </w:p>
        </w:tc>
        <w:tc>
          <w:tcPr>
            <w:tcW w:w="534" w:type="dxa"/>
            <w:vMerge/>
            <w:tcBorders>
              <w:left w:val="nil"/>
              <w:bottom w:val="nil"/>
              <w:right w:val="single" w:sz="4" w:space="0" w:color="auto"/>
            </w:tcBorders>
            <w:shd w:val="clear" w:color="auto" w:fill="auto"/>
            <w:noWrap/>
            <w:textDirection w:val="btLr"/>
            <w:vAlign w:val="center"/>
            <w:hideMark/>
          </w:tcPr>
          <w:p w14:paraId="72ED8EF9" w14:textId="2C4680FE" w:rsidR="008C0F8B" w:rsidRPr="00AB4AFF" w:rsidRDefault="008C0F8B" w:rsidP="00AB4AFF">
            <w:pPr>
              <w:spacing w:after="0" w:line="240" w:lineRule="auto"/>
              <w:ind w:left="113" w:right="113"/>
              <w:jc w:val="center"/>
              <w:rPr>
                <w:rFonts w:ascii="Calibri" w:eastAsia="Times New Roman" w:hAnsi="Calibri" w:cs="Calibri"/>
                <w:color w:val="000000"/>
              </w:rPr>
            </w:pPr>
          </w:p>
        </w:tc>
        <w:tc>
          <w:tcPr>
            <w:tcW w:w="498" w:type="dxa"/>
            <w:vMerge/>
            <w:tcBorders>
              <w:left w:val="nil"/>
              <w:bottom w:val="nil"/>
              <w:right w:val="single" w:sz="8" w:space="0" w:color="auto"/>
            </w:tcBorders>
            <w:shd w:val="clear" w:color="auto" w:fill="auto"/>
            <w:noWrap/>
            <w:textDirection w:val="btLr"/>
            <w:vAlign w:val="center"/>
            <w:hideMark/>
          </w:tcPr>
          <w:p w14:paraId="1E92ED08" w14:textId="15D0FC2C" w:rsidR="008C0F8B" w:rsidRPr="00AB4AFF" w:rsidRDefault="008C0F8B" w:rsidP="00AB4AFF">
            <w:pPr>
              <w:spacing w:after="0" w:line="240" w:lineRule="auto"/>
              <w:ind w:left="113" w:right="113"/>
              <w:jc w:val="center"/>
              <w:rPr>
                <w:rFonts w:ascii="Calibri" w:eastAsia="Times New Roman" w:hAnsi="Calibri" w:cs="Calibri"/>
                <w:color w:val="000000"/>
              </w:rPr>
            </w:pPr>
          </w:p>
        </w:tc>
        <w:tc>
          <w:tcPr>
            <w:tcW w:w="298" w:type="dxa"/>
            <w:tcBorders>
              <w:top w:val="single" w:sz="8" w:space="0" w:color="auto"/>
              <w:left w:val="nil"/>
              <w:bottom w:val="nil"/>
              <w:right w:val="single" w:sz="4" w:space="0" w:color="auto"/>
            </w:tcBorders>
            <w:shd w:val="clear" w:color="000000" w:fill="FFFFFF"/>
            <w:noWrap/>
            <w:vAlign w:val="bottom"/>
            <w:hideMark/>
          </w:tcPr>
          <w:p w14:paraId="059C0814" w14:textId="77777777" w:rsidR="008C0F8B" w:rsidRPr="00AB4AFF" w:rsidRDefault="008C0F8B"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1</w:t>
            </w:r>
          </w:p>
        </w:tc>
        <w:tc>
          <w:tcPr>
            <w:tcW w:w="298" w:type="dxa"/>
            <w:tcBorders>
              <w:top w:val="single" w:sz="8" w:space="0" w:color="auto"/>
              <w:left w:val="nil"/>
              <w:bottom w:val="nil"/>
              <w:right w:val="single" w:sz="4" w:space="0" w:color="auto"/>
            </w:tcBorders>
            <w:shd w:val="clear" w:color="auto" w:fill="auto"/>
            <w:noWrap/>
            <w:vAlign w:val="bottom"/>
            <w:hideMark/>
          </w:tcPr>
          <w:p w14:paraId="4DEE9545" w14:textId="77777777" w:rsidR="008C0F8B" w:rsidRPr="00AB4AFF" w:rsidRDefault="008C0F8B"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2</w:t>
            </w:r>
          </w:p>
        </w:tc>
        <w:tc>
          <w:tcPr>
            <w:tcW w:w="298" w:type="dxa"/>
            <w:tcBorders>
              <w:top w:val="single" w:sz="8" w:space="0" w:color="auto"/>
              <w:left w:val="nil"/>
              <w:bottom w:val="nil"/>
              <w:right w:val="single" w:sz="4" w:space="0" w:color="auto"/>
            </w:tcBorders>
            <w:shd w:val="clear" w:color="auto" w:fill="auto"/>
            <w:noWrap/>
            <w:vAlign w:val="bottom"/>
            <w:hideMark/>
          </w:tcPr>
          <w:p w14:paraId="54E16623" w14:textId="77777777" w:rsidR="008C0F8B" w:rsidRPr="00AB4AFF" w:rsidRDefault="008C0F8B"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3</w:t>
            </w:r>
          </w:p>
        </w:tc>
        <w:tc>
          <w:tcPr>
            <w:tcW w:w="298" w:type="dxa"/>
            <w:tcBorders>
              <w:top w:val="single" w:sz="8" w:space="0" w:color="auto"/>
              <w:left w:val="nil"/>
              <w:bottom w:val="nil"/>
              <w:right w:val="single" w:sz="4" w:space="0" w:color="auto"/>
            </w:tcBorders>
            <w:shd w:val="clear" w:color="auto" w:fill="auto"/>
            <w:noWrap/>
            <w:vAlign w:val="bottom"/>
            <w:hideMark/>
          </w:tcPr>
          <w:p w14:paraId="66182008" w14:textId="77777777" w:rsidR="008C0F8B" w:rsidRPr="00AB4AFF" w:rsidRDefault="008C0F8B"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4</w:t>
            </w:r>
          </w:p>
        </w:tc>
        <w:tc>
          <w:tcPr>
            <w:tcW w:w="298" w:type="dxa"/>
            <w:tcBorders>
              <w:top w:val="single" w:sz="8" w:space="0" w:color="auto"/>
              <w:left w:val="nil"/>
              <w:bottom w:val="nil"/>
              <w:right w:val="single" w:sz="4" w:space="0" w:color="auto"/>
            </w:tcBorders>
            <w:shd w:val="clear" w:color="auto" w:fill="auto"/>
            <w:noWrap/>
            <w:vAlign w:val="bottom"/>
            <w:hideMark/>
          </w:tcPr>
          <w:p w14:paraId="4691D282" w14:textId="77777777" w:rsidR="008C0F8B" w:rsidRPr="00AB4AFF" w:rsidRDefault="008C0F8B"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5</w:t>
            </w:r>
          </w:p>
        </w:tc>
        <w:tc>
          <w:tcPr>
            <w:tcW w:w="298" w:type="dxa"/>
            <w:tcBorders>
              <w:top w:val="single" w:sz="8" w:space="0" w:color="auto"/>
              <w:left w:val="nil"/>
              <w:bottom w:val="nil"/>
              <w:right w:val="single" w:sz="4" w:space="0" w:color="auto"/>
            </w:tcBorders>
            <w:shd w:val="clear" w:color="auto" w:fill="auto"/>
            <w:noWrap/>
            <w:vAlign w:val="bottom"/>
            <w:hideMark/>
          </w:tcPr>
          <w:p w14:paraId="6345ABE0" w14:textId="77777777" w:rsidR="008C0F8B" w:rsidRPr="00AB4AFF" w:rsidRDefault="008C0F8B"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6</w:t>
            </w:r>
          </w:p>
        </w:tc>
        <w:tc>
          <w:tcPr>
            <w:tcW w:w="298" w:type="dxa"/>
            <w:tcBorders>
              <w:top w:val="single" w:sz="8" w:space="0" w:color="auto"/>
              <w:left w:val="nil"/>
              <w:bottom w:val="nil"/>
              <w:right w:val="single" w:sz="4" w:space="0" w:color="auto"/>
            </w:tcBorders>
            <w:shd w:val="clear" w:color="auto" w:fill="auto"/>
            <w:noWrap/>
            <w:vAlign w:val="bottom"/>
            <w:hideMark/>
          </w:tcPr>
          <w:p w14:paraId="02DFAABD" w14:textId="77777777" w:rsidR="008C0F8B" w:rsidRPr="00AB4AFF" w:rsidRDefault="008C0F8B"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7</w:t>
            </w:r>
          </w:p>
        </w:tc>
        <w:tc>
          <w:tcPr>
            <w:tcW w:w="298" w:type="dxa"/>
            <w:tcBorders>
              <w:top w:val="single" w:sz="8" w:space="0" w:color="auto"/>
              <w:left w:val="nil"/>
              <w:bottom w:val="nil"/>
              <w:right w:val="single" w:sz="4" w:space="0" w:color="auto"/>
            </w:tcBorders>
            <w:shd w:val="clear" w:color="auto" w:fill="auto"/>
            <w:noWrap/>
            <w:vAlign w:val="bottom"/>
            <w:hideMark/>
          </w:tcPr>
          <w:p w14:paraId="59A5B986" w14:textId="77777777" w:rsidR="008C0F8B" w:rsidRPr="00AB4AFF" w:rsidRDefault="008C0F8B"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8</w:t>
            </w:r>
          </w:p>
        </w:tc>
        <w:tc>
          <w:tcPr>
            <w:tcW w:w="379" w:type="dxa"/>
            <w:tcBorders>
              <w:top w:val="single" w:sz="8" w:space="0" w:color="auto"/>
              <w:left w:val="nil"/>
              <w:bottom w:val="nil"/>
              <w:right w:val="single" w:sz="4" w:space="0" w:color="auto"/>
            </w:tcBorders>
            <w:shd w:val="clear" w:color="auto" w:fill="auto"/>
            <w:noWrap/>
            <w:vAlign w:val="bottom"/>
            <w:hideMark/>
          </w:tcPr>
          <w:p w14:paraId="45CB319C" w14:textId="77777777" w:rsidR="008C0F8B" w:rsidRPr="00AB4AFF" w:rsidRDefault="008C0F8B"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10</w:t>
            </w:r>
          </w:p>
        </w:tc>
        <w:tc>
          <w:tcPr>
            <w:tcW w:w="379" w:type="dxa"/>
            <w:tcBorders>
              <w:top w:val="single" w:sz="8" w:space="0" w:color="auto"/>
              <w:left w:val="nil"/>
              <w:bottom w:val="nil"/>
              <w:right w:val="single" w:sz="4" w:space="0" w:color="auto"/>
            </w:tcBorders>
            <w:shd w:val="clear" w:color="auto" w:fill="auto"/>
            <w:noWrap/>
            <w:vAlign w:val="bottom"/>
            <w:hideMark/>
          </w:tcPr>
          <w:p w14:paraId="1F3AF5AE" w14:textId="77777777" w:rsidR="008C0F8B" w:rsidRPr="00AB4AFF" w:rsidRDefault="008C0F8B"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14</w:t>
            </w:r>
          </w:p>
        </w:tc>
        <w:tc>
          <w:tcPr>
            <w:tcW w:w="379" w:type="dxa"/>
            <w:tcBorders>
              <w:top w:val="single" w:sz="8" w:space="0" w:color="auto"/>
              <w:left w:val="nil"/>
              <w:bottom w:val="nil"/>
              <w:right w:val="single" w:sz="4" w:space="0" w:color="auto"/>
            </w:tcBorders>
            <w:shd w:val="clear" w:color="auto" w:fill="auto"/>
            <w:noWrap/>
            <w:vAlign w:val="bottom"/>
            <w:hideMark/>
          </w:tcPr>
          <w:p w14:paraId="33EFDD0B" w14:textId="77777777" w:rsidR="008C0F8B" w:rsidRPr="00AB4AFF" w:rsidRDefault="008C0F8B"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15</w:t>
            </w:r>
          </w:p>
        </w:tc>
        <w:tc>
          <w:tcPr>
            <w:tcW w:w="379" w:type="dxa"/>
            <w:tcBorders>
              <w:top w:val="single" w:sz="8" w:space="0" w:color="auto"/>
              <w:left w:val="nil"/>
              <w:bottom w:val="nil"/>
              <w:right w:val="single" w:sz="4" w:space="0" w:color="auto"/>
            </w:tcBorders>
            <w:shd w:val="clear" w:color="auto" w:fill="auto"/>
            <w:noWrap/>
            <w:vAlign w:val="bottom"/>
            <w:hideMark/>
          </w:tcPr>
          <w:p w14:paraId="13FFB7C1" w14:textId="77777777" w:rsidR="008C0F8B" w:rsidRPr="00AB4AFF" w:rsidRDefault="008C0F8B"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17</w:t>
            </w:r>
          </w:p>
        </w:tc>
        <w:tc>
          <w:tcPr>
            <w:tcW w:w="379" w:type="dxa"/>
            <w:tcBorders>
              <w:top w:val="single" w:sz="8" w:space="0" w:color="auto"/>
              <w:left w:val="nil"/>
              <w:bottom w:val="nil"/>
              <w:right w:val="single" w:sz="4" w:space="0" w:color="auto"/>
            </w:tcBorders>
            <w:shd w:val="clear" w:color="auto" w:fill="auto"/>
            <w:noWrap/>
            <w:vAlign w:val="bottom"/>
            <w:hideMark/>
          </w:tcPr>
          <w:p w14:paraId="543928E6" w14:textId="77777777" w:rsidR="008C0F8B" w:rsidRPr="00AB4AFF" w:rsidRDefault="008C0F8B"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20</w:t>
            </w:r>
          </w:p>
        </w:tc>
        <w:tc>
          <w:tcPr>
            <w:tcW w:w="379" w:type="dxa"/>
            <w:tcBorders>
              <w:top w:val="single" w:sz="8" w:space="0" w:color="auto"/>
              <w:left w:val="nil"/>
              <w:bottom w:val="nil"/>
              <w:right w:val="single" w:sz="4" w:space="0" w:color="auto"/>
            </w:tcBorders>
            <w:shd w:val="clear" w:color="auto" w:fill="auto"/>
            <w:noWrap/>
            <w:vAlign w:val="bottom"/>
            <w:hideMark/>
          </w:tcPr>
          <w:p w14:paraId="2FE2EBD4" w14:textId="77777777" w:rsidR="008C0F8B" w:rsidRPr="00AB4AFF" w:rsidRDefault="008C0F8B"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21</w:t>
            </w:r>
          </w:p>
        </w:tc>
        <w:tc>
          <w:tcPr>
            <w:tcW w:w="379" w:type="dxa"/>
            <w:tcBorders>
              <w:top w:val="single" w:sz="8" w:space="0" w:color="auto"/>
              <w:left w:val="nil"/>
              <w:bottom w:val="nil"/>
              <w:right w:val="single" w:sz="4" w:space="0" w:color="auto"/>
            </w:tcBorders>
            <w:shd w:val="clear" w:color="auto" w:fill="auto"/>
            <w:noWrap/>
            <w:vAlign w:val="bottom"/>
            <w:hideMark/>
          </w:tcPr>
          <w:p w14:paraId="2F7DE98D" w14:textId="77777777" w:rsidR="008C0F8B" w:rsidRPr="00AB4AFF" w:rsidRDefault="008C0F8B"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22</w:t>
            </w:r>
          </w:p>
        </w:tc>
        <w:tc>
          <w:tcPr>
            <w:tcW w:w="379" w:type="dxa"/>
            <w:tcBorders>
              <w:top w:val="single" w:sz="8" w:space="0" w:color="auto"/>
              <w:left w:val="nil"/>
              <w:bottom w:val="nil"/>
              <w:right w:val="single" w:sz="4" w:space="0" w:color="auto"/>
            </w:tcBorders>
            <w:shd w:val="clear" w:color="auto" w:fill="auto"/>
            <w:noWrap/>
            <w:vAlign w:val="bottom"/>
            <w:hideMark/>
          </w:tcPr>
          <w:p w14:paraId="0C758F48" w14:textId="77777777" w:rsidR="008C0F8B" w:rsidRPr="00AB4AFF" w:rsidRDefault="008C0F8B"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23</w:t>
            </w:r>
          </w:p>
        </w:tc>
        <w:tc>
          <w:tcPr>
            <w:tcW w:w="379" w:type="dxa"/>
            <w:tcBorders>
              <w:top w:val="single" w:sz="8" w:space="0" w:color="auto"/>
              <w:left w:val="nil"/>
              <w:bottom w:val="nil"/>
              <w:right w:val="single" w:sz="4" w:space="0" w:color="auto"/>
            </w:tcBorders>
            <w:shd w:val="clear" w:color="auto" w:fill="auto"/>
            <w:noWrap/>
            <w:vAlign w:val="bottom"/>
            <w:hideMark/>
          </w:tcPr>
          <w:p w14:paraId="15067475" w14:textId="77777777" w:rsidR="008C0F8B" w:rsidRPr="00AB4AFF" w:rsidRDefault="008C0F8B"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24</w:t>
            </w:r>
          </w:p>
        </w:tc>
        <w:tc>
          <w:tcPr>
            <w:tcW w:w="379" w:type="dxa"/>
            <w:tcBorders>
              <w:top w:val="single" w:sz="8" w:space="0" w:color="auto"/>
              <w:left w:val="nil"/>
              <w:bottom w:val="nil"/>
              <w:right w:val="single" w:sz="4" w:space="0" w:color="auto"/>
            </w:tcBorders>
            <w:shd w:val="clear" w:color="auto" w:fill="auto"/>
            <w:noWrap/>
            <w:vAlign w:val="bottom"/>
            <w:hideMark/>
          </w:tcPr>
          <w:p w14:paraId="33AE61EE" w14:textId="77777777" w:rsidR="008C0F8B" w:rsidRPr="00AB4AFF" w:rsidRDefault="008C0F8B"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25</w:t>
            </w:r>
          </w:p>
        </w:tc>
        <w:tc>
          <w:tcPr>
            <w:tcW w:w="379" w:type="dxa"/>
            <w:tcBorders>
              <w:top w:val="single" w:sz="8" w:space="0" w:color="auto"/>
              <w:left w:val="nil"/>
              <w:bottom w:val="nil"/>
              <w:right w:val="single" w:sz="4" w:space="0" w:color="auto"/>
            </w:tcBorders>
            <w:shd w:val="clear" w:color="auto" w:fill="auto"/>
            <w:noWrap/>
            <w:vAlign w:val="bottom"/>
            <w:hideMark/>
          </w:tcPr>
          <w:p w14:paraId="43EFAE7E" w14:textId="77777777" w:rsidR="008C0F8B" w:rsidRPr="00AB4AFF" w:rsidRDefault="008C0F8B"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26</w:t>
            </w:r>
          </w:p>
        </w:tc>
        <w:tc>
          <w:tcPr>
            <w:tcW w:w="379" w:type="dxa"/>
            <w:tcBorders>
              <w:top w:val="single" w:sz="8" w:space="0" w:color="auto"/>
              <w:left w:val="nil"/>
              <w:bottom w:val="nil"/>
              <w:right w:val="single" w:sz="4" w:space="0" w:color="auto"/>
            </w:tcBorders>
            <w:shd w:val="clear" w:color="auto" w:fill="auto"/>
            <w:noWrap/>
            <w:vAlign w:val="bottom"/>
            <w:hideMark/>
          </w:tcPr>
          <w:p w14:paraId="5D05F91B" w14:textId="77777777" w:rsidR="008C0F8B" w:rsidRPr="00AB4AFF" w:rsidRDefault="008C0F8B"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27</w:t>
            </w:r>
          </w:p>
        </w:tc>
        <w:tc>
          <w:tcPr>
            <w:tcW w:w="379" w:type="dxa"/>
            <w:tcBorders>
              <w:top w:val="single" w:sz="8" w:space="0" w:color="auto"/>
              <w:left w:val="nil"/>
              <w:bottom w:val="nil"/>
              <w:right w:val="single" w:sz="4" w:space="0" w:color="auto"/>
            </w:tcBorders>
            <w:shd w:val="clear" w:color="auto" w:fill="auto"/>
            <w:noWrap/>
            <w:vAlign w:val="bottom"/>
            <w:hideMark/>
          </w:tcPr>
          <w:p w14:paraId="493258C6" w14:textId="77777777" w:rsidR="008C0F8B" w:rsidRPr="00AB4AFF" w:rsidRDefault="008C0F8B"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28</w:t>
            </w:r>
          </w:p>
        </w:tc>
        <w:tc>
          <w:tcPr>
            <w:tcW w:w="379" w:type="dxa"/>
            <w:tcBorders>
              <w:top w:val="single" w:sz="8" w:space="0" w:color="auto"/>
              <w:left w:val="nil"/>
              <w:bottom w:val="nil"/>
              <w:right w:val="single" w:sz="4" w:space="0" w:color="auto"/>
            </w:tcBorders>
            <w:shd w:val="clear" w:color="auto" w:fill="auto"/>
            <w:noWrap/>
            <w:vAlign w:val="bottom"/>
            <w:hideMark/>
          </w:tcPr>
          <w:p w14:paraId="2B848736" w14:textId="77777777" w:rsidR="008C0F8B" w:rsidRPr="00AB4AFF" w:rsidRDefault="008C0F8B"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29</w:t>
            </w:r>
          </w:p>
        </w:tc>
        <w:tc>
          <w:tcPr>
            <w:tcW w:w="379" w:type="dxa"/>
            <w:tcBorders>
              <w:top w:val="single" w:sz="8" w:space="0" w:color="auto"/>
              <w:left w:val="nil"/>
              <w:bottom w:val="nil"/>
              <w:right w:val="single" w:sz="4" w:space="0" w:color="auto"/>
            </w:tcBorders>
            <w:shd w:val="clear" w:color="auto" w:fill="auto"/>
            <w:noWrap/>
            <w:vAlign w:val="bottom"/>
            <w:hideMark/>
          </w:tcPr>
          <w:p w14:paraId="1643EFF2" w14:textId="77777777" w:rsidR="008C0F8B" w:rsidRPr="00AB4AFF" w:rsidRDefault="008C0F8B"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31</w:t>
            </w:r>
          </w:p>
        </w:tc>
        <w:tc>
          <w:tcPr>
            <w:tcW w:w="379" w:type="dxa"/>
            <w:tcBorders>
              <w:top w:val="single" w:sz="8" w:space="0" w:color="auto"/>
              <w:left w:val="nil"/>
              <w:bottom w:val="nil"/>
              <w:right w:val="single" w:sz="4" w:space="0" w:color="auto"/>
            </w:tcBorders>
            <w:shd w:val="clear" w:color="auto" w:fill="auto"/>
            <w:noWrap/>
            <w:vAlign w:val="bottom"/>
            <w:hideMark/>
          </w:tcPr>
          <w:p w14:paraId="4758DBC6" w14:textId="77777777" w:rsidR="008C0F8B" w:rsidRPr="00AB4AFF" w:rsidRDefault="008C0F8B"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32</w:t>
            </w:r>
          </w:p>
        </w:tc>
        <w:tc>
          <w:tcPr>
            <w:tcW w:w="379" w:type="dxa"/>
            <w:tcBorders>
              <w:top w:val="single" w:sz="8" w:space="0" w:color="auto"/>
              <w:left w:val="nil"/>
              <w:bottom w:val="nil"/>
              <w:right w:val="single" w:sz="4" w:space="0" w:color="auto"/>
            </w:tcBorders>
            <w:shd w:val="clear" w:color="auto" w:fill="auto"/>
            <w:noWrap/>
            <w:vAlign w:val="bottom"/>
            <w:hideMark/>
          </w:tcPr>
          <w:p w14:paraId="36F411FF" w14:textId="77777777" w:rsidR="008C0F8B" w:rsidRPr="00AB4AFF" w:rsidRDefault="008C0F8B"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35</w:t>
            </w:r>
          </w:p>
        </w:tc>
        <w:tc>
          <w:tcPr>
            <w:tcW w:w="379" w:type="dxa"/>
            <w:tcBorders>
              <w:top w:val="single" w:sz="8" w:space="0" w:color="auto"/>
              <w:left w:val="nil"/>
              <w:bottom w:val="nil"/>
              <w:right w:val="single" w:sz="8" w:space="0" w:color="auto"/>
            </w:tcBorders>
            <w:shd w:val="clear" w:color="auto" w:fill="auto"/>
            <w:noWrap/>
            <w:vAlign w:val="bottom"/>
            <w:hideMark/>
          </w:tcPr>
          <w:p w14:paraId="4C634006" w14:textId="77777777" w:rsidR="008C0F8B" w:rsidRPr="00AB4AFF" w:rsidRDefault="008C0F8B"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47</w:t>
            </w:r>
          </w:p>
        </w:tc>
      </w:tr>
      <w:tr w:rsidR="00AB4AFF" w:rsidRPr="00AB4AFF" w14:paraId="1325674D" w14:textId="77777777" w:rsidTr="008C0F8B">
        <w:trPr>
          <w:trHeight w:val="290"/>
        </w:trPr>
        <w:tc>
          <w:tcPr>
            <w:tcW w:w="107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7982F3F1"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whole gene</w:t>
            </w:r>
          </w:p>
        </w:tc>
        <w:tc>
          <w:tcPr>
            <w:tcW w:w="498" w:type="dxa"/>
            <w:tcBorders>
              <w:top w:val="single" w:sz="8" w:space="0" w:color="auto"/>
              <w:left w:val="nil"/>
              <w:bottom w:val="single" w:sz="4" w:space="0" w:color="auto"/>
              <w:right w:val="single" w:sz="4" w:space="0" w:color="auto"/>
            </w:tcBorders>
            <w:shd w:val="clear" w:color="auto" w:fill="auto"/>
            <w:noWrap/>
            <w:vAlign w:val="bottom"/>
            <w:hideMark/>
          </w:tcPr>
          <w:p w14:paraId="2FD565E1"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 </w:t>
            </w:r>
          </w:p>
        </w:tc>
        <w:tc>
          <w:tcPr>
            <w:tcW w:w="498" w:type="dxa"/>
            <w:tcBorders>
              <w:top w:val="single" w:sz="8" w:space="0" w:color="auto"/>
              <w:left w:val="nil"/>
              <w:bottom w:val="single" w:sz="4" w:space="0" w:color="auto"/>
              <w:right w:val="single" w:sz="8" w:space="0" w:color="auto"/>
            </w:tcBorders>
            <w:shd w:val="clear" w:color="auto" w:fill="auto"/>
            <w:noWrap/>
            <w:vAlign w:val="bottom"/>
            <w:hideMark/>
          </w:tcPr>
          <w:p w14:paraId="28B22FFF"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 </w:t>
            </w:r>
          </w:p>
        </w:tc>
        <w:tc>
          <w:tcPr>
            <w:tcW w:w="632" w:type="dxa"/>
            <w:tcBorders>
              <w:top w:val="single" w:sz="8" w:space="0" w:color="auto"/>
              <w:left w:val="nil"/>
              <w:bottom w:val="single" w:sz="4" w:space="0" w:color="auto"/>
              <w:right w:val="single" w:sz="4" w:space="0" w:color="auto"/>
            </w:tcBorders>
            <w:shd w:val="clear" w:color="auto" w:fill="auto"/>
            <w:noWrap/>
            <w:vAlign w:val="bottom"/>
            <w:hideMark/>
          </w:tcPr>
          <w:p w14:paraId="56E81982"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del</w:t>
            </w:r>
          </w:p>
        </w:tc>
        <w:tc>
          <w:tcPr>
            <w:tcW w:w="850" w:type="dxa"/>
            <w:tcBorders>
              <w:top w:val="single" w:sz="8" w:space="0" w:color="auto"/>
              <w:left w:val="nil"/>
              <w:bottom w:val="single" w:sz="4" w:space="0" w:color="auto"/>
              <w:right w:val="single" w:sz="8" w:space="0" w:color="auto"/>
            </w:tcBorders>
            <w:shd w:val="clear" w:color="auto" w:fill="auto"/>
            <w:noWrap/>
            <w:vAlign w:val="bottom"/>
            <w:hideMark/>
          </w:tcPr>
          <w:p w14:paraId="21278232"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 </w:t>
            </w:r>
          </w:p>
        </w:tc>
        <w:tc>
          <w:tcPr>
            <w:tcW w:w="990" w:type="dxa"/>
            <w:tcBorders>
              <w:top w:val="single" w:sz="8" w:space="0" w:color="auto"/>
              <w:left w:val="nil"/>
              <w:bottom w:val="single" w:sz="4" w:space="0" w:color="auto"/>
              <w:right w:val="single" w:sz="4" w:space="0" w:color="auto"/>
            </w:tcBorders>
            <w:shd w:val="clear" w:color="auto" w:fill="auto"/>
            <w:noWrap/>
            <w:vAlign w:val="bottom"/>
            <w:hideMark/>
          </w:tcPr>
          <w:p w14:paraId="03BA7635"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 </w:t>
            </w:r>
          </w:p>
        </w:tc>
        <w:tc>
          <w:tcPr>
            <w:tcW w:w="500" w:type="dxa"/>
            <w:tcBorders>
              <w:top w:val="single" w:sz="8" w:space="0" w:color="auto"/>
              <w:left w:val="nil"/>
              <w:bottom w:val="single" w:sz="4" w:space="0" w:color="auto"/>
              <w:right w:val="single" w:sz="4" w:space="0" w:color="auto"/>
            </w:tcBorders>
            <w:shd w:val="clear" w:color="auto" w:fill="auto"/>
            <w:noWrap/>
            <w:vAlign w:val="bottom"/>
            <w:hideMark/>
          </w:tcPr>
          <w:p w14:paraId="23559204"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 </w:t>
            </w:r>
          </w:p>
        </w:tc>
        <w:tc>
          <w:tcPr>
            <w:tcW w:w="534" w:type="dxa"/>
            <w:tcBorders>
              <w:top w:val="single" w:sz="8" w:space="0" w:color="auto"/>
              <w:left w:val="nil"/>
              <w:bottom w:val="single" w:sz="4" w:space="0" w:color="auto"/>
              <w:right w:val="single" w:sz="4" w:space="0" w:color="auto"/>
            </w:tcBorders>
            <w:shd w:val="clear" w:color="auto" w:fill="auto"/>
            <w:noWrap/>
            <w:vAlign w:val="bottom"/>
            <w:hideMark/>
          </w:tcPr>
          <w:p w14:paraId="24CF773A"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P</w:t>
            </w:r>
          </w:p>
        </w:tc>
        <w:tc>
          <w:tcPr>
            <w:tcW w:w="498" w:type="dxa"/>
            <w:tcBorders>
              <w:top w:val="single" w:sz="8" w:space="0" w:color="auto"/>
              <w:left w:val="nil"/>
              <w:bottom w:val="single" w:sz="4" w:space="0" w:color="auto"/>
              <w:right w:val="single" w:sz="8" w:space="0" w:color="auto"/>
            </w:tcBorders>
            <w:shd w:val="clear" w:color="auto" w:fill="auto"/>
            <w:noWrap/>
            <w:vAlign w:val="bottom"/>
            <w:hideMark/>
          </w:tcPr>
          <w:p w14:paraId="461DA265"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P</w:t>
            </w:r>
          </w:p>
        </w:tc>
        <w:tc>
          <w:tcPr>
            <w:tcW w:w="298" w:type="dxa"/>
            <w:tcBorders>
              <w:top w:val="single" w:sz="8" w:space="0" w:color="auto"/>
              <w:left w:val="nil"/>
              <w:bottom w:val="single" w:sz="4" w:space="0" w:color="auto"/>
              <w:right w:val="single" w:sz="4" w:space="0" w:color="auto"/>
            </w:tcBorders>
            <w:shd w:val="clear" w:color="auto" w:fill="auto"/>
            <w:noWrap/>
            <w:vAlign w:val="bottom"/>
            <w:hideMark/>
          </w:tcPr>
          <w:p w14:paraId="79EBCA9D"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 </w:t>
            </w:r>
          </w:p>
        </w:tc>
        <w:tc>
          <w:tcPr>
            <w:tcW w:w="298" w:type="dxa"/>
            <w:tcBorders>
              <w:top w:val="single" w:sz="8" w:space="0" w:color="auto"/>
              <w:left w:val="nil"/>
              <w:bottom w:val="single" w:sz="4" w:space="0" w:color="auto"/>
              <w:right w:val="single" w:sz="4" w:space="0" w:color="auto"/>
            </w:tcBorders>
            <w:shd w:val="clear" w:color="auto" w:fill="auto"/>
            <w:noWrap/>
            <w:vAlign w:val="bottom"/>
            <w:hideMark/>
          </w:tcPr>
          <w:p w14:paraId="65C8E5A4"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 </w:t>
            </w:r>
          </w:p>
        </w:tc>
        <w:tc>
          <w:tcPr>
            <w:tcW w:w="298" w:type="dxa"/>
            <w:tcBorders>
              <w:top w:val="single" w:sz="8" w:space="0" w:color="auto"/>
              <w:left w:val="nil"/>
              <w:bottom w:val="single" w:sz="4" w:space="0" w:color="auto"/>
              <w:right w:val="single" w:sz="4" w:space="0" w:color="auto"/>
            </w:tcBorders>
            <w:shd w:val="clear" w:color="000000" w:fill="9BC2E6"/>
            <w:noWrap/>
            <w:vAlign w:val="bottom"/>
            <w:hideMark/>
          </w:tcPr>
          <w:p w14:paraId="671EA11D" w14:textId="77777777" w:rsidR="00AB4AFF" w:rsidRPr="00AB4AFF" w:rsidRDefault="00AB4AFF" w:rsidP="00AB4AFF">
            <w:pPr>
              <w:spacing w:after="0" w:line="240" w:lineRule="auto"/>
              <w:jc w:val="center"/>
              <w:rPr>
                <w:rFonts w:ascii="Calibri" w:eastAsia="Times New Roman" w:hAnsi="Calibri" w:cs="Calibri"/>
                <w:i/>
                <w:iCs/>
                <w:color w:val="000000"/>
                <w:sz w:val="16"/>
                <w:szCs w:val="16"/>
              </w:rPr>
            </w:pPr>
            <w:r w:rsidRPr="00AB4AFF">
              <w:rPr>
                <w:rFonts w:ascii="Calibri" w:eastAsia="Times New Roman" w:hAnsi="Calibri" w:cs="Calibri"/>
                <w:i/>
                <w:iCs/>
                <w:color w:val="000000"/>
                <w:sz w:val="16"/>
                <w:szCs w:val="16"/>
              </w:rPr>
              <w:t>t</w:t>
            </w:r>
          </w:p>
        </w:tc>
        <w:tc>
          <w:tcPr>
            <w:tcW w:w="298" w:type="dxa"/>
            <w:tcBorders>
              <w:top w:val="single" w:sz="8" w:space="0" w:color="auto"/>
              <w:left w:val="nil"/>
              <w:bottom w:val="single" w:sz="4" w:space="0" w:color="auto"/>
              <w:right w:val="single" w:sz="4" w:space="0" w:color="auto"/>
            </w:tcBorders>
            <w:shd w:val="clear" w:color="000000" w:fill="9BC2E6"/>
            <w:noWrap/>
            <w:vAlign w:val="bottom"/>
            <w:hideMark/>
          </w:tcPr>
          <w:p w14:paraId="1D17BBE4" w14:textId="77777777" w:rsidR="00AB4AFF" w:rsidRPr="00AB4AFF" w:rsidRDefault="00AB4AFF" w:rsidP="00AB4AFF">
            <w:pPr>
              <w:spacing w:after="0" w:line="240" w:lineRule="auto"/>
              <w:jc w:val="center"/>
              <w:rPr>
                <w:rFonts w:ascii="Calibri" w:eastAsia="Times New Roman" w:hAnsi="Calibri" w:cs="Calibri"/>
                <w:i/>
                <w:iCs/>
                <w:color w:val="000000"/>
                <w:sz w:val="16"/>
                <w:szCs w:val="16"/>
              </w:rPr>
            </w:pPr>
            <w:r w:rsidRPr="00AB4AFF">
              <w:rPr>
                <w:rFonts w:ascii="Calibri" w:eastAsia="Times New Roman" w:hAnsi="Calibri" w:cs="Calibri"/>
                <w:i/>
                <w:iCs/>
                <w:color w:val="000000"/>
                <w:sz w:val="16"/>
                <w:szCs w:val="16"/>
              </w:rPr>
              <w:t>t</w:t>
            </w:r>
          </w:p>
        </w:tc>
        <w:tc>
          <w:tcPr>
            <w:tcW w:w="298" w:type="dxa"/>
            <w:tcBorders>
              <w:top w:val="single" w:sz="8" w:space="0" w:color="auto"/>
              <w:left w:val="nil"/>
              <w:bottom w:val="single" w:sz="4" w:space="0" w:color="auto"/>
              <w:right w:val="single" w:sz="4" w:space="0" w:color="auto"/>
            </w:tcBorders>
            <w:shd w:val="clear" w:color="000000" w:fill="9BC2E6"/>
            <w:noWrap/>
            <w:vAlign w:val="bottom"/>
            <w:hideMark/>
          </w:tcPr>
          <w:p w14:paraId="328FD1F3" w14:textId="77777777" w:rsidR="00AB4AFF" w:rsidRPr="00AB4AFF" w:rsidRDefault="00AB4AFF" w:rsidP="00AB4AFF">
            <w:pPr>
              <w:spacing w:after="0" w:line="240" w:lineRule="auto"/>
              <w:jc w:val="center"/>
              <w:rPr>
                <w:rFonts w:ascii="Calibri" w:eastAsia="Times New Roman" w:hAnsi="Calibri" w:cs="Calibri"/>
                <w:i/>
                <w:iCs/>
                <w:color w:val="000000"/>
                <w:sz w:val="16"/>
                <w:szCs w:val="16"/>
              </w:rPr>
            </w:pPr>
            <w:r w:rsidRPr="00AB4AFF">
              <w:rPr>
                <w:rFonts w:ascii="Calibri" w:eastAsia="Times New Roman" w:hAnsi="Calibri" w:cs="Calibri"/>
                <w:i/>
                <w:iCs/>
                <w:color w:val="000000"/>
                <w:sz w:val="16"/>
                <w:szCs w:val="16"/>
              </w:rPr>
              <w:t>t</w:t>
            </w:r>
          </w:p>
        </w:tc>
        <w:tc>
          <w:tcPr>
            <w:tcW w:w="298" w:type="dxa"/>
            <w:tcBorders>
              <w:top w:val="single" w:sz="8" w:space="0" w:color="auto"/>
              <w:left w:val="nil"/>
              <w:bottom w:val="single" w:sz="4" w:space="0" w:color="auto"/>
              <w:right w:val="single" w:sz="4" w:space="0" w:color="auto"/>
            </w:tcBorders>
            <w:shd w:val="clear" w:color="000000" w:fill="9BC2E6"/>
            <w:noWrap/>
            <w:vAlign w:val="bottom"/>
            <w:hideMark/>
          </w:tcPr>
          <w:p w14:paraId="527632FD" w14:textId="77777777" w:rsidR="00AB4AFF" w:rsidRPr="00AB4AFF" w:rsidRDefault="00AB4AFF" w:rsidP="00AB4AFF">
            <w:pPr>
              <w:spacing w:after="0" w:line="240" w:lineRule="auto"/>
              <w:jc w:val="center"/>
              <w:rPr>
                <w:rFonts w:ascii="Calibri" w:eastAsia="Times New Roman" w:hAnsi="Calibri" w:cs="Calibri"/>
                <w:i/>
                <w:iCs/>
                <w:color w:val="000000"/>
                <w:sz w:val="16"/>
                <w:szCs w:val="16"/>
              </w:rPr>
            </w:pPr>
            <w:r w:rsidRPr="00AB4AFF">
              <w:rPr>
                <w:rFonts w:ascii="Calibri" w:eastAsia="Times New Roman" w:hAnsi="Calibri" w:cs="Calibri"/>
                <w:i/>
                <w:iCs/>
                <w:color w:val="000000"/>
                <w:sz w:val="16"/>
                <w:szCs w:val="16"/>
              </w:rPr>
              <w:t>t</w:t>
            </w:r>
          </w:p>
        </w:tc>
        <w:tc>
          <w:tcPr>
            <w:tcW w:w="298" w:type="dxa"/>
            <w:tcBorders>
              <w:top w:val="single" w:sz="8" w:space="0" w:color="auto"/>
              <w:left w:val="nil"/>
              <w:bottom w:val="single" w:sz="4" w:space="0" w:color="auto"/>
              <w:right w:val="single" w:sz="4" w:space="0" w:color="auto"/>
            </w:tcBorders>
            <w:shd w:val="clear" w:color="auto" w:fill="auto"/>
            <w:noWrap/>
            <w:vAlign w:val="bottom"/>
            <w:hideMark/>
          </w:tcPr>
          <w:p w14:paraId="1B8EFA57" w14:textId="77777777" w:rsidR="00AB4AFF" w:rsidRPr="00AB4AFF" w:rsidRDefault="00AB4AFF" w:rsidP="00AB4AFF">
            <w:pPr>
              <w:spacing w:after="0" w:line="240" w:lineRule="auto"/>
              <w:jc w:val="center"/>
              <w:rPr>
                <w:rFonts w:ascii="Calibri" w:eastAsia="Times New Roman" w:hAnsi="Calibri" w:cs="Calibri"/>
                <w:i/>
                <w:iCs/>
                <w:color w:val="000000"/>
                <w:sz w:val="16"/>
                <w:szCs w:val="16"/>
              </w:rPr>
            </w:pPr>
            <w:r w:rsidRPr="00AB4AFF">
              <w:rPr>
                <w:rFonts w:ascii="Calibri" w:eastAsia="Times New Roman" w:hAnsi="Calibri" w:cs="Calibri"/>
                <w:i/>
                <w:iCs/>
                <w:color w:val="000000"/>
                <w:sz w:val="16"/>
                <w:szCs w:val="16"/>
              </w:rPr>
              <w:t> </w:t>
            </w:r>
          </w:p>
        </w:tc>
        <w:tc>
          <w:tcPr>
            <w:tcW w:w="298" w:type="dxa"/>
            <w:tcBorders>
              <w:top w:val="single" w:sz="8" w:space="0" w:color="auto"/>
              <w:left w:val="nil"/>
              <w:bottom w:val="single" w:sz="4" w:space="0" w:color="auto"/>
              <w:right w:val="single" w:sz="4" w:space="0" w:color="auto"/>
            </w:tcBorders>
            <w:shd w:val="clear" w:color="auto" w:fill="auto"/>
            <w:noWrap/>
            <w:vAlign w:val="bottom"/>
            <w:hideMark/>
          </w:tcPr>
          <w:p w14:paraId="57269AB2" w14:textId="77777777" w:rsidR="00AB4AFF" w:rsidRPr="00AB4AFF" w:rsidRDefault="00AB4AFF" w:rsidP="00AB4AFF">
            <w:pPr>
              <w:spacing w:after="0" w:line="240" w:lineRule="auto"/>
              <w:jc w:val="center"/>
              <w:rPr>
                <w:rFonts w:ascii="Calibri" w:eastAsia="Times New Roman" w:hAnsi="Calibri" w:cs="Calibri"/>
                <w:i/>
                <w:iCs/>
                <w:color w:val="000000"/>
                <w:sz w:val="16"/>
                <w:szCs w:val="16"/>
              </w:rPr>
            </w:pPr>
            <w:r w:rsidRPr="00AB4AFF">
              <w:rPr>
                <w:rFonts w:ascii="Calibri" w:eastAsia="Times New Roman" w:hAnsi="Calibri" w:cs="Calibri"/>
                <w:i/>
                <w:iCs/>
                <w:color w:val="000000"/>
                <w:sz w:val="16"/>
                <w:szCs w:val="16"/>
              </w:rPr>
              <w:t> </w:t>
            </w:r>
          </w:p>
        </w:tc>
        <w:tc>
          <w:tcPr>
            <w:tcW w:w="379" w:type="dxa"/>
            <w:tcBorders>
              <w:top w:val="single" w:sz="8" w:space="0" w:color="auto"/>
              <w:left w:val="nil"/>
              <w:bottom w:val="single" w:sz="4" w:space="0" w:color="auto"/>
              <w:right w:val="single" w:sz="4" w:space="0" w:color="auto"/>
            </w:tcBorders>
            <w:shd w:val="clear" w:color="auto" w:fill="auto"/>
            <w:noWrap/>
            <w:vAlign w:val="bottom"/>
            <w:hideMark/>
          </w:tcPr>
          <w:p w14:paraId="7F097640" w14:textId="77777777" w:rsidR="00AB4AFF" w:rsidRPr="00AB4AFF" w:rsidRDefault="00AB4AFF" w:rsidP="00AB4AFF">
            <w:pPr>
              <w:spacing w:after="0" w:line="240" w:lineRule="auto"/>
              <w:jc w:val="center"/>
              <w:rPr>
                <w:rFonts w:ascii="Calibri" w:eastAsia="Times New Roman" w:hAnsi="Calibri" w:cs="Calibri"/>
                <w:i/>
                <w:iCs/>
                <w:color w:val="000000"/>
                <w:sz w:val="16"/>
                <w:szCs w:val="16"/>
              </w:rPr>
            </w:pPr>
            <w:r w:rsidRPr="00AB4AFF">
              <w:rPr>
                <w:rFonts w:ascii="Calibri" w:eastAsia="Times New Roman" w:hAnsi="Calibri" w:cs="Calibri"/>
                <w:i/>
                <w:iCs/>
                <w:color w:val="000000"/>
                <w:sz w:val="16"/>
                <w:szCs w:val="16"/>
              </w:rPr>
              <w:t> </w:t>
            </w:r>
          </w:p>
        </w:tc>
        <w:tc>
          <w:tcPr>
            <w:tcW w:w="379" w:type="dxa"/>
            <w:tcBorders>
              <w:top w:val="single" w:sz="8" w:space="0" w:color="auto"/>
              <w:left w:val="nil"/>
              <w:bottom w:val="single" w:sz="4" w:space="0" w:color="auto"/>
              <w:right w:val="single" w:sz="4" w:space="0" w:color="auto"/>
            </w:tcBorders>
            <w:shd w:val="clear" w:color="auto" w:fill="auto"/>
            <w:noWrap/>
            <w:vAlign w:val="bottom"/>
            <w:hideMark/>
          </w:tcPr>
          <w:p w14:paraId="290A826B" w14:textId="77777777" w:rsidR="00AB4AFF" w:rsidRPr="00AB4AFF" w:rsidRDefault="00AB4AFF" w:rsidP="00AB4AFF">
            <w:pPr>
              <w:spacing w:after="0" w:line="240" w:lineRule="auto"/>
              <w:jc w:val="center"/>
              <w:rPr>
                <w:rFonts w:ascii="Calibri" w:eastAsia="Times New Roman" w:hAnsi="Calibri" w:cs="Calibri"/>
                <w:i/>
                <w:iCs/>
                <w:color w:val="000000"/>
                <w:sz w:val="16"/>
                <w:szCs w:val="16"/>
              </w:rPr>
            </w:pPr>
            <w:r w:rsidRPr="00AB4AFF">
              <w:rPr>
                <w:rFonts w:ascii="Calibri" w:eastAsia="Times New Roman" w:hAnsi="Calibri" w:cs="Calibri"/>
                <w:i/>
                <w:iCs/>
                <w:color w:val="000000"/>
                <w:sz w:val="16"/>
                <w:szCs w:val="16"/>
              </w:rPr>
              <w:t> </w:t>
            </w:r>
          </w:p>
        </w:tc>
        <w:tc>
          <w:tcPr>
            <w:tcW w:w="379" w:type="dxa"/>
            <w:tcBorders>
              <w:top w:val="single" w:sz="8" w:space="0" w:color="auto"/>
              <w:left w:val="nil"/>
              <w:bottom w:val="single" w:sz="4" w:space="0" w:color="auto"/>
              <w:right w:val="single" w:sz="4" w:space="0" w:color="auto"/>
            </w:tcBorders>
            <w:shd w:val="clear" w:color="auto" w:fill="auto"/>
            <w:noWrap/>
            <w:vAlign w:val="bottom"/>
            <w:hideMark/>
          </w:tcPr>
          <w:p w14:paraId="1339FE71"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 </w:t>
            </w:r>
          </w:p>
        </w:tc>
        <w:tc>
          <w:tcPr>
            <w:tcW w:w="379" w:type="dxa"/>
            <w:tcBorders>
              <w:top w:val="single" w:sz="8" w:space="0" w:color="auto"/>
              <w:left w:val="nil"/>
              <w:bottom w:val="single" w:sz="4" w:space="0" w:color="auto"/>
              <w:right w:val="single" w:sz="4" w:space="0" w:color="auto"/>
            </w:tcBorders>
            <w:shd w:val="clear" w:color="auto" w:fill="auto"/>
            <w:noWrap/>
            <w:vAlign w:val="bottom"/>
            <w:hideMark/>
          </w:tcPr>
          <w:p w14:paraId="32E2F80A"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 </w:t>
            </w:r>
          </w:p>
        </w:tc>
        <w:tc>
          <w:tcPr>
            <w:tcW w:w="379" w:type="dxa"/>
            <w:tcBorders>
              <w:top w:val="single" w:sz="8" w:space="0" w:color="auto"/>
              <w:left w:val="nil"/>
              <w:bottom w:val="single" w:sz="4" w:space="0" w:color="auto"/>
              <w:right w:val="single" w:sz="4" w:space="0" w:color="auto"/>
            </w:tcBorders>
            <w:shd w:val="clear" w:color="000000" w:fill="5B9BD5"/>
            <w:noWrap/>
            <w:vAlign w:val="bottom"/>
            <w:hideMark/>
          </w:tcPr>
          <w:p w14:paraId="485259F2"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 </w:t>
            </w:r>
          </w:p>
        </w:tc>
        <w:tc>
          <w:tcPr>
            <w:tcW w:w="379" w:type="dxa"/>
            <w:tcBorders>
              <w:top w:val="single" w:sz="8" w:space="0" w:color="auto"/>
              <w:left w:val="nil"/>
              <w:bottom w:val="single" w:sz="4" w:space="0" w:color="auto"/>
              <w:right w:val="single" w:sz="4" w:space="0" w:color="auto"/>
            </w:tcBorders>
            <w:shd w:val="clear" w:color="000000" w:fill="5B9BD5"/>
            <w:noWrap/>
            <w:vAlign w:val="bottom"/>
            <w:hideMark/>
          </w:tcPr>
          <w:p w14:paraId="1A51693D"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 </w:t>
            </w:r>
          </w:p>
        </w:tc>
        <w:tc>
          <w:tcPr>
            <w:tcW w:w="379" w:type="dxa"/>
            <w:tcBorders>
              <w:top w:val="single" w:sz="8" w:space="0" w:color="auto"/>
              <w:left w:val="nil"/>
              <w:bottom w:val="single" w:sz="4" w:space="0" w:color="auto"/>
              <w:right w:val="single" w:sz="4" w:space="0" w:color="auto"/>
            </w:tcBorders>
            <w:shd w:val="clear" w:color="000000" w:fill="5B9BD5"/>
            <w:noWrap/>
            <w:vAlign w:val="bottom"/>
            <w:hideMark/>
          </w:tcPr>
          <w:p w14:paraId="403F1836"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 </w:t>
            </w:r>
          </w:p>
        </w:tc>
        <w:tc>
          <w:tcPr>
            <w:tcW w:w="379" w:type="dxa"/>
            <w:tcBorders>
              <w:top w:val="single" w:sz="8" w:space="0" w:color="auto"/>
              <w:left w:val="nil"/>
              <w:bottom w:val="single" w:sz="4" w:space="0" w:color="auto"/>
              <w:right w:val="single" w:sz="4" w:space="0" w:color="auto"/>
            </w:tcBorders>
            <w:shd w:val="clear" w:color="000000" w:fill="5B9BD5"/>
            <w:noWrap/>
            <w:vAlign w:val="bottom"/>
            <w:hideMark/>
          </w:tcPr>
          <w:p w14:paraId="4F909B4B"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 </w:t>
            </w:r>
          </w:p>
        </w:tc>
        <w:tc>
          <w:tcPr>
            <w:tcW w:w="379" w:type="dxa"/>
            <w:tcBorders>
              <w:top w:val="single" w:sz="8" w:space="0" w:color="auto"/>
              <w:left w:val="nil"/>
              <w:bottom w:val="single" w:sz="4" w:space="0" w:color="auto"/>
              <w:right w:val="single" w:sz="4" w:space="0" w:color="auto"/>
            </w:tcBorders>
            <w:shd w:val="clear" w:color="000000" w:fill="5B9BD5"/>
            <w:noWrap/>
            <w:vAlign w:val="bottom"/>
            <w:hideMark/>
          </w:tcPr>
          <w:p w14:paraId="79A2779D"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 </w:t>
            </w:r>
          </w:p>
        </w:tc>
        <w:tc>
          <w:tcPr>
            <w:tcW w:w="379" w:type="dxa"/>
            <w:tcBorders>
              <w:top w:val="single" w:sz="8" w:space="0" w:color="auto"/>
              <w:left w:val="nil"/>
              <w:bottom w:val="single" w:sz="4" w:space="0" w:color="auto"/>
              <w:right w:val="single" w:sz="4" w:space="0" w:color="auto"/>
            </w:tcBorders>
            <w:shd w:val="clear" w:color="000000" w:fill="5B9BD5"/>
            <w:noWrap/>
            <w:vAlign w:val="bottom"/>
            <w:hideMark/>
          </w:tcPr>
          <w:p w14:paraId="68D3CD66"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 </w:t>
            </w:r>
          </w:p>
        </w:tc>
        <w:tc>
          <w:tcPr>
            <w:tcW w:w="379" w:type="dxa"/>
            <w:tcBorders>
              <w:top w:val="single" w:sz="8" w:space="0" w:color="auto"/>
              <w:left w:val="nil"/>
              <w:bottom w:val="single" w:sz="4" w:space="0" w:color="auto"/>
              <w:right w:val="single" w:sz="4" w:space="0" w:color="auto"/>
            </w:tcBorders>
            <w:shd w:val="clear" w:color="000000" w:fill="5B9BD5"/>
            <w:noWrap/>
            <w:vAlign w:val="bottom"/>
            <w:hideMark/>
          </w:tcPr>
          <w:p w14:paraId="207BBC91"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 </w:t>
            </w:r>
          </w:p>
        </w:tc>
        <w:tc>
          <w:tcPr>
            <w:tcW w:w="379" w:type="dxa"/>
            <w:tcBorders>
              <w:top w:val="single" w:sz="8" w:space="0" w:color="auto"/>
              <w:left w:val="nil"/>
              <w:bottom w:val="single" w:sz="4" w:space="0" w:color="auto"/>
              <w:right w:val="single" w:sz="4" w:space="0" w:color="auto"/>
            </w:tcBorders>
            <w:shd w:val="clear" w:color="000000" w:fill="5B9BD5"/>
            <w:noWrap/>
            <w:vAlign w:val="bottom"/>
            <w:hideMark/>
          </w:tcPr>
          <w:p w14:paraId="45FDB97A"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 </w:t>
            </w:r>
          </w:p>
        </w:tc>
        <w:tc>
          <w:tcPr>
            <w:tcW w:w="379" w:type="dxa"/>
            <w:tcBorders>
              <w:top w:val="single" w:sz="8" w:space="0" w:color="auto"/>
              <w:left w:val="nil"/>
              <w:bottom w:val="single" w:sz="4" w:space="0" w:color="auto"/>
              <w:right w:val="single" w:sz="4" w:space="0" w:color="auto"/>
            </w:tcBorders>
            <w:shd w:val="clear" w:color="000000" w:fill="5B9BD5"/>
            <w:noWrap/>
            <w:vAlign w:val="bottom"/>
            <w:hideMark/>
          </w:tcPr>
          <w:p w14:paraId="31C15D01"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 </w:t>
            </w:r>
          </w:p>
        </w:tc>
        <w:tc>
          <w:tcPr>
            <w:tcW w:w="379" w:type="dxa"/>
            <w:tcBorders>
              <w:top w:val="single" w:sz="8" w:space="0" w:color="auto"/>
              <w:left w:val="nil"/>
              <w:bottom w:val="single" w:sz="4" w:space="0" w:color="auto"/>
              <w:right w:val="single" w:sz="4" w:space="0" w:color="auto"/>
            </w:tcBorders>
            <w:shd w:val="clear" w:color="000000" w:fill="5B9BD5"/>
            <w:noWrap/>
            <w:vAlign w:val="bottom"/>
            <w:hideMark/>
          </w:tcPr>
          <w:p w14:paraId="6219C77A"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 </w:t>
            </w:r>
          </w:p>
        </w:tc>
        <w:tc>
          <w:tcPr>
            <w:tcW w:w="379" w:type="dxa"/>
            <w:tcBorders>
              <w:top w:val="single" w:sz="8" w:space="0" w:color="auto"/>
              <w:left w:val="nil"/>
              <w:bottom w:val="single" w:sz="4" w:space="0" w:color="auto"/>
              <w:right w:val="single" w:sz="4" w:space="0" w:color="auto"/>
            </w:tcBorders>
            <w:shd w:val="clear" w:color="auto" w:fill="auto"/>
            <w:noWrap/>
            <w:vAlign w:val="bottom"/>
            <w:hideMark/>
          </w:tcPr>
          <w:p w14:paraId="1206848A"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 </w:t>
            </w:r>
          </w:p>
        </w:tc>
        <w:tc>
          <w:tcPr>
            <w:tcW w:w="379" w:type="dxa"/>
            <w:tcBorders>
              <w:top w:val="single" w:sz="8" w:space="0" w:color="auto"/>
              <w:left w:val="nil"/>
              <w:bottom w:val="single" w:sz="4" w:space="0" w:color="auto"/>
              <w:right w:val="single" w:sz="4" w:space="0" w:color="auto"/>
            </w:tcBorders>
            <w:shd w:val="clear" w:color="auto" w:fill="auto"/>
            <w:noWrap/>
            <w:vAlign w:val="bottom"/>
            <w:hideMark/>
          </w:tcPr>
          <w:p w14:paraId="1F176738"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 </w:t>
            </w:r>
          </w:p>
        </w:tc>
        <w:tc>
          <w:tcPr>
            <w:tcW w:w="379" w:type="dxa"/>
            <w:tcBorders>
              <w:top w:val="single" w:sz="8" w:space="0" w:color="auto"/>
              <w:left w:val="nil"/>
              <w:bottom w:val="single" w:sz="4" w:space="0" w:color="auto"/>
              <w:right w:val="single" w:sz="4" w:space="0" w:color="auto"/>
            </w:tcBorders>
            <w:shd w:val="clear" w:color="auto" w:fill="auto"/>
            <w:noWrap/>
            <w:vAlign w:val="bottom"/>
            <w:hideMark/>
          </w:tcPr>
          <w:p w14:paraId="5FDF94F3"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 </w:t>
            </w:r>
          </w:p>
        </w:tc>
        <w:tc>
          <w:tcPr>
            <w:tcW w:w="379" w:type="dxa"/>
            <w:tcBorders>
              <w:top w:val="single" w:sz="8" w:space="0" w:color="auto"/>
              <w:left w:val="nil"/>
              <w:bottom w:val="single" w:sz="4" w:space="0" w:color="auto"/>
              <w:right w:val="single" w:sz="8" w:space="0" w:color="auto"/>
            </w:tcBorders>
            <w:shd w:val="clear" w:color="auto" w:fill="auto"/>
            <w:noWrap/>
            <w:vAlign w:val="bottom"/>
            <w:hideMark/>
          </w:tcPr>
          <w:p w14:paraId="1F6224AB"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 </w:t>
            </w:r>
          </w:p>
        </w:tc>
      </w:tr>
      <w:tr w:rsidR="00AB4AFF" w:rsidRPr="00AB4AFF" w14:paraId="41B1526C" w14:textId="77777777" w:rsidTr="008C0F8B">
        <w:trPr>
          <w:trHeight w:val="290"/>
        </w:trPr>
        <w:tc>
          <w:tcPr>
            <w:tcW w:w="1070" w:type="dxa"/>
            <w:tcBorders>
              <w:top w:val="nil"/>
              <w:left w:val="single" w:sz="8" w:space="0" w:color="auto"/>
              <w:bottom w:val="single" w:sz="4" w:space="0" w:color="auto"/>
              <w:right w:val="single" w:sz="4" w:space="0" w:color="auto"/>
            </w:tcBorders>
            <w:shd w:val="clear" w:color="000000" w:fill="FFFFFF"/>
            <w:noWrap/>
            <w:vAlign w:val="bottom"/>
            <w:hideMark/>
          </w:tcPr>
          <w:p w14:paraId="1CF8AAC6"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2:110123943</w:t>
            </w:r>
          </w:p>
        </w:tc>
        <w:tc>
          <w:tcPr>
            <w:tcW w:w="498" w:type="dxa"/>
            <w:tcBorders>
              <w:top w:val="nil"/>
              <w:left w:val="nil"/>
              <w:bottom w:val="single" w:sz="4" w:space="0" w:color="auto"/>
              <w:right w:val="single" w:sz="4" w:space="0" w:color="auto"/>
            </w:tcBorders>
            <w:shd w:val="clear" w:color="000000" w:fill="FFFFFF"/>
            <w:noWrap/>
            <w:vAlign w:val="bottom"/>
            <w:hideMark/>
          </w:tcPr>
          <w:p w14:paraId="0ABC3172"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G</w:t>
            </w:r>
          </w:p>
        </w:tc>
        <w:tc>
          <w:tcPr>
            <w:tcW w:w="498" w:type="dxa"/>
            <w:tcBorders>
              <w:top w:val="nil"/>
              <w:left w:val="nil"/>
              <w:bottom w:val="single" w:sz="4" w:space="0" w:color="auto"/>
              <w:right w:val="single" w:sz="8" w:space="0" w:color="auto"/>
            </w:tcBorders>
            <w:shd w:val="clear" w:color="000000" w:fill="FFFFFF"/>
            <w:noWrap/>
            <w:vAlign w:val="bottom"/>
            <w:hideMark/>
          </w:tcPr>
          <w:p w14:paraId="70C188C6"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A</w:t>
            </w:r>
          </w:p>
        </w:tc>
        <w:tc>
          <w:tcPr>
            <w:tcW w:w="632" w:type="dxa"/>
            <w:tcBorders>
              <w:top w:val="nil"/>
              <w:left w:val="nil"/>
              <w:bottom w:val="single" w:sz="4" w:space="0" w:color="auto"/>
              <w:right w:val="single" w:sz="4" w:space="0" w:color="auto"/>
            </w:tcBorders>
            <w:shd w:val="clear" w:color="000000" w:fill="FFFFFF"/>
            <w:noWrap/>
            <w:vAlign w:val="bottom"/>
            <w:hideMark/>
          </w:tcPr>
          <w:p w14:paraId="4BA91422"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ns</w:t>
            </w:r>
          </w:p>
        </w:tc>
        <w:tc>
          <w:tcPr>
            <w:tcW w:w="850" w:type="dxa"/>
            <w:tcBorders>
              <w:top w:val="nil"/>
              <w:left w:val="nil"/>
              <w:bottom w:val="single" w:sz="4" w:space="0" w:color="auto"/>
              <w:right w:val="single" w:sz="8" w:space="0" w:color="auto"/>
            </w:tcBorders>
            <w:shd w:val="clear" w:color="000000" w:fill="FFFFFF"/>
            <w:noWrap/>
            <w:vAlign w:val="bottom"/>
            <w:hideMark/>
          </w:tcPr>
          <w:p w14:paraId="30762E19"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R684W</w:t>
            </w:r>
          </w:p>
        </w:tc>
        <w:tc>
          <w:tcPr>
            <w:tcW w:w="990" w:type="dxa"/>
            <w:tcBorders>
              <w:top w:val="nil"/>
              <w:left w:val="nil"/>
              <w:bottom w:val="single" w:sz="4" w:space="0" w:color="auto"/>
              <w:right w:val="single" w:sz="4" w:space="0" w:color="auto"/>
            </w:tcBorders>
            <w:shd w:val="clear" w:color="000000" w:fill="FFFFFF"/>
            <w:noWrap/>
            <w:vAlign w:val="bottom"/>
            <w:hideMark/>
          </w:tcPr>
          <w:p w14:paraId="40D35571"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2.79E-05</w:t>
            </w:r>
          </w:p>
        </w:tc>
        <w:tc>
          <w:tcPr>
            <w:tcW w:w="500" w:type="dxa"/>
            <w:tcBorders>
              <w:top w:val="nil"/>
              <w:left w:val="nil"/>
              <w:bottom w:val="single" w:sz="4" w:space="0" w:color="auto"/>
              <w:right w:val="single" w:sz="4" w:space="0" w:color="auto"/>
            </w:tcBorders>
            <w:shd w:val="clear" w:color="000000" w:fill="FFFFFF"/>
            <w:noWrap/>
            <w:vAlign w:val="bottom"/>
            <w:hideMark/>
          </w:tcPr>
          <w:p w14:paraId="06819A29"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27.0</w:t>
            </w:r>
          </w:p>
        </w:tc>
        <w:tc>
          <w:tcPr>
            <w:tcW w:w="534" w:type="dxa"/>
            <w:tcBorders>
              <w:top w:val="nil"/>
              <w:left w:val="nil"/>
              <w:bottom w:val="single" w:sz="4" w:space="0" w:color="auto"/>
              <w:right w:val="single" w:sz="4" w:space="0" w:color="auto"/>
            </w:tcBorders>
            <w:shd w:val="clear" w:color="000000" w:fill="FFFFFF"/>
            <w:noWrap/>
            <w:vAlign w:val="bottom"/>
            <w:hideMark/>
          </w:tcPr>
          <w:p w14:paraId="3503BCA9"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VUS</w:t>
            </w:r>
          </w:p>
        </w:tc>
        <w:tc>
          <w:tcPr>
            <w:tcW w:w="498" w:type="dxa"/>
            <w:tcBorders>
              <w:top w:val="nil"/>
              <w:left w:val="nil"/>
              <w:bottom w:val="single" w:sz="4" w:space="0" w:color="auto"/>
              <w:right w:val="single" w:sz="8" w:space="0" w:color="auto"/>
            </w:tcBorders>
            <w:shd w:val="clear" w:color="000000" w:fill="FFFFFF"/>
            <w:noWrap/>
            <w:vAlign w:val="bottom"/>
            <w:hideMark/>
          </w:tcPr>
          <w:p w14:paraId="6B6967D9"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VUS</w:t>
            </w:r>
          </w:p>
        </w:tc>
        <w:tc>
          <w:tcPr>
            <w:tcW w:w="298" w:type="dxa"/>
            <w:tcBorders>
              <w:top w:val="nil"/>
              <w:left w:val="nil"/>
              <w:bottom w:val="single" w:sz="4" w:space="0" w:color="auto"/>
              <w:right w:val="single" w:sz="4" w:space="0" w:color="auto"/>
            </w:tcBorders>
            <w:shd w:val="clear" w:color="auto" w:fill="auto"/>
            <w:noWrap/>
            <w:vAlign w:val="bottom"/>
            <w:hideMark/>
          </w:tcPr>
          <w:p w14:paraId="45C1E279"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 </w:t>
            </w:r>
          </w:p>
        </w:tc>
        <w:tc>
          <w:tcPr>
            <w:tcW w:w="298" w:type="dxa"/>
            <w:tcBorders>
              <w:top w:val="nil"/>
              <w:left w:val="nil"/>
              <w:bottom w:val="single" w:sz="4" w:space="0" w:color="auto"/>
              <w:right w:val="single" w:sz="4" w:space="0" w:color="auto"/>
            </w:tcBorders>
            <w:shd w:val="clear" w:color="auto" w:fill="auto"/>
            <w:noWrap/>
            <w:vAlign w:val="bottom"/>
            <w:hideMark/>
          </w:tcPr>
          <w:p w14:paraId="3A1A1280"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 </w:t>
            </w:r>
          </w:p>
        </w:tc>
        <w:tc>
          <w:tcPr>
            <w:tcW w:w="298" w:type="dxa"/>
            <w:tcBorders>
              <w:top w:val="nil"/>
              <w:left w:val="nil"/>
              <w:bottom w:val="single" w:sz="4" w:space="0" w:color="auto"/>
              <w:right w:val="single" w:sz="4" w:space="0" w:color="auto"/>
            </w:tcBorders>
            <w:shd w:val="clear" w:color="auto" w:fill="auto"/>
            <w:noWrap/>
            <w:vAlign w:val="bottom"/>
            <w:hideMark/>
          </w:tcPr>
          <w:p w14:paraId="15448A79" w14:textId="77777777" w:rsidR="00AB4AFF" w:rsidRPr="00AB4AFF" w:rsidRDefault="00AB4AFF" w:rsidP="00AB4AFF">
            <w:pPr>
              <w:spacing w:after="0" w:line="240" w:lineRule="auto"/>
              <w:jc w:val="center"/>
              <w:rPr>
                <w:rFonts w:ascii="Calibri" w:eastAsia="Times New Roman" w:hAnsi="Calibri" w:cs="Calibri"/>
                <w:i/>
                <w:iCs/>
                <w:color w:val="000000"/>
                <w:sz w:val="16"/>
                <w:szCs w:val="16"/>
              </w:rPr>
            </w:pPr>
            <w:r w:rsidRPr="00AB4AFF">
              <w:rPr>
                <w:rFonts w:ascii="Calibri" w:eastAsia="Times New Roman" w:hAnsi="Calibri" w:cs="Calibri"/>
                <w:i/>
                <w:iCs/>
                <w:color w:val="000000"/>
                <w:sz w:val="16"/>
                <w:szCs w:val="16"/>
              </w:rPr>
              <w:t> </w:t>
            </w:r>
          </w:p>
        </w:tc>
        <w:tc>
          <w:tcPr>
            <w:tcW w:w="298" w:type="dxa"/>
            <w:tcBorders>
              <w:top w:val="nil"/>
              <w:left w:val="nil"/>
              <w:bottom w:val="single" w:sz="4" w:space="0" w:color="auto"/>
              <w:right w:val="single" w:sz="4" w:space="0" w:color="auto"/>
            </w:tcBorders>
            <w:shd w:val="clear" w:color="000000" w:fill="9BC2E6"/>
            <w:noWrap/>
            <w:vAlign w:val="bottom"/>
            <w:hideMark/>
          </w:tcPr>
          <w:p w14:paraId="018112DC" w14:textId="77777777" w:rsidR="00AB4AFF" w:rsidRPr="00AB4AFF" w:rsidRDefault="00AB4AFF" w:rsidP="00AB4AFF">
            <w:pPr>
              <w:spacing w:after="0" w:line="240" w:lineRule="auto"/>
              <w:jc w:val="center"/>
              <w:rPr>
                <w:rFonts w:ascii="Calibri" w:eastAsia="Times New Roman" w:hAnsi="Calibri" w:cs="Calibri"/>
                <w:i/>
                <w:iCs/>
                <w:color w:val="000000"/>
                <w:sz w:val="16"/>
                <w:szCs w:val="16"/>
              </w:rPr>
            </w:pPr>
            <w:r w:rsidRPr="00AB4AFF">
              <w:rPr>
                <w:rFonts w:ascii="Calibri" w:eastAsia="Times New Roman" w:hAnsi="Calibri" w:cs="Calibri"/>
                <w:i/>
                <w:iCs/>
                <w:color w:val="000000"/>
                <w:sz w:val="16"/>
                <w:szCs w:val="16"/>
              </w:rPr>
              <w:t>t</w:t>
            </w:r>
          </w:p>
        </w:tc>
        <w:tc>
          <w:tcPr>
            <w:tcW w:w="298" w:type="dxa"/>
            <w:tcBorders>
              <w:top w:val="nil"/>
              <w:left w:val="nil"/>
              <w:bottom w:val="single" w:sz="4" w:space="0" w:color="auto"/>
              <w:right w:val="single" w:sz="4" w:space="0" w:color="auto"/>
            </w:tcBorders>
            <w:shd w:val="clear" w:color="000000" w:fill="9BC2E6"/>
            <w:noWrap/>
            <w:vAlign w:val="bottom"/>
            <w:hideMark/>
          </w:tcPr>
          <w:p w14:paraId="4FBD3FAA" w14:textId="77777777" w:rsidR="00AB4AFF" w:rsidRPr="00AB4AFF" w:rsidRDefault="00AB4AFF" w:rsidP="00AB4AFF">
            <w:pPr>
              <w:spacing w:after="0" w:line="240" w:lineRule="auto"/>
              <w:jc w:val="center"/>
              <w:rPr>
                <w:rFonts w:ascii="Calibri" w:eastAsia="Times New Roman" w:hAnsi="Calibri" w:cs="Calibri"/>
                <w:i/>
                <w:iCs/>
                <w:color w:val="000000"/>
                <w:sz w:val="16"/>
                <w:szCs w:val="16"/>
              </w:rPr>
            </w:pPr>
            <w:r w:rsidRPr="00AB4AFF">
              <w:rPr>
                <w:rFonts w:ascii="Calibri" w:eastAsia="Times New Roman" w:hAnsi="Calibri" w:cs="Calibri"/>
                <w:i/>
                <w:iCs/>
                <w:color w:val="000000"/>
                <w:sz w:val="16"/>
                <w:szCs w:val="16"/>
              </w:rPr>
              <w:t>t</w:t>
            </w:r>
          </w:p>
        </w:tc>
        <w:tc>
          <w:tcPr>
            <w:tcW w:w="298" w:type="dxa"/>
            <w:tcBorders>
              <w:top w:val="nil"/>
              <w:left w:val="nil"/>
              <w:bottom w:val="single" w:sz="4" w:space="0" w:color="auto"/>
              <w:right w:val="single" w:sz="4" w:space="0" w:color="auto"/>
            </w:tcBorders>
            <w:shd w:val="clear" w:color="auto" w:fill="auto"/>
            <w:noWrap/>
            <w:vAlign w:val="bottom"/>
            <w:hideMark/>
          </w:tcPr>
          <w:p w14:paraId="2A402A03" w14:textId="77777777" w:rsidR="00AB4AFF" w:rsidRPr="00AB4AFF" w:rsidRDefault="00AB4AFF" w:rsidP="00AB4AFF">
            <w:pPr>
              <w:spacing w:after="0" w:line="240" w:lineRule="auto"/>
              <w:jc w:val="center"/>
              <w:rPr>
                <w:rFonts w:ascii="Calibri" w:eastAsia="Times New Roman" w:hAnsi="Calibri" w:cs="Calibri"/>
                <w:i/>
                <w:iCs/>
                <w:color w:val="000000"/>
                <w:sz w:val="16"/>
                <w:szCs w:val="16"/>
              </w:rPr>
            </w:pPr>
            <w:r w:rsidRPr="00AB4AFF">
              <w:rPr>
                <w:rFonts w:ascii="Calibri" w:eastAsia="Times New Roman" w:hAnsi="Calibri" w:cs="Calibri"/>
                <w:i/>
                <w:iCs/>
                <w:color w:val="000000"/>
                <w:sz w:val="16"/>
                <w:szCs w:val="16"/>
              </w:rPr>
              <w:t> </w:t>
            </w:r>
          </w:p>
        </w:tc>
        <w:tc>
          <w:tcPr>
            <w:tcW w:w="298" w:type="dxa"/>
            <w:tcBorders>
              <w:top w:val="nil"/>
              <w:left w:val="nil"/>
              <w:bottom w:val="single" w:sz="4" w:space="0" w:color="auto"/>
              <w:right w:val="single" w:sz="4" w:space="0" w:color="auto"/>
            </w:tcBorders>
            <w:shd w:val="clear" w:color="auto" w:fill="auto"/>
            <w:noWrap/>
            <w:vAlign w:val="bottom"/>
            <w:hideMark/>
          </w:tcPr>
          <w:p w14:paraId="7A987E71" w14:textId="77777777" w:rsidR="00AB4AFF" w:rsidRPr="00AB4AFF" w:rsidRDefault="00AB4AFF" w:rsidP="00AB4AFF">
            <w:pPr>
              <w:spacing w:after="0" w:line="240" w:lineRule="auto"/>
              <w:jc w:val="center"/>
              <w:rPr>
                <w:rFonts w:ascii="Calibri" w:eastAsia="Times New Roman" w:hAnsi="Calibri" w:cs="Calibri"/>
                <w:i/>
                <w:iCs/>
                <w:color w:val="000000"/>
                <w:sz w:val="16"/>
                <w:szCs w:val="16"/>
              </w:rPr>
            </w:pPr>
            <w:r w:rsidRPr="00AB4AFF">
              <w:rPr>
                <w:rFonts w:ascii="Calibri" w:eastAsia="Times New Roman" w:hAnsi="Calibri" w:cs="Calibri"/>
                <w:i/>
                <w:iCs/>
                <w:color w:val="000000"/>
                <w:sz w:val="16"/>
                <w:szCs w:val="16"/>
              </w:rPr>
              <w:t> </w:t>
            </w:r>
          </w:p>
        </w:tc>
        <w:tc>
          <w:tcPr>
            <w:tcW w:w="298" w:type="dxa"/>
            <w:tcBorders>
              <w:top w:val="nil"/>
              <w:left w:val="nil"/>
              <w:bottom w:val="single" w:sz="4" w:space="0" w:color="auto"/>
              <w:right w:val="single" w:sz="4" w:space="0" w:color="auto"/>
            </w:tcBorders>
            <w:shd w:val="clear" w:color="auto" w:fill="auto"/>
            <w:noWrap/>
            <w:vAlign w:val="bottom"/>
            <w:hideMark/>
          </w:tcPr>
          <w:p w14:paraId="4737AE96" w14:textId="77777777" w:rsidR="00AB4AFF" w:rsidRPr="00AB4AFF" w:rsidRDefault="00AB4AFF" w:rsidP="00AB4AFF">
            <w:pPr>
              <w:spacing w:after="0" w:line="240" w:lineRule="auto"/>
              <w:jc w:val="center"/>
              <w:rPr>
                <w:rFonts w:ascii="Calibri" w:eastAsia="Times New Roman" w:hAnsi="Calibri" w:cs="Calibri"/>
                <w:i/>
                <w:iCs/>
                <w:color w:val="000000"/>
                <w:sz w:val="16"/>
                <w:szCs w:val="16"/>
              </w:rPr>
            </w:pPr>
            <w:r w:rsidRPr="00AB4AFF">
              <w:rPr>
                <w:rFonts w:ascii="Calibri" w:eastAsia="Times New Roman" w:hAnsi="Calibri" w:cs="Calibri"/>
                <w:i/>
                <w:iCs/>
                <w:color w:val="000000"/>
                <w:sz w:val="16"/>
                <w:szCs w:val="16"/>
              </w:rPr>
              <w:t> </w:t>
            </w:r>
          </w:p>
        </w:tc>
        <w:tc>
          <w:tcPr>
            <w:tcW w:w="379" w:type="dxa"/>
            <w:tcBorders>
              <w:top w:val="nil"/>
              <w:left w:val="nil"/>
              <w:bottom w:val="single" w:sz="4" w:space="0" w:color="auto"/>
              <w:right w:val="single" w:sz="4" w:space="0" w:color="auto"/>
            </w:tcBorders>
            <w:shd w:val="clear" w:color="auto" w:fill="auto"/>
            <w:noWrap/>
            <w:vAlign w:val="bottom"/>
            <w:hideMark/>
          </w:tcPr>
          <w:p w14:paraId="3E317BF2" w14:textId="77777777" w:rsidR="00AB4AFF" w:rsidRPr="00AB4AFF" w:rsidRDefault="00AB4AFF" w:rsidP="00AB4AFF">
            <w:pPr>
              <w:spacing w:after="0" w:line="240" w:lineRule="auto"/>
              <w:jc w:val="center"/>
              <w:rPr>
                <w:rFonts w:ascii="Calibri" w:eastAsia="Times New Roman" w:hAnsi="Calibri" w:cs="Calibri"/>
                <w:i/>
                <w:iCs/>
                <w:color w:val="000000"/>
                <w:sz w:val="16"/>
                <w:szCs w:val="16"/>
              </w:rPr>
            </w:pPr>
            <w:r w:rsidRPr="00AB4AFF">
              <w:rPr>
                <w:rFonts w:ascii="Calibri" w:eastAsia="Times New Roman" w:hAnsi="Calibri" w:cs="Calibri"/>
                <w:i/>
                <w:iCs/>
                <w:color w:val="000000"/>
                <w:sz w:val="16"/>
                <w:szCs w:val="16"/>
              </w:rPr>
              <w:t> </w:t>
            </w:r>
          </w:p>
        </w:tc>
        <w:tc>
          <w:tcPr>
            <w:tcW w:w="379" w:type="dxa"/>
            <w:tcBorders>
              <w:top w:val="nil"/>
              <w:left w:val="nil"/>
              <w:bottom w:val="single" w:sz="4" w:space="0" w:color="auto"/>
              <w:right w:val="single" w:sz="4" w:space="0" w:color="auto"/>
            </w:tcBorders>
            <w:shd w:val="clear" w:color="auto" w:fill="auto"/>
            <w:noWrap/>
            <w:vAlign w:val="bottom"/>
            <w:hideMark/>
          </w:tcPr>
          <w:p w14:paraId="0B6CC963" w14:textId="77777777" w:rsidR="00AB4AFF" w:rsidRPr="00AB4AFF" w:rsidRDefault="00AB4AFF" w:rsidP="00AB4AFF">
            <w:pPr>
              <w:spacing w:after="0" w:line="240" w:lineRule="auto"/>
              <w:jc w:val="center"/>
              <w:rPr>
                <w:rFonts w:ascii="Calibri" w:eastAsia="Times New Roman" w:hAnsi="Calibri" w:cs="Calibri"/>
                <w:i/>
                <w:iCs/>
                <w:color w:val="000000"/>
                <w:sz w:val="16"/>
                <w:szCs w:val="16"/>
              </w:rPr>
            </w:pPr>
            <w:r w:rsidRPr="00AB4AFF">
              <w:rPr>
                <w:rFonts w:ascii="Calibri" w:eastAsia="Times New Roman" w:hAnsi="Calibri" w:cs="Calibri"/>
                <w:i/>
                <w:iCs/>
                <w:color w:val="000000"/>
                <w:sz w:val="16"/>
                <w:szCs w:val="16"/>
              </w:rPr>
              <w:t> </w:t>
            </w:r>
          </w:p>
        </w:tc>
        <w:tc>
          <w:tcPr>
            <w:tcW w:w="379" w:type="dxa"/>
            <w:tcBorders>
              <w:top w:val="nil"/>
              <w:left w:val="nil"/>
              <w:bottom w:val="single" w:sz="4" w:space="0" w:color="auto"/>
              <w:right w:val="single" w:sz="4" w:space="0" w:color="auto"/>
            </w:tcBorders>
            <w:shd w:val="clear" w:color="auto" w:fill="auto"/>
            <w:noWrap/>
            <w:vAlign w:val="bottom"/>
            <w:hideMark/>
          </w:tcPr>
          <w:p w14:paraId="67767F9A"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 </w:t>
            </w:r>
          </w:p>
        </w:tc>
        <w:tc>
          <w:tcPr>
            <w:tcW w:w="379" w:type="dxa"/>
            <w:tcBorders>
              <w:top w:val="nil"/>
              <w:left w:val="nil"/>
              <w:bottom w:val="single" w:sz="4" w:space="0" w:color="auto"/>
              <w:right w:val="single" w:sz="4" w:space="0" w:color="auto"/>
            </w:tcBorders>
            <w:shd w:val="clear" w:color="auto" w:fill="auto"/>
            <w:noWrap/>
            <w:vAlign w:val="bottom"/>
            <w:hideMark/>
          </w:tcPr>
          <w:p w14:paraId="480A3054"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 </w:t>
            </w:r>
          </w:p>
        </w:tc>
        <w:tc>
          <w:tcPr>
            <w:tcW w:w="379" w:type="dxa"/>
            <w:tcBorders>
              <w:top w:val="nil"/>
              <w:left w:val="nil"/>
              <w:bottom w:val="single" w:sz="4" w:space="0" w:color="auto"/>
              <w:right w:val="single" w:sz="4" w:space="0" w:color="auto"/>
            </w:tcBorders>
            <w:shd w:val="clear" w:color="auto" w:fill="auto"/>
            <w:noWrap/>
            <w:vAlign w:val="bottom"/>
            <w:hideMark/>
          </w:tcPr>
          <w:p w14:paraId="49ECEA3F"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 </w:t>
            </w:r>
          </w:p>
        </w:tc>
        <w:tc>
          <w:tcPr>
            <w:tcW w:w="379" w:type="dxa"/>
            <w:tcBorders>
              <w:top w:val="nil"/>
              <w:left w:val="nil"/>
              <w:bottom w:val="single" w:sz="4" w:space="0" w:color="auto"/>
              <w:right w:val="single" w:sz="4" w:space="0" w:color="auto"/>
            </w:tcBorders>
            <w:shd w:val="clear" w:color="auto" w:fill="auto"/>
            <w:noWrap/>
            <w:vAlign w:val="bottom"/>
            <w:hideMark/>
          </w:tcPr>
          <w:p w14:paraId="20E343A9"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 </w:t>
            </w:r>
          </w:p>
        </w:tc>
        <w:tc>
          <w:tcPr>
            <w:tcW w:w="379" w:type="dxa"/>
            <w:tcBorders>
              <w:top w:val="nil"/>
              <w:left w:val="nil"/>
              <w:bottom w:val="single" w:sz="4" w:space="0" w:color="auto"/>
              <w:right w:val="single" w:sz="4" w:space="0" w:color="auto"/>
            </w:tcBorders>
            <w:shd w:val="clear" w:color="auto" w:fill="auto"/>
            <w:noWrap/>
            <w:vAlign w:val="bottom"/>
            <w:hideMark/>
          </w:tcPr>
          <w:p w14:paraId="49A77CE4"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 </w:t>
            </w:r>
          </w:p>
        </w:tc>
        <w:tc>
          <w:tcPr>
            <w:tcW w:w="379" w:type="dxa"/>
            <w:tcBorders>
              <w:top w:val="nil"/>
              <w:left w:val="nil"/>
              <w:bottom w:val="single" w:sz="4" w:space="0" w:color="auto"/>
              <w:right w:val="single" w:sz="4" w:space="0" w:color="auto"/>
            </w:tcBorders>
            <w:shd w:val="clear" w:color="auto" w:fill="auto"/>
            <w:noWrap/>
            <w:vAlign w:val="bottom"/>
            <w:hideMark/>
          </w:tcPr>
          <w:p w14:paraId="396F1025"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 </w:t>
            </w:r>
          </w:p>
        </w:tc>
        <w:tc>
          <w:tcPr>
            <w:tcW w:w="379" w:type="dxa"/>
            <w:tcBorders>
              <w:top w:val="nil"/>
              <w:left w:val="nil"/>
              <w:bottom w:val="single" w:sz="4" w:space="0" w:color="auto"/>
              <w:right w:val="single" w:sz="4" w:space="0" w:color="auto"/>
            </w:tcBorders>
            <w:shd w:val="clear" w:color="auto" w:fill="auto"/>
            <w:noWrap/>
            <w:vAlign w:val="bottom"/>
            <w:hideMark/>
          </w:tcPr>
          <w:p w14:paraId="74CB22B2"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 </w:t>
            </w:r>
          </w:p>
        </w:tc>
        <w:tc>
          <w:tcPr>
            <w:tcW w:w="379" w:type="dxa"/>
            <w:tcBorders>
              <w:top w:val="nil"/>
              <w:left w:val="nil"/>
              <w:bottom w:val="single" w:sz="4" w:space="0" w:color="auto"/>
              <w:right w:val="single" w:sz="4" w:space="0" w:color="auto"/>
            </w:tcBorders>
            <w:shd w:val="clear" w:color="auto" w:fill="auto"/>
            <w:noWrap/>
            <w:vAlign w:val="bottom"/>
            <w:hideMark/>
          </w:tcPr>
          <w:p w14:paraId="2FFEFCE7"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 </w:t>
            </w:r>
          </w:p>
        </w:tc>
        <w:tc>
          <w:tcPr>
            <w:tcW w:w="379" w:type="dxa"/>
            <w:tcBorders>
              <w:top w:val="nil"/>
              <w:left w:val="nil"/>
              <w:bottom w:val="single" w:sz="4" w:space="0" w:color="auto"/>
              <w:right w:val="single" w:sz="4" w:space="0" w:color="auto"/>
            </w:tcBorders>
            <w:shd w:val="clear" w:color="auto" w:fill="auto"/>
            <w:noWrap/>
            <w:vAlign w:val="bottom"/>
            <w:hideMark/>
          </w:tcPr>
          <w:p w14:paraId="6438F5AB"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 </w:t>
            </w:r>
          </w:p>
        </w:tc>
        <w:tc>
          <w:tcPr>
            <w:tcW w:w="379" w:type="dxa"/>
            <w:tcBorders>
              <w:top w:val="nil"/>
              <w:left w:val="nil"/>
              <w:bottom w:val="single" w:sz="4" w:space="0" w:color="auto"/>
              <w:right w:val="single" w:sz="4" w:space="0" w:color="auto"/>
            </w:tcBorders>
            <w:shd w:val="clear" w:color="auto" w:fill="auto"/>
            <w:noWrap/>
            <w:vAlign w:val="bottom"/>
            <w:hideMark/>
          </w:tcPr>
          <w:p w14:paraId="78359375"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 </w:t>
            </w:r>
          </w:p>
        </w:tc>
        <w:tc>
          <w:tcPr>
            <w:tcW w:w="379" w:type="dxa"/>
            <w:tcBorders>
              <w:top w:val="nil"/>
              <w:left w:val="nil"/>
              <w:bottom w:val="single" w:sz="4" w:space="0" w:color="auto"/>
              <w:right w:val="single" w:sz="4" w:space="0" w:color="auto"/>
            </w:tcBorders>
            <w:shd w:val="clear" w:color="auto" w:fill="auto"/>
            <w:noWrap/>
            <w:vAlign w:val="bottom"/>
            <w:hideMark/>
          </w:tcPr>
          <w:p w14:paraId="3A66F6C0"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 </w:t>
            </w:r>
          </w:p>
        </w:tc>
        <w:tc>
          <w:tcPr>
            <w:tcW w:w="379" w:type="dxa"/>
            <w:tcBorders>
              <w:top w:val="nil"/>
              <w:left w:val="nil"/>
              <w:bottom w:val="single" w:sz="4" w:space="0" w:color="auto"/>
              <w:right w:val="single" w:sz="4" w:space="0" w:color="auto"/>
            </w:tcBorders>
            <w:shd w:val="clear" w:color="auto" w:fill="auto"/>
            <w:noWrap/>
            <w:vAlign w:val="bottom"/>
            <w:hideMark/>
          </w:tcPr>
          <w:p w14:paraId="1B14F859"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 </w:t>
            </w:r>
          </w:p>
        </w:tc>
        <w:tc>
          <w:tcPr>
            <w:tcW w:w="379" w:type="dxa"/>
            <w:tcBorders>
              <w:top w:val="nil"/>
              <w:left w:val="nil"/>
              <w:bottom w:val="single" w:sz="4" w:space="0" w:color="auto"/>
              <w:right w:val="single" w:sz="4" w:space="0" w:color="auto"/>
            </w:tcBorders>
            <w:shd w:val="clear" w:color="auto" w:fill="auto"/>
            <w:noWrap/>
            <w:vAlign w:val="bottom"/>
            <w:hideMark/>
          </w:tcPr>
          <w:p w14:paraId="0E882495"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 </w:t>
            </w:r>
          </w:p>
        </w:tc>
        <w:tc>
          <w:tcPr>
            <w:tcW w:w="379" w:type="dxa"/>
            <w:tcBorders>
              <w:top w:val="nil"/>
              <w:left w:val="nil"/>
              <w:bottom w:val="single" w:sz="4" w:space="0" w:color="auto"/>
              <w:right w:val="single" w:sz="4" w:space="0" w:color="auto"/>
            </w:tcBorders>
            <w:shd w:val="clear" w:color="auto" w:fill="auto"/>
            <w:noWrap/>
            <w:vAlign w:val="bottom"/>
            <w:hideMark/>
          </w:tcPr>
          <w:p w14:paraId="17F02F17"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 </w:t>
            </w:r>
          </w:p>
        </w:tc>
        <w:tc>
          <w:tcPr>
            <w:tcW w:w="379" w:type="dxa"/>
            <w:tcBorders>
              <w:top w:val="nil"/>
              <w:left w:val="nil"/>
              <w:bottom w:val="single" w:sz="4" w:space="0" w:color="auto"/>
              <w:right w:val="single" w:sz="4" w:space="0" w:color="auto"/>
            </w:tcBorders>
            <w:shd w:val="clear" w:color="auto" w:fill="auto"/>
            <w:noWrap/>
            <w:vAlign w:val="bottom"/>
            <w:hideMark/>
          </w:tcPr>
          <w:p w14:paraId="744B395A"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 </w:t>
            </w:r>
          </w:p>
        </w:tc>
        <w:tc>
          <w:tcPr>
            <w:tcW w:w="379" w:type="dxa"/>
            <w:tcBorders>
              <w:top w:val="nil"/>
              <w:left w:val="nil"/>
              <w:bottom w:val="single" w:sz="4" w:space="0" w:color="auto"/>
              <w:right w:val="single" w:sz="8" w:space="0" w:color="auto"/>
            </w:tcBorders>
            <w:shd w:val="clear" w:color="auto" w:fill="auto"/>
            <w:noWrap/>
            <w:vAlign w:val="bottom"/>
            <w:hideMark/>
          </w:tcPr>
          <w:p w14:paraId="04E43426"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 </w:t>
            </w:r>
          </w:p>
        </w:tc>
      </w:tr>
      <w:tr w:rsidR="00AB4AFF" w:rsidRPr="00AB4AFF" w14:paraId="1F6B116F" w14:textId="77777777" w:rsidTr="008C0F8B">
        <w:trPr>
          <w:trHeight w:val="290"/>
        </w:trPr>
        <w:tc>
          <w:tcPr>
            <w:tcW w:w="1070" w:type="dxa"/>
            <w:tcBorders>
              <w:top w:val="nil"/>
              <w:left w:val="single" w:sz="8" w:space="0" w:color="auto"/>
              <w:bottom w:val="single" w:sz="4" w:space="0" w:color="auto"/>
              <w:right w:val="single" w:sz="4" w:space="0" w:color="auto"/>
            </w:tcBorders>
            <w:shd w:val="clear" w:color="000000" w:fill="FFFFFF"/>
            <w:noWrap/>
            <w:vAlign w:val="bottom"/>
            <w:hideMark/>
          </w:tcPr>
          <w:p w14:paraId="4AB3D10D"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2:110123988</w:t>
            </w:r>
          </w:p>
        </w:tc>
        <w:tc>
          <w:tcPr>
            <w:tcW w:w="498" w:type="dxa"/>
            <w:tcBorders>
              <w:top w:val="nil"/>
              <w:left w:val="nil"/>
              <w:bottom w:val="single" w:sz="4" w:space="0" w:color="auto"/>
              <w:right w:val="single" w:sz="4" w:space="0" w:color="auto"/>
            </w:tcBorders>
            <w:shd w:val="clear" w:color="000000" w:fill="FFFFFF"/>
            <w:noWrap/>
            <w:vAlign w:val="bottom"/>
            <w:hideMark/>
          </w:tcPr>
          <w:p w14:paraId="6F67B510"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G</w:t>
            </w:r>
          </w:p>
        </w:tc>
        <w:tc>
          <w:tcPr>
            <w:tcW w:w="498" w:type="dxa"/>
            <w:tcBorders>
              <w:top w:val="nil"/>
              <w:left w:val="nil"/>
              <w:bottom w:val="single" w:sz="4" w:space="0" w:color="auto"/>
              <w:right w:val="single" w:sz="8" w:space="0" w:color="auto"/>
            </w:tcBorders>
            <w:shd w:val="clear" w:color="000000" w:fill="FFFFFF"/>
            <w:noWrap/>
            <w:vAlign w:val="bottom"/>
            <w:hideMark/>
          </w:tcPr>
          <w:p w14:paraId="789A22BE"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A</w:t>
            </w:r>
          </w:p>
        </w:tc>
        <w:tc>
          <w:tcPr>
            <w:tcW w:w="632" w:type="dxa"/>
            <w:tcBorders>
              <w:top w:val="nil"/>
              <w:left w:val="nil"/>
              <w:bottom w:val="single" w:sz="4" w:space="0" w:color="auto"/>
              <w:right w:val="single" w:sz="4" w:space="0" w:color="auto"/>
            </w:tcBorders>
            <w:shd w:val="clear" w:color="000000" w:fill="FFFFFF"/>
            <w:noWrap/>
            <w:vAlign w:val="bottom"/>
            <w:hideMark/>
          </w:tcPr>
          <w:p w14:paraId="4C33BDA5"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ns</w:t>
            </w:r>
          </w:p>
        </w:tc>
        <w:tc>
          <w:tcPr>
            <w:tcW w:w="850" w:type="dxa"/>
            <w:tcBorders>
              <w:top w:val="nil"/>
              <w:left w:val="nil"/>
              <w:bottom w:val="single" w:sz="4" w:space="0" w:color="auto"/>
              <w:right w:val="single" w:sz="8" w:space="0" w:color="auto"/>
            </w:tcBorders>
            <w:shd w:val="clear" w:color="000000" w:fill="FFFFFF"/>
            <w:noWrap/>
            <w:vAlign w:val="bottom"/>
            <w:hideMark/>
          </w:tcPr>
          <w:p w14:paraId="77FF4F0F"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R669C</w:t>
            </w:r>
          </w:p>
        </w:tc>
        <w:tc>
          <w:tcPr>
            <w:tcW w:w="990" w:type="dxa"/>
            <w:tcBorders>
              <w:top w:val="nil"/>
              <w:left w:val="nil"/>
              <w:bottom w:val="single" w:sz="4" w:space="0" w:color="auto"/>
              <w:right w:val="single" w:sz="4" w:space="0" w:color="auto"/>
            </w:tcBorders>
            <w:shd w:val="clear" w:color="000000" w:fill="FFFFFF"/>
            <w:noWrap/>
            <w:vAlign w:val="bottom"/>
            <w:hideMark/>
          </w:tcPr>
          <w:p w14:paraId="1888F6C6"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1.40E-05</w:t>
            </w:r>
          </w:p>
        </w:tc>
        <w:tc>
          <w:tcPr>
            <w:tcW w:w="500" w:type="dxa"/>
            <w:tcBorders>
              <w:top w:val="nil"/>
              <w:left w:val="nil"/>
              <w:bottom w:val="single" w:sz="4" w:space="0" w:color="auto"/>
              <w:right w:val="single" w:sz="4" w:space="0" w:color="auto"/>
            </w:tcBorders>
            <w:shd w:val="clear" w:color="000000" w:fill="FFFFFF"/>
            <w:noWrap/>
            <w:vAlign w:val="bottom"/>
            <w:hideMark/>
          </w:tcPr>
          <w:p w14:paraId="596FDB60"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20.9</w:t>
            </w:r>
          </w:p>
        </w:tc>
        <w:tc>
          <w:tcPr>
            <w:tcW w:w="534" w:type="dxa"/>
            <w:tcBorders>
              <w:top w:val="nil"/>
              <w:left w:val="nil"/>
              <w:bottom w:val="single" w:sz="4" w:space="0" w:color="auto"/>
              <w:right w:val="single" w:sz="4" w:space="0" w:color="auto"/>
            </w:tcBorders>
            <w:shd w:val="clear" w:color="000000" w:fill="FFFFFF"/>
            <w:noWrap/>
            <w:vAlign w:val="bottom"/>
            <w:hideMark/>
          </w:tcPr>
          <w:p w14:paraId="333FDCB9"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VUS</w:t>
            </w:r>
          </w:p>
        </w:tc>
        <w:tc>
          <w:tcPr>
            <w:tcW w:w="498" w:type="dxa"/>
            <w:tcBorders>
              <w:top w:val="nil"/>
              <w:left w:val="nil"/>
              <w:bottom w:val="single" w:sz="4" w:space="0" w:color="auto"/>
              <w:right w:val="single" w:sz="8" w:space="0" w:color="auto"/>
            </w:tcBorders>
            <w:shd w:val="clear" w:color="000000" w:fill="FFFFFF"/>
            <w:noWrap/>
            <w:vAlign w:val="bottom"/>
            <w:hideMark/>
          </w:tcPr>
          <w:p w14:paraId="34037FCC"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VUS</w:t>
            </w:r>
          </w:p>
        </w:tc>
        <w:tc>
          <w:tcPr>
            <w:tcW w:w="298" w:type="dxa"/>
            <w:tcBorders>
              <w:top w:val="nil"/>
              <w:left w:val="nil"/>
              <w:bottom w:val="single" w:sz="4" w:space="0" w:color="auto"/>
              <w:right w:val="single" w:sz="4" w:space="0" w:color="auto"/>
            </w:tcBorders>
            <w:shd w:val="clear" w:color="auto" w:fill="auto"/>
            <w:noWrap/>
            <w:vAlign w:val="bottom"/>
            <w:hideMark/>
          </w:tcPr>
          <w:p w14:paraId="054A7FBE"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 </w:t>
            </w:r>
          </w:p>
        </w:tc>
        <w:tc>
          <w:tcPr>
            <w:tcW w:w="298" w:type="dxa"/>
            <w:tcBorders>
              <w:top w:val="nil"/>
              <w:left w:val="nil"/>
              <w:bottom w:val="single" w:sz="4" w:space="0" w:color="auto"/>
              <w:right w:val="single" w:sz="4" w:space="0" w:color="auto"/>
            </w:tcBorders>
            <w:shd w:val="clear" w:color="auto" w:fill="auto"/>
            <w:noWrap/>
            <w:vAlign w:val="bottom"/>
            <w:hideMark/>
          </w:tcPr>
          <w:p w14:paraId="16134C35"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 </w:t>
            </w:r>
          </w:p>
        </w:tc>
        <w:tc>
          <w:tcPr>
            <w:tcW w:w="298" w:type="dxa"/>
            <w:tcBorders>
              <w:top w:val="nil"/>
              <w:left w:val="nil"/>
              <w:bottom w:val="single" w:sz="4" w:space="0" w:color="auto"/>
              <w:right w:val="single" w:sz="4" w:space="0" w:color="auto"/>
            </w:tcBorders>
            <w:shd w:val="clear" w:color="auto" w:fill="auto"/>
            <w:noWrap/>
            <w:vAlign w:val="bottom"/>
            <w:hideMark/>
          </w:tcPr>
          <w:p w14:paraId="7D5F38DC" w14:textId="77777777" w:rsidR="00AB4AFF" w:rsidRPr="00AB4AFF" w:rsidRDefault="00AB4AFF" w:rsidP="00AB4AFF">
            <w:pPr>
              <w:spacing w:after="0" w:line="240" w:lineRule="auto"/>
              <w:jc w:val="center"/>
              <w:rPr>
                <w:rFonts w:ascii="Calibri" w:eastAsia="Times New Roman" w:hAnsi="Calibri" w:cs="Calibri"/>
                <w:i/>
                <w:iCs/>
                <w:color w:val="000000"/>
                <w:sz w:val="16"/>
                <w:szCs w:val="16"/>
              </w:rPr>
            </w:pPr>
            <w:r w:rsidRPr="00AB4AFF">
              <w:rPr>
                <w:rFonts w:ascii="Calibri" w:eastAsia="Times New Roman" w:hAnsi="Calibri" w:cs="Calibri"/>
                <w:i/>
                <w:iCs/>
                <w:color w:val="000000"/>
                <w:sz w:val="16"/>
                <w:szCs w:val="16"/>
              </w:rPr>
              <w:t> </w:t>
            </w:r>
          </w:p>
        </w:tc>
        <w:tc>
          <w:tcPr>
            <w:tcW w:w="298" w:type="dxa"/>
            <w:tcBorders>
              <w:top w:val="nil"/>
              <w:left w:val="nil"/>
              <w:bottom w:val="single" w:sz="4" w:space="0" w:color="auto"/>
              <w:right w:val="single" w:sz="4" w:space="0" w:color="auto"/>
            </w:tcBorders>
            <w:shd w:val="clear" w:color="auto" w:fill="auto"/>
            <w:noWrap/>
            <w:vAlign w:val="bottom"/>
            <w:hideMark/>
          </w:tcPr>
          <w:p w14:paraId="4915452F" w14:textId="77777777" w:rsidR="00AB4AFF" w:rsidRPr="00AB4AFF" w:rsidRDefault="00AB4AFF" w:rsidP="00AB4AFF">
            <w:pPr>
              <w:spacing w:after="0" w:line="240" w:lineRule="auto"/>
              <w:jc w:val="center"/>
              <w:rPr>
                <w:rFonts w:ascii="Calibri" w:eastAsia="Times New Roman" w:hAnsi="Calibri" w:cs="Calibri"/>
                <w:i/>
                <w:iCs/>
                <w:color w:val="000000"/>
                <w:sz w:val="16"/>
                <w:szCs w:val="16"/>
              </w:rPr>
            </w:pPr>
            <w:r w:rsidRPr="00AB4AFF">
              <w:rPr>
                <w:rFonts w:ascii="Calibri" w:eastAsia="Times New Roman" w:hAnsi="Calibri" w:cs="Calibri"/>
                <w:i/>
                <w:iCs/>
                <w:color w:val="000000"/>
                <w:sz w:val="16"/>
                <w:szCs w:val="16"/>
              </w:rPr>
              <w:t> </w:t>
            </w:r>
          </w:p>
        </w:tc>
        <w:tc>
          <w:tcPr>
            <w:tcW w:w="298" w:type="dxa"/>
            <w:tcBorders>
              <w:top w:val="nil"/>
              <w:left w:val="nil"/>
              <w:bottom w:val="single" w:sz="4" w:space="0" w:color="auto"/>
              <w:right w:val="single" w:sz="4" w:space="0" w:color="auto"/>
            </w:tcBorders>
            <w:shd w:val="clear" w:color="auto" w:fill="auto"/>
            <w:noWrap/>
            <w:vAlign w:val="bottom"/>
            <w:hideMark/>
          </w:tcPr>
          <w:p w14:paraId="500C0041" w14:textId="77777777" w:rsidR="00AB4AFF" w:rsidRPr="00AB4AFF" w:rsidRDefault="00AB4AFF" w:rsidP="00AB4AFF">
            <w:pPr>
              <w:spacing w:after="0" w:line="240" w:lineRule="auto"/>
              <w:jc w:val="center"/>
              <w:rPr>
                <w:rFonts w:ascii="Calibri" w:eastAsia="Times New Roman" w:hAnsi="Calibri" w:cs="Calibri"/>
                <w:i/>
                <w:iCs/>
                <w:color w:val="000000"/>
                <w:sz w:val="16"/>
                <w:szCs w:val="16"/>
              </w:rPr>
            </w:pPr>
            <w:r w:rsidRPr="00AB4AFF">
              <w:rPr>
                <w:rFonts w:ascii="Calibri" w:eastAsia="Times New Roman" w:hAnsi="Calibri" w:cs="Calibri"/>
                <w:i/>
                <w:iCs/>
                <w:color w:val="000000"/>
                <w:sz w:val="16"/>
                <w:szCs w:val="16"/>
              </w:rPr>
              <w:t> </w:t>
            </w:r>
          </w:p>
        </w:tc>
        <w:tc>
          <w:tcPr>
            <w:tcW w:w="298" w:type="dxa"/>
            <w:tcBorders>
              <w:top w:val="nil"/>
              <w:left w:val="nil"/>
              <w:bottom w:val="single" w:sz="4" w:space="0" w:color="auto"/>
              <w:right w:val="single" w:sz="4" w:space="0" w:color="auto"/>
            </w:tcBorders>
            <w:shd w:val="clear" w:color="auto" w:fill="auto"/>
            <w:noWrap/>
            <w:vAlign w:val="bottom"/>
            <w:hideMark/>
          </w:tcPr>
          <w:p w14:paraId="777291D4" w14:textId="77777777" w:rsidR="00AB4AFF" w:rsidRPr="00AB4AFF" w:rsidRDefault="00AB4AFF" w:rsidP="00AB4AFF">
            <w:pPr>
              <w:spacing w:after="0" w:line="240" w:lineRule="auto"/>
              <w:jc w:val="center"/>
              <w:rPr>
                <w:rFonts w:ascii="Calibri" w:eastAsia="Times New Roman" w:hAnsi="Calibri" w:cs="Calibri"/>
                <w:i/>
                <w:iCs/>
                <w:color w:val="000000"/>
                <w:sz w:val="16"/>
                <w:szCs w:val="16"/>
              </w:rPr>
            </w:pPr>
            <w:r w:rsidRPr="00AB4AFF">
              <w:rPr>
                <w:rFonts w:ascii="Calibri" w:eastAsia="Times New Roman" w:hAnsi="Calibri" w:cs="Calibri"/>
                <w:i/>
                <w:iCs/>
                <w:color w:val="000000"/>
                <w:sz w:val="16"/>
                <w:szCs w:val="16"/>
              </w:rPr>
              <w:t> </w:t>
            </w:r>
          </w:p>
        </w:tc>
        <w:tc>
          <w:tcPr>
            <w:tcW w:w="298" w:type="dxa"/>
            <w:tcBorders>
              <w:top w:val="nil"/>
              <w:left w:val="nil"/>
              <w:bottom w:val="single" w:sz="4" w:space="0" w:color="auto"/>
              <w:right w:val="single" w:sz="4" w:space="0" w:color="auto"/>
            </w:tcBorders>
            <w:shd w:val="clear" w:color="auto" w:fill="auto"/>
            <w:noWrap/>
            <w:vAlign w:val="bottom"/>
            <w:hideMark/>
          </w:tcPr>
          <w:p w14:paraId="01517884" w14:textId="77777777" w:rsidR="00AB4AFF" w:rsidRPr="00AB4AFF" w:rsidRDefault="00AB4AFF" w:rsidP="00AB4AFF">
            <w:pPr>
              <w:spacing w:after="0" w:line="240" w:lineRule="auto"/>
              <w:jc w:val="center"/>
              <w:rPr>
                <w:rFonts w:ascii="Calibri" w:eastAsia="Times New Roman" w:hAnsi="Calibri" w:cs="Calibri"/>
                <w:i/>
                <w:iCs/>
                <w:color w:val="000000"/>
                <w:sz w:val="16"/>
                <w:szCs w:val="16"/>
              </w:rPr>
            </w:pPr>
            <w:r w:rsidRPr="00AB4AFF">
              <w:rPr>
                <w:rFonts w:ascii="Calibri" w:eastAsia="Times New Roman" w:hAnsi="Calibri" w:cs="Calibri"/>
                <w:i/>
                <w:iCs/>
                <w:color w:val="000000"/>
                <w:sz w:val="16"/>
                <w:szCs w:val="16"/>
              </w:rPr>
              <w:t> </w:t>
            </w:r>
          </w:p>
        </w:tc>
        <w:tc>
          <w:tcPr>
            <w:tcW w:w="298" w:type="dxa"/>
            <w:tcBorders>
              <w:top w:val="nil"/>
              <w:left w:val="nil"/>
              <w:bottom w:val="single" w:sz="4" w:space="0" w:color="auto"/>
              <w:right w:val="single" w:sz="4" w:space="0" w:color="auto"/>
            </w:tcBorders>
            <w:shd w:val="clear" w:color="auto" w:fill="auto"/>
            <w:noWrap/>
            <w:vAlign w:val="bottom"/>
            <w:hideMark/>
          </w:tcPr>
          <w:p w14:paraId="2D89153B" w14:textId="77777777" w:rsidR="00AB4AFF" w:rsidRPr="00AB4AFF" w:rsidRDefault="00AB4AFF" w:rsidP="00AB4AFF">
            <w:pPr>
              <w:spacing w:after="0" w:line="240" w:lineRule="auto"/>
              <w:jc w:val="center"/>
              <w:rPr>
                <w:rFonts w:ascii="Calibri" w:eastAsia="Times New Roman" w:hAnsi="Calibri" w:cs="Calibri"/>
                <w:i/>
                <w:iCs/>
                <w:color w:val="000000"/>
                <w:sz w:val="16"/>
                <w:szCs w:val="16"/>
              </w:rPr>
            </w:pPr>
            <w:r w:rsidRPr="00AB4AFF">
              <w:rPr>
                <w:rFonts w:ascii="Calibri" w:eastAsia="Times New Roman" w:hAnsi="Calibri" w:cs="Calibri"/>
                <w:i/>
                <w:iCs/>
                <w:color w:val="000000"/>
                <w:sz w:val="16"/>
                <w:szCs w:val="16"/>
              </w:rPr>
              <w:t> </w:t>
            </w:r>
          </w:p>
        </w:tc>
        <w:tc>
          <w:tcPr>
            <w:tcW w:w="379" w:type="dxa"/>
            <w:tcBorders>
              <w:top w:val="nil"/>
              <w:left w:val="nil"/>
              <w:bottom w:val="single" w:sz="4" w:space="0" w:color="auto"/>
              <w:right w:val="single" w:sz="4" w:space="0" w:color="auto"/>
            </w:tcBorders>
            <w:shd w:val="clear" w:color="auto" w:fill="auto"/>
            <w:noWrap/>
            <w:vAlign w:val="bottom"/>
            <w:hideMark/>
          </w:tcPr>
          <w:p w14:paraId="7F003187" w14:textId="77777777" w:rsidR="00AB4AFF" w:rsidRPr="00AB4AFF" w:rsidRDefault="00AB4AFF" w:rsidP="00AB4AFF">
            <w:pPr>
              <w:spacing w:after="0" w:line="240" w:lineRule="auto"/>
              <w:jc w:val="center"/>
              <w:rPr>
                <w:rFonts w:ascii="Calibri" w:eastAsia="Times New Roman" w:hAnsi="Calibri" w:cs="Calibri"/>
                <w:i/>
                <w:iCs/>
                <w:color w:val="000000"/>
                <w:sz w:val="16"/>
                <w:szCs w:val="16"/>
              </w:rPr>
            </w:pPr>
            <w:r w:rsidRPr="00AB4AFF">
              <w:rPr>
                <w:rFonts w:ascii="Calibri" w:eastAsia="Times New Roman" w:hAnsi="Calibri" w:cs="Calibri"/>
                <w:i/>
                <w:iCs/>
                <w:color w:val="000000"/>
                <w:sz w:val="16"/>
                <w:szCs w:val="16"/>
              </w:rPr>
              <w:t> </w:t>
            </w:r>
          </w:p>
        </w:tc>
        <w:tc>
          <w:tcPr>
            <w:tcW w:w="379" w:type="dxa"/>
            <w:tcBorders>
              <w:top w:val="nil"/>
              <w:left w:val="nil"/>
              <w:bottom w:val="single" w:sz="4" w:space="0" w:color="auto"/>
              <w:right w:val="single" w:sz="4" w:space="0" w:color="auto"/>
            </w:tcBorders>
            <w:shd w:val="clear" w:color="auto" w:fill="auto"/>
            <w:noWrap/>
            <w:vAlign w:val="bottom"/>
            <w:hideMark/>
          </w:tcPr>
          <w:p w14:paraId="4578FD1E" w14:textId="77777777" w:rsidR="00AB4AFF" w:rsidRPr="00AB4AFF" w:rsidRDefault="00AB4AFF" w:rsidP="00AB4AFF">
            <w:pPr>
              <w:spacing w:after="0" w:line="240" w:lineRule="auto"/>
              <w:jc w:val="center"/>
              <w:rPr>
                <w:rFonts w:ascii="Calibri" w:eastAsia="Times New Roman" w:hAnsi="Calibri" w:cs="Calibri"/>
                <w:i/>
                <w:iCs/>
                <w:color w:val="000000"/>
                <w:sz w:val="16"/>
                <w:szCs w:val="16"/>
              </w:rPr>
            </w:pPr>
            <w:r w:rsidRPr="00AB4AFF">
              <w:rPr>
                <w:rFonts w:ascii="Calibri" w:eastAsia="Times New Roman" w:hAnsi="Calibri" w:cs="Calibri"/>
                <w:i/>
                <w:iCs/>
                <w:color w:val="000000"/>
                <w:sz w:val="16"/>
                <w:szCs w:val="16"/>
              </w:rPr>
              <w:t> </w:t>
            </w:r>
          </w:p>
        </w:tc>
        <w:tc>
          <w:tcPr>
            <w:tcW w:w="379" w:type="dxa"/>
            <w:tcBorders>
              <w:top w:val="nil"/>
              <w:left w:val="nil"/>
              <w:bottom w:val="single" w:sz="4" w:space="0" w:color="auto"/>
              <w:right w:val="single" w:sz="4" w:space="0" w:color="auto"/>
            </w:tcBorders>
            <w:shd w:val="clear" w:color="auto" w:fill="auto"/>
            <w:noWrap/>
            <w:vAlign w:val="bottom"/>
            <w:hideMark/>
          </w:tcPr>
          <w:p w14:paraId="4D934DE0"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 </w:t>
            </w:r>
          </w:p>
        </w:tc>
        <w:tc>
          <w:tcPr>
            <w:tcW w:w="379" w:type="dxa"/>
            <w:tcBorders>
              <w:top w:val="nil"/>
              <w:left w:val="nil"/>
              <w:bottom w:val="single" w:sz="4" w:space="0" w:color="auto"/>
              <w:right w:val="single" w:sz="4" w:space="0" w:color="auto"/>
            </w:tcBorders>
            <w:shd w:val="clear" w:color="auto" w:fill="auto"/>
            <w:noWrap/>
            <w:vAlign w:val="bottom"/>
            <w:hideMark/>
          </w:tcPr>
          <w:p w14:paraId="271F6C62"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 </w:t>
            </w:r>
          </w:p>
        </w:tc>
        <w:tc>
          <w:tcPr>
            <w:tcW w:w="379" w:type="dxa"/>
            <w:tcBorders>
              <w:top w:val="nil"/>
              <w:left w:val="nil"/>
              <w:bottom w:val="single" w:sz="4" w:space="0" w:color="auto"/>
              <w:right w:val="single" w:sz="4" w:space="0" w:color="auto"/>
            </w:tcBorders>
            <w:shd w:val="clear" w:color="auto" w:fill="auto"/>
            <w:noWrap/>
            <w:vAlign w:val="bottom"/>
            <w:hideMark/>
          </w:tcPr>
          <w:p w14:paraId="7B8DB58D"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 </w:t>
            </w:r>
          </w:p>
        </w:tc>
        <w:tc>
          <w:tcPr>
            <w:tcW w:w="379" w:type="dxa"/>
            <w:tcBorders>
              <w:top w:val="nil"/>
              <w:left w:val="nil"/>
              <w:bottom w:val="single" w:sz="4" w:space="0" w:color="auto"/>
              <w:right w:val="single" w:sz="4" w:space="0" w:color="auto"/>
            </w:tcBorders>
            <w:shd w:val="clear" w:color="auto" w:fill="auto"/>
            <w:noWrap/>
            <w:vAlign w:val="bottom"/>
            <w:hideMark/>
          </w:tcPr>
          <w:p w14:paraId="067AED25"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 </w:t>
            </w:r>
          </w:p>
        </w:tc>
        <w:tc>
          <w:tcPr>
            <w:tcW w:w="379" w:type="dxa"/>
            <w:tcBorders>
              <w:top w:val="nil"/>
              <w:left w:val="nil"/>
              <w:bottom w:val="single" w:sz="4" w:space="0" w:color="auto"/>
              <w:right w:val="single" w:sz="4" w:space="0" w:color="auto"/>
            </w:tcBorders>
            <w:shd w:val="clear" w:color="auto" w:fill="auto"/>
            <w:noWrap/>
            <w:vAlign w:val="bottom"/>
            <w:hideMark/>
          </w:tcPr>
          <w:p w14:paraId="34E84EED"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 </w:t>
            </w:r>
          </w:p>
        </w:tc>
        <w:tc>
          <w:tcPr>
            <w:tcW w:w="379" w:type="dxa"/>
            <w:tcBorders>
              <w:top w:val="nil"/>
              <w:left w:val="nil"/>
              <w:bottom w:val="single" w:sz="4" w:space="0" w:color="auto"/>
              <w:right w:val="single" w:sz="4" w:space="0" w:color="auto"/>
            </w:tcBorders>
            <w:shd w:val="clear" w:color="auto" w:fill="auto"/>
            <w:noWrap/>
            <w:vAlign w:val="bottom"/>
            <w:hideMark/>
          </w:tcPr>
          <w:p w14:paraId="4F28B390"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 </w:t>
            </w:r>
          </w:p>
        </w:tc>
        <w:tc>
          <w:tcPr>
            <w:tcW w:w="379" w:type="dxa"/>
            <w:tcBorders>
              <w:top w:val="nil"/>
              <w:left w:val="nil"/>
              <w:bottom w:val="single" w:sz="4" w:space="0" w:color="auto"/>
              <w:right w:val="single" w:sz="4" w:space="0" w:color="auto"/>
            </w:tcBorders>
            <w:shd w:val="clear" w:color="auto" w:fill="auto"/>
            <w:noWrap/>
            <w:vAlign w:val="bottom"/>
            <w:hideMark/>
          </w:tcPr>
          <w:p w14:paraId="677D7081"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 </w:t>
            </w:r>
          </w:p>
        </w:tc>
        <w:tc>
          <w:tcPr>
            <w:tcW w:w="379" w:type="dxa"/>
            <w:tcBorders>
              <w:top w:val="nil"/>
              <w:left w:val="nil"/>
              <w:bottom w:val="single" w:sz="4" w:space="0" w:color="auto"/>
              <w:right w:val="single" w:sz="4" w:space="0" w:color="auto"/>
            </w:tcBorders>
            <w:shd w:val="clear" w:color="auto" w:fill="auto"/>
            <w:noWrap/>
            <w:vAlign w:val="bottom"/>
            <w:hideMark/>
          </w:tcPr>
          <w:p w14:paraId="5251F2DB"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 </w:t>
            </w:r>
          </w:p>
        </w:tc>
        <w:tc>
          <w:tcPr>
            <w:tcW w:w="379" w:type="dxa"/>
            <w:tcBorders>
              <w:top w:val="nil"/>
              <w:left w:val="nil"/>
              <w:bottom w:val="single" w:sz="4" w:space="0" w:color="auto"/>
              <w:right w:val="single" w:sz="4" w:space="0" w:color="auto"/>
            </w:tcBorders>
            <w:shd w:val="clear" w:color="auto" w:fill="auto"/>
            <w:noWrap/>
            <w:vAlign w:val="bottom"/>
            <w:hideMark/>
          </w:tcPr>
          <w:p w14:paraId="2CDEAE46"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 </w:t>
            </w:r>
          </w:p>
        </w:tc>
        <w:tc>
          <w:tcPr>
            <w:tcW w:w="379" w:type="dxa"/>
            <w:tcBorders>
              <w:top w:val="nil"/>
              <w:left w:val="nil"/>
              <w:bottom w:val="single" w:sz="4" w:space="0" w:color="auto"/>
              <w:right w:val="single" w:sz="4" w:space="0" w:color="auto"/>
            </w:tcBorders>
            <w:shd w:val="clear" w:color="auto" w:fill="auto"/>
            <w:noWrap/>
            <w:vAlign w:val="bottom"/>
            <w:hideMark/>
          </w:tcPr>
          <w:p w14:paraId="75D090CA"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 </w:t>
            </w:r>
          </w:p>
        </w:tc>
        <w:tc>
          <w:tcPr>
            <w:tcW w:w="379" w:type="dxa"/>
            <w:tcBorders>
              <w:top w:val="nil"/>
              <w:left w:val="nil"/>
              <w:bottom w:val="single" w:sz="4" w:space="0" w:color="auto"/>
              <w:right w:val="single" w:sz="4" w:space="0" w:color="auto"/>
            </w:tcBorders>
            <w:shd w:val="clear" w:color="auto" w:fill="auto"/>
            <w:noWrap/>
            <w:vAlign w:val="bottom"/>
            <w:hideMark/>
          </w:tcPr>
          <w:p w14:paraId="5D4F7BA9"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 </w:t>
            </w:r>
          </w:p>
        </w:tc>
        <w:tc>
          <w:tcPr>
            <w:tcW w:w="379" w:type="dxa"/>
            <w:tcBorders>
              <w:top w:val="nil"/>
              <w:left w:val="nil"/>
              <w:bottom w:val="single" w:sz="4" w:space="0" w:color="auto"/>
              <w:right w:val="single" w:sz="4" w:space="0" w:color="auto"/>
            </w:tcBorders>
            <w:shd w:val="clear" w:color="auto" w:fill="auto"/>
            <w:noWrap/>
            <w:vAlign w:val="bottom"/>
            <w:hideMark/>
          </w:tcPr>
          <w:p w14:paraId="4D47D9FC"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 </w:t>
            </w:r>
          </w:p>
        </w:tc>
        <w:tc>
          <w:tcPr>
            <w:tcW w:w="379" w:type="dxa"/>
            <w:tcBorders>
              <w:top w:val="nil"/>
              <w:left w:val="nil"/>
              <w:bottom w:val="single" w:sz="4" w:space="0" w:color="auto"/>
              <w:right w:val="single" w:sz="4" w:space="0" w:color="auto"/>
            </w:tcBorders>
            <w:shd w:val="clear" w:color="auto" w:fill="auto"/>
            <w:noWrap/>
            <w:vAlign w:val="bottom"/>
            <w:hideMark/>
          </w:tcPr>
          <w:p w14:paraId="58827F59"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 </w:t>
            </w:r>
          </w:p>
        </w:tc>
        <w:tc>
          <w:tcPr>
            <w:tcW w:w="379" w:type="dxa"/>
            <w:tcBorders>
              <w:top w:val="nil"/>
              <w:left w:val="nil"/>
              <w:bottom w:val="single" w:sz="4" w:space="0" w:color="auto"/>
              <w:right w:val="single" w:sz="4" w:space="0" w:color="auto"/>
            </w:tcBorders>
            <w:shd w:val="clear" w:color="auto" w:fill="auto"/>
            <w:noWrap/>
            <w:vAlign w:val="bottom"/>
            <w:hideMark/>
          </w:tcPr>
          <w:p w14:paraId="215C5B44"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 </w:t>
            </w:r>
          </w:p>
        </w:tc>
        <w:tc>
          <w:tcPr>
            <w:tcW w:w="379" w:type="dxa"/>
            <w:tcBorders>
              <w:top w:val="nil"/>
              <w:left w:val="nil"/>
              <w:bottom w:val="single" w:sz="4" w:space="0" w:color="auto"/>
              <w:right w:val="single" w:sz="4" w:space="0" w:color="auto"/>
            </w:tcBorders>
            <w:shd w:val="clear" w:color="auto" w:fill="auto"/>
            <w:noWrap/>
            <w:vAlign w:val="bottom"/>
            <w:hideMark/>
          </w:tcPr>
          <w:p w14:paraId="6F2602B0"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 </w:t>
            </w:r>
          </w:p>
        </w:tc>
        <w:tc>
          <w:tcPr>
            <w:tcW w:w="379" w:type="dxa"/>
            <w:tcBorders>
              <w:top w:val="nil"/>
              <w:left w:val="nil"/>
              <w:bottom w:val="single" w:sz="4" w:space="0" w:color="auto"/>
              <w:right w:val="single" w:sz="8" w:space="0" w:color="auto"/>
            </w:tcBorders>
            <w:shd w:val="clear" w:color="auto" w:fill="auto"/>
            <w:noWrap/>
            <w:vAlign w:val="bottom"/>
            <w:hideMark/>
          </w:tcPr>
          <w:p w14:paraId="2042029D"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 </w:t>
            </w:r>
          </w:p>
        </w:tc>
      </w:tr>
      <w:tr w:rsidR="00AB4AFF" w:rsidRPr="00AB4AFF" w14:paraId="61C4B451" w14:textId="77777777" w:rsidTr="008C0F8B">
        <w:trPr>
          <w:trHeight w:val="290"/>
        </w:trPr>
        <w:tc>
          <w:tcPr>
            <w:tcW w:w="1070" w:type="dxa"/>
            <w:tcBorders>
              <w:top w:val="nil"/>
              <w:left w:val="single" w:sz="8" w:space="0" w:color="auto"/>
              <w:bottom w:val="single" w:sz="4" w:space="0" w:color="auto"/>
              <w:right w:val="single" w:sz="4" w:space="0" w:color="auto"/>
            </w:tcBorders>
            <w:shd w:val="clear" w:color="000000" w:fill="FFFFFF"/>
            <w:noWrap/>
            <w:vAlign w:val="bottom"/>
            <w:hideMark/>
          </w:tcPr>
          <w:p w14:paraId="6988A557"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2:110123993</w:t>
            </w:r>
          </w:p>
        </w:tc>
        <w:tc>
          <w:tcPr>
            <w:tcW w:w="498" w:type="dxa"/>
            <w:tcBorders>
              <w:top w:val="nil"/>
              <w:left w:val="nil"/>
              <w:bottom w:val="single" w:sz="4" w:space="0" w:color="auto"/>
              <w:right w:val="single" w:sz="4" w:space="0" w:color="auto"/>
            </w:tcBorders>
            <w:shd w:val="clear" w:color="000000" w:fill="FFFFFF"/>
            <w:noWrap/>
            <w:vAlign w:val="bottom"/>
            <w:hideMark/>
          </w:tcPr>
          <w:p w14:paraId="3A3BE887"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G</w:t>
            </w:r>
          </w:p>
        </w:tc>
        <w:tc>
          <w:tcPr>
            <w:tcW w:w="498" w:type="dxa"/>
            <w:tcBorders>
              <w:top w:val="nil"/>
              <w:left w:val="nil"/>
              <w:bottom w:val="single" w:sz="4" w:space="0" w:color="auto"/>
              <w:right w:val="single" w:sz="8" w:space="0" w:color="auto"/>
            </w:tcBorders>
            <w:shd w:val="clear" w:color="000000" w:fill="FFFFFF"/>
            <w:noWrap/>
            <w:vAlign w:val="bottom"/>
            <w:hideMark/>
          </w:tcPr>
          <w:p w14:paraId="2754486E"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C</w:t>
            </w:r>
          </w:p>
        </w:tc>
        <w:tc>
          <w:tcPr>
            <w:tcW w:w="632" w:type="dxa"/>
            <w:tcBorders>
              <w:top w:val="nil"/>
              <w:left w:val="nil"/>
              <w:bottom w:val="single" w:sz="4" w:space="0" w:color="auto"/>
              <w:right w:val="single" w:sz="4" w:space="0" w:color="auto"/>
            </w:tcBorders>
            <w:shd w:val="clear" w:color="000000" w:fill="FFFFFF"/>
            <w:noWrap/>
            <w:vAlign w:val="bottom"/>
            <w:hideMark/>
          </w:tcPr>
          <w:p w14:paraId="676B5F14"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ns</w:t>
            </w:r>
          </w:p>
        </w:tc>
        <w:tc>
          <w:tcPr>
            <w:tcW w:w="850" w:type="dxa"/>
            <w:tcBorders>
              <w:top w:val="nil"/>
              <w:left w:val="nil"/>
              <w:bottom w:val="single" w:sz="4" w:space="0" w:color="auto"/>
              <w:right w:val="single" w:sz="8" w:space="0" w:color="auto"/>
            </w:tcBorders>
            <w:shd w:val="clear" w:color="000000" w:fill="FFFFFF"/>
            <w:noWrap/>
            <w:vAlign w:val="bottom"/>
            <w:hideMark/>
          </w:tcPr>
          <w:p w14:paraId="1D2B682C"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S667C</w:t>
            </w:r>
          </w:p>
        </w:tc>
        <w:tc>
          <w:tcPr>
            <w:tcW w:w="990" w:type="dxa"/>
            <w:tcBorders>
              <w:top w:val="nil"/>
              <w:left w:val="nil"/>
              <w:bottom w:val="single" w:sz="4" w:space="0" w:color="auto"/>
              <w:right w:val="single" w:sz="4" w:space="0" w:color="auto"/>
            </w:tcBorders>
            <w:shd w:val="clear" w:color="000000" w:fill="FFFFFF"/>
            <w:noWrap/>
            <w:vAlign w:val="bottom"/>
            <w:hideMark/>
          </w:tcPr>
          <w:p w14:paraId="254814A9"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 </w:t>
            </w:r>
          </w:p>
        </w:tc>
        <w:tc>
          <w:tcPr>
            <w:tcW w:w="500" w:type="dxa"/>
            <w:tcBorders>
              <w:top w:val="nil"/>
              <w:left w:val="nil"/>
              <w:bottom w:val="single" w:sz="4" w:space="0" w:color="auto"/>
              <w:right w:val="single" w:sz="4" w:space="0" w:color="auto"/>
            </w:tcBorders>
            <w:shd w:val="clear" w:color="000000" w:fill="FFFFFF"/>
            <w:noWrap/>
            <w:vAlign w:val="bottom"/>
            <w:hideMark/>
          </w:tcPr>
          <w:p w14:paraId="594D6578"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24.8</w:t>
            </w:r>
          </w:p>
        </w:tc>
        <w:tc>
          <w:tcPr>
            <w:tcW w:w="534" w:type="dxa"/>
            <w:tcBorders>
              <w:top w:val="nil"/>
              <w:left w:val="nil"/>
              <w:bottom w:val="single" w:sz="4" w:space="0" w:color="auto"/>
              <w:right w:val="single" w:sz="4" w:space="0" w:color="auto"/>
            </w:tcBorders>
            <w:shd w:val="clear" w:color="000000" w:fill="FFFFFF"/>
            <w:noWrap/>
            <w:vAlign w:val="bottom"/>
            <w:hideMark/>
          </w:tcPr>
          <w:p w14:paraId="093A90C7"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 </w:t>
            </w:r>
          </w:p>
        </w:tc>
        <w:tc>
          <w:tcPr>
            <w:tcW w:w="498" w:type="dxa"/>
            <w:tcBorders>
              <w:top w:val="nil"/>
              <w:left w:val="nil"/>
              <w:bottom w:val="single" w:sz="4" w:space="0" w:color="auto"/>
              <w:right w:val="single" w:sz="8" w:space="0" w:color="auto"/>
            </w:tcBorders>
            <w:shd w:val="clear" w:color="000000" w:fill="FFFFFF"/>
            <w:noWrap/>
            <w:vAlign w:val="bottom"/>
            <w:hideMark/>
          </w:tcPr>
          <w:p w14:paraId="26D0D027"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VUS</w:t>
            </w:r>
          </w:p>
        </w:tc>
        <w:tc>
          <w:tcPr>
            <w:tcW w:w="298" w:type="dxa"/>
            <w:tcBorders>
              <w:top w:val="nil"/>
              <w:left w:val="nil"/>
              <w:bottom w:val="single" w:sz="4" w:space="0" w:color="auto"/>
              <w:right w:val="single" w:sz="4" w:space="0" w:color="auto"/>
            </w:tcBorders>
            <w:shd w:val="clear" w:color="auto" w:fill="auto"/>
            <w:noWrap/>
            <w:vAlign w:val="bottom"/>
            <w:hideMark/>
          </w:tcPr>
          <w:p w14:paraId="33CE21F0"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 </w:t>
            </w:r>
          </w:p>
        </w:tc>
        <w:tc>
          <w:tcPr>
            <w:tcW w:w="298" w:type="dxa"/>
            <w:tcBorders>
              <w:top w:val="nil"/>
              <w:left w:val="nil"/>
              <w:bottom w:val="single" w:sz="4" w:space="0" w:color="auto"/>
              <w:right w:val="single" w:sz="4" w:space="0" w:color="auto"/>
            </w:tcBorders>
            <w:shd w:val="clear" w:color="auto" w:fill="auto"/>
            <w:noWrap/>
            <w:vAlign w:val="bottom"/>
            <w:hideMark/>
          </w:tcPr>
          <w:p w14:paraId="05F8CFC1"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 </w:t>
            </w:r>
          </w:p>
        </w:tc>
        <w:tc>
          <w:tcPr>
            <w:tcW w:w="298" w:type="dxa"/>
            <w:tcBorders>
              <w:top w:val="nil"/>
              <w:left w:val="nil"/>
              <w:bottom w:val="single" w:sz="4" w:space="0" w:color="auto"/>
              <w:right w:val="single" w:sz="4" w:space="0" w:color="auto"/>
            </w:tcBorders>
            <w:shd w:val="clear" w:color="auto" w:fill="auto"/>
            <w:noWrap/>
            <w:vAlign w:val="bottom"/>
            <w:hideMark/>
          </w:tcPr>
          <w:p w14:paraId="3546D13E" w14:textId="77777777" w:rsidR="00AB4AFF" w:rsidRPr="00AB4AFF" w:rsidRDefault="00AB4AFF" w:rsidP="00AB4AFF">
            <w:pPr>
              <w:spacing w:after="0" w:line="240" w:lineRule="auto"/>
              <w:jc w:val="center"/>
              <w:rPr>
                <w:rFonts w:ascii="Calibri" w:eastAsia="Times New Roman" w:hAnsi="Calibri" w:cs="Calibri"/>
                <w:i/>
                <w:iCs/>
                <w:color w:val="000000"/>
                <w:sz w:val="16"/>
                <w:szCs w:val="16"/>
              </w:rPr>
            </w:pPr>
            <w:r w:rsidRPr="00AB4AFF">
              <w:rPr>
                <w:rFonts w:ascii="Calibri" w:eastAsia="Times New Roman" w:hAnsi="Calibri" w:cs="Calibri"/>
                <w:i/>
                <w:iCs/>
                <w:color w:val="000000"/>
                <w:sz w:val="16"/>
                <w:szCs w:val="16"/>
              </w:rPr>
              <w:t> </w:t>
            </w:r>
          </w:p>
        </w:tc>
        <w:tc>
          <w:tcPr>
            <w:tcW w:w="298" w:type="dxa"/>
            <w:tcBorders>
              <w:top w:val="nil"/>
              <w:left w:val="nil"/>
              <w:bottom w:val="single" w:sz="4" w:space="0" w:color="auto"/>
              <w:right w:val="single" w:sz="4" w:space="0" w:color="auto"/>
            </w:tcBorders>
            <w:shd w:val="clear" w:color="auto" w:fill="auto"/>
            <w:noWrap/>
            <w:vAlign w:val="bottom"/>
            <w:hideMark/>
          </w:tcPr>
          <w:p w14:paraId="78D5FEDA" w14:textId="77777777" w:rsidR="00AB4AFF" w:rsidRPr="00AB4AFF" w:rsidRDefault="00AB4AFF" w:rsidP="00AB4AFF">
            <w:pPr>
              <w:spacing w:after="0" w:line="240" w:lineRule="auto"/>
              <w:jc w:val="center"/>
              <w:rPr>
                <w:rFonts w:ascii="Calibri" w:eastAsia="Times New Roman" w:hAnsi="Calibri" w:cs="Calibri"/>
                <w:i/>
                <w:iCs/>
                <w:color w:val="000000"/>
                <w:sz w:val="16"/>
                <w:szCs w:val="16"/>
              </w:rPr>
            </w:pPr>
            <w:r w:rsidRPr="00AB4AFF">
              <w:rPr>
                <w:rFonts w:ascii="Calibri" w:eastAsia="Times New Roman" w:hAnsi="Calibri" w:cs="Calibri"/>
                <w:i/>
                <w:iCs/>
                <w:color w:val="000000"/>
                <w:sz w:val="16"/>
                <w:szCs w:val="16"/>
              </w:rPr>
              <w:t> </w:t>
            </w:r>
          </w:p>
        </w:tc>
        <w:tc>
          <w:tcPr>
            <w:tcW w:w="298" w:type="dxa"/>
            <w:tcBorders>
              <w:top w:val="nil"/>
              <w:left w:val="nil"/>
              <w:bottom w:val="single" w:sz="4" w:space="0" w:color="auto"/>
              <w:right w:val="single" w:sz="4" w:space="0" w:color="auto"/>
            </w:tcBorders>
            <w:shd w:val="clear" w:color="auto" w:fill="auto"/>
            <w:noWrap/>
            <w:vAlign w:val="bottom"/>
            <w:hideMark/>
          </w:tcPr>
          <w:p w14:paraId="449EEE67" w14:textId="77777777" w:rsidR="00AB4AFF" w:rsidRPr="00AB4AFF" w:rsidRDefault="00AB4AFF" w:rsidP="00AB4AFF">
            <w:pPr>
              <w:spacing w:after="0" w:line="240" w:lineRule="auto"/>
              <w:jc w:val="center"/>
              <w:rPr>
                <w:rFonts w:ascii="Calibri" w:eastAsia="Times New Roman" w:hAnsi="Calibri" w:cs="Calibri"/>
                <w:i/>
                <w:iCs/>
                <w:color w:val="000000"/>
                <w:sz w:val="16"/>
                <w:szCs w:val="16"/>
              </w:rPr>
            </w:pPr>
            <w:r w:rsidRPr="00AB4AFF">
              <w:rPr>
                <w:rFonts w:ascii="Calibri" w:eastAsia="Times New Roman" w:hAnsi="Calibri" w:cs="Calibri"/>
                <w:i/>
                <w:iCs/>
                <w:color w:val="000000"/>
                <w:sz w:val="16"/>
                <w:szCs w:val="16"/>
              </w:rPr>
              <w:t> </w:t>
            </w:r>
          </w:p>
        </w:tc>
        <w:tc>
          <w:tcPr>
            <w:tcW w:w="298" w:type="dxa"/>
            <w:tcBorders>
              <w:top w:val="nil"/>
              <w:left w:val="nil"/>
              <w:bottom w:val="single" w:sz="4" w:space="0" w:color="auto"/>
              <w:right w:val="single" w:sz="4" w:space="0" w:color="auto"/>
            </w:tcBorders>
            <w:shd w:val="clear" w:color="auto" w:fill="auto"/>
            <w:noWrap/>
            <w:vAlign w:val="bottom"/>
            <w:hideMark/>
          </w:tcPr>
          <w:p w14:paraId="202CACFA" w14:textId="77777777" w:rsidR="00AB4AFF" w:rsidRPr="00AB4AFF" w:rsidRDefault="00AB4AFF" w:rsidP="00AB4AFF">
            <w:pPr>
              <w:spacing w:after="0" w:line="240" w:lineRule="auto"/>
              <w:jc w:val="center"/>
              <w:rPr>
                <w:rFonts w:ascii="Calibri" w:eastAsia="Times New Roman" w:hAnsi="Calibri" w:cs="Calibri"/>
                <w:i/>
                <w:iCs/>
                <w:color w:val="000000"/>
                <w:sz w:val="16"/>
                <w:szCs w:val="16"/>
              </w:rPr>
            </w:pPr>
            <w:r w:rsidRPr="00AB4AFF">
              <w:rPr>
                <w:rFonts w:ascii="Calibri" w:eastAsia="Times New Roman" w:hAnsi="Calibri" w:cs="Calibri"/>
                <w:i/>
                <w:iCs/>
                <w:color w:val="000000"/>
                <w:sz w:val="16"/>
                <w:szCs w:val="16"/>
              </w:rPr>
              <w:t> </w:t>
            </w:r>
          </w:p>
        </w:tc>
        <w:tc>
          <w:tcPr>
            <w:tcW w:w="298" w:type="dxa"/>
            <w:tcBorders>
              <w:top w:val="nil"/>
              <w:left w:val="nil"/>
              <w:bottom w:val="single" w:sz="4" w:space="0" w:color="auto"/>
              <w:right w:val="single" w:sz="4" w:space="0" w:color="auto"/>
            </w:tcBorders>
            <w:shd w:val="clear" w:color="auto" w:fill="auto"/>
            <w:noWrap/>
            <w:vAlign w:val="bottom"/>
            <w:hideMark/>
          </w:tcPr>
          <w:p w14:paraId="6CF4B834" w14:textId="77777777" w:rsidR="00AB4AFF" w:rsidRPr="00AB4AFF" w:rsidRDefault="00AB4AFF" w:rsidP="00AB4AFF">
            <w:pPr>
              <w:spacing w:after="0" w:line="240" w:lineRule="auto"/>
              <w:jc w:val="center"/>
              <w:rPr>
                <w:rFonts w:ascii="Calibri" w:eastAsia="Times New Roman" w:hAnsi="Calibri" w:cs="Calibri"/>
                <w:i/>
                <w:iCs/>
                <w:color w:val="000000"/>
                <w:sz w:val="16"/>
                <w:szCs w:val="16"/>
              </w:rPr>
            </w:pPr>
            <w:r w:rsidRPr="00AB4AFF">
              <w:rPr>
                <w:rFonts w:ascii="Calibri" w:eastAsia="Times New Roman" w:hAnsi="Calibri" w:cs="Calibri"/>
                <w:i/>
                <w:iCs/>
                <w:color w:val="000000"/>
                <w:sz w:val="16"/>
                <w:szCs w:val="16"/>
              </w:rPr>
              <w:t> </w:t>
            </w:r>
          </w:p>
        </w:tc>
        <w:tc>
          <w:tcPr>
            <w:tcW w:w="298" w:type="dxa"/>
            <w:tcBorders>
              <w:top w:val="nil"/>
              <w:left w:val="nil"/>
              <w:bottom w:val="single" w:sz="4" w:space="0" w:color="auto"/>
              <w:right w:val="single" w:sz="4" w:space="0" w:color="auto"/>
            </w:tcBorders>
            <w:shd w:val="clear" w:color="auto" w:fill="auto"/>
            <w:noWrap/>
            <w:vAlign w:val="bottom"/>
            <w:hideMark/>
          </w:tcPr>
          <w:p w14:paraId="034B8460" w14:textId="77777777" w:rsidR="00AB4AFF" w:rsidRPr="00AB4AFF" w:rsidRDefault="00AB4AFF" w:rsidP="00AB4AFF">
            <w:pPr>
              <w:spacing w:after="0" w:line="240" w:lineRule="auto"/>
              <w:jc w:val="center"/>
              <w:rPr>
                <w:rFonts w:ascii="Calibri" w:eastAsia="Times New Roman" w:hAnsi="Calibri" w:cs="Calibri"/>
                <w:i/>
                <w:iCs/>
                <w:color w:val="000000"/>
                <w:sz w:val="16"/>
                <w:szCs w:val="16"/>
              </w:rPr>
            </w:pPr>
            <w:r w:rsidRPr="00AB4AFF">
              <w:rPr>
                <w:rFonts w:ascii="Calibri" w:eastAsia="Times New Roman" w:hAnsi="Calibri" w:cs="Calibri"/>
                <w:i/>
                <w:iCs/>
                <w:color w:val="000000"/>
                <w:sz w:val="16"/>
                <w:szCs w:val="16"/>
              </w:rPr>
              <w:t> </w:t>
            </w:r>
          </w:p>
        </w:tc>
        <w:tc>
          <w:tcPr>
            <w:tcW w:w="379" w:type="dxa"/>
            <w:tcBorders>
              <w:top w:val="nil"/>
              <w:left w:val="nil"/>
              <w:bottom w:val="single" w:sz="4" w:space="0" w:color="auto"/>
              <w:right w:val="single" w:sz="4" w:space="0" w:color="auto"/>
            </w:tcBorders>
            <w:shd w:val="clear" w:color="auto" w:fill="auto"/>
            <w:noWrap/>
            <w:vAlign w:val="bottom"/>
            <w:hideMark/>
          </w:tcPr>
          <w:p w14:paraId="0322167E" w14:textId="77777777" w:rsidR="00AB4AFF" w:rsidRPr="00AB4AFF" w:rsidRDefault="00AB4AFF" w:rsidP="00AB4AFF">
            <w:pPr>
              <w:spacing w:after="0" w:line="240" w:lineRule="auto"/>
              <w:jc w:val="center"/>
              <w:rPr>
                <w:rFonts w:ascii="Calibri" w:eastAsia="Times New Roman" w:hAnsi="Calibri" w:cs="Calibri"/>
                <w:i/>
                <w:iCs/>
                <w:color w:val="000000"/>
                <w:sz w:val="16"/>
                <w:szCs w:val="16"/>
              </w:rPr>
            </w:pPr>
            <w:r w:rsidRPr="00AB4AFF">
              <w:rPr>
                <w:rFonts w:ascii="Calibri" w:eastAsia="Times New Roman" w:hAnsi="Calibri" w:cs="Calibri"/>
                <w:i/>
                <w:iCs/>
                <w:color w:val="000000"/>
                <w:sz w:val="16"/>
                <w:szCs w:val="16"/>
              </w:rPr>
              <w:t> </w:t>
            </w:r>
          </w:p>
        </w:tc>
        <w:tc>
          <w:tcPr>
            <w:tcW w:w="379" w:type="dxa"/>
            <w:tcBorders>
              <w:top w:val="nil"/>
              <w:left w:val="nil"/>
              <w:bottom w:val="single" w:sz="4" w:space="0" w:color="auto"/>
              <w:right w:val="single" w:sz="4" w:space="0" w:color="auto"/>
            </w:tcBorders>
            <w:shd w:val="clear" w:color="auto" w:fill="auto"/>
            <w:noWrap/>
            <w:vAlign w:val="bottom"/>
            <w:hideMark/>
          </w:tcPr>
          <w:p w14:paraId="4DC59B6B" w14:textId="77777777" w:rsidR="00AB4AFF" w:rsidRPr="00AB4AFF" w:rsidRDefault="00AB4AFF" w:rsidP="00AB4AFF">
            <w:pPr>
              <w:spacing w:after="0" w:line="240" w:lineRule="auto"/>
              <w:jc w:val="center"/>
              <w:rPr>
                <w:rFonts w:ascii="Calibri" w:eastAsia="Times New Roman" w:hAnsi="Calibri" w:cs="Calibri"/>
                <w:i/>
                <w:iCs/>
                <w:color w:val="000000"/>
                <w:sz w:val="16"/>
                <w:szCs w:val="16"/>
              </w:rPr>
            </w:pPr>
            <w:r w:rsidRPr="00AB4AFF">
              <w:rPr>
                <w:rFonts w:ascii="Calibri" w:eastAsia="Times New Roman" w:hAnsi="Calibri" w:cs="Calibri"/>
                <w:i/>
                <w:iCs/>
                <w:color w:val="000000"/>
                <w:sz w:val="16"/>
                <w:szCs w:val="16"/>
              </w:rPr>
              <w:t> </w:t>
            </w:r>
          </w:p>
        </w:tc>
        <w:tc>
          <w:tcPr>
            <w:tcW w:w="379" w:type="dxa"/>
            <w:tcBorders>
              <w:top w:val="nil"/>
              <w:left w:val="nil"/>
              <w:bottom w:val="single" w:sz="4" w:space="0" w:color="auto"/>
              <w:right w:val="single" w:sz="4" w:space="0" w:color="auto"/>
            </w:tcBorders>
            <w:shd w:val="clear" w:color="auto" w:fill="auto"/>
            <w:noWrap/>
            <w:vAlign w:val="bottom"/>
            <w:hideMark/>
          </w:tcPr>
          <w:p w14:paraId="30E838D3"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 </w:t>
            </w:r>
          </w:p>
        </w:tc>
        <w:tc>
          <w:tcPr>
            <w:tcW w:w="379" w:type="dxa"/>
            <w:tcBorders>
              <w:top w:val="nil"/>
              <w:left w:val="nil"/>
              <w:bottom w:val="single" w:sz="4" w:space="0" w:color="auto"/>
              <w:right w:val="single" w:sz="4" w:space="0" w:color="auto"/>
            </w:tcBorders>
            <w:shd w:val="clear" w:color="auto" w:fill="auto"/>
            <w:noWrap/>
            <w:vAlign w:val="bottom"/>
            <w:hideMark/>
          </w:tcPr>
          <w:p w14:paraId="57D8CA7F"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 </w:t>
            </w:r>
          </w:p>
        </w:tc>
        <w:tc>
          <w:tcPr>
            <w:tcW w:w="379" w:type="dxa"/>
            <w:tcBorders>
              <w:top w:val="nil"/>
              <w:left w:val="nil"/>
              <w:bottom w:val="single" w:sz="4" w:space="0" w:color="auto"/>
              <w:right w:val="single" w:sz="4" w:space="0" w:color="auto"/>
            </w:tcBorders>
            <w:shd w:val="clear" w:color="auto" w:fill="auto"/>
            <w:noWrap/>
            <w:vAlign w:val="bottom"/>
            <w:hideMark/>
          </w:tcPr>
          <w:p w14:paraId="32DD4DCB"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 </w:t>
            </w:r>
          </w:p>
        </w:tc>
        <w:tc>
          <w:tcPr>
            <w:tcW w:w="379" w:type="dxa"/>
            <w:tcBorders>
              <w:top w:val="nil"/>
              <w:left w:val="nil"/>
              <w:bottom w:val="single" w:sz="4" w:space="0" w:color="auto"/>
              <w:right w:val="single" w:sz="4" w:space="0" w:color="auto"/>
            </w:tcBorders>
            <w:shd w:val="clear" w:color="auto" w:fill="auto"/>
            <w:noWrap/>
            <w:vAlign w:val="bottom"/>
            <w:hideMark/>
          </w:tcPr>
          <w:p w14:paraId="6EFE2E8C"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 </w:t>
            </w:r>
          </w:p>
        </w:tc>
        <w:tc>
          <w:tcPr>
            <w:tcW w:w="379" w:type="dxa"/>
            <w:tcBorders>
              <w:top w:val="nil"/>
              <w:left w:val="nil"/>
              <w:bottom w:val="single" w:sz="4" w:space="0" w:color="auto"/>
              <w:right w:val="single" w:sz="4" w:space="0" w:color="auto"/>
            </w:tcBorders>
            <w:shd w:val="clear" w:color="auto" w:fill="auto"/>
            <w:noWrap/>
            <w:vAlign w:val="bottom"/>
            <w:hideMark/>
          </w:tcPr>
          <w:p w14:paraId="284CADD7"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 </w:t>
            </w:r>
          </w:p>
        </w:tc>
        <w:tc>
          <w:tcPr>
            <w:tcW w:w="379" w:type="dxa"/>
            <w:tcBorders>
              <w:top w:val="nil"/>
              <w:left w:val="nil"/>
              <w:bottom w:val="single" w:sz="4" w:space="0" w:color="auto"/>
              <w:right w:val="single" w:sz="4" w:space="0" w:color="auto"/>
            </w:tcBorders>
            <w:shd w:val="clear" w:color="auto" w:fill="auto"/>
            <w:noWrap/>
            <w:vAlign w:val="bottom"/>
            <w:hideMark/>
          </w:tcPr>
          <w:p w14:paraId="20B5EA0C"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 </w:t>
            </w:r>
          </w:p>
        </w:tc>
        <w:tc>
          <w:tcPr>
            <w:tcW w:w="379" w:type="dxa"/>
            <w:tcBorders>
              <w:top w:val="nil"/>
              <w:left w:val="nil"/>
              <w:bottom w:val="single" w:sz="4" w:space="0" w:color="auto"/>
              <w:right w:val="single" w:sz="4" w:space="0" w:color="auto"/>
            </w:tcBorders>
            <w:shd w:val="clear" w:color="auto" w:fill="auto"/>
            <w:noWrap/>
            <w:vAlign w:val="bottom"/>
            <w:hideMark/>
          </w:tcPr>
          <w:p w14:paraId="7DE09922"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 </w:t>
            </w:r>
          </w:p>
        </w:tc>
        <w:tc>
          <w:tcPr>
            <w:tcW w:w="379" w:type="dxa"/>
            <w:tcBorders>
              <w:top w:val="nil"/>
              <w:left w:val="nil"/>
              <w:bottom w:val="single" w:sz="4" w:space="0" w:color="auto"/>
              <w:right w:val="single" w:sz="4" w:space="0" w:color="auto"/>
            </w:tcBorders>
            <w:shd w:val="clear" w:color="auto" w:fill="auto"/>
            <w:noWrap/>
            <w:vAlign w:val="bottom"/>
            <w:hideMark/>
          </w:tcPr>
          <w:p w14:paraId="2C5FB832"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 </w:t>
            </w:r>
          </w:p>
        </w:tc>
        <w:tc>
          <w:tcPr>
            <w:tcW w:w="379" w:type="dxa"/>
            <w:tcBorders>
              <w:top w:val="nil"/>
              <w:left w:val="nil"/>
              <w:bottom w:val="single" w:sz="4" w:space="0" w:color="auto"/>
              <w:right w:val="single" w:sz="4" w:space="0" w:color="auto"/>
            </w:tcBorders>
            <w:shd w:val="clear" w:color="auto" w:fill="auto"/>
            <w:noWrap/>
            <w:vAlign w:val="bottom"/>
            <w:hideMark/>
          </w:tcPr>
          <w:p w14:paraId="6F2A1FF7"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 </w:t>
            </w:r>
          </w:p>
        </w:tc>
        <w:tc>
          <w:tcPr>
            <w:tcW w:w="379" w:type="dxa"/>
            <w:tcBorders>
              <w:top w:val="nil"/>
              <w:left w:val="nil"/>
              <w:bottom w:val="single" w:sz="4" w:space="0" w:color="auto"/>
              <w:right w:val="single" w:sz="4" w:space="0" w:color="auto"/>
            </w:tcBorders>
            <w:shd w:val="clear" w:color="auto" w:fill="auto"/>
            <w:noWrap/>
            <w:vAlign w:val="bottom"/>
            <w:hideMark/>
          </w:tcPr>
          <w:p w14:paraId="3E1943B6"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 </w:t>
            </w:r>
          </w:p>
        </w:tc>
        <w:tc>
          <w:tcPr>
            <w:tcW w:w="379" w:type="dxa"/>
            <w:tcBorders>
              <w:top w:val="nil"/>
              <w:left w:val="nil"/>
              <w:bottom w:val="single" w:sz="4" w:space="0" w:color="auto"/>
              <w:right w:val="single" w:sz="4" w:space="0" w:color="auto"/>
            </w:tcBorders>
            <w:shd w:val="clear" w:color="auto" w:fill="auto"/>
            <w:noWrap/>
            <w:vAlign w:val="bottom"/>
            <w:hideMark/>
          </w:tcPr>
          <w:p w14:paraId="6A47760E"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 </w:t>
            </w:r>
          </w:p>
        </w:tc>
        <w:tc>
          <w:tcPr>
            <w:tcW w:w="379" w:type="dxa"/>
            <w:tcBorders>
              <w:top w:val="nil"/>
              <w:left w:val="nil"/>
              <w:bottom w:val="single" w:sz="4" w:space="0" w:color="auto"/>
              <w:right w:val="single" w:sz="4" w:space="0" w:color="auto"/>
            </w:tcBorders>
            <w:shd w:val="clear" w:color="auto" w:fill="auto"/>
            <w:noWrap/>
            <w:vAlign w:val="bottom"/>
            <w:hideMark/>
          </w:tcPr>
          <w:p w14:paraId="5288E83A"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 </w:t>
            </w:r>
          </w:p>
        </w:tc>
        <w:tc>
          <w:tcPr>
            <w:tcW w:w="379" w:type="dxa"/>
            <w:tcBorders>
              <w:top w:val="nil"/>
              <w:left w:val="nil"/>
              <w:bottom w:val="single" w:sz="4" w:space="0" w:color="auto"/>
              <w:right w:val="single" w:sz="4" w:space="0" w:color="auto"/>
            </w:tcBorders>
            <w:shd w:val="clear" w:color="auto" w:fill="auto"/>
            <w:noWrap/>
            <w:vAlign w:val="bottom"/>
            <w:hideMark/>
          </w:tcPr>
          <w:p w14:paraId="6941DD8C"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 </w:t>
            </w:r>
          </w:p>
        </w:tc>
        <w:tc>
          <w:tcPr>
            <w:tcW w:w="379" w:type="dxa"/>
            <w:tcBorders>
              <w:top w:val="nil"/>
              <w:left w:val="nil"/>
              <w:bottom w:val="single" w:sz="4" w:space="0" w:color="auto"/>
              <w:right w:val="single" w:sz="4" w:space="0" w:color="auto"/>
            </w:tcBorders>
            <w:shd w:val="clear" w:color="auto" w:fill="auto"/>
            <w:noWrap/>
            <w:vAlign w:val="bottom"/>
            <w:hideMark/>
          </w:tcPr>
          <w:p w14:paraId="1EDD33F4"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 </w:t>
            </w:r>
          </w:p>
        </w:tc>
        <w:tc>
          <w:tcPr>
            <w:tcW w:w="379" w:type="dxa"/>
            <w:tcBorders>
              <w:top w:val="nil"/>
              <w:left w:val="nil"/>
              <w:bottom w:val="single" w:sz="4" w:space="0" w:color="auto"/>
              <w:right w:val="single" w:sz="4" w:space="0" w:color="auto"/>
            </w:tcBorders>
            <w:shd w:val="clear" w:color="auto" w:fill="auto"/>
            <w:noWrap/>
            <w:vAlign w:val="bottom"/>
            <w:hideMark/>
          </w:tcPr>
          <w:p w14:paraId="271EE74B"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 </w:t>
            </w:r>
          </w:p>
        </w:tc>
        <w:tc>
          <w:tcPr>
            <w:tcW w:w="379" w:type="dxa"/>
            <w:tcBorders>
              <w:top w:val="nil"/>
              <w:left w:val="nil"/>
              <w:bottom w:val="single" w:sz="4" w:space="0" w:color="auto"/>
              <w:right w:val="single" w:sz="8" w:space="0" w:color="auto"/>
            </w:tcBorders>
            <w:shd w:val="clear" w:color="auto" w:fill="auto"/>
            <w:noWrap/>
            <w:vAlign w:val="bottom"/>
            <w:hideMark/>
          </w:tcPr>
          <w:p w14:paraId="679BDEF1"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 </w:t>
            </w:r>
          </w:p>
        </w:tc>
      </w:tr>
      <w:tr w:rsidR="00AB4AFF" w:rsidRPr="00AB4AFF" w14:paraId="37501502" w14:textId="77777777" w:rsidTr="008C0F8B">
        <w:trPr>
          <w:trHeight w:val="290"/>
        </w:trPr>
        <w:tc>
          <w:tcPr>
            <w:tcW w:w="1070" w:type="dxa"/>
            <w:tcBorders>
              <w:top w:val="nil"/>
              <w:left w:val="single" w:sz="8" w:space="0" w:color="auto"/>
              <w:bottom w:val="single" w:sz="4" w:space="0" w:color="auto"/>
              <w:right w:val="single" w:sz="4" w:space="0" w:color="auto"/>
            </w:tcBorders>
            <w:shd w:val="clear" w:color="000000" w:fill="FFFFFF"/>
            <w:noWrap/>
            <w:vAlign w:val="bottom"/>
            <w:hideMark/>
          </w:tcPr>
          <w:p w14:paraId="52466F6D"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2:110125647</w:t>
            </w:r>
          </w:p>
        </w:tc>
        <w:tc>
          <w:tcPr>
            <w:tcW w:w="498" w:type="dxa"/>
            <w:tcBorders>
              <w:top w:val="nil"/>
              <w:left w:val="nil"/>
              <w:bottom w:val="single" w:sz="4" w:space="0" w:color="auto"/>
              <w:right w:val="single" w:sz="4" w:space="0" w:color="auto"/>
            </w:tcBorders>
            <w:shd w:val="clear" w:color="000000" w:fill="FFFFFF"/>
            <w:noWrap/>
            <w:vAlign w:val="bottom"/>
            <w:hideMark/>
          </w:tcPr>
          <w:p w14:paraId="732D86EE"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C</w:t>
            </w:r>
          </w:p>
        </w:tc>
        <w:tc>
          <w:tcPr>
            <w:tcW w:w="498" w:type="dxa"/>
            <w:tcBorders>
              <w:top w:val="nil"/>
              <w:left w:val="nil"/>
              <w:bottom w:val="single" w:sz="4" w:space="0" w:color="auto"/>
              <w:right w:val="single" w:sz="8" w:space="0" w:color="auto"/>
            </w:tcBorders>
            <w:shd w:val="clear" w:color="000000" w:fill="FFFFFF"/>
            <w:noWrap/>
            <w:vAlign w:val="bottom"/>
            <w:hideMark/>
          </w:tcPr>
          <w:p w14:paraId="349E4C9A"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A</w:t>
            </w:r>
          </w:p>
        </w:tc>
        <w:tc>
          <w:tcPr>
            <w:tcW w:w="632" w:type="dxa"/>
            <w:tcBorders>
              <w:top w:val="nil"/>
              <w:left w:val="nil"/>
              <w:bottom w:val="single" w:sz="4" w:space="0" w:color="auto"/>
              <w:right w:val="single" w:sz="4" w:space="0" w:color="auto"/>
            </w:tcBorders>
            <w:shd w:val="clear" w:color="000000" w:fill="FFFFFF"/>
            <w:noWrap/>
            <w:vAlign w:val="bottom"/>
            <w:hideMark/>
          </w:tcPr>
          <w:p w14:paraId="37ED7867"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ns</w:t>
            </w:r>
          </w:p>
        </w:tc>
        <w:tc>
          <w:tcPr>
            <w:tcW w:w="850" w:type="dxa"/>
            <w:tcBorders>
              <w:top w:val="nil"/>
              <w:left w:val="nil"/>
              <w:bottom w:val="single" w:sz="4" w:space="0" w:color="auto"/>
              <w:right w:val="single" w:sz="8" w:space="0" w:color="auto"/>
            </w:tcBorders>
            <w:shd w:val="clear" w:color="000000" w:fill="FFFFFF"/>
            <w:noWrap/>
            <w:vAlign w:val="bottom"/>
            <w:hideMark/>
          </w:tcPr>
          <w:p w14:paraId="2C30D3B2"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R640I</w:t>
            </w:r>
          </w:p>
        </w:tc>
        <w:tc>
          <w:tcPr>
            <w:tcW w:w="990" w:type="dxa"/>
            <w:tcBorders>
              <w:top w:val="nil"/>
              <w:left w:val="nil"/>
              <w:bottom w:val="single" w:sz="4" w:space="0" w:color="auto"/>
              <w:right w:val="single" w:sz="4" w:space="0" w:color="auto"/>
            </w:tcBorders>
            <w:shd w:val="clear" w:color="000000" w:fill="FFFFFF"/>
            <w:noWrap/>
            <w:vAlign w:val="bottom"/>
            <w:hideMark/>
          </w:tcPr>
          <w:p w14:paraId="68362A0E"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 </w:t>
            </w:r>
          </w:p>
        </w:tc>
        <w:tc>
          <w:tcPr>
            <w:tcW w:w="500" w:type="dxa"/>
            <w:tcBorders>
              <w:top w:val="nil"/>
              <w:left w:val="nil"/>
              <w:bottom w:val="single" w:sz="4" w:space="0" w:color="auto"/>
              <w:right w:val="single" w:sz="4" w:space="0" w:color="auto"/>
            </w:tcBorders>
            <w:shd w:val="clear" w:color="000000" w:fill="FFFFFF"/>
            <w:noWrap/>
            <w:vAlign w:val="bottom"/>
            <w:hideMark/>
          </w:tcPr>
          <w:p w14:paraId="00F8457D"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29.7</w:t>
            </w:r>
          </w:p>
        </w:tc>
        <w:tc>
          <w:tcPr>
            <w:tcW w:w="534" w:type="dxa"/>
            <w:tcBorders>
              <w:top w:val="nil"/>
              <w:left w:val="nil"/>
              <w:bottom w:val="single" w:sz="4" w:space="0" w:color="auto"/>
              <w:right w:val="single" w:sz="4" w:space="0" w:color="auto"/>
            </w:tcBorders>
            <w:shd w:val="clear" w:color="000000" w:fill="FFFFFF"/>
            <w:noWrap/>
            <w:vAlign w:val="bottom"/>
            <w:hideMark/>
          </w:tcPr>
          <w:p w14:paraId="4F8E7D30"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 </w:t>
            </w:r>
          </w:p>
        </w:tc>
        <w:tc>
          <w:tcPr>
            <w:tcW w:w="498" w:type="dxa"/>
            <w:tcBorders>
              <w:top w:val="nil"/>
              <w:left w:val="nil"/>
              <w:bottom w:val="single" w:sz="4" w:space="0" w:color="auto"/>
              <w:right w:val="single" w:sz="8" w:space="0" w:color="auto"/>
            </w:tcBorders>
            <w:shd w:val="clear" w:color="000000" w:fill="FFFFFF"/>
            <w:noWrap/>
            <w:vAlign w:val="bottom"/>
            <w:hideMark/>
          </w:tcPr>
          <w:p w14:paraId="28657DCC"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VUS</w:t>
            </w:r>
          </w:p>
        </w:tc>
        <w:tc>
          <w:tcPr>
            <w:tcW w:w="298" w:type="dxa"/>
            <w:tcBorders>
              <w:top w:val="nil"/>
              <w:left w:val="nil"/>
              <w:bottom w:val="single" w:sz="4" w:space="0" w:color="auto"/>
              <w:right w:val="single" w:sz="4" w:space="0" w:color="auto"/>
            </w:tcBorders>
            <w:shd w:val="clear" w:color="auto" w:fill="auto"/>
            <w:noWrap/>
            <w:vAlign w:val="bottom"/>
            <w:hideMark/>
          </w:tcPr>
          <w:p w14:paraId="5897B481"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 </w:t>
            </w:r>
          </w:p>
        </w:tc>
        <w:tc>
          <w:tcPr>
            <w:tcW w:w="298" w:type="dxa"/>
            <w:tcBorders>
              <w:top w:val="nil"/>
              <w:left w:val="nil"/>
              <w:bottom w:val="single" w:sz="4" w:space="0" w:color="auto"/>
              <w:right w:val="single" w:sz="4" w:space="0" w:color="auto"/>
            </w:tcBorders>
            <w:shd w:val="clear" w:color="auto" w:fill="auto"/>
            <w:noWrap/>
            <w:vAlign w:val="bottom"/>
            <w:hideMark/>
          </w:tcPr>
          <w:p w14:paraId="4EF497F2"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 </w:t>
            </w:r>
          </w:p>
        </w:tc>
        <w:tc>
          <w:tcPr>
            <w:tcW w:w="298" w:type="dxa"/>
            <w:tcBorders>
              <w:top w:val="nil"/>
              <w:left w:val="nil"/>
              <w:bottom w:val="single" w:sz="4" w:space="0" w:color="auto"/>
              <w:right w:val="single" w:sz="4" w:space="0" w:color="auto"/>
            </w:tcBorders>
            <w:shd w:val="clear" w:color="auto" w:fill="auto"/>
            <w:noWrap/>
            <w:vAlign w:val="bottom"/>
            <w:hideMark/>
          </w:tcPr>
          <w:p w14:paraId="18760C03" w14:textId="77777777" w:rsidR="00AB4AFF" w:rsidRPr="00AB4AFF" w:rsidRDefault="00AB4AFF" w:rsidP="00AB4AFF">
            <w:pPr>
              <w:spacing w:after="0" w:line="240" w:lineRule="auto"/>
              <w:jc w:val="center"/>
              <w:rPr>
                <w:rFonts w:ascii="Calibri" w:eastAsia="Times New Roman" w:hAnsi="Calibri" w:cs="Calibri"/>
                <w:i/>
                <w:iCs/>
                <w:color w:val="000000"/>
                <w:sz w:val="16"/>
                <w:szCs w:val="16"/>
              </w:rPr>
            </w:pPr>
            <w:r w:rsidRPr="00AB4AFF">
              <w:rPr>
                <w:rFonts w:ascii="Calibri" w:eastAsia="Times New Roman" w:hAnsi="Calibri" w:cs="Calibri"/>
                <w:i/>
                <w:iCs/>
                <w:color w:val="000000"/>
                <w:sz w:val="16"/>
                <w:szCs w:val="16"/>
              </w:rPr>
              <w:t> </w:t>
            </w:r>
          </w:p>
        </w:tc>
        <w:tc>
          <w:tcPr>
            <w:tcW w:w="298" w:type="dxa"/>
            <w:tcBorders>
              <w:top w:val="nil"/>
              <w:left w:val="nil"/>
              <w:bottom w:val="single" w:sz="4" w:space="0" w:color="auto"/>
              <w:right w:val="single" w:sz="4" w:space="0" w:color="auto"/>
            </w:tcBorders>
            <w:shd w:val="clear" w:color="auto" w:fill="auto"/>
            <w:noWrap/>
            <w:vAlign w:val="bottom"/>
            <w:hideMark/>
          </w:tcPr>
          <w:p w14:paraId="03B7948D" w14:textId="77777777" w:rsidR="00AB4AFF" w:rsidRPr="00AB4AFF" w:rsidRDefault="00AB4AFF" w:rsidP="00AB4AFF">
            <w:pPr>
              <w:spacing w:after="0" w:line="240" w:lineRule="auto"/>
              <w:jc w:val="center"/>
              <w:rPr>
                <w:rFonts w:ascii="Calibri" w:eastAsia="Times New Roman" w:hAnsi="Calibri" w:cs="Calibri"/>
                <w:i/>
                <w:iCs/>
                <w:color w:val="000000"/>
                <w:sz w:val="16"/>
                <w:szCs w:val="16"/>
              </w:rPr>
            </w:pPr>
            <w:r w:rsidRPr="00AB4AFF">
              <w:rPr>
                <w:rFonts w:ascii="Calibri" w:eastAsia="Times New Roman" w:hAnsi="Calibri" w:cs="Calibri"/>
                <w:i/>
                <w:iCs/>
                <w:color w:val="000000"/>
                <w:sz w:val="16"/>
                <w:szCs w:val="16"/>
              </w:rPr>
              <w:t> </w:t>
            </w:r>
          </w:p>
        </w:tc>
        <w:tc>
          <w:tcPr>
            <w:tcW w:w="298" w:type="dxa"/>
            <w:tcBorders>
              <w:top w:val="nil"/>
              <w:left w:val="nil"/>
              <w:bottom w:val="single" w:sz="4" w:space="0" w:color="auto"/>
              <w:right w:val="single" w:sz="4" w:space="0" w:color="auto"/>
            </w:tcBorders>
            <w:shd w:val="clear" w:color="auto" w:fill="auto"/>
            <w:noWrap/>
            <w:vAlign w:val="bottom"/>
            <w:hideMark/>
          </w:tcPr>
          <w:p w14:paraId="34CAA74F" w14:textId="77777777" w:rsidR="00AB4AFF" w:rsidRPr="00AB4AFF" w:rsidRDefault="00AB4AFF" w:rsidP="00AB4AFF">
            <w:pPr>
              <w:spacing w:after="0" w:line="240" w:lineRule="auto"/>
              <w:jc w:val="center"/>
              <w:rPr>
                <w:rFonts w:ascii="Calibri" w:eastAsia="Times New Roman" w:hAnsi="Calibri" w:cs="Calibri"/>
                <w:i/>
                <w:iCs/>
                <w:color w:val="000000"/>
                <w:sz w:val="16"/>
                <w:szCs w:val="16"/>
              </w:rPr>
            </w:pPr>
            <w:r w:rsidRPr="00AB4AFF">
              <w:rPr>
                <w:rFonts w:ascii="Calibri" w:eastAsia="Times New Roman" w:hAnsi="Calibri" w:cs="Calibri"/>
                <w:i/>
                <w:iCs/>
                <w:color w:val="000000"/>
                <w:sz w:val="16"/>
                <w:szCs w:val="16"/>
              </w:rPr>
              <w:t> </w:t>
            </w:r>
          </w:p>
        </w:tc>
        <w:tc>
          <w:tcPr>
            <w:tcW w:w="298" w:type="dxa"/>
            <w:tcBorders>
              <w:top w:val="nil"/>
              <w:left w:val="nil"/>
              <w:bottom w:val="single" w:sz="4" w:space="0" w:color="auto"/>
              <w:right w:val="single" w:sz="4" w:space="0" w:color="auto"/>
            </w:tcBorders>
            <w:shd w:val="clear" w:color="auto" w:fill="auto"/>
            <w:noWrap/>
            <w:vAlign w:val="bottom"/>
            <w:hideMark/>
          </w:tcPr>
          <w:p w14:paraId="5D81637B" w14:textId="77777777" w:rsidR="00AB4AFF" w:rsidRPr="00AB4AFF" w:rsidRDefault="00AB4AFF" w:rsidP="00AB4AFF">
            <w:pPr>
              <w:spacing w:after="0" w:line="240" w:lineRule="auto"/>
              <w:jc w:val="center"/>
              <w:rPr>
                <w:rFonts w:ascii="Calibri" w:eastAsia="Times New Roman" w:hAnsi="Calibri" w:cs="Calibri"/>
                <w:i/>
                <w:iCs/>
                <w:color w:val="000000"/>
                <w:sz w:val="16"/>
                <w:szCs w:val="16"/>
              </w:rPr>
            </w:pPr>
            <w:r w:rsidRPr="00AB4AFF">
              <w:rPr>
                <w:rFonts w:ascii="Calibri" w:eastAsia="Times New Roman" w:hAnsi="Calibri" w:cs="Calibri"/>
                <w:i/>
                <w:iCs/>
                <w:color w:val="000000"/>
                <w:sz w:val="16"/>
                <w:szCs w:val="16"/>
              </w:rPr>
              <w:t> </w:t>
            </w:r>
          </w:p>
        </w:tc>
        <w:tc>
          <w:tcPr>
            <w:tcW w:w="298" w:type="dxa"/>
            <w:tcBorders>
              <w:top w:val="nil"/>
              <w:left w:val="nil"/>
              <w:bottom w:val="single" w:sz="4" w:space="0" w:color="auto"/>
              <w:right w:val="single" w:sz="4" w:space="0" w:color="auto"/>
            </w:tcBorders>
            <w:shd w:val="clear" w:color="auto" w:fill="auto"/>
            <w:noWrap/>
            <w:vAlign w:val="bottom"/>
            <w:hideMark/>
          </w:tcPr>
          <w:p w14:paraId="47D24119" w14:textId="77777777" w:rsidR="00AB4AFF" w:rsidRPr="00AB4AFF" w:rsidRDefault="00AB4AFF" w:rsidP="00AB4AFF">
            <w:pPr>
              <w:spacing w:after="0" w:line="240" w:lineRule="auto"/>
              <w:jc w:val="center"/>
              <w:rPr>
                <w:rFonts w:ascii="Calibri" w:eastAsia="Times New Roman" w:hAnsi="Calibri" w:cs="Calibri"/>
                <w:i/>
                <w:iCs/>
                <w:color w:val="000000"/>
                <w:sz w:val="16"/>
                <w:szCs w:val="16"/>
              </w:rPr>
            </w:pPr>
            <w:r w:rsidRPr="00AB4AFF">
              <w:rPr>
                <w:rFonts w:ascii="Calibri" w:eastAsia="Times New Roman" w:hAnsi="Calibri" w:cs="Calibri"/>
                <w:i/>
                <w:iCs/>
                <w:color w:val="000000"/>
                <w:sz w:val="16"/>
                <w:szCs w:val="16"/>
              </w:rPr>
              <w:t> </w:t>
            </w:r>
          </w:p>
        </w:tc>
        <w:tc>
          <w:tcPr>
            <w:tcW w:w="298" w:type="dxa"/>
            <w:tcBorders>
              <w:top w:val="nil"/>
              <w:left w:val="nil"/>
              <w:bottom w:val="single" w:sz="4" w:space="0" w:color="auto"/>
              <w:right w:val="single" w:sz="4" w:space="0" w:color="auto"/>
            </w:tcBorders>
            <w:shd w:val="clear" w:color="auto" w:fill="auto"/>
            <w:noWrap/>
            <w:vAlign w:val="bottom"/>
            <w:hideMark/>
          </w:tcPr>
          <w:p w14:paraId="681826A2" w14:textId="77777777" w:rsidR="00AB4AFF" w:rsidRPr="00AB4AFF" w:rsidRDefault="00AB4AFF" w:rsidP="00AB4AFF">
            <w:pPr>
              <w:spacing w:after="0" w:line="240" w:lineRule="auto"/>
              <w:jc w:val="center"/>
              <w:rPr>
                <w:rFonts w:ascii="Calibri" w:eastAsia="Times New Roman" w:hAnsi="Calibri" w:cs="Calibri"/>
                <w:i/>
                <w:iCs/>
                <w:color w:val="000000"/>
                <w:sz w:val="16"/>
                <w:szCs w:val="16"/>
              </w:rPr>
            </w:pPr>
            <w:r w:rsidRPr="00AB4AFF">
              <w:rPr>
                <w:rFonts w:ascii="Calibri" w:eastAsia="Times New Roman" w:hAnsi="Calibri" w:cs="Calibri"/>
                <w:i/>
                <w:iCs/>
                <w:color w:val="000000"/>
                <w:sz w:val="16"/>
                <w:szCs w:val="16"/>
              </w:rPr>
              <w:t> </w:t>
            </w:r>
          </w:p>
        </w:tc>
        <w:tc>
          <w:tcPr>
            <w:tcW w:w="379" w:type="dxa"/>
            <w:tcBorders>
              <w:top w:val="nil"/>
              <w:left w:val="nil"/>
              <w:bottom w:val="single" w:sz="4" w:space="0" w:color="auto"/>
              <w:right w:val="single" w:sz="4" w:space="0" w:color="auto"/>
            </w:tcBorders>
            <w:shd w:val="clear" w:color="auto" w:fill="auto"/>
            <w:noWrap/>
            <w:vAlign w:val="bottom"/>
            <w:hideMark/>
          </w:tcPr>
          <w:p w14:paraId="018F0ACB" w14:textId="77777777" w:rsidR="00AB4AFF" w:rsidRPr="00AB4AFF" w:rsidRDefault="00AB4AFF" w:rsidP="00AB4AFF">
            <w:pPr>
              <w:spacing w:after="0" w:line="240" w:lineRule="auto"/>
              <w:jc w:val="center"/>
              <w:rPr>
                <w:rFonts w:ascii="Calibri" w:eastAsia="Times New Roman" w:hAnsi="Calibri" w:cs="Calibri"/>
                <w:i/>
                <w:iCs/>
                <w:color w:val="000000"/>
                <w:sz w:val="16"/>
                <w:szCs w:val="16"/>
              </w:rPr>
            </w:pPr>
            <w:r w:rsidRPr="00AB4AFF">
              <w:rPr>
                <w:rFonts w:ascii="Calibri" w:eastAsia="Times New Roman" w:hAnsi="Calibri" w:cs="Calibri"/>
                <w:i/>
                <w:iCs/>
                <w:color w:val="000000"/>
                <w:sz w:val="16"/>
                <w:szCs w:val="16"/>
              </w:rPr>
              <w:t> </w:t>
            </w:r>
          </w:p>
        </w:tc>
        <w:tc>
          <w:tcPr>
            <w:tcW w:w="379" w:type="dxa"/>
            <w:tcBorders>
              <w:top w:val="nil"/>
              <w:left w:val="nil"/>
              <w:bottom w:val="single" w:sz="4" w:space="0" w:color="auto"/>
              <w:right w:val="single" w:sz="4" w:space="0" w:color="auto"/>
            </w:tcBorders>
            <w:shd w:val="clear" w:color="000000" w:fill="9BC2E6"/>
            <w:noWrap/>
            <w:vAlign w:val="bottom"/>
            <w:hideMark/>
          </w:tcPr>
          <w:p w14:paraId="679DBD79" w14:textId="77777777" w:rsidR="00AB4AFF" w:rsidRPr="00AB4AFF" w:rsidRDefault="00AB4AFF" w:rsidP="00AB4AFF">
            <w:pPr>
              <w:spacing w:after="0" w:line="240" w:lineRule="auto"/>
              <w:jc w:val="center"/>
              <w:rPr>
                <w:rFonts w:ascii="Calibri" w:eastAsia="Times New Roman" w:hAnsi="Calibri" w:cs="Calibri"/>
                <w:i/>
                <w:iCs/>
                <w:color w:val="000000"/>
                <w:sz w:val="16"/>
                <w:szCs w:val="16"/>
              </w:rPr>
            </w:pPr>
            <w:r w:rsidRPr="00AB4AFF">
              <w:rPr>
                <w:rFonts w:ascii="Calibri" w:eastAsia="Times New Roman" w:hAnsi="Calibri" w:cs="Calibri"/>
                <w:i/>
                <w:iCs/>
                <w:color w:val="000000"/>
                <w:sz w:val="16"/>
                <w:szCs w:val="16"/>
              </w:rPr>
              <w:t>t</w:t>
            </w:r>
          </w:p>
        </w:tc>
        <w:tc>
          <w:tcPr>
            <w:tcW w:w="379" w:type="dxa"/>
            <w:tcBorders>
              <w:top w:val="nil"/>
              <w:left w:val="nil"/>
              <w:bottom w:val="single" w:sz="4" w:space="0" w:color="auto"/>
              <w:right w:val="single" w:sz="4" w:space="0" w:color="auto"/>
            </w:tcBorders>
            <w:shd w:val="clear" w:color="auto" w:fill="auto"/>
            <w:noWrap/>
            <w:vAlign w:val="bottom"/>
            <w:hideMark/>
          </w:tcPr>
          <w:p w14:paraId="297ABFD9"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 </w:t>
            </w:r>
          </w:p>
        </w:tc>
        <w:tc>
          <w:tcPr>
            <w:tcW w:w="379" w:type="dxa"/>
            <w:tcBorders>
              <w:top w:val="nil"/>
              <w:left w:val="nil"/>
              <w:bottom w:val="single" w:sz="4" w:space="0" w:color="auto"/>
              <w:right w:val="single" w:sz="4" w:space="0" w:color="auto"/>
            </w:tcBorders>
            <w:shd w:val="clear" w:color="auto" w:fill="auto"/>
            <w:noWrap/>
            <w:vAlign w:val="bottom"/>
            <w:hideMark/>
          </w:tcPr>
          <w:p w14:paraId="651EB48F"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 </w:t>
            </w:r>
          </w:p>
        </w:tc>
        <w:tc>
          <w:tcPr>
            <w:tcW w:w="379" w:type="dxa"/>
            <w:tcBorders>
              <w:top w:val="nil"/>
              <w:left w:val="nil"/>
              <w:bottom w:val="single" w:sz="4" w:space="0" w:color="auto"/>
              <w:right w:val="single" w:sz="4" w:space="0" w:color="auto"/>
            </w:tcBorders>
            <w:shd w:val="clear" w:color="auto" w:fill="auto"/>
            <w:noWrap/>
            <w:vAlign w:val="bottom"/>
            <w:hideMark/>
          </w:tcPr>
          <w:p w14:paraId="6601ABC9"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 </w:t>
            </w:r>
          </w:p>
        </w:tc>
        <w:tc>
          <w:tcPr>
            <w:tcW w:w="379" w:type="dxa"/>
            <w:tcBorders>
              <w:top w:val="nil"/>
              <w:left w:val="nil"/>
              <w:bottom w:val="single" w:sz="4" w:space="0" w:color="auto"/>
              <w:right w:val="single" w:sz="4" w:space="0" w:color="auto"/>
            </w:tcBorders>
            <w:shd w:val="clear" w:color="auto" w:fill="auto"/>
            <w:noWrap/>
            <w:vAlign w:val="bottom"/>
            <w:hideMark/>
          </w:tcPr>
          <w:p w14:paraId="6928360D"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 </w:t>
            </w:r>
          </w:p>
        </w:tc>
        <w:tc>
          <w:tcPr>
            <w:tcW w:w="379" w:type="dxa"/>
            <w:tcBorders>
              <w:top w:val="nil"/>
              <w:left w:val="nil"/>
              <w:bottom w:val="single" w:sz="4" w:space="0" w:color="auto"/>
              <w:right w:val="single" w:sz="4" w:space="0" w:color="auto"/>
            </w:tcBorders>
            <w:shd w:val="clear" w:color="auto" w:fill="auto"/>
            <w:noWrap/>
            <w:vAlign w:val="bottom"/>
            <w:hideMark/>
          </w:tcPr>
          <w:p w14:paraId="46AE907A"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 </w:t>
            </w:r>
          </w:p>
        </w:tc>
        <w:tc>
          <w:tcPr>
            <w:tcW w:w="379" w:type="dxa"/>
            <w:tcBorders>
              <w:top w:val="nil"/>
              <w:left w:val="nil"/>
              <w:bottom w:val="single" w:sz="4" w:space="0" w:color="auto"/>
              <w:right w:val="single" w:sz="4" w:space="0" w:color="auto"/>
            </w:tcBorders>
            <w:shd w:val="clear" w:color="auto" w:fill="auto"/>
            <w:noWrap/>
            <w:vAlign w:val="bottom"/>
            <w:hideMark/>
          </w:tcPr>
          <w:p w14:paraId="31E9668C"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 </w:t>
            </w:r>
          </w:p>
        </w:tc>
        <w:tc>
          <w:tcPr>
            <w:tcW w:w="379" w:type="dxa"/>
            <w:tcBorders>
              <w:top w:val="nil"/>
              <w:left w:val="nil"/>
              <w:bottom w:val="single" w:sz="4" w:space="0" w:color="auto"/>
              <w:right w:val="single" w:sz="4" w:space="0" w:color="auto"/>
            </w:tcBorders>
            <w:shd w:val="clear" w:color="auto" w:fill="auto"/>
            <w:noWrap/>
            <w:vAlign w:val="bottom"/>
            <w:hideMark/>
          </w:tcPr>
          <w:p w14:paraId="620FD49C"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 </w:t>
            </w:r>
          </w:p>
        </w:tc>
        <w:tc>
          <w:tcPr>
            <w:tcW w:w="379" w:type="dxa"/>
            <w:tcBorders>
              <w:top w:val="nil"/>
              <w:left w:val="nil"/>
              <w:bottom w:val="single" w:sz="4" w:space="0" w:color="auto"/>
              <w:right w:val="single" w:sz="4" w:space="0" w:color="auto"/>
            </w:tcBorders>
            <w:shd w:val="clear" w:color="auto" w:fill="auto"/>
            <w:noWrap/>
            <w:vAlign w:val="bottom"/>
            <w:hideMark/>
          </w:tcPr>
          <w:p w14:paraId="145C5704"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 </w:t>
            </w:r>
          </w:p>
        </w:tc>
        <w:tc>
          <w:tcPr>
            <w:tcW w:w="379" w:type="dxa"/>
            <w:tcBorders>
              <w:top w:val="nil"/>
              <w:left w:val="nil"/>
              <w:bottom w:val="single" w:sz="4" w:space="0" w:color="auto"/>
              <w:right w:val="single" w:sz="4" w:space="0" w:color="auto"/>
            </w:tcBorders>
            <w:shd w:val="clear" w:color="auto" w:fill="auto"/>
            <w:noWrap/>
            <w:vAlign w:val="bottom"/>
            <w:hideMark/>
          </w:tcPr>
          <w:p w14:paraId="3582EEF9"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 </w:t>
            </w:r>
          </w:p>
        </w:tc>
        <w:tc>
          <w:tcPr>
            <w:tcW w:w="379" w:type="dxa"/>
            <w:tcBorders>
              <w:top w:val="nil"/>
              <w:left w:val="nil"/>
              <w:bottom w:val="single" w:sz="4" w:space="0" w:color="auto"/>
              <w:right w:val="single" w:sz="4" w:space="0" w:color="auto"/>
            </w:tcBorders>
            <w:shd w:val="clear" w:color="auto" w:fill="auto"/>
            <w:noWrap/>
            <w:vAlign w:val="bottom"/>
            <w:hideMark/>
          </w:tcPr>
          <w:p w14:paraId="7B169AF9"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 </w:t>
            </w:r>
          </w:p>
        </w:tc>
        <w:tc>
          <w:tcPr>
            <w:tcW w:w="379" w:type="dxa"/>
            <w:tcBorders>
              <w:top w:val="nil"/>
              <w:left w:val="nil"/>
              <w:bottom w:val="single" w:sz="4" w:space="0" w:color="auto"/>
              <w:right w:val="single" w:sz="4" w:space="0" w:color="auto"/>
            </w:tcBorders>
            <w:shd w:val="clear" w:color="auto" w:fill="auto"/>
            <w:noWrap/>
            <w:vAlign w:val="bottom"/>
            <w:hideMark/>
          </w:tcPr>
          <w:p w14:paraId="2D443E77"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 </w:t>
            </w:r>
          </w:p>
        </w:tc>
        <w:tc>
          <w:tcPr>
            <w:tcW w:w="379" w:type="dxa"/>
            <w:tcBorders>
              <w:top w:val="nil"/>
              <w:left w:val="nil"/>
              <w:bottom w:val="single" w:sz="4" w:space="0" w:color="auto"/>
              <w:right w:val="single" w:sz="4" w:space="0" w:color="auto"/>
            </w:tcBorders>
            <w:shd w:val="clear" w:color="auto" w:fill="auto"/>
            <w:noWrap/>
            <w:vAlign w:val="bottom"/>
            <w:hideMark/>
          </w:tcPr>
          <w:p w14:paraId="2E1D2663"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 </w:t>
            </w:r>
          </w:p>
        </w:tc>
        <w:tc>
          <w:tcPr>
            <w:tcW w:w="379" w:type="dxa"/>
            <w:tcBorders>
              <w:top w:val="nil"/>
              <w:left w:val="nil"/>
              <w:bottom w:val="single" w:sz="4" w:space="0" w:color="auto"/>
              <w:right w:val="single" w:sz="4" w:space="0" w:color="auto"/>
            </w:tcBorders>
            <w:shd w:val="clear" w:color="auto" w:fill="auto"/>
            <w:noWrap/>
            <w:vAlign w:val="bottom"/>
            <w:hideMark/>
          </w:tcPr>
          <w:p w14:paraId="2F565E8F"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 </w:t>
            </w:r>
          </w:p>
        </w:tc>
        <w:tc>
          <w:tcPr>
            <w:tcW w:w="379" w:type="dxa"/>
            <w:tcBorders>
              <w:top w:val="nil"/>
              <w:left w:val="nil"/>
              <w:bottom w:val="single" w:sz="4" w:space="0" w:color="auto"/>
              <w:right w:val="single" w:sz="4" w:space="0" w:color="auto"/>
            </w:tcBorders>
            <w:shd w:val="clear" w:color="auto" w:fill="auto"/>
            <w:noWrap/>
            <w:vAlign w:val="bottom"/>
            <w:hideMark/>
          </w:tcPr>
          <w:p w14:paraId="1F766F70"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 </w:t>
            </w:r>
          </w:p>
        </w:tc>
        <w:tc>
          <w:tcPr>
            <w:tcW w:w="379" w:type="dxa"/>
            <w:tcBorders>
              <w:top w:val="nil"/>
              <w:left w:val="nil"/>
              <w:bottom w:val="single" w:sz="4" w:space="0" w:color="auto"/>
              <w:right w:val="single" w:sz="4" w:space="0" w:color="auto"/>
            </w:tcBorders>
            <w:shd w:val="clear" w:color="auto" w:fill="auto"/>
            <w:noWrap/>
            <w:vAlign w:val="bottom"/>
            <w:hideMark/>
          </w:tcPr>
          <w:p w14:paraId="1D9DED36"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 </w:t>
            </w:r>
          </w:p>
        </w:tc>
        <w:tc>
          <w:tcPr>
            <w:tcW w:w="379" w:type="dxa"/>
            <w:tcBorders>
              <w:top w:val="nil"/>
              <w:left w:val="nil"/>
              <w:bottom w:val="single" w:sz="4" w:space="0" w:color="auto"/>
              <w:right w:val="single" w:sz="8" w:space="0" w:color="auto"/>
            </w:tcBorders>
            <w:shd w:val="clear" w:color="auto" w:fill="auto"/>
            <w:noWrap/>
            <w:vAlign w:val="bottom"/>
            <w:hideMark/>
          </w:tcPr>
          <w:p w14:paraId="4EA1FC12"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 </w:t>
            </w:r>
          </w:p>
        </w:tc>
      </w:tr>
      <w:tr w:rsidR="00AB4AFF" w:rsidRPr="00AB4AFF" w14:paraId="4A5898A7" w14:textId="77777777" w:rsidTr="008C0F8B">
        <w:trPr>
          <w:trHeight w:val="290"/>
        </w:trPr>
        <w:tc>
          <w:tcPr>
            <w:tcW w:w="1070" w:type="dxa"/>
            <w:tcBorders>
              <w:top w:val="nil"/>
              <w:left w:val="single" w:sz="8" w:space="0" w:color="auto"/>
              <w:bottom w:val="single" w:sz="4" w:space="0" w:color="auto"/>
              <w:right w:val="single" w:sz="4" w:space="0" w:color="auto"/>
            </w:tcBorders>
            <w:shd w:val="clear" w:color="000000" w:fill="FFFFFF"/>
            <w:noWrap/>
            <w:vAlign w:val="bottom"/>
            <w:hideMark/>
          </w:tcPr>
          <w:p w14:paraId="1642B8BC"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2:110125677</w:t>
            </w:r>
          </w:p>
        </w:tc>
        <w:tc>
          <w:tcPr>
            <w:tcW w:w="498" w:type="dxa"/>
            <w:tcBorders>
              <w:top w:val="nil"/>
              <w:left w:val="nil"/>
              <w:bottom w:val="single" w:sz="4" w:space="0" w:color="auto"/>
              <w:right w:val="single" w:sz="4" w:space="0" w:color="auto"/>
            </w:tcBorders>
            <w:shd w:val="clear" w:color="000000" w:fill="FFFFFF"/>
            <w:noWrap/>
            <w:vAlign w:val="bottom"/>
            <w:hideMark/>
          </w:tcPr>
          <w:p w14:paraId="18B5B0F5"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G</w:t>
            </w:r>
          </w:p>
        </w:tc>
        <w:tc>
          <w:tcPr>
            <w:tcW w:w="498" w:type="dxa"/>
            <w:tcBorders>
              <w:top w:val="nil"/>
              <w:left w:val="nil"/>
              <w:bottom w:val="single" w:sz="4" w:space="0" w:color="auto"/>
              <w:right w:val="single" w:sz="8" w:space="0" w:color="auto"/>
            </w:tcBorders>
            <w:shd w:val="clear" w:color="000000" w:fill="FFFFFF"/>
            <w:noWrap/>
            <w:vAlign w:val="bottom"/>
            <w:hideMark/>
          </w:tcPr>
          <w:p w14:paraId="0D526460"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A</w:t>
            </w:r>
          </w:p>
        </w:tc>
        <w:tc>
          <w:tcPr>
            <w:tcW w:w="632" w:type="dxa"/>
            <w:tcBorders>
              <w:top w:val="nil"/>
              <w:left w:val="nil"/>
              <w:bottom w:val="single" w:sz="4" w:space="0" w:color="auto"/>
              <w:right w:val="single" w:sz="4" w:space="0" w:color="auto"/>
            </w:tcBorders>
            <w:shd w:val="clear" w:color="000000" w:fill="FFFFFF"/>
            <w:noWrap/>
            <w:vAlign w:val="bottom"/>
            <w:hideMark/>
          </w:tcPr>
          <w:p w14:paraId="2CE16149"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ns</w:t>
            </w:r>
          </w:p>
        </w:tc>
        <w:tc>
          <w:tcPr>
            <w:tcW w:w="850" w:type="dxa"/>
            <w:tcBorders>
              <w:top w:val="nil"/>
              <w:left w:val="nil"/>
              <w:bottom w:val="single" w:sz="4" w:space="0" w:color="auto"/>
              <w:right w:val="single" w:sz="8" w:space="0" w:color="auto"/>
            </w:tcBorders>
            <w:shd w:val="clear" w:color="000000" w:fill="FFFFFF"/>
            <w:noWrap/>
            <w:vAlign w:val="bottom"/>
            <w:hideMark/>
          </w:tcPr>
          <w:p w14:paraId="5D5E0004"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S630L</w:t>
            </w:r>
          </w:p>
        </w:tc>
        <w:tc>
          <w:tcPr>
            <w:tcW w:w="990" w:type="dxa"/>
            <w:tcBorders>
              <w:top w:val="nil"/>
              <w:left w:val="nil"/>
              <w:bottom w:val="single" w:sz="4" w:space="0" w:color="auto"/>
              <w:right w:val="single" w:sz="4" w:space="0" w:color="auto"/>
            </w:tcBorders>
            <w:shd w:val="clear" w:color="000000" w:fill="FFFFFF"/>
            <w:noWrap/>
            <w:vAlign w:val="bottom"/>
            <w:hideMark/>
          </w:tcPr>
          <w:p w14:paraId="7A3372C4"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2.00E-04</w:t>
            </w:r>
          </w:p>
        </w:tc>
        <w:tc>
          <w:tcPr>
            <w:tcW w:w="500" w:type="dxa"/>
            <w:tcBorders>
              <w:top w:val="nil"/>
              <w:left w:val="nil"/>
              <w:bottom w:val="single" w:sz="4" w:space="0" w:color="auto"/>
              <w:right w:val="single" w:sz="4" w:space="0" w:color="auto"/>
            </w:tcBorders>
            <w:shd w:val="clear" w:color="000000" w:fill="FFFFFF"/>
            <w:noWrap/>
            <w:vAlign w:val="bottom"/>
            <w:hideMark/>
          </w:tcPr>
          <w:p w14:paraId="22C6B6D3"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25.7</w:t>
            </w:r>
          </w:p>
        </w:tc>
        <w:tc>
          <w:tcPr>
            <w:tcW w:w="534" w:type="dxa"/>
            <w:tcBorders>
              <w:top w:val="nil"/>
              <w:left w:val="nil"/>
              <w:bottom w:val="single" w:sz="4" w:space="0" w:color="auto"/>
              <w:right w:val="single" w:sz="4" w:space="0" w:color="auto"/>
            </w:tcBorders>
            <w:shd w:val="clear" w:color="000000" w:fill="FFFFFF"/>
            <w:noWrap/>
            <w:vAlign w:val="bottom"/>
            <w:hideMark/>
          </w:tcPr>
          <w:p w14:paraId="3C608C9A"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VUS</w:t>
            </w:r>
          </w:p>
        </w:tc>
        <w:tc>
          <w:tcPr>
            <w:tcW w:w="498" w:type="dxa"/>
            <w:tcBorders>
              <w:top w:val="nil"/>
              <w:left w:val="nil"/>
              <w:bottom w:val="single" w:sz="4" w:space="0" w:color="auto"/>
              <w:right w:val="single" w:sz="8" w:space="0" w:color="auto"/>
            </w:tcBorders>
            <w:shd w:val="clear" w:color="000000" w:fill="FFFFFF"/>
            <w:noWrap/>
            <w:vAlign w:val="bottom"/>
            <w:hideMark/>
          </w:tcPr>
          <w:p w14:paraId="5EFEC284"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VUS</w:t>
            </w:r>
          </w:p>
        </w:tc>
        <w:tc>
          <w:tcPr>
            <w:tcW w:w="298" w:type="dxa"/>
            <w:tcBorders>
              <w:top w:val="nil"/>
              <w:left w:val="nil"/>
              <w:bottom w:val="single" w:sz="4" w:space="0" w:color="auto"/>
              <w:right w:val="single" w:sz="4" w:space="0" w:color="auto"/>
            </w:tcBorders>
            <w:shd w:val="clear" w:color="auto" w:fill="auto"/>
            <w:noWrap/>
            <w:vAlign w:val="bottom"/>
            <w:hideMark/>
          </w:tcPr>
          <w:p w14:paraId="6E79223C"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 </w:t>
            </w:r>
          </w:p>
        </w:tc>
        <w:tc>
          <w:tcPr>
            <w:tcW w:w="298" w:type="dxa"/>
            <w:tcBorders>
              <w:top w:val="nil"/>
              <w:left w:val="nil"/>
              <w:bottom w:val="single" w:sz="4" w:space="0" w:color="auto"/>
              <w:right w:val="single" w:sz="4" w:space="0" w:color="auto"/>
            </w:tcBorders>
            <w:shd w:val="clear" w:color="auto" w:fill="auto"/>
            <w:noWrap/>
            <w:vAlign w:val="bottom"/>
            <w:hideMark/>
          </w:tcPr>
          <w:p w14:paraId="3823414C"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 </w:t>
            </w:r>
          </w:p>
        </w:tc>
        <w:tc>
          <w:tcPr>
            <w:tcW w:w="298" w:type="dxa"/>
            <w:tcBorders>
              <w:top w:val="nil"/>
              <w:left w:val="nil"/>
              <w:bottom w:val="single" w:sz="4" w:space="0" w:color="auto"/>
              <w:right w:val="single" w:sz="4" w:space="0" w:color="auto"/>
            </w:tcBorders>
            <w:shd w:val="clear" w:color="auto" w:fill="auto"/>
            <w:noWrap/>
            <w:vAlign w:val="bottom"/>
            <w:hideMark/>
          </w:tcPr>
          <w:p w14:paraId="3B8CD0DC" w14:textId="77777777" w:rsidR="00AB4AFF" w:rsidRPr="00AB4AFF" w:rsidRDefault="00AB4AFF" w:rsidP="00AB4AFF">
            <w:pPr>
              <w:spacing w:after="0" w:line="240" w:lineRule="auto"/>
              <w:jc w:val="center"/>
              <w:rPr>
                <w:rFonts w:ascii="Calibri" w:eastAsia="Times New Roman" w:hAnsi="Calibri" w:cs="Calibri"/>
                <w:i/>
                <w:iCs/>
                <w:color w:val="000000"/>
                <w:sz w:val="16"/>
                <w:szCs w:val="16"/>
              </w:rPr>
            </w:pPr>
            <w:r w:rsidRPr="00AB4AFF">
              <w:rPr>
                <w:rFonts w:ascii="Calibri" w:eastAsia="Times New Roman" w:hAnsi="Calibri" w:cs="Calibri"/>
                <w:i/>
                <w:iCs/>
                <w:color w:val="000000"/>
                <w:sz w:val="16"/>
                <w:szCs w:val="16"/>
              </w:rPr>
              <w:t> </w:t>
            </w:r>
          </w:p>
        </w:tc>
        <w:tc>
          <w:tcPr>
            <w:tcW w:w="298" w:type="dxa"/>
            <w:tcBorders>
              <w:top w:val="nil"/>
              <w:left w:val="nil"/>
              <w:bottom w:val="single" w:sz="4" w:space="0" w:color="auto"/>
              <w:right w:val="single" w:sz="4" w:space="0" w:color="auto"/>
            </w:tcBorders>
            <w:shd w:val="clear" w:color="auto" w:fill="auto"/>
            <w:noWrap/>
            <w:vAlign w:val="bottom"/>
            <w:hideMark/>
          </w:tcPr>
          <w:p w14:paraId="24355001" w14:textId="77777777" w:rsidR="00AB4AFF" w:rsidRPr="00AB4AFF" w:rsidRDefault="00AB4AFF" w:rsidP="00AB4AFF">
            <w:pPr>
              <w:spacing w:after="0" w:line="240" w:lineRule="auto"/>
              <w:jc w:val="center"/>
              <w:rPr>
                <w:rFonts w:ascii="Calibri" w:eastAsia="Times New Roman" w:hAnsi="Calibri" w:cs="Calibri"/>
                <w:i/>
                <w:iCs/>
                <w:color w:val="000000"/>
                <w:sz w:val="16"/>
                <w:szCs w:val="16"/>
              </w:rPr>
            </w:pPr>
            <w:r w:rsidRPr="00AB4AFF">
              <w:rPr>
                <w:rFonts w:ascii="Calibri" w:eastAsia="Times New Roman" w:hAnsi="Calibri" w:cs="Calibri"/>
                <w:i/>
                <w:iCs/>
                <w:color w:val="000000"/>
                <w:sz w:val="16"/>
                <w:szCs w:val="16"/>
              </w:rPr>
              <w:t> </w:t>
            </w:r>
          </w:p>
        </w:tc>
        <w:tc>
          <w:tcPr>
            <w:tcW w:w="298" w:type="dxa"/>
            <w:tcBorders>
              <w:top w:val="nil"/>
              <w:left w:val="nil"/>
              <w:bottom w:val="single" w:sz="4" w:space="0" w:color="auto"/>
              <w:right w:val="single" w:sz="4" w:space="0" w:color="auto"/>
            </w:tcBorders>
            <w:shd w:val="clear" w:color="auto" w:fill="auto"/>
            <w:noWrap/>
            <w:vAlign w:val="bottom"/>
            <w:hideMark/>
          </w:tcPr>
          <w:p w14:paraId="2C4B062A" w14:textId="77777777" w:rsidR="00AB4AFF" w:rsidRPr="00AB4AFF" w:rsidRDefault="00AB4AFF" w:rsidP="00AB4AFF">
            <w:pPr>
              <w:spacing w:after="0" w:line="240" w:lineRule="auto"/>
              <w:jc w:val="center"/>
              <w:rPr>
                <w:rFonts w:ascii="Calibri" w:eastAsia="Times New Roman" w:hAnsi="Calibri" w:cs="Calibri"/>
                <w:i/>
                <w:iCs/>
                <w:color w:val="000000"/>
                <w:sz w:val="16"/>
                <w:szCs w:val="16"/>
              </w:rPr>
            </w:pPr>
            <w:r w:rsidRPr="00AB4AFF">
              <w:rPr>
                <w:rFonts w:ascii="Calibri" w:eastAsia="Times New Roman" w:hAnsi="Calibri" w:cs="Calibri"/>
                <w:i/>
                <w:iCs/>
                <w:color w:val="000000"/>
                <w:sz w:val="16"/>
                <w:szCs w:val="16"/>
              </w:rPr>
              <w:t> </w:t>
            </w:r>
          </w:p>
        </w:tc>
        <w:tc>
          <w:tcPr>
            <w:tcW w:w="298" w:type="dxa"/>
            <w:tcBorders>
              <w:top w:val="nil"/>
              <w:left w:val="nil"/>
              <w:bottom w:val="single" w:sz="4" w:space="0" w:color="auto"/>
              <w:right w:val="single" w:sz="4" w:space="0" w:color="auto"/>
            </w:tcBorders>
            <w:shd w:val="clear" w:color="auto" w:fill="auto"/>
            <w:noWrap/>
            <w:vAlign w:val="bottom"/>
            <w:hideMark/>
          </w:tcPr>
          <w:p w14:paraId="55383DE4" w14:textId="77777777" w:rsidR="00AB4AFF" w:rsidRPr="00AB4AFF" w:rsidRDefault="00AB4AFF" w:rsidP="00AB4AFF">
            <w:pPr>
              <w:spacing w:after="0" w:line="240" w:lineRule="auto"/>
              <w:jc w:val="center"/>
              <w:rPr>
                <w:rFonts w:ascii="Calibri" w:eastAsia="Times New Roman" w:hAnsi="Calibri" w:cs="Calibri"/>
                <w:i/>
                <w:iCs/>
                <w:color w:val="000000"/>
                <w:sz w:val="16"/>
                <w:szCs w:val="16"/>
              </w:rPr>
            </w:pPr>
            <w:r w:rsidRPr="00AB4AFF">
              <w:rPr>
                <w:rFonts w:ascii="Calibri" w:eastAsia="Times New Roman" w:hAnsi="Calibri" w:cs="Calibri"/>
                <w:i/>
                <w:iCs/>
                <w:color w:val="000000"/>
                <w:sz w:val="16"/>
                <w:szCs w:val="16"/>
              </w:rPr>
              <w:t> </w:t>
            </w:r>
          </w:p>
        </w:tc>
        <w:tc>
          <w:tcPr>
            <w:tcW w:w="298" w:type="dxa"/>
            <w:tcBorders>
              <w:top w:val="nil"/>
              <w:left w:val="nil"/>
              <w:bottom w:val="single" w:sz="4" w:space="0" w:color="auto"/>
              <w:right w:val="single" w:sz="4" w:space="0" w:color="auto"/>
            </w:tcBorders>
            <w:shd w:val="clear" w:color="auto" w:fill="auto"/>
            <w:noWrap/>
            <w:vAlign w:val="bottom"/>
            <w:hideMark/>
          </w:tcPr>
          <w:p w14:paraId="69AB3C5A" w14:textId="77777777" w:rsidR="00AB4AFF" w:rsidRPr="00AB4AFF" w:rsidRDefault="00AB4AFF" w:rsidP="00AB4AFF">
            <w:pPr>
              <w:spacing w:after="0" w:line="240" w:lineRule="auto"/>
              <w:jc w:val="center"/>
              <w:rPr>
                <w:rFonts w:ascii="Calibri" w:eastAsia="Times New Roman" w:hAnsi="Calibri" w:cs="Calibri"/>
                <w:i/>
                <w:iCs/>
                <w:color w:val="000000"/>
                <w:sz w:val="16"/>
                <w:szCs w:val="16"/>
              </w:rPr>
            </w:pPr>
            <w:r w:rsidRPr="00AB4AFF">
              <w:rPr>
                <w:rFonts w:ascii="Calibri" w:eastAsia="Times New Roman" w:hAnsi="Calibri" w:cs="Calibri"/>
                <w:i/>
                <w:iCs/>
                <w:color w:val="000000"/>
                <w:sz w:val="16"/>
                <w:szCs w:val="16"/>
              </w:rPr>
              <w:t> </w:t>
            </w:r>
          </w:p>
        </w:tc>
        <w:tc>
          <w:tcPr>
            <w:tcW w:w="298" w:type="dxa"/>
            <w:tcBorders>
              <w:top w:val="nil"/>
              <w:left w:val="nil"/>
              <w:bottom w:val="single" w:sz="4" w:space="0" w:color="auto"/>
              <w:right w:val="single" w:sz="4" w:space="0" w:color="auto"/>
            </w:tcBorders>
            <w:shd w:val="clear" w:color="auto" w:fill="auto"/>
            <w:noWrap/>
            <w:vAlign w:val="bottom"/>
            <w:hideMark/>
          </w:tcPr>
          <w:p w14:paraId="69373171" w14:textId="77777777" w:rsidR="00AB4AFF" w:rsidRPr="00AB4AFF" w:rsidRDefault="00AB4AFF" w:rsidP="00AB4AFF">
            <w:pPr>
              <w:spacing w:after="0" w:line="240" w:lineRule="auto"/>
              <w:jc w:val="center"/>
              <w:rPr>
                <w:rFonts w:ascii="Calibri" w:eastAsia="Times New Roman" w:hAnsi="Calibri" w:cs="Calibri"/>
                <w:i/>
                <w:iCs/>
                <w:color w:val="000000"/>
                <w:sz w:val="16"/>
                <w:szCs w:val="16"/>
              </w:rPr>
            </w:pPr>
            <w:r w:rsidRPr="00AB4AFF">
              <w:rPr>
                <w:rFonts w:ascii="Calibri" w:eastAsia="Times New Roman" w:hAnsi="Calibri" w:cs="Calibri"/>
                <w:i/>
                <w:iCs/>
                <w:color w:val="000000"/>
                <w:sz w:val="16"/>
                <w:szCs w:val="16"/>
              </w:rPr>
              <w:t> </w:t>
            </w:r>
          </w:p>
        </w:tc>
        <w:tc>
          <w:tcPr>
            <w:tcW w:w="379" w:type="dxa"/>
            <w:tcBorders>
              <w:top w:val="nil"/>
              <w:left w:val="nil"/>
              <w:bottom w:val="single" w:sz="4" w:space="0" w:color="auto"/>
              <w:right w:val="single" w:sz="4" w:space="0" w:color="auto"/>
            </w:tcBorders>
            <w:shd w:val="clear" w:color="auto" w:fill="auto"/>
            <w:noWrap/>
            <w:vAlign w:val="bottom"/>
            <w:hideMark/>
          </w:tcPr>
          <w:p w14:paraId="0570B9B6" w14:textId="77777777" w:rsidR="00AB4AFF" w:rsidRPr="00AB4AFF" w:rsidRDefault="00AB4AFF" w:rsidP="00AB4AFF">
            <w:pPr>
              <w:spacing w:after="0" w:line="240" w:lineRule="auto"/>
              <w:jc w:val="center"/>
              <w:rPr>
                <w:rFonts w:ascii="Calibri" w:eastAsia="Times New Roman" w:hAnsi="Calibri" w:cs="Calibri"/>
                <w:i/>
                <w:iCs/>
                <w:color w:val="000000"/>
                <w:sz w:val="16"/>
                <w:szCs w:val="16"/>
              </w:rPr>
            </w:pPr>
            <w:r w:rsidRPr="00AB4AFF">
              <w:rPr>
                <w:rFonts w:ascii="Calibri" w:eastAsia="Times New Roman" w:hAnsi="Calibri" w:cs="Calibri"/>
                <w:i/>
                <w:iCs/>
                <w:color w:val="000000"/>
                <w:sz w:val="16"/>
                <w:szCs w:val="16"/>
              </w:rPr>
              <w:t> </w:t>
            </w:r>
          </w:p>
        </w:tc>
        <w:tc>
          <w:tcPr>
            <w:tcW w:w="379" w:type="dxa"/>
            <w:tcBorders>
              <w:top w:val="nil"/>
              <w:left w:val="nil"/>
              <w:bottom w:val="single" w:sz="4" w:space="0" w:color="auto"/>
              <w:right w:val="single" w:sz="4" w:space="0" w:color="auto"/>
            </w:tcBorders>
            <w:shd w:val="clear" w:color="auto" w:fill="auto"/>
            <w:noWrap/>
            <w:vAlign w:val="bottom"/>
            <w:hideMark/>
          </w:tcPr>
          <w:p w14:paraId="50911FAE" w14:textId="77777777" w:rsidR="00AB4AFF" w:rsidRPr="00AB4AFF" w:rsidRDefault="00AB4AFF" w:rsidP="00AB4AFF">
            <w:pPr>
              <w:spacing w:after="0" w:line="240" w:lineRule="auto"/>
              <w:jc w:val="center"/>
              <w:rPr>
                <w:rFonts w:ascii="Calibri" w:eastAsia="Times New Roman" w:hAnsi="Calibri" w:cs="Calibri"/>
                <w:i/>
                <w:iCs/>
                <w:color w:val="000000"/>
                <w:sz w:val="16"/>
                <w:szCs w:val="16"/>
              </w:rPr>
            </w:pPr>
            <w:r w:rsidRPr="00AB4AFF">
              <w:rPr>
                <w:rFonts w:ascii="Calibri" w:eastAsia="Times New Roman" w:hAnsi="Calibri" w:cs="Calibri"/>
                <w:i/>
                <w:iCs/>
                <w:color w:val="000000"/>
                <w:sz w:val="16"/>
                <w:szCs w:val="16"/>
              </w:rPr>
              <w:t> </w:t>
            </w:r>
          </w:p>
        </w:tc>
        <w:tc>
          <w:tcPr>
            <w:tcW w:w="379" w:type="dxa"/>
            <w:tcBorders>
              <w:top w:val="nil"/>
              <w:left w:val="nil"/>
              <w:bottom w:val="single" w:sz="4" w:space="0" w:color="auto"/>
              <w:right w:val="single" w:sz="4" w:space="0" w:color="auto"/>
            </w:tcBorders>
            <w:shd w:val="clear" w:color="auto" w:fill="auto"/>
            <w:noWrap/>
            <w:vAlign w:val="bottom"/>
            <w:hideMark/>
          </w:tcPr>
          <w:p w14:paraId="6A7948A0"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 </w:t>
            </w:r>
          </w:p>
        </w:tc>
        <w:tc>
          <w:tcPr>
            <w:tcW w:w="379" w:type="dxa"/>
            <w:tcBorders>
              <w:top w:val="nil"/>
              <w:left w:val="nil"/>
              <w:bottom w:val="single" w:sz="4" w:space="0" w:color="auto"/>
              <w:right w:val="single" w:sz="4" w:space="0" w:color="auto"/>
            </w:tcBorders>
            <w:shd w:val="clear" w:color="auto" w:fill="auto"/>
            <w:noWrap/>
            <w:vAlign w:val="bottom"/>
            <w:hideMark/>
          </w:tcPr>
          <w:p w14:paraId="49E409FA"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 </w:t>
            </w:r>
          </w:p>
        </w:tc>
        <w:tc>
          <w:tcPr>
            <w:tcW w:w="379" w:type="dxa"/>
            <w:tcBorders>
              <w:top w:val="nil"/>
              <w:left w:val="nil"/>
              <w:bottom w:val="single" w:sz="4" w:space="0" w:color="auto"/>
              <w:right w:val="single" w:sz="4" w:space="0" w:color="auto"/>
            </w:tcBorders>
            <w:shd w:val="clear" w:color="auto" w:fill="auto"/>
            <w:noWrap/>
            <w:vAlign w:val="bottom"/>
            <w:hideMark/>
          </w:tcPr>
          <w:p w14:paraId="4C5F8C38"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 </w:t>
            </w:r>
          </w:p>
        </w:tc>
        <w:tc>
          <w:tcPr>
            <w:tcW w:w="379" w:type="dxa"/>
            <w:tcBorders>
              <w:top w:val="nil"/>
              <w:left w:val="nil"/>
              <w:bottom w:val="single" w:sz="4" w:space="0" w:color="auto"/>
              <w:right w:val="single" w:sz="4" w:space="0" w:color="auto"/>
            </w:tcBorders>
            <w:shd w:val="clear" w:color="auto" w:fill="auto"/>
            <w:noWrap/>
            <w:vAlign w:val="bottom"/>
            <w:hideMark/>
          </w:tcPr>
          <w:p w14:paraId="0893165D"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 </w:t>
            </w:r>
          </w:p>
        </w:tc>
        <w:tc>
          <w:tcPr>
            <w:tcW w:w="379" w:type="dxa"/>
            <w:tcBorders>
              <w:top w:val="nil"/>
              <w:left w:val="nil"/>
              <w:bottom w:val="single" w:sz="4" w:space="0" w:color="auto"/>
              <w:right w:val="single" w:sz="4" w:space="0" w:color="auto"/>
            </w:tcBorders>
            <w:shd w:val="clear" w:color="auto" w:fill="auto"/>
            <w:noWrap/>
            <w:vAlign w:val="bottom"/>
            <w:hideMark/>
          </w:tcPr>
          <w:p w14:paraId="0DCDB558"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 </w:t>
            </w:r>
          </w:p>
        </w:tc>
        <w:tc>
          <w:tcPr>
            <w:tcW w:w="379" w:type="dxa"/>
            <w:tcBorders>
              <w:top w:val="nil"/>
              <w:left w:val="nil"/>
              <w:bottom w:val="single" w:sz="4" w:space="0" w:color="auto"/>
              <w:right w:val="single" w:sz="4" w:space="0" w:color="auto"/>
            </w:tcBorders>
            <w:shd w:val="clear" w:color="auto" w:fill="auto"/>
            <w:noWrap/>
            <w:vAlign w:val="bottom"/>
            <w:hideMark/>
          </w:tcPr>
          <w:p w14:paraId="27B2B65B"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 </w:t>
            </w:r>
          </w:p>
        </w:tc>
        <w:tc>
          <w:tcPr>
            <w:tcW w:w="379" w:type="dxa"/>
            <w:tcBorders>
              <w:top w:val="nil"/>
              <w:left w:val="nil"/>
              <w:bottom w:val="single" w:sz="4" w:space="0" w:color="auto"/>
              <w:right w:val="single" w:sz="4" w:space="0" w:color="auto"/>
            </w:tcBorders>
            <w:shd w:val="clear" w:color="auto" w:fill="auto"/>
            <w:noWrap/>
            <w:vAlign w:val="bottom"/>
            <w:hideMark/>
          </w:tcPr>
          <w:p w14:paraId="0E0A7C2E"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 </w:t>
            </w:r>
          </w:p>
        </w:tc>
        <w:tc>
          <w:tcPr>
            <w:tcW w:w="379" w:type="dxa"/>
            <w:tcBorders>
              <w:top w:val="nil"/>
              <w:left w:val="nil"/>
              <w:bottom w:val="single" w:sz="4" w:space="0" w:color="auto"/>
              <w:right w:val="single" w:sz="4" w:space="0" w:color="auto"/>
            </w:tcBorders>
            <w:shd w:val="clear" w:color="auto" w:fill="auto"/>
            <w:noWrap/>
            <w:vAlign w:val="bottom"/>
            <w:hideMark/>
          </w:tcPr>
          <w:p w14:paraId="434AB040"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 </w:t>
            </w:r>
          </w:p>
        </w:tc>
        <w:tc>
          <w:tcPr>
            <w:tcW w:w="379" w:type="dxa"/>
            <w:tcBorders>
              <w:top w:val="nil"/>
              <w:left w:val="nil"/>
              <w:bottom w:val="single" w:sz="4" w:space="0" w:color="auto"/>
              <w:right w:val="single" w:sz="4" w:space="0" w:color="auto"/>
            </w:tcBorders>
            <w:shd w:val="clear" w:color="auto" w:fill="auto"/>
            <w:noWrap/>
            <w:vAlign w:val="bottom"/>
            <w:hideMark/>
          </w:tcPr>
          <w:p w14:paraId="2358624A"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 </w:t>
            </w:r>
          </w:p>
        </w:tc>
        <w:tc>
          <w:tcPr>
            <w:tcW w:w="379" w:type="dxa"/>
            <w:tcBorders>
              <w:top w:val="nil"/>
              <w:left w:val="nil"/>
              <w:bottom w:val="single" w:sz="4" w:space="0" w:color="auto"/>
              <w:right w:val="single" w:sz="4" w:space="0" w:color="auto"/>
            </w:tcBorders>
            <w:shd w:val="clear" w:color="auto" w:fill="auto"/>
            <w:noWrap/>
            <w:vAlign w:val="bottom"/>
            <w:hideMark/>
          </w:tcPr>
          <w:p w14:paraId="10BF7EF6"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 </w:t>
            </w:r>
          </w:p>
        </w:tc>
        <w:tc>
          <w:tcPr>
            <w:tcW w:w="379" w:type="dxa"/>
            <w:tcBorders>
              <w:top w:val="nil"/>
              <w:left w:val="nil"/>
              <w:bottom w:val="single" w:sz="4" w:space="0" w:color="auto"/>
              <w:right w:val="single" w:sz="4" w:space="0" w:color="auto"/>
            </w:tcBorders>
            <w:shd w:val="clear" w:color="auto" w:fill="auto"/>
            <w:noWrap/>
            <w:vAlign w:val="bottom"/>
            <w:hideMark/>
          </w:tcPr>
          <w:p w14:paraId="1D76612F"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 </w:t>
            </w:r>
          </w:p>
        </w:tc>
        <w:tc>
          <w:tcPr>
            <w:tcW w:w="379" w:type="dxa"/>
            <w:tcBorders>
              <w:top w:val="nil"/>
              <w:left w:val="nil"/>
              <w:bottom w:val="single" w:sz="4" w:space="0" w:color="auto"/>
              <w:right w:val="single" w:sz="4" w:space="0" w:color="auto"/>
            </w:tcBorders>
            <w:shd w:val="clear" w:color="auto" w:fill="auto"/>
            <w:noWrap/>
            <w:vAlign w:val="bottom"/>
            <w:hideMark/>
          </w:tcPr>
          <w:p w14:paraId="617B1C4B"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 </w:t>
            </w:r>
          </w:p>
        </w:tc>
        <w:tc>
          <w:tcPr>
            <w:tcW w:w="379" w:type="dxa"/>
            <w:tcBorders>
              <w:top w:val="nil"/>
              <w:left w:val="nil"/>
              <w:bottom w:val="single" w:sz="4" w:space="0" w:color="auto"/>
              <w:right w:val="single" w:sz="4" w:space="0" w:color="auto"/>
            </w:tcBorders>
            <w:shd w:val="clear" w:color="auto" w:fill="auto"/>
            <w:noWrap/>
            <w:vAlign w:val="bottom"/>
            <w:hideMark/>
          </w:tcPr>
          <w:p w14:paraId="4AF94961"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 </w:t>
            </w:r>
          </w:p>
        </w:tc>
        <w:tc>
          <w:tcPr>
            <w:tcW w:w="379" w:type="dxa"/>
            <w:tcBorders>
              <w:top w:val="nil"/>
              <w:left w:val="nil"/>
              <w:bottom w:val="single" w:sz="4" w:space="0" w:color="auto"/>
              <w:right w:val="single" w:sz="4" w:space="0" w:color="auto"/>
            </w:tcBorders>
            <w:shd w:val="clear" w:color="auto" w:fill="auto"/>
            <w:noWrap/>
            <w:vAlign w:val="bottom"/>
            <w:hideMark/>
          </w:tcPr>
          <w:p w14:paraId="5880E9CD"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 </w:t>
            </w:r>
          </w:p>
        </w:tc>
        <w:tc>
          <w:tcPr>
            <w:tcW w:w="379" w:type="dxa"/>
            <w:tcBorders>
              <w:top w:val="nil"/>
              <w:left w:val="nil"/>
              <w:bottom w:val="single" w:sz="4" w:space="0" w:color="auto"/>
              <w:right w:val="single" w:sz="4" w:space="0" w:color="auto"/>
            </w:tcBorders>
            <w:shd w:val="clear" w:color="auto" w:fill="auto"/>
            <w:noWrap/>
            <w:vAlign w:val="bottom"/>
            <w:hideMark/>
          </w:tcPr>
          <w:p w14:paraId="649635F6"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 </w:t>
            </w:r>
          </w:p>
        </w:tc>
        <w:tc>
          <w:tcPr>
            <w:tcW w:w="379" w:type="dxa"/>
            <w:tcBorders>
              <w:top w:val="nil"/>
              <w:left w:val="nil"/>
              <w:bottom w:val="single" w:sz="4" w:space="0" w:color="auto"/>
              <w:right w:val="single" w:sz="8" w:space="0" w:color="auto"/>
            </w:tcBorders>
            <w:shd w:val="clear" w:color="000000" w:fill="9BC2E6"/>
            <w:noWrap/>
            <w:vAlign w:val="bottom"/>
            <w:hideMark/>
          </w:tcPr>
          <w:p w14:paraId="71A10C0F"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 </w:t>
            </w:r>
          </w:p>
        </w:tc>
      </w:tr>
      <w:tr w:rsidR="00AB4AFF" w:rsidRPr="00AB4AFF" w14:paraId="5823BE38" w14:textId="77777777" w:rsidTr="008C0F8B">
        <w:trPr>
          <w:trHeight w:val="290"/>
        </w:trPr>
        <w:tc>
          <w:tcPr>
            <w:tcW w:w="1070" w:type="dxa"/>
            <w:tcBorders>
              <w:top w:val="nil"/>
              <w:left w:val="single" w:sz="8" w:space="0" w:color="auto"/>
              <w:bottom w:val="single" w:sz="4" w:space="0" w:color="auto"/>
              <w:right w:val="single" w:sz="4" w:space="0" w:color="auto"/>
            </w:tcBorders>
            <w:shd w:val="clear" w:color="000000" w:fill="FFFFFF"/>
            <w:noWrap/>
            <w:vAlign w:val="bottom"/>
            <w:hideMark/>
          </w:tcPr>
          <w:p w14:paraId="43E52C96"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2:110131762</w:t>
            </w:r>
          </w:p>
        </w:tc>
        <w:tc>
          <w:tcPr>
            <w:tcW w:w="498" w:type="dxa"/>
            <w:tcBorders>
              <w:top w:val="nil"/>
              <w:left w:val="nil"/>
              <w:bottom w:val="single" w:sz="4" w:space="0" w:color="auto"/>
              <w:right w:val="single" w:sz="4" w:space="0" w:color="auto"/>
            </w:tcBorders>
            <w:shd w:val="clear" w:color="000000" w:fill="FFFFFF"/>
            <w:noWrap/>
            <w:vAlign w:val="bottom"/>
            <w:hideMark/>
          </w:tcPr>
          <w:p w14:paraId="49EC623D"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A</w:t>
            </w:r>
          </w:p>
        </w:tc>
        <w:tc>
          <w:tcPr>
            <w:tcW w:w="498" w:type="dxa"/>
            <w:tcBorders>
              <w:top w:val="nil"/>
              <w:left w:val="nil"/>
              <w:bottom w:val="single" w:sz="4" w:space="0" w:color="auto"/>
              <w:right w:val="single" w:sz="8" w:space="0" w:color="auto"/>
            </w:tcBorders>
            <w:shd w:val="clear" w:color="000000" w:fill="FFFFFF"/>
            <w:noWrap/>
            <w:vAlign w:val="bottom"/>
            <w:hideMark/>
          </w:tcPr>
          <w:p w14:paraId="0C819FA5"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G</w:t>
            </w:r>
          </w:p>
        </w:tc>
        <w:tc>
          <w:tcPr>
            <w:tcW w:w="632" w:type="dxa"/>
            <w:tcBorders>
              <w:top w:val="nil"/>
              <w:left w:val="nil"/>
              <w:bottom w:val="single" w:sz="4" w:space="0" w:color="auto"/>
              <w:right w:val="single" w:sz="4" w:space="0" w:color="auto"/>
            </w:tcBorders>
            <w:shd w:val="clear" w:color="000000" w:fill="FFFFFF"/>
            <w:noWrap/>
            <w:vAlign w:val="bottom"/>
            <w:hideMark/>
          </w:tcPr>
          <w:p w14:paraId="63D63C7B"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ns</w:t>
            </w:r>
          </w:p>
        </w:tc>
        <w:tc>
          <w:tcPr>
            <w:tcW w:w="850" w:type="dxa"/>
            <w:tcBorders>
              <w:top w:val="nil"/>
              <w:left w:val="nil"/>
              <w:bottom w:val="single" w:sz="4" w:space="0" w:color="auto"/>
              <w:right w:val="single" w:sz="8" w:space="0" w:color="auto"/>
            </w:tcBorders>
            <w:shd w:val="clear" w:color="000000" w:fill="FFFFFF"/>
            <w:noWrap/>
            <w:vAlign w:val="bottom"/>
            <w:hideMark/>
          </w:tcPr>
          <w:p w14:paraId="2CDB15B9"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M576T</w:t>
            </w:r>
          </w:p>
        </w:tc>
        <w:tc>
          <w:tcPr>
            <w:tcW w:w="990" w:type="dxa"/>
            <w:tcBorders>
              <w:top w:val="nil"/>
              <w:left w:val="nil"/>
              <w:bottom w:val="single" w:sz="4" w:space="0" w:color="auto"/>
              <w:right w:val="single" w:sz="4" w:space="0" w:color="auto"/>
            </w:tcBorders>
            <w:shd w:val="clear" w:color="000000" w:fill="FFFFFF"/>
            <w:noWrap/>
            <w:vAlign w:val="bottom"/>
            <w:hideMark/>
          </w:tcPr>
          <w:p w14:paraId="6BDD2848"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 </w:t>
            </w:r>
          </w:p>
        </w:tc>
        <w:tc>
          <w:tcPr>
            <w:tcW w:w="500" w:type="dxa"/>
            <w:tcBorders>
              <w:top w:val="nil"/>
              <w:left w:val="nil"/>
              <w:bottom w:val="single" w:sz="4" w:space="0" w:color="auto"/>
              <w:right w:val="single" w:sz="4" w:space="0" w:color="auto"/>
            </w:tcBorders>
            <w:shd w:val="clear" w:color="000000" w:fill="FFFFFF"/>
            <w:noWrap/>
            <w:vAlign w:val="bottom"/>
            <w:hideMark/>
          </w:tcPr>
          <w:p w14:paraId="1E5F3656"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19.3</w:t>
            </w:r>
          </w:p>
        </w:tc>
        <w:tc>
          <w:tcPr>
            <w:tcW w:w="534" w:type="dxa"/>
            <w:tcBorders>
              <w:top w:val="nil"/>
              <w:left w:val="nil"/>
              <w:bottom w:val="single" w:sz="4" w:space="0" w:color="auto"/>
              <w:right w:val="single" w:sz="4" w:space="0" w:color="auto"/>
            </w:tcBorders>
            <w:shd w:val="clear" w:color="000000" w:fill="FFFFFF"/>
            <w:noWrap/>
            <w:vAlign w:val="bottom"/>
            <w:hideMark/>
          </w:tcPr>
          <w:p w14:paraId="45B45589"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 </w:t>
            </w:r>
          </w:p>
        </w:tc>
        <w:tc>
          <w:tcPr>
            <w:tcW w:w="498" w:type="dxa"/>
            <w:tcBorders>
              <w:top w:val="nil"/>
              <w:left w:val="nil"/>
              <w:bottom w:val="single" w:sz="4" w:space="0" w:color="auto"/>
              <w:right w:val="single" w:sz="8" w:space="0" w:color="auto"/>
            </w:tcBorders>
            <w:shd w:val="clear" w:color="000000" w:fill="FFFFFF"/>
            <w:noWrap/>
            <w:vAlign w:val="bottom"/>
            <w:hideMark/>
          </w:tcPr>
          <w:p w14:paraId="32424FDF"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VUS</w:t>
            </w:r>
          </w:p>
        </w:tc>
        <w:tc>
          <w:tcPr>
            <w:tcW w:w="298" w:type="dxa"/>
            <w:tcBorders>
              <w:top w:val="nil"/>
              <w:left w:val="nil"/>
              <w:bottom w:val="single" w:sz="4" w:space="0" w:color="auto"/>
              <w:right w:val="single" w:sz="4" w:space="0" w:color="auto"/>
            </w:tcBorders>
            <w:shd w:val="clear" w:color="auto" w:fill="auto"/>
            <w:noWrap/>
            <w:vAlign w:val="bottom"/>
            <w:hideMark/>
          </w:tcPr>
          <w:p w14:paraId="34FEF574"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 </w:t>
            </w:r>
          </w:p>
        </w:tc>
        <w:tc>
          <w:tcPr>
            <w:tcW w:w="298" w:type="dxa"/>
            <w:tcBorders>
              <w:top w:val="nil"/>
              <w:left w:val="nil"/>
              <w:bottom w:val="single" w:sz="4" w:space="0" w:color="auto"/>
              <w:right w:val="single" w:sz="4" w:space="0" w:color="auto"/>
            </w:tcBorders>
            <w:shd w:val="clear" w:color="auto" w:fill="auto"/>
            <w:noWrap/>
            <w:vAlign w:val="bottom"/>
            <w:hideMark/>
          </w:tcPr>
          <w:p w14:paraId="341B3C02"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 </w:t>
            </w:r>
          </w:p>
        </w:tc>
        <w:tc>
          <w:tcPr>
            <w:tcW w:w="298" w:type="dxa"/>
            <w:tcBorders>
              <w:top w:val="nil"/>
              <w:left w:val="nil"/>
              <w:bottom w:val="single" w:sz="4" w:space="0" w:color="auto"/>
              <w:right w:val="single" w:sz="4" w:space="0" w:color="auto"/>
            </w:tcBorders>
            <w:shd w:val="clear" w:color="auto" w:fill="auto"/>
            <w:noWrap/>
            <w:vAlign w:val="bottom"/>
            <w:hideMark/>
          </w:tcPr>
          <w:p w14:paraId="13D9DC8A" w14:textId="77777777" w:rsidR="00AB4AFF" w:rsidRPr="00AB4AFF" w:rsidRDefault="00AB4AFF" w:rsidP="00AB4AFF">
            <w:pPr>
              <w:spacing w:after="0" w:line="240" w:lineRule="auto"/>
              <w:jc w:val="center"/>
              <w:rPr>
                <w:rFonts w:ascii="Calibri" w:eastAsia="Times New Roman" w:hAnsi="Calibri" w:cs="Calibri"/>
                <w:i/>
                <w:iCs/>
                <w:color w:val="000000"/>
                <w:sz w:val="16"/>
                <w:szCs w:val="16"/>
              </w:rPr>
            </w:pPr>
            <w:r w:rsidRPr="00AB4AFF">
              <w:rPr>
                <w:rFonts w:ascii="Calibri" w:eastAsia="Times New Roman" w:hAnsi="Calibri" w:cs="Calibri"/>
                <w:i/>
                <w:iCs/>
                <w:color w:val="000000"/>
                <w:sz w:val="16"/>
                <w:szCs w:val="16"/>
              </w:rPr>
              <w:t> </w:t>
            </w:r>
          </w:p>
        </w:tc>
        <w:tc>
          <w:tcPr>
            <w:tcW w:w="298" w:type="dxa"/>
            <w:tcBorders>
              <w:top w:val="nil"/>
              <w:left w:val="nil"/>
              <w:bottom w:val="single" w:sz="4" w:space="0" w:color="auto"/>
              <w:right w:val="single" w:sz="4" w:space="0" w:color="auto"/>
            </w:tcBorders>
            <w:shd w:val="clear" w:color="auto" w:fill="auto"/>
            <w:noWrap/>
            <w:vAlign w:val="bottom"/>
            <w:hideMark/>
          </w:tcPr>
          <w:p w14:paraId="27EE5C5F" w14:textId="77777777" w:rsidR="00AB4AFF" w:rsidRPr="00AB4AFF" w:rsidRDefault="00AB4AFF" w:rsidP="00AB4AFF">
            <w:pPr>
              <w:spacing w:after="0" w:line="240" w:lineRule="auto"/>
              <w:jc w:val="center"/>
              <w:rPr>
                <w:rFonts w:ascii="Calibri" w:eastAsia="Times New Roman" w:hAnsi="Calibri" w:cs="Calibri"/>
                <w:i/>
                <w:iCs/>
                <w:color w:val="000000"/>
                <w:sz w:val="16"/>
                <w:szCs w:val="16"/>
              </w:rPr>
            </w:pPr>
            <w:r w:rsidRPr="00AB4AFF">
              <w:rPr>
                <w:rFonts w:ascii="Calibri" w:eastAsia="Times New Roman" w:hAnsi="Calibri" w:cs="Calibri"/>
                <w:i/>
                <w:iCs/>
                <w:color w:val="000000"/>
                <w:sz w:val="16"/>
                <w:szCs w:val="16"/>
              </w:rPr>
              <w:t> </w:t>
            </w:r>
          </w:p>
        </w:tc>
        <w:tc>
          <w:tcPr>
            <w:tcW w:w="298" w:type="dxa"/>
            <w:tcBorders>
              <w:top w:val="nil"/>
              <w:left w:val="nil"/>
              <w:bottom w:val="single" w:sz="4" w:space="0" w:color="auto"/>
              <w:right w:val="single" w:sz="4" w:space="0" w:color="auto"/>
            </w:tcBorders>
            <w:shd w:val="clear" w:color="auto" w:fill="auto"/>
            <w:noWrap/>
            <w:vAlign w:val="bottom"/>
            <w:hideMark/>
          </w:tcPr>
          <w:p w14:paraId="7E5A71DD" w14:textId="77777777" w:rsidR="00AB4AFF" w:rsidRPr="00AB4AFF" w:rsidRDefault="00AB4AFF" w:rsidP="00AB4AFF">
            <w:pPr>
              <w:spacing w:after="0" w:line="240" w:lineRule="auto"/>
              <w:jc w:val="center"/>
              <w:rPr>
                <w:rFonts w:ascii="Calibri" w:eastAsia="Times New Roman" w:hAnsi="Calibri" w:cs="Calibri"/>
                <w:i/>
                <w:iCs/>
                <w:color w:val="000000"/>
                <w:sz w:val="16"/>
                <w:szCs w:val="16"/>
              </w:rPr>
            </w:pPr>
            <w:r w:rsidRPr="00AB4AFF">
              <w:rPr>
                <w:rFonts w:ascii="Calibri" w:eastAsia="Times New Roman" w:hAnsi="Calibri" w:cs="Calibri"/>
                <w:i/>
                <w:iCs/>
                <w:color w:val="000000"/>
                <w:sz w:val="16"/>
                <w:szCs w:val="16"/>
              </w:rPr>
              <w:t> </w:t>
            </w:r>
          </w:p>
        </w:tc>
        <w:tc>
          <w:tcPr>
            <w:tcW w:w="298" w:type="dxa"/>
            <w:tcBorders>
              <w:top w:val="nil"/>
              <w:left w:val="nil"/>
              <w:bottom w:val="single" w:sz="4" w:space="0" w:color="auto"/>
              <w:right w:val="single" w:sz="4" w:space="0" w:color="auto"/>
            </w:tcBorders>
            <w:shd w:val="clear" w:color="auto" w:fill="auto"/>
            <w:noWrap/>
            <w:vAlign w:val="bottom"/>
            <w:hideMark/>
          </w:tcPr>
          <w:p w14:paraId="6ECF24D1" w14:textId="77777777" w:rsidR="00AB4AFF" w:rsidRPr="00AB4AFF" w:rsidRDefault="00AB4AFF" w:rsidP="00AB4AFF">
            <w:pPr>
              <w:spacing w:after="0" w:line="240" w:lineRule="auto"/>
              <w:jc w:val="center"/>
              <w:rPr>
                <w:rFonts w:ascii="Calibri" w:eastAsia="Times New Roman" w:hAnsi="Calibri" w:cs="Calibri"/>
                <w:i/>
                <w:iCs/>
                <w:color w:val="000000"/>
                <w:sz w:val="16"/>
                <w:szCs w:val="16"/>
              </w:rPr>
            </w:pPr>
            <w:r w:rsidRPr="00AB4AFF">
              <w:rPr>
                <w:rFonts w:ascii="Calibri" w:eastAsia="Times New Roman" w:hAnsi="Calibri" w:cs="Calibri"/>
                <w:i/>
                <w:iCs/>
                <w:color w:val="000000"/>
                <w:sz w:val="16"/>
                <w:szCs w:val="16"/>
              </w:rPr>
              <w:t> </w:t>
            </w:r>
          </w:p>
        </w:tc>
        <w:tc>
          <w:tcPr>
            <w:tcW w:w="298" w:type="dxa"/>
            <w:tcBorders>
              <w:top w:val="nil"/>
              <w:left w:val="nil"/>
              <w:bottom w:val="single" w:sz="4" w:space="0" w:color="auto"/>
              <w:right w:val="single" w:sz="4" w:space="0" w:color="auto"/>
            </w:tcBorders>
            <w:shd w:val="clear" w:color="auto" w:fill="auto"/>
            <w:noWrap/>
            <w:vAlign w:val="bottom"/>
            <w:hideMark/>
          </w:tcPr>
          <w:p w14:paraId="1BC457BF" w14:textId="77777777" w:rsidR="00AB4AFF" w:rsidRPr="00AB4AFF" w:rsidRDefault="00AB4AFF" w:rsidP="00AB4AFF">
            <w:pPr>
              <w:spacing w:after="0" w:line="240" w:lineRule="auto"/>
              <w:jc w:val="center"/>
              <w:rPr>
                <w:rFonts w:ascii="Calibri" w:eastAsia="Times New Roman" w:hAnsi="Calibri" w:cs="Calibri"/>
                <w:i/>
                <w:iCs/>
                <w:color w:val="000000"/>
                <w:sz w:val="16"/>
                <w:szCs w:val="16"/>
              </w:rPr>
            </w:pPr>
            <w:r w:rsidRPr="00AB4AFF">
              <w:rPr>
                <w:rFonts w:ascii="Calibri" w:eastAsia="Times New Roman" w:hAnsi="Calibri" w:cs="Calibri"/>
                <w:i/>
                <w:iCs/>
                <w:color w:val="000000"/>
                <w:sz w:val="16"/>
                <w:szCs w:val="16"/>
              </w:rPr>
              <w:t> </w:t>
            </w:r>
          </w:p>
        </w:tc>
        <w:tc>
          <w:tcPr>
            <w:tcW w:w="298" w:type="dxa"/>
            <w:tcBorders>
              <w:top w:val="nil"/>
              <w:left w:val="nil"/>
              <w:bottom w:val="single" w:sz="4" w:space="0" w:color="auto"/>
              <w:right w:val="single" w:sz="4" w:space="0" w:color="auto"/>
            </w:tcBorders>
            <w:shd w:val="clear" w:color="000000" w:fill="9BC2E6"/>
            <w:noWrap/>
            <w:vAlign w:val="bottom"/>
            <w:hideMark/>
          </w:tcPr>
          <w:p w14:paraId="5666EA91" w14:textId="77777777" w:rsidR="00AB4AFF" w:rsidRPr="00AB4AFF" w:rsidRDefault="00AB4AFF" w:rsidP="00AB4AFF">
            <w:pPr>
              <w:spacing w:after="0" w:line="240" w:lineRule="auto"/>
              <w:jc w:val="center"/>
              <w:rPr>
                <w:rFonts w:ascii="Calibri" w:eastAsia="Times New Roman" w:hAnsi="Calibri" w:cs="Calibri"/>
                <w:i/>
                <w:iCs/>
                <w:color w:val="000000"/>
                <w:sz w:val="16"/>
                <w:szCs w:val="16"/>
              </w:rPr>
            </w:pPr>
            <w:r w:rsidRPr="00AB4AFF">
              <w:rPr>
                <w:rFonts w:ascii="Calibri" w:eastAsia="Times New Roman" w:hAnsi="Calibri" w:cs="Calibri"/>
                <w:i/>
                <w:iCs/>
                <w:color w:val="000000"/>
                <w:sz w:val="16"/>
                <w:szCs w:val="16"/>
              </w:rPr>
              <w:t> </w:t>
            </w:r>
          </w:p>
        </w:tc>
        <w:tc>
          <w:tcPr>
            <w:tcW w:w="379" w:type="dxa"/>
            <w:tcBorders>
              <w:top w:val="nil"/>
              <w:left w:val="nil"/>
              <w:bottom w:val="single" w:sz="4" w:space="0" w:color="auto"/>
              <w:right w:val="single" w:sz="4" w:space="0" w:color="auto"/>
            </w:tcBorders>
            <w:shd w:val="clear" w:color="auto" w:fill="auto"/>
            <w:noWrap/>
            <w:vAlign w:val="bottom"/>
            <w:hideMark/>
          </w:tcPr>
          <w:p w14:paraId="45418EA6" w14:textId="77777777" w:rsidR="00AB4AFF" w:rsidRPr="00AB4AFF" w:rsidRDefault="00AB4AFF" w:rsidP="00AB4AFF">
            <w:pPr>
              <w:spacing w:after="0" w:line="240" w:lineRule="auto"/>
              <w:jc w:val="center"/>
              <w:rPr>
                <w:rFonts w:ascii="Calibri" w:eastAsia="Times New Roman" w:hAnsi="Calibri" w:cs="Calibri"/>
                <w:i/>
                <w:iCs/>
                <w:color w:val="000000"/>
                <w:sz w:val="16"/>
                <w:szCs w:val="16"/>
              </w:rPr>
            </w:pPr>
            <w:r w:rsidRPr="00AB4AFF">
              <w:rPr>
                <w:rFonts w:ascii="Calibri" w:eastAsia="Times New Roman" w:hAnsi="Calibri" w:cs="Calibri"/>
                <w:i/>
                <w:iCs/>
                <w:color w:val="000000"/>
                <w:sz w:val="16"/>
                <w:szCs w:val="16"/>
              </w:rPr>
              <w:t> </w:t>
            </w:r>
          </w:p>
        </w:tc>
        <w:tc>
          <w:tcPr>
            <w:tcW w:w="379" w:type="dxa"/>
            <w:tcBorders>
              <w:top w:val="nil"/>
              <w:left w:val="nil"/>
              <w:bottom w:val="single" w:sz="4" w:space="0" w:color="auto"/>
              <w:right w:val="single" w:sz="4" w:space="0" w:color="auto"/>
            </w:tcBorders>
            <w:shd w:val="clear" w:color="auto" w:fill="auto"/>
            <w:noWrap/>
            <w:vAlign w:val="bottom"/>
            <w:hideMark/>
          </w:tcPr>
          <w:p w14:paraId="7F0A4533" w14:textId="77777777" w:rsidR="00AB4AFF" w:rsidRPr="00AB4AFF" w:rsidRDefault="00AB4AFF" w:rsidP="00AB4AFF">
            <w:pPr>
              <w:spacing w:after="0" w:line="240" w:lineRule="auto"/>
              <w:jc w:val="center"/>
              <w:rPr>
                <w:rFonts w:ascii="Calibri" w:eastAsia="Times New Roman" w:hAnsi="Calibri" w:cs="Calibri"/>
                <w:i/>
                <w:iCs/>
                <w:color w:val="000000"/>
                <w:sz w:val="16"/>
                <w:szCs w:val="16"/>
              </w:rPr>
            </w:pPr>
            <w:r w:rsidRPr="00AB4AFF">
              <w:rPr>
                <w:rFonts w:ascii="Calibri" w:eastAsia="Times New Roman" w:hAnsi="Calibri" w:cs="Calibri"/>
                <w:i/>
                <w:iCs/>
                <w:color w:val="000000"/>
                <w:sz w:val="16"/>
                <w:szCs w:val="16"/>
              </w:rPr>
              <w:t> </w:t>
            </w:r>
          </w:p>
        </w:tc>
        <w:tc>
          <w:tcPr>
            <w:tcW w:w="379" w:type="dxa"/>
            <w:tcBorders>
              <w:top w:val="nil"/>
              <w:left w:val="nil"/>
              <w:bottom w:val="single" w:sz="4" w:space="0" w:color="auto"/>
              <w:right w:val="single" w:sz="4" w:space="0" w:color="auto"/>
            </w:tcBorders>
            <w:shd w:val="clear" w:color="auto" w:fill="auto"/>
            <w:noWrap/>
            <w:vAlign w:val="bottom"/>
            <w:hideMark/>
          </w:tcPr>
          <w:p w14:paraId="480DBFFF"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 </w:t>
            </w:r>
          </w:p>
        </w:tc>
        <w:tc>
          <w:tcPr>
            <w:tcW w:w="379" w:type="dxa"/>
            <w:tcBorders>
              <w:top w:val="nil"/>
              <w:left w:val="nil"/>
              <w:bottom w:val="single" w:sz="4" w:space="0" w:color="auto"/>
              <w:right w:val="single" w:sz="4" w:space="0" w:color="auto"/>
            </w:tcBorders>
            <w:shd w:val="clear" w:color="auto" w:fill="auto"/>
            <w:noWrap/>
            <w:vAlign w:val="bottom"/>
            <w:hideMark/>
          </w:tcPr>
          <w:p w14:paraId="528B66E3"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 </w:t>
            </w:r>
          </w:p>
        </w:tc>
        <w:tc>
          <w:tcPr>
            <w:tcW w:w="379" w:type="dxa"/>
            <w:tcBorders>
              <w:top w:val="nil"/>
              <w:left w:val="nil"/>
              <w:bottom w:val="single" w:sz="4" w:space="0" w:color="auto"/>
              <w:right w:val="single" w:sz="4" w:space="0" w:color="auto"/>
            </w:tcBorders>
            <w:shd w:val="clear" w:color="auto" w:fill="auto"/>
            <w:noWrap/>
            <w:vAlign w:val="bottom"/>
            <w:hideMark/>
          </w:tcPr>
          <w:p w14:paraId="48F6F6B8"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 </w:t>
            </w:r>
          </w:p>
        </w:tc>
        <w:tc>
          <w:tcPr>
            <w:tcW w:w="379" w:type="dxa"/>
            <w:tcBorders>
              <w:top w:val="nil"/>
              <w:left w:val="nil"/>
              <w:bottom w:val="single" w:sz="4" w:space="0" w:color="auto"/>
              <w:right w:val="single" w:sz="4" w:space="0" w:color="auto"/>
            </w:tcBorders>
            <w:shd w:val="clear" w:color="auto" w:fill="auto"/>
            <w:noWrap/>
            <w:vAlign w:val="bottom"/>
            <w:hideMark/>
          </w:tcPr>
          <w:p w14:paraId="4563CC08"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 </w:t>
            </w:r>
          </w:p>
        </w:tc>
        <w:tc>
          <w:tcPr>
            <w:tcW w:w="379" w:type="dxa"/>
            <w:tcBorders>
              <w:top w:val="nil"/>
              <w:left w:val="nil"/>
              <w:bottom w:val="single" w:sz="4" w:space="0" w:color="auto"/>
              <w:right w:val="single" w:sz="4" w:space="0" w:color="auto"/>
            </w:tcBorders>
            <w:shd w:val="clear" w:color="auto" w:fill="auto"/>
            <w:noWrap/>
            <w:vAlign w:val="bottom"/>
            <w:hideMark/>
          </w:tcPr>
          <w:p w14:paraId="20972AEC"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 </w:t>
            </w:r>
          </w:p>
        </w:tc>
        <w:tc>
          <w:tcPr>
            <w:tcW w:w="379" w:type="dxa"/>
            <w:tcBorders>
              <w:top w:val="nil"/>
              <w:left w:val="nil"/>
              <w:bottom w:val="single" w:sz="4" w:space="0" w:color="auto"/>
              <w:right w:val="single" w:sz="4" w:space="0" w:color="auto"/>
            </w:tcBorders>
            <w:shd w:val="clear" w:color="auto" w:fill="auto"/>
            <w:noWrap/>
            <w:vAlign w:val="bottom"/>
            <w:hideMark/>
          </w:tcPr>
          <w:p w14:paraId="6256554E"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 </w:t>
            </w:r>
          </w:p>
        </w:tc>
        <w:tc>
          <w:tcPr>
            <w:tcW w:w="379" w:type="dxa"/>
            <w:tcBorders>
              <w:top w:val="nil"/>
              <w:left w:val="nil"/>
              <w:bottom w:val="single" w:sz="4" w:space="0" w:color="auto"/>
              <w:right w:val="single" w:sz="4" w:space="0" w:color="auto"/>
            </w:tcBorders>
            <w:shd w:val="clear" w:color="auto" w:fill="auto"/>
            <w:noWrap/>
            <w:vAlign w:val="bottom"/>
            <w:hideMark/>
          </w:tcPr>
          <w:p w14:paraId="25138CAB"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 </w:t>
            </w:r>
          </w:p>
        </w:tc>
        <w:tc>
          <w:tcPr>
            <w:tcW w:w="379" w:type="dxa"/>
            <w:tcBorders>
              <w:top w:val="nil"/>
              <w:left w:val="nil"/>
              <w:bottom w:val="single" w:sz="4" w:space="0" w:color="auto"/>
              <w:right w:val="single" w:sz="4" w:space="0" w:color="auto"/>
            </w:tcBorders>
            <w:shd w:val="clear" w:color="auto" w:fill="auto"/>
            <w:noWrap/>
            <w:vAlign w:val="bottom"/>
            <w:hideMark/>
          </w:tcPr>
          <w:p w14:paraId="7A085535"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 </w:t>
            </w:r>
          </w:p>
        </w:tc>
        <w:tc>
          <w:tcPr>
            <w:tcW w:w="379" w:type="dxa"/>
            <w:tcBorders>
              <w:top w:val="nil"/>
              <w:left w:val="nil"/>
              <w:bottom w:val="single" w:sz="4" w:space="0" w:color="auto"/>
              <w:right w:val="single" w:sz="4" w:space="0" w:color="auto"/>
            </w:tcBorders>
            <w:shd w:val="clear" w:color="auto" w:fill="auto"/>
            <w:noWrap/>
            <w:vAlign w:val="bottom"/>
            <w:hideMark/>
          </w:tcPr>
          <w:p w14:paraId="2CB9D155"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 </w:t>
            </w:r>
          </w:p>
        </w:tc>
        <w:tc>
          <w:tcPr>
            <w:tcW w:w="379" w:type="dxa"/>
            <w:tcBorders>
              <w:top w:val="nil"/>
              <w:left w:val="nil"/>
              <w:bottom w:val="single" w:sz="4" w:space="0" w:color="auto"/>
              <w:right w:val="single" w:sz="4" w:space="0" w:color="auto"/>
            </w:tcBorders>
            <w:shd w:val="clear" w:color="auto" w:fill="auto"/>
            <w:noWrap/>
            <w:vAlign w:val="bottom"/>
            <w:hideMark/>
          </w:tcPr>
          <w:p w14:paraId="6FA0861D"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 </w:t>
            </w:r>
          </w:p>
        </w:tc>
        <w:tc>
          <w:tcPr>
            <w:tcW w:w="379" w:type="dxa"/>
            <w:tcBorders>
              <w:top w:val="nil"/>
              <w:left w:val="nil"/>
              <w:bottom w:val="single" w:sz="4" w:space="0" w:color="auto"/>
              <w:right w:val="single" w:sz="4" w:space="0" w:color="auto"/>
            </w:tcBorders>
            <w:shd w:val="clear" w:color="auto" w:fill="auto"/>
            <w:noWrap/>
            <w:vAlign w:val="bottom"/>
            <w:hideMark/>
          </w:tcPr>
          <w:p w14:paraId="7C45F760"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 </w:t>
            </w:r>
          </w:p>
        </w:tc>
        <w:tc>
          <w:tcPr>
            <w:tcW w:w="379" w:type="dxa"/>
            <w:tcBorders>
              <w:top w:val="nil"/>
              <w:left w:val="nil"/>
              <w:bottom w:val="single" w:sz="4" w:space="0" w:color="auto"/>
              <w:right w:val="single" w:sz="4" w:space="0" w:color="auto"/>
            </w:tcBorders>
            <w:shd w:val="clear" w:color="auto" w:fill="auto"/>
            <w:noWrap/>
            <w:vAlign w:val="bottom"/>
            <w:hideMark/>
          </w:tcPr>
          <w:p w14:paraId="23300CFF"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 </w:t>
            </w:r>
          </w:p>
        </w:tc>
        <w:tc>
          <w:tcPr>
            <w:tcW w:w="379" w:type="dxa"/>
            <w:tcBorders>
              <w:top w:val="nil"/>
              <w:left w:val="nil"/>
              <w:bottom w:val="single" w:sz="4" w:space="0" w:color="auto"/>
              <w:right w:val="single" w:sz="4" w:space="0" w:color="auto"/>
            </w:tcBorders>
            <w:shd w:val="clear" w:color="auto" w:fill="auto"/>
            <w:noWrap/>
            <w:vAlign w:val="bottom"/>
            <w:hideMark/>
          </w:tcPr>
          <w:p w14:paraId="056F5481"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 </w:t>
            </w:r>
          </w:p>
        </w:tc>
        <w:tc>
          <w:tcPr>
            <w:tcW w:w="379" w:type="dxa"/>
            <w:tcBorders>
              <w:top w:val="nil"/>
              <w:left w:val="nil"/>
              <w:bottom w:val="single" w:sz="4" w:space="0" w:color="auto"/>
              <w:right w:val="single" w:sz="4" w:space="0" w:color="auto"/>
            </w:tcBorders>
            <w:shd w:val="clear" w:color="auto" w:fill="auto"/>
            <w:noWrap/>
            <w:vAlign w:val="bottom"/>
            <w:hideMark/>
          </w:tcPr>
          <w:p w14:paraId="1B097F61"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 </w:t>
            </w:r>
          </w:p>
        </w:tc>
        <w:tc>
          <w:tcPr>
            <w:tcW w:w="379" w:type="dxa"/>
            <w:tcBorders>
              <w:top w:val="nil"/>
              <w:left w:val="nil"/>
              <w:bottom w:val="single" w:sz="4" w:space="0" w:color="auto"/>
              <w:right w:val="single" w:sz="4" w:space="0" w:color="auto"/>
            </w:tcBorders>
            <w:shd w:val="clear" w:color="auto" w:fill="auto"/>
            <w:noWrap/>
            <w:vAlign w:val="bottom"/>
            <w:hideMark/>
          </w:tcPr>
          <w:p w14:paraId="56686DA6"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 </w:t>
            </w:r>
          </w:p>
        </w:tc>
        <w:tc>
          <w:tcPr>
            <w:tcW w:w="379" w:type="dxa"/>
            <w:tcBorders>
              <w:top w:val="nil"/>
              <w:left w:val="nil"/>
              <w:bottom w:val="single" w:sz="4" w:space="0" w:color="auto"/>
              <w:right w:val="single" w:sz="8" w:space="0" w:color="auto"/>
            </w:tcBorders>
            <w:shd w:val="clear" w:color="auto" w:fill="auto"/>
            <w:noWrap/>
            <w:vAlign w:val="bottom"/>
            <w:hideMark/>
          </w:tcPr>
          <w:p w14:paraId="7F436918"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 </w:t>
            </w:r>
          </w:p>
        </w:tc>
      </w:tr>
      <w:tr w:rsidR="00AB4AFF" w:rsidRPr="00AB4AFF" w14:paraId="04AFBAFE" w14:textId="77777777" w:rsidTr="008C0F8B">
        <w:trPr>
          <w:trHeight w:val="290"/>
        </w:trPr>
        <w:tc>
          <w:tcPr>
            <w:tcW w:w="1070" w:type="dxa"/>
            <w:tcBorders>
              <w:top w:val="nil"/>
              <w:left w:val="single" w:sz="8" w:space="0" w:color="auto"/>
              <w:bottom w:val="single" w:sz="4" w:space="0" w:color="auto"/>
              <w:right w:val="single" w:sz="4" w:space="0" w:color="auto"/>
            </w:tcBorders>
            <w:shd w:val="clear" w:color="000000" w:fill="FFFFFF"/>
            <w:noWrap/>
            <w:vAlign w:val="bottom"/>
            <w:hideMark/>
          </w:tcPr>
          <w:p w14:paraId="6E4557F6"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2:110131780</w:t>
            </w:r>
          </w:p>
        </w:tc>
        <w:tc>
          <w:tcPr>
            <w:tcW w:w="498" w:type="dxa"/>
            <w:tcBorders>
              <w:top w:val="nil"/>
              <w:left w:val="nil"/>
              <w:bottom w:val="single" w:sz="4" w:space="0" w:color="auto"/>
              <w:right w:val="single" w:sz="4" w:space="0" w:color="auto"/>
            </w:tcBorders>
            <w:shd w:val="clear" w:color="000000" w:fill="FFFFFF"/>
            <w:noWrap/>
            <w:vAlign w:val="bottom"/>
            <w:hideMark/>
          </w:tcPr>
          <w:p w14:paraId="754C6E9A"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T</w:t>
            </w:r>
          </w:p>
        </w:tc>
        <w:tc>
          <w:tcPr>
            <w:tcW w:w="498" w:type="dxa"/>
            <w:tcBorders>
              <w:top w:val="nil"/>
              <w:left w:val="nil"/>
              <w:bottom w:val="single" w:sz="4" w:space="0" w:color="auto"/>
              <w:right w:val="single" w:sz="8" w:space="0" w:color="auto"/>
            </w:tcBorders>
            <w:shd w:val="clear" w:color="000000" w:fill="FFFFFF"/>
            <w:noWrap/>
            <w:vAlign w:val="bottom"/>
            <w:hideMark/>
          </w:tcPr>
          <w:p w14:paraId="103BFC10"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C</w:t>
            </w:r>
          </w:p>
        </w:tc>
        <w:tc>
          <w:tcPr>
            <w:tcW w:w="632" w:type="dxa"/>
            <w:tcBorders>
              <w:top w:val="nil"/>
              <w:left w:val="nil"/>
              <w:bottom w:val="single" w:sz="4" w:space="0" w:color="auto"/>
              <w:right w:val="single" w:sz="4" w:space="0" w:color="auto"/>
            </w:tcBorders>
            <w:shd w:val="clear" w:color="000000" w:fill="FFFFFF"/>
            <w:noWrap/>
            <w:vAlign w:val="bottom"/>
            <w:hideMark/>
          </w:tcPr>
          <w:p w14:paraId="6841BDDD"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ns</w:t>
            </w:r>
          </w:p>
        </w:tc>
        <w:tc>
          <w:tcPr>
            <w:tcW w:w="850" w:type="dxa"/>
            <w:tcBorders>
              <w:top w:val="nil"/>
              <w:left w:val="nil"/>
              <w:bottom w:val="single" w:sz="4" w:space="0" w:color="auto"/>
              <w:right w:val="single" w:sz="8" w:space="0" w:color="auto"/>
            </w:tcBorders>
            <w:shd w:val="clear" w:color="000000" w:fill="FFFFFF"/>
            <w:noWrap/>
            <w:vAlign w:val="bottom"/>
            <w:hideMark/>
          </w:tcPr>
          <w:p w14:paraId="3D1DAF23"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E570G</w:t>
            </w:r>
          </w:p>
        </w:tc>
        <w:tc>
          <w:tcPr>
            <w:tcW w:w="990" w:type="dxa"/>
            <w:tcBorders>
              <w:top w:val="nil"/>
              <w:left w:val="nil"/>
              <w:bottom w:val="single" w:sz="4" w:space="0" w:color="auto"/>
              <w:right w:val="single" w:sz="4" w:space="0" w:color="auto"/>
            </w:tcBorders>
            <w:shd w:val="clear" w:color="000000" w:fill="FFFFFF"/>
            <w:noWrap/>
            <w:vAlign w:val="bottom"/>
            <w:hideMark/>
          </w:tcPr>
          <w:p w14:paraId="36D4A21D"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 </w:t>
            </w:r>
          </w:p>
        </w:tc>
        <w:tc>
          <w:tcPr>
            <w:tcW w:w="500" w:type="dxa"/>
            <w:tcBorders>
              <w:top w:val="nil"/>
              <w:left w:val="nil"/>
              <w:bottom w:val="single" w:sz="4" w:space="0" w:color="auto"/>
              <w:right w:val="single" w:sz="4" w:space="0" w:color="auto"/>
            </w:tcBorders>
            <w:shd w:val="clear" w:color="000000" w:fill="FFFFFF"/>
            <w:noWrap/>
            <w:vAlign w:val="bottom"/>
            <w:hideMark/>
          </w:tcPr>
          <w:p w14:paraId="165C088E"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28.7</w:t>
            </w:r>
          </w:p>
        </w:tc>
        <w:tc>
          <w:tcPr>
            <w:tcW w:w="534" w:type="dxa"/>
            <w:tcBorders>
              <w:top w:val="nil"/>
              <w:left w:val="nil"/>
              <w:bottom w:val="single" w:sz="4" w:space="0" w:color="auto"/>
              <w:right w:val="single" w:sz="4" w:space="0" w:color="auto"/>
            </w:tcBorders>
            <w:shd w:val="clear" w:color="000000" w:fill="FFFFFF"/>
            <w:noWrap/>
            <w:vAlign w:val="bottom"/>
            <w:hideMark/>
          </w:tcPr>
          <w:p w14:paraId="63C0F724"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 </w:t>
            </w:r>
          </w:p>
        </w:tc>
        <w:tc>
          <w:tcPr>
            <w:tcW w:w="498" w:type="dxa"/>
            <w:tcBorders>
              <w:top w:val="nil"/>
              <w:left w:val="nil"/>
              <w:bottom w:val="single" w:sz="4" w:space="0" w:color="auto"/>
              <w:right w:val="single" w:sz="8" w:space="0" w:color="auto"/>
            </w:tcBorders>
            <w:shd w:val="clear" w:color="000000" w:fill="FFFFFF"/>
            <w:noWrap/>
            <w:vAlign w:val="bottom"/>
            <w:hideMark/>
          </w:tcPr>
          <w:p w14:paraId="7CD60BD2"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VUS</w:t>
            </w:r>
          </w:p>
        </w:tc>
        <w:tc>
          <w:tcPr>
            <w:tcW w:w="298" w:type="dxa"/>
            <w:tcBorders>
              <w:top w:val="nil"/>
              <w:left w:val="nil"/>
              <w:bottom w:val="single" w:sz="4" w:space="0" w:color="auto"/>
              <w:right w:val="single" w:sz="4" w:space="0" w:color="auto"/>
            </w:tcBorders>
            <w:shd w:val="clear" w:color="auto" w:fill="auto"/>
            <w:noWrap/>
            <w:vAlign w:val="bottom"/>
            <w:hideMark/>
          </w:tcPr>
          <w:p w14:paraId="3A907F22"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 </w:t>
            </w:r>
          </w:p>
        </w:tc>
        <w:tc>
          <w:tcPr>
            <w:tcW w:w="298" w:type="dxa"/>
            <w:tcBorders>
              <w:top w:val="nil"/>
              <w:left w:val="nil"/>
              <w:bottom w:val="single" w:sz="4" w:space="0" w:color="auto"/>
              <w:right w:val="single" w:sz="4" w:space="0" w:color="auto"/>
            </w:tcBorders>
            <w:shd w:val="clear" w:color="auto" w:fill="auto"/>
            <w:noWrap/>
            <w:vAlign w:val="bottom"/>
            <w:hideMark/>
          </w:tcPr>
          <w:p w14:paraId="546A2154"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 </w:t>
            </w:r>
          </w:p>
        </w:tc>
        <w:tc>
          <w:tcPr>
            <w:tcW w:w="298" w:type="dxa"/>
            <w:tcBorders>
              <w:top w:val="nil"/>
              <w:left w:val="nil"/>
              <w:bottom w:val="single" w:sz="4" w:space="0" w:color="auto"/>
              <w:right w:val="single" w:sz="4" w:space="0" w:color="auto"/>
            </w:tcBorders>
            <w:shd w:val="clear" w:color="000000" w:fill="9BC2E6"/>
            <w:noWrap/>
            <w:vAlign w:val="bottom"/>
            <w:hideMark/>
          </w:tcPr>
          <w:p w14:paraId="068D7587" w14:textId="77777777" w:rsidR="00AB4AFF" w:rsidRPr="00AB4AFF" w:rsidRDefault="00AB4AFF" w:rsidP="00AB4AFF">
            <w:pPr>
              <w:spacing w:after="0" w:line="240" w:lineRule="auto"/>
              <w:jc w:val="center"/>
              <w:rPr>
                <w:rFonts w:ascii="Calibri" w:eastAsia="Times New Roman" w:hAnsi="Calibri" w:cs="Calibri"/>
                <w:i/>
                <w:iCs/>
                <w:color w:val="000000"/>
                <w:sz w:val="16"/>
                <w:szCs w:val="16"/>
              </w:rPr>
            </w:pPr>
            <w:r w:rsidRPr="00AB4AFF">
              <w:rPr>
                <w:rFonts w:ascii="Calibri" w:eastAsia="Times New Roman" w:hAnsi="Calibri" w:cs="Calibri"/>
                <w:i/>
                <w:iCs/>
                <w:color w:val="000000"/>
                <w:sz w:val="16"/>
                <w:szCs w:val="16"/>
              </w:rPr>
              <w:t>t</w:t>
            </w:r>
          </w:p>
        </w:tc>
        <w:tc>
          <w:tcPr>
            <w:tcW w:w="298" w:type="dxa"/>
            <w:tcBorders>
              <w:top w:val="nil"/>
              <w:left w:val="nil"/>
              <w:bottom w:val="single" w:sz="4" w:space="0" w:color="auto"/>
              <w:right w:val="single" w:sz="4" w:space="0" w:color="auto"/>
            </w:tcBorders>
            <w:shd w:val="clear" w:color="auto" w:fill="auto"/>
            <w:noWrap/>
            <w:vAlign w:val="bottom"/>
            <w:hideMark/>
          </w:tcPr>
          <w:p w14:paraId="7BE25FA1" w14:textId="77777777" w:rsidR="00AB4AFF" w:rsidRPr="00AB4AFF" w:rsidRDefault="00AB4AFF" w:rsidP="00AB4AFF">
            <w:pPr>
              <w:spacing w:after="0" w:line="240" w:lineRule="auto"/>
              <w:jc w:val="center"/>
              <w:rPr>
                <w:rFonts w:ascii="Calibri" w:eastAsia="Times New Roman" w:hAnsi="Calibri" w:cs="Calibri"/>
                <w:i/>
                <w:iCs/>
                <w:color w:val="000000"/>
                <w:sz w:val="16"/>
                <w:szCs w:val="16"/>
              </w:rPr>
            </w:pPr>
            <w:r w:rsidRPr="00AB4AFF">
              <w:rPr>
                <w:rFonts w:ascii="Calibri" w:eastAsia="Times New Roman" w:hAnsi="Calibri" w:cs="Calibri"/>
                <w:i/>
                <w:iCs/>
                <w:color w:val="000000"/>
                <w:sz w:val="16"/>
                <w:szCs w:val="16"/>
              </w:rPr>
              <w:t> </w:t>
            </w:r>
          </w:p>
        </w:tc>
        <w:tc>
          <w:tcPr>
            <w:tcW w:w="298" w:type="dxa"/>
            <w:tcBorders>
              <w:top w:val="nil"/>
              <w:left w:val="nil"/>
              <w:bottom w:val="single" w:sz="4" w:space="0" w:color="auto"/>
              <w:right w:val="single" w:sz="4" w:space="0" w:color="auto"/>
            </w:tcBorders>
            <w:shd w:val="clear" w:color="auto" w:fill="auto"/>
            <w:noWrap/>
            <w:vAlign w:val="bottom"/>
            <w:hideMark/>
          </w:tcPr>
          <w:p w14:paraId="367BAE68" w14:textId="77777777" w:rsidR="00AB4AFF" w:rsidRPr="00AB4AFF" w:rsidRDefault="00AB4AFF" w:rsidP="00AB4AFF">
            <w:pPr>
              <w:spacing w:after="0" w:line="240" w:lineRule="auto"/>
              <w:jc w:val="center"/>
              <w:rPr>
                <w:rFonts w:ascii="Calibri" w:eastAsia="Times New Roman" w:hAnsi="Calibri" w:cs="Calibri"/>
                <w:i/>
                <w:iCs/>
                <w:color w:val="000000"/>
                <w:sz w:val="16"/>
                <w:szCs w:val="16"/>
              </w:rPr>
            </w:pPr>
            <w:r w:rsidRPr="00AB4AFF">
              <w:rPr>
                <w:rFonts w:ascii="Calibri" w:eastAsia="Times New Roman" w:hAnsi="Calibri" w:cs="Calibri"/>
                <w:i/>
                <w:iCs/>
                <w:color w:val="000000"/>
                <w:sz w:val="16"/>
                <w:szCs w:val="16"/>
              </w:rPr>
              <w:t> </w:t>
            </w:r>
          </w:p>
        </w:tc>
        <w:tc>
          <w:tcPr>
            <w:tcW w:w="298" w:type="dxa"/>
            <w:tcBorders>
              <w:top w:val="nil"/>
              <w:left w:val="nil"/>
              <w:bottom w:val="single" w:sz="4" w:space="0" w:color="auto"/>
              <w:right w:val="single" w:sz="4" w:space="0" w:color="auto"/>
            </w:tcBorders>
            <w:shd w:val="clear" w:color="auto" w:fill="auto"/>
            <w:noWrap/>
            <w:vAlign w:val="bottom"/>
            <w:hideMark/>
          </w:tcPr>
          <w:p w14:paraId="41DE9CA1" w14:textId="77777777" w:rsidR="00AB4AFF" w:rsidRPr="00AB4AFF" w:rsidRDefault="00AB4AFF" w:rsidP="00AB4AFF">
            <w:pPr>
              <w:spacing w:after="0" w:line="240" w:lineRule="auto"/>
              <w:jc w:val="center"/>
              <w:rPr>
                <w:rFonts w:ascii="Calibri" w:eastAsia="Times New Roman" w:hAnsi="Calibri" w:cs="Calibri"/>
                <w:i/>
                <w:iCs/>
                <w:color w:val="000000"/>
                <w:sz w:val="16"/>
                <w:szCs w:val="16"/>
              </w:rPr>
            </w:pPr>
            <w:r w:rsidRPr="00AB4AFF">
              <w:rPr>
                <w:rFonts w:ascii="Calibri" w:eastAsia="Times New Roman" w:hAnsi="Calibri" w:cs="Calibri"/>
                <w:i/>
                <w:iCs/>
                <w:color w:val="000000"/>
                <w:sz w:val="16"/>
                <w:szCs w:val="16"/>
              </w:rPr>
              <w:t> </w:t>
            </w:r>
          </w:p>
        </w:tc>
        <w:tc>
          <w:tcPr>
            <w:tcW w:w="298" w:type="dxa"/>
            <w:tcBorders>
              <w:top w:val="nil"/>
              <w:left w:val="nil"/>
              <w:bottom w:val="single" w:sz="4" w:space="0" w:color="auto"/>
              <w:right w:val="single" w:sz="4" w:space="0" w:color="auto"/>
            </w:tcBorders>
            <w:shd w:val="clear" w:color="auto" w:fill="auto"/>
            <w:noWrap/>
            <w:vAlign w:val="bottom"/>
            <w:hideMark/>
          </w:tcPr>
          <w:p w14:paraId="142BA5F5" w14:textId="77777777" w:rsidR="00AB4AFF" w:rsidRPr="00AB4AFF" w:rsidRDefault="00AB4AFF" w:rsidP="00AB4AFF">
            <w:pPr>
              <w:spacing w:after="0" w:line="240" w:lineRule="auto"/>
              <w:jc w:val="center"/>
              <w:rPr>
                <w:rFonts w:ascii="Calibri" w:eastAsia="Times New Roman" w:hAnsi="Calibri" w:cs="Calibri"/>
                <w:i/>
                <w:iCs/>
                <w:color w:val="000000"/>
                <w:sz w:val="16"/>
                <w:szCs w:val="16"/>
              </w:rPr>
            </w:pPr>
            <w:r w:rsidRPr="00AB4AFF">
              <w:rPr>
                <w:rFonts w:ascii="Calibri" w:eastAsia="Times New Roman" w:hAnsi="Calibri" w:cs="Calibri"/>
                <w:i/>
                <w:iCs/>
                <w:color w:val="000000"/>
                <w:sz w:val="16"/>
                <w:szCs w:val="16"/>
              </w:rPr>
              <w:t> </w:t>
            </w:r>
          </w:p>
        </w:tc>
        <w:tc>
          <w:tcPr>
            <w:tcW w:w="298" w:type="dxa"/>
            <w:tcBorders>
              <w:top w:val="nil"/>
              <w:left w:val="nil"/>
              <w:bottom w:val="single" w:sz="4" w:space="0" w:color="auto"/>
              <w:right w:val="single" w:sz="4" w:space="0" w:color="auto"/>
            </w:tcBorders>
            <w:shd w:val="clear" w:color="auto" w:fill="auto"/>
            <w:noWrap/>
            <w:vAlign w:val="bottom"/>
            <w:hideMark/>
          </w:tcPr>
          <w:p w14:paraId="698A56D5" w14:textId="77777777" w:rsidR="00AB4AFF" w:rsidRPr="00AB4AFF" w:rsidRDefault="00AB4AFF" w:rsidP="00AB4AFF">
            <w:pPr>
              <w:spacing w:after="0" w:line="240" w:lineRule="auto"/>
              <w:jc w:val="center"/>
              <w:rPr>
                <w:rFonts w:ascii="Calibri" w:eastAsia="Times New Roman" w:hAnsi="Calibri" w:cs="Calibri"/>
                <w:i/>
                <w:iCs/>
                <w:color w:val="000000"/>
                <w:sz w:val="16"/>
                <w:szCs w:val="16"/>
              </w:rPr>
            </w:pPr>
            <w:r w:rsidRPr="00AB4AFF">
              <w:rPr>
                <w:rFonts w:ascii="Calibri" w:eastAsia="Times New Roman" w:hAnsi="Calibri" w:cs="Calibri"/>
                <w:i/>
                <w:iCs/>
                <w:color w:val="000000"/>
                <w:sz w:val="16"/>
                <w:szCs w:val="16"/>
              </w:rPr>
              <w:t> </w:t>
            </w:r>
          </w:p>
        </w:tc>
        <w:tc>
          <w:tcPr>
            <w:tcW w:w="379" w:type="dxa"/>
            <w:tcBorders>
              <w:top w:val="nil"/>
              <w:left w:val="nil"/>
              <w:bottom w:val="single" w:sz="4" w:space="0" w:color="auto"/>
              <w:right w:val="single" w:sz="4" w:space="0" w:color="auto"/>
            </w:tcBorders>
            <w:shd w:val="clear" w:color="auto" w:fill="auto"/>
            <w:noWrap/>
            <w:vAlign w:val="bottom"/>
            <w:hideMark/>
          </w:tcPr>
          <w:p w14:paraId="7B32175F" w14:textId="77777777" w:rsidR="00AB4AFF" w:rsidRPr="00AB4AFF" w:rsidRDefault="00AB4AFF" w:rsidP="00AB4AFF">
            <w:pPr>
              <w:spacing w:after="0" w:line="240" w:lineRule="auto"/>
              <w:jc w:val="center"/>
              <w:rPr>
                <w:rFonts w:ascii="Calibri" w:eastAsia="Times New Roman" w:hAnsi="Calibri" w:cs="Calibri"/>
                <w:i/>
                <w:iCs/>
                <w:color w:val="000000"/>
                <w:sz w:val="16"/>
                <w:szCs w:val="16"/>
              </w:rPr>
            </w:pPr>
            <w:r w:rsidRPr="00AB4AFF">
              <w:rPr>
                <w:rFonts w:ascii="Calibri" w:eastAsia="Times New Roman" w:hAnsi="Calibri" w:cs="Calibri"/>
                <w:i/>
                <w:iCs/>
                <w:color w:val="000000"/>
                <w:sz w:val="16"/>
                <w:szCs w:val="16"/>
              </w:rPr>
              <w:t> </w:t>
            </w:r>
          </w:p>
        </w:tc>
        <w:tc>
          <w:tcPr>
            <w:tcW w:w="379" w:type="dxa"/>
            <w:tcBorders>
              <w:top w:val="nil"/>
              <w:left w:val="nil"/>
              <w:bottom w:val="single" w:sz="4" w:space="0" w:color="auto"/>
              <w:right w:val="single" w:sz="4" w:space="0" w:color="auto"/>
            </w:tcBorders>
            <w:shd w:val="clear" w:color="auto" w:fill="auto"/>
            <w:noWrap/>
            <w:vAlign w:val="bottom"/>
            <w:hideMark/>
          </w:tcPr>
          <w:p w14:paraId="4BB78A3A" w14:textId="77777777" w:rsidR="00AB4AFF" w:rsidRPr="00AB4AFF" w:rsidRDefault="00AB4AFF" w:rsidP="00AB4AFF">
            <w:pPr>
              <w:spacing w:after="0" w:line="240" w:lineRule="auto"/>
              <w:jc w:val="center"/>
              <w:rPr>
                <w:rFonts w:ascii="Calibri" w:eastAsia="Times New Roman" w:hAnsi="Calibri" w:cs="Calibri"/>
                <w:i/>
                <w:iCs/>
                <w:color w:val="000000"/>
                <w:sz w:val="16"/>
                <w:szCs w:val="16"/>
              </w:rPr>
            </w:pPr>
            <w:r w:rsidRPr="00AB4AFF">
              <w:rPr>
                <w:rFonts w:ascii="Calibri" w:eastAsia="Times New Roman" w:hAnsi="Calibri" w:cs="Calibri"/>
                <w:i/>
                <w:iCs/>
                <w:color w:val="000000"/>
                <w:sz w:val="16"/>
                <w:szCs w:val="16"/>
              </w:rPr>
              <w:t> </w:t>
            </w:r>
          </w:p>
        </w:tc>
        <w:tc>
          <w:tcPr>
            <w:tcW w:w="379" w:type="dxa"/>
            <w:tcBorders>
              <w:top w:val="nil"/>
              <w:left w:val="nil"/>
              <w:bottom w:val="single" w:sz="4" w:space="0" w:color="auto"/>
              <w:right w:val="single" w:sz="4" w:space="0" w:color="auto"/>
            </w:tcBorders>
            <w:shd w:val="clear" w:color="auto" w:fill="auto"/>
            <w:noWrap/>
            <w:vAlign w:val="bottom"/>
            <w:hideMark/>
          </w:tcPr>
          <w:p w14:paraId="5B3EB081"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 </w:t>
            </w:r>
          </w:p>
        </w:tc>
        <w:tc>
          <w:tcPr>
            <w:tcW w:w="379" w:type="dxa"/>
            <w:tcBorders>
              <w:top w:val="nil"/>
              <w:left w:val="nil"/>
              <w:bottom w:val="single" w:sz="4" w:space="0" w:color="auto"/>
              <w:right w:val="single" w:sz="4" w:space="0" w:color="auto"/>
            </w:tcBorders>
            <w:shd w:val="clear" w:color="auto" w:fill="auto"/>
            <w:noWrap/>
            <w:vAlign w:val="bottom"/>
            <w:hideMark/>
          </w:tcPr>
          <w:p w14:paraId="0F06321D"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 </w:t>
            </w:r>
          </w:p>
        </w:tc>
        <w:tc>
          <w:tcPr>
            <w:tcW w:w="379" w:type="dxa"/>
            <w:tcBorders>
              <w:top w:val="nil"/>
              <w:left w:val="nil"/>
              <w:bottom w:val="single" w:sz="4" w:space="0" w:color="auto"/>
              <w:right w:val="single" w:sz="4" w:space="0" w:color="auto"/>
            </w:tcBorders>
            <w:shd w:val="clear" w:color="auto" w:fill="auto"/>
            <w:noWrap/>
            <w:vAlign w:val="bottom"/>
            <w:hideMark/>
          </w:tcPr>
          <w:p w14:paraId="7BBD2F90"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 </w:t>
            </w:r>
          </w:p>
        </w:tc>
        <w:tc>
          <w:tcPr>
            <w:tcW w:w="379" w:type="dxa"/>
            <w:tcBorders>
              <w:top w:val="nil"/>
              <w:left w:val="nil"/>
              <w:bottom w:val="single" w:sz="4" w:space="0" w:color="auto"/>
              <w:right w:val="single" w:sz="4" w:space="0" w:color="auto"/>
            </w:tcBorders>
            <w:shd w:val="clear" w:color="auto" w:fill="auto"/>
            <w:noWrap/>
            <w:vAlign w:val="bottom"/>
            <w:hideMark/>
          </w:tcPr>
          <w:p w14:paraId="23D6ADE3"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 </w:t>
            </w:r>
          </w:p>
        </w:tc>
        <w:tc>
          <w:tcPr>
            <w:tcW w:w="379" w:type="dxa"/>
            <w:tcBorders>
              <w:top w:val="nil"/>
              <w:left w:val="nil"/>
              <w:bottom w:val="single" w:sz="4" w:space="0" w:color="auto"/>
              <w:right w:val="single" w:sz="4" w:space="0" w:color="auto"/>
            </w:tcBorders>
            <w:shd w:val="clear" w:color="auto" w:fill="auto"/>
            <w:noWrap/>
            <w:vAlign w:val="bottom"/>
            <w:hideMark/>
          </w:tcPr>
          <w:p w14:paraId="7DD999A1"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 </w:t>
            </w:r>
          </w:p>
        </w:tc>
        <w:tc>
          <w:tcPr>
            <w:tcW w:w="379" w:type="dxa"/>
            <w:tcBorders>
              <w:top w:val="nil"/>
              <w:left w:val="nil"/>
              <w:bottom w:val="single" w:sz="4" w:space="0" w:color="auto"/>
              <w:right w:val="single" w:sz="4" w:space="0" w:color="auto"/>
            </w:tcBorders>
            <w:shd w:val="clear" w:color="auto" w:fill="auto"/>
            <w:noWrap/>
            <w:vAlign w:val="bottom"/>
            <w:hideMark/>
          </w:tcPr>
          <w:p w14:paraId="1FE7B039"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 </w:t>
            </w:r>
          </w:p>
        </w:tc>
        <w:tc>
          <w:tcPr>
            <w:tcW w:w="379" w:type="dxa"/>
            <w:tcBorders>
              <w:top w:val="nil"/>
              <w:left w:val="nil"/>
              <w:bottom w:val="single" w:sz="4" w:space="0" w:color="auto"/>
              <w:right w:val="single" w:sz="4" w:space="0" w:color="auto"/>
            </w:tcBorders>
            <w:shd w:val="clear" w:color="auto" w:fill="auto"/>
            <w:noWrap/>
            <w:vAlign w:val="bottom"/>
            <w:hideMark/>
          </w:tcPr>
          <w:p w14:paraId="16604291"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 </w:t>
            </w:r>
          </w:p>
        </w:tc>
        <w:tc>
          <w:tcPr>
            <w:tcW w:w="379" w:type="dxa"/>
            <w:tcBorders>
              <w:top w:val="nil"/>
              <w:left w:val="nil"/>
              <w:bottom w:val="single" w:sz="4" w:space="0" w:color="auto"/>
              <w:right w:val="single" w:sz="4" w:space="0" w:color="auto"/>
            </w:tcBorders>
            <w:shd w:val="clear" w:color="auto" w:fill="auto"/>
            <w:noWrap/>
            <w:vAlign w:val="bottom"/>
            <w:hideMark/>
          </w:tcPr>
          <w:p w14:paraId="05E66F93"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 </w:t>
            </w:r>
          </w:p>
        </w:tc>
        <w:tc>
          <w:tcPr>
            <w:tcW w:w="379" w:type="dxa"/>
            <w:tcBorders>
              <w:top w:val="nil"/>
              <w:left w:val="nil"/>
              <w:bottom w:val="single" w:sz="4" w:space="0" w:color="auto"/>
              <w:right w:val="single" w:sz="4" w:space="0" w:color="auto"/>
            </w:tcBorders>
            <w:shd w:val="clear" w:color="auto" w:fill="auto"/>
            <w:noWrap/>
            <w:vAlign w:val="bottom"/>
            <w:hideMark/>
          </w:tcPr>
          <w:p w14:paraId="74530509"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 </w:t>
            </w:r>
          </w:p>
        </w:tc>
        <w:tc>
          <w:tcPr>
            <w:tcW w:w="379" w:type="dxa"/>
            <w:tcBorders>
              <w:top w:val="nil"/>
              <w:left w:val="nil"/>
              <w:bottom w:val="single" w:sz="4" w:space="0" w:color="auto"/>
              <w:right w:val="single" w:sz="4" w:space="0" w:color="auto"/>
            </w:tcBorders>
            <w:shd w:val="clear" w:color="auto" w:fill="auto"/>
            <w:noWrap/>
            <w:vAlign w:val="bottom"/>
            <w:hideMark/>
          </w:tcPr>
          <w:p w14:paraId="2FF511AC"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 </w:t>
            </w:r>
          </w:p>
        </w:tc>
        <w:tc>
          <w:tcPr>
            <w:tcW w:w="379" w:type="dxa"/>
            <w:tcBorders>
              <w:top w:val="nil"/>
              <w:left w:val="nil"/>
              <w:bottom w:val="single" w:sz="4" w:space="0" w:color="auto"/>
              <w:right w:val="single" w:sz="4" w:space="0" w:color="auto"/>
            </w:tcBorders>
            <w:shd w:val="clear" w:color="auto" w:fill="auto"/>
            <w:noWrap/>
            <w:vAlign w:val="bottom"/>
            <w:hideMark/>
          </w:tcPr>
          <w:p w14:paraId="67B3C06F"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 </w:t>
            </w:r>
          </w:p>
        </w:tc>
        <w:tc>
          <w:tcPr>
            <w:tcW w:w="379" w:type="dxa"/>
            <w:tcBorders>
              <w:top w:val="nil"/>
              <w:left w:val="nil"/>
              <w:bottom w:val="single" w:sz="4" w:space="0" w:color="auto"/>
              <w:right w:val="single" w:sz="4" w:space="0" w:color="auto"/>
            </w:tcBorders>
            <w:shd w:val="clear" w:color="auto" w:fill="auto"/>
            <w:noWrap/>
            <w:vAlign w:val="bottom"/>
            <w:hideMark/>
          </w:tcPr>
          <w:p w14:paraId="75EA5111"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 </w:t>
            </w:r>
          </w:p>
        </w:tc>
        <w:tc>
          <w:tcPr>
            <w:tcW w:w="379" w:type="dxa"/>
            <w:tcBorders>
              <w:top w:val="nil"/>
              <w:left w:val="nil"/>
              <w:bottom w:val="single" w:sz="4" w:space="0" w:color="auto"/>
              <w:right w:val="single" w:sz="4" w:space="0" w:color="auto"/>
            </w:tcBorders>
            <w:shd w:val="clear" w:color="auto" w:fill="auto"/>
            <w:noWrap/>
            <w:vAlign w:val="bottom"/>
            <w:hideMark/>
          </w:tcPr>
          <w:p w14:paraId="3934E4D9"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 </w:t>
            </w:r>
          </w:p>
        </w:tc>
        <w:tc>
          <w:tcPr>
            <w:tcW w:w="379" w:type="dxa"/>
            <w:tcBorders>
              <w:top w:val="nil"/>
              <w:left w:val="nil"/>
              <w:bottom w:val="single" w:sz="4" w:space="0" w:color="auto"/>
              <w:right w:val="single" w:sz="4" w:space="0" w:color="auto"/>
            </w:tcBorders>
            <w:shd w:val="clear" w:color="auto" w:fill="auto"/>
            <w:noWrap/>
            <w:vAlign w:val="bottom"/>
            <w:hideMark/>
          </w:tcPr>
          <w:p w14:paraId="3D3C336C"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 </w:t>
            </w:r>
          </w:p>
        </w:tc>
        <w:tc>
          <w:tcPr>
            <w:tcW w:w="379" w:type="dxa"/>
            <w:tcBorders>
              <w:top w:val="nil"/>
              <w:left w:val="nil"/>
              <w:bottom w:val="single" w:sz="4" w:space="0" w:color="auto"/>
              <w:right w:val="single" w:sz="4" w:space="0" w:color="auto"/>
            </w:tcBorders>
            <w:shd w:val="clear" w:color="auto" w:fill="auto"/>
            <w:noWrap/>
            <w:vAlign w:val="bottom"/>
            <w:hideMark/>
          </w:tcPr>
          <w:p w14:paraId="498D80DD"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 </w:t>
            </w:r>
          </w:p>
        </w:tc>
        <w:tc>
          <w:tcPr>
            <w:tcW w:w="379" w:type="dxa"/>
            <w:tcBorders>
              <w:top w:val="nil"/>
              <w:left w:val="nil"/>
              <w:bottom w:val="single" w:sz="4" w:space="0" w:color="auto"/>
              <w:right w:val="single" w:sz="8" w:space="0" w:color="auto"/>
            </w:tcBorders>
            <w:shd w:val="clear" w:color="auto" w:fill="auto"/>
            <w:noWrap/>
            <w:vAlign w:val="bottom"/>
            <w:hideMark/>
          </w:tcPr>
          <w:p w14:paraId="549574D4"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 </w:t>
            </w:r>
          </w:p>
        </w:tc>
      </w:tr>
      <w:tr w:rsidR="00AB4AFF" w:rsidRPr="00AB4AFF" w14:paraId="42B51002" w14:textId="77777777" w:rsidTr="008C0F8B">
        <w:trPr>
          <w:trHeight w:val="290"/>
        </w:trPr>
        <w:tc>
          <w:tcPr>
            <w:tcW w:w="1070" w:type="dxa"/>
            <w:tcBorders>
              <w:top w:val="nil"/>
              <w:left w:val="single" w:sz="8" w:space="0" w:color="auto"/>
              <w:bottom w:val="single" w:sz="4" w:space="0" w:color="auto"/>
              <w:right w:val="single" w:sz="4" w:space="0" w:color="auto"/>
            </w:tcBorders>
            <w:shd w:val="clear" w:color="000000" w:fill="FFFFFF"/>
            <w:noWrap/>
            <w:vAlign w:val="bottom"/>
            <w:hideMark/>
          </w:tcPr>
          <w:p w14:paraId="64A54ACF"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2:110143602</w:t>
            </w:r>
          </w:p>
        </w:tc>
        <w:tc>
          <w:tcPr>
            <w:tcW w:w="498" w:type="dxa"/>
            <w:tcBorders>
              <w:top w:val="nil"/>
              <w:left w:val="nil"/>
              <w:bottom w:val="single" w:sz="4" w:space="0" w:color="auto"/>
              <w:right w:val="single" w:sz="4" w:space="0" w:color="auto"/>
            </w:tcBorders>
            <w:shd w:val="clear" w:color="000000" w:fill="FFFFFF"/>
            <w:noWrap/>
            <w:vAlign w:val="bottom"/>
            <w:hideMark/>
          </w:tcPr>
          <w:p w14:paraId="3433CB4E"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C</w:t>
            </w:r>
          </w:p>
        </w:tc>
        <w:tc>
          <w:tcPr>
            <w:tcW w:w="498" w:type="dxa"/>
            <w:tcBorders>
              <w:top w:val="nil"/>
              <w:left w:val="nil"/>
              <w:bottom w:val="single" w:sz="4" w:space="0" w:color="auto"/>
              <w:right w:val="single" w:sz="8" w:space="0" w:color="auto"/>
            </w:tcBorders>
            <w:shd w:val="clear" w:color="000000" w:fill="FFFFFF"/>
            <w:noWrap/>
            <w:vAlign w:val="bottom"/>
            <w:hideMark/>
          </w:tcPr>
          <w:p w14:paraId="420B3C96"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T</w:t>
            </w:r>
          </w:p>
        </w:tc>
        <w:tc>
          <w:tcPr>
            <w:tcW w:w="632" w:type="dxa"/>
            <w:tcBorders>
              <w:top w:val="nil"/>
              <w:left w:val="nil"/>
              <w:bottom w:val="single" w:sz="4" w:space="0" w:color="auto"/>
              <w:right w:val="single" w:sz="4" w:space="0" w:color="auto"/>
            </w:tcBorders>
            <w:shd w:val="clear" w:color="000000" w:fill="FFFFFF"/>
            <w:noWrap/>
            <w:vAlign w:val="bottom"/>
            <w:hideMark/>
          </w:tcPr>
          <w:p w14:paraId="44202ABF"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ns</w:t>
            </w:r>
          </w:p>
        </w:tc>
        <w:tc>
          <w:tcPr>
            <w:tcW w:w="850" w:type="dxa"/>
            <w:tcBorders>
              <w:top w:val="nil"/>
              <w:left w:val="nil"/>
              <w:bottom w:val="single" w:sz="4" w:space="0" w:color="auto"/>
              <w:right w:val="single" w:sz="8" w:space="0" w:color="auto"/>
            </w:tcBorders>
            <w:shd w:val="clear" w:color="000000" w:fill="FFFFFF"/>
            <w:noWrap/>
            <w:vAlign w:val="bottom"/>
            <w:hideMark/>
          </w:tcPr>
          <w:p w14:paraId="2114BC94"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R546K</w:t>
            </w:r>
          </w:p>
        </w:tc>
        <w:tc>
          <w:tcPr>
            <w:tcW w:w="990" w:type="dxa"/>
            <w:tcBorders>
              <w:top w:val="nil"/>
              <w:left w:val="nil"/>
              <w:bottom w:val="single" w:sz="4" w:space="0" w:color="auto"/>
              <w:right w:val="single" w:sz="4" w:space="0" w:color="auto"/>
            </w:tcBorders>
            <w:shd w:val="clear" w:color="000000" w:fill="FFFFFF"/>
            <w:noWrap/>
            <w:vAlign w:val="bottom"/>
            <w:hideMark/>
          </w:tcPr>
          <w:p w14:paraId="33932F6A"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4.00E-04</w:t>
            </w:r>
          </w:p>
        </w:tc>
        <w:tc>
          <w:tcPr>
            <w:tcW w:w="500" w:type="dxa"/>
            <w:tcBorders>
              <w:top w:val="nil"/>
              <w:left w:val="nil"/>
              <w:bottom w:val="single" w:sz="4" w:space="0" w:color="auto"/>
              <w:right w:val="single" w:sz="4" w:space="0" w:color="auto"/>
            </w:tcBorders>
            <w:shd w:val="clear" w:color="000000" w:fill="FFFFFF"/>
            <w:noWrap/>
            <w:vAlign w:val="bottom"/>
            <w:hideMark/>
          </w:tcPr>
          <w:p w14:paraId="308ED172"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18.0</w:t>
            </w:r>
          </w:p>
        </w:tc>
        <w:tc>
          <w:tcPr>
            <w:tcW w:w="534" w:type="dxa"/>
            <w:tcBorders>
              <w:top w:val="nil"/>
              <w:left w:val="nil"/>
              <w:bottom w:val="single" w:sz="4" w:space="0" w:color="auto"/>
              <w:right w:val="single" w:sz="4" w:space="0" w:color="auto"/>
            </w:tcBorders>
            <w:shd w:val="clear" w:color="000000" w:fill="FFFFFF"/>
            <w:noWrap/>
            <w:vAlign w:val="bottom"/>
            <w:hideMark/>
          </w:tcPr>
          <w:p w14:paraId="7205D761"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CI</w:t>
            </w:r>
          </w:p>
        </w:tc>
        <w:tc>
          <w:tcPr>
            <w:tcW w:w="498" w:type="dxa"/>
            <w:tcBorders>
              <w:top w:val="nil"/>
              <w:left w:val="nil"/>
              <w:bottom w:val="single" w:sz="4" w:space="0" w:color="auto"/>
              <w:right w:val="single" w:sz="8" w:space="0" w:color="auto"/>
            </w:tcBorders>
            <w:shd w:val="clear" w:color="000000" w:fill="FFFFFF"/>
            <w:noWrap/>
            <w:vAlign w:val="bottom"/>
            <w:hideMark/>
          </w:tcPr>
          <w:p w14:paraId="6524A3B0"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VUS</w:t>
            </w:r>
          </w:p>
        </w:tc>
        <w:tc>
          <w:tcPr>
            <w:tcW w:w="298" w:type="dxa"/>
            <w:tcBorders>
              <w:top w:val="nil"/>
              <w:left w:val="nil"/>
              <w:bottom w:val="single" w:sz="4" w:space="0" w:color="auto"/>
              <w:right w:val="single" w:sz="4" w:space="0" w:color="auto"/>
            </w:tcBorders>
            <w:shd w:val="clear" w:color="auto" w:fill="auto"/>
            <w:noWrap/>
            <w:vAlign w:val="bottom"/>
            <w:hideMark/>
          </w:tcPr>
          <w:p w14:paraId="49A89617"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 </w:t>
            </w:r>
          </w:p>
        </w:tc>
        <w:tc>
          <w:tcPr>
            <w:tcW w:w="298" w:type="dxa"/>
            <w:tcBorders>
              <w:top w:val="nil"/>
              <w:left w:val="nil"/>
              <w:bottom w:val="single" w:sz="4" w:space="0" w:color="auto"/>
              <w:right w:val="single" w:sz="4" w:space="0" w:color="auto"/>
            </w:tcBorders>
            <w:shd w:val="clear" w:color="auto" w:fill="auto"/>
            <w:noWrap/>
            <w:vAlign w:val="bottom"/>
            <w:hideMark/>
          </w:tcPr>
          <w:p w14:paraId="6392D38F"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 </w:t>
            </w:r>
          </w:p>
        </w:tc>
        <w:tc>
          <w:tcPr>
            <w:tcW w:w="298" w:type="dxa"/>
            <w:tcBorders>
              <w:top w:val="nil"/>
              <w:left w:val="nil"/>
              <w:bottom w:val="single" w:sz="4" w:space="0" w:color="auto"/>
              <w:right w:val="single" w:sz="4" w:space="0" w:color="auto"/>
            </w:tcBorders>
            <w:shd w:val="clear" w:color="auto" w:fill="auto"/>
            <w:noWrap/>
            <w:vAlign w:val="bottom"/>
            <w:hideMark/>
          </w:tcPr>
          <w:p w14:paraId="12CB01AC" w14:textId="77777777" w:rsidR="00AB4AFF" w:rsidRPr="00AB4AFF" w:rsidRDefault="00AB4AFF" w:rsidP="00AB4AFF">
            <w:pPr>
              <w:spacing w:after="0" w:line="240" w:lineRule="auto"/>
              <w:jc w:val="center"/>
              <w:rPr>
                <w:rFonts w:ascii="Calibri" w:eastAsia="Times New Roman" w:hAnsi="Calibri" w:cs="Calibri"/>
                <w:i/>
                <w:iCs/>
                <w:color w:val="000000"/>
                <w:sz w:val="16"/>
                <w:szCs w:val="16"/>
              </w:rPr>
            </w:pPr>
            <w:r w:rsidRPr="00AB4AFF">
              <w:rPr>
                <w:rFonts w:ascii="Calibri" w:eastAsia="Times New Roman" w:hAnsi="Calibri" w:cs="Calibri"/>
                <w:i/>
                <w:iCs/>
                <w:color w:val="000000"/>
                <w:sz w:val="16"/>
                <w:szCs w:val="16"/>
              </w:rPr>
              <w:t> </w:t>
            </w:r>
          </w:p>
        </w:tc>
        <w:tc>
          <w:tcPr>
            <w:tcW w:w="298" w:type="dxa"/>
            <w:tcBorders>
              <w:top w:val="nil"/>
              <w:left w:val="nil"/>
              <w:bottom w:val="single" w:sz="4" w:space="0" w:color="auto"/>
              <w:right w:val="single" w:sz="4" w:space="0" w:color="auto"/>
            </w:tcBorders>
            <w:shd w:val="clear" w:color="auto" w:fill="auto"/>
            <w:noWrap/>
            <w:vAlign w:val="bottom"/>
            <w:hideMark/>
          </w:tcPr>
          <w:p w14:paraId="110BEC78" w14:textId="77777777" w:rsidR="00AB4AFF" w:rsidRPr="00AB4AFF" w:rsidRDefault="00AB4AFF" w:rsidP="00AB4AFF">
            <w:pPr>
              <w:spacing w:after="0" w:line="240" w:lineRule="auto"/>
              <w:jc w:val="center"/>
              <w:rPr>
                <w:rFonts w:ascii="Calibri" w:eastAsia="Times New Roman" w:hAnsi="Calibri" w:cs="Calibri"/>
                <w:i/>
                <w:iCs/>
                <w:color w:val="000000"/>
                <w:sz w:val="16"/>
                <w:szCs w:val="16"/>
              </w:rPr>
            </w:pPr>
            <w:r w:rsidRPr="00AB4AFF">
              <w:rPr>
                <w:rFonts w:ascii="Calibri" w:eastAsia="Times New Roman" w:hAnsi="Calibri" w:cs="Calibri"/>
                <w:i/>
                <w:iCs/>
                <w:color w:val="000000"/>
                <w:sz w:val="16"/>
                <w:szCs w:val="16"/>
              </w:rPr>
              <w:t> </w:t>
            </w:r>
          </w:p>
        </w:tc>
        <w:tc>
          <w:tcPr>
            <w:tcW w:w="298" w:type="dxa"/>
            <w:tcBorders>
              <w:top w:val="nil"/>
              <w:left w:val="nil"/>
              <w:bottom w:val="single" w:sz="4" w:space="0" w:color="auto"/>
              <w:right w:val="single" w:sz="4" w:space="0" w:color="auto"/>
            </w:tcBorders>
            <w:shd w:val="clear" w:color="auto" w:fill="auto"/>
            <w:noWrap/>
            <w:vAlign w:val="bottom"/>
            <w:hideMark/>
          </w:tcPr>
          <w:p w14:paraId="117B67ED" w14:textId="77777777" w:rsidR="00AB4AFF" w:rsidRPr="00AB4AFF" w:rsidRDefault="00AB4AFF" w:rsidP="00AB4AFF">
            <w:pPr>
              <w:spacing w:after="0" w:line="240" w:lineRule="auto"/>
              <w:jc w:val="center"/>
              <w:rPr>
                <w:rFonts w:ascii="Calibri" w:eastAsia="Times New Roman" w:hAnsi="Calibri" w:cs="Calibri"/>
                <w:i/>
                <w:iCs/>
                <w:color w:val="000000"/>
                <w:sz w:val="16"/>
                <w:szCs w:val="16"/>
              </w:rPr>
            </w:pPr>
            <w:r w:rsidRPr="00AB4AFF">
              <w:rPr>
                <w:rFonts w:ascii="Calibri" w:eastAsia="Times New Roman" w:hAnsi="Calibri" w:cs="Calibri"/>
                <w:i/>
                <w:iCs/>
                <w:color w:val="000000"/>
                <w:sz w:val="16"/>
                <w:szCs w:val="16"/>
              </w:rPr>
              <w:t> </w:t>
            </w:r>
          </w:p>
        </w:tc>
        <w:tc>
          <w:tcPr>
            <w:tcW w:w="298" w:type="dxa"/>
            <w:tcBorders>
              <w:top w:val="nil"/>
              <w:left w:val="nil"/>
              <w:bottom w:val="single" w:sz="4" w:space="0" w:color="auto"/>
              <w:right w:val="single" w:sz="4" w:space="0" w:color="auto"/>
            </w:tcBorders>
            <w:shd w:val="clear" w:color="auto" w:fill="auto"/>
            <w:noWrap/>
            <w:vAlign w:val="bottom"/>
            <w:hideMark/>
          </w:tcPr>
          <w:p w14:paraId="464EA8A4" w14:textId="77777777" w:rsidR="00AB4AFF" w:rsidRPr="00AB4AFF" w:rsidRDefault="00AB4AFF" w:rsidP="00AB4AFF">
            <w:pPr>
              <w:spacing w:after="0" w:line="240" w:lineRule="auto"/>
              <w:jc w:val="center"/>
              <w:rPr>
                <w:rFonts w:ascii="Calibri" w:eastAsia="Times New Roman" w:hAnsi="Calibri" w:cs="Calibri"/>
                <w:i/>
                <w:iCs/>
                <w:color w:val="000000"/>
                <w:sz w:val="16"/>
                <w:szCs w:val="16"/>
              </w:rPr>
            </w:pPr>
            <w:r w:rsidRPr="00AB4AFF">
              <w:rPr>
                <w:rFonts w:ascii="Calibri" w:eastAsia="Times New Roman" w:hAnsi="Calibri" w:cs="Calibri"/>
                <w:i/>
                <w:iCs/>
                <w:color w:val="000000"/>
                <w:sz w:val="16"/>
                <w:szCs w:val="16"/>
              </w:rPr>
              <w:t> </w:t>
            </w:r>
          </w:p>
        </w:tc>
        <w:tc>
          <w:tcPr>
            <w:tcW w:w="298" w:type="dxa"/>
            <w:tcBorders>
              <w:top w:val="nil"/>
              <w:left w:val="nil"/>
              <w:bottom w:val="single" w:sz="4" w:space="0" w:color="auto"/>
              <w:right w:val="single" w:sz="4" w:space="0" w:color="auto"/>
            </w:tcBorders>
            <w:shd w:val="clear" w:color="auto" w:fill="auto"/>
            <w:noWrap/>
            <w:vAlign w:val="bottom"/>
            <w:hideMark/>
          </w:tcPr>
          <w:p w14:paraId="52A88899" w14:textId="77777777" w:rsidR="00AB4AFF" w:rsidRPr="00AB4AFF" w:rsidRDefault="00AB4AFF" w:rsidP="00AB4AFF">
            <w:pPr>
              <w:spacing w:after="0" w:line="240" w:lineRule="auto"/>
              <w:jc w:val="center"/>
              <w:rPr>
                <w:rFonts w:ascii="Calibri" w:eastAsia="Times New Roman" w:hAnsi="Calibri" w:cs="Calibri"/>
                <w:i/>
                <w:iCs/>
                <w:color w:val="000000"/>
                <w:sz w:val="16"/>
                <w:szCs w:val="16"/>
              </w:rPr>
            </w:pPr>
            <w:r w:rsidRPr="00AB4AFF">
              <w:rPr>
                <w:rFonts w:ascii="Calibri" w:eastAsia="Times New Roman" w:hAnsi="Calibri" w:cs="Calibri"/>
                <w:i/>
                <w:iCs/>
                <w:color w:val="000000"/>
                <w:sz w:val="16"/>
                <w:szCs w:val="16"/>
              </w:rPr>
              <w:t> </w:t>
            </w:r>
          </w:p>
        </w:tc>
        <w:tc>
          <w:tcPr>
            <w:tcW w:w="298" w:type="dxa"/>
            <w:tcBorders>
              <w:top w:val="nil"/>
              <w:left w:val="nil"/>
              <w:bottom w:val="single" w:sz="4" w:space="0" w:color="auto"/>
              <w:right w:val="single" w:sz="4" w:space="0" w:color="auto"/>
            </w:tcBorders>
            <w:shd w:val="clear" w:color="auto" w:fill="auto"/>
            <w:noWrap/>
            <w:vAlign w:val="bottom"/>
            <w:hideMark/>
          </w:tcPr>
          <w:p w14:paraId="268D3A70" w14:textId="77777777" w:rsidR="00AB4AFF" w:rsidRPr="00AB4AFF" w:rsidRDefault="00AB4AFF" w:rsidP="00AB4AFF">
            <w:pPr>
              <w:spacing w:after="0" w:line="240" w:lineRule="auto"/>
              <w:jc w:val="center"/>
              <w:rPr>
                <w:rFonts w:ascii="Calibri" w:eastAsia="Times New Roman" w:hAnsi="Calibri" w:cs="Calibri"/>
                <w:i/>
                <w:iCs/>
                <w:color w:val="000000"/>
                <w:sz w:val="16"/>
                <w:szCs w:val="16"/>
              </w:rPr>
            </w:pPr>
            <w:r w:rsidRPr="00AB4AFF">
              <w:rPr>
                <w:rFonts w:ascii="Calibri" w:eastAsia="Times New Roman" w:hAnsi="Calibri" w:cs="Calibri"/>
                <w:i/>
                <w:iCs/>
                <w:color w:val="000000"/>
                <w:sz w:val="16"/>
                <w:szCs w:val="16"/>
              </w:rPr>
              <w:t> </w:t>
            </w:r>
          </w:p>
        </w:tc>
        <w:tc>
          <w:tcPr>
            <w:tcW w:w="379" w:type="dxa"/>
            <w:tcBorders>
              <w:top w:val="nil"/>
              <w:left w:val="nil"/>
              <w:bottom w:val="single" w:sz="4" w:space="0" w:color="auto"/>
              <w:right w:val="single" w:sz="4" w:space="0" w:color="auto"/>
            </w:tcBorders>
            <w:shd w:val="clear" w:color="auto" w:fill="auto"/>
            <w:noWrap/>
            <w:vAlign w:val="bottom"/>
            <w:hideMark/>
          </w:tcPr>
          <w:p w14:paraId="1307A0E6" w14:textId="77777777" w:rsidR="00AB4AFF" w:rsidRPr="00AB4AFF" w:rsidRDefault="00AB4AFF" w:rsidP="00AB4AFF">
            <w:pPr>
              <w:spacing w:after="0" w:line="240" w:lineRule="auto"/>
              <w:jc w:val="center"/>
              <w:rPr>
                <w:rFonts w:ascii="Calibri" w:eastAsia="Times New Roman" w:hAnsi="Calibri" w:cs="Calibri"/>
                <w:i/>
                <w:iCs/>
                <w:color w:val="000000"/>
                <w:sz w:val="16"/>
                <w:szCs w:val="16"/>
              </w:rPr>
            </w:pPr>
            <w:r w:rsidRPr="00AB4AFF">
              <w:rPr>
                <w:rFonts w:ascii="Calibri" w:eastAsia="Times New Roman" w:hAnsi="Calibri" w:cs="Calibri"/>
                <w:i/>
                <w:iCs/>
                <w:color w:val="000000"/>
                <w:sz w:val="16"/>
                <w:szCs w:val="16"/>
              </w:rPr>
              <w:t> </w:t>
            </w:r>
          </w:p>
        </w:tc>
        <w:tc>
          <w:tcPr>
            <w:tcW w:w="379" w:type="dxa"/>
            <w:tcBorders>
              <w:top w:val="nil"/>
              <w:left w:val="nil"/>
              <w:bottom w:val="single" w:sz="4" w:space="0" w:color="auto"/>
              <w:right w:val="single" w:sz="4" w:space="0" w:color="auto"/>
            </w:tcBorders>
            <w:shd w:val="clear" w:color="auto" w:fill="auto"/>
            <w:noWrap/>
            <w:vAlign w:val="bottom"/>
            <w:hideMark/>
          </w:tcPr>
          <w:p w14:paraId="26B4529A" w14:textId="77777777" w:rsidR="00AB4AFF" w:rsidRPr="00AB4AFF" w:rsidRDefault="00AB4AFF" w:rsidP="00AB4AFF">
            <w:pPr>
              <w:spacing w:after="0" w:line="240" w:lineRule="auto"/>
              <w:jc w:val="center"/>
              <w:rPr>
                <w:rFonts w:ascii="Calibri" w:eastAsia="Times New Roman" w:hAnsi="Calibri" w:cs="Calibri"/>
                <w:i/>
                <w:iCs/>
                <w:color w:val="000000"/>
                <w:sz w:val="16"/>
                <w:szCs w:val="16"/>
              </w:rPr>
            </w:pPr>
            <w:r w:rsidRPr="00AB4AFF">
              <w:rPr>
                <w:rFonts w:ascii="Calibri" w:eastAsia="Times New Roman" w:hAnsi="Calibri" w:cs="Calibri"/>
                <w:i/>
                <w:iCs/>
                <w:color w:val="000000"/>
                <w:sz w:val="16"/>
                <w:szCs w:val="16"/>
              </w:rPr>
              <w:t> </w:t>
            </w:r>
          </w:p>
        </w:tc>
        <w:tc>
          <w:tcPr>
            <w:tcW w:w="379" w:type="dxa"/>
            <w:tcBorders>
              <w:top w:val="nil"/>
              <w:left w:val="nil"/>
              <w:bottom w:val="single" w:sz="4" w:space="0" w:color="auto"/>
              <w:right w:val="single" w:sz="4" w:space="0" w:color="auto"/>
            </w:tcBorders>
            <w:shd w:val="clear" w:color="auto" w:fill="auto"/>
            <w:noWrap/>
            <w:vAlign w:val="bottom"/>
            <w:hideMark/>
          </w:tcPr>
          <w:p w14:paraId="6ED19683"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 </w:t>
            </w:r>
          </w:p>
        </w:tc>
        <w:tc>
          <w:tcPr>
            <w:tcW w:w="379" w:type="dxa"/>
            <w:tcBorders>
              <w:top w:val="nil"/>
              <w:left w:val="nil"/>
              <w:bottom w:val="single" w:sz="4" w:space="0" w:color="auto"/>
              <w:right w:val="single" w:sz="4" w:space="0" w:color="auto"/>
            </w:tcBorders>
            <w:shd w:val="clear" w:color="000000" w:fill="9BC2E6"/>
            <w:noWrap/>
            <w:vAlign w:val="bottom"/>
            <w:hideMark/>
          </w:tcPr>
          <w:p w14:paraId="7988251C"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 </w:t>
            </w:r>
          </w:p>
        </w:tc>
        <w:tc>
          <w:tcPr>
            <w:tcW w:w="379" w:type="dxa"/>
            <w:tcBorders>
              <w:top w:val="nil"/>
              <w:left w:val="nil"/>
              <w:bottom w:val="single" w:sz="4" w:space="0" w:color="auto"/>
              <w:right w:val="single" w:sz="4" w:space="0" w:color="auto"/>
            </w:tcBorders>
            <w:shd w:val="clear" w:color="auto" w:fill="auto"/>
            <w:noWrap/>
            <w:vAlign w:val="bottom"/>
            <w:hideMark/>
          </w:tcPr>
          <w:p w14:paraId="77049762"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 </w:t>
            </w:r>
          </w:p>
        </w:tc>
        <w:tc>
          <w:tcPr>
            <w:tcW w:w="379" w:type="dxa"/>
            <w:tcBorders>
              <w:top w:val="nil"/>
              <w:left w:val="nil"/>
              <w:bottom w:val="single" w:sz="4" w:space="0" w:color="auto"/>
              <w:right w:val="single" w:sz="4" w:space="0" w:color="auto"/>
            </w:tcBorders>
            <w:shd w:val="clear" w:color="auto" w:fill="auto"/>
            <w:noWrap/>
            <w:vAlign w:val="bottom"/>
            <w:hideMark/>
          </w:tcPr>
          <w:p w14:paraId="06308051"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 </w:t>
            </w:r>
          </w:p>
        </w:tc>
        <w:tc>
          <w:tcPr>
            <w:tcW w:w="379" w:type="dxa"/>
            <w:tcBorders>
              <w:top w:val="nil"/>
              <w:left w:val="nil"/>
              <w:bottom w:val="single" w:sz="4" w:space="0" w:color="auto"/>
              <w:right w:val="single" w:sz="4" w:space="0" w:color="auto"/>
            </w:tcBorders>
            <w:shd w:val="clear" w:color="auto" w:fill="auto"/>
            <w:noWrap/>
            <w:vAlign w:val="bottom"/>
            <w:hideMark/>
          </w:tcPr>
          <w:p w14:paraId="0DB764B1"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 </w:t>
            </w:r>
          </w:p>
        </w:tc>
        <w:tc>
          <w:tcPr>
            <w:tcW w:w="379" w:type="dxa"/>
            <w:tcBorders>
              <w:top w:val="nil"/>
              <w:left w:val="nil"/>
              <w:bottom w:val="single" w:sz="4" w:space="0" w:color="auto"/>
              <w:right w:val="single" w:sz="4" w:space="0" w:color="auto"/>
            </w:tcBorders>
            <w:shd w:val="clear" w:color="auto" w:fill="auto"/>
            <w:noWrap/>
            <w:vAlign w:val="bottom"/>
            <w:hideMark/>
          </w:tcPr>
          <w:p w14:paraId="4F9E95CB"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 </w:t>
            </w:r>
          </w:p>
        </w:tc>
        <w:tc>
          <w:tcPr>
            <w:tcW w:w="379" w:type="dxa"/>
            <w:tcBorders>
              <w:top w:val="nil"/>
              <w:left w:val="nil"/>
              <w:bottom w:val="single" w:sz="4" w:space="0" w:color="auto"/>
              <w:right w:val="single" w:sz="4" w:space="0" w:color="auto"/>
            </w:tcBorders>
            <w:shd w:val="clear" w:color="auto" w:fill="auto"/>
            <w:noWrap/>
            <w:vAlign w:val="bottom"/>
            <w:hideMark/>
          </w:tcPr>
          <w:p w14:paraId="11E56F21"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 </w:t>
            </w:r>
          </w:p>
        </w:tc>
        <w:tc>
          <w:tcPr>
            <w:tcW w:w="379" w:type="dxa"/>
            <w:tcBorders>
              <w:top w:val="nil"/>
              <w:left w:val="nil"/>
              <w:bottom w:val="single" w:sz="4" w:space="0" w:color="auto"/>
              <w:right w:val="single" w:sz="4" w:space="0" w:color="auto"/>
            </w:tcBorders>
            <w:shd w:val="clear" w:color="auto" w:fill="auto"/>
            <w:noWrap/>
            <w:vAlign w:val="bottom"/>
            <w:hideMark/>
          </w:tcPr>
          <w:p w14:paraId="29E50B6C"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 </w:t>
            </w:r>
          </w:p>
        </w:tc>
        <w:tc>
          <w:tcPr>
            <w:tcW w:w="379" w:type="dxa"/>
            <w:tcBorders>
              <w:top w:val="nil"/>
              <w:left w:val="nil"/>
              <w:bottom w:val="single" w:sz="4" w:space="0" w:color="auto"/>
              <w:right w:val="single" w:sz="4" w:space="0" w:color="auto"/>
            </w:tcBorders>
            <w:shd w:val="clear" w:color="auto" w:fill="auto"/>
            <w:noWrap/>
            <w:vAlign w:val="bottom"/>
            <w:hideMark/>
          </w:tcPr>
          <w:p w14:paraId="52F3FE2F"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 </w:t>
            </w:r>
          </w:p>
        </w:tc>
        <w:tc>
          <w:tcPr>
            <w:tcW w:w="379" w:type="dxa"/>
            <w:tcBorders>
              <w:top w:val="nil"/>
              <w:left w:val="nil"/>
              <w:bottom w:val="single" w:sz="4" w:space="0" w:color="auto"/>
              <w:right w:val="single" w:sz="4" w:space="0" w:color="auto"/>
            </w:tcBorders>
            <w:shd w:val="clear" w:color="auto" w:fill="auto"/>
            <w:noWrap/>
            <w:vAlign w:val="bottom"/>
            <w:hideMark/>
          </w:tcPr>
          <w:p w14:paraId="756B23A4"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 </w:t>
            </w:r>
          </w:p>
        </w:tc>
        <w:tc>
          <w:tcPr>
            <w:tcW w:w="379" w:type="dxa"/>
            <w:tcBorders>
              <w:top w:val="nil"/>
              <w:left w:val="nil"/>
              <w:bottom w:val="single" w:sz="4" w:space="0" w:color="auto"/>
              <w:right w:val="single" w:sz="4" w:space="0" w:color="auto"/>
            </w:tcBorders>
            <w:shd w:val="clear" w:color="auto" w:fill="auto"/>
            <w:noWrap/>
            <w:vAlign w:val="bottom"/>
            <w:hideMark/>
          </w:tcPr>
          <w:p w14:paraId="2A43513A"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 </w:t>
            </w:r>
          </w:p>
        </w:tc>
        <w:tc>
          <w:tcPr>
            <w:tcW w:w="379" w:type="dxa"/>
            <w:tcBorders>
              <w:top w:val="nil"/>
              <w:left w:val="nil"/>
              <w:bottom w:val="single" w:sz="4" w:space="0" w:color="auto"/>
              <w:right w:val="single" w:sz="4" w:space="0" w:color="auto"/>
            </w:tcBorders>
            <w:shd w:val="clear" w:color="auto" w:fill="auto"/>
            <w:noWrap/>
            <w:vAlign w:val="bottom"/>
            <w:hideMark/>
          </w:tcPr>
          <w:p w14:paraId="738FE147"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 </w:t>
            </w:r>
          </w:p>
        </w:tc>
        <w:tc>
          <w:tcPr>
            <w:tcW w:w="379" w:type="dxa"/>
            <w:tcBorders>
              <w:top w:val="nil"/>
              <w:left w:val="nil"/>
              <w:bottom w:val="single" w:sz="4" w:space="0" w:color="auto"/>
              <w:right w:val="single" w:sz="4" w:space="0" w:color="auto"/>
            </w:tcBorders>
            <w:shd w:val="clear" w:color="000000" w:fill="9BC2E6"/>
            <w:noWrap/>
            <w:vAlign w:val="bottom"/>
            <w:hideMark/>
          </w:tcPr>
          <w:p w14:paraId="71C25E5F"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 </w:t>
            </w:r>
          </w:p>
        </w:tc>
        <w:tc>
          <w:tcPr>
            <w:tcW w:w="379" w:type="dxa"/>
            <w:tcBorders>
              <w:top w:val="nil"/>
              <w:left w:val="nil"/>
              <w:bottom w:val="single" w:sz="4" w:space="0" w:color="auto"/>
              <w:right w:val="single" w:sz="4" w:space="0" w:color="auto"/>
            </w:tcBorders>
            <w:shd w:val="clear" w:color="000000" w:fill="9BC2E6"/>
            <w:noWrap/>
            <w:vAlign w:val="bottom"/>
            <w:hideMark/>
          </w:tcPr>
          <w:p w14:paraId="48AB4CD6"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 </w:t>
            </w:r>
          </w:p>
        </w:tc>
        <w:tc>
          <w:tcPr>
            <w:tcW w:w="379" w:type="dxa"/>
            <w:tcBorders>
              <w:top w:val="nil"/>
              <w:left w:val="nil"/>
              <w:bottom w:val="single" w:sz="4" w:space="0" w:color="auto"/>
              <w:right w:val="single" w:sz="4" w:space="0" w:color="auto"/>
            </w:tcBorders>
            <w:shd w:val="clear" w:color="000000" w:fill="9BC2E6"/>
            <w:noWrap/>
            <w:vAlign w:val="bottom"/>
            <w:hideMark/>
          </w:tcPr>
          <w:p w14:paraId="6EAF7DFD"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 </w:t>
            </w:r>
          </w:p>
        </w:tc>
        <w:tc>
          <w:tcPr>
            <w:tcW w:w="379" w:type="dxa"/>
            <w:tcBorders>
              <w:top w:val="nil"/>
              <w:left w:val="nil"/>
              <w:bottom w:val="single" w:sz="4" w:space="0" w:color="auto"/>
              <w:right w:val="single" w:sz="8" w:space="0" w:color="auto"/>
            </w:tcBorders>
            <w:shd w:val="clear" w:color="auto" w:fill="auto"/>
            <w:noWrap/>
            <w:vAlign w:val="bottom"/>
            <w:hideMark/>
          </w:tcPr>
          <w:p w14:paraId="5D81415A"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 </w:t>
            </w:r>
          </w:p>
        </w:tc>
      </w:tr>
      <w:tr w:rsidR="00AB4AFF" w:rsidRPr="00AB4AFF" w14:paraId="78C71698" w14:textId="77777777" w:rsidTr="008C0F8B">
        <w:trPr>
          <w:trHeight w:val="290"/>
        </w:trPr>
        <w:tc>
          <w:tcPr>
            <w:tcW w:w="1070" w:type="dxa"/>
            <w:tcBorders>
              <w:top w:val="nil"/>
              <w:left w:val="single" w:sz="8" w:space="0" w:color="auto"/>
              <w:bottom w:val="single" w:sz="4" w:space="0" w:color="auto"/>
              <w:right w:val="single" w:sz="4" w:space="0" w:color="auto"/>
            </w:tcBorders>
            <w:shd w:val="clear" w:color="000000" w:fill="FFFFFF"/>
            <w:noWrap/>
            <w:vAlign w:val="bottom"/>
            <w:hideMark/>
          </w:tcPr>
          <w:p w14:paraId="3733EF4C"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2:110148020</w:t>
            </w:r>
          </w:p>
        </w:tc>
        <w:tc>
          <w:tcPr>
            <w:tcW w:w="498" w:type="dxa"/>
            <w:tcBorders>
              <w:top w:val="nil"/>
              <w:left w:val="nil"/>
              <w:bottom w:val="single" w:sz="4" w:space="0" w:color="auto"/>
              <w:right w:val="single" w:sz="4" w:space="0" w:color="auto"/>
            </w:tcBorders>
            <w:shd w:val="clear" w:color="000000" w:fill="FFFFFF"/>
            <w:noWrap/>
            <w:vAlign w:val="bottom"/>
            <w:hideMark/>
          </w:tcPr>
          <w:p w14:paraId="5E7016E4"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G</w:t>
            </w:r>
          </w:p>
        </w:tc>
        <w:tc>
          <w:tcPr>
            <w:tcW w:w="498" w:type="dxa"/>
            <w:tcBorders>
              <w:top w:val="nil"/>
              <w:left w:val="nil"/>
              <w:bottom w:val="single" w:sz="4" w:space="0" w:color="auto"/>
              <w:right w:val="single" w:sz="8" w:space="0" w:color="auto"/>
            </w:tcBorders>
            <w:shd w:val="clear" w:color="000000" w:fill="FFFFFF"/>
            <w:noWrap/>
            <w:vAlign w:val="bottom"/>
            <w:hideMark/>
          </w:tcPr>
          <w:p w14:paraId="0D2B1255"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A</w:t>
            </w:r>
          </w:p>
        </w:tc>
        <w:tc>
          <w:tcPr>
            <w:tcW w:w="632" w:type="dxa"/>
            <w:tcBorders>
              <w:top w:val="nil"/>
              <w:left w:val="nil"/>
              <w:bottom w:val="single" w:sz="4" w:space="0" w:color="auto"/>
              <w:right w:val="single" w:sz="4" w:space="0" w:color="auto"/>
            </w:tcBorders>
            <w:shd w:val="clear" w:color="000000" w:fill="FFFFFF"/>
            <w:noWrap/>
            <w:vAlign w:val="bottom"/>
            <w:hideMark/>
          </w:tcPr>
          <w:p w14:paraId="486AF0C3"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ns</w:t>
            </w:r>
          </w:p>
        </w:tc>
        <w:tc>
          <w:tcPr>
            <w:tcW w:w="850" w:type="dxa"/>
            <w:tcBorders>
              <w:top w:val="nil"/>
              <w:left w:val="nil"/>
              <w:bottom w:val="single" w:sz="4" w:space="0" w:color="auto"/>
              <w:right w:val="single" w:sz="8" w:space="0" w:color="auto"/>
            </w:tcBorders>
            <w:shd w:val="clear" w:color="000000" w:fill="FFFFFF"/>
            <w:noWrap/>
            <w:vAlign w:val="bottom"/>
            <w:hideMark/>
          </w:tcPr>
          <w:p w14:paraId="49A35749"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R445C</w:t>
            </w:r>
          </w:p>
        </w:tc>
        <w:tc>
          <w:tcPr>
            <w:tcW w:w="990" w:type="dxa"/>
            <w:tcBorders>
              <w:top w:val="nil"/>
              <w:left w:val="nil"/>
              <w:bottom w:val="single" w:sz="4" w:space="0" w:color="auto"/>
              <w:right w:val="single" w:sz="4" w:space="0" w:color="auto"/>
            </w:tcBorders>
            <w:shd w:val="clear" w:color="000000" w:fill="FFFFFF"/>
            <w:noWrap/>
            <w:vAlign w:val="bottom"/>
            <w:hideMark/>
          </w:tcPr>
          <w:p w14:paraId="1A585B52"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2.79E-05</w:t>
            </w:r>
          </w:p>
        </w:tc>
        <w:tc>
          <w:tcPr>
            <w:tcW w:w="500" w:type="dxa"/>
            <w:tcBorders>
              <w:top w:val="nil"/>
              <w:left w:val="nil"/>
              <w:bottom w:val="single" w:sz="4" w:space="0" w:color="auto"/>
              <w:right w:val="single" w:sz="4" w:space="0" w:color="auto"/>
            </w:tcBorders>
            <w:shd w:val="clear" w:color="000000" w:fill="FFFFFF"/>
            <w:noWrap/>
            <w:vAlign w:val="bottom"/>
            <w:hideMark/>
          </w:tcPr>
          <w:p w14:paraId="4AB41D6C"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26.1</w:t>
            </w:r>
          </w:p>
        </w:tc>
        <w:tc>
          <w:tcPr>
            <w:tcW w:w="534" w:type="dxa"/>
            <w:tcBorders>
              <w:top w:val="nil"/>
              <w:left w:val="nil"/>
              <w:bottom w:val="single" w:sz="4" w:space="0" w:color="auto"/>
              <w:right w:val="single" w:sz="4" w:space="0" w:color="auto"/>
            </w:tcBorders>
            <w:shd w:val="clear" w:color="000000" w:fill="FFFFFF"/>
            <w:noWrap/>
            <w:vAlign w:val="bottom"/>
            <w:hideMark/>
          </w:tcPr>
          <w:p w14:paraId="7AD9A0C2"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VUS</w:t>
            </w:r>
          </w:p>
        </w:tc>
        <w:tc>
          <w:tcPr>
            <w:tcW w:w="498" w:type="dxa"/>
            <w:tcBorders>
              <w:top w:val="nil"/>
              <w:left w:val="nil"/>
              <w:bottom w:val="single" w:sz="4" w:space="0" w:color="auto"/>
              <w:right w:val="single" w:sz="8" w:space="0" w:color="auto"/>
            </w:tcBorders>
            <w:shd w:val="clear" w:color="000000" w:fill="FFFFFF"/>
            <w:noWrap/>
            <w:vAlign w:val="bottom"/>
            <w:hideMark/>
          </w:tcPr>
          <w:p w14:paraId="09F91B3B"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VUS</w:t>
            </w:r>
          </w:p>
        </w:tc>
        <w:tc>
          <w:tcPr>
            <w:tcW w:w="298" w:type="dxa"/>
            <w:tcBorders>
              <w:top w:val="nil"/>
              <w:left w:val="nil"/>
              <w:bottom w:val="single" w:sz="4" w:space="0" w:color="auto"/>
              <w:right w:val="single" w:sz="4" w:space="0" w:color="auto"/>
            </w:tcBorders>
            <w:shd w:val="clear" w:color="auto" w:fill="auto"/>
            <w:noWrap/>
            <w:vAlign w:val="bottom"/>
            <w:hideMark/>
          </w:tcPr>
          <w:p w14:paraId="34965783"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 </w:t>
            </w:r>
          </w:p>
        </w:tc>
        <w:tc>
          <w:tcPr>
            <w:tcW w:w="298" w:type="dxa"/>
            <w:tcBorders>
              <w:top w:val="nil"/>
              <w:left w:val="nil"/>
              <w:bottom w:val="single" w:sz="4" w:space="0" w:color="auto"/>
              <w:right w:val="single" w:sz="4" w:space="0" w:color="auto"/>
            </w:tcBorders>
            <w:shd w:val="clear" w:color="auto" w:fill="auto"/>
            <w:noWrap/>
            <w:vAlign w:val="bottom"/>
            <w:hideMark/>
          </w:tcPr>
          <w:p w14:paraId="06A81575"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 </w:t>
            </w:r>
          </w:p>
        </w:tc>
        <w:tc>
          <w:tcPr>
            <w:tcW w:w="298" w:type="dxa"/>
            <w:tcBorders>
              <w:top w:val="nil"/>
              <w:left w:val="nil"/>
              <w:bottom w:val="single" w:sz="4" w:space="0" w:color="auto"/>
              <w:right w:val="single" w:sz="4" w:space="0" w:color="auto"/>
            </w:tcBorders>
            <w:shd w:val="clear" w:color="auto" w:fill="auto"/>
            <w:noWrap/>
            <w:vAlign w:val="bottom"/>
            <w:hideMark/>
          </w:tcPr>
          <w:p w14:paraId="794BED50" w14:textId="77777777" w:rsidR="00AB4AFF" w:rsidRPr="00AB4AFF" w:rsidRDefault="00AB4AFF" w:rsidP="00AB4AFF">
            <w:pPr>
              <w:spacing w:after="0" w:line="240" w:lineRule="auto"/>
              <w:jc w:val="center"/>
              <w:rPr>
                <w:rFonts w:ascii="Calibri" w:eastAsia="Times New Roman" w:hAnsi="Calibri" w:cs="Calibri"/>
                <w:i/>
                <w:iCs/>
                <w:color w:val="000000"/>
                <w:sz w:val="16"/>
                <w:szCs w:val="16"/>
              </w:rPr>
            </w:pPr>
            <w:r w:rsidRPr="00AB4AFF">
              <w:rPr>
                <w:rFonts w:ascii="Calibri" w:eastAsia="Times New Roman" w:hAnsi="Calibri" w:cs="Calibri"/>
                <w:i/>
                <w:iCs/>
                <w:color w:val="000000"/>
                <w:sz w:val="16"/>
                <w:szCs w:val="16"/>
              </w:rPr>
              <w:t> </w:t>
            </w:r>
          </w:p>
        </w:tc>
        <w:tc>
          <w:tcPr>
            <w:tcW w:w="298" w:type="dxa"/>
            <w:tcBorders>
              <w:top w:val="nil"/>
              <w:left w:val="nil"/>
              <w:bottom w:val="single" w:sz="4" w:space="0" w:color="auto"/>
              <w:right w:val="single" w:sz="4" w:space="0" w:color="auto"/>
            </w:tcBorders>
            <w:shd w:val="clear" w:color="auto" w:fill="auto"/>
            <w:noWrap/>
            <w:vAlign w:val="bottom"/>
            <w:hideMark/>
          </w:tcPr>
          <w:p w14:paraId="70DBFEA9" w14:textId="77777777" w:rsidR="00AB4AFF" w:rsidRPr="00AB4AFF" w:rsidRDefault="00AB4AFF" w:rsidP="00AB4AFF">
            <w:pPr>
              <w:spacing w:after="0" w:line="240" w:lineRule="auto"/>
              <w:jc w:val="center"/>
              <w:rPr>
                <w:rFonts w:ascii="Calibri" w:eastAsia="Times New Roman" w:hAnsi="Calibri" w:cs="Calibri"/>
                <w:i/>
                <w:iCs/>
                <w:color w:val="000000"/>
                <w:sz w:val="16"/>
                <w:szCs w:val="16"/>
              </w:rPr>
            </w:pPr>
            <w:r w:rsidRPr="00AB4AFF">
              <w:rPr>
                <w:rFonts w:ascii="Calibri" w:eastAsia="Times New Roman" w:hAnsi="Calibri" w:cs="Calibri"/>
                <w:i/>
                <w:iCs/>
                <w:color w:val="000000"/>
                <w:sz w:val="16"/>
                <w:szCs w:val="16"/>
              </w:rPr>
              <w:t> </w:t>
            </w:r>
          </w:p>
        </w:tc>
        <w:tc>
          <w:tcPr>
            <w:tcW w:w="298" w:type="dxa"/>
            <w:tcBorders>
              <w:top w:val="nil"/>
              <w:left w:val="nil"/>
              <w:bottom w:val="single" w:sz="4" w:space="0" w:color="auto"/>
              <w:right w:val="single" w:sz="4" w:space="0" w:color="auto"/>
            </w:tcBorders>
            <w:shd w:val="clear" w:color="auto" w:fill="auto"/>
            <w:noWrap/>
            <w:vAlign w:val="bottom"/>
            <w:hideMark/>
          </w:tcPr>
          <w:p w14:paraId="42C5891D" w14:textId="77777777" w:rsidR="00AB4AFF" w:rsidRPr="00AB4AFF" w:rsidRDefault="00AB4AFF" w:rsidP="00AB4AFF">
            <w:pPr>
              <w:spacing w:after="0" w:line="240" w:lineRule="auto"/>
              <w:jc w:val="center"/>
              <w:rPr>
                <w:rFonts w:ascii="Calibri" w:eastAsia="Times New Roman" w:hAnsi="Calibri" w:cs="Calibri"/>
                <w:i/>
                <w:iCs/>
                <w:color w:val="000000"/>
                <w:sz w:val="16"/>
                <w:szCs w:val="16"/>
              </w:rPr>
            </w:pPr>
            <w:r w:rsidRPr="00AB4AFF">
              <w:rPr>
                <w:rFonts w:ascii="Calibri" w:eastAsia="Times New Roman" w:hAnsi="Calibri" w:cs="Calibri"/>
                <w:i/>
                <w:iCs/>
                <w:color w:val="000000"/>
                <w:sz w:val="16"/>
                <w:szCs w:val="16"/>
              </w:rPr>
              <w:t> </w:t>
            </w:r>
          </w:p>
        </w:tc>
        <w:tc>
          <w:tcPr>
            <w:tcW w:w="298" w:type="dxa"/>
            <w:tcBorders>
              <w:top w:val="nil"/>
              <w:left w:val="nil"/>
              <w:bottom w:val="single" w:sz="4" w:space="0" w:color="auto"/>
              <w:right w:val="single" w:sz="4" w:space="0" w:color="auto"/>
            </w:tcBorders>
            <w:shd w:val="clear" w:color="auto" w:fill="auto"/>
            <w:noWrap/>
            <w:vAlign w:val="bottom"/>
            <w:hideMark/>
          </w:tcPr>
          <w:p w14:paraId="2F29F0C8" w14:textId="77777777" w:rsidR="00AB4AFF" w:rsidRPr="00AB4AFF" w:rsidRDefault="00AB4AFF" w:rsidP="00AB4AFF">
            <w:pPr>
              <w:spacing w:after="0" w:line="240" w:lineRule="auto"/>
              <w:jc w:val="center"/>
              <w:rPr>
                <w:rFonts w:ascii="Calibri" w:eastAsia="Times New Roman" w:hAnsi="Calibri" w:cs="Calibri"/>
                <w:i/>
                <w:iCs/>
                <w:color w:val="000000"/>
                <w:sz w:val="16"/>
                <w:szCs w:val="16"/>
              </w:rPr>
            </w:pPr>
            <w:r w:rsidRPr="00AB4AFF">
              <w:rPr>
                <w:rFonts w:ascii="Calibri" w:eastAsia="Times New Roman" w:hAnsi="Calibri" w:cs="Calibri"/>
                <w:i/>
                <w:iCs/>
                <w:color w:val="000000"/>
                <w:sz w:val="16"/>
                <w:szCs w:val="16"/>
              </w:rPr>
              <w:t> </w:t>
            </w:r>
          </w:p>
        </w:tc>
        <w:tc>
          <w:tcPr>
            <w:tcW w:w="298" w:type="dxa"/>
            <w:tcBorders>
              <w:top w:val="nil"/>
              <w:left w:val="nil"/>
              <w:bottom w:val="single" w:sz="4" w:space="0" w:color="auto"/>
              <w:right w:val="single" w:sz="4" w:space="0" w:color="auto"/>
            </w:tcBorders>
            <w:shd w:val="clear" w:color="auto" w:fill="auto"/>
            <w:noWrap/>
            <w:vAlign w:val="bottom"/>
            <w:hideMark/>
          </w:tcPr>
          <w:p w14:paraId="7706FAED" w14:textId="77777777" w:rsidR="00AB4AFF" w:rsidRPr="00AB4AFF" w:rsidRDefault="00AB4AFF" w:rsidP="00AB4AFF">
            <w:pPr>
              <w:spacing w:after="0" w:line="240" w:lineRule="auto"/>
              <w:jc w:val="center"/>
              <w:rPr>
                <w:rFonts w:ascii="Calibri" w:eastAsia="Times New Roman" w:hAnsi="Calibri" w:cs="Calibri"/>
                <w:i/>
                <w:iCs/>
                <w:color w:val="000000"/>
                <w:sz w:val="16"/>
                <w:szCs w:val="16"/>
              </w:rPr>
            </w:pPr>
            <w:r w:rsidRPr="00AB4AFF">
              <w:rPr>
                <w:rFonts w:ascii="Calibri" w:eastAsia="Times New Roman" w:hAnsi="Calibri" w:cs="Calibri"/>
                <w:i/>
                <w:iCs/>
                <w:color w:val="000000"/>
                <w:sz w:val="16"/>
                <w:szCs w:val="16"/>
              </w:rPr>
              <w:t> </w:t>
            </w:r>
          </w:p>
        </w:tc>
        <w:tc>
          <w:tcPr>
            <w:tcW w:w="298" w:type="dxa"/>
            <w:tcBorders>
              <w:top w:val="nil"/>
              <w:left w:val="nil"/>
              <w:bottom w:val="single" w:sz="4" w:space="0" w:color="auto"/>
              <w:right w:val="single" w:sz="4" w:space="0" w:color="auto"/>
            </w:tcBorders>
            <w:shd w:val="clear" w:color="auto" w:fill="auto"/>
            <w:noWrap/>
            <w:vAlign w:val="bottom"/>
            <w:hideMark/>
          </w:tcPr>
          <w:p w14:paraId="61D540DE" w14:textId="77777777" w:rsidR="00AB4AFF" w:rsidRPr="00AB4AFF" w:rsidRDefault="00AB4AFF" w:rsidP="00AB4AFF">
            <w:pPr>
              <w:spacing w:after="0" w:line="240" w:lineRule="auto"/>
              <w:jc w:val="center"/>
              <w:rPr>
                <w:rFonts w:ascii="Calibri" w:eastAsia="Times New Roman" w:hAnsi="Calibri" w:cs="Calibri"/>
                <w:i/>
                <w:iCs/>
                <w:color w:val="000000"/>
                <w:sz w:val="16"/>
                <w:szCs w:val="16"/>
              </w:rPr>
            </w:pPr>
            <w:r w:rsidRPr="00AB4AFF">
              <w:rPr>
                <w:rFonts w:ascii="Calibri" w:eastAsia="Times New Roman" w:hAnsi="Calibri" w:cs="Calibri"/>
                <w:i/>
                <w:iCs/>
                <w:color w:val="000000"/>
                <w:sz w:val="16"/>
                <w:szCs w:val="16"/>
              </w:rPr>
              <w:t> </w:t>
            </w:r>
          </w:p>
        </w:tc>
        <w:tc>
          <w:tcPr>
            <w:tcW w:w="379" w:type="dxa"/>
            <w:tcBorders>
              <w:top w:val="nil"/>
              <w:left w:val="nil"/>
              <w:bottom w:val="single" w:sz="4" w:space="0" w:color="auto"/>
              <w:right w:val="single" w:sz="4" w:space="0" w:color="auto"/>
            </w:tcBorders>
            <w:shd w:val="clear" w:color="auto" w:fill="auto"/>
            <w:noWrap/>
            <w:vAlign w:val="bottom"/>
            <w:hideMark/>
          </w:tcPr>
          <w:p w14:paraId="4D267EB5" w14:textId="77777777" w:rsidR="00AB4AFF" w:rsidRPr="00AB4AFF" w:rsidRDefault="00AB4AFF" w:rsidP="00AB4AFF">
            <w:pPr>
              <w:spacing w:after="0" w:line="240" w:lineRule="auto"/>
              <w:jc w:val="center"/>
              <w:rPr>
                <w:rFonts w:ascii="Calibri" w:eastAsia="Times New Roman" w:hAnsi="Calibri" w:cs="Calibri"/>
                <w:i/>
                <w:iCs/>
                <w:color w:val="000000"/>
                <w:sz w:val="16"/>
                <w:szCs w:val="16"/>
              </w:rPr>
            </w:pPr>
            <w:r w:rsidRPr="00AB4AFF">
              <w:rPr>
                <w:rFonts w:ascii="Calibri" w:eastAsia="Times New Roman" w:hAnsi="Calibri" w:cs="Calibri"/>
                <w:i/>
                <w:iCs/>
                <w:color w:val="000000"/>
                <w:sz w:val="16"/>
                <w:szCs w:val="16"/>
              </w:rPr>
              <w:t> </w:t>
            </w:r>
          </w:p>
        </w:tc>
        <w:tc>
          <w:tcPr>
            <w:tcW w:w="379" w:type="dxa"/>
            <w:tcBorders>
              <w:top w:val="nil"/>
              <w:left w:val="nil"/>
              <w:bottom w:val="single" w:sz="4" w:space="0" w:color="auto"/>
              <w:right w:val="single" w:sz="4" w:space="0" w:color="auto"/>
            </w:tcBorders>
            <w:shd w:val="clear" w:color="auto" w:fill="auto"/>
            <w:noWrap/>
            <w:vAlign w:val="bottom"/>
            <w:hideMark/>
          </w:tcPr>
          <w:p w14:paraId="58D7BB78" w14:textId="77777777" w:rsidR="00AB4AFF" w:rsidRPr="00AB4AFF" w:rsidRDefault="00AB4AFF" w:rsidP="00AB4AFF">
            <w:pPr>
              <w:spacing w:after="0" w:line="240" w:lineRule="auto"/>
              <w:jc w:val="center"/>
              <w:rPr>
                <w:rFonts w:ascii="Calibri" w:eastAsia="Times New Roman" w:hAnsi="Calibri" w:cs="Calibri"/>
                <w:i/>
                <w:iCs/>
                <w:color w:val="000000"/>
                <w:sz w:val="16"/>
                <w:szCs w:val="16"/>
              </w:rPr>
            </w:pPr>
            <w:r w:rsidRPr="00AB4AFF">
              <w:rPr>
                <w:rFonts w:ascii="Calibri" w:eastAsia="Times New Roman" w:hAnsi="Calibri" w:cs="Calibri"/>
                <w:i/>
                <w:iCs/>
                <w:color w:val="000000"/>
                <w:sz w:val="16"/>
                <w:szCs w:val="16"/>
              </w:rPr>
              <w:t> </w:t>
            </w:r>
          </w:p>
        </w:tc>
        <w:tc>
          <w:tcPr>
            <w:tcW w:w="379" w:type="dxa"/>
            <w:tcBorders>
              <w:top w:val="nil"/>
              <w:left w:val="nil"/>
              <w:bottom w:val="single" w:sz="4" w:space="0" w:color="auto"/>
              <w:right w:val="single" w:sz="4" w:space="0" w:color="auto"/>
            </w:tcBorders>
            <w:shd w:val="clear" w:color="auto" w:fill="auto"/>
            <w:noWrap/>
            <w:vAlign w:val="bottom"/>
            <w:hideMark/>
          </w:tcPr>
          <w:p w14:paraId="673FE300"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 </w:t>
            </w:r>
          </w:p>
        </w:tc>
        <w:tc>
          <w:tcPr>
            <w:tcW w:w="379" w:type="dxa"/>
            <w:tcBorders>
              <w:top w:val="nil"/>
              <w:left w:val="nil"/>
              <w:bottom w:val="single" w:sz="4" w:space="0" w:color="auto"/>
              <w:right w:val="single" w:sz="4" w:space="0" w:color="auto"/>
            </w:tcBorders>
            <w:shd w:val="clear" w:color="auto" w:fill="auto"/>
            <w:noWrap/>
            <w:vAlign w:val="bottom"/>
            <w:hideMark/>
          </w:tcPr>
          <w:p w14:paraId="18F4733C"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 </w:t>
            </w:r>
          </w:p>
        </w:tc>
        <w:tc>
          <w:tcPr>
            <w:tcW w:w="379" w:type="dxa"/>
            <w:tcBorders>
              <w:top w:val="nil"/>
              <w:left w:val="nil"/>
              <w:bottom w:val="single" w:sz="4" w:space="0" w:color="auto"/>
              <w:right w:val="single" w:sz="4" w:space="0" w:color="auto"/>
            </w:tcBorders>
            <w:shd w:val="clear" w:color="auto" w:fill="auto"/>
            <w:noWrap/>
            <w:vAlign w:val="bottom"/>
            <w:hideMark/>
          </w:tcPr>
          <w:p w14:paraId="74F57E6A"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 </w:t>
            </w:r>
          </w:p>
        </w:tc>
        <w:tc>
          <w:tcPr>
            <w:tcW w:w="379" w:type="dxa"/>
            <w:tcBorders>
              <w:top w:val="nil"/>
              <w:left w:val="nil"/>
              <w:bottom w:val="single" w:sz="4" w:space="0" w:color="auto"/>
              <w:right w:val="single" w:sz="4" w:space="0" w:color="auto"/>
            </w:tcBorders>
            <w:shd w:val="clear" w:color="auto" w:fill="auto"/>
            <w:noWrap/>
            <w:vAlign w:val="bottom"/>
            <w:hideMark/>
          </w:tcPr>
          <w:p w14:paraId="08FF9C80"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 </w:t>
            </w:r>
          </w:p>
        </w:tc>
        <w:tc>
          <w:tcPr>
            <w:tcW w:w="379" w:type="dxa"/>
            <w:tcBorders>
              <w:top w:val="nil"/>
              <w:left w:val="nil"/>
              <w:bottom w:val="single" w:sz="4" w:space="0" w:color="auto"/>
              <w:right w:val="single" w:sz="4" w:space="0" w:color="auto"/>
            </w:tcBorders>
            <w:shd w:val="clear" w:color="auto" w:fill="auto"/>
            <w:noWrap/>
            <w:vAlign w:val="bottom"/>
            <w:hideMark/>
          </w:tcPr>
          <w:p w14:paraId="512394DE"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 </w:t>
            </w:r>
          </w:p>
        </w:tc>
        <w:tc>
          <w:tcPr>
            <w:tcW w:w="379" w:type="dxa"/>
            <w:tcBorders>
              <w:top w:val="nil"/>
              <w:left w:val="nil"/>
              <w:bottom w:val="single" w:sz="4" w:space="0" w:color="auto"/>
              <w:right w:val="single" w:sz="4" w:space="0" w:color="auto"/>
            </w:tcBorders>
            <w:shd w:val="clear" w:color="auto" w:fill="auto"/>
            <w:noWrap/>
            <w:vAlign w:val="bottom"/>
            <w:hideMark/>
          </w:tcPr>
          <w:p w14:paraId="5D12F598"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 </w:t>
            </w:r>
          </w:p>
        </w:tc>
        <w:tc>
          <w:tcPr>
            <w:tcW w:w="379" w:type="dxa"/>
            <w:tcBorders>
              <w:top w:val="nil"/>
              <w:left w:val="nil"/>
              <w:bottom w:val="single" w:sz="4" w:space="0" w:color="auto"/>
              <w:right w:val="single" w:sz="4" w:space="0" w:color="auto"/>
            </w:tcBorders>
            <w:shd w:val="clear" w:color="auto" w:fill="auto"/>
            <w:noWrap/>
            <w:vAlign w:val="bottom"/>
            <w:hideMark/>
          </w:tcPr>
          <w:p w14:paraId="3B64A61B"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 </w:t>
            </w:r>
          </w:p>
        </w:tc>
        <w:tc>
          <w:tcPr>
            <w:tcW w:w="379" w:type="dxa"/>
            <w:tcBorders>
              <w:top w:val="nil"/>
              <w:left w:val="nil"/>
              <w:bottom w:val="single" w:sz="4" w:space="0" w:color="auto"/>
              <w:right w:val="single" w:sz="4" w:space="0" w:color="auto"/>
            </w:tcBorders>
            <w:shd w:val="clear" w:color="auto" w:fill="auto"/>
            <w:noWrap/>
            <w:vAlign w:val="bottom"/>
            <w:hideMark/>
          </w:tcPr>
          <w:p w14:paraId="1F452424"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 </w:t>
            </w:r>
          </w:p>
        </w:tc>
        <w:tc>
          <w:tcPr>
            <w:tcW w:w="379" w:type="dxa"/>
            <w:tcBorders>
              <w:top w:val="nil"/>
              <w:left w:val="nil"/>
              <w:bottom w:val="single" w:sz="4" w:space="0" w:color="auto"/>
              <w:right w:val="single" w:sz="4" w:space="0" w:color="auto"/>
            </w:tcBorders>
            <w:shd w:val="clear" w:color="auto" w:fill="auto"/>
            <w:noWrap/>
            <w:vAlign w:val="bottom"/>
            <w:hideMark/>
          </w:tcPr>
          <w:p w14:paraId="3A8833BF"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 </w:t>
            </w:r>
          </w:p>
        </w:tc>
        <w:tc>
          <w:tcPr>
            <w:tcW w:w="379" w:type="dxa"/>
            <w:tcBorders>
              <w:top w:val="nil"/>
              <w:left w:val="nil"/>
              <w:bottom w:val="single" w:sz="4" w:space="0" w:color="auto"/>
              <w:right w:val="single" w:sz="4" w:space="0" w:color="auto"/>
            </w:tcBorders>
            <w:shd w:val="clear" w:color="auto" w:fill="auto"/>
            <w:noWrap/>
            <w:vAlign w:val="bottom"/>
            <w:hideMark/>
          </w:tcPr>
          <w:p w14:paraId="163608D8"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 </w:t>
            </w:r>
          </w:p>
        </w:tc>
        <w:tc>
          <w:tcPr>
            <w:tcW w:w="379" w:type="dxa"/>
            <w:tcBorders>
              <w:top w:val="nil"/>
              <w:left w:val="nil"/>
              <w:bottom w:val="single" w:sz="4" w:space="0" w:color="auto"/>
              <w:right w:val="single" w:sz="4" w:space="0" w:color="auto"/>
            </w:tcBorders>
            <w:shd w:val="clear" w:color="auto" w:fill="auto"/>
            <w:noWrap/>
            <w:vAlign w:val="bottom"/>
            <w:hideMark/>
          </w:tcPr>
          <w:p w14:paraId="31FE13DF"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 </w:t>
            </w:r>
          </w:p>
        </w:tc>
        <w:tc>
          <w:tcPr>
            <w:tcW w:w="379" w:type="dxa"/>
            <w:tcBorders>
              <w:top w:val="nil"/>
              <w:left w:val="nil"/>
              <w:bottom w:val="single" w:sz="4" w:space="0" w:color="auto"/>
              <w:right w:val="single" w:sz="4" w:space="0" w:color="auto"/>
            </w:tcBorders>
            <w:shd w:val="clear" w:color="auto" w:fill="auto"/>
            <w:noWrap/>
            <w:vAlign w:val="bottom"/>
            <w:hideMark/>
          </w:tcPr>
          <w:p w14:paraId="7B4D1DD6"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 </w:t>
            </w:r>
          </w:p>
        </w:tc>
        <w:tc>
          <w:tcPr>
            <w:tcW w:w="379" w:type="dxa"/>
            <w:tcBorders>
              <w:top w:val="nil"/>
              <w:left w:val="nil"/>
              <w:bottom w:val="single" w:sz="4" w:space="0" w:color="auto"/>
              <w:right w:val="single" w:sz="4" w:space="0" w:color="auto"/>
            </w:tcBorders>
            <w:shd w:val="clear" w:color="000000" w:fill="9BC2E6"/>
            <w:noWrap/>
            <w:vAlign w:val="bottom"/>
            <w:hideMark/>
          </w:tcPr>
          <w:p w14:paraId="587E940D"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 </w:t>
            </w:r>
          </w:p>
        </w:tc>
        <w:tc>
          <w:tcPr>
            <w:tcW w:w="379" w:type="dxa"/>
            <w:tcBorders>
              <w:top w:val="nil"/>
              <w:left w:val="nil"/>
              <w:bottom w:val="single" w:sz="4" w:space="0" w:color="auto"/>
              <w:right w:val="single" w:sz="4" w:space="0" w:color="auto"/>
            </w:tcBorders>
            <w:shd w:val="clear" w:color="000000" w:fill="9BC2E6"/>
            <w:noWrap/>
            <w:vAlign w:val="bottom"/>
            <w:hideMark/>
          </w:tcPr>
          <w:p w14:paraId="0B029390"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 </w:t>
            </w:r>
          </w:p>
        </w:tc>
        <w:tc>
          <w:tcPr>
            <w:tcW w:w="379" w:type="dxa"/>
            <w:tcBorders>
              <w:top w:val="nil"/>
              <w:left w:val="nil"/>
              <w:bottom w:val="single" w:sz="4" w:space="0" w:color="auto"/>
              <w:right w:val="single" w:sz="4" w:space="0" w:color="auto"/>
            </w:tcBorders>
            <w:shd w:val="clear" w:color="000000" w:fill="9BC2E6"/>
            <w:noWrap/>
            <w:vAlign w:val="bottom"/>
            <w:hideMark/>
          </w:tcPr>
          <w:p w14:paraId="7CE3B0CF"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 </w:t>
            </w:r>
          </w:p>
        </w:tc>
        <w:tc>
          <w:tcPr>
            <w:tcW w:w="379" w:type="dxa"/>
            <w:tcBorders>
              <w:top w:val="nil"/>
              <w:left w:val="nil"/>
              <w:bottom w:val="single" w:sz="4" w:space="0" w:color="auto"/>
              <w:right w:val="single" w:sz="8" w:space="0" w:color="auto"/>
            </w:tcBorders>
            <w:shd w:val="clear" w:color="auto" w:fill="auto"/>
            <w:noWrap/>
            <w:vAlign w:val="bottom"/>
            <w:hideMark/>
          </w:tcPr>
          <w:p w14:paraId="4602E990"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 </w:t>
            </w:r>
          </w:p>
        </w:tc>
      </w:tr>
      <w:tr w:rsidR="00AB4AFF" w:rsidRPr="00AB4AFF" w14:paraId="5DF01138" w14:textId="77777777" w:rsidTr="008C0F8B">
        <w:trPr>
          <w:trHeight w:val="290"/>
        </w:trPr>
        <w:tc>
          <w:tcPr>
            <w:tcW w:w="1070" w:type="dxa"/>
            <w:tcBorders>
              <w:top w:val="nil"/>
              <w:left w:val="single" w:sz="8" w:space="0" w:color="auto"/>
              <w:bottom w:val="single" w:sz="4" w:space="0" w:color="auto"/>
              <w:right w:val="single" w:sz="4" w:space="0" w:color="auto"/>
            </w:tcBorders>
            <w:shd w:val="clear" w:color="000000" w:fill="FFFFFF"/>
            <w:noWrap/>
            <w:vAlign w:val="bottom"/>
            <w:hideMark/>
          </w:tcPr>
          <w:p w14:paraId="08BACAE5"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2:110150198</w:t>
            </w:r>
          </w:p>
        </w:tc>
        <w:tc>
          <w:tcPr>
            <w:tcW w:w="498" w:type="dxa"/>
            <w:tcBorders>
              <w:top w:val="nil"/>
              <w:left w:val="nil"/>
              <w:bottom w:val="single" w:sz="4" w:space="0" w:color="auto"/>
              <w:right w:val="single" w:sz="4" w:space="0" w:color="auto"/>
            </w:tcBorders>
            <w:shd w:val="clear" w:color="000000" w:fill="FFFFFF"/>
            <w:noWrap/>
            <w:vAlign w:val="bottom"/>
            <w:hideMark/>
          </w:tcPr>
          <w:p w14:paraId="01066878"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C</w:t>
            </w:r>
          </w:p>
        </w:tc>
        <w:tc>
          <w:tcPr>
            <w:tcW w:w="498" w:type="dxa"/>
            <w:tcBorders>
              <w:top w:val="nil"/>
              <w:left w:val="nil"/>
              <w:bottom w:val="single" w:sz="4" w:space="0" w:color="auto"/>
              <w:right w:val="single" w:sz="8" w:space="0" w:color="auto"/>
            </w:tcBorders>
            <w:shd w:val="clear" w:color="000000" w:fill="FFFFFF"/>
            <w:noWrap/>
            <w:vAlign w:val="bottom"/>
            <w:hideMark/>
          </w:tcPr>
          <w:p w14:paraId="6DE27CB0"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T</w:t>
            </w:r>
          </w:p>
        </w:tc>
        <w:tc>
          <w:tcPr>
            <w:tcW w:w="632" w:type="dxa"/>
            <w:tcBorders>
              <w:top w:val="nil"/>
              <w:left w:val="nil"/>
              <w:bottom w:val="single" w:sz="4" w:space="0" w:color="auto"/>
              <w:right w:val="single" w:sz="4" w:space="0" w:color="auto"/>
            </w:tcBorders>
            <w:shd w:val="clear" w:color="000000" w:fill="FFFFFF"/>
            <w:noWrap/>
            <w:vAlign w:val="bottom"/>
            <w:hideMark/>
          </w:tcPr>
          <w:p w14:paraId="24D65584"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sg</w:t>
            </w:r>
          </w:p>
        </w:tc>
        <w:tc>
          <w:tcPr>
            <w:tcW w:w="850" w:type="dxa"/>
            <w:tcBorders>
              <w:top w:val="nil"/>
              <w:left w:val="nil"/>
              <w:bottom w:val="single" w:sz="4" w:space="0" w:color="auto"/>
              <w:right w:val="single" w:sz="8" w:space="0" w:color="auto"/>
            </w:tcBorders>
            <w:shd w:val="clear" w:color="000000" w:fill="FFFFFF"/>
            <w:noWrap/>
            <w:vAlign w:val="bottom"/>
            <w:hideMark/>
          </w:tcPr>
          <w:p w14:paraId="4D9B656B"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W437*</w:t>
            </w:r>
          </w:p>
        </w:tc>
        <w:tc>
          <w:tcPr>
            <w:tcW w:w="990" w:type="dxa"/>
            <w:tcBorders>
              <w:top w:val="nil"/>
              <w:left w:val="nil"/>
              <w:bottom w:val="single" w:sz="4" w:space="0" w:color="auto"/>
              <w:right w:val="single" w:sz="4" w:space="0" w:color="auto"/>
            </w:tcBorders>
            <w:shd w:val="clear" w:color="000000" w:fill="FFFFFF"/>
            <w:noWrap/>
            <w:vAlign w:val="bottom"/>
            <w:hideMark/>
          </w:tcPr>
          <w:p w14:paraId="5D8EAA1D"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 </w:t>
            </w:r>
          </w:p>
        </w:tc>
        <w:tc>
          <w:tcPr>
            <w:tcW w:w="500" w:type="dxa"/>
            <w:tcBorders>
              <w:top w:val="nil"/>
              <w:left w:val="nil"/>
              <w:bottom w:val="single" w:sz="4" w:space="0" w:color="auto"/>
              <w:right w:val="single" w:sz="4" w:space="0" w:color="auto"/>
            </w:tcBorders>
            <w:shd w:val="clear" w:color="000000" w:fill="FFFFFF"/>
            <w:noWrap/>
            <w:vAlign w:val="bottom"/>
            <w:hideMark/>
          </w:tcPr>
          <w:p w14:paraId="4520F81F"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47.0</w:t>
            </w:r>
          </w:p>
        </w:tc>
        <w:tc>
          <w:tcPr>
            <w:tcW w:w="534" w:type="dxa"/>
            <w:tcBorders>
              <w:top w:val="nil"/>
              <w:left w:val="nil"/>
              <w:bottom w:val="single" w:sz="4" w:space="0" w:color="auto"/>
              <w:right w:val="single" w:sz="4" w:space="0" w:color="auto"/>
            </w:tcBorders>
            <w:shd w:val="clear" w:color="000000" w:fill="FFFFFF"/>
            <w:noWrap/>
            <w:vAlign w:val="bottom"/>
            <w:hideMark/>
          </w:tcPr>
          <w:p w14:paraId="1CDB9215"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 </w:t>
            </w:r>
          </w:p>
        </w:tc>
        <w:tc>
          <w:tcPr>
            <w:tcW w:w="498" w:type="dxa"/>
            <w:tcBorders>
              <w:top w:val="nil"/>
              <w:left w:val="nil"/>
              <w:bottom w:val="single" w:sz="4" w:space="0" w:color="auto"/>
              <w:right w:val="single" w:sz="8" w:space="0" w:color="auto"/>
            </w:tcBorders>
            <w:shd w:val="clear" w:color="000000" w:fill="FFFFFF"/>
            <w:noWrap/>
            <w:vAlign w:val="bottom"/>
            <w:hideMark/>
          </w:tcPr>
          <w:p w14:paraId="2E7FFAC9"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P</w:t>
            </w:r>
          </w:p>
        </w:tc>
        <w:tc>
          <w:tcPr>
            <w:tcW w:w="298" w:type="dxa"/>
            <w:tcBorders>
              <w:top w:val="nil"/>
              <w:left w:val="nil"/>
              <w:bottom w:val="single" w:sz="4" w:space="0" w:color="auto"/>
              <w:right w:val="single" w:sz="4" w:space="0" w:color="auto"/>
            </w:tcBorders>
            <w:shd w:val="clear" w:color="000000" w:fill="5B9BD5"/>
            <w:noWrap/>
            <w:vAlign w:val="bottom"/>
            <w:hideMark/>
          </w:tcPr>
          <w:p w14:paraId="7EC4AB9C"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 </w:t>
            </w:r>
          </w:p>
        </w:tc>
        <w:tc>
          <w:tcPr>
            <w:tcW w:w="298" w:type="dxa"/>
            <w:tcBorders>
              <w:top w:val="nil"/>
              <w:left w:val="nil"/>
              <w:bottom w:val="single" w:sz="4" w:space="0" w:color="auto"/>
              <w:right w:val="single" w:sz="4" w:space="0" w:color="auto"/>
            </w:tcBorders>
            <w:shd w:val="clear" w:color="000000" w:fill="5B9BD5"/>
            <w:noWrap/>
            <w:vAlign w:val="bottom"/>
            <w:hideMark/>
          </w:tcPr>
          <w:p w14:paraId="59F88185"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 </w:t>
            </w:r>
          </w:p>
        </w:tc>
        <w:tc>
          <w:tcPr>
            <w:tcW w:w="298" w:type="dxa"/>
            <w:tcBorders>
              <w:top w:val="nil"/>
              <w:left w:val="nil"/>
              <w:bottom w:val="single" w:sz="4" w:space="0" w:color="auto"/>
              <w:right w:val="single" w:sz="4" w:space="0" w:color="auto"/>
            </w:tcBorders>
            <w:shd w:val="clear" w:color="auto" w:fill="auto"/>
            <w:noWrap/>
            <w:vAlign w:val="bottom"/>
            <w:hideMark/>
          </w:tcPr>
          <w:p w14:paraId="2D8DC347" w14:textId="77777777" w:rsidR="00AB4AFF" w:rsidRPr="00AB4AFF" w:rsidRDefault="00AB4AFF" w:rsidP="00AB4AFF">
            <w:pPr>
              <w:spacing w:after="0" w:line="240" w:lineRule="auto"/>
              <w:jc w:val="center"/>
              <w:rPr>
                <w:rFonts w:ascii="Calibri" w:eastAsia="Times New Roman" w:hAnsi="Calibri" w:cs="Calibri"/>
                <w:i/>
                <w:iCs/>
                <w:color w:val="000000"/>
                <w:sz w:val="16"/>
                <w:szCs w:val="16"/>
              </w:rPr>
            </w:pPr>
            <w:r w:rsidRPr="00AB4AFF">
              <w:rPr>
                <w:rFonts w:ascii="Calibri" w:eastAsia="Times New Roman" w:hAnsi="Calibri" w:cs="Calibri"/>
                <w:i/>
                <w:iCs/>
                <w:color w:val="000000"/>
                <w:sz w:val="16"/>
                <w:szCs w:val="16"/>
              </w:rPr>
              <w:t> </w:t>
            </w:r>
          </w:p>
        </w:tc>
        <w:tc>
          <w:tcPr>
            <w:tcW w:w="298" w:type="dxa"/>
            <w:tcBorders>
              <w:top w:val="nil"/>
              <w:left w:val="nil"/>
              <w:bottom w:val="single" w:sz="4" w:space="0" w:color="auto"/>
              <w:right w:val="single" w:sz="4" w:space="0" w:color="auto"/>
            </w:tcBorders>
            <w:shd w:val="clear" w:color="auto" w:fill="auto"/>
            <w:noWrap/>
            <w:vAlign w:val="bottom"/>
            <w:hideMark/>
          </w:tcPr>
          <w:p w14:paraId="32894D37" w14:textId="77777777" w:rsidR="00AB4AFF" w:rsidRPr="00AB4AFF" w:rsidRDefault="00AB4AFF" w:rsidP="00AB4AFF">
            <w:pPr>
              <w:spacing w:after="0" w:line="240" w:lineRule="auto"/>
              <w:jc w:val="center"/>
              <w:rPr>
                <w:rFonts w:ascii="Calibri" w:eastAsia="Times New Roman" w:hAnsi="Calibri" w:cs="Calibri"/>
                <w:i/>
                <w:iCs/>
                <w:color w:val="000000"/>
                <w:sz w:val="16"/>
                <w:szCs w:val="16"/>
              </w:rPr>
            </w:pPr>
            <w:r w:rsidRPr="00AB4AFF">
              <w:rPr>
                <w:rFonts w:ascii="Calibri" w:eastAsia="Times New Roman" w:hAnsi="Calibri" w:cs="Calibri"/>
                <w:i/>
                <w:iCs/>
                <w:color w:val="000000"/>
                <w:sz w:val="16"/>
                <w:szCs w:val="16"/>
              </w:rPr>
              <w:t> </w:t>
            </w:r>
          </w:p>
        </w:tc>
        <w:tc>
          <w:tcPr>
            <w:tcW w:w="298" w:type="dxa"/>
            <w:tcBorders>
              <w:top w:val="nil"/>
              <w:left w:val="nil"/>
              <w:bottom w:val="single" w:sz="4" w:space="0" w:color="auto"/>
              <w:right w:val="single" w:sz="4" w:space="0" w:color="auto"/>
            </w:tcBorders>
            <w:shd w:val="clear" w:color="auto" w:fill="auto"/>
            <w:noWrap/>
            <w:vAlign w:val="bottom"/>
            <w:hideMark/>
          </w:tcPr>
          <w:p w14:paraId="58640953" w14:textId="77777777" w:rsidR="00AB4AFF" w:rsidRPr="00AB4AFF" w:rsidRDefault="00AB4AFF" w:rsidP="00AB4AFF">
            <w:pPr>
              <w:spacing w:after="0" w:line="240" w:lineRule="auto"/>
              <w:jc w:val="center"/>
              <w:rPr>
                <w:rFonts w:ascii="Calibri" w:eastAsia="Times New Roman" w:hAnsi="Calibri" w:cs="Calibri"/>
                <w:i/>
                <w:iCs/>
                <w:color w:val="000000"/>
                <w:sz w:val="16"/>
                <w:szCs w:val="16"/>
              </w:rPr>
            </w:pPr>
            <w:r w:rsidRPr="00AB4AFF">
              <w:rPr>
                <w:rFonts w:ascii="Calibri" w:eastAsia="Times New Roman" w:hAnsi="Calibri" w:cs="Calibri"/>
                <w:i/>
                <w:iCs/>
                <w:color w:val="000000"/>
                <w:sz w:val="16"/>
                <w:szCs w:val="16"/>
              </w:rPr>
              <w:t> </w:t>
            </w:r>
          </w:p>
        </w:tc>
        <w:tc>
          <w:tcPr>
            <w:tcW w:w="298" w:type="dxa"/>
            <w:tcBorders>
              <w:top w:val="nil"/>
              <w:left w:val="nil"/>
              <w:bottom w:val="single" w:sz="4" w:space="0" w:color="auto"/>
              <w:right w:val="single" w:sz="4" w:space="0" w:color="auto"/>
            </w:tcBorders>
            <w:shd w:val="clear" w:color="auto" w:fill="auto"/>
            <w:noWrap/>
            <w:vAlign w:val="bottom"/>
            <w:hideMark/>
          </w:tcPr>
          <w:p w14:paraId="10C6A6E6" w14:textId="77777777" w:rsidR="00AB4AFF" w:rsidRPr="00AB4AFF" w:rsidRDefault="00AB4AFF" w:rsidP="00AB4AFF">
            <w:pPr>
              <w:spacing w:after="0" w:line="240" w:lineRule="auto"/>
              <w:jc w:val="center"/>
              <w:rPr>
                <w:rFonts w:ascii="Calibri" w:eastAsia="Times New Roman" w:hAnsi="Calibri" w:cs="Calibri"/>
                <w:i/>
                <w:iCs/>
                <w:color w:val="000000"/>
                <w:sz w:val="16"/>
                <w:szCs w:val="16"/>
              </w:rPr>
            </w:pPr>
            <w:r w:rsidRPr="00AB4AFF">
              <w:rPr>
                <w:rFonts w:ascii="Calibri" w:eastAsia="Times New Roman" w:hAnsi="Calibri" w:cs="Calibri"/>
                <w:i/>
                <w:iCs/>
                <w:color w:val="000000"/>
                <w:sz w:val="16"/>
                <w:szCs w:val="16"/>
              </w:rPr>
              <w:t> </w:t>
            </w:r>
          </w:p>
        </w:tc>
        <w:tc>
          <w:tcPr>
            <w:tcW w:w="298" w:type="dxa"/>
            <w:tcBorders>
              <w:top w:val="nil"/>
              <w:left w:val="nil"/>
              <w:bottom w:val="single" w:sz="4" w:space="0" w:color="auto"/>
              <w:right w:val="single" w:sz="4" w:space="0" w:color="auto"/>
            </w:tcBorders>
            <w:shd w:val="clear" w:color="auto" w:fill="auto"/>
            <w:noWrap/>
            <w:vAlign w:val="bottom"/>
            <w:hideMark/>
          </w:tcPr>
          <w:p w14:paraId="2FFD6EB1" w14:textId="77777777" w:rsidR="00AB4AFF" w:rsidRPr="00AB4AFF" w:rsidRDefault="00AB4AFF" w:rsidP="00AB4AFF">
            <w:pPr>
              <w:spacing w:after="0" w:line="240" w:lineRule="auto"/>
              <w:jc w:val="center"/>
              <w:rPr>
                <w:rFonts w:ascii="Calibri" w:eastAsia="Times New Roman" w:hAnsi="Calibri" w:cs="Calibri"/>
                <w:i/>
                <w:iCs/>
                <w:color w:val="000000"/>
                <w:sz w:val="16"/>
                <w:szCs w:val="16"/>
              </w:rPr>
            </w:pPr>
            <w:r w:rsidRPr="00AB4AFF">
              <w:rPr>
                <w:rFonts w:ascii="Calibri" w:eastAsia="Times New Roman" w:hAnsi="Calibri" w:cs="Calibri"/>
                <w:i/>
                <w:iCs/>
                <w:color w:val="000000"/>
                <w:sz w:val="16"/>
                <w:szCs w:val="16"/>
              </w:rPr>
              <w:t> </w:t>
            </w:r>
          </w:p>
        </w:tc>
        <w:tc>
          <w:tcPr>
            <w:tcW w:w="298" w:type="dxa"/>
            <w:tcBorders>
              <w:top w:val="nil"/>
              <w:left w:val="nil"/>
              <w:bottom w:val="single" w:sz="4" w:space="0" w:color="auto"/>
              <w:right w:val="single" w:sz="4" w:space="0" w:color="auto"/>
            </w:tcBorders>
            <w:shd w:val="clear" w:color="auto" w:fill="auto"/>
            <w:noWrap/>
            <w:vAlign w:val="bottom"/>
            <w:hideMark/>
          </w:tcPr>
          <w:p w14:paraId="288C4B6D" w14:textId="77777777" w:rsidR="00AB4AFF" w:rsidRPr="00AB4AFF" w:rsidRDefault="00AB4AFF" w:rsidP="00AB4AFF">
            <w:pPr>
              <w:spacing w:after="0" w:line="240" w:lineRule="auto"/>
              <w:jc w:val="center"/>
              <w:rPr>
                <w:rFonts w:ascii="Calibri" w:eastAsia="Times New Roman" w:hAnsi="Calibri" w:cs="Calibri"/>
                <w:i/>
                <w:iCs/>
                <w:color w:val="000000"/>
                <w:sz w:val="16"/>
                <w:szCs w:val="16"/>
              </w:rPr>
            </w:pPr>
            <w:r w:rsidRPr="00AB4AFF">
              <w:rPr>
                <w:rFonts w:ascii="Calibri" w:eastAsia="Times New Roman" w:hAnsi="Calibri" w:cs="Calibri"/>
                <w:i/>
                <w:iCs/>
                <w:color w:val="000000"/>
                <w:sz w:val="16"/>
                <w:szCs w:val="16"/>
              </w:rPr>
              <w:t> </w:t>
            </w:r>
          </w:p>
        </w:tc>
        <w:tc>
          <w:tcPr>
            <w:tcW w:w="379" w:type="dxa"/>
            <w:tcBorders>
              <w:top w:val="nil"/>
              <w:left w:val="nil"/>
              <w:bottom w:val="single" w:sz="4" w:space="0" w:color="auto"/>
              <w:right w:val="single" w:sz="4" w:space="0" w:color="auto"/>
            </w:tcBorders>
            <w:shd w:val="clear" w:color="auto" w:fill="auto"/>
            <w:noWrap/>
            <w:vAlign w:val="bottom"/>
            <w:hideMark/>
          </w:tcPr>
          <w:p w14:paraId="2936673F" w14:textId="77777777" w:rsidR="00AB4AFF" w:rsidRPr="00AB4AFF" w:rsidRDefault="00AB4AFF" w:rsidP="00AB4AFF">
            <w:pPr>
              <w:spacing w:after="0" w:line="240" w:lineRule="auto"/>
              <w:jc w:val="center"/>
              <w:rPr>
                <w:rFonts w:ascii="Calibri" w:eastAsia="Times New Roman" w:hAnsi="Calibri" w:cs="Calibri"/>
                <w:i/>
                <w:iCs/>
                <w:color w:val="000000"/>
                <w:sz w:val="16"/>
                <w:szCs w:val="16"/>
              </w:rPr>
            </w:pPr>
            <w:r w:rsidRPr="00AB4AFF">
              <w:rPr>
                <w:rFonts w:ascii="Calibri" w:eastAsia="Times New Roman" w:hAnsi="Calibri" w:cs="Calibri"/>
                <w:i/>
                <w:iCs/>
                <w:color w:val="000000"/>
                <w:sz w:val="16"/>
                <w:szCs w:val="16"/>
              </w:rPr>
              <w:t> </w:t>
            </w:r>
          </w:p>
        </w:tc>
        <w:tc>
          <w:tcPr>
            <w:tcW w:w="379" w:type="dxa"/>
            <w:tcBorders>
              <w:top w:val="nil"/>
              <w:left w:val="nil"/>
              <w:bottom w:val="single" w:sz="4" w:space="0" w:color="auto"/>
              <w:right w:val="single" w:sz="4" w:space="0" w:color="auto"/>
            </w:tcBorders>
            <w:shd w:val="clear" w:color="auto" w:fill="auto"/>
            <w:noWrap/>
            <w:vAlign w:val="bottom"/>
            <w:hideMark/>
          </w:tcPr>
          <w:p w14:paraId="27239CC7" w14:textId="77777777" w:rsidR="00AB4AFF" w:rsidRPr="00AB4AFF" w:rsidRDefault="00AB4AFF" w:rsidP="00AB4AFF">
            <w:pPr>
              <w:spacing w:after="0" w:line="240" w:lineRule="auto"/>
              <w:jc w:val="center"/>
              <w:rPr>
                <w:rFonts w:ascii="Calibri" w:eastAsia="Times New Roman" w:hAnsi="Calibri" w:cs="Calibri"/>
                <w:i/>
                <w:iCs/>
                <w:color w:val="000000"/>
                <w:sz w:val="16"/>
                <w:szCs w:val="16"/>
              </w:rPr>
            </w:pPr>
            <w:r w:rsidRPr="00AB4AFF">
              <w:rPr>
                <w:rFonts w:ascii="Calibri" w:eastAsia="Times New Roman" w:hAnsi="Calibri" w:cs="Calibri"/>
                <w:i/>
                <w:iCs/>
                <w:color w:val="000000"/>
                <w:sz w:val="16"/>
                <w:szCs w:val="16"/>
              </w:rPr>
              <w:t> </w:t>
            </w:r>
          </w:p>
        </w:tc>
        <w:tc>
          <w:tcPr>
            <w:tcW w:w="379" w:type="dxa"/>
            <w:tcBorders>
              <w:top w:val="nil"/>
              <w:left w:val="nil"/>
              <w:bottom w:val="single" w:sz="4" w:space="0" w:color="auto"/>
              <w:right w:val="single" w:sz="4" w:space="0" w:color="auto"/>
            </w:tcBorders>
            <w:shd w:val="clear" w:color="auto" w:fill="auto"/>
            <w:noWrap/>
            <w:vAlign w:val="bottom"/>
            <w:hideMark/>
          </w:tcPr>
          <w:p w14:paraId="1C423D4F"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 </w:t>
            </w:r>
          </w:p>
        </w:tc>
        <w:tc>
          <w:tcPr>
            <w:tcW w:w="379" w:type="dxa"/>
            <w:tcBorders>
              <w:top w:val="nil"/>
              <w:left w:val="nil"/>
              <w:bottom w:val="single" w:sz="4" w:space="0" w:color="auto"/>
              <w:right w:val="single" w:sz="4" w:space="0" w:color="auto"/>
            </w:tcBorders>
            <w:shd w:val="clear" w:color="auto" w:fill="auto"/>
            <w:noWrap/>
            <w:vAlign w:val="bottom"/>
            <w:hideMark/>
          </w:tcPr>
          <w:p w14:paraId="3436D053"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 </w:t>
            </w:r>
          </w:p>
        </w:tc>
        <w:tc>
          <w:tcPr>
            <w:tcW w:w="379" w:type="dxa"/>
            <w:tcBorders>
              <w:top w:val="nil"/>
              <w:left w:val="nil"/>
              <w:bottom w:val="single" w:sz="4" w:space="0" w:color="auto"/>
              <w:right w:val="single" w:sz="4" w:space="0" w:color="auto"/>
            </w:tcBorders>
            <w:shd w:val="clear" w:color="auto" w:fill="auto"/>
            <w:noWrap/>
            <w:vAlign w:val="bottom"/>
            <w:hideMark/>
          </w:tcPr>
          <w:p w14:paraId="35E2C4B6"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 </w:t>
            </w:r>
          </w:p>
        </w:tc>
        <w:tc>
          <w:tcPr>
            <w:tcW w:w="379" w:type="dxa"/>
            <w:tcBorders>
              <w:top w:val="nil"/>
              <w:left w:val="nil"/>
              <w:bottom w:val="single" w:sz="4" w:space="0" w:color="auto"/>
              <w:right w:val="single" w:sz="4" w:space="0" w:color="auto"/>
            </w:tcBorders>
            <w:shd w:val="clear" w:color="auto" w:fill="auto"/>
            <w:noWrap/>
            <w:vAlign w:val="bottom"/>
            <w:hideMark/>
          </w:tcPr>
          <w:p w14:paraId="57A15BAC"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 </w:t>
            </w:r>
          </w:p>
        </w:tc>
        <w:tc>
          <w:tcPr>
            <w:tcW w:w="379" w:type="dxa"/>
            <w:tcBorders>
              <w:top w:val="nil"/>
              <w:left w:val="nil"/>
              <w:bottom w:val="single" w:sz="4" w:space="0" w:color="auto"/>
              <w:right w:val="single" w:sz="4" w:space="0" w:color="auto"/>
            </w:tcBorders>
            <w:shd w:val="clear" w:color="auto" w:fill="auto"/>
            <w:noWrap/>
            <w:vAlign w:val="bottom"/>
            <w:hideMark/>
          </w:tcPr>
          <w:p w14:paraId="6446C25A"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 </w:t>
            </w:r>
          </w:p>
        </w:tc>
        <w:tc>
          <w:tcPr>
            <w:tcW w:w="379" w:type="dxa"/>
            <w:tcBorders>
              <w:top w:val="nil"/>
              <w:left w:val="nil"/>
              <w:bottom w:val="single" w:sz="4" w:space="0" w:color="auto"/>
              <w:right w:val="single" w:sz="4" w:space="0" w:color="auto"/>
            </w:tcBorders>
            <w:shd w:val="clear" w:color="auto" w:fill="auto"/>
            <w:noWrap/>
            <w:vAlign w:val="bottom"/>
            <w:hideMark/>
          </w:tcPr>
          <w:p w14:paraId="099AF3FB"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 </w:t>
            </w:r>
          </w:p>
        </w:tc>
        <w:tc>
          <w:tcPr>
            <w:tcW w:w="379" w:type="dxa"/>
            <w:tcBorders>
              <w:top w:val="nil"/>
              <w:left w:val="nil"/>
              <w:bottom w:val="single" w:sz="4" w:space="0" w:color="auto"/>
              <w:right w:val="single" w:sz="4" w:space="0" w:color="auto"/>
            </w:tcBorders>
            <w:shd w:val="clear" w:color="auto" w:fill="auto"/>
            <w:noWrap/>
            <w:vAlign w:val="bottom"/>
            <w:hideMark/>
          </w:tcPr>
          <w:p w14:paraId="188E8C46"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 </w:t>
            </w:r>
          </w:p>
        </w:tc>
        <w:tc>
          <w:tcPr>
            <w:tcW w:w="379" w:type="dxa"/>
            <w:tcBorders>
              <w:top w:val="nil"/>
              <w:left w:val="nil"/>
              <w:bottom w:val="single" w:sz="4" w:space="0" w:color="auto"/>
              <w:right w:val="single" w:sz="4" w:space="0" w:color="auto"/>
            </w:tcBorders>
            <w:shd w:val="clear" w:color="auto" w:fill="auto"/>
            <w:noWrap/>
            <w:vAlign w:val="bottom"/>
            <w:hideMark/>
          </w:tcPr>
          <w:p w14:paraId="2FA813BA"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 </w:t>
            </w:r>
          </w:p>
        </w:tc>
        <w:tc>
          <w:tcPr>
            <w:tcW w:w="379" w:type="dxa"/>
            <w:tcBorders>
              <w:top w:val="nil"/>
              <w:left w:val="nil"/>
              <w:bottom w:val="single" w:sz="4" w:space="0" w:color="auto"/>
              <w:right w:val="single" w:sz="4" w:space="0" w:color="auto"/>
            </w:tcBorders>
            <w:shd w:val="clear" w:color="auto" w:fill="auto"/>
            <w:noWrap/>
            <w:vAlign w:val="bottom"/>
            <w:hideMark/>
          </w:tcPr>
          <w:p w14:paraId="5E09862F"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 </w:t>
            </w:r>
          </w:p>
        </w:tc>
        <w:tc>
          <w:tcPr>
            <w:tcW w:w="379" w:type="dxa"/>
            <w:tcBorders>
              <w:top w:val="nil"/>
              <w:left w:val="nil"/>
              <w:bottom w:val="single" w:sz="4" w:space="0" w:color="auto"/>
              <w:right w:val="single" w:sz="4" w:space="0" w:color="auto"/>
            </w:tcBorders>
            <w:shd w:val="clear" w:color="auto" w:fill="auto"/>
            <w:noWrap/>
            <w:vAlign w:val="bottom"/>
            <w:hideMark/>
          </w:tcPr>
          <w:p w14:paraId="2E6D9B15"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 </w:t>
            </w:r>
          </w:p>
        </w:tc>
        <w:tc>
          <w:tcPr>
            <w:tcW w:w="379" w:type="dxa"/>
            <w:tcBorders>
              <w:top w:val="nil"/>
              <w:left w:val="nil"/>
              <w:bottom w:val="single" w:sz="4" w:space="0" w:color="auto"/>
              <w:right w:val="single" w:sz="4" w:space="0" w:color="auto"/>
            </w:tcBorders>
            <w:shd w:val="clear" w:color="auto" w:fill="auto"/>
            <w:noWrap/>
            <w:vAlign w:val="bottom"/>
            <w:hideMark/>
          </w:tcPr>
          <w:p w14:paraId="3DE33E95"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 </w:t>
            </w:r>
          </w:p>
        </w:tc>
        <w:tc>
          <w:tcPr>
            <w:tcW w:w="379" w:type="dxa"/>
            <w:tcBorders>
              <w:top w:val="nil"/>
              <w:left w:val="nil"/>
              <w:bottom w:val="single" w:sz="4" w:space="0" w:color="auto"/>
              <w:right w:val="single" w:sz="4" w:space="0" w:color="auto"/>
            </w:tcBorders>
            <w:shd w:val="clear" w:color="auto" w:fill="auto"/>
            <w:noWrap/>
            <w:vAlign w:val="bottom"/>
            <w:hideMark/>
          </w:tcPr>
          <w:p w14:paraId="51E4BEAF"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 </w:t>
            </w:r>
          </w:p>
        </w:tc>
        <w:tc>
          <w:tcPr>
            <w:tcW w:w="379" w:type="dxa"/>
            <w:tcBorders>
              <w:top w:val="nil"/>
              <w:left w:val="nil"/>
              <w:bottom w:val="single" w:sz="4" w:space="0" w:color="auto"/>
              <w:right w:val="single" w:sz="4" w:space="0" w:color="auto"/>
            </w:tcBorders>
            <w:shd w:val="clear" w:color="auto" w:fill="auto"/>
            <w:noWrap/>
            <w:vAlign w:val="bottom"/>
            <w:hideMark/>
          </w:tcPr>
          <w:p w14:paraId="4F741045"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 </w:t>
            </w:r>
          </w:p>
        </w:tc>
        <w:tc>
          <w:tcPr>
            <w:tcW w:w="379" w:type="dxa"/>
            <w:tcBorders>
              <w:top w:val="nil"/>
              <w:left w:val="nil"/>
              <w:bottom w:val="single" w:sz="4" w:space="0" w:color="auto"/>
              <w:right w:val="single" w:sz="4" w:space="0" w:color="auto"/>
            </w:tcBorders>
            <w:shd w:val="clear" w:color="auto" w:fill="auto"/>
            <w:noWrap/>
            <w:vAlign w:val="bottom"/>
            <w:hideMark/>
          </w:tcPr>
          <w:p w14:paraId="32A118F5"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 </w:t>
            </w:r>
          </w:p>
        </w:tc>
        <w:tc>
          <w:tcPr>
            <w:tcW w:w="379" w:type="dxa"/>
            <w:tcBorders>
              <w:top w:val="nil"/>
              <w:left w:val="nil"/>
              <w:bottom w:val="single" w:sz="4" w:space="0" w:color="auto"/>
              <w:right w:val="single" w:sz="4" w:space="0" w:color="auto"/>
            </w:tcBorders>
            <w:shd w:val="clear" w:color="auto" w:fill="auto"/>
            <w:noWrap/>
            <w:vAlign w:val="bottom"/>
            <w:hideMark/>
          </w:tcPr>
          <w:p w14:paraId="69474C70"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 </w:t>
            </w:r>
          </w:p>
        </w:tc>
        <w:tc>
          <w:tcPr>
            <w:tcW w:w="379" w:type="dxa"/>
            <w:tcBorders>
              <w:top w:val="nil"/>
              <w:left w:val="nil"/>
              <w:bottom w:val="single" w:sz="4" w:space="0" w:color="auto"/>
              <w:right w:val="single" w:sz="8" w:space="0" w:color="auto"/>
            </w:tcBorders>
            <w:shd w:val="clear" w:color="auto" w:fill="auto"/>
            <w:noWrap/>
            <w:vAlign w:val="bottom"/>
            <w:hideMark/>
          </w:tcPr>
          <w:p w14:paraId="6F4C51EE"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 </w:t>
            </w:r>
          </w:p>
        </w:tc>
      </w:tr>
      <w:tr w:rsidR="00AB4AFF" w:rsidRPr="00AB4AFF" w14:paraId="69144000" w14:textId="77777777" w:rsidTr="008C0F8B">
        <w:trPr>
          <w:trHeight w:val="290"/>
        </w:trPr>
        <w:tc>
          <w:tcPr>
            <w:tcW w:w="1070" w:type="dxa"/>
            <w:tcBorders>
              <w:top w:val="nil"/>
              <w:left w:val="single" w:sz="8" w:space="0" w:color="auto"/>
              <w:bottom w:val="single" w:sz="4" w:space="0" w:color="auto"/>
              <w:right w:val="single" w:sz="4" w:space="0" w:color="auto"/>
            </w:tcBorders>
            <w:shd w:val="clear" w:color="000000" w:fill="FFFFFF"/>
            <w:noWrap/>
            <w:vAlign w:val="bottom"/>
            <w:hideMark/>
          </w:tcPr>
          <w:p w14:paraId="5DD171A0"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2:110163096</w:t>
            </w:r>
          </w:p>
        </w:tc>
        <w:tc>
          <w:tcPr>
            <w:tcW w:w="498" w:type="dxa"/>
            <w:tcBorders>
              <w:top w:val="nil"/>
              <w:left w:val="nil"/>
              <w:bottom w:val="single" w:sz="4" w:space="0" w:color="auto"/>
              <w:right w:val="single" w:sz="4" w:space="0" w:color="auto"/>
            </w:tcBorders>
            <w:shd w:val="clear" w:color="000000" w:fill="FFFFFF"/>
            <w:noWrap/>
            <w:vAlign w:val="bottom"/>
            <w:hideMark/>
          </w:tcPr>
          <w:p w14:paraId="4700F0A0"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T</w:t>
            </w:r>
          </w:p>
        </w:tc>
        <w:tc>
          <w:tcPr>
            <w:tcW w:w="498" w:type="dxa"/>
            <w:tcBorders>
              <w:top w:val="nil"/>
              <w:left w:val="nil"/>
              <w:bottom w:val="single" w:sz="4" w:space="0" w:color="auto"/>
              <w:right w:val="single" w:sz="8" w:space="0" w:color="auto"/>
            </w:tcBorders>
            <w:shd w:val="clear" w:color="000000" w:fill="FFFFFF"/>
            <w:noWrap/>
            <w:vAlign w:val="bottom"/>
            <w:hideMark/>
          </w:tcPr>
          <w:p w14:paraId="0A1BFA60"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C</w:t>
            </w:r>
          </w:p>
        </w:tc>
        <w:tc>
          <w:tcPr>
            <w:tcW w:w="632" w:type="dxa"/>
            <w:tcBorders>
              <w:top w:val="nil"/>
              <w:left w:val="nil"/>
              <w:bottom w:val="single" w:sz="4" w:space="0" w:color="auto"/>
              <w:right w:val="single" w:sz="4" w:space="0" w:color="auto"/>
            </w:tcBorders>
            <w:shd w:val="clear" w:color="000000" w:fill="FFFFFF"/>
            <w:noWrap/>
            <w:vAlign w:val="bottom"/>
            <w:hideMark/>
          </w:tcPr>
          <w:p w14:paraId="6E60FCF4"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ns</w:t>
            </w:r>
          </w:p>
        </w:tc>
        <w:tc>
          <w:tcPr>
            <w:tcW w:w="850" w:type="dxa"/>
            <w:tcBorders>
              <w:top w:val="nil"/>
              <w:left w:val="nil"/>
              <w:bottom w:val="single" w:sz="4" w:space="0" w:color="auto"/>
              <w:right w:val="single" w:sz="8" w:space="0" w:color="auto"/>
            </w:tcBorders>
            <w:shd w:val="clear" w:color="000000" w:fill="FFFFFF"/>
            <w:noWrap/>
            <w:vAlign w:val="bottom"/>
            <w:hideMark/>
          </w:tcPr>
          <w:p w14:paraId="19D512CE"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I327V</w:t>
            </w:r>
          </w:p>
        </w:tc>
        <w:tc>
          <w:tcPr>
            <w:tcW w:w="990" w:type="dxa"/>
            <w:tcBorders>
              <w:top w:val="nil"/>
              <w:left w:val="nil"/>
              <w:bottom w:val="single" w:sz="4" w:space="0" w:color="auto"/>
              <w:right w:val="single" w:sz="4" w:space="0" w:color="auto"/>
            </w:tcBorders>
            <w:shd w:val="clear" w:color="000000" w:fill="FFFFFF"/>
            <w:noWrap/>
            <w:vAlign w:val="bottom"/>
            <w:hideMark/>
          </w:tcPr>
          <w:p w14:paraId="1E3F2D8C"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4.89E-05</w:t>
            </w:r>
          </w:p>
        </w:tc>
        <w:tc>
          <w:tcPr>
            <w:tcW w:w="500" w:type="dxa"/>
            <w:tcBorders>
              <w:top w:val="nil"/>
              <w:left w:val="nil"/>
              <w:bottom w:val="single" w:sz="4" w:space="0" w:color="auto"/>
              <w:right w:val="single" w:sz="4" w:space="0" w:color="auto"/>
            </w:tcBorders>
            <w:shd w:val="clear" w:color="000000" w:fill="FFFFFF"/>
            <w:noWrap/>
            <w:vAlign w:val="bottom"/>
            <w:hideMark/>
          </w:tcPr>
          <w:p w14:paraId="78C31CFC"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15.6</w:t>
            </w:r>
          </w:p>
        </w:tc>
        <w:tc>
          <w:tcPr>
            <w:tcW w:w="534" w:type="dxa"/>
            <w:tcBorders>
              <w:top w:val="nil"/>
              <w:left w:val="nil"/>
              <w:bottom w:val="single" w:sz="4" w:space="0" w:color="auto"/>
              <w:right w:val="single" w:sz="4" w:space="0" w:color="auto"/>
            </w:tcBorders>
            <w:shd w:val="clear" w:color="000000" w:fill="FFFFFF"/>
            <w:noWrap/>
            <w:vAlign w:val="bottom"/>
            <w:hideMark/>
          </w:tcPr>
          <w:p w14:paraId="703BFA89"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VUS</w:t>
            </w:r>
          </w:p>
        </w:tc>
        <w:tc>
          <w:tcPr>
            <w:tcW w:w="498" w:type="dxa"/>
            <w:tcBorders>
              <w:top w:val="nil"/>
              <w:left w:val="nil"/>
              <w:bottom w:val="single" w:sz="4" w:space="0" w:color="auto"/>
              <w:right w:val="single" w:sz="8" w:space="0" w:color="auto"/>
            </w:tcBorders>
            <w:shd w:val="clear" w:color="000000" w:fill="FFFFFF"/>
            <w:noWrap/>
            <w:vAlign w:val="bottom"/>
            <w:hideMark/>
          </w:tcPr>
          <w:p w14:paraId="480757E0"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VUS</w:t>
            </w:r>
          </w:p>
        </w:tc>
        <w:tc>
          <w:tcPr>
            <w:tcW w:w="298" w:type="dxa"/>
            <w:tcBorders>
              <w:top w:val="nil"/>
              <w:left w:val="nil"/>
              <w:bottom w:val="single" w:sz="4" w:space="0" w:color="auto"/>
              <w:right w:val="single" w:sz="4" w:space="0" w:color="auto"/>
            </w:tcBorders>
            <w:shd w:val="clear" w:color="auto" w:fill="auto"/>
            <w:noWrap/>
            <w:vAlign w:val="bottom"/>
            <w:hideMark/>
          </w:tcPr>
          <w:p w14:paraId="5CC2FAD3"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 </w:t>
            </w:r>
          </w:p>
        </w:tc>
        <w:tc>
          <w:tcPr>
            <w:tcW w:w="298" w:type="dxa"/>
            <w:tcBorders>
              <w:top w:val="nil"/>
              <w:left w:val="nil"/>
              <w:bottom w:val="single" w:sz="4" w:space="0" w:color="auto"/>
              <w:right w:val="single" w:sz="4" w:space="0" w:color="auto"/>
            </w:tcBorders>
            <w:shd w:val="clear" w:color="auto" w:fill="auto"/>
            <w:noWrap/>
            <w:vAlign w:val="bottom"/>
            <w:hideMark/>
          </w:tcPr>
          <w:p w14:paraId="3F1D514F"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 </w:t>
            </w:r>
          </w:p>
        </w:tc>
        <w:tc>
          <w:tcPr>
            <w:tcW w:w="298" w:type="dxa"/>
            <w:tcBorders>
              <w:top w:val="nil"/>
              <w:left w:val="nil"/>
              <w:bottom w:val="single" w:sz="4" w:space="0" w:color="auto"/>
              <w:right w:val="single" w:sz="4" w:space="0" w:color="auto"/>
            </w:tcBorders>
            <w:shd w:val="clear" w:color="auto" w:fill="auto"/>
            <w:noWrap/>
            <w:vAlign w:val="bottom"/>
            <w:hideMark/>
          </w:tcPr>
          <w:p w14:paraId="62C529AD" w14:textId="77777777" w:rsidR="00AB4AFF" w:rsidRPr="00AB4AFF" w:rsidRDefault="00AB4AFF" w:rsidP="00AB4AFF">
            <w:pPr>
              <w:spacing w:after="0" w:line="240" w:lineRule="auto"/>
              <w:jc w:val="center"/>
              <w:rPr>
                <w:rFonts w:ascii="Calibri" w:eastAsia="Times New Roman" w:hAnsi="Calibri" w:cs="Calibri"/>
                <w:i/>
                <w:iCs/>
                <w:color w:val="000000"/>
                <w:sz w:val="16"/>
                <w:szCs w:val="16"/>
              </w:rPr>
            </w:pPr>
            <w:r w:rsidRPr="00AB4AFF">
              <w:rPr>
                <w:rFonts w:ascii="Calibri" w:eastAsia="Times New Roman" w:hAnsi="Calibri" w:cs="Calibri"/>
                <w:i/>
                <w:iCs/>
                <w:color w:val="000000"/>
                <w:sz w:val="16"/>
                <w:szCs w:val="16"/>
              </w:rPr>
              <w:t> </w:t>
            </w:r>
          </w:p>
        </w:tc>
        <w:tc>
          <w:tcPr>
            <w:tcW w:w="298" w:type="dxa"/>
            <w:tcBorders>
              <w:top w:val="nil"/>
              <w:left w:val="nil"/>
              <w:bottom w:val="single" w:sz="4" w:space="0" w:color="auto"/>
              <w:right w:val="single" w:sz="4" w:space="0" w:color="auto"/>
            </w:tcBorders>
            <w:shd w:val="clear" w:color="auto" w:fill="auto"/>
            <w:noWrap/>
            <w:vAlign w:val="bottom"/>
            <w:hideMark/>
          </w:tcPr>
          <w:p w14:paraId="40DCB3DB" w14:textId="77777777" w:rsidR="00AB4AFF" w:rsidRPr="00AB4AFF" w:rsidRDefault="00AB4AFF" w:rsidP="00AB4AFF">
            <w:pPr>
              <w:spacing w:after="0" w:line="240" w:lineRule="auto"/>
              <w:jc w:val="center"/>
              <w:rPr>
                <w:rFonts w:ascii="Calibri" w:eastAsia="Times New Roman" w:hAnsi="Calibri" w:cs="Calibri"/>
                <w:i/>
                <w:iCs/>
                <w:color w:val="000000"/>
                <w:sz w:val="16"/>
                <w:szCs w:val="16"/>
              </w:rPr>
            </w:pPr>
            <w:r w:rsidRPr="00AB4AFF">
              <w:rPr>
                <w:rFonts w:ascii="Calibri" w:eastAsia="Times New Roman" w:hAnsi="Calibri" w:cs="Calibri"/>
                <w:i/>
                <w:iCs/>
                <w:color w:val="000000"/>
                <w:sz w:val="16"/>
                <w:szCs w:val="16"/>
              </w:rPr>
              <w:t> </w:t>
            </w:r>
          </w:p>
        </w:tc>
        <w:tc>
          <w:tcPr>
            <w:tcW w:w="298" w:type="dxa"/>
            <w:tcBorders>
              <w:top w:val="nil"/>
              <w:left w:val="nil"/>
              <w:bottom w:val="single" w:sz="4" w:space="0" w:color="auto"/>
              <w:right w:val="single" w:sz="4" w:space="0" w:color="auto"/>
            </w:tcBorders>
            <w:shd w:val="clear" w:color="auto" w:fill="auto"/>
            <w:noWrap/>
            <w:vAlign w:val="bottom"/>
            <w:hideMark/>
          </w:tcPr>
          <w:p w14:paraId="6DECA283" w14:textId="77777777" w:rsidR="00AB4AFF" w:rsidRPr="00AB4AFF" w:rsidRDefault="00AB4AFF" w:rsidP="00AB4AFF">
            <w:pPr>
              <w:spacing w:after="0" w:line="240" w:lineRule="auto"/>
              <w:jc w:val="center"/>
              <w:rPr>
                <w:rFonts w:ascii="Calibri" w:eastAsia="Times New Roman" w:hAnsi="Calibri" w:cs="Calibri"/>
                <w:i/>
                <w:iCs/>
                <w:color w:val="000000"/>
                <w:sz w:val="16"/>
                <w:szCs w:val="16"/>
              </w:rPr>
            </w:pPr>
            <w:r w:rsidRPr="00AB4AFF">
              <w:rPr>
                <w:rFonts w:ascii="Calibri" w:eastAsia="Times New Roman" w:hAnsi="Calibri" w:cs="Calibri"/>
                <w:i/>
                <w:iCs/>
                <w:color w:val="000000"/>
                <w:sz w:val="16"/>
                <w:szCs w:val="16"/>
              </w:rPr>
              <w:t> </w:t>
            </w:r>
          </w:p>
        </w:tc>
        <w:tc>
          <w:tcPr>
            <w:tcW w:w="298" w:type="dxa"/>
            <w:tcBorders>
              <w:top w:val="nil"/>
              <w:left w:val="nil"/>
              <w:bottom w:val="single" w:sz="4" w:space="0" w:color="auto"/>
              <w:right w:val="single" w:sz="4" w:space="0" w:color="auto"/>
            </w:tcBorders>
            <w:shd w:val="clear" w:color="000000" w:fill="9BC2E6"/>
            <w:noWrap/>
            <w:vAlign w:val="bottom"/>
            <w:hideMark/>
          </w:tcPr>
          <w:p w14:paraId="2A236025" w14:textId="77777777" w:rsidR="00AB4AFF" w:rsidRPr="00AB4AFF" w:rsidRDefault="00AB4AFF" w:rsidP="00AB4AFF">
            <w:pPr>
              <w:spacing w:after="0" w:line="240" w:lineRule="auto"/>
              <w:jc w:val="center"/>
              <w:rPr>
                <w:rFonts w:ascii="Calibri" w:eastAsia="Times New Roman" w:hAnsi="Calibri" w:cs="Calibri"/>
                <w:i/>
                <w:iCs/>
                <w:color w:val="000000"/>
                <w:sz w:val="16"/>
                <w:szCs w:val="16"/>
              </w:rPr>
            </w:pPr>
            <w:r w:rsidRPr="00AB4AFF">
              <w:rPr>
                <w:rFonts w:ascii="Calibri" w:eastAsia="Times New Roman" w:hAnsi="Calibri" w:cs="Calibri"/>
                <w:i/>
                <w:iCs/>
                <w:color w:val="000000"/>
                <w:sz w:val="16"/>
                <w:szCs w:val="16"/>
              </w:rPr>
              <w:t>t</w:t>
            </w:r>
          </w:p>
        </w:tc>
        <w:tc>
          <w:tcPr>
            <w:tcW w:w="298" w:type="dxa"/>
            <w:tcBorders>
              <w:top w:val="nil"/>
              <w:left w:val="nil"/>
              <w:bottom w:val="single" w:sz="4" w:space="0" w:color="auto"/>
              <w:right w:val="single" w:sz="4" w:space="0" w:color="auto"/>
            </w:tcBorders>
            <w:shd w:val="clear" w:color="auto" w:fill="auto"/>
            <w:noWrap/>
            <w:vAlign w:val="bottom"/>
            <w:hideMark/>
          </w:tcPr>
          <w:p w14:paraId="2A2C3C4A" w14:textId="77777777" w:rsidR="00AB4AFF" w:rsidRPr="00AB4AFF" w:rsidRDefault="00AB4AFF" w:rsidP="00AB4AFF">
            <w:pPr>
              <w:spacing w:after="0" w:line="240" w:lineRule="auto"/>
              <w:jc w:val="center"/>
              <w:rPr>
                <w:rFonts w:ascii="Calibri" w:eastAsia="Times New Roman" w:hAnsi="Calibri" w:cs="Calibri"/>
                <w:i/>
                <w:iCs/>
                <w:color w:val="000000"/>
                <w:sz w:val="16"/>
                <w:szCs w:val="16"/>
              </w:rPr>
            </w:pPr>
            <w:r w:rsidRPr="00AB4AFF">
              <w:rPr>
                <w:rFonts w:ascii="Calibri" w:eastAsia="Times New Roman" w:hAnsi="Calibri" w:cs="Calibri"/>
                <w:i/>
                <w:iCs/>
                <w:color w:val="000000"/>
                <w:sz w:val="16"/>
                <w:szCs w:val="16"/>
              </w:rPr>
              <w:t> </w:t>
            </w:r>
          </w:p>
        </w:tc>
        <w:tc>
          <w:tcPr>
            <w:tcW w:w="298" w:type="dxa"/>
            <w:tcBorders>
              <w:top w:val="nil"/>
              <w:left w:val="nil"/>
              <w:bottom w:val="single" w:sz="4" w:space="0" w:color="auto"/>
              <w:right w:val="single" w:sz="4" w:space="0" w:color="auto"/>
            </w:tcBorders>
            <w:shd w:val="clear" w:color="auto" w:fill="auto"/>
            <w:noWrap/>
            <w:vAlign w:val="bottom"/>
            <w:hideMark/>
          </w:tcPr>
          <w:p w14:paraId="7E11BC58" w14:textId="77777777" w:rsidR="00AB4AFF" w:rsidRPr="00AB4AFF" w:rsidRDefault="00AB4AFF" w:rsidP="00AB4AFF">
            <w:pPr>
              <w:spacing w:after="0" w:line="240" w:lineRule="auto"/>
              <w:jc w:val="center"/>
              <w:rPr>
                <w:rFonts w:ascii="Calibri" w:eastAsia="Times New Roman" w:hAnsi="Calibri" w:cs="Calibri"/>
                <w:i/>
                <w:iCs/>
                <w:color w:val="000000"/>
                <w:sz w:val="16"/>
                <w:szCs w:val="16"/>
              </w:rPr>
            </w:pPr>
            <w:r w:rsidRPr="00AB4AFF">
              <w:rPr>
                <w:rFonts w:ascii="Calibri" w:eastAsia="Times New Roman" w:hAnsi="Calibri" w:cs="Calibri"/>
                <w:i/>
                <w:iCs/>
                <w:color w:val="000000"/>
                <w:sz w:val="16"/>
                <w:szCs w:val="16"/>
              </w:rPr>
              <w:t> </w:t>
            </w:r>
          </w:p>
        </w:tc>
        <w:tc>
          <w:tcPr>
            <w:tcW w:w="379" w:type="dxa"/>
            <w:tcBorders>
              <w:top w:val="nil"/>
              <w:left w:val="nil"/>
              <w:bottom w:val="single" w:sz="4" w:space="0" w:color="auto"/>
              <w:right w:val="single" w:sz="4" w:space="0" w:color="auto"/>
            </w:tcBorders>
            <w:shd w:val="clear" w:color="auto" w:fill="auto"/>
            <w:noWrap/>
            <w:vAlign w:val="bottom"/>
            <w:hideMark/>
          </w:tcPr>
          <w:p w14:paraId="09737787" w14:textId="77777777" w:rsidR="00AB4AFF" w:rsidRPr="00AB4AFF" w:rsidRDefault="00AB4AFF" w:rsidP="00AB4AFF">
            <w:pPr>
              <w:spacing w:after="0" w:line="240" w:lineRule="auto"/>
              <w:jc w:val="center"/>
              <w:rPr>
                <w:rFonts w:ascii="Calibri" w:eastAsia="Times New Roman" w:hAnsi="Calibri" w:cs="Calibri"/>
                <w:i/>
                <w:iCs/>
                <w:color w:val="000000"/>
                <w:sz w:val="16"/>
                <w:szCs w:val="16"/>
              </w:rPr>
            </w:pPr>
            <w:r w:rsidRPr="00AB4AFF">
              <w:rPr>
                <w:rFonts w:ascii="Calibri" w:eastAsia="Times New Roman" w:hAnsi="Calibri" w:cs="Calibri"/>
                <w:i/>
                <w:iCs/>
                <w:color w:val="000000"/>
                <w:sz w:val="16"/>
                <w:szCs w:val="16"/>
              </w:rPr>
              <w:t> </w:t>
            </w:r>
          </w:p>
        </w:tc>
        <w:tc>
          <w:tcPr>
            <w:tcW w:w="379" w:type="dxa"/>
            <w:tcBorders>
              <w:top w:val="nil"/>
              <w:left w:val="nil"/>
              <w:bottom w:val="single" w:sz="4" w:space="0" w:color="auto"/>
              <w:right w:val="single" w:sz="4" w:space="0" w:color="auto"/>
            </w:tcBorders>
            <w:shd w:val="clear" w:color="auto" w:fill="auto"/>
            <w:noWrap/>
            <w:vAlign w:val="bottom"/>
            <w:hideMark/>
          </w:tcPr>
          <w:p w14:paraId="2DBD3DC0" w14:textId="77777777" w:rsidR="00AB4AFF" w:rsidRPr="00AB4AFF" w:rsidRDefault="00AB4AFF" w:rsidP="00AB4AFF">
            <w:pPr>
              <w:spacing w:after="0" w:line="240" w:lineRule="auto"/>
              <w:jc w:val="center"/>
              <w:rPr>
                <w:rFonts w:ascii="Calibri" w:eastAsia="Times New Roman" w:hAnsi="Calibri" w:cs="Calibri"/>
                <w:i/>
                <w:iCs/>
                <w:color w:val="000000"/>
                <w:sz w:val="16"/>
                <w:szCs w:val="16"/>
              </w:rPr>
            </w:pPr>
            <w:r w:rsidRPr="00AB4AFF">
              <w:rPr>
                <w:rFonts w:ascii="Calibri" w:eastAsia="Times New Roman" w:hAnsi="Calibri" w:cs="Calibri"/>
                <w:i/>
                <w:iCs/>
                <w:color w:val="000000"/>
                <w:sz w:val="16"/>
                <w:szCs w:val="16"/>
              </w:rPr>
              <w:t> </w:t>
            </w:r>
          </w:p>
        </w:tc>
        <w:tc>
          <w:tcPr>
            <w:tcW w:w="379" w:type="dxa"/>
            <w:tcBorders>
              <w:top w:val="nil"/>
              <w:left w:val="nil"/>
              <w:bottom w:val="single" w:sz="4" w:space="0" w:color="auto"/>
              <w:right w:val="single" w:sz="4" w:space="0" w:color="auto"/>
            </w:tcBorders>
            <w:shd w:val="clear" w:color="auto" w:fill="auto"/>
            <w:noWrap/>
            <w:vAlign w:val="bottom"/>
            <w:hideMark/>
          </w:tcPr>
          <w:p w14:paraId="4FF6C212"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 </w:t>
            </w:r>
          </w:p>
        </w:tc>
        <w:tc>
          <w:tcPr>
            <w:tcW w:w="379" w:type="dxa"/>
            <w:tcBorders>
              <w:top w:val="nil"/>
              <w:left w:val="nil"/>
              <w:bottom w:val="single" w:sz="4" w:space="0" w:color="auto"/>
              <w:right w:val="single" w:sz="4" w:space="0" w:color="auto"/>
            </w:tcBorders>
            <w:shd w:val="clear" w:color="auto" w:fill="auto"/>
            <w:noWrap/>
            <w:vAlign w:val="bottom"/>
            <w:hideMark/>
          </w:tcPr>
          <w:p w14:paraId="488005C7"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 </w:t>
            </w:r>
          </w:p>
        </w:tc>
        <w:tc>
          <w:tcPr>
            <w:tcW w:w="379" w:type="dxa"/>
            <w:tcBorders>
              <w:top w:val="nil"/>
              <w:left w:val="nil"/>
              <w:bottom w:val="single" w:sz="4" w:space="0" w:color="auto"/>
              <w:right w:val="single" w:sz="4" w:space="0" w:color="auto"/>
            </w:tcBorders>
            <w:shd w:val="clear" w:color="auto" w:fill="auto"/>
            <w:noWrap/>
            <w:vAlign w:val="bottom"/>
            <w:hideMark/>
          </w:tcPr>
          <w:p w14:paraId="726A89F1"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 </w:t>
            </w:r>
          </w:p>
        </w:tc>
        <w:tc>
          <w:tcPr>
            <w:tcW w:w="379" w:type="dxa"/>
            <w:tcBorders>
              <w:top w:val="nil"/>
              <w:left w:val="nil"/>
              <w:bottom w:val="single" w:sz="4" w:space="0" w:color="auto"/>
              <w:right w:val="single" w:sz="4" w:space="0" w:color="auto"/>
            </w:tcBorders>
            <w:shd w:val="clear" w:color="auto" w:fill="auto"/>
            <w:noWrap/>
            <w:vAlign w:val="bottom"/>
            <w:hideMark/>
          </w:tcPr>
          <w:p w14:paraId="7C3ADCE8"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 </w:t>
            </w:r>
          </w:p>
        </w:tc>
        <w:tc>
          <w:tcPr>
            <w:tcW w:w="379" w:type="dxa"/>
            <w:tcBorders>
              <w:top w:val="nil"/>
              <w:left w:val="nil"/>
              <w:bottom w:val="single" w:sz="4" w:space="0" w:color="auto"/>
              <w:right w:val="single" w:sz="4" w:space="0" w:color="auto"/>
            </w:tcBorders>
            <w:shd w:val="clear" w:color="auto" w:fill="auto"/>
            <w:noWrap/>
            <w:vAlign w:val="bottom"/>
            <w:hideMark/>
          </w:tcPr>
          <w:p w14:paraId="7939A1F2"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 </w:t>
            </w:r>
          </w:p>
        </w:tc>
        <w:tc>
          <w:tcPr>
            <w:tcW w:w="379" w:type="dxa"/>
            <w:tcBorders>
              <w:top w:val="nil"/>
              <w:left w:val="nil"/>
              <w:bottom w:val="single" w:sz="4" w:space="0" w:color="auto"/>
              <w:right w:val="single" w:sz="4" w:space="0" w:color="auto"/>
            </w:tcBorders>
            <w:shd w:val="clear" w:color="auto" w:fill="auto"/>
            <w:noWrap/>
            <w:vAlign w:val="bottom"/>
            <w:hideMark/>
          </w:tcPr>
          <w:p w14:paraId="3306AFE2"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 </w:t>
            </w:r>
          </w:p>
        </w:tc>
        <w:tc>
          <w:tcPr>
            <w:tcW w:w="379" w:type="dxa"/>
            <w:tcBorders>
              <w:top w:val="nil"/>
              <w:left w:val="nil"/>
              <w:bottom w:val="single" w:sz="4" w:space="0" w:color="auto"/>
              <w:right w:val="single" w:sz="4" w:space="0" w:color="auto"/>
            </w:tcBorders>
            <w:shd w:val="clear" w:color="auto" w:fill="auto"/>
            <w:noWrap/>
            <w:vAlign w:val="bottom"/>
            <w:hideMark/>
          </w:tcPr>
          <w:p w14:paraId="22964B64"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 </w:t>
            </w:r>
          </w:p>
        </w:tc>
        <w:tc>
          <w:tcPr>
            <w:tcW w:w="379" w:type="dxa"/>
            <w:tcBorders>
              <w:top w:val="nil"/>
              <w:left w:val="nil"/>
              <w:bottom w:val="single" w:sz="4" w:space="0" w:color="auto"/>
              <w:right w:val="single" w:sz="4" w:space="0" w:color="auto"/>
            </w:tcBorders>
            <w:shd w:val="clear" w:color="auto" w:fill="auto"/>
            <w:noWrap/>
            <w:vAlign w:val="bottom"/>
            <w:hideMark/>
          </w:tcPr>
          <w:p w14:paraId="7AD71072"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 </w:t>
            </w:r>
          </w:p>
        </w:tc>
        <w:tc>
          <w:tcPr>
            <w:tcW w:w="379" w:type="dxa"/>
            <w:tcBorders>
              <w:top w:val="nil"/>
              <w:left w:val="nil"/>
              <w:bottom w:val="single" w:sz="4" w:space="0" w:color="auto"/>
              <w:right w:val="single" w:sz="4" w:space="0" w:color="auto"/>
            </w:tcBorders>
            <w:shd w:val="clear" w:color="auto" w:fill="auto"/>
            <w:noWrap/>
            <w:vAlign w:val="bottom"/>
            <w:hideMark/>
          </w:tcPr>
          <w:p w14:paraId="279ECC71"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 </w:t>
            </w:r>
          </w:p>
        </w:tc>
        <w:tc>
          <w:tcPr>
            <w:tcW w:w="379" w:type="dxa"/>
            <w:tcBorders>
              <w:top w:val="nil"/>
              <w:left w:val="nil"/>
              <w:bottom w:val="single" w:sz="4" w:space="0" w:color="auto"/>
              <w:right w:val="single" w:sz="4" w:space="0" w:color="auto"/>
            </w:tcBorders>
            <w:shd w:val="clear" w:color="auto" w:fill="auto"/>
            <w:noWrap/>
            <w:vAlign w:val="bottom"/>
            <w:hideMark/>
          </w:tcPr>
          <w:p w14:paraId="1215DB9A"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 </w:t>
            </w:r>
          </w:p>
        </w:tc>
        <w:tc>
          <w:tcPr>
            <w:tcW w:w="379" w:type="dxa"/>
            <w:tcBorders>
              <w:top w:val="nil"/>
              <w:left w:val="nil"/>
              <w:bottom w:val="single" w:sz="4" w:space="0" w:color="auto"/>
              <w:right w:val="single" w:sz="4" w:space="0" w:color="auto"/>
            </w:tcBorders>
            <w:shd w:val="clear" w:color="auto" w:fill="auto"/>
            <w:noWrap/>
            <w:vAlign w:val="bottom"/>
            <w:hideMark/>
          </w:tcPr>
          <w:p w14:paraId="6B966089"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 </w:t>
            </w:r>
          </w:p>
        </w:tc>
        <w:tc>
          <w:tcPr>
            <w:tcW w:w="379" w:type="dxa"/>
            <w:tcBorders>
              <w:top w:val="nil"/>
              <w:left w:val="nil"/>
              <w:bottom w:val="single" w:sz="4" w:space="0" w:color="auto"/>
              <w:right w:val="single" w:sz="4" w:space="0" w:color="auto"/>
            </w:tcBorders>
            <w:shd w:val="clear" w:color="auto" w:fill="auto"/>
            <w:noWrap/>
            <w:vAlign w:val="bottom"/>
            <w:hideMark/>
          </w:tcPr>
          <w:p w14:paraId="03024D74"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 </w:t>
            </w:r>
          </w:p>
        </w:tc>
        <w:tc>
          <w:tcPr>
            <w:tcW w:w="379" w:type="dxa"/>
            <w:tcBorders>
              <w:top w:val="nil"/>
              <w:left w:val="nil"/>
              <w:bottom w:val="single" w:sz="4" w:space="0" w:color="auto"/>
              <w:right w:val="single" w:sz="4" w:space="0" w:color="auto"/>
            </w:tcBorders>
            <w:shd w:val="clear" w:color="auto" w:fill="auto"/>
            <w:noWrap/>
            <w:vAlign w:val="bottom"/>
            <w:hideMark/>
          </w:tcPr>
          <w:p w14:paraId="0A61FAFD"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 </w:t>
            </w:r>
          </w:p>
        </w:tc>
        <w:tc>
          <w:tcPr>
            <w:tcW w:w="379" w:type="dxa"/>
            <w:tcBorders>
              <w:top w:val="nil"/>
              <w:left w:val="nil"/>
              <w:bottom w:val="single" w:sz="4" w:space="0" w:color="auto"/>
              <w:right w:val="single" w:sz="4" w:space="0" w:color="auto"/>
            </w:tcBorders>
            <w:shd w:val="clear" w:color="auto" w:fill="auto"/>
            <w:noWrap/>
            <w:vAlign w:val="bottom"/>
            <w:hideMark/>
          </w:tcPr>
          <w:p w14:paraId="6BE676F4"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 </w:t>
            </w:r>
          </w:p>
        </w:tc>
        <w:tc>
          <w:tcPr>
            <w:tcW w:w="379" w:type="dxa"/>
            <w:tcBorders>
              <w:top w:val="nil"/>
              <w:left w:val="nil"/>
              <w:bottom w:val="single" w:sz="4" w:space="0" w:color="auto"/>
              <w:right w:val="single" w:sz="4" w:space="0" w:color="auto"/>
            </w:tcBorders>
            <w:shd w:val="clear" w:color="auto" w:fill="auto"/>
            <w:noWrap/>
            <w:vAlign w:val="bottom"/>
            <w:hideMark/>
          </w:tcPr>
          <w:p w14:paraId="036E6493"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 </w:t>
            </w:r>
          </w:p>
        </w:tc>
        <w:tc>
          <w:tcPr>
            <w:tcW w:w="379" w:type="dxa"/>
            <w:tcBorders>
              <w:top w:val="nil"/>
              <w:left w:val="nil"/>
              <w:bottom w:val="single" w:sz="4" w:space="0" w:color="auto"/>
              <w:right w:val="single" w:sz="8" w:space="0" w:color="auto"/>
            </w:tcBorders>
            <w:shd w:val="clear" w:color="auto" w:fill="auto"/>
            <w:noWrap/>
            <w:vAlign w:val="bottom"/>
            <w:hideMark/>
          </w:tcPr>
          <w:p w14:paraId="3D14FBFF"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 </w:t>
            </w:r>
          </w:p>
        </w:tc>
      </w:tr>
      <w:tr w:rsidR="00AB4AFF" w:rsidRPr="00AB4AFF" w14:paraId="5E18EAB5" w14:textId="77777777" w:rsidTr="008C0F8B">
        <w:trPr>
          <w:trHeight w:val="290"/>
        </w:trPr>
        <w:tc>
          <w:tcPr>
            <w:tcW w:w="1070" w:type="dxa"/>
            <w:tcBorders>
              <w:top w:val="nil"/>
              <w:left w:val="single" w:sz="8" w:space="0" w:color="auto"/>
              <w:bottom w:val="single" w:sz="4" w:space="0" w:color="auto"/>
              <w:right w:val="single" w:sz="4" w:space="0" w:color="auto"/>
            </w:tcBorders>
            <w:shd w:val="clear" w:color="000000" w:fill="FFFFFF"/>
            <w:noWrap/>
            <w:vAlign w:val="bottom"/>
            <w:hideMark/>
          </w:tcPr>
          <w:p w14:paraId="48E81C16"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2:110164702</w:t>
            </w:r>
          </w:p>
        </w:tc>
        <w:tc>
          <w:tcPr>
            <w:tcW w:w="498" w:type="dxa"/>
            <w:tcBorders>
              <w:top w:val="nil"/>
              <w:left w:val="nil"/>
              <w:bottom w:val="single" w:sz="4" w:space="0" w:color="auto"/>
              <w:right w:val="single" w:sz="4" w:space="0" w:color="auto"/>
            </w:tcBorders>
            <w:shd w:val="clear" w:color="000000" w:fill="FFFFFF"/>
            <w:noWrap/>
            <w:vAlign w:val="bottom"/>
            <w:hideMark/>
          </w:tcPr>
          <w:p w14:paraId="0B8A5AE7"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T</w:t>
            </w:r>
          </w:p>
        </w:tc>
        <w:tc>
          <w:tcPr>
            <w:tcW w:w="498" w:type="dxa"/>
            <w:tcBorders>
              <w:top w:val="nil"/>
              <w:left w:val="nil"/>
              <w:bottom w:val="single" w:sz="4" w:space="0" w:color="auto"/>
              <w:right w:val="single" w:sz="8" w:space="0" w:color="auto"/>
            </w:tcBorders>
            <w:shd w:val="clear" w:color="000000" w:fill="FFFFFF"/>
            <w:noWrap/>
            <w:vAlign w:val="bottom"/>
            <w:hideMark/>
          </w:tcPr>
          <w:p w14:paraId="55CDFA67"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C</w:t>
            </w:r>
          </w:p>
        </w:tc>
        <w:tc>
          <w:tcPr>
            <w:tcW w:w="632" w:type="dxa"/>
            <w:tcBorders>
              <w:top w:val="nil"/>
              <w:left w:val="nil"/>
              <w:bottom w:val="single" w:sz="4" w:space="0" w:color="auto"/>
              <w:right w:val="single" w:sz="4" w:space="0" w:color="auto"/>
            </w:tcBorders>
            <w:shd w:val="clear" w:color="000000" w:fill="FFFFFF"/>
            <w:noWrap/>
            <w:vAlign w:val="bottom"/>
            <w:hideMark/>
          </w:tcPr>
          <w:p w14:paraId="5A0C1AE2"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ns</w:t>
            </w:r>
          </w:p>
        </w:tc>
        <w:tc>
          <w:tcPr>
            <w:tcW w:w="850" w:type="dxa"/>
            <w:tcBorders>
              <w:top w:val="nil"/>
              <w:left w:val="nil"/>
              <w:bottom w:val="single" w:sz="4" w:space="0" w:color="auto"/>
              <w:right w:val="single" w:sz="8" w:space="0" w:color="auto"/>
            </w:tcBorders>
            <w:shd w:val="clear" w:color="000000" w:fill="FFFFFF"/>
            <w:noWrap/>
            <w:vAlign w:val="bottom"/>
            <w:hideMark/>
          </w:tcPr>
          <w:p w14:paraId="1D70254C"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K253E</w:t>
            </w:r>
          </w:p>
        </w:tc>
        <w:tc>
          <w:tcPr>
            <w:tcW w:w="990" w:type="dxa"/>
            <w:tcBorders>
              <w:top w:val="nil"/>
              <w:left w:val="nil"/>
              <w:bottom w:val="single" w:sz="4" w:space="0" w:color="auto"/>
              <w:right w:val="single" w:sz="4" w:space="0" w:color="auto"/>
            </w:tcBorders>
            <w:shd w:val="clear" w:color="000000" w:fill="FFFFFF"/>
            <w:noWrap/>
            <w:vAlign w:val="bottom"/>
            <w:hideMark/>
          </w:tcPr>
          <w:p w14:paraId="72539C3D"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1.40E-05</w:t>
            </w:r>
          </w:p>
        </w:tc>
        <w:tc>
          <w:tcPr>
            <w:tcW w:w="500" w:type="dxa"/>
            <w:tcBorders>
              <w:top w:val="nil"/>
              <w:left w:val="nil"/>
              <w:bottom w:val="single" w:sz="4" w:space="0" w:color="auto"/>
              <w:right w:val="single" w:sz="4" w:space="0" w:color="auto"/>
            </w:tcBorders>
            <w:shd w:val="clear" w:color="000000" w:fill="FFFFFF"/>
            <w:noWrap/>
            <w:vAlign w:val="bottom"/>
            <w:hideMark/>
          </w:tcPr>
          <w:p w14:paraId="0C9DC2E1"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18.2</w:t>
            </w:r>
          </w:p>
        </w:tc>
        <w:tc>
          <w:tcPr>
            <w:tcW w:w="534" w:type="dxa"/>
            <w:tcBorders>
              <w:top w:val="nil"/>
              <w:left w:val="nil"/>
              <w:bottom w:val="single" w:sz="4" w:space="0" w:color="auto"/>
              <w:right w:val="single" w:sz="4" w:space="0" w:color="auto"/>
            </w:tcBorders>
            <w:shd w:val="clear" w:color="000000" w:fill="FFFFFF"/>
            <w:noWrap/>
            <w:vAlign w:val="bottom"/>
            <w:hideMark/>
          </w:tcPr>
          <w:p w14:paraId="1B49E8D0"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 </w:t>
            </w:r>
          </w:p>
        </w:tc>
        <w:tc>
          <w:tcPr>
            <w:tcW w:w="498" w:type="dxa"/>
            <w:tcBorders>
              <w:top w:val="nil"/>
              <w:left w:val="nil"/>
              <w:bottom w:val="single" w:sz="4" w:space="0" w:color="auto"/>
              <w:right w:val="single" w:sz="8" w:space="0" w:color="auto"/>
            </w:tcBorders>
            <w:shd w:val="clear" w:color="000000" w:fill="FFFFFF"/>
            <w:noWrap/>
            <w:vAlign w:val="bottom"/>
            <w:hideMark/>
          </w:tcPr>
          <w:p w14:paraId="7D753A71"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VUS</w:t>
            </w:r>
          </w:p>
        </w:tc>
        <w:tc>
          <w:tcPr>
            <w:tcW w:w="298" w:type="dxa"/>
            <w:tcBorders>
              <w:top w:val="nil"/>
              <w:left w:val="nil"/>
              <w:bottom w:val="single" w:sz="4" w:space="0" w:color="auto"/>
              <w:right w:val="single" w:sz="4" w:space="0" w:color="auto"/>
            </w:tcBorders>
            <w:shd w:val="clear" w:color="auto" w:fill="auto"/>
            <w:noWrap/>
            <w:vAlign w:val="bottom"/>
            <w:hideMark/>
          </w:tcPr>
          <w:p w14:paraId="154FFAD0"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 </w:t>
            </w:r>
          </w:p>
        </w:tc>
        <w:tc>
          <w:tcPr>
            <w:tcW w:w="298" w:type="dxa"/>
            <w:tcBorders>
              <w:top w:val="nil"/>
              <w:left w:val="nil"/>
              <w:bottom w:val="single" w:sz="4" w:space="0" w:color="auto"/>
              <w:right w:val="single" w:sz="4" w:space="0" w:color="auto"/>
            </w:tcBorders>
            <w:shd w:val="clear" w:color="auto" w:fill="auto"/>
            <w:noWrap/>
            <w:vAlign w:val="bottom"/>
            <w:hideMark/>
          </w:tcPr>
          <w:p w14:paraId="3855B77C"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 </w:t>
            </w:r>
          </w:p>
        </w:tc>
        <w:tc>
          <w:tcPr>
            <w:tcW w:w="298" w:type="dxa"/>
            <w:tcBorders>
              <w:top w:val="nil"/>
              <w:left w:val="nil"/>
              <w:bottom w:val="single" w:sz="4" w:space="0" w:color="auto"/>
              <w:right w:val="single" w:sz="4" w:space="0" w:color="auto"/>
            </w:tcBorders>
            <w:shd w:val="clear" w:color="auto" w:fill="auto"/>
            <w:noWrap/>
            <w:vAlign w:val="bottom"/>
            <w:hideMark/>
          </w:tcPr>
          <w:p w14:paraId="4B6CD32F" w14:textId="77777777" w:rsidR="00AB4AFF" w:rsidRPr="00AB4AFF" w:rsidRDefault="00AB4AFF" w:rsidP="00AB4AFF">
            <w:pPr>
              <w:spacing w:after="0" w:line="240" w:lineRule="auto"/>
              <w:jc w:val="center"/>
              <w:rPr>
                <w:rFonts w:ascii="Calibri" w:eastAsia="Times New Roman" w:hAnsi="Calibri" w:cs="Calibri"/>
                <w:i/>
                <w:iCs/>
                <w:color w:val="000000"/>
                <w:sz w:val="16"/>
                <w:szCs w:val="16"/>
              </w:rPr>
            </w:pPr>
            <w:r w:rsidRPr="00AB4AFF">
              <w:rPr>
                <w:rFonts w:ascii="Calibri" w:eastAsia="Times New Roman" w:hAnsi="Calibri" w:cs="Calibri"/>
                <w:i/>
                <w:iCs/>
                <w:color w:val="000000"/>
                <w:sz w:val="16"/>
                <w:szCs w:val="16"/>
              </w:rPr>
              <w:t> </w:t>
            </w:r>
          </w:p>
        </w:tc>
        <w:tc>
          <w:tcPr>
            <w:tcW w:w="298" w:type="dxa"/>
            <w:tcBorders>
              <w:top w:val="nil"/>
              <w:left w:val="nil"/>
              <w:bottom w:val="single" w:sz="4" w:space="0" w:color="auto"/>
              <w:right w:val="single" w:sz="4" w:space="0" w:color="auto"/>
            </w:tcBorders>
            <w:shd w:val="clear" w:color="auto" w:fill="auto"/>
            <w:noWrap/>
            <w:vAlign w:val="bottom"/>
            <w:hideMark/>
          </w:tcPr>
          <w:p w14:paraId="28EE8253" w14:textId="77777777" w:rsidR="00AB4AFF" w:rsidRPr="00AB4AFF" w:rsidRDefault="00AB4AFF" w:rsidP="00AB4AFF">
            <w:pPr>
              <w:spacing w:after="0" w:line="240" w:lineRule="auto"/>
              <w:jc w:val="center"/>
              <w:rPr>
                <w:rFonts w:ascii="Calibri" w:eastAsia="Times New Roman" w:hAnsi="Calibri" w:cs="Calibri"/>
                <w:i/>
                <w:iCs/>
                <w:color w:val="000000"/>
                <w:sz w:val="16"/>
                <w:szCs w:val="16"/>
              </w:rPr>
            </w:pPr>
            <w:r w:rsidRPr="00AB4AFF">
              <w:rPr>
                <w:rFonts w:ascii="Calibri" w:eastAsia="Times New Roman" w:hAnsi="Calibri" w:cs="Calibri"/>
                <w:i/>
                <w:iCs/>
                <w:color w:val="000000"/>
                <w:sz w:val="16"/>
                <w:szCs w:val="16"/>
              </w:rPr>
              <w:t> </w:t>
            </w:r>
          </w:p>
        </w:tc>
        <w:tc>
          <w:tcPr>
            <w:tcW w:w="298" w:type="dxa"/>
            <w:tcBorders>
              <w:top w:val="nil"/>
              <w:left w:val="nil"/>
              <w:bottom w:val="single" w:sz="4" w:space="0" w:color="auto"/>
              <w:right w:val="single" w:sz="4" w:space="0" w:color="auto"/>
            </w:tcBorders>
            <w:shd w:val="clear" w:color="auto" w:fill="auto"/>
            <w:noWrap/>
            <w:vAlign w:val="bottom"/>
            <w:hideMark/>
          </w:tcPr>
          <w:p w14:paraId="610A723B" w14:textId="77777777" w:rsidR="00AB4AFF" w:rsidRPr="00AB4AFF" w:rsidRDefault="00AB4AFF" w:rsidP="00AB4AFF">
            <w:pPr>
              <w:spacing w:after="0" w:line="240" w:lineRule="auto"/>
              <w:jc w:val="center"/>
              <w:rPr>
                <w:rFonts w:ascii="Calibri" w:eastAsia="Times New Roman" w:hAnsi="Calibri" w:cs="Calibri"/>
                <w:i/>
                <w:iCs/>
                <w:color w:val="000000"/>
                <w:sz w:val="16"/>
                <w:szCs w:val="16"/>
              </w:rPr>
            </w:pPr>
            <w:r w:rsidRPr="00AB4AFF">
              <w:rPr>
                <w:rFonts w:ascii="Calibri" w:eastAsia="Times New Roman" w:hAnsi="Calibri" w:cs="Calibri"/>
                <w:i/>
                <w:iCs/>
                <w:color w:val="000000"/>
                <w:sz w:val="16"/>
                <w:szCs w:val="16"/>
              </w:rPr>
              <w:t> </w:t>
            </w:r>
          </w:p>
        </w:tc>
        <w:tc>
          <w:tcPr>
            <w:tcW w:w="298" w:type="dxa"/>
            <w:tcBorders>
              <w:top w:val="nil"/>
              <w:left w:val="nil"/>
              <w:bottom w:val="single" w:sz="4" w:space="0" w:color="auto"/>
              <w:right w:val="single" w:sz="4" w:space="0" w:color="auto"/>
            </w:tcBorders>
            <w:shd w:val="clear" w:color="auto" w:fill="auto"/>
            <w:noWrap/>
            <w:vAlign w:val="bottom"/>
            <w:hideMark/>
          </w:tcPr>
          <w:p w14:paraId="68CD3798" w14:textId="77777777" w:rsidR="00AB4AFF" w:rsidRPr="00AB4AFF" w:rsidRDefault="00AB4AFF" w:rsidP="00AB4AFF">
            <w:pPr>
              <w:spacing w:after="0" w:line="240" w:lineRule="auto"/>
              <w:jc w:val="center"/>
              <w:rPr>
                <w:rFonts w:ascii="Calibri" w:eastAsia="Times New Roman" w:hAnsi="Calibri" w:cs="Calibri"/>
                <w:i/>
                <w:iCs/>
                <w:color w:val="000000"/>
                <w:sz w:val="16"/>
                <w:szCs w:val="16"/>
              </w:rPr>
            </w:pPr>
            <w:r w:rsidRPr="00AB4AFF">
              <w:rPr>
                <w:rFonts w:ascii="Calibri" w:eastAsia="Times New Roman" w:hAnsi="Calibri" w:cs="Calibri"/>
                <w:i/>
                <w:iCs/>
                <w:color w:val="000000"/>
                <w:sz w:val="16"/>
                <w:szCs w:val="16"/>
              </w:rPr>
              <w:t> </w:t>
            </w:r>
          </w:p>
        </w:tc>
        <w:tc>
          <w:tcPr>
            <w:tcW w:w="298" w:type="dxa"/>
            <w:tcBorders>
              <w:top w:val="nil"/>
              <w:left w:val="nil"/>
              <w:bottom w:val="single" w:sz="4" w:space="0" w:color="auto"/>
              <w:right w:val="single" w:sz="4" w:space="0" w:color="auto"/>
            </w:tcBorders>
            <w:shd w:val="clear" w:color="auto" w:fill="auto"/>
            <w:noWrap/>
            <w:vAlign w:val="bottom"/>
            <w:hideMark/>
          </w:tcPr>
          <w:p w14:paraId="23DAAD38" w14:textId="77777777" w:rsidR="00AB4AFF" w:rsidRPr="00AB4AFF" w:rsidRDefault="00AB4AFF" w:rsidP="00AB4AFF">
            <w:pPr>
              <w:spacing w:after="0" w:line="240" w:lineRule="auto"/>
              <w:jc w:val="center"/>
              <w:rPr>
                <w:rFonts w:ascii="Calibri" w:eastAsia="Times New Roman" w:hAnsi="Calibri" w:cs="Calibri"/>
                <w:i/>
                <w:iCs/>
                <w:color w:val="000000"/>
                <w:sz w:val="16"/>
                <w:szCs w:val="16"/>
              </w:rPr>
            </w:pPr>
            <w:r w:rsidRPr="00AB4AFF">
              <w:rPr>
                <w:rFonts w:ascii="Calibri" w:eastAsia="Times New Roman" w:hAnsi="Calibri" w:cs="Calibri"/>
                <w:i/>
                <w:iCs/>
                <w:color w:val="000000"/>
                <w:sz w:val="16"/>
                <w:szCs w:val="16"/>
              </w:rPr>
              <w:t> </w:t>
            </w:r>
          </w:p>
        </w:tc>
        <w:tc>
          <w:tcPr>
            <w:tcW w:w="298" w:type="dxa"/>
            <w:tcBorders>
              <w:top w:val="nil"/>
              <w:left w:val="nil"/>
              <w:bottom w:val="single" w:sz="4" w:space="0" w:color="auto"/>
              <w:right w:val="single" w:sz="4" w:space="0" w:color="auto"/>
            </w:tcBorders>
            <w:shd w:val="clear" w:color="auto" w:fill="auto"/>
            <w:noWrap/>
            <w:vAlign w:val="bottom"/>
            <w:hideMark/>
          </w:tcPr>
          <w:p w14:paraId="1733FF82" w14:textId="77777777" w:rsidR="00AB4AFF" w:rsidRPr="00AB4AFF" w:rsidRDefault="00AB4AFF" w:rsidP="00AB4AFF">
            <w:pPr>
              <w:spacing w:after="0" w:line="240" w:lineRule="auto"/>
              <w:jc w:val="center"/>
              <w:rPr>
                <w:rFonts w:ascii="Calibri" w:eastAsia="Times New Roman" w:hAnsi="Calibri" w:cs="Calibri"/>
                <w:i/>
                <w:iCs/>
                <w:color w:val="000000"/>
                <w:sz w:val="16"/>
                <w:szCs w:val="16"/>
              </w:rPr>
            </w:pPr>
            <w:r w:rsidRPr="00AB4AFF">
              <w:rPr>
                <w:rFonts w:ascii="Calibri" w:eastAsia="Times New Roman" w:hAnsi="Calibri" w:cs="Calibri"/>
                <w:i/>
                <w:iCs/>
                <w:color w:val="000000"/>
                <w:sz w:val="16"/>
                <w:szCs w:val="16"/>
              </w:rPr>
              <w:t> </w:t>
            </w:r>
          </w:p>
        </w:tc>
        <w:tc>
          <w:tcPr>
            <w:tcW w:w="379" w:type="dxa"/>
            <w:tcBorders>
              <w:top w:val="nil"/>
              <w:left w:val="nil"/>
              <w:bottom w:val="single" w:sz="4" w:space="0" w:color="auto"/>
              <w:right w:val="single" w:sz="4" w:space="0" w:color="auto"/>
            </w:tcBorders>
            <w:shd w:val="clear" w:color="auto" w:fill="auto"/>
            <w:noWrap/>
            <w:vAlign w:val="bottom"/>
            <w:hideMark/>
          </w:tcPr>
          <w:p w14:paraId="40DDE09D" w14:textId="77777777" w:rsidR="00AB4AFF" w:rsidRPr="00AB4AFF" w:rsidRDefault="00AB4AFF" w:rsidP="00AB4AFF">
            <w:pPr>
              <w:spacing w:after="0" w:line="240" w:lineRule="auto"/>
              <w:jc w:val="center"/>
              <w:rPr>
                <w:rFonts w:ascii="Calibri" w:eastAsia="Times New Roman" w:hAnsi="Calibri" w:cs="Calibri"/>
                <w:i/>
                <w:iCs/>
                <w:color w:val="000000"/>
                <w:sz w:val="16"/>
                <w:szCs w:val="16"/>
              </w:rPr>
            </w:pPr>
            <w:r w:rsidRPr="00AB4AFF">
              <w:rPr>
                <w:rFonts w:ascii="Calibri" w:eastAsia="Times New Roman" w:hAnsi="Calibri" w:cs="Calibri"/>
                <w:i/>
                <w:iCs/>
                <w:color w:val="000000"/>
                <w:sz w:val="16"/>
                <w:szCs w:val="16"/>
              </w:rPr>
              <w:t> </w:t>
            </w:r>
          </w:p>
        </w:tc>
        <w:tc>
          <w:tcPr>
            <w:tcW w:w="379" w:type="dxa"/>
            <w:tcBorders>
              <w:top w:val="nil"/>
              <w:left w:val="nil"/>
              <w:bottom w:val="single" w:sz="4" w:space="0" w:color="auto"/>
              <w:right w:val="single" w:sz="4" w:space="0" w:color="auto"/>
            </w:tcBorders>
            <w:shd w:val="clear" w:color="auto" w:fill="auto"/>
            <w:noWrap/>
            <w:vAlign w:val="bottom"/>
            <w:hideMark/>
          </w:tcPr>
          <w:p w14:paraId="1AFEBE54" w14:textId="77777777" w:rsidR="00AB4AFF" w:rsidRPr="00AB4AFF" w:rsidRDefault="00AB4AFF" w:rsidP="00AB4AFF">
            <w:pPr>
              <w:spacing w:after="0" w:line="240" w:lineRule="auto"/>
              <w:jc w:val="center"/>
              <w:rPr>
                <w:rFonts w:ascii="Calibri" w:eastAsia="Times New Roman" w:hAnsi="Calibri" w:cs="Calibri"/>
                <w:i/>
                <w:iCs/>
                <w:color w:val="000000"/>
                <w:sz w:val="16"/>
                <w:szCs w:val="16"/>
              </w:rPr>
            </w:pPr>
            <w:r w:rsidRPr="00AB4AFF">
              <w:rPr>
                <w:rFonts w:ascii="Calibri" w:eastAsia="Times New Roman" w:hAnsi="Calibri" w:cs="Calibri"/>
                <w:i/>
                <w:iCs/>
                <w:color w:val="000000"/>
                <w:sz w:val="16"/>
                <w:szCs w:val="16"/>
              </w:rPr>
              <w:t> </w:t>
            </w:r>
          </w:p>
        </w:tc>
        <w:tc>
          <w:tcPr>
            <w:tcW w:w="379" w:type="dxa"/>
            <w:tcBorders>
              <w:top w:val="nil"/>
              <w:left w:val="nil"/>
              <w:bottom w:val="single" w:sz="4" w:space="0" w:color="auto"/>
              <w:right w:val="single" w:sz="4" w:space="0" w:color="auto"/>
            </w:tcBorders>
            <w:shd w:val="clear" w:color="000000" w:fill="5B9BD5"/>
            <w:noWrap/>
            <w:vAlign w:val="bottom"/>
            <w:hideMark/>
          </w:tcPr>
          <w:p w14:paraId="39D86772"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 </w:t>
            </w:r>
          </w:p>
        </w:tc>
        <w:tc>
          <w:tcPr>
            <w:tcW w:w="379" w:type="dxa"/>
            <w:tcBorders>
              <w:top w:val="nil"/>
              <w:left w:val="nil"/>
              <w:bottom w:val="single" w:sz="4" w:space="0" w:color="auto"/>
              <w:right w:val="single" w:sz="4" w:space="0" w:color="auto"/>
            </w:tcBorders>
            <w:shd w:val="clear" w:color="auto" w:fill="auto"/>
            <w:noWrap/>
            <w:vAlign w:val="bottom"/>
            <w:hideMark/>
          </w:tcPr>
          <w:p w14:paraId="3E054C77"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 </w:t>
            </w:r>
          </w:p>
        </w:tc>
        <w:tc>
          <w:tcPr>
            <w:tcW w:w="379" w:type="dxa"/>
            <w:tcBorders>
              <w:top w:val="nil"/>
              <w:left w:val="nil"/>
              <w:bottom w:val="single" w:sz="4" w:space="0" w:color="auto"/>
              <w:right w:val="single" w:sz="4" w:space="0" w:color="auto"/>
            </w:tcBorders>
            <w:shd w:val="clear" w:color="auto" w:fill="auto"/>
            <w:noWrap/>
            <w:vAlign w:val="bottom"/>
            <w:hideMark/>
          </w:tcPr>
          <w:p w14:paraId="6C535914"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 </w:t>
            </w:r>
          </w:p>
        </w:tc>
        <w:tc>
          <w:tcPr>
            <w:tcW w:w="379" w:type="dxa"/>
            <w:tcBorders>
              <w:top w:val="nil"/>
              <w:left w:val="nil"/>
              <w:bottom w:val="single" w:sz="4" w:space="0" w:color="auto"/>
              <w:right w:val="single" w:sz="4" w:space="0" w:color="auto"/>
            </w:tcBorders>
            <w:shd w:val="clear" w:color="auto" w:fill="auto"/>
            <w:noWrap/>
            <w:vAlign w:val="bottom"/>
            <w:hideMark/>
          </w:tcPr>
          <w:p w14:paraId="548D4B07"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 </w:t>
            </w:r>
          </w:p>
        </w:tc>
        <w:tc>
          <w:tcPr>
            <w:tcW w:w="379" w:type="dxa"/>
            <w:tcBorders>
              <w:top w:val="nil"/>
              <w:left w:val="nil"/>
              <w:bottom w:val="single" w:sz="4" w:space="0" w:color="auto"/>
              <w:right w:val="single" w:sz="4" w:space="0" w:color="auto"/>
            </w:tcBorders>
            <w:shd w:val="clear" w:color="auto" w:fill="auto"/>
            <w:noWrap/>
            <w:vAlign w:val="bottom"/>
            <w:hideMark/>
          </w:tcPr>
          <w:p w14:paraId="4B8421A3"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 </w:t>
            </w:r>
          </w:p>
        </w:tc>
        <w:tc>
          <w:tcPr>
            <w:tcW w:w="379" w:type="dxa"/>
            <w:tcBorders>
              <w:top w:val="nil"/>
              <w:left w:val="nil"/>
              <w:bottom w:val="single" w:sz="4" w:space="0" w:color="auto"/>
              <w:right w:val="single" w:sz="4" w:space="0" w:color="auto"/>
            </w:tcBorders>
            <w:shd w:val="clear" w:color="auto" w:fill="auto"/>
            <w:noWrap/>
            <w:vAlign w:val="bottom"/>
            <w:hideMark/>
          </w:tcPr>
          <w:p w14:paraId="270B38BE"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 </w:t>
            </w:r>
          </w:p>
        </w:tc>
        <w:tc>
          <w:tcPr>
            <w:tcW w:w="379" w:type="dxa"/>
            <w:tcBorders>
              <w:top w:val="nil"/>
              <w:left w:val="nil"/>
              <w:bottom w:val="single" w:sz="4" w:space="0" w:color="auto"/>
              <w:right w:val="single" w:sz="4" w:space="0" w:color="auto"/>
            </w:tcBorders>
            <w:shd w:val="clear" w:color="auto" w:fill="auto"/>
            <w:noWrap/>
            <w:vAlign w:val="bottom"/>
            <w:hideMark/>
          </w:tcPr>
          <w:p w14:paraId="748C9248"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 </w:t>
            </w:r>
          </w:p>
        </w:tc>
        <w:tc>
          <w:tcPr>
            <w:tcW w:w="379" w:type="dxa"/>
            <w:tcBorders>
              <w:top w:val="nil"/>
              <w:left w:val="nil"/>
              <w:bottom w:val="single" w:sz="4" w:space="0" w:color="auto"/>
              <w:right w:val="single" w:sz="4" w:space="0" w:color="auto"/>
            </w:tcBorders>
            <w:shd w:val="clear" w:color="auto" w:fill="auto"/>
            <w:noWrap/>
            <w:vAlign w:val="bottom"/>
            <w:hideMark/>
          </w:tcPr>
          <w:p w14:paraId="4FD4DC60"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 </w:t>
            </w:r>
          </w:p>
        </w:tc>
        <w:tc>
          <w:tcPr>
            <w:tcW w:w="379" w:type="dxa"/>
            <w:tcBorders>
              <w:top w:val="nil"/>
              <w:left w:val="nil"/>
              <w:bottom w:val="single" w:sz="4" w:space="0" w:color="auto"/>
              <w:right w:val="single" w:sz="4" w:space="0" w:color="auto"/>
            </w:tcBorders>
            <w:shd w:val="clear" w:color="auto" w:fill="auto"/>
            <w:noWrap/>
            <w:vAlign w:val="bottom"/>
            <w:hideMark/>
          </w:tcPr>
          <w:p w14:paraId="34173168"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 </w:t>
            </w:r>
          </w:p>
        </w:tc>
        <w:tc>
          <w:tcPr>
            <w:tcW w:w="379" w:type="dxa"/>
            <w:tcBorders>
              <w:top w:val="nil"/>
              <w:left w:val="nil"/>
              <w:bottom w:val="single" w:sz="4" w:space="0" w:color="auto"/>
              <w:right w:val="single" w:sz="4" w:space="0" w:color="auto"/>
            </w:tcBorders>
            <w:shd w:val="clear" w:color="auto" w:fill="auto"/>
            <w:noWrap/>
            <w:vAlign w:val="bottom"/>
            <w:hideMark/>
          </w:tcPr>
          <w:p w14:paraId="78CF3726"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 </w:t>
            </w:r>
          </w:p>
        </w:tc>
        <w:tc>
          <w:tcPr>
            <w:tcW w:w="379" w:type="dxa"/>
            <w:tcBorders>
              <w:top w:val="nil"/>
              <w:left w:val="nil"/>
              <w:bottom w:val="single" w:sz="4" w:space="0" w:color="auto"/>
              <w:right w:val="single" w:sz="4" w:space="0" w:color="auto"/>
            </w:tcBorders>
            <w:shd w:val="clear" w:color="auto" w:fill="auto"/>
            <w:noWrap/>
            <w:vAlign w:val="bottom"/>
            <w:hideMark/>
          </w:tcPr>
          <w:p w14:paraId="40839AE0"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 </w:t>
            </w:r>
          </w:p>
        </w:tc>
        <w:tc>
          <w:tcPr>
            <w:tcW w:w="379" w:type="dxa"/>
            <w:tcBorders>
              <w:top w:val="nil"/>
              <w:left w:val="nil"/>
              <w:bottom w:val="single" w:sz="4" w:space="0" w:color="auto"/>
              <w:right w:val="single" w:sz="4" w:space="0" w:color="auto"/>
            </w:tcBorders>
            <w:shd w:val="clear" w:color="auto" w:fill="auto"/>
            <w:noWrap/>
            <w:vAlign w:val="bottom"/>
            <w:hideMark/>
          </w:tcPr>
          <w:p w14:paraId="13D956C6"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 </w:t>
            </w:r>
          </w:p>
        </w:tc>
        <w:tc>
          <w:tcPr>
            <w:tcW w:w="379" w:type="dxa"/>
            <w:tcBorders>
              <w:top w:val="nil"/>
              <w:left w:val="nil"/>
              <w:bottom w:val="single" w:sz="4" w:space="0" w:color="auto"/>
              <w:right w:val="single" w:sz="4" w:space="0" w:color="auto"/>
            </w:tcBorders>
            <w:shd w:val="clear" w:color="auto" w:fill="auto"/>
            <w:noWrap/>
            <w:vAlign w:val="bottom"/>
            <w:hideMark/>
          </w:tcPr>
          <w:p w14:paraId="13E2A3C7"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 </w:t>
            </w:r>
          </w:p>
        </w:tc>
        <w:tc>
          <w:tcPr>
            <w:tcW w:w="379" w:type="dxa"/>
            <w:tcBorders>
              <w:top w:val="nil"/>
              <w:left w:val="nil"/>
              <w:bottom w:val="single" w:sz="4" w:space="0" w:color="auto"/>
              <w:right w:val="single" w:sz="4" w:space="0" w:color="auto"/>
            </w:tcBorders>
            <w:shd w:val="clear" w:color="auto" w:fill="auto"/>
            <w:noWrap/>
            <w:vAlign w:val="bottom"/>
            <w:hideMark/>
          </w:tcPr>
          <w:p w14:paraId="78B1C575"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 </w:t>
            </w:r>
          </w:p>
        </w:tc>
        <w:tc>
          <w:tcPr>
            <w:tcW w:w="379" w:type="dxa"/>
            <w:tcBorders>
              <w:top w:val="nil"/>
              <w:left w:val="nil"/>
              <w:bottom w:val="single" w:sz="4" w:space="0" w:color="auto"/>
              <w:right w:val="single" w:sz="4" w:space="0" w:color="auto"/>
            </w:tcBorders>
            <w:shd w:val="clear" w:color="auto" w:fill="auto"/>
            <w:noWrap/>
            <w:vAlign w:val="bottom"/>
            <w:hideMark/>
          </w:tcPr>
          <w:p w14:paraId="56F1143C"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 </w:t>
            </w:r>
          </w:p>
        </w:tc>
        <w:tc>
          <w:tcPr>
            <w:tcW w:w="379" w:type="dxa"/>
            <w:tcBorders>
              <w:top w:val="nil"/>
              <w:left w:val="nil"/>
              <w:bottom w:val="single" w:sz="4" w:space="0" w:color="auto"/>
              <w:right w:val="single" w:sz="8" w:space="0" w:color="auto"/>
            </w:tcBorders>
            <w:shd w:val="clear" w:color="auto" w:fill="auto"/>
            <w:noWrap/>
            <w:vAlign w:val="bottom"/>
            <w:hideMark/>
          </w:tcPr>
          <w:p w14:paraId="79A23003"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 </w:t>
            </w:r>
          </w:p>
        </w:tc>
      </w:tr>
      <w:tr w:rsidR="00AB4AFF" w:rsidRPr="00AB4AFF" w14:paraId="6719B6C8" w14:textId="77777777" w:rsidTr="008C0F8B">
        <w:trPr>
          <w:trHeight w:val="290"/>
        </w:trPr>
        <w:tc>
          <w:tcPr>
            <w:tcW w:w="1070" w:type="dxa"/>
            <w:tcBorders>
              <w:top w:val="nil"/>
              <w:left w:val="single" w:sz="8" w:space="0" w:color="auto"/>
              <w:bottom w:val="single" w:sz="4" w:space="0" w:color="auto"/>
              <w:right w:val="single" w:sz="4" w:space="0" w:color="auto"/>
            </w:tcBorders>
            <w:shd w:val="clear" w:color="000000" w:fill="FFFFFF"/>
            <w:noWrap/>
            <w:vAlign w:val="bottom"/>
            <w:hideMark/>
          </w:tcPr>
          <w:p w14:paraId="7CF11943"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2:110168547</w:t>
            </w:r>
          </w:p>
        </w:tc>
        <w:tc>
          <w:tcPr>
            <w:tcW w:w="498" w:type="dxa"/>
            <w:tcBorders>
              <w:top w:val="nil"/>
              <w:left w:val="nil"/>
              <w:bottom w:val="single" w:sz="4" w:space="0" w:color="auto"/>
              <w:right w:val="single" w:sz="4" w:space="0" w:color="auto"/>
            </w:tcBorders>
            <w:shd w:val="clear" w:color="000000" w:fill="FFFFFF"/>
            <w:noWrap/>
            <w:vAlign w:val="bottom"/>
            <w:hideMark/>
          </w:tcPr>
          <w:p w14:paraId="486314AD"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C</w:t>
            </w:r>
          </w:p>
        </w:tc>
        <w:tc>
          <w:tcPr>
            <w:tcW w:w="498" w:type="dxa"/>
            <w:tcBorders>
              <w:top w:val="nil"/>
              <w:left w:val="nil"/>
              <w:bottom w:val="single" w:sz="4" w:space="0" w:color="auto"/>
              <w:right w:val="single" w:sz="8" w:space="0" w:color="auto"/>
            </w:tcBorders>
            <w:shd w:val="clear" w:color="000000" w:fill="FFFFFF"/>
            <w:noWrap/>
            <w:vAlign w:val="bottom"/>
            <w:hideMark/>
          </w:tcPr>
          <w:p w14:paraId="1C1D1C13"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T</w:t>
            </w:r>
          </w:p>
        </w:tc>
        <w:tc>
          <w:tcPr>
            <w:tcW w:w="632" w:type="dxa"/>
            <w:tcBorders>
              <w:top w:val="nil"/>
              <w:left w:val="nil"/>
              <w:bottom w:val="single" w:sz="4" w:space="0" w:color="auto"/>
              <w:right w:val="single" w:sz="4" w:space="0" w:color="auto"/>
            </w:tcBorders>
            <w:shd w:val="clear" w:color="000000" w:fill="FFFFFF"/>
            <w:noWrap/>
            <w:vAlign w:val="bottom"/>
            <w:hideMark/>
          </w:tcPr>
          <w:p w14:paraId="23CAB59C"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ns</w:t>
            </w:r>
          </w:p>
        </w:tc>
        <w:tc>
          <w:tcPr>
            <w:tcW w:w="850" w:type="dxa"/>
            <w:tcBorders>
              <w:top w:val="nil"/>
              <w:left w:val="nil"/>
              <w:bottom w:val="single" w:sz="4" w:space="0" w:color="auto"/>
              <w:right w:val="single" w:sz="8" w:space="0" w:color="auto"/>
            </w:tcBorders>
            <w:shd w:val="clear" w:color="000000" w:fill="FFFFFF"/>
            <w:noWrap/>
            <w:vAlign w:val="bottom"/>
            <w:hideMark/>
          </w:tcPr>
          <w:p w14:paraId="32A5D7B2"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E177K</w:t>
            </w:r>
          </w:p>
        </w:tc>
        <w:tc>
          <w:tcPr>
            <w:tcW w:w="990" w:type="dxa"/>
            <w:tcBorders>
              <w:top w:val="nil"/>
              <w:left w:val="nil"/>
              <w:bottom w:val="single" w:sz="4" w:space="0" w:color="auto"/>
              <w:right w:val="single" w:sz="4" w:space="0" w:color="auto"/>
            </w:tcBorders>
            <w:shd w:val="clear" w:color="000000" w:fill="FFFFFF"/>
            <w:noWrap/>
            <w:vAlign w:val="bottom"/>
            <w:hideMark/>
          </w:tcPr>
          <w:p w14:paraId="1F50A015"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1.40E-05</w:t>
            </w:r>
          </w:p>
        </w:tc>
        <w:tc>
          <w:tcPr>
            <w:tcW w:w="500" w:type="dxa"/>
            <w:tcBorders>
              <w:top w:val="nil"/>
              <w:left w:val="nil"/>
              <w:bottom w:val="single" w:sz="4" w:space="0" w:color="auto"/>
              <w:right w:val="single" w:sz="4" w:space="0" w:color="auto"/>
            </w:tcBorders>
            <w:shd w:val="clear" w:color="000000" w:fill="FFFFFF"/>
            <w:noWrap/>
            <w:vAlign w:val="bottom"/>
            <w:hideMark/>
          </w:tcPr>
          <w:p w14:paraId="731A05FD"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26.0</w:t>
            </w:r>
          </w:p>
        </w:tc>
        <w:tc>
          <w:tcPr>
            <w:tcW w:w="534" w:type="dxa"/>
            <w:tcBorders>
              <w:top w:val="nil"/>
              <w:left w:val="nil"/>
              <w:bottom w:val="single" w:sz="4" w:space="0" w:color="auto"/>
              <w:right w:val="single" w:sz="4" w:space="0" w:color="auto"/>
            </w:tcBorders>
            <w:shd w:val="clear" w:color="000000" w:fill="FFFFFF"/>
            <w:noWrap/>
            <w:vAlign w:val="bottom"/>
            <w:hideMark/>
          </w:tcPr>
          <w:p w14:paraId="4864BC3C"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 </w:t>
            </w:r>
          </w:p>
        </w:tc>
        <w:tc>
          <w:tcPr>
            <w:tcW w:w="498" w:type="dxa"/>
            <w:tcBorders>
              <w:top w:val="nil"/>
              <w:left w:val="nil"/>
              <w:bottom w:val="single" w:sz="4" w:space="0" w:color="auto"/>
              <w:right w:val="single" w:sz="8" w:space="0" w:color="auto"/>
            </w:tcBorders>
            <w:shd w:val="clear" w:color="000000" w:fill="FFFFFF"/>
            <w:noWrap/>
            <w:vAlign w:val="bottom"/>
            <w:hideMark/>
          </w:tcPr>
          <w:p w14:paraId="5B96376A"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VUS</w:t>
            </w:r>
          </w:p>
        </w:tc>
        <w:tc>
          <w:tcPr>
            <w:tcW w:w="298" w:type="dxa"/>
            <w:tcBorders>
              <w:top w:val="nil"/>
              <w:left w:val="nil"/>
              <w:bottom w:val="single" w:sz="4" w:space="0" w:color="auto"/>
              <w:right w:val="single" w:sz="4" w:space="0" w:color="auto"/>
            </w:tcBorders>
            <w:shd w:val="clear" w:color="auto" w:fill="auto"/>
            <w:noWrap/>
            <w:vAlign w:val="bottom"/>
            <w:hideMark/>
          </w:tcPr>
          <w:p w14:paraId="2CD8D3BF"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 </w:t>
            </w:r>
          </w:p>
        </w:tc>
        <w:tc>
          <w:tcPr>
            <w:tcW w:w="298" w:type="dxa"/>
            <w:tcBorders>
              <w:top w:val="nil"/>
              <w:left w:val="nil"/>
              <w:bottom w:val="single" w:sz="4" w:space="0" w:color="auto"/>
              <w:right w:val="single" w:sz="4" w:space="0" w:color="auto"/>
            </w:tcBorders>
            <w:shd w:val="clear" w:color="auto" w:fill="auto"/>
            <w:noWrap/>
            <w:vAlign w:val="bottom"/>
            <w:hideMark/>
          </w:tcPr>
          <w:p w14:paraId="154011FE"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 </w:t>
            </w:r>
          </w:p>
        </w:tc>
        <w:tc>
          <w:tcPr>
            <w:tcW w:w="298" w:type="dxa"/>
            <w:tcBorders>
              <w:top w:val="nil"/>
              <w:left w:val="nil"/>
              <w:bottom w:val="single" w:sz="4" w:space="0" w:color="auto"/>
              <w:right w:val="single" w:sz="4" w:space="0" w:color="auto"/>
            </w:tcBorders>
            <w:shd w:val="clear" w:color="auto" w:fill="auto"/>
            <w:noWrap/>
            <w:vAlign w:val="bottom"/>
            <w:hideMark/>
          </w:tcPr>
          <w:p w14:paraId="55FEFB50" w14:textId="77777777" w:rsidR="00AB4AFF" w:rsidRPr="00AB4AFF" w:rsidRDefault="00AB4AFF" w:rsidP="00AB4AFF">
            <w:pPr>
              <w:spacing w:after="0" w:line="240" w:lineRule="auto"/>
              <w:jc w:val="center"/>
              <w:rPr>
                <w:rFonts w:ascii="Calibri" w:eastAsia="Times New Roman" w:hAnsi="Calibri" w:cs="Calibri"/>
                <w:i/>
                <w:iCs/>
                <w:color w:val="000000"/>
                <w:sz w:val="16"/>
                <w:szCs w:val="16"/>
              </w:rPr>
            </w:pPr>
            <w:r w:rsidRPr="00AB4AFF">
              <w:rPr>
                <w:rFonts w:ascii="Calibri" w:eastAsia="Times New Roman" w:hAnsi="Calibri" w:cs="Calibri"/>
                <w:i/>
                <w:iCs/>
                <w:color w:val="000000"/>
                <w:sz w:val="16"/>
                <w:szCs w:val="16"/>
              </w:rPr>
              <w:t> </w:t>
            </w:r>
          </w:p>
        </w:tc>
        <w:tc>
          <w:tcPr>
            <w:tcW w:w="298" w:type="dxa"/>
            <w:tcBorders>
              <w:top w:val="nil"/>
              <w:left w:val="nil"/>
              <w:bottom w:val="single" w:sz="4" w:space="0" w:color="auto"/>
              <w:right w:val="single" w:sz="4" w:space="0" w:color="auto"/>
            </w:tcBorders>
            <w:shd w:val="clear" w:color="auto" w:fill="auto"/>
            <w:noWrap/>
            <w:vAlign w:val="bottom"/>
            <w:hideMark/>
          </w:tcPr>
          <w:p w14:paraId="31FC1530" w14:textId="77777777" w:rsidR="00AB4AFF" w:rsidRPr="00AB4AFF" w:rsidRDefault="00AB4AFF" w:rsidP="00AB4AFF">
            <w:pPr>
              <w:spacing w:after="0" w:line="240" w:lineRule="auto"/>
              <w:jc w:val="center"/>
              <w:rPr>
                <w:rFonts w:ascii="Calibri" w:eastAsia="Times New Roman" w:hAnsi="Calibri" w:cs="Calibri"/>
                <w:i/>
                <w:iCs/>
                <w:color w:val="000000"/>
                <w:sz w:val="16"/>
                <w:szCs w:val="16"/>
              </w:rPr>
            </w:pPr>
            <w:r w:rsidRPr="00AB4AFF">
              <w:rPr>
                <w:rFonts w:ascii="Calibri" w:eastAsia="Times New Roman" w:hAnsi="Calibri" w:cs="Calibri"/>
                <w:i/>
                <w:iCs/>
                <w:color w:val="000000"/>
                <w:sz w:val="16"/>
                <w:szCs w:val="16"/>
              </w:rPr>
              <w:t> </w:t>
            </w:r>
          </w:p>
        </w:tc>
        <w:tc>
          <w:tcPr>
            <w:tcW w:w="298" w:type="dxa"/>
            <w:tcBorders>
              <w:top w:val="nil"/>
              <w:left w:val="nil"/>
              <w:bottom w:val="single" w:sz="4" w:space="0" w:color="auto"/>
              <w:right w:val="single" w:sz="4" w:space="0" w:color="auto"/>
            </w:tcBorders>
            <w:shd w:val="clear" w:color="auto" w:fill="auto"/>
            <w:noWrap/>
            <w:vAlign w:val="bottom"/>
            <w:hideMark/>
          </w:tcPr>
          <w:p w14:paraId="2EC5A635" w14:textId="77777777" w:rsidR="00AB4AFF" w:rsidRPr="00AB4AFF" w:rsidRDefault="00AB4AFF" w:rsidP="00AB4AFF">
            <w:pPr>
              <w:spacing w:after="0" w:line="240" w:lineRule="auto"/>
              <w:jc w:val="center"/>
              <w:rPr>
                <w:rFonts w:ascii="Calibri" w:eastAsia="Times New Roman" w:hAnsi="Calibri" w:cs="Calibri"/>
                <w:i/>
                <w:iCs/>
                <w:color w:val="000000"/>
                <w:sz w:val="16"/>
                <w:szCs w:val="16"/>
              </w:rPr>
            </w:pPr>
            <w:r w:rsidRPr="00AB4AFF">
              <w:rPr>
                <w:rFonts w:ascii="Calibri" w:eastAsia="Times New Roman" w:hAnsi="Calibri" w:cs="Calibri"/>
                <w:i/>
                <w:iCs/>
                <w:color w:val="000000"/>
                <w:sz w:val="16"/>
                <w:szCs w:val="16"/>
              </w:rPr>
              <w:t> </w:t>
            </w:r>
          </w:p>
        </w:tc>
        <w:tc>
          <w:tcPr>
            <w:tcW w:w="298" w:type="dxa"/>
            <w:tcBorders>
              <w:top w:val="nil"/>
              <w:left w:val="nil"/>
              <w:bottom w:val="single" w:sz="4" w:space="0" w:color="auto"/>
              <w:right w:val="single" w:sz="4" w:space="0" w:color="auto"/>
            </w:tcBorders>
            <w:shd w:val="clear" w:color="auto" w:fill="auto"/>
            <w:noWrap/>
            <w:vAlign w:val="bottom"/>
            <w:hideMark/>
          </w:tcPr>
          <w:p w14:paraId="6F861BF0" w14:textId="77777777" w:rsidR="00AB4AFF" w:rsidRPr="00AB4AFF" w:rsidRDefault="00AB4AFF" w:rsidP="00AB4AFF">
            <w:pPr>
              <w:spacing w:after="0" w:line="240" w:lineRule="auto"/>
              <w:jc w:val="center"/>
              <w:rPr>
                <w:rFonts w:ascii="Calibri" w:eastAsia="Times New Roman" w:hAnsi="Calibri" w:cs="Calibri"/>
                <w:i/>
                <w:iCs/>
                <w:color w:val="000000"/>
                <w:sz w:val="16"/>
                <w:szCs w:val="16"/>
              </w:rPr>
            </w:pPr>
            <w:r w:rsidRPr="00AB4AFF">
              <w:rPr>
                <w:rFonts w:ascii="Calibri" w:eastAsia="Times New Roman" w:hAnsi="Calibri" w:cs="Calibri"/>
                <w:i/>
                <w:iCs/>
                <w:color w:val="000000"/>
                <w:sz w:val="16"/>
                <w:szCs w:val="16"/>
              </w:rPr>
              <w:t> </w:t>
            </w:r>
          </w:p>
        </w:tc>
        <w:tc>
          <w:tcPr>
            <w:tcW w:w="298" w:type="dxa"/>
            <w:tcBorders>
              <w:top w:val="nil"/>
              <w:left w:val="nil"/>
              <w:bottom w:val="single" w:sz="4" w:space="0" w:color="auto"/>
              <w:right w:val="single" w:sz="4" w:space="0" w:color="auto"/>
            </w:tcBorders>
            <w:shd w:val="clear" w:color="auto" w:fill="auto"/>
            <w:noWrap/>
            <w:vAlign w:val="bottom"/>
            <w:hideMark/>
          </w:tcPr>
          <w:p w14:paraId="06EABA7B" w14:textId="77777777" w:rsidR="00AB4AFF" w:rsidRPr="00AB4AFF" w:rsidRDefault="00AB4AFF" w:rsidP="00AB4AFF">
            <w:pPr>
              <w:spacing w:after="0" w:line="240" w:lineRule="auto"/>
              <w:jc w:val="center"/>
              <w:rPr>
                <w:rFonts w:ascii="Calibri" w:eastAsia="Times New Roman" w:hAnsi="Calibri" w:cs="Calibri"/>
                <w:i/>
                <w:iCs/>
                <w:color w:val="000000"/>
                <w:sz w:val="16"/>
                <w:szCs w:val="16"/>
              </w:rPr>
            </w:pPr>
            <w:r w:rsidRPr="00AB4AFF">
              <w:rPr>
                <w:rFonts w:ascii="Calibri" w:eastAsia="Times New Roman" w:hAnsi="Calibri" w:cs="Calibri"/>
                <w:i/>
                <w:iCs/>
                <w:color w:val="000000"/>
                <w:sz w:val="16"/>
                <w:szCs w:val="16"/>
              </w:rPr>
              <w:t> </w:t>
            </w:r>
          </w:p>
        </w:tc>
        <w:tc>
          <w:tcPr>
            <w:tcW w:w="298" w:type="dxa"/>
            <w:tcBorders>
              <w:top w:val="nil"/>
              <w:left w:val="nil"/>
              <w:bottom w:val="single" w:sz="4" w:space="0" w:color="auto"/>
              <w:right w:val="single" w:sz="4" w:space="0" w:color="auto"/>
            </w:tcBorders>
            <w:shd w:val="clear" w:color="000000" w:fill="9BC2E6"/>
            <w:noWrap/>
            <w:vAlign w:val="bottom"/>
            <w:hideMark/>
          </w:tcPr>
          <w:p w14:paraId="7600B08F" w14:textId="77777777" w:rsidR="00AB4AFF" w:rsidRPr="00AB4AFF" w:rsidRDefault="00AB4AFF" w:rsidP="00AB4AFF">
            <w:pPr>
              <w:spacing w:after="0" w:line="240" w:lineRule="auto"/>
              <w:jc w:val="center"/>
              <w:rPr>
                <w:rFonts w:ascii="Calibri" w:eastAsia="Times New Roman" w:hAnsi="Calibri" w:cs="Calibri"/>
                <w:i/>
                <w:iCs/>
                <w:color w:val="000000"/>
                <w:sz w:val="16"/>
                <w:szCs w:val="16"/>
              </w:rPr>
            </w:pPr>
            <w:r w:rsidRPr="00AB4AFF">
              <w:rPr>
                <w:rFonts w:ascii="Calibri" w:eastAsia="Times New Roman" w:hAnsi="Calibri" w:cs="Calibri"/>
                <w:i/>
                <w:iCs/>
                <w:color w:val="000000"/>
                <w:sz w:val="16"/>
                <w:szCs w:val="16"/>
              </w:rPr>
              <w:t> </w:t>
            </w:r>
          </w:p>
        </w:tc>
        <w:tc>
          <w:tcPr>
            <w:tcW w:w="379" w:type="dxa"/>
            <w:tcBorders>
              <w:top w:val="nil"/>
              <w:left w:val="nil"/>
              <w:bottom w:val="single" w:sz="4" w:space="0" w:color="auto"/>
              <w:right w:val="single" w:sz="4" w:space="0" w:color="auto"/>
            </w:tcBorders>
            <w:shd w:val="clear" w:color="auto" w:fill="auto"/>
            <w:noWrap/>
            <w:vAlign w:val="bottom"/>
            <w:hideMark/>
          </w:tcPr>
          <w:p w14:paraId="138260C7" w14:textId="77777777" w:rsidR="00AB4AFF" w:rsidRPr="00AB4AFF" w:rsidRDefault="00AB4AFF" w:rsidP="00AB4AFF">
            <w:pPr>
              <w:spacing w:after="0" w:line="240" w:lineRule="auto"/>
              <w:jc w:val="center"/>
              <w:rPr>
                <w:rFonts w:ascii="Calibri" w:eastAsia="Times New Roman" w:hAnsi="Calibri" w:cs="Calibri"/>
                <w:i/>
                <w:iCs/>
                <w:color w:val="000000"/>
                <w:sz w:val="16"/>
                <w:szCs w:val="16"/>
              </w:rPr>
            </w:pPr>
            <w:r w:rsidRPr="00AB4AFF">
              <w:rPr>
                <w:rFonts w:ascii="Calibri" w:eastAsia="Times New Roman" w:hAnsi="Calibri" w:cs="Calibri"/>
                <w:i/>
                <w:iCs/>
                <w:color w:val="000000"/>
                <w:sz w:val="16"/>
                <w:szCs w:val="16"/>
              </w:rPr>
              <w:t> </w:t>
            </w:r>
          </w:p>
        </w:tc>
        <w:tc>
          <w:tcPr>
            <w:tcW w:w="379" w:type="dxa"/>
            <w:tcBorders>
              <w:top w:val="nil"/>
              <w:left w:val="nil"/>
              <w:bottom w:val="single" w:sz="4" w:space="0" w:color="auto"/>
              <w:right w:val="single" w:sz="4" w:space="0" w:color="auto"/>
            </w:tcBorders>
            <w:shd w:val="clear" w:color="auto" w:fill="auto"/>
            <w:noWrap/>
            <w:vAlign w:val="bottom"/>
            <w:hideMark/>
          </w:tcPr>
          <w:p w14:paraId="0BC76B77" w14:textId="77777777" w:rsidR="00AB4AFF" w:rsidRPr="00AB4AFF" w:rsidRDefault="00AB4AFF" w:rsidP="00AB4AFF">
            <w:pPr>
              <w:spacing w:after="0" w:line="240" w:lineRule="auto"/>
              <w:jc w:val="center"/>
              <w:rPr>
                <w:rFonts w:ascii="Calibri" w:eastAsia="Times New Roman" w:hAnsi="Calibri" w:cs="Calibri"/>
                <w:i/>
                <w:iCs/>
                <w:color w:val="000000"/>
                <w:sz w:val="16"/>
                <w:szCs w:val="16"/>
              </w:rPr>
            </w:pPr>
            <w:r w:rsidRPr="00AB4AFF">
              <w:rPr>
                <w:rFonts w:ascii="Calibri" w:eastAsia="Times New Roman" w:hAnsi="Calibri" w:cs="Calibri"/>
                <w:i/>
                <w:iCs/>
                <w:color w:val="000000"/>
                <w:sz w:val="16"/>
                <w:szCs w:val="16"/>
              </w:rPr>
              <w:t> </w:t>
            </w:r>
          </w:p>
        </w:tc>
        <w:tc>
          <w:tcPr>
            <w:tcW w:w="379" w:type="dxa"/>
            <w:tcBorders>
              <w:top w:val="nil"/>
              <w:left w:val="nil"/>
              <w:bottom w:val="single" w:sz="4" w:space="0" w:color="auto"/>
              <w:right w:val="single" w:sz="4" w:space="0" w:color="auto"/>
            </w:tcBorders>
            <w:shd w:val="clear" w:color="auto" w:fill="auto"/>
            <w:noWrap/>
            <w:vAlign w:val="bottom"/>
            <w:hideMark/>
          </w:tcPr>
          <w:p w14:paraId="7C727E68"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 </w:t>
            </w:r>
          </w:p>
        </w:tc>
        <w:tc>
          <w:tcPr>
            <w:tcW w:w="379" w:type="dxa"/>
            <w:tcBorders>
              <w:top w:val="nil"/>
              <w:left w:val="nil"/>
              <w:bottom w:val="single" w:sz="4" w:space="0" w:color="auto"/>
              <w:right w:val="single" w:sz="4" w:space="0" w:color="auto"/>
            </w:tcBorders>
            <w:shd w:val="clear" w:color="auto" w:fill="auto"/>
            <w:noWrap/>
            <w:vAlign w:val="bottom"/>
            <w:hideMark/>
          </w:tcPr>
          <w:p w14:paraId="4F68553D"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 </w:t>
            </w:r>
          </w:p>
        </w:tc>
        <w:tc>
          <w:tcPr>
            <w:tcW w:w="379" w:type="dxa"/>
            <w:tcBorders>
              <w:top w:val="nil"/>
              <w:left w:val="nil"/>
              <w:bottom w:val="single" w:sz="4" w:space="0" w:color="auto"/>
              <w:right w:val="single" w:sz="4" w:space="0" w:color="auto"/>
            </w:tcBorders>
            <w:shd w:val="clear" w:color="auto" w:fill="auto"/>
            <w:noWrap/>
            <w:vAlign w:val="bottom"/>
            <w:hideMark/>
          </w:tcPr>
          <w:p w14:paraId="709AEFEE"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 </w:t>
            </w:r>
          </w:p>
        </w:tc>
        <w:tc>
          <w:tcPr>
            <w:tcW w:w="379" w:type="dxa"/>
            <w:tcBorders>
              <w:top w:val="nil"/>
              <w:left w:val="nil"/>
              <w:bottom w:val="single" w:sz="4" w:space="0" w:color="auto"/>
              <w:right w:val="single" w:sz="4" w:space="0" w:color="auto"/>
            </w:tcBorders>
            <w:shd w:val="clear" w:color="auto" w:fill="auto"/>
            <w:noWrap/>
            <w:vAlign w:val="bottom"/>
            <w:hideMark/>
          </w:tcPr>
          <w:p w14:paraId="02F37773"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 </w:t>
            </w:r>
          </w:p>
        </w:tc>
        <w:tc>
          <w:tcPr>
            <w:tcW w:w="379" w:type="dxa"/>
            <w:tcBorders>
              <w:top w:val="nil"/>
              <w:left w:val="nil"/>
              <w:bottom w:val="single" w:sz="4" w:space="0" w:color="auto"/>
              <w:right w:val="single" w:sz="4" w:space="0" w:color="auto"/>
            </w:tcBorders>
            <w:shd w:val="clear" w:color="auto" w:fill="auto"/>
            <w:noWrap/>
            <w:vAlign w:val="bottom"/>
            <w:hideMark/>
          </w:tcPr>
          <w:p w14:paraId="513A1F2A"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 </w:t>
            </w:r>
          </w:p>
        </w:tc>
        <w:tc>
          <w:tcPr>
            <w:tcW w:w="379" w:type="dxa"/>
            <w:tcBorders>
              <w:top w:val="nil"/>
              <w:left w:val="nil"/>
              <w:bottom w:val="single" w:sz="4" w:space="0" w:color="auto"/>
              <w:right w:val="single" w:sz="4" w:space="0" w:color="auto"/>
            </w:tcBorders>
            <w:shd w:val="clear" w:color="auto" w:fill="auto"/>
            <w:noWrap/>
            <w:vAlign w:val="bottom"/>
            <w:hideMark/>
          </w:tcPr>
          <w:p w14:paraId="3DCA646E"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 </w:t>
            </w:r>
          </w:p>
        </w:tc>
        <w:tc>
          <w:tcPr>
            <w:tcW w:w="379" w:type="dxa"/>
            <w:tcBorders>
              <w:top w:val="nil"/>
              <w:left w:val="nil"/>
              <w:bottom w:val="single" w:sz="4" w:space="0" w:color="auto"/>
              <w:right w:val="single" w:sz="4" w:space="0" w:color="auto"/>
            </w:tcBorders>
            <w:shd w:val="clear" w:color="auto" w:fill="auto"/>
            <w:noWrap/>
            <w:vAlign w:val="bottom"/>
            <w:hideMark/>
          </w:tcPr>
          <w:p w14:paraId="187B9619"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 </w:t>
            </w:r>
          </w:p>
        </w:tc>
        <w:tc>
          <w:tcPr>
            <w:tcW w:w="379" w:type="dxa"/>
            <w:tcBorders>
              <w:top w:val="nil"/>
              <w:left w:val="nil"/>
              <w:bottom w:val="single" w:sz="4" w:space="0" w:color="auto"/>
              <w:right w:val="single" w:sz="4" w:space="0" w:color="auto"/>
            </w:tcBorders>
            <w:shd w:val="clear" w:color="auto" w:fill="auto"/>
            <w:noWrap/>
            <w:vAlign w:val="bottom"/>
            <w:hideMark/>
          </w:tcPr>
          <w:p w14:paraId="5839F128"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 </w:t>
            </w:r>
          </w:p>
        </w:tc>
        <w:tc>
          <w:tcPr>
            <w:tcW w:w="379" w:type="dxa"/>
            <w:tcBorders>
              <w:top w:val="nil"/>
              <w:left w:val="nil"/>
              <w:bottom w:val="single" w:sz="4" w:space="0" w:color="auto"/>
              <w:right w:val="single" w:sz="4" w:space="0" w:color="auto"/>
            </w:tcBorders>
            <w:shd w:val="clear" w:color="auto" w:fill="auto"/>
            <w:noWrap/>
            <w:vAlign w:val="bottom"/>
            <w:hideMark/>
          </w:tcPr>
          <w:p w14:paraId="41E56E96"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 </w:t>
            </w:r>
          </w:p>
        </w:tc>
        <w:tc>
          <w:tcPr>
            <w:tcW w:w="379" w:type="dxa"/>
            <w:tcBorders>
              <w:top w:val="nil"/>
              <w:left w:val="nil"/>
              <w:bottom w:val="single" w:sz="4" w:space="0" w:color="auto"/>
              <w:right w:val="single" w:sz="4" w:space="0" w:color="auto"/>
            </w:tcBorders>
            <w:shd w:val="clear" w:color="auto" w:fill="auto"/>
            <w:noWrap/>
            <w:vAlign w:val="bottom"/>
            <w:hideMark/>
          </w:tcPr>
          <w:p w14:paraId="19D04F47"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 </w:t>
            </w:r>
          </w:p>
        </w:tc>
        <w:tc>
          <w:tcPr>
            <w:tcW w:w="379" w:type="dxa"/>
            <w:tcBorders>
              <w:top w:val="nil"/>
              <w:left w:val="nil"/>
              <w:bottom w:val="single" w:sz="4" w:space="0" w:color="auto"/>
              <w:right w:val="single" w:sz="4" w:space="0" w:color="auto"/>
            </w:tcBorders>
            <w:shd w:val="clear" w:color="auto" w:fill="auto"/>
            <w:noWrap/>
            <w:vAlign w:val="bottom"/>
            <w:hideMark/>
          </w:tcPr>
          <w:p w14:paraId="677E2803"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 </w:t>
            </w:r>
          </w:p>
        </w:tc>
        <w:tc>
          <w:tcPr>
            <w:tcW w:w="379" w:type="dxa"/>
            <w:tcBorders>
              <w:top w:val="nil"/>
              <w:left w:val="nil"/>
              <w:bottom w:val="single" w:sz="4" w:space="0" w:color="auto"/>
              <w:right w:val="single" w:sz="4" w:space="0" w:color="auto"/>
            </w:tcBorders>
            <w:shd w:val="clear" w:color="auto" w:fill="auto"/>
            <w:noWrap/>
            <w:vAlign w:val="bottom"/>
            <w:hideMark/>
          </w:tcPr>
          <w:p w14:paraId="6DD1F765"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 </w:t>
            </w:r>
          </w:p>
        </w:tc>
        <w:tc>
          <w:tcPr>
            <w:tcW w:w="379" w:type="dxa"/>
            <w:tcBorders>
              <w:top w:val="nil"/>
              <w:left w:val="nil"/>
              <w:bottom w:val="single" w:sz="4" w:space="0" w:color="auto"/>
              <w:right w:val="single" w:sz="4" w:space="0" w:color="auto"/>
            </w:tcBorders>
            <w:shd w:val="clear" w:color="auto" w:fill="auto"/>
            <w:noWrap/>
            <w:vAlign w:val="bottom"/>
            <w:hideMark/>
          </w:tcPr>
          <w:p w14:paraId="2B0CC4A5"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 </w:t>
            </w:r>
          </w:p>
        </w:tc>
        <w:tc>
          <w:tcPr>
            <w:tcW w:w="379" w:type="dxa"/>
            <w:tcBorders>
              <w:top w:val="nil"/>
              <w:left w:val="nil"/>
              <w:bottom w:val="single" w:sz="4" w:space="0" w:color="auto"/>
              <w:right w:val="single" w:sz="4" w:space="0" w:color="auto"/>
            </w:tcBorders>
            <w:shd w:val="clear" w:color="auto" w:fill="auto"/>
            <w:noWrap/>
            <w:vAlign w:val="bottom"/>
            <w:hideMark/>
          </w:tcPr>
          <w:p w14:paraId="23E0B799"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 </w:t>
            </w:r>
          </w:p>
        </w:tc>
        <w:tc>
          <w:tcPr>
            <w:tcW w:w="379" w:type="dxa"/>
            <w:tcBorders>
              <w:top w:val="nil"/>
              <w:left w:val="nil"/>
              <w:bottom w:val="single" w:sz="4" w:space="0" w:color="auto"/>
              <w:right w:val="single" w:sz="4" w:space="0" w:color="auto"/>
            </w:tcBorders>
            <w:shd w:val="clear" w:color="auto" w:fill="auto"/>
            <w:noWrap/>
            <w:vAlign w:val="bottom"/>
            <w:hideMark/>
          </w:tcPr>
          <w:p w14:paraId="7EF03142"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 </w:t>
            </w:r>
          </w:p>
        </w:tc>
        <w:tc>
          <w:tcPr>
            <w:tcW w:w="379" w:type="dxa"/>
            <w:tcBorders>
              <w:top w:val="nil"/>
              <w:left w:val="nil"/>
              <w:bottom w:val="single" w:sz="4" w:space="0" w:color="auto"/>
              <w:right w:val="single" w:sz="8" w:space="0" w:color="auto"/>
            </w:tcBorders>
            <w:shd w:val="clear" w:color="auto" w:fill="auto"/>
            <w:noWrap/>
            <w:vAlign w:val="bottom"/>
            <w:hideMark/>
          </w:tcPr>
          <w:p w14:paraId="5F9EB885"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 </w:t>
            </w:r>
          </w:p>
        </w:tc>
      </w:tr>
      <w:tr w:rsidR="00AB4AFF" w:rsidRPr="00AB4AFF" w14:paraId="080EA977" w14:textId="77777777" w:rsidTr="008C0F8B">
        <w:trPr>
          <w:trHeight w:val="290"/>
        </w:trPr>
        <w:tc>
          <w:tcPr>
            <w:tcW w:w="1070" w:type="dxa"/>
            <w:tcBorders>
              <w:top w:val="nil"/>
              <w:left w:val="single" w:sz="8" w:space="0" w:color="auto"/>
              <w:bottom w:val="single" w:sz="4" w:space="0" w:color="auto"/>
              <w:right w:val="single" w:sz="4" w:space="0" w:color="auto"/>
            </w:tcBorders>
            <w:shd w:val="clear" w:color="000000" w:fill="FFFFFF"/>
            <w:noWrap/>
            <w:vAlign w:val="bottom"/>
            <w:hideMark/>
          </w:tcPr>
          <w:p w14:paraId="60860925"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2:110178520</w:t>
            </w:r>
          </w:p>
        </w:tc>
        <w:tc>
          <w:tcPr>
            <w:tcW w:w="498" w:type="dxa"/>
            <w:tcBorders>
              <w:top w:val="nil"/>
              <w:left w:val="nil"/>
              <w:bottom w:val="single" w:sz="4" w:space="0" w:color="auto"/>
              <w:right w:val="single" w:sz="4" w:space="0" w:color="auto"/>
            </w:tcBorders>
            <w:shd w:val="clear" w:color="000000" w:fill="FFFFFF"/>
            <w:noWrap/>
            <w:vAlign w:val="bottom"/>
            <w:hideMark/>
          </w:tcPr>
          <w:p w14:paraId="1119BF43"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A</w:t>
            </w:r>
          </w:p>
        </w:tc>
        <w:tc>
          <w:tcPr>
            <w:tcW w:w="498" w:type="dxa"/>
            <w:tcBorders>
              <w:top w:val="nil"/>
              <w:left w:val="nil"/>
              <w:bottom w:val="single" w:sz="4" w:space="0" w:color="auto"/>
              <w:right w:val="single" w:sz="8" w:space="0" w:color="auto"/>
            </w:tcBorders>
            <w:shd w:val="clear" w:color="000000" w:fill="FFFFFF"/>
            <w:noWrap/>
            <w:vAlign w:val="bottom"/>
            <w:hideMark/>
          </w:tcPr>
          <w:p w14:paraId="23CB399E"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G</w:t>
            </w:r>
          </w:p>
        </w:tc>
        <w:tc>
          <w:tcPr>
            <w:tcW w:w="632" w:type="dxa"/>
            <w:tcBorders>
              <w:top w:val="nil"/>
              <w:left w:val="nil"/>
              <w:bottom w:val="single" w:sz="4" w:space="0" w:color="auto"/>
              <w:right w:val="single" w:sz="4" w:space="0" w:color="auto"/>
            </w:tcBorders>
            <w:shd w:val="clear" w:color="000000" w:fill="FFFFFF"/>
            <w:noWrap/>
            <w:vAlign w:val="bottom"/>
            <w:hideMark/>
          </w:tcPr>
          <w:p w14:paraId="466E38CA"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ns</w:t>
            </w:r>
          </w:p>
        </w:tc>
        <w:tc>
          <w:tcPr>
            <w:tcW w:w="850" w:type="dxa"/>
            <w:tcBorders>
              <w:top w:val="nil"/>
              <w:left w:val="nil"/>
              <w:bottom w:val="single" w:sz="4" w:space="0" w:color="auto"/>
              <w:right w:val="single" w:sz="8" w:space="0" w:color="auto"/>
            </w:tcBorders>
            <w:shd w:val="clear" w:color="000000" w:fill="FFFFFF"/>
            <w:noWrap/>
            <w:vAlign w:val="bottom"/>
            <w:hideMark/>
          </w:tcPr>
          <w:p w14:paraId="0D8587C9"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Y78H</w:t>
            </w:r>
          </w:p>
        </w:tc>
        <w:tc>
          <w:tcPr>
            <w:tcW w:w="990" w:type="dxa"/>
            <w:tcBorders>
              <w:top w:val="nil"/>
              <w:left w:val="nil"/>
              <w:bottom w:val="single" w:sz="4" w:space="0" w:color="auto"/>
              <w:right w:val="single" w:sz="4" w:space="0" w:color="auto"/>
            </w:tcBorders>
            <w:shd w:val="clear" w:color="000000" w:fill="FFFFFF"/>
            <w:noWrap/>
            <w:vAlign w:val="bottom"/>
            <w:hideMark/>
          </w:tcPr>
          <w:p w14:paraId="56B6DACC"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1.20E-03</w:t>
            </w:r>
          </w:p>
        </w:tc>
        <w:tc>
          <w:tcPr>
            <w:tcW w:w="500" w:type="dxa"/>
            <w:tcBorders>
              <w:top w:val="nil"/>
              <w:left w:val="nil"/>
              <w:bottom w:val="single" w:sz="4" w:space="0" w:color="auto"/>
              <w:right w:val="single" w:sz="4" w:space="0" w:color="auto"/>
            </w:tcBorders>
            <w:shd w:val="clear" w:color="000000" w:fill="FFFFFF"/>
            <w:noWrap/>
            <w:vAlign w:val="bottom"/>
            <w:hideMark/>
          </w:tcPr>
          <w:p w14:paraId="3FF4A777"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25.7</w:t>
            </w:r>
          </w:p>
        </w:tc>
        <w:tc>
          <w:tcPr>
            <w:tcW w:w="534" w:type="dxa"/>
            <w:tcBorders>
              <w:top w:val="nil"/>
              <w:left w:val="nil"/>
              <w:bottom w:val="single" w:sz="4" w:space="0" w:color="auto"/>
              <w:right w:val="single" w:sz="4" w:space="0" w:color="auto"/>
            </w:tcBorders>
            <w:shd w:val="clear" w:color="000000" w:fill="FFFFFF"/>
            <w:noWrap/>
            <w:vAlign w:val="bottom"/>
            <w:hideMark/>
          </w:tcPr>
          <w:p w14:paraId="27C95487"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CI</w:t>
            </w:r>
          </w:p>
        </w:tc>
        <w:tc>
          <w:tcPr>
            <w:tcW w:w="498" w:type="dxa"/>
            <w:tcBorders>
              <w:top w:val="nil"/>
              <w:left w:val="nil"/>
              <w:bottom w:val="single" w:sz="4" w:space="0" w:color="auto"/>
              <w:right w:val="single" w:sz="8" w:space="0" w:color="auto"/>
            </w:tcBorders>
            <w:shd w:val="clear" w:color="000000" w:fill="FFFFFF"/>
            <w:noWrap/>
            <w:vAlign w:val="bottom"/>
            <w:hideMark/>
          </w:tcPr>
          <w:p w14:paraId="71BC7FC7"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VUS</w:t>
            </w:r>
          </w:p>
        </w:tc>
        <w:tc>
          <w:tcPr>
            <w:tcW w:w="298" w:type="dxa"/>
            <w:tcBorders>
              <w:top w:val="nil"/>
              <w:left w:val="nil"/>
              <w:bottom w:val="single" w:sz="4" w:space="0" w:color="auto"/>
              <w:right w:val="single" w:sz="4" w:space="0" w:color="auto"/>
            </w:tcBorders>
            <w:shd w:val="clear" w:color="auto" w:fill="auto"/>
            <w:noWrap/>
            <w:vAlign w:val="bottom"/>
            <w:hideMark/>
          </w:tcPr>
          <w:p w14:paraId="677EF318"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 </w:t>
            </w:r>
          </w:p>
        </w:tc>
        <w:tc>
          <w:tcPr>
            <w:tcW w:w="298" w:type="dxa"/>
            <w:tcBorders>
              <w:top w:val="nil"/>
              <w:left w:val="nil"/>
              <w:bottom w:val="single" w:sz="4" w:space="0" w:color="auto"/>
              <w:right w:val="single" w:sz="4" w:space="0" w:color="auto"/>
            </w:tcBorders>
            <w:shd w:val="clear" w:color="auto" w:fill="auto"/>
            <w:noWrap/>
            <w:vAlign w:val="bottom"/>
            <w:hideMark/>
          </w:tcPr>
          <w:p w14:paraId="0C40DF07"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 </w:t>
            </w:r>
          </w:p>
        </w:tc>
        <w:tc>
          <w:tcPr>
            <w:tcW w:w="298" w:type="dxa"/>
            <w:tcBorders>
              <w:top w:val="nil"/>
              <w:left w:val="nil"/>
              <w:bottom w:val="single" w:sz="4" w:space="0" w:color="auto"/>
              <w:right w:val="single" w:sz="4" w:space="0" w:color="auto"/>
            </w:tcBorders>
            <w:shd w:val="clear" w:color="auto" w:fill="auto"/>
            <w:noWrap/>
            <w:vAlign w:val="bottom"/>
            <w:hideMark/>
          </w:tcPr>
          <w:p w14:paraId="2FB8B3F6" w14:textId="77777777" w:rsidR="00AB4AFF" w:rsidRPr="00AB4AFF" w:rsidRDefault="00AB4AFF" w:rsidP="00AB4AFF">
            <w:pPr>
              <w:spacing w:after="0" w:line="240" w:lineRule="auto"/>
              <w:jc w:val="center"/>
              <w:rPr>
                <w:rFonts w:ascii="Calibri" w:eastAsia="Times New Roman" w:hAnsi="Calibri" w:cs="Calibri"/>
                <w:i/>
                <w:iCs/>
                <w:color w:val="000000"/>
                <w:sz w:val="16"/>
                <w:szCs w:val="16"/>
              </w:rPr>
            </w:pPr>
            <w:r w:rsidRPr="00AB4AFF">
              <w:rPr>
                <w:rFonts w:ascii="Calibri" w:eastAsia="Times New Roman" w:hAnsi="Calibri" w:cs="Calibri"/>
                <w:i/>
                <w:iCs/>
                <w:color w:val="000000"/>
                <w:sz w:val="16"/>
                <w:szCs w:val="16"/>
              </w:rPr>
              <w:t> </w:t>
            </w:r>
          </w:p>
        </w:tc>
        <w:tc>
          <w:tcPr>
            <w:tcW w:w="298" w:type="dxa"/>
            <w:tcBorders>
              <w:top w:val="nil"/>
              <w:left w:val="nil"/>
              <w:bottom w:val="single" w:sz="4" w:space="0" w:color="auto"/>
              <w:right w:val="single" w:sz="4" w:space="0" w:color="auto"/>
            </w:tcBorders>
            <w:shd w:val="clear" w:color="auto" w:fill="auto"/>
            <w:noWrap/>
            <w:vAlign w:val="bottom"/>
            <w:hideMark/>
          </w:tcPr>
          <w:p w14:paraId="5BDCA27B" w14:textId="77777777" w:rsidR="00AB4AFF" w:rsidRPr="00AB4AFF" w:rsidRDefault="00AB4AFF" w:rsidP="00AB4AFF">
            <w:pPr>
              <w:spacing w:after="0" w:line="240" w:lineRule="auto"/>
              <w:jc w:val="center"/>
              <w:rPr>
                <w:rFonts w:ascii="Calibri" w:eastAsia="Times New Roman" w:hAnsi="Calibri" w:cs="Calibri"/>
                <w:i/>
                <w:iCs/>
                <w:color w:val="000000"/>
                <w:sz w:val="16"/>
                <w:szCs w:val="16"/>
              </w:rPr>
            </w:pPr>
            <w:r w:rsidRPr="00AB4AFF">
              <w:rPr>
                <w:rFonts w:ascii="Calibri" w:eastAsia="Times New Roman" w:hAnsi="Calibri" w:cs="Calibri"/>
                <w:i/>
                <w:iCs/>
                <w:color w:val="000000"/>
                <w:sz w:val="16"/>
                <w:szCs w:val="16"/>
              </w:rPr>
              <w:t> </w:t>
            </w:r>
          </w:p>
        </w:tc>
        <w:tc>
          <w:tcPr>
            <w:tcW w:w="298" w:type="dxa"/>
            <w:tcBorders>
              <w:top w:val="nil"/>
              <w:left w:val="nil"/>
              <w:bottom w:val="single" w:sz="4" w:space="0" w:color="auto"/>
              <w:right w:val="single" w:sz="4" w:space="0" w:color="auto"/>
            </w:tcBorders>
            <w:shd w:val="clear" w:color="auto" w:fill="auto"/>
            <w:noWrap/>
            <w:vAlign w:val="bottom"/>
            <w:hideMark/>
          </w:tcPr>
          <w:p w14:paraId="3A5238C7" w14:textId="77777777" w:rsidR="00AB4AFF" w:rsidRPr="00AB4AFF" w:rsidRDefault="00AB4AFF" w:rsidP="00AB4AFF">
            <w:pPr>
              <w:spacing w:after="0" w:line="240" w:lineRule="auto"/>
              <w:jc w:val="center"/>
              <w:rPr>
                <w:rFonts w:ascii="Calibri" w:eastAsia="Times New Roman" w:hAnsi="Calibri" w:cs="Calibri"/>
                <w:i/>
                <w:iCs/>
                <w:color w:val="000000"/>
                <w:sz w:val="16"/>
                <w:szCs w:val="16"/>
              </w:rPr>
            </w:pPr>
            <w:r w:rsidRPr="00AB4AFF">
              <w:rPr>
                <w:rFonts w:ascii="Calibri" w:eastAsia="Times New Roman" w:hAnsi="Calibri" w:cs="Calibri"/>
                <w:i/>
                <w:iCs/>
                <w:color w:val="000000"/>
                <w:sz w:val="16"/>
                <w:szCs w:val="16"/>
              </w:rPr>
              <w:t> </w:t>
            </w:r>
          </w:p>
        </w:tc>
        <w:tc>
          <w:tcPr>
            <w:tcW w:w="298" w:type="dxa"/>
            <w:tcBorders>
              <w:top w:val="nil"/>
              <w:left w:val="nil"/>
              <w:bottom w:val="single" w:sz="4" w:space="0" w:color="auto"/>
              <w:right w:val="single" w:sz="4" w:space="0" w:color="auto"/>
            </w:tcBorders>
            <w:shd w:val="clear" w:color="auto" w:fill="auto"/>
            <w:noWrap/>
            <w:vAlign w:val="bottom"/>
            <w:hideMark/>
          </w:tcPr>
          <w:p w14:paraId="7F58F9F0" w14:textId="77777777" w:rsidR="00AB4AFF" w:rsidRPr="00AB4AFF" w:rsidRDefault="00AB4AFF" w:rsidP="00AB4AFF">
            <w:pPr>
              <w:spacing w:after="0" w:line="240" w:lineRule="auto"/>
              <w:jc w:val="center"/>
              <w:rPr>
                <w:rFonts w:ascii="Calibri" w:eastAsia="Times New Roman" w:hAnsi="Calibri" w:cs="Calibri"/>
                <w:i/>
                <w:iCs/>
                <w:color w:val="000000"/>
                <w:sz w:val="16"/>
                <w:szCs w:val="16"/>
              </w:rPr>
            </w:pPr>
            <w:r w:rsidRPr="00AB4AFF">
              <w:rPr>
                <w:rFonts w:ascii="Calibri" w:eastAsia="Times New Roman" w:hAnsi="Calibri" w:cs="Calibri"/>
                <w:i/>
                <w:iCs/>
                <w:color w:val="000000"/>
                <w:sz w:val="16"/>
                <w:szCs w:val="16"/>
              </w:rPr>
              <w:t> </w:t>
            </w:r>
          </w:p>
        </w:tc>
        <w:tc>
          <w:tcPr>
            <w:tcW w:w="298" w:type="dxa"/>
            <w:tcBorders>
              <w:top w:val="nil"/>
              <w:left w:val="nil"/>
              <w:bottom w:val="single" w:sz="4" w:space="0" w:color="auto"/>
              <w:right w:val="single" w:sz="4" w:space="0" w:color="auto"/>
            </w:tcBorders>
            <w:shd w:val="clear" w:color="auto" w:fill="auto"/>
            <w:noWrap/>
            <w:vAlign w:val="bottom"/>
            <w:hideMark/>
          </w:tcPr>
          <w:p w14:paraId="13796F9D" w14:textId="77777777" w:rsidR="00AB4AFF" w:rsidRPr="00AB4AFF" w:rsidRDefault="00AB4AFF" w:rsidP="00AB4AFF">
            <w:pPr>
              <w:spacing w:after="0" w:line="240" w:lineRule="auto"/>
              <w:jc w:val="center"/>
              <w:rPr>
                <w:rFonts w:ascii="Calibri" w:eastAsia="Times New Roman" w:hAnsi="Calibri" w:cs="Calibri"/>
                <w:i/>
                <w:iCs/>
                <w:color w:val="000000"/>
                <w:sz w:val="16"/>
                <w:szCs w:val="16"/>
              </w:rPr>
            </w:pPr>
            <w:r w:rsidRPr="00AB4AFF">
              <w:rPr>
                <w:rFonts w:ascii="Calibri" w:eastAsia="Times New Roman" w:hAnsi="Calibri" w:cs="Calibri"/>
                <w:i/>
                <w:iCs/>
                <w:color w:val="000000"/>
                <w:sz w:val="16"/>
                <w:szCs w:val="16"/>
              </w:rPr>
              <w:t> </w:t>
            </w:r>
          </w:p>
        </w:tc>
        <w:tc>
          <w:tcPr>
            <w:tcW w:w="298" w:type="dxa"/>
            <w:tcBorders>
              <w:top w:val="nil"/>
              <w:left w:val="nil"/>
              <w:bottom w:val="single" w:sz="4" w:space="0" w:color="auto"/>
              <w:right w:val="single" w:sz="4" w:space="0" w:color="auto"/>
            </w:tcBorders>
            <w:shd w:val="clear" w:color="auto" w:fill="auto"/>
            <w:noWrap/>
            <w:vAlign w:val="bottom"/>
            <w:hideMark/>
          </w:tcPr>
          <w:p w14:paraId="34BBA497" w14:textId="77777777" w:rsidR="00AB4AFF" w:rsidRPr="00AB4AFF" w:rsidRDefault="00AB4AFF" w:rsidP="00AB4AFF">
            <w:pPr>
              <w:spacing w:after="0" w:line="240" w:lineRule="auto"/>
              <w:jc w:val="center"/>
              <w:rPr>
                <w:rFonts w:ascii="Calibri" w:eastAsia="Times New Roman" w:hAnsi="Calibri" w:cs="Calibri"/>
                <w:i/>
                <w:iCs/>
                <w:color w:val="000000"/>
                <w:sz w:val="16"/>
                <w:szCs w:val="16"/>
              </w:rPr>
            </w:pPr>
            <w:r w:rsidRPr="00AB4AFF">
              <w:rPr>
                <w:rFonts w:ascii="Calibri" w:eastAsia="Times New Roman" w:hAnsi="Calibri" w:cs="Calibri"/>
                <w:i/>
                <w:iCs/>
                <w:color w:val="000000"/>
                <w:sz w:val="16"/>
                <w:szCs w:val="16"/>
              </w:rPr>
              <w:t> </w:t>
            </w:r>
          </w:p>
        </w:tc>
        <w:tc>
          <w:tcPr>
            <w:tcW w:w="379" w:type="dxa"/>
            <w:tcBorders>
              <w:top w:val="nil"/>
              <w:left w:val="nil"/>
              <w:bottom w:val="single" w:sz="4" w:space="0" w:color="auto"/>
              <w:right w:val="single" w:sz="4" w:space="0" w:color="auto"/>
            </w:tcBorders>
            <w:shd w:val="clear" w:color="auto" w:fill="auto"/>
            <w:noWrap/>
            <w:vAlign w:val="bottom"/>
            <w:hideMark/>
          </w:tcPr>
          <w:p w14:paraId="1DA6046F" w14:textId="77777777" w:rsidR="00AB4AFF" w:rsidRPr="00AB4AFF" w:rsidRDefault="00AB4AFF" w:rsidP="00AB4AFF">
            <w:pPr>
              <w:spacing w:after="0" w:line="240" w:lineRule="auto"/>
              <w:jc w:val="center"/>
              <w:rPr>
                <w:rFonts w:ascii="Calibri" w:eastAsia="Times New Roman" w:hAnsi="Calibri" w:cs="Calibri"/>
                <w:i/>
                <w:iCs/>
                <w:color w:val="000000"/>
                <w:sz w:val="16"/>
                <w:szCs w:val="16"/>
              </w:rPr>
            </w:pPr>
            <w:r w:rsidRPr="00AB4AFF">
              <w:rPr>
                <w:rFonts w:ascii="Calibri" w:eastAsia="Times New Roman" w:hAnsi="Calibri" w:cs="Calibri"/>
                <w:i/>
                <w:iCs/>
                <w:color w:val="000000"/>
                <w:sz w:val="16"/>
                <w:szCs w:val="16"/>
              </w:rPr>
              <w:t> </w:t>
            </w:r>
          </w:p>
        </w:tc>
        <w:tc>
          <w:tcPr>
            <w:tcW w:w="379" w:type="dxa"/>
            <w:tcBorders>
              <w:top w:val="nil"/>
              <w:left w:val="nil"/>
              <w:bottom w:val="single" w:sz="4" w:space="0" w:color="auto"/>
              <w:right w:val="single" w:sz="4" w:space="0" w:color="auto"/>
            </w:tcBorders>
            <w:shd w:val="clear" w:color="000000" w:fill="9BC2E6"/>
            <w:noWrap/>
            <w:vAlign w:val="bottom"/>
            <w:hideMark/>
          </w:tcPr>
          <w:p w14:paraId="0504C60F" w14:textId="77777777" w:rsidR="00AB4AFF" w:rsidRPr="00AB4AFF" w:rsidRDefault="00AB4AFF" w:rsidP="00AB4AFF">
            <w:pPr>
              <w:spacing w:after="0" w:line="240" w:lineRule="auto"/>
              <w:jc w:val="center"/>
              <w:rPr>
                <w:rFonts w:ascii="Calibri" w:eastAsia="Times New Roman" w:hAnsi="Calibri" w:cs="Calibri"/>
                <w:i/>
                <w:iCs/>
                <w:color w:val="000000"/>
                <w:sz w:val="16"/>
                <w:szCs w:val="16"/>
              </w:rPr>
            </w:pPr>
            <w:r w:rsidRPr="00AB4AFF">
              <w:rPr>
                <w:rFonts w:ascii="Calibri" w:eastAsia="Times New Roman" w:hAnsi="Calibri" w:cs="Calibri"/>
                <w:i/>
                <w:iCs/>
                <w:color w:val="000000"/>
                <w:sz w:val="16"/>
                <w:szCs w:val="16"/>
              </w:rPr>
              <w:t>t</w:t>
            </w:r>
          </w:p>
        </w:tc>
        <w:tc>
          <w:tcPr>
            <w:tcW w:w="379" w:type="dxa"/>
            <w:tcBorders>
              <w:top w:val="nil"/>
              <w:left w:val="nil"/>
              <w:bottom w:val="single" w:sz="4" w:space="0" w:color="auto"/>
              <w:right w:val="single" w:sz="4" w:space="0" w:color="auto"/>
            </w:tcBorders>
            <w:shd w:val="clear" w:color="auto" w:fill="auto"/>
            <w:noWrap/>
            <w:vAlign w:val="bottom"/>
            <w:hideMark/>
          </w:tcPr>
          <w:p w14:paraId="232ED59D"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 </w:t>
            </w:r>
          </w:p>
        </w:tc>
        <w:tc>
          <w:tcPr>
            <w:tcW w:w="379" w:type="dxa"/>
            <w:tcBorders>
              <w:top w:val="nil"/>
              <w:left w:val="nil"/>
              <w:bottom w:val="single" w:sz="4" w:space="0" w:color="auto"/>
              <w:right w:val="single" w:sz="4" w:space="0" w:color="auto"/>
            </w:tcBorders>
            <w:shd w:val="clear" w:color="auto" w:fill="auto"/>
            <w:noWrap/>
            <w:vAlign w:val="bottom"/>
            <w:hideMark/>
          </w:tcPr>
          <w:p w14:paraId="56C5A94C"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 </w:t>
            </w:r>
          </w:p>
        </w:tc>
        <w:tc>
          <w:tcPr>
            <w:tcW w:w="379" w:type="dxa"/>
            <w:tcBorders>
              <w:top w:val="nil"/>
              <w:left w:val="nil"/>
              <w:bottom w:val="single" w:sz="4" w:space="0" w:color="auto"/>
              <w:right w:val="single" w:sz="4" w:space="0" w:color="auto"/>
            </w:tcBorders>
            <w:shd w:val="clear" w:color="auto" w:fill="auto"/>
            <w:noWrap/>
            <w:vAlign w:val="bottom"/>
            <w:hideMark/>
          </w:tcPr>
          <w:p w14:paraId="77FCAA76"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 </w:t>
            </w:r>
          </w:p>
        </w:tc>
        <w:tc>
          <w:tcPr>
            <w:tcW w:w="379" w:type="dxa"/>
            <w:tcBorders>
              <w:top w:val="nil"/>
              <w:left w:val="nil"/>
              <w:bottom w:val="single" w:sz="4" w:space="0" w:color="auto"/>
              <w:right w:val="single" w:sz="4" w:space="0" w:color="auto"/>
            </w:tcBorders>
            <w:shd w:val="clear" w:color="auto" w:fill="auto"/>
            <w:noWrap/>
            <w:vAlign w:val="bottom"/>
            <w:hideMark/>
          </w:tcPr>
          <w:p w14:paraId="3324799D"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 </w:t>
            </w:r>
          </w:p>
        </w:tc>
        <w:tc>
          <w:tcPr>
            <w:tcW w:w="379" w:type="dxa"/>
            <w:tcBorders>
              <w:top w:val="nil"/>
              <w:left w:val="nil"/>
              <w:bottom w:val="single" w:sz="4" w:space="0" w:color="auto"/>
              <w:right w:val="single" w:sz="4" w:space="0" w:color="auto"/>
            </w:tcBorders>
            <w:shd w:val="clear" w:color="auto" w:fill="auto"/>
            <w:noWrap/>
            <w:vAlign w:val="bottom"/>
            <w:hideMark/>
          </w:tcPr>
          <w:p w14:paraId="195A428C"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 </w:t>
            </w:r>
          </w:p>
        </w:tc>
        <w:tc>
          <w:tcPr>
            <w:tcW w:w="379" w:type="dxa"/>
            <w:tcBorders>
              <w:top w:val="nil"/>
              <w:left w:val="nil"/>
              <w:bottom w:val="single" w:sz="4" w:space="0" w:color="auto"/>
              <w:right w:val="single" w:sz="4" w:space="0" w:color="auto"/>
            </w:tcBorders>
            <w:shd w:val="clear" w:color="auto" w:fill="auto"/>
            <w:noWrap/>
            <w:vAlign w:val="bottom"/>
            <w:hideMark/>
          </w:tcPr>
          <w:p w14:paraId="36B7A56A"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 </w:t>
            </w:r>
          </w:p>
        </w:tc>
        <w:tc>
          <w:tcPr>
            <w:tcW w:w="379" w:type="dxa"/>
            <w:tcBorders>
              <w:top w:val="nil"/>
              <w:left w:val="nil"/>
              <w:bottom w:val="single" w:sz="4" w:space="0" w:color="auto"/>
              <w:right w:val="single" w:sz="4" w:space="0" w:color="auto"/>
            </w:tcBorders>
            <w:shd w:val="clear" w:color="auto" w:fill="auto"/>
            <w:noWrap/>
            <w:vAlign w:val="bottom"/>
            <w:hideMark/>
          </w:tcPr>
          <w:p w14:paraId="3E51A1F5"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 </w:t>
            </w:r>
          </w:p>
        </w:tc>
        <w:tc>
          <w:tcPr>
            <w:tcW w:w="379" w:type="dxa"/>
            <w:tcBorders>
              <w:top w:val="nil"/>
              <w:left w:val="nil"/>
              <w:bottom w:val="single" w:sz="4" w:space="0" w:color="auto"/>
              <w:right w:val="single" w:sz="4" w:space="0" w:color="auto"/>
            </w:tcBorders>
            <w:shd w:val="clear" w:color="auto" w:fill="auto"/>
            <w:noWrap/>
            <w:vAlign w:val="bottom"/>
            <w:hideMark/>
          </w:tcPr>
          <w:p w14:paraId="5CBF14A9"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 </w:t>
            </w:r>
          </w:p>
        </w:tc>
        <w:tc>
          <w:tcPr>
            <w:tcW w:w="379" w:type="dxa"/>
            <w:tcBorders>
              <w:top w:val="nil"/>
              <w:left w:val="nil"/>
              <w:bottom w:val="single" w:sz="4" w:space="0" w:color="auto"/>
              <w:right w:val="single" w:sz="4" w:space="0" w:color="auto"/>
            </w:tcBorders>
            <w:shd w:val="clear" w:color="auto" w:fill="auto"/>
            <w:noWrap/>
            <w:vAlign w:val="bottom"/>
            <w:hideMark/>
          </w:tcPr>
          <w:p w14:paraId="29887D60"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 </w:t>
            </w:r>
          </w:p>
        </w:tc>
        <w:tc>
          <w:tcPr>
            <w:tcW w:w="379" w:type="dxa"/>
            <w:tcBorders>
              <w:top w:val="nil"/>
              <w:left w:val="nil"/>
              <w:bottom w:val="single" w:sz="4" w:space="0" w:color="auto"/>
              <w:right w:val="single" w:sz="4" w:space="0" w:color="auto"/>
            </w:tcBorders>
            <w:shd w:val="clear" w:color="auto" w:fill="auto"/>
            <w:noWrap/>
            <w:vAlign w:val="bottom"/>
            <w:hideMark/>
          </w:tcPr>
          <w:p w14:paraId="743E8784"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 </w:t>
            </w:r>
          </w:p>
        </w:tc>
        <w:tc>
          <w:tcPr>
            <w:tcW w:w="379" w:type="dxa"/>
            <w:tcBorders>
              <w:top w:val="nil"/>
              <w:left w:val="nil"/>
              <w:bottom w:val="single" w:sz="4" w:space="0" w:color="auto"/>
              <w:right w:val="single" w:sz="4" w:space="0" w:color="auto"/>
            </w:tcBorders>
            <w:shd w:val="clear" w:color="auto" w:fill="auto"/>
            <w:noWrap/>
            <w:vAlign w:val="bottom"/>
            <w:hideMark/>
          </w:tcPr>
          <w:p w14:paraId="1DE1C346"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 </w:t>
            </w:r>
          </w:p>
        </w:tc>
        <w:tc>
          <w:tcPr>
            <w:tcW w:w="379" w:type="dxa"/>
            <w:tcBorders>
              <w:top w:val="nil"/>
              <w:left w:val="nil"/>
              <w:bottom w:val="single" w:sz="4" w:space="0" w:color="auto"/>
              <w:right w:val="single" w:sz="4" w:space="0" w:color="auto"/>
            </w:tcBorders>
            <w:shd w:val="clear" w:color="auto" w:fill="auto"/>
            <w:noWrap/>
            <w:vAlign w:val="bottom"/>
            <w:hideMark/>
          </w:tcPr>
          <w:p w14:paraId="790D12B1"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 </w:t>
            </w:r>
          </w:p>
        </w:tc>
        <w:tc>
          <w:tcPr>
            <w:tcW w:w="379" w:type="dxa"/>
            <w:tcBorders>
              <w:top w:val="nil"/>
              <w:left w:val="nil"/>
              <w:bottom w:val="single" w:sz="4" w:space="0" w:color="auto"/>
              <w:right w:val="single" w:sz="4" w:space="0" w:color="auto"/>
            </w:tcBorders>
            <w:shd w:val="clear" w:color="auto" w:fill="auto"/>
            <w:noWrap/>
            <w:vAlign w:val="bottom"/>
            <w:hideMark/>
          </w:tcPr>
          <w:p w14:paraId="05930E56"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 </w:t>
            </w:r>
          </w:p>
        </w:tc>
        <w:tc>
          <w:tcPr>
            <w:tcW w:w="379" w:type="dxa"/>
            <w:tcBorders>
              <w:top w:val="nil"/>
              <w:left w:val="nil"/>
              <w:bottom w:val="single" w:sz="4" w:space="0" w:color="auto"/>
              <w:right w:val="single" w:sz="4" w:space="0" w:color="auto"/>
            </w:tcBorders>
            <w:shd w:val="clear" w:color="auto" w:fill="auto"/>
            <w:noWrap/>
            <w:vAlign w:val="bottom"/>
            <w:hideMark/>
          </w:tcPr>
          <w:p w14:paraId="75999A6F"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 </w:t>
            </w:r>
          </w:p>
        </w:tc>
        <w:tc>
          <w:tcPr>
            <w:tcW w:w="379" w:type="dxa"/>
            <w:tcBorders>
              <w:top w:val="nil"/>
              <w:left w:val="nil"/>
              <w:bottom w:val="single" w:sz="4" w:space="0" w:color="auto"/>
              <w:right w:val="single" w:sz="4" w:space="0" w:color="auto"/>
            </w:tcBorders>
            <w:shd w:val="clear" w:color="auto" w:fill="auto"/>
            <w:noWrap/>
            <w:vAlign w:val="bottom"/>
            <w:hideMark/>
          </w:tcPr>
          <w:p w14:paraId="20C68013"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 </w:t>
            </w:r>
          </w:p>
        </w:tc>
        <w:tc>
          <w:tcPr>
            <w:tcW w:w="379" w:type="dxa"/>
            <w:tcBorders>
              <w:top w:val="nil"/>
              <w:left w:val="nil"/>
              <w:bottom w:val="single" w:sz="4" w:space="0" w:color="auto"/>
              <w:right w:val="single" w:sz="8" w:space="0" w:color="auto"/>
            </w:tcBorders>
            <w:shd w:val="clear" w:color="000000" w:fill="9BC2E6"/>
            <w:noWrap/>
            <w:vAlign w:val="bottom"/>
            <w:hideMark/>
          </w:tcPr>
          <w:p w14:paraId="7A2C142B"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 </w:t>
            </w:r>
          </w:p>
        </w:tc>
      </w:tr>
      <w:tr w:rsidR="00AB4AFF" w:rsidRPr="00AB4AFF" w14:paraId="6AF1EF89" w14:textId="77777777" w:rsidTr="008C0F8B">
        <w:trPr>
          <w:trHeight w:val="290"/>
        </w:trPr>
        <w:tc>
          <w:tcPr>
            <w:tcW w:w="1070" w:type="dxa"/>
            <w:tcBorders>
              <w:top w:val="nil"/>
              <w:left w:val="single" w:sz="8" w:space="0" w:color="auto"/>
              <w:bottom w:val="single" w:sz="4" w:space="0" w:color="auto"/>
              <w:right w:val="single" w:sz="4" w:space="0" w:color="auto"/>
            </w:tcBorders>
            <w:shd w:val="clear" w:color="000000" w:fill="FFFFFF"/>
            <w:noWrap/>
            <w:vAlign w:val="bottom"/>
            <w:hideMark/>
          </w:tcPr>
          <w:p w14:paraId="3587E6D0"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2:110179656</w:t>
            </w:r>
          </w:p>
        </w:tc>
        <w:tc>
          <w:tcPr>
            <w:tcW w:w="498" w:type="dxa"/>
            <w:tcBorders>
              <w:top w:val="nil"/>
              <w:left w:val="nil"/>
              <w:bottom w:val="single" w:sz="4" w:space="0" w:color="auto"/>
              <w:right w:val="single" w:sz="4" w:space="0" w:color="auto"/>
            </w:tcBorders>
            <w:shd w:val="clear" w:color="000000" w:fill="FFFFFF"/>
            <w:noWrap/>
            <w:vAlign w:val="bottom"/>
            <w:hideMark/>
          </w:tcPr>
          <w:p w14:paraId="39AE9653"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C</w:t>
            </w:r>
          </w:p>
        </w:tc>
        <w:tc>
          <w:tcPr>
            <w:tcW w:w="498" w:type="dxa"/>
            <w:tcBorders>
              <w:top w:val="nil"/>
              <w:left w:val="nil"/>
              <w:bottom w:val="single" w:sz="4" w:space="0" w:color="auto"/>
              <w:right w:val="single" w:sz="8" w:space="0" w:color="auto"/>
            </w:tcBorders>
            <w:shd w:val="clear" w:color="000000" w:fill="FFFFFF"/>
            <w:noWrap/>
            <w:vAlign w:val="bottom"/>
            <w:hideMark/>
          </w:tcPr>
          <w:p w14:paraId="79C9C30B"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G</w:t>
            </w:r>
          </w:p>
        </w:tc>
        <w:tc>
          <w:tcPr>
            <w:tcW w:w="632" w:type="dxa"/>
            <w:tcBorders>
              <w:top w:val="nil"/>
              <w:left w:val="nil"/>
              <w:bottom w:val="single" w:sz="4" w:space="0" w:color="auto"/>
              <w:right w:val="single" w:sz="4" w:space="0" w:color="auto"/>
            </w:tcBorders>
            <w:shd w:val="clear" w:color="000000" w:fill="FFFFFF"/>
            <w:noWrap/>
            <w:vAlign w:val="bottom"/>
            <w:hideMark/>
          </w:tcPr>
          <w:p w14:paraId="4C4C757B"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ns</w:t>
            </w:r>
          </w:p>
        </w:tc>
        <w:tc>
          <w:tcPr>
            <w:tcW w:w="850" w:type="dxa"/>
            <w:tcBorders>
              <w:top w:val="nil"/>
              <w:left w:val="nil"/>
              <w:bottom w:val="single" w:sz="4" w:space="0" w:color="auto"/>
              <w:right w:val="single" w:sz="8" w:space="0" w:color="auto"/>
            </w:tcBorders>
            <w:shd w:val="clear" w:color="000000" w:fill="FFFFFF"/>
            <w:noWrap/>
            <w:vAlign w:val="bottom"/>
            <w:hideMark/>
          </w:tcPr>
          <w:p w14:paraId="2C43CC85"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E58Q</w:t>
            </w:r>
          </w:p>
        </w:tc>
        <w:tc>
          <w:tcPr>
            <w:tcW w:w="990" w:type="dxa"/>
            <w:tcBorders>
              <w:top w:val="nil"/>
              <w:left w:val="nil"/>
              <w:bottom w:val="single" w:sz="4" w:space="0" w:color="auto"/>
              <w:right w:val="single" w:sz="4" w:space="0" w:color="auto"/>
            </w:tcBorders>
            <w:shd w:val="clear" w:color="000000" w:fill="FFFFFF"/>
            <w:noWrap/>
            <w:vAlign w:val="bottom"/>
            <w:hideMark/>
          </w:tcPr>
          <w:p w14:paraId="4009E62E"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 </w:t>
            </w:r>
          </w:p>
        </w:tc>
        <w:tc>
          <w:tcPr>
            <w:tcW w:w="500" w:type="dxa"/>
            <w:tcBorders>
              <w:top w:val="nil"/>
              <w:left w:val="nil"/>
              <w:bottom w:val="single" w:sz="4" w:space="0" w:color="auto"/>
              <w:right w:val="single" w:sz="4" w:space="0" w:color="auto"/>
            </w:tcBorders>
            <w:shd w:val="clear" w:color="000000" w:fill="FFFFFF"/>
            <w:noWrap/>
            <w:vAlign w:val="bottom"/>
            <w:hideMark/>
          </w:tcPr>
          <w:p w14:paraId="56D040B6"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26.3</w:t>
            </w:r>
          </w:p>
        </w:tc>
        <w:tc>
          <w:tcPr>
            <w:tcW w:w="534" w:type="dxa"/>
            <w:tcBorders>
              <w:top w:val="nil"/>
              <w:left w:val="nil"/>
              <w:bottom w:val="single" w:sz="4" w:space="0" w:color="auto"/>
              <w:right w:val="single" w:sz="4" w:space="0" w:color="auto"/>
            </w:tcBorders>
            <w:shd w:val="clear" w:color="000000" w:fill="FFFFFF"/>
            <w:noWrap/>
            <w:vAlign w:val="bottom"/>
            <w:hideMark/>
          </w:tcPr>
          <w:p w14:paraId="0E4F6355"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 </w:t>
            </w:r>
          </w:p>
        </w:tc>
        <w:tc>
          <w:tcPr>
            <w:tcW w:w="498" w:type="dxa"/>
            <w:tcBorders>
              <w:top w:val="nil"/>
              <w:left w:val="nil"/>
              <w:bottom w:val="single" w:sz="4" w:space="0" w:color="auto"/>
              <w:right w:val="single" w:sz="8" w:space="0" w:color="auto"/>
            </w:tcBorders>
            <w:shd w:val="clear" w:color="000000" w:fill="FFFFFF"/>
            <w:noWrap/>
            <w:vAlign w:val="bottom"/>
            <w:hideMark/>
          </w:tcPr>
          <w:p w14:paraId="16A265DC"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VUS</w:t>
            </w:r>
          </w:p>
        </w:tc>
        <w:tc>
          <w:tcPr>
            <w:tcW w:w="298" w:type="dxa"/>
            <w:tcBorders>
              <w:top w:val="nil"/>
              <w:left w:val="nil"/>
              <w:bottom w:val="single" w:sz="4" w:space="0" w:color="auto"/>
              <w:right w:val="single" w:sz="4" w:space="0" w:color="auto"/>
            </w:tcBorders>
            <w:shd w:val="clear" w:color="auto" w:fill="auto"/>
            <w:noWrap/>
            <w:vAlign w:val="bottom"/>
            <w:hideMark/>
          </w:tcPr>
          <w:p w14:paraId="6F2A6250"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 </w:t>
            </w:r>
          </w:p>
        </w:tc>
        <w:tc>
          <w:tcPr>
            <w:tcW w:w="298" w:type="dxa"/>
            <w:tcBorders>
              <w:top w:val="nil"/>
              <w:left w:val="nil"/>
              <w:bottom w:val="single" w:sz="4" w:space="0" w:color="auto"/>
              <w:right w:val="single" w:sz="4" w:space="0" w:color="auto"/>
            </w:tcBorders>
            <w:shd w:val="clear" w:color="auto" w:fill="auto"/>
            <w:noWrap/>
            <w:vAlign w:val="bottom"/>
            <w:hideMark/>
          </w:tcPr>
          <w:p w14:paraId="480A9C82"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 </w:t>
            </w:r>
          </w:p>
        </w:tc>
        <w:tc>
          <w:tcPr>
            <w:tcW w:w="298" w:type="dxa"/>
            <w:tcBorders>
              <w:top w:val="nil"/>
              <w:left w:val="nil"/>
              <w:bottom w:val="single" w:sz="4" w:space="0" w:color="auto"/>
              <w:right w:val="single" w:sz="4" w:space="0" w:color="auto"/>
            </w:tcBorders>
            <w:shd w:val="clear" w:color="auto" w:fill="auto"/>
            <w:noWrap/>
            <w:vAlign w:val="bottom"/>
            <w:hideMark/>
          </w:tcPr>
          <w:p w14:paraId="5A231465"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 </w:t>
            </w:r>
          </w:p>
        </w:tc>
        <w:tc>
          <w:tcPr>
            <w:tcW w:w="298" w:type="dxa"/>
            <w:tcBorders>
              <w:top w:val="nil"/>
              <w:left w:val="nil"/>
              <w:bottom w:val="single" w:sz="4" w:space="0" w:color="auto"/>
              <w:right w:val="single" w:sz="4" w:space="0" w:color="auto"/>
            </w:tcBorders>
            <w:shd w:val="clear" w:color="auto" w:fill="auto"/>
            <w:noWrap/>
            <w:vAlign w:val="bottom"/>
            <w:hideMark/>
          </w:tcPr>
          <w:p w14:paraId="0ED2597C"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 </w:t>
            </w:r>
          </w:p>
        </w:tc>
        <w:tc>
          <w:tcPr>
            <w:tcW w:w="298" w:type="dxa"/>
            <w:tcBorders>
              <w:top w:val="nil"/>
              <w:left w:val="nil"/>
              <w:bottom w:val="single" w:sz="4" w:space="0" w:color="auto"/>
              <w:right w:val="single" w:sz="4" w:space="0" w:color="auto"/>
            </w:tcBorders>
            <w:shd w:val="clear" w:color="auto" w:fill="auto"/>
            <w:noWrap/>
            <w:vAlign w:val="bottom"/>
            <w:hideMark/>
          </w:tcPr>
          <w:p w14:paraId="36BFA803"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 </w:t>
            </w:r>
          </w:p>
        </w:tc>
        <w:tc>
          <w:tcPr>
            <w:tcW w:w="298" w:type="dxa"/>
            <w:tcBorders>
              <w:top w:val="nil"/>
              <w:left w:val="nil"/>
              <w:bottom w:val="single" w:sz="4" w:space="0" w:color="auto"/>
              <w:right w:val="single" w:sz="4" w:space="0" w:color="auto"/>
            </w:tcBorders>
            <w:shd w:val="clear" w:color="auto" w:fill="auto"/>
            <w:noWrap/>
            <w:vAlign w:val="bottom"/>
            <w:hideMark/>
          </w:tcPr>
          <w:p w14:paraId="719D5D3E"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 </w:t>
            </w:r>
          </w:p>
        </w:tc>
        <w:tc>
          <w:tcPr>
            <w:tcW w:w="298" w:type="dxa"/>
            <w:tcBorders>
              <w:top w:val="nil"/>
              <w:left w:val="nil"/>
              <w:bottom w:val="single" w:sz="4" w:space="0" w:color="auto"/>
              <w:right w:val="single" w:sz="4" w:space="0" w:color="auto"/>
            </w:tcBorders>
            <w:shd w:val="clear" w:color="000000" w:fill="9BC2E6"/>
            <w:noWrap/>
            <w:vAlign w:val="bottom"/>
            <w:hideMark/>
          </w:tcPr>
          <w:p w14:paraId="3D0F11C7"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 </w:t>
            </w:r>
          </w:p>
        </w:tc>
        <w:tc>
          <w:tcPr>
            <w:tcW w:w="298" w:type="dxa"/>
            <w:tcBorders>
              <w:top w:val="nil"/>
              <w:left w:val="nil"/>
              <w:bottom w:val="single" w:sz="4" w:space="0" w:color="auto"/>
              <w:right w:val="single" w:sz="4" w:space="0" w:color="auto"/>
            </w:tcBorders>
            <w:shd w:val="clear" w:color="auto" w:fill="auto"/>
            <w:noWrap/>
            <w:vAlign w:val="bottom"/>
            <w:hideMark/>
          </w:tcPr>
          <w:p w14:paraId="0629DBAF"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 </w:t>
            </w:r>
          </w:p>
        </w:tc>
        <w:tc>
          <w:tcPr>
            <w:tcW w:w="379" w:type="dxa"/>
            <w:tcBorders>
              <w:top w:val="nil"/>
              <w:left w:val="nil"/>
              <w:bottom w:val="single" w:sz="4" w:space="0" w:color="auto"/>
              <w:right w:val="single" w:sz="4" w:space="0" w:color="auto"/>
            </w:tcBorders>
            <w:shd w:val="clear" w:color="auto" w:fill="auto"/>
            <w:noWrap/>
            <w:vAlign w:val="bottom"/>
            <w:hideMark/>
          </w:tcPr>
          <w:p w14:paraId="0EDD7AA1"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 </w:t>
            </w:r>
          </w:p>
        </w:tc>
        <w:tc>
          <w:tcPr>
            <w:tcW w:w="379" w:type="dxa"/>
            <w:tcBorders>
              <w:top w:val="nil"/>
              <w:left w:val="nil"/>
              <w:bottom w:val="single" w:sz="4" w:space="0" w:color="auto"/>
              <w:right w:val="single" w:sz="4" w:space="0" w:color="auto"/>
            </w:tcBorders>
            <w:shd w:val="clear" w:color="auto" w:fill="auto"/>
            <w:noWrap/>
            <w:vAlign w:val="bottom"/>
            <w:hideMark/>
          </w:tcPr>
          <w:p w14:paraId="61B632DA"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 </w:t>
            </w:r>
          </w:p>
        </w:tc>
        <w:tc>
          <w:tcPr>
            <w:tcW w:w="379" w:type="dxa"/>
            <w:tcBorders>
              <w:top w:val="nil"/>
              <w:left w:val="nil"/>
              <w:bottom w:val="single" w:sz="4" w:space="0" w:color="auto"/>
              <w:right w:val="single" w:sz="4" w:space="0" w:color="auto"/>
            </w:tcBorders>
            <w:shd w:val="clear" w:color="auto" w:fill="auto"/>
            <w:noWrap/>
            <w:vAlign w:val="bottom"/>
            <w:hideMark/>
          </w:tcPr>
          <w:p w14:paraId="25C9B029"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 </w:t>
            </w:r>
          </w:p>
        </w:tc>
        <w:tc>
          <w:tcPr>
            <w:tcW w:w="379" w:type="dxa"/>
            <w:tcBorders>
              <w:top w:val="nil"/>
              <w:left w:val="nil"/>
              <w:bottom w:val="single" w:sz="4" w:space="0" w:color="auto"/>
              <w:right w:val="single" w:sz="4" w:space="0" w:color="auto"/>
            </w:tcBorders>
            <w:shd w:val="clear" w:color="auto" w:fill="auto"/>
            <w:noWrap/>
            <w:vAlign w:val="bottom"/>
            <w:hideMark/>
          </w:tcPr>
          <w:p w14:paraId="4577DC00"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 </w:t>
            </w:r>
          </w:p>
        </w:tc>
        <w:tc>
          <w:tcPr>
            <w:tcW w:w="379" w:type="dxa"/>
            <w:tcBorders>
              <w:top w:val="nil"/>
              <w:left w:val="nil"/>
              <w:bottom w:val="single" w:sz="4" w:space="0" w:color="auto"/>
              <w:right w:val="single" w:sz="4" w:space="0" w:color="auto"/>
            </w:tcBorders>
            <w:shd w:val="clear" w:color="auto" w:fill="auto"/>
            <w:noWrap/>
            <w:vAlign w:val="bottom"/>
            <w:hideMark/>
          </w:tcPr>
          <w:p w14:paraId="223FD44D"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 </w:t>
            </w:r>
          </w:p>
        </w:tc>
        <w:tc>
          <w:tcPr>
            <w:tcW w:w="379" w:type="dxa"/>
            <w:tcBorders>
              <w:top w:val="nil"/>
              <w:left w:val="nil"/>
              <w:bottom w:val="single" w:sz="4" w:space="0" w:color="auto"/>
              <w:right w:val="single" w:sz="4" w:space="0" w:color="auto"/>
            </w:tcBorders>
            <w:shd w:val="clear" w:color="auto" w:fill="auto"/>
            <w:noWrap/>
            <w:vAlign w:val="bottom"/>
            <w:hideMark/>
          </w:tcPr>
          <w:p w14:paraId="05C061D2"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 </w:t>
            </w:r>
          </w:p>
        </w:tc>
        <w:tc>
          <w:tcPr>
            <w:tcW w:w="379" w:type="dxa"/>
            <w:tcBorders>
              <w:top w:val="nil"/>
              <w:left w:val="nil"/>
              <w:bottom w:val="single" w:sz="4" w:space="0" w:color="auto"/>
              <w:right w:val="single" w:sz="4" w:space="0" w:color="auto"/>
            </w:tcBorders>
            <w:shd w:val="clear" w:color="auto" w:fill="auto"/>
            <w:noWrap/>
            <w:vAlign w:val="bottom"/>
            <w:hideMark/>
          </w:tcPr>
          <w:p w14:paraId="40757295"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 </w:t>
            </w:r>
          </w:p>
        </w:tc>
        <w:tc>
          <w:tcPr>
            <w:tcW w:w="379" w:type="dxa"/>
            <w:tcBorders>
              <w:top w:val="nil"/>
              <w:left w:val="nil"/>
              <w:bottom w:val="single" w:sz="4" w:space="0" w:color="auto"/>
              <w:right w:val="single" w:sz="4" w:space="0" w:color="auto"/>
            </w:tcBorders>
            <w:shd w:val="clear" w:color="auto" w:fill="auto"/>
            <w:noWrap/>
            <w:vAlign w:val="bottom"/>
            <w:hideMark/>
          </w:tcPr>
          <w:p w14:paraId="74B987EE"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 </w:t>
            </w:r>
          </w:p>
        </w:tc>
        <w:tc>
          <w:tcPr>
            <w:tcW w:w="379" w:type="dxa"/>
            <w:tcBorders>
              <w:top w:val="nil"/>
              <w:left w:val="nil"/>
              <w:bottom w:val="single" w:sz="4" w:space="0" w:color="auto"/>
              <w:right w:val="single" w:sz="4" w:space="0" w:color="auto"/>
            </w:tcBorders>
            <w:shd w:val="clear" w:color="auto" w:fill="auto"/>
            <w:noWrap/>
            <w:vAlign w:val="bottom"/>
            <w:hideMark/>
          </w:tcPr>
          <w:p w14:paraId="0CA0B272"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 </w:t>
            </w:r>
          </w:p>
        </w:tc>
        <w:tc>
          <w:tcPr>
            <w:tcW w:w="379" w:type="dxa"/>
            <w:tcBorders>
              <w:top w:val="nil"/>
              <w:left w:val="nil"/>
              <w:bottom w:val="single" w:sz="4" w:space="0" w:color="auto"/>
              <w:right w:val="single" w:sz="4" w:space="0" w:color="auto"/>
            </w:tcBorders>
            <w:shd w:val="clear" w:color="auto" w:fill="auto"/>
            <w:noWrap/>
            <w:vAlign w:val="bottom"/>
            <w:hideMark/>
          </w:tcPr>
          <w:p w14:paraId="0BEA71FF"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 </w:t>
            </w:r>
          </w:p>
        </w:tc>
        <w:tc>
          <w:tcPr>
            <w:tcW w:w="379" w:type="dxa"/>
            <w:tcBorders>
              <w:top w:val="nil"/>
              <w:left w:val="nil"/>
              <w:bottom w:val="single" w:sz="4" w:space="0" w:color="auto"/>
              <w:right w:val="single" w:sz="4" w:space="0" w:color="auto"/>
            </w:tcBorders>
            <w:shd w:val="clear" w:color="auto" w:fill="auto"/>
            <w:noWrap/>
            <w:vAlign w:val="bottom"/>
            <w:hideMark/>
          </w:tcPr>
          <w:p w14:paraId="3C23E80D"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 </w:t>
            </w:r>
          </w:p>
        </w:tc>
        <w:tc>
          <w:tcPr>
            <w:tcW w:w="379" w:type="dxa"/>
            <w:tcBorders>
              <w:top w:val="nil"/>
              <w:left w:val="nil"/>
              <w:bottom w:val="single" w:sz="4" w:space="0" w:color="auto"/>
              <w:right w:val="single" w:sz="4" w:space="0" w:color="auto"/>
            </w:tcBorders>
            <w:shd w:val="clear" w:color="auto" w:fill="auto"/>
            <w:noWrap/>
            <w:vAlign w:val="bottom"/>
            <w:hideMark/>
          </w:tcPr>
          <w:p w14:paraId="488A1F34"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 </w:t>
            </w:r>
          </w:p>
        </w:tc>
        <w:tc>
          <w:tcPr>
            <w:tcW w:w="379" w:type="dxa"/>
            <w:tcBorders>
              <w:top w:val="nil"/>
              <w:left w:val="nil"/>
              <w:bottom w:val="single" w:sz="4" w:space="0" w:color="auto"/>
              <w:right w:val="single" w:sz="4" w:space="0" w:color="auto"/>
            </w:tcBorders>
            <w:shd w:val="clear" w:color="auto" w:fill="auto"/>
            <w:noWrap/>
            <w:vAlign w:val="bottom"/>
            <w:hideMark/>
          </w:tcPr>
          <w:p w14:paraId="75DBD79E"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 </w:t>
            </w:r>
          </w:p>
        </w:tc>
        <w:tc>
          <w:tcPr>
            <w:tcW w:w="379" w:type="dxa"/>
            <w:tcBorders>
              <w:top w:val="nil"/>
              <w:left w:val="nil"/>
              <w:bottom w:val="single" w:sz="4" w:space="0" w:color="auto"/>
              <w:right w:val="single" w:sz="4" w:space="0" w:color="auto"/>
            </w:tcBorders>
            <w:shd w:val="clear" w:color="auto" w:fill="auto"/>
            <w:noWrap/>
            <w:vAlign w:val="bottom"/>
            <w:hideMark/>
          </w:tcPr>
          <w:p w14:paraId="0DEBBE6A"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 </w:t>
            </w:r>
          </w:p>
        </w:tc>
        <w:tc>
          <w:tcPr>
            <w:tcW w:w="379" w:type="dxa"/>
            <w:tcBorders>
              <w:top w:val="nil"/>
              <w:left w:val="nil"/>
              <w:bottom w:val="single" w:sz="4" w:space="0" w:color="auto"/>
              <w:right w:val="single" w:sz="4" w:space="0" w:color="auto"/>
            </w:tcBorders>
            <w:shd w:val="clear" w:color="auto" w:fill="auto"/>
            <w:noWrap/>
            <w:vAlign w:val="bottom"/>
            <w:hideMark/>
          </w:tcPr>
          <w:p w14:paraId="27F49F48"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 </w:t>
            </w:r>
          </w:p>
        </w:tc>
        <w:tc>
          <w:tcPr>
            <w:tcW w:w="379" w:type="dxa"/>
            <w:tcBorders>
              <w:top w:val="nil"/>
              <w:left w:val="nil"/>
              <w:bottom w:val="single" w:sz="4" w:space="0" w:color="auto"/>
              <w:right w:val="single" w:sz="4" w:space="0" w:color="auto"/>
            </w:tcBorders>
            <w:shd w:val="clear" w:color="auto" w:fill="auto"/>
            <w:noWrap/>
            <w:vAlign w:val="bottom"/>
            <w:hideMark/>
          </w:tcPr>
          <w:p w14:paraId="6E8F5E87"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 </w:t>
            </w:r>
          </w:p>
        </w:tc>
        <w:tc>
          <w:tcPr>
            <w:tcW w:w="379" w:type="dxa"/>
            <w:tcBorders>
              <w:top w:val="nil"/>
              <w:left w:val="nil"/>
              <w:bottom w:val="single" w:sz="4" w:space="0" w:color="auto"/>
              <w:right w:val="single" w:sz="4" w:space="0" w:color="auto"/>
            </w:tcBorders>
            <w:shd w:val="clear" w:color="auto" w:fill="auto"/>
            <w:noWrap/>
            <w:vAlign w:val="bottom"/>
            <w:hideMark/>
          </w:tcPr>
          <w:p w14:paraId="0D2A44ED"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 </w:t>
            </w:r>
          </w:p>
        </w:tc>
        <w:tc>
          <w:tcPr>
            <w:tcW w:w="379" w:type="dxa"/>
            <w:tcBorders>
              <w:top w:val="nil"/>
              <w:left w:val="nil"/>
              <w:bottom w:val="single" w:sz="4" w:space="0" w:color="auto"/>
              <w:right w:val="single" w:sz="8" w:space="0" w:color="auto"/>
            </w:tcBorders>
            <w:shd w:val="clear" w:color="auto" w:fill="auto"/>
            <w:noWrap/>
            <w:vAlign w:val="bottom"/>
            <w:hideMark/>
          </w:tcPr>
          <w:p w14:paraId="29A2F085"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 </w:t>
            </w:r>
          </w:p>
        </w:tc>
      </w:tr>
      <w:tr w:rsidR="00AB4AFF" w:rsidRPr="00AB4AFF" w14:paraId="3F6404FE" w14:textId="77777777" w:rsidTr="008C0F8B">
        <w:trPr>
          <w:trHeight w:val="290"/>
        </w:trPr>
        <w:tc>
          <w:tcPr>
            <w:tcW w:w="1070" w:type="dxa"/>
            <w:tcBorders>
              <w:top w:val="nil"/>
              <w:left w:val="single" w:sz="8" w:space="0" w:color="auto"/>
              <w:bottom w:val="single" w:sz="4" w:space="0" w:color="auto"/>
              <w:right w:val="single" w:sz="4" w:space="0" w:color="auto"/>
            </w:tcBorders>
            <w:shd w:val="clear" w:color="000000" w:fill="FFFFFF"/>
            <w:noWrap/>
            <w:vAlign w:val="bottom"/>
            <w:hideMark/>
          </w:tcPr>
          <w:p w14:paraId="5E7F5713"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2:110201427</w:t>
            </w:r>
          </w:p>
        </w:tc>
        <w:tc>
          <w:tcPr>
            <w:tcW w:w="498" w:type="dxa"/>
            <w:tcBorders>
              <w:top w:val="nil"/>
              <w:left w:val="nil"/>
              <w:bottom w:val="single" w:sz="4" w:space="0" w:color="auto"/>
              <w:right w:val="single" w:sz="4" w:space="0" w:color="auto"/>
            </w:tcBorders>
            <w:shd w:val="clear" w:color="000000" w:fill="FFFFFF"/>
            <w:noWrap/>
            <w:vAlign w:val="bottom"/>
            <w:hideMark/>
          </w:tcPr>
          <w:p w14:paraId="563C5AED"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T</w:t>
            </w:r>
          </w:p>
        </w:tc>
        <w:tc>
          <w:tcPr>
            <w:tcW w:w="498" w:type="dxa"/>
            <w:tcBorders>
              <w:top w:val="nil"/>
              <w:left w:val="nil"/>
              <w:bottom w:val="single" w:sz="4" w:space="0" w:color="auto"/>
              <w:right w:val="single" w:sz="8" w:space="0" w:color="auto"/>
            </w:tcBorders>
            <w:shd w:val="clear" w:color="000000" w:fill="FFFFFF"/>
            <w:noWrap/>
            <w:vAlign w:val="bottom"/>
            <w:hideMark/>
          </w:tcPr>
          <w:p w14:paraId="64792CEF"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C</w:t>
            </w:r>
          </w:p>
        </w:tc>
        <w:tc>
          <w:tcPr>
            <w:tcW w:w="632" w:type="dxa"/>
            <w:tcBorders>
              <w:top w:val="nil"/>
              <w:left w:val="nil"/>
              <w:bottom w:val="single" w:sz="4" w:space="0" w:color="auto"/>
              <w:right w:val="single" w:sz="4" w:space="0" w:color="auto"/>
            </w:tcBorders>
            <w:shd w:val="clear" w:color="000000" w:fill="FFFFFF"/>
            <w:noWrap/>
            <w:vAlign w:val="bottom"/>
            <w:hideMark/>
          </w:tcPr>
          <w:p w14:paraId="17BDA9D0"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ns</w:t>
            </w:r>
          </w:p>
        </w:tc>
        <w:tc>
          <w:tcPr>
            <w:tcW w:w="850" w:type="dxa"/>
            <w:tcBorders>
              <w:top w:val="nil"/>
              <w:left w:val="nil"/>
              <w:bottom w:val="single" w:sz="4" w:space="0" w:color="auto"/>
              <w:right w:val="single" w:sz="8" w:space="0" w:color="auto"/>
            </w:tcBorders>
            <w:shd w:val="clear" w:color="000000" w:fill="FFFFFF"/>
            <w:noWrap/>
            <w:vAlign w:val="bottom"/>
            <w:hideMark/>
          </w:tcPr>
          <w:p w14:paraId="622853FF"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Y46C</w:t>
            </w:r>
          </w:p>
        </w:tc>
        <w:tc>
          <w:tcPr>
            <w:tcW w:w="990" w:type="dxa"/>
            <w:tcBorders>
              <w:top w:val="nil"/>
              <w:left w:val="nil"/>
              <w:bottom w:val="single" w:sz="4" w:space="0" w:color="auto"/>
              <w:right w:val="single" w:sz="4" w:space="0" w:color="auto"/>
            </w:tcBorders>
            <w:shd w:val="clear" w:color="000000" w:fill="FFFFFF"/>
            <w:noWrap/>
            <w:vAlign w:val="bottom"/>
            <w:hideMark/>
          </w:tcPr>
          <w:p w14:paraId="402B49C2"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 </w:t>
            </w:r>
          </w:p>
        </w:tc>
        <w:tc>
          <w:tcPr>
            <w:tcW w:w="500" w:type="dxa"/>
            <w:tcBorders>
              <w:top w:val="nil"/>
              <w:left w:val="nil"/>
              <w:bottom w:val="single" w:sz="4" w:space="0" w:color="auto"/>
              <w:right w:val="single" w:sz="4" w:space="0" w:color="auto"/>
            </w:tcBorders>
            <w:shd w:val="clear" w:color="000000" w:fill="FFFFFF"/>
            <w:noWrap/>
            <w:vAlign w:val="bottom"/>
            <w:hideMark/>
          </w:tcPr>
          <w:p w14:paraId="57B9756F"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25.0</w:t>
            </w:r>
          </w:p>
        </w:tc>
        <w:tc>
          <w:tcPr>
            <w:tcW w:w="534" w:type="dxa"/>
            <w:tcBorders>
              <w:top w:val="nil"/>
              <w:left w:val="nil"/>
              <w:bottom w:val="single" w:sz="4" w:space="0" w:color="auto"/>
              <w:right w:val="single" w:sz="4" w:space="0" w:color="auto"/>
            </w:tcBorders>
            <w:shd w:val="clear" w:color="000000" w:fill="FFFFFF"/>
            <w:noWrap/>
            <w:vAlign w:val="bottom"/>
            <w:hideMark/>
          </w:tcPr>
          <w:p w14:paraId="00DB1AFD"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VUS</w:t>
            </w:r>
          </w:p>
        </w:tc>
        <w:tc>
          <w:tcPr>
            <w:tcW w:w="498" w:type="dxa"/>
            <w:tcBorders>
              <w:top w:val="nil"/>
              <w:left w:val="nil"/>
              <w:bottom w:val="single" w:sz="4" w:space="0" w:color="auto"/>
              <w:right w:val="single" w:sz="8" w:space="0" w:color="auto"/>
            </w:tcBorders>
            <w:shd w:val="clear" w:color="000000" w:fill="FFFFFF"/>
            <w:noWrap/>
            <w:vAlign w:val="bottom"/>
            <w:hideMark/>
          </w:tcPr>
          <w:p w14:paraId="70A71275"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VUS</w:t>
            </w:r>
          </w:p>
        </w:tc>
        <w:tc>
          <w:tcPr>
            <w:tcW w:w="298" w:type="dxa"/>
            <w:tcBorders>
              <w:top w:val="nil"/>
              <w:left w:val="nil"/>
              <w:bottom w:val="single" w:sz="4" w:space="0" w:color="auto"/>
              <w:right w:val="single" w:sz="4" w:space="0" w:color="auto"/>
            </w:tcBorders>
            <w:shd w:val="clear" w:color="auto" w:fill="auto"/>
            <w:noWrap/>
            <w:vAlign w:val="bottom"/>
            <w:hideMark/>
          </w:tcPr>
          <w:p w14:paraId="547BF556"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 </w:t>
            </w:r>
          </w:p>
        </w:tc>
        <w:tc>
          <w:tcPr>
            <w:tcW w:w="298" w:type="dxa"/>
            <w:tcBorders>
              <w:top w:val="nil"/>
              <w:left w:val="nil"/>
              <w:bottom w:val="single" w:sz="4" w:space="0" w:color="auto"/>
              <w:right w:val="single" w:sz="4" w:space="0" w:color="auto"/>
            </w:tcBorders>
            <w:shd w:val="clear" w:color="auto" w:fill="auto"/>
            <w:noWrap/>
            <w:vAlign w:val="bottom"/>
            <w:hideMark/>
          </w:tcPr>
          <w:p w14:paraId="327FB9BD"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 </w:t>
            </w:r>
          </w:p>
        </w:tc>
        <w:tc>
          <w:tcPr>
            <w:tcW w:w="298" w:type="dxa"/>
            <w:tcBorders>
              <w:top w:val="nil"/>
              <w:left w:val="nil"/>
              <w:bottom w:val="single" w:sz="4" w:space="0" w:color="auto"/>
              <w:right w:val="single" w:sz="4" w:space="0" w:color="auto"/>
            </w:tcBorders>
            <w:shd w:val="clear" w:color="auto" w:fill="auto"/>
            <w:noWrap/>
            <w:vAlign w:val="bottom"/>
            <w:hideMark/>
          </w:tcPr>
          <w:p w14:paraId="690544CD"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 </w:t>
            </w:r>
          </w:p>
        </w:tc>
        <w:tc>
          <w:tcPr>
            <w:tcW w:w="298" w:type="dxa"/>
            <w:tcBorders>
              <w:top w:val="nil"/>
              <w:left w:val="nil"/>
              <w:bottom w:val="single" w:sz="4" w:space="0" w:color="auto"/>
              <w:right w:val="single" w:sz="4" w:space="0" w:color="auto"/>
            </w:tcBorders>
            <w:shd w:val="clear" w:color="auto" w:fill="auto"/>
            <w:noWrap/>
            <w:vAlign w:val="bottom"/>
            <w:hideMark/>
          </w:tcPr>
          <w:p w14:paraId="0A2D4EB5"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 </w:t>
            </w:r>
          </w:p>
        </w:tc>
        <w:tc>
          <w:tcPr>
            <w:tcW w:w="298" w:type="dxa"/>
            <w:tcBorders>
              <w:top w:val="nil"/>
              <w:left w:val="nil"/>
              <w:bottom w:val="single" w:sz="4" w:space="0" w:color="auto"/>
              <w:right w:val="single" w:sz="4" w:space="0" w:color="auto"/>
            </w:tcBorders>
            <w:shd w:val="clear" w:color="auto" w:fill="auto"/>
            <w:noWrap/>
            <w:vAlign w:val="bottom"/>
            <w:hideMark/>
          </w:tcPr>
          <w:p w14:paraId="07312E41"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 </w:t>
            </w:r>
          </w:p>
        </w:tc>
        <w:tc>
          <w:tcPr>
            <w:tcW w:w="298" w:type="dxa"/>
            <w:tcBorders>
              <w:top w:val="nil"/>
              <w:left w:val="nil"/>
              <w:bottom w:val="single" w:sz="4" w:space="0" w:color="auto"/>
              <w:right w:val="single" w:sz="4" w:space="0" w:color="auto"/>
            </w:tcBorders>
            <w:shd w:val="clear" w:color="auto" w:fill="auto"/>
            <w:noWrap/>
            <w:vAlign w:val="bottom"/>
            <w:hideMark/>
          </w:tcPr>
          <w:p w14:paraId="04C82572"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 </w:t>
            </w:r>
          </w:p>
        </w:tc>
        <w:tc>
          <w:tcPr>
            <w:tcW w:w="298" w:type="dxa"/>
            <w:tcBorders>
              <w:top w:val="nil"/>
              <w:left w:val="nil"/>
              <w:bottom w:val="single" w:sz="4" w:space="0" w:color="auto"/>
              <w:right w:val="single" w:sz="4" w:space="0" w:color="auto"/>
            </w:tcBorders>
            <w:shd w:val="clear" w:color="auto" w:fill="auto"/>
            <w:noWrap/>
            <w:vAlign w:val="bottom"/>
            <w:hideMark/>
          </w:tcPr>
          <w:p w14:paraId="0D5131E0"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 </w:t>
            </w:r>
          </w:p>
        </w:tc>
        <w:tc>
          <w:tcPr>
            <w:tcW w:w="298" w:type="dxa"/>
            <w:tcBorders>
              <w:top w:val="nil"/>
              <w:left w:val="nil"/>
              <w:bottom w:val="single" w:sz="4" w:space="0" w:color="auto"/>
              <w:right w:val="single" w:sz="4" w:space="0" w:color="auto"/>
            </w:tcBorders>
            <w:shd w:val="clear" w:color="auto" w:fill="auto"/>
            <w:noWrap/>
            <w:vAlign w:val="bottom"/>
            <w:hideMark/>
          </w:tcPr>
          <w:p w14:paraId="7EF31F56"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 </w:t>
            </w:r>
          </w:p>
        </w:tc>
        <w:tc>
          <w:tcPr>
            <w:tcW w:w="379" w:type="dxa"/>
            <w:tcBorders>
              <w:top w:val="nil"/>
              <w:left w:val="nil"/>
              <w:bottom w:val="single" w:sz="4" w:space="0" w:color="auto"/>
              <w:right w:val="single" w:sz="4" w:space="0" w:color="auto"/>
            </w:tcBorders>
            <w:shd w:val="clear" w:color="auto" w:fill="auto"/>
            <w:noWrap/>
            <w:vAlign w:val="bottom"/>
            <w:hideMark/>
          </w:tcPr>
          <w:p w14:paraId="50061296"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 </w:t>
            </w:r>
          </w:p>
        </w:tc>
        <w:tc>
          <w:tcPr>
            <w:tcW w:w="379" w:type="dxa"/>
            <w:tcBorders>
              <w:top w:val="nil"/>
              <w:left w:val="nil"/>
              <w:bottom w:val="single" w:sz="4" w:space="0" w:color="auto"/>
              <w:right w:val="single" w:sz="4" w:space="0" w:color="auto"/>
            </w:tcBorders>
            <w:shd w:val="clear" w:color="auto" w:fill="auto"/>
            <w:noWrap/>
            <w:vAlign w:val="bottom"/>
            <w:hideMark/>
          </w:tcPr>
          <w:p w14:paraId="1403F783"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 </w:t>
            </w:r>
          </w:p>
        </w:tc>
        <w:tc>
          <w:tcPr>
            <w:tcW w:w="379" w:type="dxa"/>
            <w:tcBorders>
              <w:top w:val="nil"/>
              <w:left w:val="nil"/>
              <w:bottom w:val="single" w:sz="4" w:space="0" w:color="auto"/>
              <w:right w:val="single" w:sz="4" w:space="0" w:color="auto"/>
            </w:tcBorders>
            <w:shd w:val="clear" w:color="auto" w:fill="auto"/>
            <w:noWrap/>
            <w:vAlign w:val="bottom"/>
            <w:hideMark/>
          </w:tcPr>
          <w:p w14:paraId="773B0918"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 </w:t>
            </w:r>
          </w:p>
        </w:tc>
        <w:tc>
          <w:tcPr>
            <w:tcW w:w="379" w:type="dxa"/>
            <w:tcBorders>
              <w:top w:val="nil"/>
              <w:left w:val="nil"/>
              <w:bottom w:val="single" w:sz="4" w:space="0" w:color="auto"/>
              <w:right w:val="single" w:sz="4" w:space="0" w:color="auto"/>
            </w:tcBorders>
            <w:shd w:val="clear" w:color="000000" w:fill="9BC2E6"/>
            <w:noWrap/>
            <w:vAlign w:val="bottom"/>
            <w:hideMark/>
          </w:tcPr>
          <w:p w14:paraId="2ED8D9E0"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 </w:t>
            </w:r>
          </w:p>
        </w:tc>
        <w:tc>
          <w:tcPr>
            <w:tcW w:w="379" w:type="dxa"/>
            <w:tcBorders>
              <w:top w:val="nil"/>
              <w:left w:val="nil"/>
              <w:bottom w:val="single" w:sz="4" w:space="0" w:color="auto"/>
              <w:right w:val="single" w:sz="4" w:space="0" w:color="auto"/>
            </w:tcBorders>
            <w:shd w:val="clear" w:color="auto" w:fill="auto"/>
            <w:noWrap/>
            <w:vAlign w:val="bottom"/>
            <w:hideMark/>
          </w:tcPr>
          <w:p w14:paraId="502B3F77"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 </w:t>
            </w:r>
          </w:p>
        </w:tc>
        <w:tc>
          <w:tcPr>
            <w:tcW w:w="379" w:type="dxa"/>
            <w:tcBorders>
              <w:top w:val="nil"/>
              <w:left w:val="nil"/>
              <w:bottom w:val="single" w:sz="4" w:space="0" w:color="auto"/>
              <w:right w:val="single" w:sz="4" w:space="0" w:color="auto"/>
            </w:tcBorders>
            <w:shd w:val="clear" w:color="auto" w:fill="auto"/>
            <w:noWrap/>
            <w:vAlign w:val="bottom"/>
            <w:hideMark/>
          </w:tcPr>
          <w:p w14:paraId="262E90F3"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 </w:t>
            </w:r>
          </w:p>
        </w:tc>
        <w:tc>
          <w:tcPr>
            <w:tcW w:w="379" w:type="dxa"/>
            <w:tcBorders>
              <w:top w:val="nil"/>
              <w:left w:val="nil"/>
              <w:bottom w:val="single" w:sz="4" w:space="0" w:color="auto"/>
              <w:right w:val="single" w:sz="4" w:space="0" w:color="auto"/>
            </w:tcBorders>
            <w:shd w:val="clear" w:color="auto" w:fill="auto"/>
            <w:noWrap/>
            <w:vAlign w:val="bottom"/>
            <w:hideMark/>
          </w:tcPr>
          <w:p w14:paraId="637B7026"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 </w:t>
            </w:r>
          </w:p>
        </w:tc>
        <w:tc>
          <w:tcPr>
            <w:tcW w:w="379" w:type="dxa"/>
            <w:tcBorders>
              <w:top w:val="nil"/>
              <w:left w:val="nil"/>
              <w:bottom w:val="single" w:sz="4" w:space="0" w:color="auto"/>
              <w:right w:val="single" w:sz="4" w:space="0" w:color="auto"/>
            </w:tcBorders>
            <w:shd w:val="clear" w:color="auto" w:fill="auto"/>
            <w:noWrap/>
            <w:vAlign w:val="bottom"/>
            <w:hideMark/>
          </w:tcPr>
          <w:p w14:paraId="118A52A6"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 </w:t>
            </w:r>
          </w:p>
        </w:tc>
        <w:tc>
          <w:tcPr>
            <w:tcW w:w="379" w:type="dxa"/>
            <w:tcBorders>
              <w:top w:val="nil"/>
              <w:left w:val="nil"/>
              <w:bottom w:val="single" w:sz="4" w:space="0" w:color="auto"/>
              <w:right w:val="single" w:sz="4" w:space="0" w:color="auto"/>
            </w:tcBorders>
            <w:shd w:val="clear" w:color="auto" w:fill="auto"/>
            <w:noWrap/>
            <w:vAlign w:val="bottom"/>
            <w:hideMark/>
          </w:tcPr>
          <w:p w14:paraId="029172EA"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 </w:t>
            </w:r>
          </w:p>
        </w:tc>
        <w:tc>
          <w:tcPr>
            <w:tcW w:w="379" w:type="dxa"/>
            <w:tcBorders>
              <w:top w:val="nil"/>
              <w:left w:val="nil"/>
              <w:bottom w:val="single" w:sz="4" w:space="0" w:color="auto"/>
              <w:right w:val="single" w:sz="4" w:space="0" w:color="auto"/>
            </w:tcBorders>
            <w:shd w:val="clear" w:color="auto" w:fill="auto"/>
            <w:noWrap/>
            <w:vAlign w:val="bottom"/>
            <w:hideMark/>
          </w:tcPr>
          <w:p w14:paraId="20F22EDC"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 </w:t>
            </w:r>
          </w:p>
        </w:tc>
        <w:tc>
          <w:tcPr>
            <w:tcW w:w="379" w:type="dxa"/>
            <w:tcBorders>
              <w:top w:val="nil"/>
              <w:left w:val="nil"/>
              <w:bottom w:val="single" w:sz="4" w:space="0" w:color="auto"/>
              <w:right w:val="single" w:sz="4" w:space="0" w:color="auto"/>
            </w:tcBorders>
            <w:shd w:val="clear" w:color="auto" w:fill="auto"/>
            <w:noWrap/>
            <w:vAlign w:val="bottom"/>
            <w:hideMark/>
          </w:tcPr>
          <w:p w14:paraId="05FC7C14"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 </w:t>
            </w:r>
          </w:p>
        </w:tc>
        <w:tc>
          <w:tcPr>
            <w:tcW w:w="379" w:type="dxa"/>
            <w:tcBorders>
              <w:top w:val="nil"/>
              <w:left w:val="nil"/>
              <w:bottom w:val="single" w:sz="4" w:space="0" w:color="auto"/>
              <w:right w:val="single" w:sz="4" w:space="0" w:color="auto"/>
            </w:tcBorders>
            <w:shd w:val="clear" w:color="auto" w:fill="auto"/>
            <w:noWrap/>
            <w:vAlign w:val="bottom"/>
            <w:hideMark/>
          </w:tcPr>
          <w:p w14:paraId="4230C0B1"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 </w:t>
            </w:r>
          </w:p>
        </w:tc>
        <w:tc>
          <w:tcPr>
            <w:tcW w:w="379" w:type="dxa"/>
            <w:tcBorders>
              <w:top w:val="nil"/>
              <w:left w:val="nil"/>
              <w:bottom w:val="single" w:sz="4" w:space="0" w:color="auto"/>
              <w:right w:val="single" w:sz="4" w:space="0" w:color="auto"/>
            </w:tcBorders>
            <w:shd w:val="clear" w:color="auto" w:fill="auto"/>
            <w:noWrap/>
            <w:vAlign w:val="bottom"/>
            <w:hideMark/>
          </w:tcPr>
          <w:p w14:paraId="635D0D55"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 </w:t>
            </w:r>
          </w:p>
        </w:tc>
        <w:tc>
          <w:tcPr>
            <w:tcW w:w="379" w:type="dxa"/>
            <w:tcBorders>
              <w:top w:val="nil"/>
              <w:left w:val="nil"/>
              <w:bottom w:val="single" w:sz="4" w:space="0" w:color="auto"/>
              <w:right w:val="single" w:sz="4" w:space="0" w:color="auto"/>
            </w:tcBorders>
            <w:shd w:val="clear" w:color="auto" w:fill="auto"/>
            <w:noWrap/>
            <w:vAlign w:val="bottom"/>
            <w:hideMark/>
          </w:tcPr>
          <w:p w14:paraId="03D55737"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 </w:t>
            </w:r>
          </w:p>
        </w:tc>
        <w:tc>
          <w:tcPr>
            <w:tcW w:w="379" w:type="dxa"/>
            <w:tcBorders>
              <w:top w:val="nil"/>
              <w:left w:val="nil"/>
              <w:bottom w:val="single" w:sz="4" w:space="0" w:color="auto"/>
              <w:right w:val="single" w:sz="4" w:space="0" w:color="auto"/>
            </w:tcBorders>
            <w:shd w:val="clear" w:color="auto" w:fill="auto"/>
            <w:noWrap/>
            <w:vAlign w:val="bottom"/>
            <w:hideMark/>
          </w:tcPr>
          <w:p w14:paraId="2A7F8A96"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 </w:t>
            </w:r>
          </w:p>
        </w:tc>
        <w:tc>
          <w:tcPr>
            <w:tcW w:w="379" w:type="dxa"/>
            <w:tcBorders>
              <w:top w:val="nil"/>
              <w:left w:val="nil"/>
              <w:bottom w:val="single" w:sz="4" w:space="0" w:color="auto"/>
              <w:right w:val="single" w:sz="4" w:space="0" w:color="auto"/>
            </w:tcBorders>
            <w:shd w:val="clear" w:color="auto" w:fill="auto"/>
            <w:noWrap/>
            <w:vAlign w:val="bottom"/>
            <w:hideMark/>
          </w:tcPr>
          <w:p w14:paraId="79F45968"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 </w:t>
            </w:r>
          </w:p>
        </w:tc>
        <w:tc>
          <w:tcPr>
            <w:tcW w:w="379" w:type="dxa"/>
            <w:tcBorders>
              <w:top w:val="nil"/>
              <w:left w:val="nil"/>
              <w:bottom w:val="single" w:sz="4" w:space="0" w:color="auto"/>
              <w:right w:val="single" w:sz="4" w:space="0" w:color="auto"/>
            </w:tcBorders>
            <w:shd w:val="clear" w:color="auto" w:fill="auto"/>
            <w:noWrap/>
            <w:vAlign w:val="bottom"/>
            <w:hideMark/>
          </w:tcPr>
          <w:p w14:paraId="2E16DE79"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 </w:t>
            </w:r>
          </w:p>
        </w:tc>
        <w:tc>
          <w:tcPr>
            <w:tcW w:w="379" w:type="dxa"/>
            <w:tcBorders>
              <w:top w:val="nil"/>
              <w:left w:val="nil"/>
              <w:bottom w:val="single" w:sz="4" w:space="0" w:color="auto"/>
              <w:right w:val="single" w:sz="8" w:space="0" w:color="auto"/>
            </w:tcBorders>
            <w:shd w:val="clear" w:color="auto" w:fill="auto"/>
            <w:noWrap/>
            <w:vAlign w:val="bottom"/>
            <w:hideMark/>
          </w:tcPr>
          <w:p w14:paraId="3E618CD1"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 </w:t>
            </w:r>
          </w:p>
        </w:tc>
      </w:tr>
      <w:tr w:rsidR="00AB4AFF" w:rsidRPr="00AB4AFF" w14:paraId="6C97D79A" w14:textId="77777777" w:rsidTr="008C0F8B">
        <w:trPr>
          <w:trHeight w:val="300"/>
        </w:trPr>
        <w:tc>
          <w:tcPr>
            <w:tcW w:w="1070" w:type="dxa"/>
            <w:tcBorders>
              <w:top w:val="nil"/>
              <w:left w:val="single" w:sz="8" w:space="0" w:color="auto"/>
              <w:bottom w:val="nil"/>
              <w:right w:val="single" w:sz="4" w:space="0" w:color="auto"/>
            </w:tcBorders>
            <w:shd w:val="clear" w:color="000000" w:fill="FFFFFF"/>
            <w:noWrap/>
            <w:vAlign w:val="bottom"/>
            <w:hideMark/>
          </w:tcPr>
          <w:p w14:paraId="7B2060A8"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2:110204926</w:t>
            </w:r>
          </w:p>
        </w:tc>
        <w:tc>
          <w:tcPr>
            <w:tcW w:w="498" w:type="dxa"/>
            <w:tcBorders>
              <w:top w:val="nil"/>
              <w:left w:val="nil"/>
              <w:bottom w:val="nil"/>
              <w:right w:val="single" w:sz="4" w:space="0" w:color="auto"/>
            </w:tcBorders>
            <w:shd w:val="clear" w:color="000000" w:fill="FFFFFF"/>
            <w:noWrap/>
            <w:vAlign w:val="bottom"/>
            <w:hideMark/>
          </w:tcPr>
          <w:p w14:paraId="24290BD0"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G</w:t>
            </w:r>
          </w:p>
        </w:tc>
        <w:tc>
          <w:tcPr>
            <w:tcW w:w="498" w:type="dxa"/>
            <w:tcBorders>
              <w:top w:val="nil"/>
              <w:left w:val="nil"/>
              <w:bottom w:val="nil"/>
              <w:right w:val="single" w:sz="8" w:space="0" w:color="auto"/>
            </w:tcBorders>
            <w:shd w:val="clear" w:color="000000" w:fill="FFFFFF"/>
            <w:noWrap/>
            <w:vAlign w:val="bottom"/>
            <w:hideMark/>
          </w:tcPr>
          <w:p w14:paraId="55B6EAED"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T</w:t>
            </w:r>
          </w:p>
        </w:tc>
        <w:tc>
          <w:tcPr>
            <w:tcW w:w="632" w:type="dxa"/>
            <w:tcBorders>
              <w:top w:val="nil"/>
              <w:left w:val="nil"/>
              <w:bottom w:val="single" w:sz="8" w:space="0" w:color="auto"/>
              <w:right w:val="single" w:sz="4" w:space="0" w:color="auto"/>
            </w:tcBorders>
            <w:shd w:val="clear" w:color="000000" w:fill="FFFFFF"/>
            <w:noWrap/>
            <w:vAlign w:val="bottom"/>
            <w:hideMark/>
          </w:tcPr>
          <w:p w14:paraId="655F610F"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ns</w:t>
            </w:r>
          </w:p>
        </w:tc>
        <w:tc>
          <w:tcPr>
            <w:tcW w:w="850" w:type="dxa"/>
            <w:tcBorders>
              <w:top w:val="nil"/>
              <w:left w:val="nil"/>
              <w:bottom w:val="single" w:sz="8" w:space="0" w:color="auto"/>
              <w:right w:val="single" w:sz="8" w:space="0" w:color="auto"/>
            </w:tcBorders>
            <w:shd w:val="clear" w:color="000000" w:fill="FFFFFF"/>
            <w:noWrap/>
            <w:vAlign w:val="bottom"/>
            <w:hideMark/>
          </w:tcPr>
          <w:p w14:paraId="171B69EC"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R15S</w:t>
            </w:r>
          </w:p>
        </w:tc>
        <w:tc>
          <w:tcPr>
            <w:tcW w:w="990" w:type="dxa"/>
            <w:tcBorders>
              <w:top w:val="nil"/>
              <w:left w:val="nil"/>
              <w:bottom w:val="single" w:sz="8" w:space="0" w:color="auto"/>
              <w:right w:val="single" w:sz="4" w:space="0" w:color="auto"/>
            </w:tcBorders>
            <w:shd w:val="clear" w:color="000000" w:fill="FFFFFF"/>
            <w:noWrap/>
            <w:vAlign w:val="bottom"/>
            <w:hideMark/>
          </w:tcPr>
          <w:p w14:paraId="11BB44AD"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4.88E-05</w:t>
            </w:r>
          </w:p>
        </w:tc>
        <w:tc>
          <w:tcPr>
            <w:tcW w:w="500" w:type="dxa"/>
            <w:tcBorders>
              <w:top w:val="nil"/>
              <w:left w:val="nil"/>
              <w:bottom w:val="single" w:sz="8" w:space="0" w:color="auto"/>
              <w:right w:val="single" w:sz="4" w:space="0" w:color="auto"/>
            </w:tcBorders>
            <w:shd w:val="clear" w:color="000000" w:fill="FFFFFF"/>
            <w:noWrap/>
            <w:vAlign w:val="bottom"/>
            <w:hideMark/>
          </w:tcPr>
          <w:p w14:paraId="58464E54"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28.9</w:t>
            </w:r>
          </w:p>
        </w:tc>
        <w:tc>
          <w:tcPr>
            <w:tcW w:w="534" w:type="dxa"/>
            <w:tcBorders>
              <w:top w:val="nil"/>
              <w:left w:val="nil"/>
              <w:bottom w:val="single" w:sz="8" w:space="0" w:color="auto"/>
              <w:right w:val="single" w:sz="4" w:space="0" w:color="auto"/>
            </w:tcBorders>
            <w:shd w:val="clear" w:color="000000" w:fill="FFFFFF"/>
            <w:noWrap/>
            <w:vAlign w:val="bottom"/>
            <w:hideMark/>
          </w:tcPr>
          <w:p w14:paraId="1C37D02C"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CI</w:t>
            </w:r>
          </w:p>
        </w:tc>
        <w:tc>
          <w:tcPr>
            <w:tcW w:w="498" w:type="dxa"/>
            <w:tcBorders>
              <w:top w:val="nil"/>
              <w:left w:val="nil"/>
              <w:bottom w:val="single" w:sz="8" w:space="0" w:color="auto"/>
              <w:right w:val="single" w:sz="8" w:space="0" w:color="auto"/>
            </w:tcBorders>
            <w:shd w:val="clear" w:color="000000" w:fill="FFFFFF"/>
            <w:noWrap/>
            <w:vAlign w:val="bottom"/>
            <w:hideMark/>
          </w:tcPr>
          <w:p w14:paraId="2439F1CA"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VUS</w:t>
            </w:r>
          </w:p>
        </w:tc>
        <w:tc>
          <w:tcPr>
            <w:tcW w:w="298" w:type="dxa"/>
            <w:tcBorders>
              <w:top w:val="nil"/>
              <w:left w:val="nil"/>
              <w:bottom w:val="single" w:sz="8" w:space="0" w:color="auto"/>
              <w:right w:val="single" w:sz="4" w:space="0" w:color="auto"/>
            </w:tcBorders>
            <w:shd w:val="clear" w:color="auto" w:fill="auto"/>
            <w:noWrap/>
            <w:vAlign w:val="bottom"/>
            <w:hideMark/>
          </w:tcPr>
          <w:p w14:paraId="5DFDA900"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 </w:t>
            </w:r>
          </w:p>
        </w:tc>
        <w:tc>
          <w:tcPr>
            <w:tcW w:w="298" w:type="dxa"/>
            <w:tcBorders>
              <w:top w:val="nil"/>
              <w:left w:val="nil"/>
              <w:bottom w:val="single" w:sz="8" w:space="0" w:color="auto"/>
              <w:right w:val="single" w:sz="4" w:space="0" w:color="auto"/>
            </w:tcBorders>
            <w:shd w:val="clear" w:color="auto" w:fill="auto"/>
            <w:noWrap/>
            <w:vAlign w:val="bottom"/>
            <w:hideMark/>
          </w:tcPr>
          <w:p w14:paraId="67493DF0"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 </w:t>
            </w:r>
          </w:p>
        </w:tc>
        <w:tc>
          <w:tcPr>
            <w:tcW w:w="298" w:type="dxa"/>
            <w:tcBorders>
              <w:top w:val="nil"/>
              <w:left w:val="nil"/>
              <w:bottom w:val="single" w:sz="8" w:space="0" w:color="auto"/>
              <w:right w:val="single" w:sz="4" w:space="0" w:color="auto"/>
            </w:tcBorders>
            <w:shd w:val="clear" w:color="auto" w:fill="auto"/>
            <w:noWrap/>
            <w:vAlign w:val="bottom"/>
            <w:hideMark/>
          </w:tcPr>
          <w:p w14:paraId="7FDA1153"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 </w:t>
            </w:r>
          </w:p>
        </w:tc>
        <w:tc>
          <w:tcPr>
            <w:tcW w:w="298" w:type="dxa"/>
            <w:tcBorders>
              <w:top w:val="nil"/>
              <w:left w:val="nil"/>
              <w:bottom w:val="single" w:sz="8" w:space="0" w:color="auto"/>
              <w:right w:val="single" w:sz="4" w:space="0" w:color="auto"/>
            </w:tcBorders>
            <w:shd w:val="clear" w:color="auto" w:fill="auto"/>
            <w:noWrap/>
            <w:vAlign w:val="bottom"/>
            <w:hideMark/>
          </w:tcPr>
          <w:p w14:paraId="6BD7A7FE"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 </w:t>
            </w:r>
          </w:p>
        </w:tc>
        <w:tc>
          <w:tcPr>
            <w:tcW w:w="298" w:type="dxa"/>
            <w:tcBorders>
              <w:top w:val="nil"/>
              <w:left w:val="nil"/>
              <w:bottom w:val="single" w:sz="8" w:space="0" w:color="auto"/>
              <w:right w:val="single" w:sz="4" w:space="0" w:color="auto"/>
            </w:tcBorders>
            <w:shd w:val="clear" w:color="auto" w:fill="auto"/>
            <w:noWrap/>
            <w:vAlign w:val="bottom"/>
            <w:hideMark/>
          </w:tcPr>
          <w:p w14:paraId="4B54AB71"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 </w:t>
            </w:r>
          </w:p>
        </w:tc>
        <w:tc>
          <w:tcPr>
            <w:tcW w:w="298" w:type="dxa"/>
            <w:tcBorders>
              <w:top w:val="nil"/>
              <w:left w:val="nil"/>
              <w:bottom w:val="single" w:sz="8" w:space="0" w:color="auto"/>
              <w:right w:val="single" w:sz="4" w:space="0" w:color="auto"/>
            </w:tcBorders>
            <w:shd w:val="clear" w:color="auto" w:fill="auto"/>
            <w:noWrap/>
            <w:vAlign w:val="bottom"/>
            <w:hideMark/>
          </w:tcPr>
          <w:p w14:paraId="0A41E4BF"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 </w:t>
            </w:r>
          </w:p>
        </w:tc>
        <w:tc>
          <w:tcPr>
            <w:tcW w:w="298" w:type="dxa"/>
            <w:tcBorders>
              <w:top w:val="nil"/>
              <w:left w:val="nil"/>
              <w:bottom w:val="single" w:sz="8" w:space="0" w:color="auto"/>
              <w:right w:val="single" w:sz="4" w:space="0" w:color="auto"/>
            </w:tcBorders>
            <w:shd w:val="clear" w:color="000000" w:fill="9BC2E6"/>
            <w:noWrap/>
            <w:vAlign w:val="bottom"/>
            <w:hideMark/>
          </w:tcPr>
          <w:p w14:paraId="1CF12CEF"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 </w:t>
            </w:r>
          </w:p>
        </w:tc>
        <w:tc>
          <w:tcPr>
            <w:tcW w:w="298" w:type="dxa"/>
            <w:tcBorders>
              <w:top w:val="nil"/>
              <w:left w:val="nil"/>
              <w:bottom w:val="single" w:sz="8" w:space="0" w:color="auto"/>
              <w:right w:val="single" w:sz="4" w:space="0" w:color="auto"/>
            </w:tcBorders>
            <w:shd w:val="clear" w:color="auto" w:fill="auto"/>
            <w:noWrap/>
            <w:vAlign w:val="bottom"/>
            <w:hideMark/>
          </w:tcPr>
          <w:p w14:paraId="6B55937B"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 </w:t>
            </w:r>
          </w:p>
        </w:tc>
        <w:tc>
          <w:tcPr>
            <w:tcW w:w="379" w:type="dxa"/>
            <w:tcBorders>
              <w:top w:val="nil"/>
              <w:left w:val="nil"/>
              <w:bottom w:val="single" w:sz="8" w:space="0" w:color="auto"/>
              <w:right w:val="single" w:sz="4" w:space="0" w:color="auto"/>
            </w:tcBorders>
            <w:shd w:val="clear" w:color="000000" w:fill="5B9BD5"/>
            <w:noWrap/>
            <w:vAlign w:val="bottom"/>
            <w:hideMark/>
          </w:tcPr>
          <w:p w14:paraId="4D07BA89"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 </w:t>
            </w:r>
          </w:p>
        </w:tc>
        <w:tc>
          <w:tcPr>
            <w:tcW w:w="379" w:type="dxa"/>
            <w:tcBorders>
              <w:top w:val="nil"/>
              <w:left w:val="nil"/>
              <w:bottom w:val="single" w:sz="8" w:space="0" w:color="auto"/>
              <w:right w:val="single" w:sz="4" w:space="0" w:color="auto"/>
            </w:tcBorders>
            <w:shd w:val="clear" w:color="auto" w:fill="auto"/>
            <w:noWrap/>
            <w:vAlign w:val="bottom"/>
            <w:hideMark/>
          </w:tcPr>
          <w:p w14:paraId="3C8C067E"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 </w:t>
            </w:r>
          </w:p>
        </w:tc>
        <w:tc>
          <w:tcPr>
            <w:tcW w:w="379" w:type="dxa"/>
            <w:tcBorders>
              <w:top w:val="nil"/>
              <w:left w:val="nil"/>
              <w:bottom w:val="single" w:sz="8" w:space="0" w:color="auto"/>
              <w:right w:val="single" w:sz="4" w:space="0" w:color="auto"/>
            </w:tcBorders>
            <w:shd w:val="clear" w:color="auto" w:fill="auto"/>
            <w:noWrap/>
            <w:vAlign w:val="bottom"/>
            <w:hideMark/>
          </w:tcPr>
          <w:p w14:paraId="62E1D8C0"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 </w:t>
            </w:r>
          </w:p>
        </w:tc>
        <w:tc>
          <w:tcPr>
            <w:tcW w:w="379" w:type="dxa"/>
            <w:tcBorders>
              <w:top w:val="nil"/>
              <w:left w:val="nil"/>
              <w:bottom w:val="single" w:sz="8" w:space="0" w:color="auto"/>
              <w:right w:val="single" w:sz="4" w:space="0" w:color="auto"/>
            </w:tcBorders>
            <w:shd w:val="clear" w:color="auto" w:fill="auto"/>
            <w:noWrap/>
            <w:vAlign w:val="bottom"/>
            <w:hideMark/>
          </w:tcPr>
          <w:p w14:paraId="0D453ACF"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 </w:t>
            </w:r>
          </w:p>
        </w:tc>
        <w:tc>
          <w:tcPr>
            <w:tcW w:w="379" w:type="dxa"/>
            <w:tcBorders>
              <w:top w:val="nil"/>
              <w:left w:val="nil"/>
              <w:bottom w:val="single" w:sz="8" w:space="0" w:color="auto"/>
              <w:right w:val="single" w:sz="4" w:space="0" w:color="auto"/>
            </w:tcBorders>
            <w:shd w:val="clear" w:color="auto" w:fill="auto"/>
            <w:noWrap/>
            <w:vAlign w:val="bottom"/>
            <w:hideMark/>
          </w:tcPr>
          <w:p w14:paraId="33EDD0BF"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 </w:t>
            </w:r>
          </w:p>
        </w:tc>
        <w:tc>
          <w:tcPr>
            <w:tcW w:w="379" w:type="dxa"/>
            <w:tcBorders>
              <w:top w:val="nil"/>
              <w:left w:val="nil"/>
              <w:bottom w:val="single" w:sz="8" w:space="0" w:color="auto"/>
              <w:right w:val="single" w:sz="4" w:space="0" w:color="auto"/>
            </w:tcBorders>
            <w:shd w:val="clear" w:color="auto" w:fill="auto"/>
            <w:noWrap/>
            <w:vAlign w:val="bottom"/>
            <w:hideMark/>
          </w:tcPr>
          <w:p w14:paraId="456DF60B"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 </w:t>
            </w:r>
          </w:p>
        </w:tc>
        <w:tc>
          <w:tcPr>
            <w:tcW w:w="379" w:type="dxa"/>
            <w:tcBorders>
              <w:top w:val="nil"/>
              <w:left w:val="nil"/>
              <w:bottom w:val="single" w:sz="8" w:space="0" w:color="auto"/>
              <w:right w:val="single" w:sz="4" w:space="0" w:color="auto"/>
            </w:tcBorders>
            <w:shd w:val="clear" w:color="auto" w:fill="auto"/>
            <w:noWrap/>
            <w:vAlign w:val="bottom"/>
            <w:hideMark/>
          </w:tcPr>
          <w:p w14:paraId="2684E8DA"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 </w:t>
            </w:r>
          </w:p>
        </w:tc>
        <w:tc>
          <w:tcPr>
            <w:tcW w:w="379" w:type="dxa"/>
            <w:tcBorders>
              <w:top w:val="nil"/>
              <w:left w:val="nil"/>
              <w:bottom w:val="single" w:sz="8" w:space="0" w:color="auto"/>
              <w:right w:val="single" w:sz="4" w:space="0" w:color="auto"/>
            </w:tcBorders>
            <w:shd w:val="clear" w:color="auto" w:fill="auto"/>
            <w:noWrap/>
            <w:vAlign w:val="bottom"/>
            <w:hideMark/>
          </w:tcPr>
          <w:p w14:paraId="53E5B967"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 </w:t>
            </w:r>
          </w:p>
        </w:tc>
        <w:tc>
          <w:tcPr>
            <w:tcW w:w="379" w:type="dxa"/>
            <w:tcBorders>
              <w:top w:val="nil"/>
              <w:left w:val="nil"/>
              <w:bottom w:val="single" w:sz="8" w:space="0" w:color="auto"/>
              <w:right w:val="single" w:sz="4" w:space="0" w:color="auto"/>
            </w:tcBorders>
            <w:shd w:val="clear" w:color="auto" w:fill="auto"/>
            <w:noWrap/>
            <w:vAlign w:val="bottom"/>
            <w:hideMark/>
          </w:tcPr>
          <w:p w14:paraId="2F0685D3"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 </w:t>
            </w:r>
          </w:p>
        </w:tc>
        <w:tc>
          <w:tcPr>
            <w:tcW w:w="379" w:type="dxa"/>
            <w:tcBorders>
              <w:top w:val="nil"/>
              <w:left w:val="nil"/>
              <w:bottom w:val="single" w:sz="8" w:space="0" w:color="auto"/>
              <w:right w:val="single" w:sz="4" w:space="0" w:color="auto"/>
            </w:tcBorders>
            <w:shd w:val="clear" w:color="auto" w:fill="auto"/>
            <w:noWrap/>
            <w:vAlign w:val="bottom"/>
            <w:hideMark/>
          </w:tcPr>
          <w:p w14:paraId="2848CE97"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 </w:t>
            </w:r>
          </w:p>
        </w:tc>
        <w:tc>
          <w:tcPr>
            <w:tcW w:w="379" w:type="dxa"/>
            <w:tcBorders>
              <w:top w:val="nil"/>
              <w:left w:val="nil"/>
              <w:bottom w:val="single" w:sz="8" w:space="0" w:color="auto"/>
              <w:right w:val="single" w:sz="4" w:space="0" w:color="auto"/>
            </w:tcBorders>
            <w:shd w:val="clear" w:color="auto" w:fill="auto"/>
            <w:noWrap/>
            <w:vAlign w:val="bottom"/>
            <w:hideMark/>
          </w:tcPr>
          <w:p w14:paraId="0C2A2FA8"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 </w:t>
            </w:r>
          </w:p>
        </w:tc>
        <w:tc>
          <w:tcPr>
            <w:tcW w:w="379" w:type="dxa"/>
            <w:tcBorders>
              <w:top w:val="nil"/>
              <w:left w:val="nil"/>
              <w:bottom w:val="single" w:sz="8" w:space="0" w:color="auto"/>
              <w:right w:val="single" w:sz="4" w:space="0" w:color="auto"/>
            </w:tcBorders>
            <w:shd w:val="clear" w:color="auto" w:fill="auto"/>
            <w:noWrap/>
            <w:vAlign w:val="bottom"/>
            <w:hideMark/>
          </w:tcPr>
          <w:p w14:paraId="4972E75E"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 </w:t>
            </w:r>
          </w:p>
        </w:tc>
        <w:tc>
          <w:tcPr>
            <w:tcW w:w="379" w:type="dxa"/>
            <w:tcBorders>
              <w:top w:val="nil"/>
              <w:left w:val="nil"/>
              <w:bottom w:val="single" w:sz="8" w:space="0" w:color="auto"/>
              <w:right w:val="single" w:sz="4" w:space="0" w:color="auto"/>
            </w:tcBorders>
            <w:shd w:val="clear" w:color="auto" w:fill="auto"/>
            <w:noWrap/>
            <w:vAlign w:val="bottom"/>
            <w:hideMark/>
          </w:tcPr>
          <w:p w14:paraId="5822E8D9"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 </w:t>
            </w:r>
          </w:p>
        </w:tc>
        <w:tc>
          <w:tcPr>
            <w:tcW w:w="379" w:type="dxa"/>
            <w:tcBorders>
              <w:top w:val="nil"/>
              <w:left w:val="nil"/>
              <w:bottom w:val="single" w:sz="8" w:space="0" w:color="auto"/>
              <w:right w:val="single" w:sz="4" w:space="0" w:color="auto"/>
            </w:tcBorders>
            <w:shd w:val="clear" w:color="auto" w:fill="auto"/>
            <w:noWrap/>
            <w:vAlign w:val="bottom"/>
            <w:hideMark/>
          </w:tcPr>
          <w:p w14:paraId="4E4BB5A8"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 </w:t>
            </w:r>
          </w:p>
        </w:tc>
        <w:tc>
          <w:tcPr>
            <w:tcW w:w="379" w:type="dxa"/>
            <w:tcBorders>
              <w:top w:val="nil"/>
              <w:left w:val="nil"/>
              <w:bottom w:val="single" w:sz="8" w:space="0" w:color="auto"/>
              <w:right w:val="single" w:sz="4" w:space="0" w:color="auto"/>
            </w:tcBorders>
            <w:shd w:val="clear" w:color="auto" w:fill="auto"/>
            <w:noWrap/>
            <w:vAlign w:val="bottom"/>
            <w:hideMark/>
          </w:tcPr>
          <w:p w14:paraId="4984CC4A"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 </w:t>
            </w:r>
          </w:p>
        </w:tc>
        <w:tc>
          <w:tcPr>
            <w:tcW w:w="379" w:type="dxa"/>
            <w:tcBorders>
              <w:top w:val="nil"/>
              <w:left w:val="nil"/>
              <w:bottom w:val="single" w:sz="8" w:space="0" w:color="auto"/>
              <w:right w:val="single" w:sz="4" w:space="0" w:color="auto"/>
            </w:tcBorders>
            <w:shd w:val="clear" w:color="auto" w:fill="auto"/>
            <w:noWrap/>
            <w:vAlign w:val="bottom"/>
            <w:hideMark/>
          </w:tcPr>
          <w:p w14:paraId="069E200F"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 </w:t>
            </w:r>
          </w:p>
        </w:tc>
        <w:tc>
          <w:tcPr>
            <w:tcW w:w="379" w:type="dxa"/>
            <w:tcBorders>
              <w:top w:val="nil"/>
              <w:left w:val="nil"/>
              <w:bottom w:val="single" w:sz="8" w:space="0" w:color="auto"/>
              <w:right w:val="single" w:sz="4" w:space="0" w:color="auto"/>
            </w:tcBorders>
            <w:shd w:val="clear" w:color="auto" w:fill="auto"/>
            <w:noWrap/>
            <w:vAlign w:val="bottom"/>
            <w:hideMark/>
          </w:tcPr>
          <w:p w14:paraId="7B408582"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 </w:t>
            </w:r>
          </w:p>
        </w:tc>
        <w:tc>
          <w:tcPr>
            <w:tcW w:w="379" w:type="dxa"/>
            <w:tcBorders>
              <w:top w:val="nil"/>
              <w:left w:val="nil"/>
              <w:bottom w:val="single" w:sz="8" w:space="0" w:color="auto"/>
              <w:right w:val="single" w:sz="8" w:space="0" w:color="auto"/>
            </w:tcBorders>
            <w:shd w:val="clear" w:color="auto" w:fill="auto"/>
            <w:noWrap/>
            <w:vAlign w:val="bottom"/>
            <w:hideMark/>
          </w:tcPr>
          <w:p w14:paraId="754ED6EA" w14:textId="77777777" w:rsidR="00AB4AFF" w:rsidRPr="00AB4AFF" w:rsidRDefault="00AB4AFF" w:rsidP="00AB4AFF">
            <w:pPr>
              <w:spacing w:after="0" w:line="240" w:lineRule="auto"/>
              <w:jc w:val="center"/>
              <w:rPr>
                <w:rFonts w:ascii="Calibri" w:eastAsia="Times New Roman" w:hAnsi="Calibri" w:cs="Calibri"/>
                <w:color w:val="000000"/>
                <w:sz w:val="16"/>
                <w:szCs w:val="16"/>
              </w:rPr>
            </w:pPr>
            <w:r w:rsidRPr="00AB4AFF">
              <w:rPr>
                <w:rFonts w:ascii="Calibri" w:eastAsia="Times New Roman" w:hAnsi="Calibri" w:cs="Calibri"/>
                <w:color w:val="000000"/>
                <w:sz w:val="16"/>
                <w:szCs w:val="16"/>
              </w:rPr>
              <w:t> </w:t>
            </w:r>
          </w:p>
        </w:tc>
      </w:tr>
      <w:tr w:rsidR="00AB4AFF" w:rsidRPr="00AB4AFF" w14:paraId="0E9A56FE" w14:textId="77777777" w:rsidTr="008C0F8B">
        <w:trPr>
          <w:trHeight w:val="290"/>
        </w:trPr>
        <w:tc>
          <w:tcPr>
            <w:tcW w:w="1070" w:type="dxa"/>
            <w:tcBorders>
              <w:top w:val="single" w:sz="8" w:space="0" w:color="auto"/>
              <w:left w:val="single" w:sz="8" w:space="0" w:color="auto"/>
              <w:bottom w:val="nil"/>
              <w:right w:val="nil"/>
            </w:tcBorders>
            <w:shd w:val="clear" w:color="000000" w:fill="FFFFFF"/>
            <w:noWrap/>
            <w:vAlign w:val="bottom"/>
            <w:hideMark/>
          </w:tcPr>
          <w:p w14:paraId="18370DE2" w14:textId="77777777" w:rsidR="00AB4AFF" w:rsidRPr="008D1EB3" w:rsidRDefault="00AB4AFF" w:rsidP="00AB4AFF">
            <w:pPr>
              <w:spacing w:after="0" w:line="240" w:lineRule="auto"/>
              <w:jc w:val="left"/>
              <w:rPr>
                <w:rFonts w:ascii="Calibri" w:eastAsia="Times New Roman" w:hAnsi="Calibri" w:cs="Calibri"/>
                <w:b/>
                <w:bCs/>
                <w:color w:val="000000"/>
              </w:rPr>
            </w:pPr>
            <w:r w:rsidRPr="008D1EB3">
              <w:rPr>
                <w:rFonts w:ascii="Calibri" w:eastAsia="Times New Roman" w:hAnsi="Calibri" w:cs="Calibri"/>
                <w:b/>
                <w:bCs/>
                <w:color w:val="000000"/>
              </w:rPr>
              <w:t> </w:t>
            </w:r>
          </w:p>
        </w:tc>
        <w:tc>
          <w:tcPr>
            <w:tcW w:w="498" w:type="dxa"/>
            <w:tcBorders>
              <w:top w:val="single" w:sz="8" w:space="0" w:color="auto"/>
              <w:left w:val="nil"/>
              <w:bottom w:val="nil"/>
              <w:right w:val="nil"/>
            </w:tcBorders>
            <w:shd w:val="clear" w:color="000000" w:fill="FFFFFF"/>
            <w:noWrap/>
            <w:vAlign w:val="bottom"/>
            <w:hideMark/>
          </w:tcPr>
          <w:p w14:paraId="131C4FFA" w14:textId="77777777" w:rsidR="00AB4AFF" w:rsidRPr="008D1EB3" w:rsidRDefault="00AB4AFF" w:rsidP="00AB4AFF">
            <w:pPr>
              <w:spacing w:after="0" w:line="240" w:lineRule="auto"/>
              <w:jc w:val="left"/>
              <w:rPr>
                <w:rFonts w:ascii="Calibri" w:eastAsia="Times New Roman" w:hAnsi="Calibri" w:cs="Calibri"/>
                <w:b/>
                <w:bCs/>
                <w:color w:val="000000"/>
              </w:rPr>
            </w:pPr>
            <w:r w:rsidRPr="008D1EB3">
              <w:rPr>
                <w:rFonts w:ascii="Calibri" w:eastAsia="Times New Roman" w:hAnsi="Calibri" w:cs="Calibri"/>
                <w:b/>
                <w:bCs/>
                <w:color w:val="000000"/>
              </w:rPr>
              <w:t> </w:t>
            </w:r>
          </w:p>
        </w:tc>
        <w:tc>
          <w:tcPr>
            <w:tcW w:w="498" w:type="dxa"/>
            <w:tcBorders>
              <w:top w:val="single" w:sz="8" w:space="0" w:color="auto"/>
              <w:left w:val="nil"/>
              <w:bottom w:val="nil"/>
              <w:right w:val="single" w:sz="8" w:space="0" w:color="auto"/>
            </w:tcBorders>
            <w:shd w:val="clear" w:color="000000" w:fill="FFFFFF"/>
            <w:noWrap/>
            <w:vAlign w:val="bottom"/>
            <w:hideMark/>
          </w:tcPr>
          <w:p w14:paraId="4034D820" w14:textId="77777777" w:rsidR="00AB4AFF" w:rsidRPr="008D1EB3" w:rsidRDefault="00AB4AFF" w:rsidP="00AB4AFF">
            <w:pPr>
              <w:spacing w:after="0" w:line="240" w:lineRule="auto"/>
              <w:jc w:val="left"/>
              <w:rPr>
                <w:rFonts w:ascii="Calibri" w:eastAsia="Times New Roman" w:hAnsi="Calibri" w:cs="Calibri"/>
                <w:b/>
                <w:bCs/>
                <w:color w:val="000000"/>
              </w:rPr>
            </w:pPr>
            <w:r w:rsidRPr="008D1EB3">
              <w:rPr>
                <w:rFonts w:ascii="Calibri" w:eastAsia="Times New Roman" w:hAnsi="Calibri" w:cs="Calibri"/>
                <w:b/>
                <w:bCs/>
                <w:color w:val="000000"/>
              </w:rPr>
              <w:t> </w:t>
            </w:r>
          </w:p>
        </w:tc>
        <w:tc>
          <w:tcPr>
            <w:tcW w:w="4004" w:type="dxa"/>
            <w:gridSpan w:val="6"/>
            <w:tcBorders>
              <w:top w:val="single" w:sz="8" w:space="0" w:color="auto"/>
              <w:left w:val="nil"/>
              <w:bottom w:val="single" w:sz="4" w:space="0" w:color="auto"/>
              <w:right w:val="single" w:sz="8" w:space="0" w:color="000000"/>
            </w:tcBorders>
            <w:shd w:val="clear" w:color="000000" w:fill="FFFFFF"/>
            <w:noWrap/>
            <w:vAlign w:val="bottom"/>
            <w:hideMark/>
          </w:tcPr>
          <w:p w14:paraId="46542734" w14:textId="77777777" w:rsidR="00AB4AFF" w:rsidRPr="008D1EB3" w:rsidRDefault="00AB4AFF" w:rsidP="00AB4AFF">
            <w:pPr>
              <w:spacing w:after="0" w:line="240" w:lineRule="auto"/>
              <w:jc w:val="center"/>
              <w:rPr>
                <w:rFonts w:ascii="Calibri" w:eastAsia="Times New Roman" w:hAnsi="Calibri" w:cs="Calibri"/>
                <w:b/>
                <w:bCs/>
                <w:color w:val="000000"/>
              </w:rPr>
            </w:pPr>
            <w:r w:rsidRPr="008D1EB3">
              <w:rPr>
                <w:rFonts w:ascii="Calibri" w:eastAsia="Times New Roman" w:hAnsi="Calibri" w:cs="Calibri"/>
                <w:b/>
                <w:bCs/>
                <w:color w:val="000000"/>
              </w:rPr>
              <w:t>Renal</w:t>
            </w:r>
          </w:p>
        </w:tc>
        <w:tc>
          <w:tcPr>
            <w:tcW w:w="298" w:type="dxa"/>
            <w:tcBorders>
              <w:top w:val="nil"/>
              <w:left w:val="nil"/>
              <w:bottom w:val="single" w:sz="4" w:space="0" w:color="auto"/>
              <w:right w:val="single" w:sz="4" w:space="0" w:color="auto"/>
            </w:tcBorders>
            <w:shd w:val="clear" w:color="000000" w:fill="9BC2E6"/>
            <w:noWrap/>
            <w:vAlign w:val="bottom"/>
            <w:hideMark/>
          </w:tcPr>
          <w:p w14:paraId="2570DF18" w14:textId="77777777" w:rsidR="00AB4AFF" w:rsidRPr="00AB4AFF" w:rsidRDefault="00AB4AFF" w:rsidP="00AB4AFF">
            <w:pPr>
              <w:spacing w:after="0" w:line="240" w:lineRule="auto"/>
              <w:jc w:val="center"/>
              <w:rPr>
                <w:rFonts w:ascii="Calibri" w:eastAsia="Times New Roman" w:hAnsi="Calibri" w:cs="Calibri"/>
                <w:color w:val="000000"/>
              </w:rPr>
            </w:pPr>
            <w:r w:rsidRPr="00AB4AFF">
              <w:rPr>
                <w:rFonts w:ascii="Calibri" w:eastAsia="Times New Roman" w:hAnsi="Calibri" w:cs="Calibri"/>
                <w:color w:val="000000"/>
              </w:rPr>
              <w:t> </w:t>
            </w:r>
          </w:p>
        </w:tc>
        <w:tc>
          <w:tcPr>
            <w:tcW w:w="298" w:type="dxa"/>
            <w:tcBorders>
              <w:top w:val="nil"/>
              <w:left w:val="nil"/>
              <w:bottom w:val="single" w:sz="4" w:space="0" w:color="auto"/>
              <w:right w:val="single" w:sz="4" w:space="0" w:color="auto"/>
            </w:tcBorders>
            <w:shd w:val="clear" w:color="000000" w:fill="9BC2E6"/>
            <w:noWrap/>
            <w:vAlign w:val="bottom"/>
            <w:hideMark/>
          </w:tcPr>
          <w:p w14:paraId="762B5017" w14:textId="77777777" w:rsidR="00AB4AFF" w:rsidRPr="00AB4AFF" w:rsidRDefault="00AB4AFF" w:rsidP="00AB4AFF">
            <w:pPr>
              <w:spacing w:after="0" w:line="240" w:lineRule="auto"/>
              <w:jc w:val="center"/>
              <w:rPr>
                <w:rFonts w:ascii="Calibri" w:eastAsia="Times New Roman" w:hAnsi="Calibri" w:cs="Calibri"/>
                <w:color w:val="000000"/>
              </w:rPr>
            </w:pPr>
            <w:r w:rsidRPr="00AB4AFF">
              <w:rPr>
                <w:rFonts w:ascii="Calibri" w:eastAsia="Times New Roman" w:hAnsi="Calibri" w:cs="Calibri"/>
                <w:color w:val="000000"/>
              </w:rPr>
              <w:t> </w:t>
            </w:r>
          </w:p>
        </w:tc>
        <w:tc>
          <w:tcPr>
            <w:tcW w:w="298" w:type="dxa"/>
            <w:tcBorders>
              <w:top w:val="nil"/>
              <w:left w:val="nil"/>
              <w:bottom w:val="single" w:sz="4" w:space="0" w:color="auto"/>
              <w:right w:val="single" w:sz="4" w:space="0" w:color="auto"/>
            </w:tcBorders>
            <w:shd w:val="clear" w:color="auto" w:fill="auto"/>
            <w:noWrap/>
            <w:vAlign w:val="bottom"/>
            <w:hideMark/>
          </w:tcPr>
          <w:p w14:paraId="76AC8148" w14:textId="77777777" w:rsidR="00AB4AFF" w:rsidRPr="00AB4AFF" w:rsidRDefault="00AB4AFF" w:rsidP="00AB4AFF">
            <w:pPr>
              <w:spacing w:after="0" w:line="240" w:lineRule="auto"/>
              <w:jc w:val="center"/>
              <w:rPr>
                <w:rFonts w:ascii="Calibri" w:eastAsia="Times New Roman" w:hAnsi="Calibri" w:cs="Calibri"/>
                <w:color w:val="000000"/>
              </w:rPr>
            </w:pPr>
            <w:r w:rsidRPr="00AB4AFF">
              <w:rPr>
                <w:rFonts w:ascii="Calibri" w:eastAsia="Times New Roman" w:hAnsi="Calibri" w:cs="Calibri"/>
                <w:color w:val="000000"/>
              </w:rPr>
              <w:t> </w:t>
            </w:r>
          </w:p>
        </w:tc>
        <w:tc>
          <w:tcPr>
            <w:tcW w:w="298" w:type="dxa"/>
            <w:tcBorders>
              <w:top w:val="nil"/>
              <w:left w:val="nil"/>
              <w:bottom w:val="single" w:sz="4" w:space="0" w:color="auto"/>
              <w:right w:val="single" w:sz="4" w:space="0" w:color="auto"/>
            </w:tcBorders>
            <w:shd w:val="clear" w:color="000000" w:fill="9BC2E6"/>
            <w:noWrap/>
            <w:vAlign w:val="bottom"/>
            <w:hideMark/>
          </w:tcPr>
          <w:p w14:paraId="52E89BF8" w14:textId="77777777" w:rsidR="00AB4AFF" w:rsidRPr="00AB4AFF" w:rsidRDefault="00AB4AFF" w:rsidP="00AB4AFF">
            <w:pPr>
              <w:spacing w:after="0" w:line="240" w:lineRule="auto"/>
              <w:jc w:val="center"/>
              <w:rPr>
                <w:rFonts w:ascii="Calibri" w:eastAsia="Times New Roman" w:hAnsi="Calibri" w:cs="Calibri"/>
                <w:color w:val="000000"/>
              </w:rPr>
            </w:pPr>
            <w:r w:rsidRPr="00AB4AFF">
              <w:rPr>
                <w:rFonts w:ascii="Calibri" w:eastAsia="Times New Roman" w:hAnsi="Calibri" w:cs="Calibri"/>
                <w:color w:val="000000"/>
              </w:rPr>
              <w:t> </w:t>
            </w:r>
          </w:p>
        </w:tc>
        <w:tc>
          <w:tcPr>
            <w:tcW w:w="298" w:type="dxa"/>
            <w:tcBorders>
              <w:top w:val="nil"/>
              <w:left w:val="nil"/>
              <w:bottom w:val="single" w:sz="4" w:space="0" w:color="auto"/>
              <w:right w:val="single" w:sz="4" w:space="0" w:color="auto"/>
            </w:tcBorders>
            <w:shd w:val="clear" w:color="000000" w:fill="9BC2E6"/>
            <w:noWrap/>
            <w:vAlign w:val="bottom"/>
            <w:hideMark/>
          </w:tcPr>
          <w:p w14:paraId="40B459D4" w14:textId="77777777" w:rsidR="00AB4AFF" w:rsidRPr="00AB4AFF" w:rsidRDefault="00AB4AFF" w:rsidP="00AB4AFF">
            <w:pPr>
              <w:spacing w:after="0" w:line="240" w:lineRule="auto"/>
              <w:jc w:val="center"/>
              <w:rPr>
                <w:rFonts w:ascii="Calibri" w:eastAsia="Times New Roman" w:hAnsi="Calibri" w:cs="Calibri"/>
                <w:color w:val="000000"/>
              </w:rPr>
            </w:pPr>
            <w:r w:rsidRPr="00AB4AFF">
              <w:rPr>
                <w:rFonts w:ascii="Calibri" w:eastAsia="Times New Roman" w:hAnsi="Calibri" w:cs="Calibri"/>
                <w:color w:val="000000"/>
              </w:rPr>
              <w:t> </w:t>
            </w:r>
          </w:p>
        </w:tc>
        <w:tc>
          <w:tcPr>
            <w:tcW w:w="298" w:type="dxa"/>
            <w:tcBorders>
              <w:top w:val="nil"/>
              <w:left w:val="nil"/>
              <w:bottom w:val="single" w:sz="4" w:space="0" w:color="auto"/>
              <w:right w:val="single" w:sz="4" w:space="0" w:color="auto"/>
            </w:tcBorders>
            <w:shd w:val="clear" w:color="000000" w:fill="FFFFFF"/>
            <w:noWrap/>
            <w:vAlign w:val="bottom"/>
            <w:hideMark/>
          </w:tcPr>
          <w:p w14:paraId="61E6E099" w14:textId="77777777" w:rsidR="00AB4AFF" w:rsidRPr="00AB4AFF" w:rsidRDefault="00AB4AFF" w:rsidP="00AB4AFF">
            <w:pPr>
              <w:spacing w:after="0" w:line="240" w:lineRule="auto"/>
              <w:jc w:val="center"/>
              <w:rPr>
                <w:rFonts w:ascii="Calibri" w:eastAsia="Times New Roman" w:hAnsi="Calibri" w:cs="Calibri"/>
                <w:color w:val="000000"/>
              </w:rPr>
            </w:pPr>
            <w:r w:rsidRPr="00AB4AFF">
              <w:rPr>
                <w:rFonts w:ascii="Calibri" w:eastAsia="Times New Roman" w:hAnsi="Calibri" w:cs="Calibri"/>
                <w:color w:val="000000"/>
              </w:rPr>
              <w:t> </w:t>
            </w:r>
          </w:p>
        </w:tc>
        <w:tc>
          <w:tcPr>
            <w:tcW w:w="298" w:type="dxa"/>
            <w:tcBorders>
              <w:top w:val="nil"/>
              <w:left w:val="nil"/>
              <w:bottom w:val="single" w:sz="4" w:space="0" w:color="auto"/>
              <w:right w:val="single" w:sz="4" w:space="0" w:color="auto"/>
            </w:tcBorders>
            <w:shd w:val="clear" w:color="000000" w:fill="FFFFFF"/>
            <w:noWrap/>
            <w:vAlign w:val="bottom"/>
            <w:hideMark/>
          </w:tcPr>
          <w:p w14:paraId="71432B77" w14:textId="77777777" w:rsidR="00AB4AFF" w:rsidRPr="00AB4AFF" w:rsidRDefault="00AB4AFF" w:rsidP="00AB4AFF">
            <w:pPr>
              <w:spacing w:after="0" w:line="240" w:lineRule="auto"/>
              <w:jc w:val="center"/>
              <w:rPr>
                <w:rFonts w:ascii="Calibri" w:eastAsia="Times New Roman" w:hAnsi="Calibri" w:cs="Calibri"/>
                <w:color w:val="000000"/>
              </w:rPr>
            </w:pPr>
            <w:r w:rsidRPr="00AB4AFF">
              <w:rPr>
                <w:rFonts w:ascii="Calibri" w:eastAsia="Times New Roman" w:hAnsi="Calibri" w:cs="Calibri"/>
                <w:color w:val="000000"/>
              </w:rPr>
              <w:t> </w:t>
            </w:r>
          </w:p>
        </w:tc>
        <w:tc>
          <w:tcPr>
            <w:tcW w:w="298" w:type="dxa"/>
            <w:tcBorders>
              <w:top w:val="nil"/>
              <w:left w:val="nil"/>
              <w:bottom w:val="single" w:sz="4" w:space="0" w:color="auto"/>
              <w:right w:val="single" w:sz="4" w:space="0" w:color="auto"/>
            </w:tcBorders>
            <w:shd w:val="clear" w:color="000000" w:fill="FFFFFF"/>
            <w:noWrap/>
            <w:vAlign w:val="bottom"/>
            <w:hideMark/>
          </w:tcPr>
          <w:p w14:paraId="38E764EC" w14:textId="77777777" w:rsidR="00AB4AFF" w:rsidRPr="00AB4AFF" w:rsidRDefault="00AB4AFF" w:rsidP="00AB4AFF">
            <w:pPr>
              <w:spacing w:after="0" w:line="240" w:lineRule="auto"/>
              <w:jc w:val="center"/>
              <w:rPr>
                <w:rFonts w:ascii="Calibri" w:eastAsia="Times New Roman" w:hAnsi="Calibri" w:cs="Calibri"/>
                <w:color w:val="000000"/>
              </w:rPr>
            </w:pPr>
            <w:r w:rsidRPr="00AB4AFF">
              <w:rPr>
                <w:rFonts w:ascii="Calibri" w:eastAsia="Times New Roman" w:hAnsi="Calibri" w:cs="Calibri"/>
                <w:color w:val="000000"/>
              </w:rPr>
              <w:t> </w:t>
            </w:r>
          </w:p>
        </w:tc>
        <w:tc>
          <w:tcPr>
            <w:tcW w:w="379" w:type="dxa"/>
            <w:tcBorders>
              <w:top w:val="nil"/>
              <w:left w:val="nil"/>
              <w:bottom w:val="single" w:sz="4" w:space="0" w:color="auto"/>
              <w:right w:val="single" w:sz="4" w:space="0" w:color="auto"/>
            </w:tcBorders>
            <w:shd w:val="clear" w:color="000000" w:fill="FFFFFF"/>
            <w:noWrap/>
            <w:vAlign w:val="bottom"/>
            <w:hideMark/>
          </w:tcPr>
          <w:p w14:paraId="201792C5" w14:textId="77777777" w:rsidR="00AB4AFF" w:rsidRPr="00AB4AFF" w:rsidRDefault="00AB4AFF" w:rsidP="00AB4AFF">
            <w:pPr>
              <w:spacing w:after="0" w:line="240" w:lineRule="auto"/>
              <w:jc w:val="center"/>
              <w:rPr>
                <w:rFonts w:ascii="Calibri" w:eastAsia="Times New Roman" w:hAnsi="Calibri" w:cs="Calibri"/>
                <w:color w:val="000000"/>
              </w:rPr>
            </w:pPr>
            <w:r w:rsidRPr="00AB4AFF">
              <w:rPr>
                <w:rFonts w:ascii="Calibri" w:eastAsia="Times New Roman" w:hAnsi="Calibri" w:cs="Calibri"/>
                <w:color w:val="000000"/>
              </w:rPr>
              <w:t> </w:t>
            </w:r>
          </w:p>
        </w:tc>
        <w:tc>
          <w:tcPr>
            <w:tcW w:w="379" w:type="dxa"/>
            <w:tcBorders>
              <w:top w:val="nil"/>
              <w:left w:val="nil"/>
              <w:bottom w:val="single" w:sz="4" w:space="0" w:color="auto"/>
              <w:right w:val="single" w:sz="4" w:space="0" w:color="auto"/>
            </w:tcBorders>
            <w:shd w:val="clear" w:color="000000" w:fill="FFFFFF"/>
            <w:noWrap/>
            <w:vAlign w:val="bottom"/>
            <w:hideMark/>
          </w:tcPr>
          <w:p w14:paraId="43664BA9" w14:textId="77777777" w:rsidR="00AB4AFF" w:rsidRPr="00AB4AFF" w:rsidRDefault="00AB4AFF" w:rsidP="00AB4AFF">
            <w:pPr>
              <w:spacing w:after="0" w:line="240" w:lineRule="auto"/>
              <w:jc w:val="center"/>
              <w:rPr>
                <w:rFonts w:ascii="Calibri" w:eastAsia="Times New Roman" w:hAnsi="Calibri" w:cs="Calibri"/>
                <w:color w:val="000000"/>
              </w:rPr>
            </w:pPr>
            <w:r w:rsidRPr="00AB4AFF">
              <w:rPr>
                <w:rFonts w:ascii="Calibri" w:eastAsia="Times New Roman" w:hAnsi="Calibri" w:cs="Calibri"/>
                <w:color w:val="000000"/>
              </w:rPr>
              <w:t> </w:t>
            </w:r>
          </w:p>
        </w:tc>
        <w:tc>
          <w:tcPr>
            <w:tcW w:w="379" w:type="dxa"/>
            <w:tcBorders>
              <w:top w:val="nil"/>
              <w:left w:val="nil"/>
              <w:bottom w:val="single" w:sz="4" w:space="0" w:color="auto"/>
              <w:right w:val="single" w:sz="4" w:space="0" w:color="auto"/>
            </w:tcBorders>
            <w:shd w:val="clear" w:color="000000" w:fill="9BC2E6"/>
            <w:noWrap/>
            <w:vAlign w:val="bottom"/>
            <w:hideMark/>
          </w:tcPr>
          <w:p w14:paraId="46715FCC" w14:textId="77777777" w:rsidR="00AB4AFF" w:rsidRPr="00AB4AFF" w:rsidRDefault="00AB4AFF" w:rsidP="00AB4AFF">
            <w:pPr>
              <w:spacing w:after="0" w:line="240" w:lineRule="auto"/>
              <w:jc w:val="center"/>
              <w:rPr>
                <w:rFonts w:ascii="Calibri" w:eastAsia="Times New Roman" w:hAnsi="Calibri" w:cs="Calibri"/>
                <w:color w:val="000000"/>
              </w:rPr>
            </w:pPr>
            <w:r w:rsidRPr="00AB4AFF">
              <w:rPr>
                <w:rFonts w:ascii="Calibri" w:eastAsia="Times New Roman" w:hAnsi="Calibri" w:cs="Calibri"/>
                <w:color w:val="000000"/>
              </w:rPr>
              <w:t> </w:t>
            </w:r>
          </w:p>
        </w:tc>
        <w:tc>
          <w:tcPr>
            <w:tcW w:w="379" w:type="dxa"/>
            <w:tcBorders>
              <w:top w:val="nil"/>
              <w:left w:val="nil"/>
              <w:bottom w:val="single" w:sz="4" w:space="0" w:color="auto"/>
              <w:right w:val="single" w:sz="4" w:space="0" w:color="auto"/>
            </w:tcBorders>
            <w:shd w:val="clear" w:color="000000" w:fill="FFFFFF"/>
            <w:noWrap/>
            <w:vAlign w:val="bottom"/>
            <w:hideMark/>
          </w:tcPr>
          <w:p w14:paraId="0674E0F1" w14:textId="77777777" w:rsidR="00AB4AFF" w:rsidRPr="00AB4AFF" w:rsidRDefault="00AB4AFF" w:rsidP="00AB4AFF">
            <w:pPr>
              <w:spacing w:after="0" w:line="240" w:lineRule="auto"/>
              <w:jc w:val="center"/>
              <w:rPr>
                <w:rFonts w:ascii="Calibri" w:eastAsia="Times New Roman" w:hAnsi="Calibri" w:cs="Calibri"/>
                <w:color w:val="000000"/>
              </w:rPr>
            </w:pPr>
            <w:r w:rsidRPr="00AB4AFF">
              <w:rPr>
                <w:rFonts w:ascii="Calibri" w:eastAsia="Times New Roman" w:hAnsi="Calibri" w:cs="Calibri"/>
                <w:color w:val="000000"/>
              </w:rPr>
              <w:t> </w:t>
            </w:r>
          </w:p>
        </w:tc>
        <w:tc>
          <w:tcPr>
            <w:tcW w:w="379" w:type="dxa"/>
            <w:tcBorders>
              <w:top w:val="nil"/>
              <w:left w:val="nil"/>
              <w:bottom w:val="single" w:sz="4" w:space="0" w:color="auto"/>
              <w:right w:val="single" w:sz="4" w:space="0" w:color="auto"/>
            </w:tcBorders>
            <w:shd w:val="clear" w:color="000000" w:fill="9BC2E6"/>
            <w:noWrap/>
            <w:vAlign w:val="bottom"/>
            <w:hideMark/>
          </w:tcPr>
          <w:p w14:paraId="4CE62A22" w14:textId="77777777" w:rsidR="00AB4AFF" w:rsidRPr="00AB4AFF" w:rsidRDefault="00AB4AFF" w:rsidP="00AB4AFF">
            <w:pPr>
              <w:spacing w:after="0" w:line="240" w:lineRule="auto"/>
              <w:jc w:val="center"/>
              <w:rPr>
                <w:rFonts w:ascii="Calibri" w:eastAsia="Times New Roman" w:hAnsi="Calibri" w:cs="Calibri"/>
                <w:color w:val="000000"/>
              </w:rPr>
            </w:pPr>
            <w:r w:rsidRPr="00AB4AFF">
              <w:rPr>
                <w:rFonts w:ascii="Calibri" w:eastAsia="Times New Roman" w:hAnsi="Calibri" w:cs="Calibri"/>
                <w:color w:val="000000"/>
              </w:rPr>
              <w:t> </w:t>
            </w:r>
          </w:p>
        </w:tc>
        <w:tc>
          <w:tcPr>
            <w:tcW w:w="379" w:type="dxa"/>
            <w:tcBorders>
              <w:top w:val="nil"/>
              <w:left w:val="nil"/>
              <w:bottom w:val="single" w:sz="4" w:space="0" w:color="auto"/>
              <w:right w:val="single" w:sz="4" w:space="0" w:color="auto"/>
            </w:tcBorders>
            <w:shd w:val="clear" w:color="000000" w:fill="9BC2E6"/>
            <w:noWrap/>
            <w:vAlign w:val="bottom"/>
            <w:hideMark/>
          </w:tcPr>
          <w:p w14:paraId="34EB371D" w14:textId="77777777" w:rsidR="00AB4AFF" w:rsidRPr="00AB4AFF" w:rsidRDefault="00AB4AFF" w:rsidP="00AB4AFF">
            <w:pPr>
              <w:spacing w:after="0" w:line="240" w:lineRule="auto"/>
              <w:jc w:val="center"/>
              <w:rPr>
                <w:rFonts w:ascii="Calibri" w:eastAsia="Times New Roman" w:hAnsi="Calibri" w:cs="Calibri"/>
                <w:color w:val="000000"/>
              </w:rPr>
            </w:pPr>
            <w:r w:rsidRPr="00AB4AFF">
              <w:rPr>
                <w:rFonts w:ascii="Calibri" w:eastAsia="Times New Roman" w:hAnsi="Calibri" w:cs="Calibri"/>
                <w:color w:val="000000"/>
              </w:rPr>
              <w:t> </w:t>
            </w:r>
          </w:p>
        </w:tc>
        <w:tc>
          <w:tcPr>
            <w:tcW w:w="379" w:type="dxa"/>
            <w:tcBorders>
              <w:top w:val="nil"/>
              <w:left w:val="nil"/>
              <w:bottom w:val="single" w:sz="4" w:space="0" w:color="auto"/>
              <w:right w:val="single" w:sz="4" w:space="0" w:color="auto"/>
            </w:tcBorders>
            <w:shd w:val="clear" w:color="000000" w:fill="9BC2E6"/>
            <w:noWrap/>
            <w:vAlign w:val="bottom"/>
            <w:hideMark/>
          </w:tcPr>
          <w:p w14:paraId="3EAE286E" w14:textId="77777777" w:rsidR="00AB4AFF" w:rsidRPr="00AB4AFF" w:rsidRDefault="00AB4AFF" w:rsidP="00AB4AFF">
            <w:pPr>
              <w:spacing w:after="0" w:line="240" w:lineRule="auto"/>
              <w:jc w:val="center"/>
              <w:rPr>
                <w:rFonts w:ascii="Calibri" w:eastAsia="Times New Roman" w:hAnsi="Calibri" w:cs="Calibri"/>
                <w:color w:val="000000"/>
              </w:rPr>
            </w:pPr>
            <w:r w:rsidRPr="00AB4AFF">
              <w:rPr>
                <w:rFonts w:ascii="Calibri" w:eastAsia="Times New Roman" w:hAnsi="Calibri" w:cs="Calibri"/>
                <w:color w:val="000000"/>
              </w:rPr>
              <w:t> </w:t>
            </w:r>
          </w:p>
        </w:tc>
        <w:tc>
          <w:tcPr>
            <w:tcW w:w="379" w:type="dxa"/>
            <w:tcBorders>
              <w:top w:val="nil"/>
              <w:left w:val="nil"/>
              <w:bottom w:val="single" w:sz="4" w:space="0" w:color="auto"/>
              <w:right w:val="single" w:sz="4" w:space="0" w:color="auto"/>
            </w:tcBorders>
            <w:shd w:val="clear" w:color="000000" w:fill="9BC2E6"/>
            <w:noWrap/>
            <w:vAlign w:val="bottom"/>
            <w:hideMark/>
          </w:tcPr>
          <w:p w14:paraId="3A51D615" w14:textId="77777777" w:rsidR="00AB4AFF" w:rsidRPr="00AB4AFF" w:rsidRDefault="00AB4AFF" w:rsidP="00AB4AFF">
            <w:pPr>
              <w:spacing w:after="0" w:line="240" w:lineRule="auto"/>
              <w:jc w:val="center"/>
              <w:rPr>
                <w:rFonts w:ascii="Calibri" w:eastAsia="Times New Roman" w:hAnsi="Calibri" w:cs="Calibri"/>
                <w:color w:val="000000"/>
              </w:rPr>
            </w:pPr>
            <w:r w:rsidRPr="00AB4AFF">
              <w:rPr>
                <w:rFonts w:ascii="Calibri" w:eastAsia="Times New Roman" w:hAnsi="Calibri" w:cs="Calibri"/>
                <w:color w:val="000000"/>
              </w:rPr>
              <w:t> </w:t>
            </w:r>
          </w:p>
        </w:tc>
        <w:tc>
          <w:tcPr>
            <w:tcW w:w="379" w:type="dxa"/>
            <w:tcBorders>
              <w:top w:val="nil"/>
              <w:left w:val="nil"/>
              <w:bottom w:val="single" w:sz="4" w:space="0" w:color="auto"/>
              <w:right w:val="single" w:sz="4" w:space="0" w:color="auto"/>
            </w:tcBorders>
            <w:shd w:val="clear" w:color="000000" w:fill="9BC2E6"/>
            <w:noWrap/>
            <w:vAlign w:val="bottom"/>
            <w:hideMark/>
          </w:tcPr>
          <w:p w14:paraId="708EC076" w14:textId="77777777" w:rsidR="00AB4AFF" w:rsidRPr="00AB4AFF" w:rsidRDefault="00AB4AFF" w:rsidP="00AB4AFF">
            <w:pPr>
              <w:spacing w:after="0" w:line="240" w:lineRule="auto"/>
              <w:jc w:val="center"/>
              <w:rPr>
                <w:rFonts w:ascii="Calibri" w:eastAsia="Times New Roman" w:hAnsi="Calibri" w:cs="Calibri"/>
                <w:color w:val="000000"/>
              </w:rPr>
            </w:pPr>
            <w:r w:rsidRPr="00AB4AFF">
              <w:rPr>
                <w:rFonts w:ascii="Calibri" w:eastAsia="Times New Roman" w:hAnsi="Calibri" w:cs="Calibri"/>
                <w:color w:val="000000"/>
              </w:rPr>
              <w:t> </w:t>
            </w:r>
          </w:p>
        </w:tc>
        <w:tc>
          <w:tcPr>
            <w:tcW w:w="379" w:type="dxa"/>
            <w:tcBorders>
              <w:top w:val="nil"/>
              <w:left w:val="nil"/>
              <w:bottom w:val="single" w:sz="4" w:space="0" w:color="auto"/>
              <w:right w:val="single" w:sz="4" w:space="0" w:color="auto"/>
            </w:tcBorders>
            <w:shd w:val="clear" w:color="000000" w:fill="9BC2E6"/>
            <w:noWrap/>
            <w:vAlign w:val="bottom"/>
            <w:hideMark/>
          </w:tcPr>
          <w:p w14:paraId="2F7A7118" w14:textId="77777777" w:rsidR="00AB4AFF" w:rsidRPr="00AB4AFF" w:rsidRDefault="00AB4AFF" w:rsidP="00AB4AFF">
            <w:pPr>
              <w:spacing w:after="0" w:line="240" w:lineRule="auto"/>
              <w:jc w:val="center"/>
              <w:rPr>
                <w:rFonts w:ascii="Calibri" w:eastAsia="Times New Roman" w:hAnsi="Calibri" w:cs="Calibri"/>
                <w:color w:val="000000"/>
              </w:rPr>
            </w:pPr>
            <w:r w:rsidRPr="00AB4AFF">
              <w:rPr>
                <w:rFonts w:ascii="Calibri" w:eastAsia="Times New Roman" w:hAnsi="Calibri" w:cs="Calibri"/>
                <w:color w:val="000000"/>
              </w:rPr>
              <w:t> </w:t>
            </w:r>
          </w:p>
        </w:tc>
        <w:tc>
          <w:tcPr>
            <w:tcW w:w="379" w:type="dxa"/>
            <w:tcBorders>
              <w:top w:val="nil"/>
              <w:left w:val="nil"/>
              <w:bottom w:val="single" w:sz="4" w:space="0" w:color="auto"/>
              <w:right w:val="single" w:sz="4" w:space="0" w:color="auto"/>
            </w:tcBorders>
            <w:shd w:val="clear" w:color="000000" w:fill="9BC2E6"/>
            <w:noWrap/>
            <w:vAlign w:val="bottom"/>
            <w:hideMark/>
          </w:tcPr>
          <w:p w14:paraId="075173DF" w14:textId="77777777" w:rsidR="00AB4AFF" w:rsidRPr="00AB4AFF" w:rsidRDefault="00AB4AFF" w:rsidP="00AB4AFF">
            <w:pPr>
              <w:spacing w:after="0" w:line="240" w:lineRule="auto"/>
              <w:jc w:val="center"/>
              <w:rPr>
                <w:rFonts w:ascii="Calibri" w:eastAsia="Times New Roman" w:hAnsi="Calibri" w:cs="Calibri"/>
                <w:color w:val="000000"/>
              </w:rPr>
            </w:pPr>
            <w:r w:rsidRPr="00AB4AFF">
              <w:rPr>
                <w:rFonts w:ascii="Calibri" w:eastAsia="Times New Roman" w:hAnsi="Calibri" w:cs="Calibri"/>
                <w:color w:val="000000"/>
              </w:rPr>
              <w:t> </w:t>
            </w:r>
          </w:p>
        </w:tc>
        <w:tc>
          <w:tcPr>
            <w:tcW w:w="379" w:type="dxa"/>
            <w:tcBorders>
              <w:top w:val="nil"/>
              <w:left w:val="nil"/>
              <w:bottom w:val="single" w:sz="4" w:space="0" w:color="auto"/>
              <w:right w:val="single" w:sz="4" w:space="0" w:color="auto"/>
            </w:tcBorders>
            <w:shd w:val="clear" w:color="000000" w:fill="FFFFFF"/>
            <w:noWrap/>
            <w:vAlign w:val="bottom"/>
            <w:hideMark/>
          </w:tcPr>
          <w:p w14:paraId="5AD6F6CB" w14:textId="77777777" w:rsidR="00AB4AFF" w:rsidRPr="00AB4AFF" w:rsidRDefault="00AB4AFF" w:rsidP="00AB4AFF">
            <w:pPr>
              <w:spacing w:after="0" w:line="240" w:lineRule="auto"/>
              <w:jc w:val="center"/>
              <w:rPr>
                <w:rFonts w:ascii="Calibri" w:eastAsia="Times New Roman" w:hAnsi="Calibri" w:cs="Calibri"/>
                <w:color w:val="000000"/>
              </w:rPr>
            </w:pPr>
            <w:r w:rsidRPr="00AB4AFF">
              <w:rPr>
                <w:rFonts w:ascii="Calibri" w:eastAsia="Times New Roman" w:hAnsi="Calibri" w:cs="Calibri"/>
                <w:color w:val="000000"/>
              </w:rPr>
              <w:t> </w:t>
            </w:r>
          </w:p>
        </w:tc>
        <w:tc>
          <w:tcPr>
            <w:tcW w:w="379" w:type="dxa"/>
            <w:tcBorders>
              <w:top w:val="nil"/>
              <w:left w:val="nil"/>
              <w:bottom w:val="single" w:sz="4" w:space="0" w:color="auto"/>
              <w:right w:val="single" w:sz="4" w:space="0" w:color="auto"/>
            </w:tcBorders>
            <w:shd w:val="clear" w:color="000000" w:fill="9BC2E6"/>
            <w:noWrap/>
            <w:vAlign w:val="bottom"/>
            <w:hideMark/>
          </w:tcPr>
          <w:p w14:paraId="03C6C036" w14:textId="77777777" w:rsidR="00AB4AFF" w:rsidRPr="00AB4AFF" w:rsidRDefault="00AB4AFF" w:rsidP="00AB4AFF">
            <w:pPr>
              <w:spacing w:after="0" w:line="240" w:lineRule="auto"/>
              <w:jc w:val="center"/>
              <w:rPr>
                <w:rFonts w:ascii="Calibri" w:eastAsia="Times New Roman" w:hAnsi="Calibri" w:cs="Calibri"/>
                <w:color w:val="000000"/>
              </w:rPr>
            </w:pPr>
            <w:r w:rsidRPr="00AB4AFF">
              <w:rPr>
                <w:rFonts w:ascii="Calibri" w:eastAsia="Times New Roman" w:hAnsi="Calibri" w:cs="Calibri"/>
                <w:color w:val="000000"/>
              </w:rPr>
              <w:t> </w:t>
            </w:r>
          </w:p>
        </w:tc>
        <w:tc>
          <w:tcPr>
            <w:tcW w:w="379" w:type="dxa"/>
            <w:tcBorders>
              <w:top w:val="nil"/>
              <w:left w:val="nil"/>
              <w:bottom w:val="single" w:sz="4" w:space="0" w:color="auto"/>
              <w:right w:val="single" w:sz="4" w:space="0" w:color="auto"/>
            </w:tcBorders>
            <w:shd w:val="clear" w:color="000000" w:fill="9BC2E6"/>
            <w:noWrap/>
            <w:vAlign w:val="bottom"/>
            <w:hideMark/>
          </w:tcPr>
          <w:p w14:paraId="7AC891C2" w14:textId="77777777" w:rsidR="00AB4AFF" w:rsidRPr="00AB4AFF" w:rsidRDefault="00AB4AFF" w:rsidP="00AB4AFF">
            <w:pPr>
              <w:spacing w:after="0" w:line="240" w:lineRule="auto"/>
              <w:jc w:val="center"/>
              <w:rPr>
                <w:rFonts w:ascii="Calibri" w:eastAsia="Times New Roman" w:hAnsi="Calibri" w:cs="Calibri"/>
                <w:color w:val="000000"/>
              </w:rPr>
            </w:pPr>
            <w:r w:rsidRPr="00AB4AFF">
              <w:rPr>
                <w:rFonts w:ascii="Calibri" w:eastAsia="Times New Roman" w:hAnsi="Calibri" w:cs="Calibri"/>
                <w:color w:val="000000"/>
              </w:rPr>
              <w:t> </w:t>
            </w:r>
          </w:p>
        </w:tc>
        <w:tc>
          <w:tcPr>
            <w:tcW w:w="379" w:type="dxa"/>
            <w:tcBorders>
              <w:top w:val="nil"/>
              <w:left w:val="nil"/>
              <w:bottom w:val="single" w:sz="4" w:space="0" w:color="auto"/>
              <w:right w:val="single" w:sz="4" w:space="0" w:color="auto"/>
            </w:tcBorders>
            <w:shd w:val="clear" w:color="000000" w:fill="9BC2E6"/>
            <w:noWrap/>
            <w:vAlign w:val="bottom"/>
            <w:hideMark/>
          </w:tcPr>
          <w:p w14:paraId="7B8CBDE1" w14:textId="77777777" w:rsidR="00AB4AFF" w:rsidRPr="00AB4AFF" w:rsidRDefault="00AB4AFF" w:rsidP="00AB4AFF">
            <w:pPr>
              <w:spacing w:after="0" w:line="240" w:lineRule="auto"/>
              <w:jc w:val="center"/>
              <w:rPr>
                <w:rFonts w:ascii="Calibri" w:eastAsia="Times New Roman" w:hAnsi="Calibri" w:cs="Calibri"/>
                <w:color w:val="000000"/>
              </w:rPr>
            </w:pPr>
            <w:r w:rsidRPr="00AB4AFF">
              <w:rPr>
                <w:rFonts w:ascii="Calibri" w:eastAsia="Times New Roman" w:hAnsi="Calibri" w:cs="Calibri"/>
                <w:color w:val="000000"/>
              </w:rPr>
              <w:t> </w:t>
            </w:r>
          </w:p>
        </w:tc>
        <w:tc>
          <w:tcPr>
            <w:tcW w:w="379" w:type="dxa"/>
            <w:tcBorders>
              <w:top w:val="nil"/>
              <w:left w:val="nil"/>
              <w:bottom w:val="single" w:sz="4" w:space="0" w:color="auto"/>
              <w:right w:val="single" w:sz="4" w:space="0" w:color="auto"/>
            </w:tcBorders>
            <w:shd w:val="clear" w:color="auto" w:fill="auto"/>
            <w:noWrap/>
            <w:vAlign w:val="bottom"/>
            <w:hideMark/>
          </w:tcPr>
          <w:p w14:paraId="615D4B0F" w14:textId="77777777" w:rsidR="00AB4AFF" w:rsidRPr="00AB4AFF" w:rsidRDefault="00AB4AFF" w:rsidP="00AB4AFF">
            <w:pPr>
              <w:spacing w:after="0" w:line="240" w:lineRule="auto"/>
              <w:jc w:val="center"/>
              <w:rPr>
                <w:rFonts w:ascii="Calibri" w:eastAsia="Times New Roman" w:hAnsi="Calibri" w:cs="Calibri"/>
                <w:color w:val="000000"/>
              </w:rPr>
            </w:pPr>
            <w:r w:rsidRPr="00AB4AFF">
              <w:rPr>
                <w:rFonts w:ascii="Calibri" w:eastAsia="Times New Roman" w:hAnsi="Calibri" w:cs="Calibri"/>
                <w:color w:val="000000"/>
              </w:rPr>
              <w:t> </w:t>
            </w:r>
          </w:p>
        </w:tc>
        <w:tc>
          <w:tcPr>
            <w:tcW w:w="379" w:type="dxa"/>
            <w:tcBorders>
              <w:top w:val="nil"/>
              <w:left w:val="nil"/>
              <w:bottom w:val="single" w:sz="4" w:space="0" w:color="auto"/>
              <w:right w:val="single" w:sz="4" w:space="0" w:color="auto"/>
            </w:tcBorders>
            <w:shd w:val="clear" w:color="auto" w:fill="auto"/>
            <w:noWrap/>
            <w:vAlign w:val="bottom"/>
            <w:hideMark/>
          </w:tcPr>
          <w:p w14:paraId="5315750F" w14:textId="77777777" w:rsidR="00AB4AFF" w:rsidRPr="00AB4AFF" w:rsidRDefault="00AB4AFF" w:rsidP="00AB4AFF">
            <w:pPr>
              <w:spacing w:after="0" w:line="240" w:lineRule="auto"/>
              <w:jc w:val="center"/>
              <w:rPr>
                <w:rFonts w:ascii="Calibri" w:eastAsia="Times New Roman" w:hAnsi="Calibri" w:cs="Calibri"/>
                <w:color w:val="000000"/>
              </w:rPr>
            </w:pPr>
            <w:r w:rsidRPr="00AB4AFF">
              <w:rPr>
                <w:rFonts w:ascii="Calibri" w:eastAsia="Times New Roman" w:hAnsi="Calibri" w:cs="Calibri"/>
                <w:color w:val="000000"/>
              </w:rPr>
              <w:t> </w:t>
            </w:r>
          </w:p>
        </w:tc>
        <w:tc>
          <w:tcPr>
            <w:tcW w:w="379" w:type="dxa"/>
            <w:tcBorders>
              <w:top w:val="nil"/>
              <w:left w:val="nil"/>
              <w:bottom w:val="single" w:sz="4" w:space="0" w:color="auto"/>
              <w:right w:val="single" w:sz="8" w:space="0" w:color="auto"/>
            </w:tcBorders>
            <w:shd w:val="clear" w:color="auto" w:fill="auto"/>
            <w:noWrap/>
            <w:vAlign w:val="bottom"/>
            <w:hideMark/>
          </w:tcPr>
          <w:p w14:paraId="7938AEE4" w14:textId="77777777" w:rsidR="00AB4AFF" w:rsidRPr="00AB4AFF" w:rsidRDefault="00AB4AFF" w:rsidP="00AB4AFF">
            <w:pPr>
              <w:spacing w:after="0" w:line="240" w:lineRule="auto"/>
              <w:jc w:val="center"/>
              <w:rPr>
                <w:rFonts w:ascii="Calibri" w:eastAsia="Times New Roman" w:hAnsi="Calibri" w:cs="Calibri"/>
                <w:color w:val="000000"/>
              </w:rPr>
            </w:pPr>
            <w:r w:rsidRPr="00AB4AFF">
              <w:rPr>
                <w:rFonts w:ascii="Calibri" w:eastAsia="Times New Roman" w:hAnsi="Calibri" w:cs="Calibri"/>
                <w:color w:val="000000"/>
              </w:rPr>
              <w:t> </w:t>
            </w:r>
          </w:p>
        </w:tc>
      </w:tr>
      <w:tr w:rsidR="00AB4AFF" w:rsidRPr="00AB4AFF" w14:paraId="21D57EFD" w14:textId="77777777" w:rsidTr="008C0F8B">
        <w:trPr>
          <w:trHeight w:val="290"/>
        </w:trPr>
        <w:tc>
          <w:tcPr>
            <w:tcW w:w="2066" w:type="dxa"/>
            <w:gridSpan w:val="3"/>
            <w:tcBorders>
              <w:top w:val="nil"/>
              <w:left w:val="single" w:sz="8" w:space="0" w:color="auto"/>
              <w:bottom w:val="nil"/>
              <w:right w:val="single" w:sz="8" w:space="0" w:color="000000"/>
            </w:tcBorders>
            <w:shd w:val="clear" w:color="000000" w:fill="FFFFFF"/>
            <w:noWrap/>
            <w:vAlign w:val="bottom"/>
            <w:hideMark/>
          </w:tcPr>
          <w:p w14:paraId="520812FB" w14:textId="77777777" w:rsidR="00AB4AFF" w:rsidRPr="008D1EB3" w:rsidRDefault="00AB4AFF" w:rsidP="00AB4AFF">
            <w:pPr>
              <w:spacing w:after="0" w:line="240" w:lineRule="auto"/>
              <w:jc w:val="center"/>
              <w:rPr>
                <w:rFonts w:ascii="Calibri" w:eastAsia="Times New Roman" w:hAnsi="Calibri" w:cs="Calibri"/>
                <w:b/>
                <w:bCs/>
                <w:color w:val="000000"/>
              </w:rPr>
            </w:pPr>
            <w:r w:rsidRPr="008D1EB3">
              <w:rPr>
                <w:rFonts w:ascii="Calibri" w:eastAsia="Times New Roman" w:hAnsi="Calibri" w:cs="Calibri"/>
                <w:b/>
                <w:bCs/>
                <w:color w:val="000000"/>
              </w:rPr>
              <w:t>Phenotype</w:t>
            </w:r>
          </w:p>
        </w:tc>
        <w:tc>
          <w:tcPr>
            <w:tcW w:w="4004" w:type="dxa"/>
            <w:gridSpan w:val="6"/>
            <w:tcBorders>
              <w:top w:val="single" w:sz="4" w:space="0" w:color="auto"/>
              <w:left w:val="nil"/>
              <w:bottom w:val="single" w:sz="4" w:space="0" w:color="auto"/>
              <w:right w:val="single" w:sz="8" w:space="0" w:color="000000"/>
            </w:tcBorders>
            <w:shd w:val="clear" w:color="000000" w:fill="FFFFFF"/>
            <w:noWrap/>
            <w:vAlign w:val="bottom"/>
            <w:hideMark/>
          </w:tcPr>
          <w:p w14:paraId="1ACD16AE" w14:textId="77777777" w:rsidR="00AB4AFF" w:rsidRPr="008D1EB3" w:rsidRDefault="00AB4AFF" w:rsidP="00AB4AFF">
            <w:pPr>
              <w:spacing w:after="0" w:line="240" w:lineRule="auto"/>
              <w:jc w:val="center"/>
              <w:rPr>
                <w:rFonts w:ascii="Calibri" w:eastAsia="Times New Roman" w:hAnsi="Calibri" w:cs="Calibri"/>
                <w:b/>
                <w:bCs/>
                <w:color w:val="000000"/>
              </w:rPr>
            </w:pPr>
            <w:r w:rsidRPr="008D1EB3">
              <w:rPr>
                <w:rFonts w:ascii="Calibri" w:eastAsia="Times New Roman" w:hAnsi="Calibri" w:cs="Calibri"/>
                <w:b/>
                <w:bCs/>
                <w:color w:val="000000"/>
              </w:rPr>
              <w:t>Retinal</w:t>
            </w:r>
          </w:p>
        </w:tc>
        <w:tc>
          <w:tcPr>
            <w:tcW w:w="298" w:type="dxa"/>
            <w:tcBorders>
              <w:top w:val="nil"/>
              <w:left w:val="nil"/>
              <w:bottom w:val="single" w:sz="4" w:space="0" w:color="auto"/>
              <w:right w:val="single" w:sz="4" w:space="0" w:color="auto"/>
            </w:tcBorders>
            <w:shd w:val="clear" w:color="auto" w:fill="auto"/>
            <w:noWrap/>
            <w:vAlign w:val="bottom"/>
            <w:hideMark/>
          </w:tcPr>
          <w:p w14:paraId="48EBCF7A" w14:textId="77777777" w:rsidR="00AB4AFF" w:rsidRPr="00AB4AFF" w:rsidRDefault="00AB4AFF" w:rsidP="00AB4AFF">
            <w:pPr>
              <w:spacing w:after="0" w:line="240" w:lineRule="auto"/>
              <w:jc w:val="center"/>
              <w:rPr>
                <w:rFonts w:ascii="Calibri" w:eastAsia="Times New Roman" w:hAnsi="Calibri" w:cs="Calibri"/>
                <w:color w:val="000000"/>
              </w:rPr>
            </w:pPr>
            <w:r w:rsidRPr="00AB4AFF">
              <w:rPr>
                <w:rFonts w:ascii="Calibri" w:eastAsia="Times New Roman" w:hAnsi="Calibri" w:cs="Calibri"/>
                <w:color w:val="000000"/>
              </w:rPr>
              <w:t> </w:t>
            </w:r>
          </w:p>
        </w:tc>
        <w:tc>
          <w:tcPr>
            <w:tcW w:w="298" w:type="dxa"/>
            <w:tcBorders>
              <w:top w:val="nil"/>
              <w:left w:val="nil"/>
              <w:bottom w:val="single" w:sz="4" w:space="0" w:color="auto"/>
              <w:right w:val="single" w:sz="4" w:space="0" w:color="auto"/>
            </w:tcBorders>
            <w:shd w:val="clear" w:color="auto" w:fill="auto"/>
            <w:noWrap/>
            <w:vAlign w:val="bottom"/>
            <w:hideMark/>
          </w:tcPr>
          <w:p w14:paraId="198352FD" w14:textId="77777777" w:rsidR="00AB4AFF" w:rsidRPr="00AB4AFF" w:rsidRDefault="00AB4AFF" w:rsidP="00AB4AFF">
            <w:pPr>
              <w:spacing w:after="0" w:line="240" w:lineRule="auto"/>
              <w:jc w:val="center"/>
              <w:rPr>
                <w:rFonts w:ascii="Calibri" w:eastAsia="Times New Roman" w:hAnsi="Calibri" w:cs="Calibri"/>
                <w:color w:val="000000"/>
              </w:rPr>
            </w:pPr>
            <w:r w:rsidRPr="00AB4AFF">
              <w:rPr>
                <w:rFonts w:ascii="Calibri" w:eastAsia="Times New Roman" w:hAnsi="Calibri" w:cs="Calibri"/>
                <w:color w:val="000000"/>
              </w:rPr>
              <w:t> </w:t>
            </w:r>
          </w:p>
        </w:tc>
        <w:tc>
          <w:tcPr>
            <w:tcW w:w="298" w:type="dxa"/>
            <w:tcBorders>
              <w:top w:val="nil"/>
              <w:left w:val="nil"/>
              <w:bottom w:val="single" w:sz="4" w:space="0" w:color="auto"/>
              <w:right w:val="single" w:sz="4" w:space="0" w:color="auto"/>
            </w:tcBorders>
            <w:shd w:val="clear" w:color="auto" w:fill="auto"/>
            <w:noWrap/>
            <w:vAlign w:val="bottom"/>
            <w:hideMark/>
          </w:tcPr>
          <w:p w14:paraId="5E137B51" w14:textId="77777777" w:rsidR="00AB4AFF" w:rsidRPr="00AB4AFF" w:rsidRDefault="00AB4AFF" w:rsidP="00AB4AFF">
            <w:pPr>
              <w:spacing w:after="0" w:line="240" w:lineRule="auto"/>
              <w:jc w:val="center"/>
              <w:rPr>
                <w:rFonts w:ascii="Calibri" w:eastAsia="Times New Roman" w:hAnsi="Calibri" w:cs="Calibri"/>
                <w:color w:val="000000"/>
              </w:rPr>
            </w:pPr>
            <w:r w:rsidRPr="00AB4AFF">
              <w:rPr>
                <w:rFonts w:ascii="Calibri" w:eastAsia="Times New Roman" w:hAnsi="Calibri" w:cs="Calibri"/>
                <w:color w:val="000000"/>
              </w:rPr>
              <w:t> </w:t>
            </w:r>
          </w:p>
        </w:tc>
        <w:tc>
          <w:tcPr>
            <w:tcW w:w="298" w:type="dxa"/>
            <w:tcBorders>
              <w:top w:val="nil"/>
              <w:left w:val="nil"/>
              <w:bottom w:val="single" w:sz="4" w:space="0" w:color="auto"/>
              <w:right w:val="single" w:sz="4" w:space="0" w:color="auto"/>
            </w:tcBorders>
            <w:shd w:val="clear" w:color="000000" w:fill="9BC2E6"/>
            <w:noWrap/>
            <w:vAlign w:val="bottom"/>
            <w:hideMark/>
          </w:tcPr>
          <w:p w14:paraId="2C6EB03D" w14:textId="77777777" w:rsidR="00AB4AFF" w:rsidRPr="00AB4AFF" w:rsidRDefault="00AB4AFF" w:rsidP="00AB4AFF">
            <w:pPr>
              <w:spacing w:after="0" w:line="240" w:lineRule="auto"/>
              <w:jc w:val="center"/>
              <w:rPr>
                <w:rFonts w:ascii="Calibri" w:eastAsia="Times New Roman" w:hAnsi="Calibri" w:cs="Calibri"/>
                <w:color w:val="000000"/>
              </w:rPr>
            </w:pPr>
            <w:r w:rsidRPr="00AB4AFF">
              <w:rPr>
                <w:rFonts w:ascii="Calibri" w:eastAsia="Times New Roman" w:hAnsi="Calibri" w:cs="Calibri"/>
                <w:color w:val="000000"/>
              </w:rPr>
              <w:t> </w:t>
            </w:r>
          </w:p>
        </w:tc>
        <w:tc>
          <w:tcPr>
            <w:tcW w:w="298" w:type="dxa"/>
            <w:tcBorders>
              <w:top w:val="nil"/>
              <w:left w:val="nil"/>
              <w:bottom w:val="single" w:sz="4" w:space="0" w:color="auto"/>
              <w:right w:val="single" w:sz="4" w:space="0" w:color="auto"/>
            </w:tcBorders>
            <w:shd w:val="clear" w:color="000000" w:fill="9BC2E6"/>
            <w:noWrap/>
            <w:vAlign w:val="bottom"/>
            <w:hideMark/>
          </w:tcPr>
          <w:p w14:paraId="2D6BD786" w14:textId="77777777" w:rsidR="00AB4AFF" w:rsidRPr="00AB4AFF" w:rsidRDefault="00AB4AFF" w:rsidP="00AB4AFF">
            <w:pPr>
              <w:spacing w:after="0" w:line="240" w:lineRule="auto"/>
              <w:jc w:val="center"/>
              <w:rPr>
                <w:rFonts w:ascii="Calibri" w:eastAsia="Times New Roman" w:hAnsi="Calibri" w:cs="Calibri"/>
                <w:color w:val="000000"/>
              </w:rPr>
            </w:pPr>
            <w:r w:rsidRPr="00AB4AFF">
              <w:rPr>
                <w:rFonts w:ascii="Calibri" w:eastAsia="Times New Roman" w:hAnsi="Calibri" w:cs="Calibri"/>
                <w:color w:val="000000"/>
              </w:rPr>
              <w:t> </w:t>
            </w:r>
          </w:p>
        </w:tc>
        <w:tc>
          <w:tcPr>
            <w:tcW w:w="298" w:type="dxa"/>
            <w:tcBorders>
              <w:top w:val="nil"/>
              <w:left w:val="nil"/>
              <w:bottom w:val="single" w:sz="4" w:space="0" w:color="auto"/>
              <w:right w:val="single" w:sz="4" w:space="0" w:color="auto"/>
            </w:tcBorders>
            <w:shd w:val="clear" w:color="000000" w:fill="FFFFFF"/>
            <w:noWrap/>
            <w:vAlign w:val="bottom"/>
            <w:hideMark/>
          </w:tcPr>
          <w:p w14:paraId="1D37EE79" w14:textId="77777777" w:rsidR="00AB4AFF" w:rsidRPr="00AB4AFF" w:rsidRDefault="00AB4AFF" w:rsidP="00AB4AFF">
            <w:pPr>
              <w:spacing w:after="0" w:line="240" w:lineRule="auto"/>
              <w:jc w:val="center"/>
              <w:rPr>
                <w:rFonts w:ascii="Calibri" w:eastAsia="Times New Roman" w:hAnsi="Calibri" w:cs="Calibri"/>
                <w:color w:val="000000"/>
              </w:rPr>
            </w:pPr>
            <w:r w:rsidRPr="00AB4AFF">
              <w:rPr>
                <w:rFonts w:ascii="Calibri" w:eastAsia="Times New Roman" w:hAnsi="Calibri" w:cs="Calibri"/>
                <w:color w:val="000000"/>
              </w:rPr>
              <w:t> </w:t>
            </w:r>
          </w:p>
        </w:tc>
        <w:tc>
          <w:tcPr>
            <w:tcW w:w="298" w:type="dxa"/>
            <w:tcBorders>
              <w:top w:val="nil"/>
              <w:left w:val="nil"/>
              <w:bottom w:val="single" w:sz="4" w:space="0" w:color="auto"/>
              <w:right w:val="single" w:sz="4" w:space="0" w:color="auto"/>
            </w:tcBorders>
            <w:shd w:val="clear" w:color="000000" w:fill="9BC2E6"/>
            <w:noWrap/>
            <w:vAlign w:val="bottom"/>
            <w:hideMark/>
          </w:tcPr>
          <w:p w14:paraId="05C453AE" w14:textId="77777777" w:rsidR="00AB4AFF" w:rsidRPr="00AB4AFF" w:rsidRDefault="00AB4AFF" w:rsidP="00AB4AFF">
            <w:pPr>
              <w:spacing w:after="0" w:line="240" w:lineRule="auto"/>
              <w:jc w:val="center"/>
              <w:rPr>
                <w:rFonts w:ascii="Calibri" w:eastAsia="Times New Roman" w:hAnsi="Calibri" w:cs="Calibri"/>
                <w:color w:val="000000"/>
              </w:rPr>
            </w:pPr>
            <w:r w:rsidRPr="00AB4AFF">
              <w:rPr>
                <w:rFonts w:ascii="Calibri" w:eastAsia="Times New Roman" w:hAnsi="Calibri" w:cs="Calibri"/>
                <w:color w:val="000000"/>
              </w:rPr>
              <w:t> </w:t>
            </w:r>
          </w:p>
        </w:tc>
        <w:tc>
          <w:tcPr>
            <w:tcW w:w="298" w:type="dxa"/>
            <w:tcBorders>
              <w:top w:val="nil"/>
              <w:left w:val="nil"/>
              <w:bottom w:val="single" w:sz="4" w:space="0" w:color="auto"/>
              <w:right w:val="single" w:sz="4" w:space="0" w:color="auto"/>
            </w:tcBorders>
            <w:shd w:val="clear" w:color="000000" w:fill="FFFFFF"/>
            <w:noWrap/>
            <w:vAlign w:val="bottom"/>
            <w:hideMark/>
          </w:tcPr>
          <w:p w14:paraId="57CAE4C5" w14:textId="77777777" w:rsidR="00AB4AFF" w:rsidRPr="00AB4AFF" w:rsidRDefault="00AB4AFF" w:rsidP="00AB4AFF">
            <w:pPr>
              <w:spacing w:after="0" w:line="240" w:lineRule="auto"/>
              <w:jc w:val="center"/>
              <w:rPr>
                <w:rFonts w:ascii="Calibri" w:eastAsia="Times New Roman" w:hAnsi="Calibri" w:cs="Calibri"/>
                <w:color w:val="000000"/>
              </w:rPr>
            </w:pPr>
            <w:r w:rsidRPr="00AB4AFF">
              <w:rPr>
                <w:rFonts w:ascii="Calibri" w:eastAsia="Times New Roman" w:hAnsi="Calibri" w:cs="Calibri"/>
                <w:color w:val="000000"/>
              </w:rPr>
              <w:t> </w:t>
            </w:r>
          </w:p>
        </w:tc>
        <w:tc>
          <w:tcPr>
            <w:tcW w:w="379" w:type="dxa"/>
            <w:tcBorders>
              <w:top w:val="nil"/>
              <w:left w:val="nil"/>
              <w:bottom w:val="single" w:sz="4" w:space="0" w:color="auto"/>
              <w:right w:val="single" w:sz="4" w:space="0" w:color="auto"/>
            </w:tcBorders>
            <w:shd w:val="clear" w:color="000000" w:fill="9BC2E6"/>
            <w:noWrap/>
            <w:vAlign w:val="bottom"/>
            <w:hideMark/>
          </w:tcPr>
          <w:p w14:paraId="1DB73A00" w14:textId="77777777" w:rsidR="00AB4AFF" w:rsidRPr="00AB4AFF" w:rsidRDefault="00AB4AFF" w:rsidP="00AB4AFF">
            <w:pPr>
              <w:spacing w:after="0" w:line="240" w:lineRule="auto"/>
              <w:jc w:val="center"/>
              <w:rPr>
                <w:rFonts w:ascii="Calibri" w:eastAsia="Times New Roman" w:hAnsi="Calibri" w:cs="Calibri"/>
                <w:color w:val="000000"/>
              </w:rPr>
            </w:pPr>
            <w:r w:rsidRPr="00AB4AFF">
              <w:rPr>
                <w:rFonts w:ascii="Calibri" w:eastAsia="Times New Roman" w:hAnsi="Calibri" w:cs="Calibri"/>
                <w:color w:val="000000"/>
              </w:rPr>
              <w:t> </w:t>
            </w:r>
          </w:p>
        </w:tc>
        <w:tc>
          <w:tcPr>
            <w:tcW w:w="379" w:type="dxa"/>
            <w:tcBorders>
              <w:top w:val="nil"/>
              <w:left w:val="nil"/>
              <w:bottom w:val="single" w:sz="4" w:space="0" w:color="auto"/>
              <w:right w:val="single" w:sz="4" w:space="0" w:color="auto"/>
            </w:tcBorders>
            <w:shd w:val="clear" w:color="000000" w:fill="FFFFFF"/>
            <w:noWrap/>
            <w:vAlign w:val="bottom"/>
            <w:hideMark/>
          </w:tcPr>
          <w:p w14:paraId="1938E313" w14:textId="77777777" w:rsidR="00AB4AFF" w:rsidRPr="00AB4AFF" w:rsidRDefault="00AB4AFF" w:rsidP="00AB4AFF">
            <w:pPr>
              <w:spacing w:after="0" w:line="240" w:lineRule="auto"/>
              <w:jc w:val="center"/>
              <w:rPr>
                <w:rFonts w:ascii="Calibri" w:eastAsia="Times New Roman" w:hAnsi="Calibri" w:cs="Calibri"/>
                <w:color w:val="000000"/>
              </w:rPr>
            </w:pPr>
            <w:r w:rsidRPr="00AB4AFF">
              <w:rPr>
                <w:rFonts w:ascii="Calibri" w:eastAsia="Times New Roman" w:hAnsi="Calibri" w:cs="Calibri"/>
                <w:color w:val="000000"/>
              </w:rPr>
              <w:t> </w:t>
            </w:r>
          </w:p>
        </w:tc>
        <w:tc>
          <w:tcPr>
            <w:tcW w:w="379" w:type="dxa"/>
            <w:tcBorders>
              <w:top w:val="nil"/>
              <w:left w:val="nil"/>
              <w:bottom w:val="single" w:sz="4" w:space="0" w:color="auto"/>
              <w:right w:val="single" w:sz="4" w:space="0" w:color="auto"/>
            </w:tcBorders>
            <w:shd w:val="clear" w:color="000000" w:fill="FFFFFF"/>
            <w:noWrap/>
            <w:vAlign w:val="bottom"/>
            <w:hideMark/>
          </w:tcPr>
          <w:p w14:paraId="366C17E9" w14:textId="77777777" w:rsidR="00AB4AFF" w:rsidRPr="00AB4AFF" w:rsidRDefault="00AB4AFF" w:rsidP="00AB4AFF">
            <w:pPr>
              <w:spacing w:after="0" w:line="240" w:lineRule="auto"/>
              <w:jc w:val="center"/>
              <w:rPr>
                <w:rFonts w:ascii="Calibri" w:eastAsia="Times New Roman" w:hAnsi="Calibri" w:cs="Calibri"/>
                <w:color w:val="000000"/>
              </w:rPr>
            </w:pPr>
            <w:r w:rsidRPr="00AB4AFF">
              <w:rPr>
                <w:rFonts w:ascii="Calibri" w:eastAsia="Times New Roman" w:hAnsi="Calibri" w:cs="Calibri"/>
                <w:color w:val="000000"/>
              </w:rPr>
              <w:t> </w:t>
            </w:r>
          </w:p>
        </w:tc>
        <w:tc>
          <w:tcPr>
            <w:tcW w:w="379" w:type="dxa"/>
            <w:tcBorders>
              <w:top w:val="nil"/>
              <w:left w:val="nil"/>
              <w:bottom w:val="single" w:sz="4" w:space="0" w:color="auto"/>
              <w:right w:val="single" w:sz="4" w:space="0" w:color="auto"/>
            </w:tcBorders>
            <w:shd w:val="clear" w:color="000000" w:fill="FFFFFF"/>
            <w:noWrap/>
            <w:vAlign w:val="bottom"/>
            <w:hideMark/>
          </w:tcPr>
          <w:p w14:paraId="6BDE0E79" w14:textId="77777777" w:rsidR="00AB4AFF" w:rsidRPr="00AB4AFF" w:rsidRDefault="00AB4AFF" w:rsidP="00AB4AFF">
            <w:pPr>
              <w:spacing w:after="0" w:line="240" w:lineRule="auto"/>
              <w:jc w:val="center"/>
              <w:rPr>
                <w:rFonts w:ascii="Calibri" w:eastAsia="Times New Roman" w:hAnsi="Calibri" w:cs="Calibri"/>
                <w:color w:val="000000"/>
              </w:rPr>
            </w:pPr>
            <w:r w:rsidRPr="00AB4AFF">
              <w:rPr>
                <w:rFonts w:ascii="Calibri" w:eastAsia="Times New Roman" w:hAnsi="Calibri" w:cs="Calibri"/>
                <w:color w:val="000000"/>
              </w:rPr>
              <w:t> </w:t>
            </w:r>
          </w:p>
        </w:tc>
        <w:tc>
          <w:tcPr>
            <w:tcW w:w="379" w:type="dxa"/>
            <w:tcBorders>
              <w:top w:val="nil"/>
              <w:left w:val="nil"/>
              <w:bottom w:val="single" w:sz="4" w:space="0" w:color="auto"/>
              <w:right w:val="single" w:sz="4" w:space="0" w:color="auto"/>
            </w:tcBorders>
            <w:shd w:val="clear" w:color="auto" w:fill="auto"/>
            <w:noWrap/>
            <w:vAlign w:val="bottom"/>
            <w:hideMark/>
          </w:tcPr>
          <w:p w14:paraId="40DE2713" w14:textId="77777777" w:rsidR="00AB4AFF" w:rsidRPr="00AB4AFF" w:rsidRDefault="00AB4AFF" w:rsidP="00AB4AFF">
            <w:pPr>
              <w:spacing w:after="0" w:line="240" w:lineRule="auto"/>
              <w:jc w:val="center"/>
              <w:rPr>
                <w:rFonts w:ascii="Calibri" w:eastAsia="Times New Roman" w:hAnsi="Calibri" w:cs="Calibri"/>
                <w:color w:val="000000"/>
              </w:rPr>
            </w:pPr>
            <w:r w:rsidRPr="00AB4AFF">
              <w:rPr>
                <w:rFonts w:ascii="Calibri" w:eastAsia="Times New Roman" w:hAnsi="Calibri" w:cs="Calibri"/>
                <w:color w:val="000000"/>
              </w:rPr>
              <w:t> </w:t>
            </w:r>
          </w:p>
        </w:tc>
        <w:tc>
          <w:tcPr>
            <w:tcW w:w="379" w:type="dxa"/>
            <w:tcBorders>
              <w:top w:val="nil"/>
              <w:left w:val="nil"/>
              <w:bottom w:val="single" w:sz="4" w:space="0" w:color="auto"/>
              <w:right w:val="single" w:sz="4" w:space="0" w:color="auto"/>
            </w:tcBorders>
            <w:shd w:val="clear" w:color="auto" w:fill="auto"/>
            <w:noWrap/>
            <w:vAlign w:val="bottom"/>
            <w:hideMark/>
          </w:tcPr>
          <w:p w14:paraId="258DEC21" w14:textId="77777777" w:rsidR="00AB4AFF" w:rsidRPr="00AB4AFF" w:rsidRDefault="00AB4AFF" w:rsidP="00AB4AFF">
            <w:pPr>
              <w:spacing w:after="0" w:line="240" w:lineRule="auto"/>
              <w:jc w:val="center"/>
              <w:rPr>
                <w:rFonts w:ascii="Calibri" w:eastAsia="Times New Roman" w:hAnsi="Calibri" w:cs="Calibri"/>
                <w:color w:val="000000"/>
              </w:rPr>
            </w:pPr>
            <w:r w:rsidRPr="00AB4AFF">
              <w:rPr>
                <w:rFonts w:ascii="Calibri" w:eastAsia="Times New Roman" w:hAnsi="Calibri" w:cs="Calibri"/>
                <w:color w:val="000000"/>
              </w:rPr>
              <w:t> </w:t>
            </w:r>
          </w:p>
        </w:tc>
        <w:tc>
          <w:tcPr>
            <w:tcW w:w="379" w:type="dxa"/>
            <w:tcBorders>
              <w:top w:val="nil"/>
              <w:left w:val="nil"/>
              <w:bottom w:val="single" w:sz="4" w:space="0" w:color="auto"/>
              <w:right w:val="single" w:sz="4" w:space="0" w:color="auto"/>
            </w:tcBorders>
            <w:shd w:val="clear" w:color="auto" w:fill="auto"/>
            <w:noWrap/>
            <w:vAlign w:val="bottom"/>
            <w:hideMark/>
          </w:tcPr>
          <w:p w14:paraId="50A87ADD" w14:textId="77777777" w:rsidR="00AB4AFF" w:rsidRPr="00AB4AFF" w:rsidRDefault="00AB4AFF" w:rsidP="00AB4AFF">
            <w:pPr>
              <w:spacing w:after="0" w:line="240" w:lineRule="auto"/>
              <w:jc w:val="center"/>
              <w:rPr>
                <w:rFonts w:ascii="Calibri" w:eastAsia="Times New Roman" w:hAnsi="Calibri" w:cs="Calibri"/>
                <w:color w:val="000000"/>
              </w:rPr>
            </w:pPr>
            <w:r w:rsidRPr="00AB4AFF">
              <w:rPr>
                <w:rFonts w:ascii="Calibri" w:eastAsia="Times New Roman" w:hAnsi="Calibri" w:cs="Calibri"/>
                <w:color w:val="000000"/>
              </w:rPr>
              <w:t> </w:t>
            </w:r>
          </w:p>
        </w:tc>
        <w:tc>
          <w:tcPr>
            <w:tcW w:w="379" w:type="dxa"/>
            <w:tcBorders>
              <w:top w:val="nil"/>
              <w:left w:val="nil"/>
              <w:bottom w:val="single" w:sz="4" w:space="0" w:color="auto"/>
              <w:right w:val="single" w:sz="4" w:space="0" w:color="auto"/>
            </w:tcBorders>
            <w:shd w:val="clear" w:color="auto" w:fill="auto"/>
            <w:noWrap/>
            <w:vAlign w:val="bottom"/>
            <w:hideMark/>
          </w:tcPr>
          <w:p w14:paraId="6A7E580F" w14:textId="77777777" w:rsidR="00AB4AFF" w:rsidRPr="00AB4AFF" w:rsidRDefault="00AB4AFF" w:rsidP="00AB4AFF">
            <w:pPr>
              <w:spacing w:after="0" w:line="240" w:lineRule="auto"/>
              <w:jc w:val="center"/>
              <w:rPr>
                <w:rFonts w:ascii="Calibri" w:eastAsia="Times New Roman" w:hAnsi="Calibri" w:cs="Calibri"/>
                <w:color w:val="000000"/>
              </w:rPr>
            </w:pPr>
            <w:r w:rsidRPr="00AB4AFF">
              <w:rPr>
                <w:rFonts w:ascii="Calibri" w:eastAsia="Times New Roman" w:hAnsi="Calibri" w:cs="Calibri"/>
                <w:color w:val="000000"/>
              </w:rPr>
              <w:t> </w:t>
            </w:r>
          </w:p>
        </w:tc>
        <w:tc>
          <w:tcPr>
            <w:tcW w:w="379" w:type="dxa"/>
            <w:tcBorders>
              <w:top w:val="nil"/>
              <w:left w:val="nil"/>
              <w:bottom w:val="single" w:sz="4" w:space="0" w:color="auto"/>
              <w:right w:val="single" w:sz="4" w:space="0" w:color="auto"/>
            </w:tcBorders>
            <w:shd w:val="clear" w:color="000000" w:fill="9BC2E6"/>
            <w:noWrap/>
            <w:vAlign w:val="bottom"/>
            <w:hideMark/>
          </w:tcPr>
          <w:p w14:paraId="0C05273F" w14:textId="77777777" w:rsidR="00AB4AFF" w:rsidRPr="00AB4AFF" w:rsidRDefault="00AB4AFF" w:rsidP="00AB4AFF">
            <w:pPr>
              <w:spacing w:after="0" w:line="240" w:lineRule="auto"/>
              <w:jc w:val="center"/>
              <w:rPr>
                <w:rFonts w:ascii="Calibri" w:eastAsia="Times New Roman" w:hAnsi="Calibri" w:cs="Calibri"/>
                <w:color w:val="000000"/>
              </w:rPr>
            </w:pPr>
            <w:r w:rsidRPr="00AB4AFF">
              <w:rPr>
                <w:rFonts w:ascii="Calibri" w:eastAsia="Times New Roman" w:hAnsi="Calibri" w:cs="Calibri"/>
                <w:color w:val="000000"/>
              </w:rPr>
              <w:t> </w:t>
            </w:r>
          </w:p>
        </w:tc>
        <w:tc>
          <w:tcPr>
            <w:tcW w:w="379" w:type="dxa"/>
            <w:tcBorders>
              <w:top w:val="nil"/>
              <w:left w:val="nil"/>
              <w:bottom w:val="single" w:sz="4" w:space="0" w:color="auto"/>
              <w:right w:val="single" w:sz="4" w:space="0" w:color="auto"/>
            </w:tcBorders>
            <w:shd w:val="clear" w:color="000000" w:fill="FFFFFF"/>
            <w:noWrap/>
            <w:vAlign w:val="bottom"/>
            <w:hideMark/>
          </w:tcPr>
          <w:p w14:paraId="3CBF4FAA" w14:textId="77777777" w:rsidR="00AB4AFF" w:rsidRPr="00AB4AFF" w:rsidRDefault="00AB4AFF" w:rsidP="00AB4AFF">
            <w:pPr>
              <w:spacing w:after="0" w:line="240" w:lineRule="auto"/>
              <w:jc w:val="center"/>
              <w:rPr>
                <w:rFonts w:ascii="Calibri" w:eastAsia="Times New Roman" w:hAnsi="Calibri" w:cs="Calibri"/>
                <w:color w:val="000000"/>
              </w:rPr>
            </w:pPr>
            <w:r w:rsidRPr="00AB4AFF">
              <w:rPr>
                <w:rFonts w:ascii="Calibri" w:eastAsia="Times New Roman" w:hAnsi="Calibri" w:cs="Calibri"/>
                <w:color w:val="000000"/>
              </w:rPr>
              <w:t> </w:t>
            </w:r>
          </w:p>
        </w:tc>
        <w:tc>
          <w:tcPr>
            <w:tcW w:w="379" w:type="dxa"/>
            <w:tcBorders>
              <w:top w:val="nil"/>
              <w:left w:val="nil"/>
              <w:bottom w:val="single" w:sz="4" w:space="0" w:color="auto"/>
              <w:right w:val="single" w:sz="4" w:space="0" w:color="auto"/>
            </w:tcBorders>
            <w:shd w:val="clear" w:color="000000" w:fill="9BC2E6"/>
            <w:noWrap/>
            <w:vAlign w:val="bottom"/>
            <w:hideMark/>
          </w:tcPr>
          <w:p w14:paraId="125FF3F1" w14:textId="77777777" w:rsidR="00AB4AFF" w:rsidRPr="00AB4AFF" w:rsidRDefault="00AB4AFF" w:rsidP="00AB4AFF">
            <w:pPr>
              <w:spacing w:after="0" w:line="240" w:lineRule="auto"/>
              <w:jc w:val="center"/>
              <w:rPr>
                <w:rFonts w:ascii="Calibri" w:eastAsia="Times New Roman" w:hAnsi="Calibri" w:cs="Calibri"/>
                <w:color w:val="000000"/>
              </w:rPr>
            </w:pPr>
            <w:r w:rsidRPr="00AB4AFF">
              <w:rPr>
                <w:rFonts w:ascii="Calibri" w:eastAsia="Times New Roman" w:hAnsi="Calibri" w:cs="Calibri"/>
                <w:color w:val="000000"/>
              </w:rPr>
              <w:t> </w:t>
            </w:r>
          </w:p>
        </w:tc>
        <w:tc>
          <w:tcPr>
            <w:tcW w:w="379" w:type="dxa"/>
            <w:tcBorders>
              <w:top w:val="nil"/>
              <w:left w:val="nil"/>
              <w:bottom w:val="single" w:sz="4" w:space="0" w:color="auto"/>
              <w:right w:val="single" w:sz="4" w:space="0" w:color="auto"/>
            </w:tcBorders>
            <w:shd w:val="clear" w:color="000000" w:fill="9BC2E6"/>
            <w:noWrap/>
            <w:vAlign w:val="bottom"/>
            <w:hideMark/>
          </w:tcPr>
          <w:p w14:paraId="061E2D76" w14:textId="77777777" w:rsidR="00AB4AFF" w:rsidRPr="00AB4AFF" w:rsidRDefault="00AB4AFF" w:rsidP="00AB4AFF">
            <w:pPr>
              <w:spacing w:after="0" w:line="240" w:lineRule="auto"/>
              <w:jc w:val="center"/>
              <w:rPr>
                <w:rFonts w:ascii="Calibri" w:eastAsia="Times New Roman" w:hAnsi="Calibri" w:cs="Calibri"/>
                <w:color w:val="000000"/>
              </w:rPr>
            </w:pPr>
            <w:r w:rsidRPr="00AB4AFF">
              <w:rPr>
                <w:rFonts w:ascii="Calibri" w:eastAsia="Times New Roman" w:hAnsi="Calibri" w:cs="Calibri"/>
                <w:color w:val="000000"/>
              </w:rPr>
              <w:t> </w:t>
            </w:r>
          </w:p>
        </w:tc>
        <w:tc>
          <w:tcPr>
            <w:tcW w:w="379" w:type="dxa"/>
            <w:tcBorders>
              <w:top w:val="nil"/>
              <w:left w:val="nil"/>
              <w:bottom w:val="single" w:sz="4" w:space="0" w:color="auto"/>
              <w:right w:val="single" w:sz="4" w:space="0" w:color="auto"/>
            </w:tcBorders>
            <w:shd w:val="clear" w:color="auto" w:fill="auto"/>
            <w:noWrap/>
            <w:vAlign w:val="bottom"/>
            <w:hideMark/>
          </w:tcPr>
          <w:p w14:paraId="4EC2B13A" w14:textId="77777777" w:rsidR="00AB4AFF" w:rsidRPr="00AB4AFF" w:rsidRDefault="00AB4AFF" w:rsidP="00AB4AFF">
            <w:pPr>
              <w:spacing w:after="0" w:line="240" w:lineRule="auto"/>
              <w:jc w:val="center"/>
              <w:rPr>
                <w:rFonts w:ascii="Calibri" w:eastAsia="Times New Roman" w:hAnsi="Calibri" w:cs="Calibri"/>
                <w:color w:val="000000"/>
              </w:rPr>
            </w:pPr>
            <w:r w:rsidRPr="00AB4AFF">
              <w:rPr>
                <w:rFonts w:ascii="Calibri" w:eastAsia="Times New Roman" w:hAnsi="Calibri" w:cs="Calibri"/>
                <w:color w:val="000000"/>
              </w:rPr>
              <w:t> </w:t>
            </w:r>
          </w:p>
        </w:tc>
        <w:tc>
          <w:tcPr>
            <w:tcW w:w="379" w:type="dxa"/>
            <w:tcBorders>
              <w:top w:val="nil"/>
              <w:left w:val="nil"/>
              <w:bottom w:val="single" w:sz="4" w:space="0" w:color="auto"/>
              <w:right w:val="single" w:sz="4" w:space="0" w:color="auto"/>
            </w:tcBorders>
            <w:shd w:val="clear" w:color="000000" w:fill="9BC2E6"/>
            <w:noWrap/>
            <w:vAlign w:val="bottom"/>
            <w:hideMark/>
          </w:tcPr>
          <w:p w14:paraId="1E15E21A" w14:textId="77777777" w:rsidR="00AB4AFF" w:rsidRPr="00AB4AFF" w:rsidRDefault="00AB4AFF" w:rsidP="00AB4AFF">
            <w:pPr>
              <w:spacing w:after="0" w:line="240" w:lineRule="auto"/>
              <w:jc w:val="center"/>
              <w:rPr>
                <w:rFonts w:ascii="Calibri" w:eastAsia="Times New Roman" w:hAnsi="Calibri" w:cs="Calibri"/>
                <w:color w:val="000000"/>
              </w:rPr>
            </w:pPr>
            <w:r w:rsidRPr="00AB4AFF">
              <w:rPr>
                <w:rFonts w:ascii="Calibri" w:eastAsia="Times New Roman" w:hAnsi="Calibri" w:cs="Calibri"/>
                <w:color w:val="000000"/>
              </w:rPr>
              <w:t> </w:t>
            </w:r>
          </w:p>
        </w:tc>
        <w:tc>
          <w:tcPr>
            <w:tcW w:w="379" w:type="dxa"/>
            <w:tcBorders>
              <w:top w:val="nil"/>
              <w:left w:val="nil"/>
              <w:bottom w:val="single" w:sz="4" w:space="0" w:color="auto"/>
              <w:right w:val="single" w:sz="4" w:space="0" w:color="auto"/>
            </w:tcBorders>
            <w:shd w:val="clear" w:color="auto" w:fill="auto"/>
            <w:noWrap/>
            <w:vAlign w:val="bottom"/>
            <w:hideMark/>
          </w:tcPr>
          <w:p w14:paraId="488FC5BA" w14:textId="77777777" w:rsidR="00AB4AFF" w:rsidRPr="00AB4AFF" w:rsidRDefault="00AB4AFF" w:rsidP="00AB4AFF">
            <w:pPr>
              <w:spacing w:after="0" w:line="240" w:lineRule="auto"/>
              <w:jc w:val="center"/>
              <w:rPr>
                <w:rFonts w:ascii="Calibri" w:eastAsia="Times New Roman" w:hAnsi="Calibri" w:cs="Calibri"/>
                <w:color w:val="000000"/>
              </w:rPr>
            </w:pPr>
            <w:r w:rsidRPr="00AB4AFF">
              <w:rPr>
                <w:rFonts w:ascii="Calibri" w:eastAsia="Times New Roman" w:hAnsi="Calibri" w:cs="Calibri"/>
                <w:color w:val="000000"/>
              </w:rPr>
              <w:t> </w:t>
            </w:r>
          </w:p>
        </w:tc>
        <w:tc>
          <w:tcPr>
            <w:tcW w:w="379" w:type="dxa"/>
            <w:tcBorders>
              <w:top w:val="nil"/>
              <w:left w:val="nil"/>
              <w:bottom w:val="single" w:sz="4" w:space="0" w:color="auto"/>
              <w:right w:val="single" w:sz="4" w:space="0" w:color="auto"/>
            </w:tcBorders>
            <w:shd w:val="clear" w:color="auto" w:fill="auto"/>
            <w:noWrap/>
            <w:vAlign w:val="bottom"/>
            <w:hideMark/>
          </w:tcPr>
          <w:p w14:paraId="4EA158F2" w14:textId="77777777" w:rsidR="00AB4AFF" w:rsidRPr="00AB4AFF" w:rsidRDefault="00AB4AFF" w:rsidP="00AB4AFF">
            <w:pPr>
              <w:spacing w:after="0" w:line="240" w:lineRule="auto"/>
              <w:jc w:val="center"/>
              <w:rPr>
                <w:rFonts w:ascii="Calibri" w:eastAsia="Times New Roman" w:hAnsi="Calibri" w:cs="Calibri"/>
                <w:color w:val="000000"/>
              </w:rPr>
            </w:pPr>
            <w:r w:rsidRPr="00AB4AFF">
              <w:rPr>
                <w:rFonts w:ascii="Calibri" w:eastAsia="Times New Roman" w:hAnsi="Calibri" w:cs="Calibri"/>
                <w:color w:val="000000"/>
              </w:rPr>
              <w:t> </w:t>
            </w:r>
          </w:p>
        </w:tc>
        <w:tc>
          <w:tcPr>
            <w:tcW w:w="379" w:type="dxa"/>
            <w:tcBorders>
              <w:top w:val="nil"/>
              <w:left w:val="nil"/>
              <w:bottom w:val="single" w:sz="4" w:space="0" w:color="auto"/>
              <w:right w:val="single" w:sz="4" w:space="0" w:color="auto"/>
            </w:tcBorders>
            <w:shd w:val="clear" w:color="auto" w:fill="auto"/>
            <w:noWrap/>
            <w:vAlign w:val="bottom"/>
            <w:hideMark/>
          </w:tcPr>
          <w:p w14:paraId="1EDE16BB" w14:textId="77777777" w:rsidR="00AB4AFF" w:rsidRPr="00AB4AFF" w:rsidRDefault="00AB4AFF" w:rsidP="00AB4AFF">
            <w:pPr>
              <w:spacing w:after="0" w:line="240" w:lineRule="auto"/>
              <w:jc w:val="center"/>
              <w:rPr>
                <w:rFonts w:ascii="Calibri" w:eastAsia="Times New Roman" w:hAnsi="Calibri" w:cs="Calibri"/>
                <w:color w:val="000000"/>
              </w:rPr>
            </w:pPr>
            <w:r w:rsidRPr="00AB4AFF">
              <w:rPr>
                <w:rFonts w:ascii="Calibri" w:eastAsia="Times New Roman" w:hAnsi="Calibri" w:cs="Calibri"/>
                <w:color w:val="000000"/>
              </w:rPr>
              <w:t> </w:t>
            </w:r>
          </w:p>
        </w:tc>
        <w:tc>
          <w:tcPr>
            <w:tcW w:w="379" w:type="dxa"/>
            <w:tcBorders>
              <w:top w:val="nil"/>
              <w:left w:val="nil"/>
              <w:bottom w:val="single" w:sz="4" w:space="0" w:color="auto"/>
              <w:right w:val="single" w:sz="8" w:space="0" w:color="auto"/>
            </w:tcBorders>
            <w:shd w:val="clear" w:color="auto" w:fill="auto"/>
            <w:noWrap/>
            <w:vAlign w:val="bottom"/>
            <w:hideMark/>
          </w:tcPr>
          <w:p w14:paraId="491ABD1B" w14:textId="77777777" w:rsidR="00AB4AFF" w:rsidRPr="00AB4AFF" w:rsidRDefault="00AB4AFF" w:rsidP="00AB4AFF">
            <w:pPr>
              <w:spacing w:after="0" w:line="240" w:lineRule="auto"/>
              <w:jc w:val="center"/>
              <w:rPr>
                <w:rFonts w:ascii="Calibri" w:eastAsia="Times New Roman" w:hAnsi="Calibri" w:cs="Calibri"/>
                <w:color w:val="000000"/>
              </w:rPr>
            </w:pPr>
            <w:r w:rsidRPr="00AB4AFF">
              <w:rPr>
                <w:rFonts w:ascii="Calibri" w:eastAsia="Times New Roman" w:hAnsi="Calibri" w:cs="Calibri"/>
                <w:color w:val="000000"/>
              </w:rPr>
              <w:t> </w:t>
            </w:r>
          </w:p>
        </w:tc>
      </w:tr>
      <w:tr w:rsidR="00AB4AFF" w:rsidRPr="00AB4AFF" w14:paraId="0D42D580" w14:textId="77777777" w:rsidTr="008C0F8B">
        <w:trPr>
          <w:trHeight w:val="300"/>
        </w:trPr>
        <w:tc>
          <w:tcPr>
            <w:tcW w:w="1070" w:type="dxa"/>
            <w:tcBorders>
              <w:top w:val="nil"/>
              <w:left w:val="single" w:sz="8" w:space="0" w:color="auto"/>
              <w:bottom w:val="single" w:sz="8" w:space="0" w:color="auto"/>
              <w:right w:val="nil"/>
            </w:tcBorders>
            <w:shd w:val="clear" w:color="auto" w:fill="auto"/>
            <w:noWrap/>
            <w:vAlign w:val="bottom"/>
            <w:hideMark/>
          </w:tcPr>
          <w:p w14:paraId="16758302" w14:textId="77777777" w:rsidR="00AB4AFF" w:rsidRPr="00AB4AFF" w:rsidRDefault="00AB4AFF" w:rsidP="00AB4AFF">
            <w:pPr>
              <w:spacing w:after="0" w:line="240" w:lineRule="auto"/>
              <w:jc w:val="left"/>
              <w:rPr>
                <w:rFonts w:ascii="Calibri" w:eastAsia="Times New Roman" w:hAnsi="Calibri" w:cs="Calibri"/>
                <w:color w:val="000000"/>
              </w:rPr>
            </w:pPr>
            <w:r w:rsidRPr="00AB4AFF">
              <w:rPr>
                <w:rFonts w:ascii="Calibri" w:eastAsia="Times New Roman" w:hAnsi="Calibri" w:cs="Calibri"/>
                <w:color w:val="000000"/>
              </w:rPr>
              <w:t> </w:t>
            </w:r>
          </w:p>
        </w:tc>
        <w:tc>
          <w:tcPr>
            <w:tcW w:w="498" w:type="dxa"/>
            <w:tcBorders>
              <w:top w:val="nil"/>
              <w:left w:val="nil"/>
              <w:bottom w:val="single" w:sz="8" w:space="0" w:color="auto"/>
              <w:right w:val="nil"/>
            </w:tcBorders>
            <w:shd w:val="clear" w:color="auto" w:fill="auto"/>
            <w:noWrap/>
            <w:vAlign w:val="bottom"/>
            <w:hideMark/>
          </w:tcPr>
          <w:p w14:paraId="352FA810" w14:textId="77777777" w:rsidR="00AB4AFF" w:rsidRPr="00AB4AFF" w:rsidRDefault="00AB4AFF" w:rsidP="00AB4AFF">
            <w:pPr>
              <w:spacing w:after="0" w:line="240" w:lineRule="auto"/>
              <w:jc w:val="left"/>
              <w:rPr>
                <w:rFonts w:ascii="Calibri" w:eastAsia="Times New Roman" w:hAnsi="Calibri" w:cs="Calibri"/>
                <w:color w:val="000000"/>
              </w:rPr>
            </w:pPr>
            <w:r w:rsidRPr="00AB4AFF">
              <w:rPr>
                <w:rFonts w:ascii="Calibri" w:eastAsia="Times New Roman" w:hAnsi="Calibri" w:cs="Calibri"/>
                <w:color w:val="000000"/>
              </w:rPr>
              <w:t> </w:t>
            </w:r>
          </w:p>
        </w:tc>
        <w:tc>
          <w:tcPr>
            <w:tcW w:w="498" w:type="dxa"/>
            <w:tcBorders>
              <w:top w:val="nil"/>
              <w:left w:val="nil"/>
              <w:bottom w:val="single" w:sz="8" w:space="0" w:color="auto"/>
              <w:right w:val="single" w:sz="8" w:space="0" w:color="auto"/>
            </w:tcBorders>
            <w:shd w:val="clear" w:color="auto" w:fill="auto"/>
            <w:noWrap/>
            <w:vAlign w:val="bottom"/>
            <w:hideMark/>
          </w:tcPr>
          <w:p w14:paraId="004F3A78" w14:textId="77777777" w:rsidR="00AB4AFF" w:rsidRPr="00AB4AFF" w:rsidRDefault="00AB4AFF" w:rsidP="00AB4AFF">
            <w:pPr>
              <w:spacing w:after="0" w:line="240" w:lineRule="auto"/>
              <w:jc w:val="left"/>
              <w:rPr>
                <w:rFonts w:ascii="Calibri" w:eastAsia="Times New Roman" w:hAnsi="Calibri" w:cs="Calibri"/>
                <w:color w:val="000000"/>
              </w:rPr>
            </w:pPr>
            <w:r w:rsidRPr="00AB4AFF">
              <w:rPr>
                <w:rFonts w:ascii="Calibri" w:eastAsia="Times New Roman" w:hAnsi="Calibri" w:cs="Calibri"/>
                <w:color w:val="000000"/>
              </w:rPr>
              <w:t> </w:t>
            </w:r>
          </w:p>
        </w:tc>
        <w:tc>
          <w:tcPr>
            <w:tcW w:w="4004" w:type="dxa"/>
            <w:gridSpan w:val="6"/>
            <w:tcBorders>
              <w:top w:val="single" w:sz="4" w:space="0" w:color="auto"/>
              <w:left w:val="nil"/>
              <w:bottom w:val="single" w:sz="8" w:space="0" w:color="auto"/>
              <w:right w:val="single" w:sz="8" w:space="0" w:color="000000"/>
            </w:tcBorders>
            <w:shd w:val="clear" w:color="auto" w:fill="auto"/>
            <w:noWrap/>
            <w:vAlign w:val="bottom"/>
            <w:hideMark/>
          </w:tcPr>
          <w:p w14:paraId="7A82BA19" w14:textId="77777777" w:rsidR="00AB4AFF" w:rsidRPr="008D1EB3" w:rsidRDefault="00AB4AFF" w:rsidP="00AB4AFF">
            <w:pPr>
              <w:spacing w:after="0" w:line="240" w:lineRule="auto"/>
              <w:jc w:val="center"/>
              <w:rPr>
                <w:rFonts w:ascii="Calibri" w:eastAsia="Times New Roman" w:hAnsi="Calibri" w:cs="Calibri"/>
                <w:b/>
                <w:bCs/>
                <w:color w:val="000000"/>
              </w:rPr>
            </w:pPr>
            <w:r w:rsidRPr="008D1EB3">
              <w:rPr>
                <w:rFonts w:ascii="Calibri" w:eastAsia="Times New Roman" w:hAnsi="Calibri" w:cs="Calibri"/>
                <w:b/>
                <w:bCs/>
                <w:color w:val="000000"/>
              </w:rPr>
              <w:t>Neurological</w:t>
            </w:r>
          </w:p>
        </w:tc>
        <w:tc>
          <w:tcPr>
            <w:tcW w:w="298" w:type="dxa"/>
            <w:tcBorders>
              <w:top w:val="nil"/>
              <w:left w:val="nil"/>
              <w:bottom w:val="single" w:sz="8" w:space="0" w:color="auto"/>
              <w:right w:val="single" w:sz="4" w:space="0" w:color="auto"/>
            </w:tcBorders>
            <w:shd w:val="clear" w:color="auto" w:fill="auto"/>
            <w:noWrap/>
            <w:vAlign w:val="bottom"/>
            <w:hideMark/>
          </w:tcPr>
          <w:p w14:paraId="042A4D3E" w14:textId="77777777" w:rsidR="00AB4AFF" w:rsidRPr="00AB4AFF" w:rsidRDefault="00AB4AFF" w:rsidP="00AB4AFF">
            <w:pPr>
              <w:spacing w:after="0" w:line="240" w:lineRule="auto"/>
              <w:jc w:val="center"/>
              <w:rPr>
                <w:rFonts w:ascii="Calibri" w:eastAsia="Times New Roman" w:hAnsi="Calibri" w:cs="Calibri"/>
                <w:color w:val="000000"/>
              </w:rPr>
            </w:pPr>
            <w:r w:rsidRPr="00AB4AFF">
              <w:rPr>
                <w:rFonts w:ascii="Calibri" w:eastAsia="Times New Roman" w:hAnsi="Calibri" w:cs="Calibri"/>
                <w:color w:val="000000"/>
              </w:rPr>
              <w:t> </w:t>
            </w:r>
          </w:p>
        </w:tc>
        <w:tc>
          <w:tcPr>
            <w:tcW w:w="298" w:type="dxa"/>
            <w:tcBorders>
              <w:top w:val="nil"/>
              <w:left w:val="nil"/>
              <w:bottom w:val="single" w:sz="8" w:space="0" w:color="auto"/>
              <w:right w:val="single" w:sz="4" w:space="0" w:color="auto"/>
            </w:tcBorders>
            <w:shd w:val="clear" w:color="auto" w:fill="auto"/>
            <w:noWrap/>
            <w:vAlign w:val="bottom"/>
            <w:hideMark/>
          </w:tcPr>
          <w:p w14:paraId="65E204A2" w14:textId="77777777" w:rsidR="00AB4AFF" w:rsidRPr="00AB4AFF" w:rsidRDefault="00AB4AFF" w:rsidP="00AB4AFF">
            <w:pPr>
              <w:spacing w:after="0" w:line="240" w:lineRule="auto"/>
              <w:jc w:val="center"/>
              <w:rPr>
                <w:rFonts w:ascii="Calibri" w:eastAsia="Times New Roman" w:hAnsi="Calibri" w:cs="Calibri"/>
                <w:color w:val="000000"/>
              </w:rPr>
            </w:pPr>
            <w:r w:rsidRPr="00AB4AFF">
              <w:rPr>
                <w:rFonts w:ascii="Calibri" w:eastAsia="Times New Roman" w:hAnsi="Calibri" w:cs="Calibri"/>
                <w:color w:val="000000"/>
              </w:rPr>
              <w:t> </w:t>
            </w:r>
          </w:p>
        </w:tc>
        <w:tc>
          <w:tcPr>
            <w:tcW w:w="298" w:type="dxa"/>
            <w:tcBorders>
              <w:top w:val="nil"/>
              <w:left w:val="nil"/>
              <w:bottom w:val="single" w:sz="8" w:space="0" w:color="auto"/>
              <w:right w:val="single" w:sz="4" w:space="0" w:color="auto"/>
            </w:tcBorders>
            <w:shd w:val="clear" w:color="auto" w:fill="auto"/>
            <w:noWrap/>
            <w:vAlign w:val="bottom"/>
            <w:hideMark/>
          </w:tcPr>
          <w:p w14:paraId="2AD8B523" w14:textId="77777777" w:rsidR="00AB4AFF" w:rsidRPr="00AB4AFF" w:rsidRDefault="00AB4AFF" w:rsidP="00AB4AFF">
            <w:pPr>
              <w:spacing w:after="0" w:line="240" w:lineRule="auto"/>
              <w:jc w:val="center"/>
              <w:rPr>
                <w:rFonts w:ascii="Calibri" w:eastAsia="Times New Roman" w:hAnsi="Calibri" w:cs="Calibri"/>
                <w:color w:val="000000"/>
              </w:rPr>
            </w:pPr>
            <w:r w:rsidRPr="00AB4AFF">
              <w:rPr>
                <w:rFonts w:ascii="Calibri" w:eastAsia="Times New Roman" w:hAnsi="Calibri" w:cs="Calibri"/>
                <w:color w:val="000000"/>
              </w:rPr>
              <w:t> </w:t>
            </w:r>
          </w:p>
        </w:tc>
        <w:tc>
          <w:tcPr>
            <w:tcW w:w="298" w:type="dxa"/>
            <w:tcBorders>
              <w:top w:val="nil"/>
              <w:left w:val="nil"/>
              <w:bottom w:val="single" w:sz="8" w:space="0" w:color="auto"/>
              <w:right w:val="single" w:sz="4" w:space="0" w:color="auto"/>
            </w:tcBorders>
            <w:shd w:val="clear" w:color="000000" w:fill="9BC2E6"/>
            <w:noWrap/>
            <w:vAlign w:val="bottom"/>
            <w:hideMark/>
          </w:tcPr>
          <w:p w14:paraId="56A9C3F9" w14:textId="77777777" w:rsidR="00AB4AFF" w:rsidRPr="00AB4AFF" w:rsidRDefault="00AB4AFF" w:rsidP="00AB4AFF">
            <w:pPr>
              <w:spacing w:after="0" w:line="240" w:lineRule="auto"/>
              <w:jc w:val="center"/>
              <w:rPr>
                <w:rFonts w:ascii="Calibri" w:eastAsia="Times New Roman" w:hAnsi="Calibri" w:cs="Calibri"/>
                <w:color w:val="000000"/>
              </w:rPr>
            </w:pPr>
            <w:r w:rsidRPr="00AB4AFF">
              <w:rPr>
                <w:rFonts w:ascii="Calibri" w:eastAsia="Times New Roman" w:hAnsi="Calibri" w:cs="Calibri"/>
                <w:color w:val="000000"/>
              </w:rPr>
              <w:t> </w:t>
            </w:r>
          </w:p>
        </w:tc>
        <w:tc>
          <w:tcPr>
            <w:tcW w:w="298" w:type="dxa"/>
            <w:tcBorders>
              <w:top w:val="nil"/>
              <w:left w:val="nil"/>
              <w:bottom w:val="single" w:sz="8" w:space="0" w:color="auto"/>
              <w:right w:val="single" w:sz="4" w:space="0" w:color="auto"/>
            </w:tcBorders>
            <w:shd w:val="clear" w:color="000000" w:fill="FFFFFF"/>
            <w:noWrap/>
            <w:vAlign w:val="bottom"/>
            <w:hideMark/>
          </w:tcPr>
          <w:p w14:paraId="49D01381" w14:textId="77777777" w:rsidR="00AB4AFF" w:rsidRPr="00AB4AFF" w:rsidRDefault="00AB4AFF" w:rsidP="00AB4AFF">
            <w:pPr>
              <w:spacing w:after="0" w:line="240" w:lineRule="auto"/>
              <w:jc w:val="center"/>
              <w:rPr>
                <w:rFonts w:ascii="Calibri" w:eastAsia="Times New Roman" w:hAnsi="Calibri" w:cs="Calibri"/>
                <w:color w:val="000000"/>
              </w:rPr>
            </w:pPr>
            <w:r w:rsidRPr="00AB4AFF">
              <w:rPr>
                <w:rFonts w:ascii="Calibri" w:eastAsia="Times New Roman" w:hAnsi="Calibri" w:cs="Calibri"/>
                <w:color w:val="000000"/>
              </w:rPr>
              <w:t> </w:t>
            </w:r>
          </w:p>
        </w:tc>
        <w:tc>
          <w:tcPr>
            <w:tcW w:w="298" w:type="dxa"/>
            <w:tcBorders>
              <w:top w:val="nil"/>
              <w:left w:val="nil"/>
              <w:bottom w:val="single" w:sz="8" w:space="0" w:color="auto"/>
              <w:right w:val="single" w:sz="4" w:space="0" w:color="auto"/>
            </w:tcBorders>
            <w:shd w:val="clear" w:color="000000" w:fill="FFFFFF"/>
            <w:noWrap/>
            <w:vAlign w:val="bottom"/>
            <w:hideMark/>
          </w:tcPr>
          <w:p w14:paraId="4E8912DB" w14:textId="77777777" w:rsidR="00AB4AFF" w:rsidRPr="00AB4AFF" w:rsidRDefault="00AB4AFF" w:rsidP="00AB4AFF">
            <w:pPr>
              <w:spacing w:after="0" w:line="240" w:lineRule="auto"/>
              <w:jc w:val="center"/>
              <w:rPr>
                <w:rFonts w:ascii="Calibri" w:eastAsia="Times New Roman" w:hAnsi="Calibri" w:cs="Calibri"/>
                <w:color w:val="000000"/>
              </w:rPr>
            </w:pPr>
            <w:r w:rsidRPr="00AB4AFF">
              <w:rPr>
                <w:rFonts w:ascii="Calibri" w:eastAsia="Times New Roman" w:hAnsi="Calibri" w:cs="Calibri"/>
                <w:color w:val="000000"/>
              </w:rPr>
              <w:t> </w:t>
            </w:r>
          </w:p>
        </w:tc>
        <w:tc>
          <w:tcPr>
            <w:tcW w:w="298" w:type="dxa"/>
            <w:tcBorders>
              <w:top w:val="nil"/>
              <w:left w:val="nil"/>
              <w:bottom w:val="single" w:sz="8" w:space="0" w:color="auto"/>
              <w:right w:val="single" w:sz="4" w:space="0" w:color="auto"/>
            </w:tcBorders>
            <w:shd w:val="clear" w:color="000000" w:fill="FFFFFF"/>
            <w:noWrap/>
            <w:vAlign w:val="bottom"/>
            <w:hideMark/>
          </w:tcPr>
          <w:p w14:paraId="7BA530F9" w14:textId="77777777" w:rsidR="00AB4AFF" w:rsidRPr="00AB4AFF" w:rsidRDefault="00AB4AFF" w:rsidP="00AB4AFF">
            <w:pPr>
              <w:spacing w:after="0" w:line="240" w:lineRule="auto"/>
              <w:jc w:val="center"/>
              <w:rPr>
                <w:rFonts w:ascii="Calibri" w:eastAsia="Times New Roman" w:hAnsi="Calibri" w:cs="Calibri"/>
                <w:color w:val="000000"/>
              </w:rPr>
            </w:pPr>
            <w:r w:rsidRPr="00AB4AFF">
              <w:rPr>
                <w:rFonts w:ascii="Calibri" w:eastAsia="Times New Roman" w:hAnsi="Calibri" w:cs="Calibri"/>
                <w:color w:val="000000"/>
              </w:rPr>
              <w:t> </w:t>
            </w:r>
          </w:p>
        </w:tc>
        <w:tc>
          <w:tcPr>
            <w:tcW w:w="298" w:type="dxa"/>
            <w:tcBorders>
              <w:top w:val="nil"/>
              <w:left w:val="nil"/>
              <w:bottom w:val="single" w:sz="8" w:space="0" w:color="auto"/>
              <w:right w:val="single" w:sz="4" w:space="0" w:color="auto"/>
            </w:tcBorders>
            <w:shd w:val="clear" w:color="000000" w:fill="9BC2E6"/>
            <w:noWrap/>
            <w:vAlign w:val="bottom"/>
            <w:hideMark/>
          </w:tcPr>
          <w:p w14:paraId="0B54C35C" w14:textId="77777777" w:rsidR="00AB4AFF" w:rsidRPr="00AB4AFF" w:rsidRDefault="00AB4AFF" w:rsidP="00AB4AFF">
            <w:pPr>
              <w:spacing w:after="0" w:line="240" w:lineRule="auto"/>
              <w:jc w:val="center"/>
              <w:rPr>
                <w:rFonts w:ascii="Calibri" w:eastAsia="Times New Roman" w:hAnsi="Calibri" w:cs="Calibri"/>
                <w:color w:val="000000"/>
              </w:rPr>
            </w:pPr>
            <w:r w:rsidRPr="00AB4AFF">
              <w:rPr>
                <w:rFonts w:ascii="Calibri" w:eastAsia="Times New Roman" w:hAnsi="Calibri" w:cs="Calibri"/>
                <w:color w:val="000000"/>
              </w:rPr>
              <w:t> </w:t>
            </w:r>
          </w:p>
        </w:tc>
        <w:tc>
          <w:tcPr>
            <w:tcW w:w="379" w:type="dxa"/>
            <w:tcBorders>
              <w:top w:val="nil"/>
              <w:left w:val="nil"/>
              <w:bottom w:val="single" w:sz="8" w:space="0" w:color="auto"/>
              <w:right w:val="single" w:sz="4" w:space="0" w:color="auto"/>
            </w:tcBorders>
            <w:shd w:val="clear" w:color="000000" w:fill="FFFFFF"/>
            <w:noWrap/>
            <w:vAlign w:val="bottom"/>
            <w:hideMark/>
          </w:tcPr>
          <w:p w14:paraId="4DD7607C" w14:textId="77777777" w:rsidR="00AB4AFF" w:rsidRPr="00AB4AFF" w:rsidRDefault="00AB4AFF" w:rsidP="00AB4AFF">
            <w:pPr>
              <w:spacing w:after="0" w:line="240" w:lineRule="auto"/>
              <w:jc w:val="center"/>
              <w:rPr>
                <w:rFonts w:ascii="Calibri" w:eastAsia="Times New Roman" w:hAnsi="Calibri" w:cs="Calibri"/>
                <w:color w:val="000000"/>
              </w:rPr>
            </w:pPr>
            <w:r w:rsidRPr="00AB4AFF">
              <w:rPr>
                <w:rFonts w:ascii="Calibri" w:eastAsia="Times New Roman" w:hAnsi="Calibri" w:cs="Calibri"/>
                <w:color w:val="000000"/>
              </w:rPr>
              <w:t> </w:t>
            </w:r>
          </w:p>
        </w:tc>
        <w:tc>
          <w:tcPr>
            <w:tcW w:w="379" w:type="dxa"/>
            <w:tcBorders>
              <w:top w:val="nil"/>
              <w:left w:val="nil"/>
              <w:bottom w:val="single" w:sz="8" w:space="0" w:color="auto"/>
              <w:right w:val="single" w:sz="4" w:space="0" w:color="auto"/>
            </w:tcBorders>
            <w:shd w:val="clear" w:color="000000" w:fill="9BC2E6"/>
            <w:noWrap/>
            <w:vAlign w:val="bottom"/>
            <w:hideMark/>
          </w:tcPr>
          <w:p w14:paraId="5A9D5A80" w14:textId="77777777" w:rsidR="00AB4AFF" w:rsidRPr="00AB4AFF" w:rsidRDefault="00AB4AFF" w:rsidP="00AB4AFF">
            <w:pPr>
              <w:spacing w:after="0" w:line="240" w:lineRule="auto"/>
              <w:jc w:val="center"/>
              <w:rPr>
                <w:rFonts w:ascii="Calibri" w:eastAsia="Times New Roman" w:hAnsi="Calibri" w:cs="Calibri"/>
                <w:color w:val="000000"/>
              </w:rPr>
            </w:pPr>
            <w:r w:rsidRPr="00AB4AFF">
              <w:rPr>
                <w:rFonts w:ascii="Calibri" w:eastAsia="Times New Roman" w:hAnsi="Calibri" w:cs="Calibri"/>
                <w:color w:val="000000"/>
              </w:rPr>
              <w:t> </w:t>
            </w:r>
          </w:p>
        </w:tc>
        <w:tc>
          <w:tcPr>
            <w:tcW w:w="379" w:type="dxa"/>
            <w:tcBorders>
              <w:top w:val="nil"/>
              <w:left w:val="nil"/>
              <w:bottom w:val="single" w:sz="8" w:space="0" w:color="auto"/>
              <w:right w:val="single" w:sz="4" w:space="0" w:color="auto"/>
            </w:tcBorders>
            <w:shd w:val="clear" w:color="000000" w:fill="FFFFFF"/>
            <w:noWrap/>
            <w:vAlign w:val="bottom"/>
            <w:hideMark/>
          </w:tcPr>
          <w:p w14:paraId="61A5B817" w14:textId="77777777" w:rsidR="00AB4AFF" w:rsidRPr="00AB4AFF" w:rsidRDefault="00AB4AFF" w:rsidP="00AB4AFF">
            <w:pPr>
              <w:spacing w:after="0" w:line="240" w:lineRule="auto"/>
              <w:jc w:val="center"/>
              <w:rPr>
                <w:rFonts w:ascii="Calibri" w:eastAsia="Times New Roman" w:hAnsi="Calibri" w:cs="Calibri"/>
                <w:color w:val="000000"/>
              </w:rPr>
            </w:pPr>
            <w:r w:rsidRPr="00AB4AFF">
              <w:rPr>
                <w:rFonts w:ascii="Calibri" w:eastAsia="Times New Roman" w:hAnsi="Calibri" w:cs="Calibri"/>
                <w:color w:val="000000"/>
              </w:rPr>
              <w:t> </w:t>
            </w:r>
          </w:p>
        </w:tc>
        <w:tc>
          <w:tcPr>
            <w:tcW w:w="379" w:type="dxa"/>
            <w:tcBorders>
              <w:top w:val="nil"/>
              <w:left w:val="nil"/>
              <w:bottom w:val="single" w:sz="8" w:space="0" w:color="auto"/>
              <w:right w:val="single" w:sz="4" w:space="0" w:color="auto"/>
            </w:tcBorders>
            <w:shd w:val="clear" w:color="000000" w:fill="9BC2E6"/>
            <w:noWrap/>
            <w:vAlign w:val="bottom"/>
            <w:hideMark/>
          </w:tcPr>
          <w:p w14:paraId="2D943129" w14:textId="77777777" w:rsidR="00AB4AFF" w:rsidRPr="00AB4AFF" w:rsidRDefault="00AB4AFF" w:rsidP="00AB4AFF">
            <w:pPr>
              <w:spacing w:after="0" w:line="240" w:lineRule="auto"/>
              <w:jc w:val="center"/>
              <w:rPr>
                <w:rFonts w:ascii="Calibri" w:eastAsia="Times New Roman" w:hAnsi="Calibri" w:cs="Calibri"/>
                <w:color w:val="000000"/>
              </w:rPr>
            </w:pPr>
            <w:r w:rsidRPr="00AB4AFF">
              <w:rPr>
                <w:rFonts w:ascii="Calibri" w:eastAsia="Times New Roman" w:hAnsi="Calibri" w:cs="Calibri"/>
                <w:color w:val="000000"/>
              </w:rPr>
              <w:t> </w:t>
            </w:r>
          </w:p>
        </w:tc>
        <w:tc>
          <w:tcPr>
            <w:tcW w:w="379" w:type="dxa"/>
            <w:tcBorders>
              <w:top w:val="nil"/>
              <w:left w:val="nil"/>
              <w:bottom w:val="single" w:sz="8" w:space="0" w:color="auto"/>
              <w:right w:val="single" w:sz="4" w:space="0" w:color="auto"/>
            </w:tcBorders>
            <w:shd w:val="clear" w:color="auto" w:fill="auto"/>
            <w:noWrap/>
            <w:vAlign w:val="bottom"/>
            <w:hideMark/>
          </w:tcPr>
          <w:p w14:paraId="292EAD77" w14:textId="77777777" w:rsidR="00AB4AFF" w:rsidRPr="00AB4AFF" w:rsidRDefault="00AB4AFF" w:rsidP="00AB4AFF">
            <w:pPr>
              <w:spacing w:after="0" w:line="240" w:lineRule="auto"/>
              <w:jc w:val="center"/>
              <w:rPr>
                <w:rFonts w:ascii="Calibri" w:eastAsia="Times New Roman" w:hAnsi="Calibri" w:cs="Calibri"/>
                <w:color w:val="000000"/>
              </w:rPr>
            </w:pPr>
            <w:r w:rsidRPr="00AB4AFF">
              <w:rPr>
                <w:rFonts w:ascii="Calibri" w:eastAsia="Times New Roman" w:hAnsi="Calibri" w:cs="Calibri"/>
                <w:color w:val="000000"/>
              </w:rPr>
              <w:t> </w:t>
            </w:r>
          </w:p>
        </w:tc>
        <w:tc>
          <w:tcPr>
            <w:tcW w:w="379" w:type="dxa"/>
            <w:tcBorders>
              <w:top w:val="nil"/>
              <w:left w:val="nil"/>
              <w:bottom w:val="single" w:sz="8" w:space="0" w:color="auto"/>
              <w:right w:val="single" w:sz="4" w:space="0" w:color="auto"/>
            </w:tcBorders>
            <w:shd w:val="clear" w:color="auto" w:fill="auto"/>
            <w:noWrap/>
            <w:vAlign w:val="bottom"/>
            <w:hideMark/>
          </w:tcPr>
          <w:p w14:paraId="7EC17136" w14:textId="77777777" w:rsidR="00AB4AFF" w:rsidRPr="00AB4AFF" w:rsidRDefault="00AB4AFF" w:rsidP="00AB4AFF">
            <w:pPr>
              <w:spacing w:after="0" w:line="240" w:lineRule="auto"/>
              <w:jc w:val="center"/>
              <w:rPr>
                <w:rFonts w:ascii="Calibri" w:eastAsia="Times New Roman" w:hAnsi="Calibri" w:cs="Calibri"/>
                <w:color w:val="000000"/>
              </w:rPr>
            </w:pPr>
            <w:r w:rsidRPr="00AB4AFF">
              <w:rPr>
                <w:rFonts w:ascii="Calibri" w:eastAsia="Times New Roman" w:hAnsi="Calibri" w:cs="Calibri"/>
                <w:color w:val="000000"/>
              </w:rPr>
              <w:t> </w:t>
            </w:r>
          </w:p>
        </w:tc>
        <w:tc>
          <w:tcPr>
            <w:tcW w:w="379" w:type="dxa"/>
            <w:tcBorders>
              <w:top w:val="nil"/>
              <w:left w:val="nil"/>
              <w:bottom w:val="single" w:sz="8" w:space="0" w:color="auto"/>
              <w:right w:val="single" w:sz="4" w:space="0" w:color="auto"/>
            </w:tcBorders>
            <w:shd w:val="clear" w:color="auto" w:fill="auto"/>
            <w:noWrap/>
            <w:vAlign w:val="bottom"/>
            <w:hideMark/>
          </w:tcPr>
          <w:p w14:paraId="5E2133A7" w14:textId="77777777" w:rsidR="00AB4AFF" w:rsidRPr="00AB4AFF" w:rsidRDefault="00AB4AFF" w:rsidP="00AB4AFF">
            <w:pPr>
              <w:spacing w:after="0" w:line="240" w:lineRule="auto"/>
              <w:jc w:val="center"/>
              <w:rPr>
                <w:rFonts w:ascii="Calibri" w:eastAsia="Times New Roman" w:hAnsi="Calibri" w:cs="Calibri"/>
                <w:color w:val="000000"/>
              </w:rPr>
            </w:pPr>
            <w:r w:rsidRPr="00AB4AFF">
              <w:rPr>
                <w:rFonts w:ascii="Calibri" w:eastAsia="Times New Roman" w:hAnsi="Calibri" w:cs="Calibri"/>
                <w:color w:val="000000"/>
              </w:rPr>
              <w:t> </w:t>
            </w:r>
          </w:p>
        </w:tc>
        <w:tc>
          <w:tcPr>
            <w:tcW w:w="379" w:type="dxa"/>
            <w:tcBorders>
              <w:top w:val="nil"/>
              <w:left w:val="nil"/>
              <w:bottom w:val="single" w:sz="8" w:space="0" w:color="auto"/>
              <w:right w:val="single" w:sz="4" w:space="0" w:color="auto"/>
            </w:tcBorders>
            <w:shd w:val="clear" w:color="auto" w:fill="auto"/>
            <w:noWrap/>
            <w:vAlign w:val="bottom"/>
            <w:hideMark/>
          </w:tcPr>
          <w:p w14:paraId="3AC7846E" w14:textId="77777777" w:rsidR="00AB4AFF" w:rsidRPr="00AB4AFF" w:rsidRDefault="00AB4AFF" w:rsidP="00AB4AFF">
            <w:pPr>
              <w:spacing w:after="0" w:line="240" w:lineRule="auto"/>
              <w:jc w:val="center"/>
              <w:rPr>
                <w:rFonts w:ascii="Calibri" w:eastAsia="Times New Roman" w:hAnsi="Calibri" w:cs="Calibri"/>
                <w:color w:val="000000"/>
              </w:rPr>
            </w:pPr>
            <w:r w:rsidRPr="00AB4AFF">
              <w:rPr>
                <w:rFonts w:ascii="Calibri" w:eastAsia="Times New Roman" w:hAnsi="Calibri" w:cs="Calibri"/>
                <w:color w:val="000000"/>
              </w:rPr>
              <w:t> </w:t>
            </w:r>
          </w:p>
        </w:tc>
        <w:tc>
          <w:tcPr>
            <w:tcW w:w="379" w:type="dxa"/>
            <w:tcBorders>
              <w:top w:val="nil"/>
              <w:left w:val="nil"/>
              <w:bottom w:val="single" w:sz="8" w:space="0" w:color="auto"/>
              <w:right w:val="single" w:sz="4" w:space="0" w:color="auto"/>
            </w:tcBorders>
            <w:shd w:val="clear" w:color="auto" w:fill="auto"/>
            <w:noWrap/>
            <w:vAlign w:val="bottom"/>
            <w:hideMark/>
          </w:tcPr>
          <w:p w14:paraId="133045FB" w14:textId="77777777" w:rsidR="00AB4AFF" w:rsidRPr="00AB4AFF" w:rsidRDefault="00AB4AFF" w:rsidP="00AB4AFF">
            <w:pPr>
              <w:spacing w:after="0" w:line="240" w:lineRule="auto"/>
              <w:jc w:val="center"/>
              <w:rPr>
                <w:rFonts w:ascii="Calibri" w:eastAsia="Times New Roman" w:hAnsi="Calibri" w:cs="Calibri"/>
                <w:color w:val="000000"/>
              </w:rPr>
            </w:pPr>
            <w:r w:rsidRPr="00AB4AFF">
              <w:rPr>
                <w:rFonts w:ascii="Calibri" w:eastAsia="Times New Roman" w:hAnsi="Calibri" w:cs="Calibri"/>
                <w:color w:val="000000"/>
              </w:rPr>
              <w:t> </w:t>
            </w:r>
          </w:p>
        </w:tc>
        <w:tc>
          <w:tcPr>
            <w:tcW w:w="379" w:type="dxa"/>
            <w:tcBorders>
              <w:top w:val="nil"/>
              <w:left w:val="nil"/>
              <w:bottom w:val="single" w:sz="8" w:space="0" w:color="auto"/>
              <w:right w:val="single" w:sz="4" w:space="0" w:color="auto"/>
            </w:tcBorders>
            <w:shd w:val="clear" w:color="auto" w:fill="auto"/>
            <w:noWrap/>
            <w:vAlign w:val="bottom"/>
            <w:hideMark/>
          </w:tcPr>
          <w:p w14:paraId="3DF975BE" w14:textId="77777777" w:rsidR="00AB4AFF" w:rsidRPr="00AB4AFF" w:rsidRDefault="00AB4AFF" w:rsidP="00AB4AFF">
            <w:pPr>
              <w:spacing w:after="0" w:line="240" w:lineRule="auto"/>
              <w:jc w:val="center"/>
              <w:rPr>
                <w:rFonts w:ascii="Calibri" w:eastAsia="Times New Roman" w:hAnsi="Calibri" w:cs="Calibri"/>
                <w:color w:val="000000"/>
              </w:rPr>
            </w:pPr>
            <w:r w:rsidRPr="00AB4AFF">
              <w:rPr>
                <w:rFonts w:ascii="Calibri" w:eastAsia="Times New Roman" w:hAnsi="Calibri" w:cs="Calibri"/>
                <w:color w:val="000000"/>
              </w:rPr>
              <w:t> </w:t>
            </w:r>
          </w:p>
        </w:tc>
        <w:tc>
          <w:tcPr>
            <w:tcW w:w="379" w:type="dxa"/>
            <w:tcBorders>
              <w:top w:val="nil"/>
              <w:left w:val="nil"/>
              <w:bottom w:val="single" w:sz="8" w:space="0" w:color="auto"/>
              <w:right w:val="single" w:sz="4" w:space="0" w:color="auto"/>
            </w:tcBorders>
            <w:shd w:val="clear" w:color="auto" w:fill="auto"/>
            <w:noWrap/>
            <w:vAlign w:val="bottom"/>
            <w:hideMark/>
          </w:tcPr>
          <w:p w14:paraId="2626BF69" w14:textId="77777777" w:rsidR="00AB4AFF" w:rsidRPr="00AB4AFF" w:rsidRDefault="00AB4AFF" w:rsidP="00AB4AFF">
            <w:pPr>
              <w:spacing w:after="0" w:line="240" w:lineRule="auto"/>
              <w:jc w:val="center"/>
              <w:rPr>
                <w:rFonts w:ascii="Calibri" w:eastAsia="Times New Roman" w:hAnsi="Calibri" w:cs="Calibri"/>
                <w:color w:val="000000"/>
              </w:rPr>
            </w:pPr>
            <w:r w:rsidRPr="00AB4AFF">
              <w:rPr>
                <w:rFonts w:ascii="Calibri" w:eastAsia="Times New Roman" w:hAnsi="Calibri" w:cs="Calibri"/>
                <w:color w:val="000000"/>
              </w:rPr>
              <w:t> </w:t>
            </w:r>
          </w:p>
        </w:tc>
        <w:tc>
          <w:tcPr>
            <w:tcW w:w="379" w:type="dxa"/>
            <w:tcBorders>
              <w:top w:val="nil"/>
              <w:left w:val="nil"/>
              <w:bottom w:val="single" w:sz="8" w:space="0" w:color="auto"/>
              <w:right w:val="single" w:sz="4" w:space="0" w:color="auto"/>
            </w:tcBorders>
            <w:shd w:val="clear" w:color="auto" w:fill="auto"/>
            <w:noWrap/>
            <w:vAlign w:val="bottom"/>
            <w:hideMark/>
          </w:tcPr>
          <w:p w14:paraId="3789DA44" w14:textId="77777777" w:rsidR="00AB4AFF" w:rsidRPr="00AB4AFF" w:rsidRDefault="00AB4AFF" w:rsidP="00AB4AFF">
            <w:pPr>
              <w:spacing w:after="0" w:line="240" w:lineRule="auto"/>
              <w:jc w:val="center"/>
              <w:rPr>
                <w:rFonts w:ascii="Calibri" w:eastAsia="Times New Roman" w:hAnsi="Calibri" w:cs="Calibri"/>
                <w:color w:val="000000"/>
              </w:rPr>
            </w:pPr>
            <w:r w:rsidRPr="00AB4AFF">
              <w:rPr>
                <w:rFonts w:ascii="Calibri" w:eastAsia="Times New Roman" w:hAnsi="Calibri" w:cs="Calibri"/>
                <w:color w:val="000000"/>
              </w:rPr>
              <w:t> </w:t>
            </w:r>
          </w:p>
        </w:tc>
        <w:tc>
          <w:tcPr>
            <w:tcW w:w="379" w:type="dxa"/>
            <w:tcBorders>
              <w:top w:val="nil"/>
              <w:left w:val="nil"/>
              <w:bottom w:val="single" w:sz="8" w:space="0" w:color="auto"/>
              <w:right w:val="single" w:sz="4" w:space="0" w:color="auto"/>
            </w:tcBorders>
            <w:shd w:val="clear" w:color="auto" w:fill="auto"/>
            <w:noWrap/>
            <w:vAlign w:val="bottom"/>
            <w:hideMark/>
          </w:tcPr>
          <w:p w14:paraId="3E87223E" w14:textId="77777777" w:rsidR="00AB4AFF" w:rsidRPr="00AB4AFF" w:rsidRDefault="00AB4AFF" w:rsidP="00AB4AFF">
            <w:pPr>
              <w:spacing w:after="0" w:line="240" w:lineRule="auto"/>
              <w:jc w:val="center"/>
              <w:rPr>
                <w:rFonts w:ascii="Calibri" w:eastAsia="Times New Roman" w:hAnsi="Calibri" w:cs="Calibri"/>
                <w:color w:val="000000"/>
              </w:rPr>
            </w:pPr>
            <w:r w:rsidRPr="00AB4AFF">
              <w:rPr>
                <w:rFonts w:ascii="Calibri" w:eastAsia="Times New Roman" w:hAnsi="Calibri" w:cs="Calibri"/>
                <w:color w:val="000000"/>
              </w:rPr>
              <w:t> </w:t>
            </w:r>
          </w:p>
        </w:tc>
        <w:tc>
          <w:tcPr>
            <w:tcW w:w="379" w:type="dxa"/>
            <w:tcBorders>
              <w:top w:val="nil"/>
              <w:left w:val="nil"/>
              <w:bottom w:val="single" w:sz="8" w:space="0" w:color="auto"/>
              <w:right w:val="single" w:sz="4" w:space="0" w:color="auto"/>
            </w:tcBorders>
            <w:shd w:val="clear" w:color="auto" w:fill="auto"/>
            <w:noWrap/>
            <w:vAlign w:val="bottom"/>
            <w:hideMark/>
          </w:tcPr>
          <w:p w14:paraId="61397F8F" w14:textId="77777777" w:rsidR="00AB4AFF" w:rsidRPr="00AB4AFF" w:rsidRDefault="00AB4AFF" w:rsidP="00AB4AFF">
            <w:pPr>
              <w:spacing w:after="0" w:line="240" w:lineRule="auto"/>
              <w:jc w:val="center"/>
              <w:rPr>
                <w:rFonts w:ascii="Calibri" w:eastAsia="Times New Roman" w:hAnsi="Calibri" w:cs="Calibri"/>
                <w:color w:val="000000"/>
              </w:rPr>
            </w:pPr>
            <w:r w:rsidRPr="00AB4AFF">
              <w:rPr>
                <w:rFonts w:ascii="Calibri" w:eastAsia="Times New Roman" w:hAnsi="Calibri" w:cs="Calibri"/>
                <w:color w:val="000000"/>
              </w:rPr>
              <w:t> </w:t>
            </w:r>
          </w:p>
        </w:tc>
        <w:tc>
          <w:tcPr>
            <w:tcW w:w="379" w:type="dxa"/>
            <w:tcBorders>
              <w:top w:val="nil"/>
              <w:left w:val="nil"/>
              <w:bottom w:val="single" w:sz="8" w:space="0" w:color="auto"/>
              <w:right w:val="single" w:sz="4" w:space="0" w:color="auto"/>
            </w:tcBorders>
            <w:shd w:val="clear" w:color="000000" w:fill="9BC2E6"/>
            <w:noWrap/>
            <w:vAlign w:val="bottom"/>
            <w:hideMark/>
          </w:tcPr>
          <w:p w14:paraId="75DF8563" w14:textId="77777777" w:rsidR="00AB4AFF" w:rsidRPr="00AB4AFF" w:rsidRDefault="00AB4AFF" w:rsidP="00AB4AFF">
            <w:pPr>
              <w:spacing w:after="0" w:line="240" w:lineRule="auto"/>
              <w:jc w:val="center"/>
              <w:rPr>
                <w:rFonts w:ascii="Calibri" w:eastAsia="Times New Roman" w:hAnsi="Calibri" w:cs="Calibri"/>
                <w:color w:val="000000"/>
              </w:rPr>
            </w:pPr>
            <w:r w:rsidRPr="00AB4AFF">
              <w:rPr>
                <w:rFonts w:ascii="Calibri" w:eastAsia="Times New Roman" w:hAnsi="Calibri" w:cs="Calibri"/>
                <w:color w:val="000000"/>
              </w:rPr>
              <w:t> </w:t>
            </w:r>
          </w:p>
        </w:tc>
        <w:tc>
          <w:tcPr>
            <w:tcW w:w="379" w:type="dxa"/>
            <w:tcBorders>
              <w:top w:val="nil"/>
              <w:left w:val="nil"/>
              <w:bottom w:val="single" w:sz="8" w:space="0" w:color="auto"/>
              <w:right w:val="single" w:sz="4" w:space="0" w:color="auto"/>
            </w:tcBorders>
            <w:shd w:val="clear" w:color="auto" w:fill="auto"/>
            <w:noWrap/>
            <w:vAlign w:val="bottom"/>
            <w:hideMark/>
          </w:tcPr>
          <w:p w14:paraId="1B0D0B26" w14:textId="77777777" w:rsidR="00AB4AFF" w:rsidRPr="00AB4AFF" w:rsidRDefault="00AB4AFF" w:rsidP="00AB4AFF">
            <w:pPr>
              <w:spacing w:after="0" w:line="240" w:lineRule="auto"/>
              <w:jc w:val="center"/>
              <w:rPr>
                <w:rFonts w:ascii="Calibri" w:eastAsia="Times New Roman" w:hAnsi="Calibri" w:cs="Calibri"/>
                <w:color w:val="000000"/>
              </w:rPr>
            </w:pPr>
            <w:r w:rsidRPr="00AB4AFF">
              <w:rPr>
                <w:rFonts w:ascii="Calibri" w:eastAsia="Times New Roman" w:hAnsi="Calibri" w:cs="Calibri"/>
                <w:color w:val="000000"/>
              </w:rPr>
              <w:t> </w:t>
            </w:r>
          </w:p>
        </w:tc>
        <w:tc>
          <w:tcPr>
            <w:tcW w:w="379" w:type="dxa"/>
            <w:tcBorders>
              <w:top w:val="nil"/>
              <w:left w:val="nil"/>
              <w:bottom w:val="single" w:sz="8" w:space="0" w:color="auto"/>
              <w:right w:val="single" w:sz="4" w:space="0" w:color="auto"/>
            </w:tcBorders>
            <w:shd w:val="clear" w:color="auto" w:fill="auto"/>
            <w:noWrap/>
            <w:vAlign w:val="bottom"/>
            <w:hideMark/>
          </w:tcPr>
          <w:p w14:paraId="5E715EBC" w14:textId="77777777" w:rsidR="00AB4AFF" w:rsidRPr="00AB4AFF" w:rsidRDefault="00AB4AFF" w:rsidP="00AB4AFF">
            <w:pPr>
              <w:spacing w:after="0" w:line="240" w:lineRule="auto"/>
              <w:jc w:val="center"/>
              <w:rPr>
                <w:rFonts w:ascii="Calibri" w:eastAsia="Times New Roman" w:hAnsi="Calibri" w:cs="Calibri"/>
                <w:color w:val="000000"/>
              </w:rPr>
            </w:pPr>
            <w:r w:rsidRPr="00AB4AFF">
              <w:rPr>
                <w:rFonts w:ascii="Calibri" w:eastAsia="Times New Roman" w:hAnsi="Calibri" w:cs="Calibri"/>
                <w:color w:val="000000"/>
              </w:rPr>
              <w:t> </w:t>
            </w:r>
          </w:p>
        </w:tc>
        <w:tc>
          <w:tcPr>
            <w:tcW w:w="379" w:type="dxa"/>
            <w:tcBorders>
              <w:top w:val="nil"/>
              <w:left w:val="nil"/>
              <w:bottom w:val="single" w:sz="8" w:space="0" w:color="auto"/>
              <w:right w:val="single" w:sz="8" w:space="0" w:color="auto"/>
            </w:tcBorders>
            <w:shd w:val="clear" w:color="000000" w:fill="9BC2E6"/>
            <w:noWrap/>
            <w:vAlign w:val="bottom"/>
            <w:hideMark/>
          </w:tcPr>
          <w:p w14:paraId="3E4C3966" w14:textId="77777777" w:rsidR="00AB4AFF" w:rsidRPr="00AB4AFF" w:rsidRDefault="00AB4AFF" w:rsidP="00AB4AFF">
            <w:pPr>
              <w:spacing w:after="0" w:line="240" w:lineRule="auto"/>
              <w:jc w:val="center"/>
              <w:rPr>
                <w:rFonts w:ascii="Calibri" w:eastAsia="Times New Roman" w:hAnsi="Calibri" w:cs="Calibri"/>
                <w:color w:val="000000"/>
              </w:rPr>
            </w:pPr>
            <w:r w:rsidRPr="00AB4AFF">
              <w:rPr>
                <w:rFonts w:ascii="Calibri" w:eastAsia="Times New Roman" w:hAnsi="Calibri" w:cs="Calibri"/>
                <w:color w:val="000000"/>
              </w:rPr>
              <w:t> </w:t>
            </w:r>
          </w:p>
        </w:tc>
      </w:tr>
    </w:tbl>
    <w:p w14:paraId="27A09525" w14:textId="77777777" w:rsidR="003C61FB" w:rsidRPr="00F0254C" w:rsidRDefault="003C61FB" w:rsidP="005614E6">
      <w:pPr>
        <w:rPr>
          <w:rFonts w:ascii="Segoe UI" w:hAnsi="Segoe UI" w:cs="Segoe UI"/>
          <w:lang w:eastAsia="en-US"/>
        </w:rPr>
      </w:pPr>
    </w:p>
    <w:p w14:paraId="568677E5" w14:textId="1E8AF24A" w:rsidR="003C61FB" w:rsidRPr="00F0254C" w:rsidRDefault="003C61FB" w:rsidP="005614E6">
      <w:pPr>
        <w:rPr>
          <w:rFonts w:ascii="Segoe UI" w:hAnsi="Segoe UI" w:cs="Segoe UI"/>
          <w:lang w:eastAsia="en-US"/>
        </w:rPr>
      </w:pPr>
    </w:p>
    <w:p w14:paraId="4EFCD8DF" w14:textId="3C7DE25F" w:rsidR="009812C4" w:rsidRPr="00C9492B" w:rsidRDefault="00C26B95" w:rsidP="008D1EB3">
      <w:pPr>
        <w:pStyle w:val="Caption"/>
        <w:spacing w:line="480" w:lineRule="auto"/>
        <w:rPr>
          <w:rFonts w:ascii="Segoe UI" w:hAnsi="Segoe UI" w:cs="Segoe UI"/>
          <w:i w:val="0"/>
          <w:iCs w:val="0"/>
        </w:rPr>
        <w:sectPr w:rsidR="009812C4" w:rsidRPr="00C9492B" w:rsidSect="00036EBD">
          <w:headerReference w:type="default" r:id="rId16"/>
          <w:pgSz w:w="16838" w:h="11906" w:orient="landscape"/>
          <w:pgMar w:top="720" w:right="720" w:bottom="720" w:left="720" w:header="708" w:footer="708" w:gutter="0"/>
          <w:lnNumType w:countBy="1" w:restart="continuous"/>
          <w:cols w:space="708"/>
          <w:docGrid w:linePitch="360"/>
        </w:sectPr>
      </w:pPr>
      <w:bookmarkStart w:id="9" w:name="_Ref81575030"/>
      <w:bookmarkStart w:id="10" w:name="_Toc78539995"/>
      <w:r w:rsidRPr="00C9492B">
        <w:rPr>
          <w:rFonts w:ascii="Segoe UI" w:hAnsi="Segoe UI" w:cs="Segoe UI"/>
          <w:b/>
          <w:bCs/>
          <w:i w:val="0"/>
          <w:iCs w:val="0"/>
        </w:rPr>
        <w:t xml:space="preserve">Table </w:t>
      </w:r>
      <w:r w:rsidRPr="00C9492B">
        <w:rPr>
          <w:rFonts w:ascii="Segoe UI" w:hAnsi="Segoe UI" w:cs="Segoe UI"/>
          <w:b/>
          <w:bCs/>
          <w:i w:val="0"/>
          <w:iCs w:val="0"/>
        </w:rPr>
        <w:fldChar w:fldCharType="begin"/>
      </w:r>
      <w:r w:rsidRPr="00C9492B">
        <w:rPr>
          <w:rFonts w:ascii="Segoe UI" w:hAnsi="Segoe UI" w:cs="Segoe UI"/>
          <w:b/>
          <w:bCs/>
          <w:i w:val="0"/>
          <w:iCs w:val="0"/>
        </w:rPr>
        <w:instrText xml:space="preserve"> SEQ Table \* ARABIC </w:instrText>
      </w:r>
      <w:r w:rsidRPr="00C9492B">
        <w:rPr>
          <w:rFonts w:ascii="Segoe UI" w:hAnsi="Segoe UI" w:cs="Segoe UI"/>
          <w:b/>
          <w:bCs/>
          <w:i w:val="0"/>
          <w:iCs w:val="0"/>
        </w:rPr>
        <w:fldChar w:fldCharType="separate"/>
      </w:r>
      <w:r w:rsidR="000554B0" w:rsidRPr="00C9492B">
        <w:rPr>
          <w:rFonts w:ascii="Segoe UI" w:hAnsi="Segoe UI" w:cs="Segoe UI"/>
          <w:b/>
          <w:bCs/>
          <w:i w:val="0"/>
          <w:iCs w:val="0"/>
          <w:noProof/>
        </w:rPr>
        <w:t>3</w:t>
      </w:r>
      <w:r w:rsidRPr="00C9492B">
        <w:rPr>
          <w:rFonts w:ascii="Segoe UI" w:hAnsi="Segoe UI" w:cs="Segoe UI"/>
          <w:b/>
          <w:bCs/>
          <w:i w:val="0"/>
          <w:iCs w:val="0"/>
        </w:rPr>
        <w:fldChar w:fldCharType="end"/>
      </w:r>
      <w:bookmarkEnd w:id="9"/>
      <w:r w:rsidR="003C61FB" w:rsidRPr="00C9492B">
        <w:rPr>
          <w:rFonts w:ascii="Segoe UI" w:hAnsi="Segoe UI" w:cs="Segoe UI"/>
          <w:b/>
          <w:bCs/>
          <w:i w:val="0"/>
          <w:iCs w:val="0"/>
        </w:rPr>
        <w:t xml:space="preserve"> – Eighteen pathogenic or assumed pathogenic variants from 26 individuals consistent with autosomal recessive </w:t>
      </w:r>
      <w:r w:rsidR="00434085" w:rsidRPr="00540ED7">
        <w:rPr>
          <w:rFonts w:ascii="Segoe UI" w:hAnsi="Segoe UI" w:cs="Segoe UI"/>
          <w:b/>
          <w:bCs/>
        </w:rPr>
        <w:t>NPHP1</w:t>
      </w:r>
      <w:r w:rsidR="00434085" w:rsidRPr="00C9492B">
        <w:rPr>
          <w:rFonts w:ascii="Segoe UI" w:hAnsi="Segoe UI" w:cs="Segoe UI"/>
          <w:b/>
          <w:bCs/>
          <w:i w:val="0"/>
          <w:iCs w:val="0"/>
        </w:rPr>
        <w:t>-related disease</w:t>
      </w:r>
      <w:r w:rsidR="003C61FB" w:rsidRPr="00C9492B">
        <w:rPr>
          <w:rFonts w:ascii="Segoe UI" w:hAnsi="Segoe UI" w:cs="Segoe UI"/>
          <w:b/>
          <w:bCs/>
          <w:i w:val="0"/>
          <w:iCs w:val="0"/>
        </w:rPr>
        <w:t>.</w:t>
      </w:r>
      <w:bookmarkEnd w:id="10"/>
      <w:r w:rsidR="002253CE" w:rsidRPr="00C9492B">
        <w:rPr>
          <w:rFonts w:ascii="Segoe UI" w:hAnsi="Segoe UI" w:cs="Segoe UI"/>
          <w:i w:val="0"/>
          <w:iCs w:val="0"/>
        </w:rPr>
        <w:t xml:space="preserve"> </w:t>
      </w:r>
      <w:r w:rsidR="00AD2DB3" w:rsidRPr="00C9492B">
        <w:rPr>
          <w:rFonts w:ascii="Segoe UI" w:hAnsi="Segoe UI" w:cs="Segoe UI"/>
          <w:i w:val="0"/>
          <w:iCs w:val="0"/>
        </w:rPr>
        <w:t xml:space="preserve">Dark blue </w:t>
      </w:r>
      <w:r w:rsidR="003C61FB" w:rsidRPr="00C9492B">
        <w:rPr>
          <w:rFonts w:ascii="Segoe UI" w:hAnsi="Segoe UI" w:cs="Segoe UI"/>
          <w:i w:val="0"/>
          <w:iCs w:val="0"/>
        </w:rPr>
        <w:t>background indicates homozygous variants</w:t>
      </w:r>
      <w:r w:rsidR="001B7943" w:rsidRPr="00C9492B">
        <w:rPr>
          <w:rFonts w:ascii="Segoe UI" w:hAnsi="Segoe UI" w:cs="Segoe UI"/>
          <w:i w:val="0"/>
          <w:iCs w:val="0"/>
        </w:rPr>
        <w:t>,</w:t>
      </w:r>
      <w:r w:rsidR="003C61FB" w:rsidRPr="00C9492B">
        <w:rPr>
          <w:rFonts w:ascii="Segoe UI" w:hAnsi="Segoe UI" w:cs="Segoe UI"/>
          <w:i w:val="0"/>
          <w:iCs w:val="0"/>
        </w:rPr>
        <w:t xml:space="preserve"> and </w:t>
      </w:r>
      <w:r w:rsidR="00AD2DB3" w:rsidRPr="00C9492B">
        <w:rPr>
          <w:rFonts w:ascii="Segoe UI" w:hAnsi="Segoe UI" w:cs="Segoe UI"/>
          <w:i w:val="0"/>
          <w:iCs w:val="0"/>
        </w:rPr>
        <w:t xml:space="preserve">pale blue </w:t>
      </w:r>
      <w:r w:rsidR="003C61FB" w:rsidRPr="00C9492B">
        <w:rPr>
          <w:rFonts w:ascii="Segoe UI" w:hAnsi="Segoe UI" w:cs="Segoe UI"/>
          <w:i w:val="0"/>
          <w:iCs w:val="0"/>
        </w:rPr>
        <w:t>indicates heterozygous variants; t = in-trans. Chr:Position, chromosome and position of 5</w:t>
      </w:r>
      <w:r w:rsidR="001B7943" w:rsidRPr="00C9492B">
        <w:rPr>
          <w:rFonts w:ascii="Segoe UI" w:hAnsi="Segoe UI" w:cs="Segoe UI"/>
          <w:i w:val="0"/>
          <w:iCs w:val="0"/>
        </w:rPr>
        <w:t>'</w:t>
      </w:r>
      <w:r w:rsidR="003C61FB" w:rsidRPr="00C9492B">
        <w:rPr>
          <w:rFonts w:ascii="Segoe UI" w:hAnsi="Segoe UI" w:cs="Segoe UI"/>
          <w:i w:val="0"/>
          <w:iCs w:val="0"/>
        </w:rPr>
        <w:t xml:space="preserve"> base of variant in Homo sapiens (human) genome assembly GRCh38; Ref, reference allele; Alt, alternative allele; Consequence, Consequence of the variant (del = CNV whole gene deletion of </w:t>
      </w:r>
      <w:r w:rsidR="003C61FB" w:rsidRPr="00540ED7">
        <w:rPr>
          <w:rFonts w:ascii="Segoe UI" w:hAnsi="Segoe UI" w:cs="Segoe UI"/>
        </w:rPr>
        <w:t>NPHP1</w:t>
      </w:r>
      <w:r w:rsidR="003C61FB" w:rsidRPr="00C9492B">
        <w:rPr>
          <w:rFonts w:ascii="Segoe UI" w:hAnsi="Segoe UI" w:cs="Segoe UI"/>
          <w:i w:val="0"/>
          <w:iCs w:val="0"/>
        </w:rPr>
        <w:t>, sg = stop gained variant, ns = non-synonymous); Amino acid, amino acid change; gnomAD frequency, gnomAD genome v3.0 allele frequency (all populations); CADD phred, Combined Annotation Dependent Depletion score (phred scale) version 1.6; Clinvar, Clinical significance according to Clinvar (P = pathogenic, VUS = variant of uncertain significance, CI = conflicting interpretations of pathogenicity); ACMG, Assessment of pathogenicity after application of American College of Medical Genetics and Genomics and the Association for Molecular Pathology guidelines for the interpretation of sequence variant (P = pathogenic, VUS= variant of uncertain significance)</w:t>
      </w:r>
      <w:r w:rsidR="005F1D21" w:rsidRPr="00C9492B">
        <w:rPr>
          <w:rFonts w:ascii="Segoe UI" w:hAnsi="Segoe UI" w:cs="Segoe UI"/>
          <w:i w:val="0"/>
          <w:iCs w:val="0"/>
        </w:rPr>
        <w:t>.</w:t>
      </w:r>
    </w:p>
    <w:p w14:paraId="7E5E4E05" w14:textId="77777777" w:rsidR="009812C4" w:rsidRPr="00F0254C" w:rsidRDefault="009812C4" w:rsidP="009812C4">
      <w:pPr>
        <w:rPr>
          <w:rFonts w:ascii="Segoe UI" w:hAnsi="Segoe UI" w:cs="Segoe UI"/>
        </w:rPr>
      </w:pPr>
    </w:p>
    <w:p w14:paraId="4B239571" w14:textId="30CFF7EF" w:rsidR="005D4226" w:rsidRPr="00F0254C" w:rsidRDefault="003C61FB" w:rsidP="007043C2">
      <w:pPr>
        <w:pStyle w:val="Heading1"/>
        <w:spacing w:line="480" w:lineRule="auto"/>
        <w:rPr>
          <w:rFonts w:ascii="Segoe UI" w:hAnsi="Segoe UI" w:cs="Segoe UI"/>
        </w:rPr>
      </w:pPr>
      <w:r w:rsidRPr="00F0254C">
        <w:rPr>
          <w:rFonts w:ascii="Segoe UI" w:hAnsi="Segoe UI" w:cs="Segoe UI"/>
        </w:rPr>
        <w:t>Discussion</w:t>
      </w:r>
      <w:bookmarkEnd w:id="1"/>
    </w:p>
    <w:p w14:paraId="065023BC" w14:textId="3D3B50CA" w:rsidR="007871F4" w:rsidRDefault="00F461E0">
      <w:pPr>
        <w:spacing w:after="0" w:line="480" w:lineRule="auto"/>
        <w:rPr>
          <w:rFonts w:ascii="Segoe UI" w:hAnsi="Segoe UI" w:cs="Segoe UI"/>
        </w:rPr>
      </w:pPr>
      <w:r>
        <w:rPr>
          <w:rFonts w:ascii="Segoe UI" w:hAnsi="Segoe UI" w:cs="Segoe UI"/>
        </w:rPr>
        <w:t>E</w:t>
      </w:r>
      <w:r w:rsidR="00A7453E" w:rsidRPr="00F0254C">
        <w:rPr>
          <w:rFonts w:ascii="Segoe UI" w:hAnsi="Segoe UI" w:cs="Segoe UI"/>
        </w:rPr>
        <w:t xml:space="preserve">ighteen participants were identified with genotypes consistent with a diagnosis of recessive </w:t>
      </w:r>
      <w:r w:rsidR="00A7453E" w:rsidRPr="00F0254C">
        <w:rPr>
          <w:rFonts w:ascii="Segoe UI" w:hAnsi="Segoe UI" w:cs="Segoe UI"/>
          <w:i/>
          <w:iCs/>
        </w:rPr>
        <w:t>NPHP1</w:t>
      </w:r>
      <w:r w:rsidR="00A7453E" w:rsidRPr="00F0254C">
        <w:rPr>
          <w:rFonts w:ascii="Segoe UI" w:hAnsi="Segoe UI" w:cs="Segoe UI"/>
        </w:rPr>
        <w:t xml:space="preserve">-related disease and renal or retinal phenotypes. </w:t>
      </w:r>
      <w:r w:rsidR="001A3F45" w:rsidRPr="00F0254C">
        <w:rPr>
          <w:rFonts w:ascii="Segoe UI" w:hAnsi="Segoe UI" w:cs="Segoe UI"/>
        </w:rPr>
        <w:t xml:space="preserve">Of these, </w:t>
      </w:r>
      <w:r w:rsidR="007871F4" w:rsidRPr="00F0254C">
        <w:rPr>
          <w:rFonts w:ascii="Segoe UI" w:hAnsi="Segoe UI" w:cs="Segoe UI"/>
        </w:rPr>
        <w:t xml:space="preserve">ten participants with homozygous </w:t>
      </w:r>
      <w:r w:rsidR="007871F4" w:rsidRPr="00F0254C">
        <w:rPr>
          <w:rFonts w:ascii="Segoe UI" w:hAnsi="Segoe UI" w:cs="Segoe UI"/>
          <w:i/>
          <w:iCs/>
        </w:rPr>
        <w:t>NPHP1</w:t>
      </w:r>
      <w:r w:rsidR="007871F4" w:rsidRPr="00F0254C">
        <w:rPr>
          <w:rFonts w:ascii="Segoe UI" w:hAnsi="Segoe UI" w:cs="Segoe UI"/>
        </w:rPr>
        <w:t xml:space="preserve"> deletions could be</w:t>
      </w:r>
      <w:r w:rsidR="001A3F45" w:rsidRPr="00F0254C">
        <w:rPr>
          <w:rFonts w:ascii="Segoe UI" w:hAnsi="Segoe UI" w:cs="Segoe UI"/>
        </w:rPr>
        <w:t xml:space="preserve"> considered pathogen</w:t>
      </w:r>
      <w:r w:rsidR="007871F4" w:rsidRPr="00F0254C">
        <w:rPr>
          <w:rFonts w:ascii="Segoe UI" w:hAnsi="Segoe UI" w:cs="Segoe UI"/>
        </w:rPr>
        <w:t>ic according to ACMG guidelines.</w:t>
      </w:r>
      <w:r w:rsidR="00136333">
        <w:rPr>
          <w:rFonts w:ascii="Segoe UI" w:hAnsi="Segoe UI" w:cs="Segoe UI"/>
        </w:rPr>
        <w:t xml:space="preserve"> </w:t>
      </w:r>
      <w:r w:rsidR="007871F4" w:rsidRPr="00F0254C">
        <w:rPr>
          <w:rFonts w:ascii="Segoe UI" w:hAnsi="Segoe UI" w:cs="Segoe UI"/>
        </w:rPr>
        <w:t>Eight patients had homozygous and compound heterozygous SNVs</w:t>
      </w:r>
      <w:r w:rsidR="00C7089B" w:rsidRPr="00F0254C">
        <w:rPr>
          <w:rFonts w:ascii="Segoe UI" w:hAnsi="Segoe UI" w:cs="Segoe UI"/>
        </w:rPr>
        <w:t>,</w:t>
      </w:r>
      <w:r w:rsidR="007871F4" w:rsidRPr="00F0254C">
        <w:rPr>
          <w:rFonts w:ascii="Segoe UI" w:hAnsi="Segoe UI" w:cs="Segoe UI"/>
        </w:rPr>
        <w:t xml:space="preserve"> including two heterozygous variants of uncertain significance (VUS) in-trans with CNV deletions. Of these</w:t>
      </w:r>
      <w:r w:rsidR="00C7089B" w:rsidRPr="00F0254C">
        <w:rPr>
          <w:rFonts w:ascii="Segoe UI" w:hAnsi="Segoe UI" w:cs="Segoe UI"/>
        </w:rPr>
        <w:t>, only the two with homozygous stop gain mutations can be classified as pathogenic according to ACMG criteria.</w:t>
      </w:r>
    </w:p>
    <w:p w14:paraId="4853F765" w14:textId="0D171334" w:rsidR="00800EBE" w:rsidRPr="00F0254C" w:rsidRDefault="00800EBE" w:rsidP="00CD246B">
      <w:pPr>
        <w:pStyle w:val="Heading2"/>
      </w:pPr>
      <w:r>
        <w:t>Evidence for pathogenicity</w:t>
      </w:r>
    </w:p>
    <w:p w14:paraId="53D9E7E0" w14:textId="169EA915" w:rsidR="000068A0" w:rsidRDefault="00BD4B95" w:rsidP="00621F24">
      <w:pPr>
        <w:spacing w:line="480" w:lineRule="auto"/>
        <w:rPr>
          <w:rFonts w:ascii="Segoe UI" w:hAnsi="Segoe UI" w:cs="Segoe UI"/>
        </w:rPr>
      </w:pPr>
      <w:r w:rsidRPr="00F0254C">
        <w:rPr>
          <w:rFonts w:ascii="Segoe UI" w:hAnsi="Segoe UI" w:cs="Segoe UI"/>
        </w:rPr>
        <w:t>The other SNVs were rare (4.00E-04) or novel missense variants with strong in-silico evidence of pathogenicity</w:t>
      </w:r>
      <w:r w:rsidR="003675B4" w:rsidRPr="00F0254C">
        <w:rPr>
          <w:rFonts w:ascii="Segoe UI" w:hAnsi="Segoe UI" w:cs="Segoe UI"/>
        </w:rPr>
        <w:t xml:space="preserve">. The CADD PHRED scores were between 18 and 28.9. </w:t>
      </w:r>
      <w:r w:rsidR="004A585A" w:rsidRPr="00F0254C">
        <w:rPr>
          <w:rFonts w:ascii="Segoe UI" w:hAnsi="Segoe UI" w:cs="Segoe UI"/>
        </w:rPr>
        <w:t>At the risk of los</w:t>
      </w:r>
      <w:r w:rsidR="00C7089B" w:rsidRPr="00F0254C">
        <w:rPr>
          <w:rFonts w:ascii="Segoe UI" w:hAnsi="Segoe UI" w:cs="Segoe UI"/>
        </w:rPr>
        <w:t>ing</w:t>
      </w:r>
      <w:r w:rsidR="004A585A" w:rsidRPr="00F0254C">
        <w:rPr>
          <w:rFonts w:ascii="Segoe UI" w:hAnsi="Segoe UI" w:cs="Segoe UI"/>
        </w:rPr>
        <w:t xml:space="preserve"> some causative variants</w:t>
      </w:r>
      <w:r w:rsidR="00C7089B" w:rsidRPr="00F0254C">
        <w:rPr>
          <w:rFonts w:ascii="Segoe UI" w:hAnsi="Segoe UI" w:cs="Segoe UI"/>
        </w:rPr>
        <w:t>,</w:t>
      </w:r>
      <w:r w:rsidR="004A585A" w:rsidRPr="00F0254C">
        <w:rPr>
          <w:rFonts w:ascii="Segoe UI" w:hAnsi="Segoe UI" w:cs="Segoe UI"/>
        </w:rPr>
        <w:t xml:space="preserve"> we chose a cut off CADD score of 15 and above. This cut-off was chosen as it represents the median value for all possible canonical splice site changes and non-synonymous variants in CADD. </w:t>
      </w:r>
      <w:r w:rsidRPr="00F0254C">
        <w:rPr>
          <w:rFonts w:ascii="Segoe UI" w:hAnsi="Segoe UI" w:cs="Segoe UI"/>
        </w:rPr>
        <w:t xml:space="preserve">Variants with CADD PHRED scores over 15 are predicted to be </w:t>
      </w:r>
      <w:r w:rsidR="00C7089B" w:rsidRPr="00F0254C">
        <w:rPr>
          <w:rFonts w:ascii="Segoe UI" w:hAnsi="Segoe UI" w:cs="Segoe UI"/>
        </w:rPr>
        <w:t xml:space="preserve">in </w:t>
      </w:r>
      <w:r w:rsidRPr="00F0254C">
        <w:rPr>
          <w:rFonts w:ascii="Segoe UI" w:hAnsi="Segoe UI" w:cs="Segoe UI"/>
        </w:rPr>
        <w:t xml:space="preserve">the top 0.5% </w:t>
      </w:r>
      <w:r w:rsidR="00C7089B" w:rsidRPr="00F0254C">
        <w:rPr>
          <w:rFonts w:ascii="Segoe UI" w:hAnsi="Segoe UI" w:cs="Segoe UI"/>
        </w:rPr>
        <w:t xml:space="preserve">of </w:t>
      </w:r>
      <w:r w:rsidRPr="00F0254C">
        <w:rPr>
          <w:rFonts w:ascii="Segoe UI" w:hAnsi="Segoe UI" w:cs="Segoe UI"/>
        </w:rPr>
        <w:t xml:space="preserve">most deleterious substitutions that can occur </w:t>
      </w:r>
      <w:r w:rsidR="00C7089B" w:rsidRPr="00F0254C">
        <w:rPr>
          <w:rFonts w:ascii="Segoe UI" w:hAnsi="Segoe UI" w:cs="Segoe UI"/>
        </w:rPr>
        <w:t xml:space="preserve">in </w:t>
      </w:r>
      <w:r w:rsidRPr="00F0254C">
        <w:rPr>
          <w:rFonts w:ascii="Segoe UI" w:hAnsi="Segoe UI" w:cs="Segoe UI"/>
        </w:rPr>
        <w:t>the human genome.</w:t>
      </w:r>
      <w:r w:rsidR="003675B4" w:rsidRPr="00F0254C">
        <w:rPr>
          <w:rFonts w:ascii="Segoe UI" w:hAnsi="Segoe UI" w:cs="Segoe UI"/>
        </w:rPr>
        <w:t xml:space="preserve"> However, as is true of missense variants in many other genes they cannot be </w:t>
      </w:r>
      <w:r w:rsidR="004A585A" w:rsidRPr="00F0254C">
        <w:rPr>
          <w:rFonts w:ascii="Segoe UI" w:hAnsi="Segoe UI" w:cs="Segoe UI"/>
        </w:rPr>
        <w:t xml:space="preserve">officially </w:t>
      </w:r>
      <w:r w:rsidR="003675B4" w:rsidRPr="00F0254C">
        <w:rPr>
          <w:rFonts w:ascii="Segoe UI" w:hAnsi="Segoe UI" w:cs="Segoe UI"/>
        </w:rPr>
        <w:t xml:space="preserve">classified as </w:t>
      </w:r>
      <w:r w:rsidR="004A585A" w:rsidRPr="00F0254C">
        <w:rPr>
          <w:rFonts w:ascii="Segoe UI" w:hAnsi="Segoe UI" w:cs="Segoe UI"/>
        </w:rPr>
        <w:t xml:space="preserve">clinically </w:t>
      </w:r>
      <w:r w:rsidR="003675B4" w:rsidRPr="00F0254C">
        <w:rPr>
          <w:rFonts w:ascii="Segoe UI" w:hAnsi="Segoe UI" w:cs="Segoe UI"/>
        </w:rPr>
        <w:t xml:space="preserve">pathogenic without expensive and time consuming in-vitro or in vivo functional assays. This poses a wider problem with the bottle neck to clinical interpretation now moving from high through put genomics to a lack of high throughput </w:t>
      </w:r>
      <w:r w:rsidR="004A585A" w:rsidRPr="00F0254C">
        <w:rPr>
          <w:rFonts w:ascii="Segoe UI" w:hAnsi="Segoe UI" w:cs="Segoe UI"/>
        </w:rPr>
        <w:t>functional assays</w:t>
      </w:r>
      <w:r w:rsidR="003675B4" w:rsidRPr="00F0254C">
        <w:rPr>
          <w:rFonts w:ascii="Segoe UI" w:hAnsi="Segoe UI" w:cs="Segoe UI"/>
        </w:rPr>
        <w:t xml:space="preserve"> to </w:t>
      </w:r>
      <w:r w:rsidR="004A585A" w:rsidRPr="00F0254C">
        <w:rPr>
          <w:rFonts w:ascii="Segoe UI" w:hAnsi="Segoe UI" w:cs="Segoe UI"/>
        </w:rPr>
        <w:t>confirm</w:t>
      </w:r>
      <w:r w:rsidR="003675B4" w:rsidRPr="00F0254C">
        <w:rPr>
          <w:rFonts w:ascii="Segoe UI" w:hAnsi="Segoe UI" w:cs="Segoe UI"/>
        </w:rPr>
        <w:t xml:space="preserve"> pathogenicity. Given these variants are rare or even private to a specific family, the cost of developing </w:t>
      </w:r>
      <w:r w:rsidR="00C7089B" w:rsidRPr="00F0254C">
        <w:rPr>
          <w:rFonts w:ascii="Segoe UI" w:hAnsi="Segoe UI" w:cs="Segoe UI"/>
        </w:rPr>
        <w:t>'</w:t>
      </w:r>
      <w:r w:rsidR="003675B4" w:rsidRPr="00F0254C">
        <w:rPr>
          <w:rFonts w:ascii="Segoe UI" w:hAnsi="Segoe UI" w:cs="Segoe UI"/>
        </w:rPr>
        <w:t>well-established in vitro or in vivo functional studies</w:t>
      </w:r>
      <w:r w:rsidR="00C7089B" w:rsidRPr="00F0254C">
        <w:rPr>
          <w:rFonts w:ascii="Segoe UI" w:hAnsi="Segoe UI" w:cs="Segoe UI"/>
        </w:rPr>
        <w:t>'</w:t>
      </w:r>
      <w:r w:rsidR="003675B4" w:rsidRPr="00F0254C">
        <w:rPr>
          <w:rFonts w:ascii="Segoe UI" w:hAnsi="Segoe UI" w:cs="Segoe UI"/>
        </w:rPr>
        <w:t xml:space="preserve"> is likely to be prohibitive and </w:t>
      </w:r>
      <w:r w:rsidR="003675B4" w:rsidRPr="00F0254C">
        <w:rPr>
          <w:rFonts w:ascii="Segoe UI" w:hAnsi="Segoe UI" w:cs="Segoe UI"/>
        </w:rPr>
        <w:lastRenderedPageBreak/>
        <w:t>result in a loss of translational benefit to patients and their families.</w:t>
      </w:r>
      <w:r w:rsidR="00280608" w:rsidRPr="00F0254C">
        <w:rPr>
          <w:rFonts w:ascii="Segoe UI" w:hAnsi="Segoe UI" w:cs="Segoe UI"/>
        </w:rPr>
        <w:t xml:space="preserve"> Where functional experimental evidence is available it supports roles of some protein domains in apoptosis and cell adhesion.</w:t>
      </w:r>
      <w:r w:rsidR="005D5295" w:rsidRPr="00F0254C">
        <w:rPr>
          <w:rFonts w:ascii="Segoe UI" w:hAnsi="Segoe UI" w:cs="Segoe UI"/>
          <w:lang w:eastAsia="en-US"/>
        </w:rPr>
        <w:fldChar w:fldCharType="begin" w:fldLock="1"/>
      </w:r>
      <w:r w:rsidR="00C275EA">
        <w:rPr>
          <w:rFonts w:ascii="Segoe UI" w:hAnsi="Segoe UI" w:cs="Segoe UI"/>
          <w:lang w:eastAsia="en-US"/>
        </w:rPr>
        <w:instrText>ADDIN CSL_CITATION {"citationItems":[{"id":"ITEM-1","itemData":{"DOI":"10.1021/ACSCHEMBIO.9B00582/SUPPL_FILE/CB9B00582_SI_001.PDF","ISSN":"15548937","PMID":"31345020","abstract":"Mutations in the NPHP1 gene, coding for human nephrocystin-1 (NPHP1), cause the autosomal recessive disease nephronophthisis, the most common cause of end-stage renal disease in children and adolescents. The function and structure of NPHP1 are still poorly characterized. NPHP1 presents a modular structure well in keeping with its role as an adaptor protein: it harbors an SH3 domain flanked by two glutamic acid-rich regions and a conserved C-terminal nephrocystin homology domain (NHD). Similar to other NPHP protein family members, its N-terminus contains a putative coiled-coil domain (NPHP1CC) that is supposed to play an important role in NPHP1 self-association and/or protein-protein interactions. Structural studies proving its structure and its oligomerization state are still lacking. Here we demonstrate that NPHP1CC is monomeric in solution and unexpectedly folds into an autonomous domain forming a three-stranded antiparallel coiled coil suitable for protein-protein interactions. Notably, we found that the NPHP1CC shares remarkable structural similarities with the three-stranded coiled coil of the BAG domain protein family, which is known to mediate the anti-apoptotic function of these proteins, suggesting a possible similar role for NPHP1CC. In agreement with this hypothesis, we show that in the context of the full-length protein the NPHP1CC is fundamental to regulate resistance to apoptotic stimuli.","author":[{"dropping-particle":"","family":"Mannella","given":"Valeria","non-dropping-particle":"","parse-names":false,"suffix":""},{"dropping-particle":"","family":"Quilici","given":"Giacomo","non-dropping-particle":"","parse-names":false,"suffix":""},{"dropping-particle":"","family":"Nigro","given":"Elisa Agnese","non-dropping-particle":"","parse-names":false,"suffix":""},{"dropping-particle":"","family":"Lampis","given":"Matteo","non-dropping-particle":"","parse-names":false,"suffix":""},{"dropping-particle":"","family":"Minici","given":"Claudia","non-dropping-particle":"","parse-names":false,"suffix":""},{"dropping-particle":"","family":"Degano","given":"Massimo","non-dropping-particle":"","parse-names":false,"suffix":""},{"dropping-particle":"","family":"Boletta","given":"Alessandra","non-dropping-particle":"","parse-names":false,"suffix":""},{"dropping-particle":"","family":"Musco","given":"Giovanna","non-dropping-particle":"","parse-names":false,"suffix":""}],"container-title":"ACS Chemical Biology","id":"ITEM-1","issue":"8","issued":{"date-parts":[["2019","8","16"]]},"page":"1845-1854","publisher":"American Chemical Society","title":"The N-Terminal Domain of NPHP1 Folds into a Monomeric Left-Handed Antiparallel Three-Stranded Coiled Coil with Anti-apoptotic Function","type":"article-journal","volume":"14"},"uris":["http://www.mendeley.com/documents/?uuid=a07ade76-0ded-3e93-b198-45391996392c"]},{"id":"ITEM-2","itemData":{"DOI":"10.1002/PROT.20344","ISSN":"1097-0134","PMID":"15723349","abstract":"Human nephrocystin is a protein associated with juvenile NPH, an autosomal recessive, inherited kidney disease responsible for chronic renal failure in children. It contains an SH3 domain involved in signaling pathways controlling cell adhesion and cytoskeleton organization. The solution structure of this domain was solved by triple resonance NMR spectroscopy. Within the core, the structure is similar to those previously reported for other SH3 domains but exhibits a number of specific noncanonical features within the polyproline ligand binding site. Some of the key conserved residues are missing, and the N-Src loop exhibits an unusual twisted geometry, which results in a narrowing of the binding groove. This is induced by the replacement of a conserved Asp, Asn, or Glu residue by a Pro at one side of the N-Src loop. A systematic survey of other SH3 domains also containing a Pro at this position reveals that most of them belong to proteins involved in cell adhesion or motility. A variant of this domain, which carries a point mutation causing NPH, was also analyzed. This change, L180P, although it corresponds to a nonconserved and solvent-exposed position, causes a complete loss of the tertiary structure. Similar effects are also observed with the L180A variant. This could be a context-dependent effect resulting from an interaction between neighboring charged side-chains. © 2005 Wiley-Liss, Inc.","author":[{"dropping-particle":"","family":"Maire","given":"Albane","non-dropping-particle":"Le","parse-names":false,"suffix":""},{"dropping-particle":"","family":"Weber","given":"Thomas","non-dropping-particle":"","parse-names":false,"suffix":""},{"dropping-particle":"","family":"Saunier","given":"Sophie","non-dropping-particle":"","parse-names":false,"suffix":""},{"dropping-particle":"","family":"Broutin","given":"Isabelle","non-dropping-particle":"","parse-names":false,"suffix":""},{"dropping-particle":"","family":"Antignac","given":"Corinne","non-dropping-particle":"","parse-names":false,"suffix":""},{"dropping-particle":"","family":"Ducruix","given":"Arnaud","non-dropping-particle":"","parse-names":false,"suffix":""},{"dropping-particle":"","family":"Dardel","given":"Frédéric","non-dropping-particle":"","parse-names":false,"suffix":""}],"container-title":"Proteins: Structure, Function, and Bioinformatics","id":"ITEM-2","issue":"2","issued":{"date-parts":[["2005","5","1"]]},"page":"347-355","publisher":"John Wiley &amp; Sons, Ltd","title":"Solution NMR structure of the SH3 domain of human nephrocystin and analysis of a mutation-causing juvenile nephronophthisis","type":"article-journal","volume":"59"},"uris":["http://www.mendeley.com/documents/?uuid=37a464a0-f953-3d88-b865-74e250c4a053"]}],"mendeley":{"formattedCitation":"&lt;span style=\"baseline\"&gt;[45,46]&lt;/span&gt;","plainTextFormattedCitation":"[45,46]","previouslyFormattedCitation":"&lt;span style=\"baseline\"&gt;[45,46]&lt;/span&gt;"},"properties":{"noteIndex":0},"schema":"https://github.com/citation-style-language/schema/raw/master/csl-citation.json"}</w:instrText>
      </w:r>
      <w:r w:rsidR="005D5295" w:rsidRPr="00F0254C">
        <w:rPr>
          <w:rFonts w:ascii="Segoe UI" w:hAnsi="Segoe UI" w:cs="Segoe UI"/>
          <w:lang w:eastAsia="en-US"/>
        </w:rPr>
        <w:fldChar w:fldCharType="separate"/>
      </w:r>
      <w:r w:rsidR="00621F24" w:rsidRPr="00621F24">
        <w:rPr>
          <w:rFonts w:ascii="Segoe UI" w:hAnsi="Segoe UI" w:cs="Segoe UI"/>
          <w:noProof/>
          <w:lang w:eastAsia="en-US"/>
        </w:rPr>
        <w:t>[45,46]</w:t>
      </w:r>
      <w:r w:rsidR="005D5295" w:rsidRPr="00F0254C">
        <w:rPr>
          <w:rFonts w:ascii="Segoe UI" w:hAnsi="Segoe UI" w:cs="Segoe UI"/>
          <w:lang w:eastAsia="en-US"/>
        </w:rPr>
        <w:fldChar w:fldCharType="end"/>
      </w:r>
      <w:r w:rsidR="00280608" w:rsidRPr="00F0254C">
        <w:rPr>
          <w:rFonts w:ascii="Segoe UI" w:hAnsi="Segoe UI" w:cs="Segoe UI"/>
        </w:rPr>
        <w:t xml:space="preserve"> </w:t>
      </w:r>
      <w:r w:rsidR="005E0A50" w:rsidRPr="00F0254C">
        <w:rPr>
          <w:rFonts w:ascii="Segoe UI" w:hAnsi="Segoe UI" w:cs="Segoe UI"/>
        </w:rPr>
        <w:t>AlphaFold</w:t>
      </w:r>
      <w:r w:rsidR="00280608" w:rsidRPr="00F0254C">
        <w:rPr>
          <w:rFonts w:ascii="Segoe UI" w:hAnsi="Segoe UI" w:cs="Segoe UI"/>
        </w:rPr>
        <w:t xml:space="preserve"> structural modelling of these SNVs additionally predicted significant impact on protein structure.</w:t>
      </w:r>
    </w:p>
    <w:p w14:paraId="39B53B84" w14:textId="2F17305B" w:rsidR="003675B4" w:rsidRPr="00F0254C" w:rsidRDefault="00F13A32" w:rsidP="00CD246B">
      <w:pPr>
        <w:pStyle w:val="Heading2"/>
      </w:pPr>
      <w:r>
        <w:t>Identification of participants who may yet to develop disease</w:t>
      </w:r>
    </w:p>
    <w:p w14:paraId="38012468" w14:textId="39A28ED4" w:rsidR="008A3E86" w:rsidRPr="00F0254C" w:rsidRDefault="003675B4" w:rsidP="00C7089B">
      <w:pPr>
        <w:spacing w:line="480" w:lineRule="auto"/>
        <w:rPr>
          <w:rFonts w:ascii="Segoe UI" w:hAnsi="Segoe UI" w:cs="Segoe UI"/>
        </w:rPr>
      </w:pPr>
      <w:r w:rsidRPr="00F0254C">
        <w:rPr>
          <w:rFonts w:ascii="Segoe UI" w:hAnsi="Segoe UI" w:cs="Segoe UI"/>
        </w:rPr>
        <w:t>An additional e</w:t>
      </w:r>
      <w:r w:rsidR="004512E7" w:rsidRPr="00F0254C">
        <w:rPr>
          <w:rFonts w:ascii="Segoe UI" w:hAnsi="Segoe UI" w:cs="Segoe UI"/>
        </w:rPr>
        <w:t xml:space="preserve">ight participants </w:t>
      </w:r>
      <w:r w:rsidR="009D08F5" w:rsidRPr="00F0254C">
        <w:rPr>
          <w:rFonts w:ascii="Segoe UI" w:hAnsi="Segoe UI" w:cs="Segoe UI"/>
        </w:rPr>
        <w:t>had a</w:t>
      </w:r>
      <w:r w:rsidR="004512E7" w:rsidRPr="00F0254C">
        <w:rPr>
          <w:rFonts w:ascii="Segoe UI" w:hAnsi="Segoe UI" w:cs="Segoe UI"/>
        </w:rPr>
        <w:t xml:space="preserve"> recessive </w:t>
      </w:r>
      <w:r w:rsidRPr="00F0254C">
        <w:rPr>
          <w:rFonts w:ascii="Segoe UI" w:hAnsi="Segoe UI" w:cs="Segoe UI"/>
        </w:rPr>
        <w:t xml:space="preserve">SNV </w:t>
      </w:r>
      <w:r w:rsidR="004512E7" w:rsidRPr="00F0254C">
        <w:rPr>
          <w:rFonts w:ascii="Segoe UI" w:hAnsi="Segoe UI" w:cs="Segoe UI"/>
        </w:rPr>
        <w:t xml:space="preserve">genotype consistent with monogenic </w:t>
      </w:r>
      <w:r w:rsidR="004512E7" w:rsidRPr="00F0254C">
        <w:rPr>
          <w:rFonts w:ascii="Segoe UI" w:hAnsi="Segoe UI" w:cs="Segoe UI"/>
          <w:i/>
          <w:iCs/>
        </w:rPr>
        <w:t>NPHP1</w:t>
      </w:r>
      <w:r w:rsidR="00C71FD8" w:rsidRPr="00F0254C">
        <w:rPr>
          <w:rFonts w:ascii="Segoe UI" w:hAnsi="Segoe UI" w:cs="Segoe UI"/>
          <w:i/>
          <w:iCs/>
        </w:rPr>
        <w:t>-</w:t>
      </w:r>
      <w:r w:rsidR="004512E7" w:rsidRPr="00F0254C">
        <w:rPr>
          <w:rFonts w:ascii="Segoe UI" w:hAnsi="Segoe UI" w:cs="Segoe UI"/>
        </w:rPr>
        <w:t xml:space="preserve">related disease </w:t>
      </w:r>
      <w:r w:rsidR="009D08F5" w:rsidRPr="00F0254C">
        <w:rPr>
          <w:rFonts w:ascii="Segoe UI" w:hAnsi="Segoe UI" w:cs="Segoe UI"/>
        </w:rPr>
        <w:t>but</w:t>
      </w:r>
      <w:r w:rsidR="004512E7" w:rsidRPr="00F0254C">
        <w:rPr>
          <w:rFonts w:ascii="Segoe UI" w:hAnsi="Segoe UI" w:cs="Segoe UI"/>
        </w:rPr>
        <w:t xml:space="preserve"> no documented renal or retinal phenotype</w:t>
      </w:r>
      <w:r w:rsidR="006E6FE0" w:rsidRPr="00F0254C">
        <w:rPr>
          <w:rFonts w:ascii="Segoe UI" w:hAnsi="Segoe UI" w:cs="Segoe UI"/>
        </w:rPr>
        <w:t>.</w:t>
      </w:r>
      <w:r w:rsidR="004512E7" w:rsidRPr="00F0254C">
        <w:rPr>
          <w:rFonts w:ascii="Segoe UI" w:hAnsi="Segoe UI" w:cs="Segoe UI"/>
        </w:rPr>
        <w:t xml:space="preserve"> </w:t>
      </w:r>
      <w:r w:rsidR="006E6FE0" w:rsidRPr="00F0254C">
        <w:rPr>
          <w:rFonts w:ascii="Segoe UI" w:hAnsi="Segoe UI" w:cs="Segoe UI"/>
        </w:rPr>
        <w:t>O</w:t>
      </w:r>
      <w:r w:rsidR="004512E7" w:rsidRPr="00F0254C">
        <w:rPr>
          <w:rFonts w:ascii="Segoe UI" w:hAnsi="Segoe UI" w:cs="Segoe UI"/>
        </w:rPr>
        <w:t xml:space="preserve">ne was recruited </w:t>
      </w:r>
      <w:r w:rsidR="00C7089B" w:rsidRPr="00F0254C">
        <w:rPr>
          <w:rFonts w:ascii="Segoe UI" w:hAnsi="Segoe UI" w:cs="Segoe UI"/>
        </w:rPr>
        <w:t>with</w:t>
      </w:r>
      <w:r w:rsidR="004512E7" w:rsidRPr="00F0254C">
        <w:rPr>
          <w:rFonts w:ascii="Segoe UI" w:hAnsi="Segoe UI" w:cs="Segoe UI"/>
        </w:rPr>
        <w:t xml:space="preserve"> cancer, and three were 'unaffected</w:t>
      </w:r>
      <w:r w:rsidR="00C7089B" w:rsidRPr="00F0254C">
        <w:rPr>
          <w:rFonts w:ascii="Segoe UI" w:hAnsi="Segoe UI" w:cs="Segoe UI"/>
        </w:rPr>
        <w:t>'</w:t>
      </w:r>
      <w:r w:rsidR="004512E7" w:rsidRPr="00F0254C">
        <w:rPr>
          <w:rFonts w:ascii="Segoe UI" w:hAnsi="Segoe UI" w:cs="Segoe UI"/>
        </w:rPr>
        <w:t xml:space="preserve"> relatives. Generally, </w:t>
      </w:r>
      <w:r w:rsidR="00C7089B" w:rsidRPr="00F0254C">
        <w:rPr>
          <w:rFonts w:ascii="Segoe UI" w:hAnsi="Segoe UI" w:cs="Segoe UI"/>
        </w:rPr>
        <w:t>phenotype data are scarce</w:t>
      </w:r>
      <w:r w:rsidR="004512E7" w:rsidRPr="00F0254C">
        <w:rPr>
          <w:rFonts w:ascii="Segoe UI" w:hAnsi="Segoe UI" w:cs="Segoe UI"/>
        </w:rPr>
        <w:t xml:space="preserve"> for </w:t>
      </w:r>
      <w:r w:rsidR="009D08F5" w:rsidRPr="00F0254C">
        <w:rPr>
          <w:rFonts w:ascii="Segoe UI" w:hAnsi="Segoe UI" w:cs="Segoe UI"/>
        </w:rPr>
        <w:t xml:space="preserve">participants recruited to cancer and for </w:t>
      </w:r>
      <w:r w:rsidR="004512E7" w:rsidRPr="00F0254C">
        <w:rPr>
          <w:rFonts w:ascii="Segoe UI" w:hAnsi="Segoe UI" w:cs="Segoe UI"/>
        </w:rPr>
        <w:t>rare disease participants other than the proband</w:t>
      </w:r>
      <w:r w:rsidR="009D08F5" w:rsidRPr="00F0254C">
        <w:rPr>
          <w:rFonts w:ascii="Segoe UI" w:hAnsi="Segoe UI" w:cs="Segoe UI"/>
        </w:rPr>
        <w:t>.</w:t>
      </w:r>
      <w:r w:rsidR="004512E7" w:rsidRPr="00F0254C">
        <w:rPr>
          <w:rFonts w:ascii="Segoe UI" w:hAnsi="Segoe UI" w:cs="Segoe UI"/>
        </w:rPr>
        <w:t xml:space="preserve"> The GEL recruitment process for cancer participants does not routinely require documentation of kidney function, even though this would invariably have been tested in all patients undergoing treatment for their cancer. 'Unaffected' relatives with no phenotype recorded at recruitment and no longitudinal ICD-10 </w:t>
      </w:r>
      <w:r w:rsidR="004A0B14" w:rsidRPr="00F0254C">
        <w:rPr>
          <w:rFonts w:ascii="Segoe UI" w:hAnsi="Segoe UI" w:cs="Segoe UI"/>
        </w:rPr>
        <w:t>HES</w:t>
      </w:r>
      <w:r w:rsidR="004512E7" w:rsidRPr="00F0254C">
        <w:rPr>
          <w:rFonts w:ascii="Segoe UI" w:hAnsi="Segoe UI" w:cs="Segoe UI"/>
        </w:rPr>
        <w:t xml:space="preserve"> data</w:t>
      </w:r>
      <w:r w:rsidR="00B773BE" w:rsidRPr="00F0254C">
        <w:rPr>
          <w:rFonts w:ascii="Segoe UI" w:hAnsi="Segoe UI" w:cs="Segoe UI"/>
        </w:rPr>
        <w:t xml:space="preserve"> could</w:t>
      </w:r>
      <w:r w:rsidR="004512E7" w:rsidRPr="00F0254C">
        <w:rPr>
          <w:rFonts w:ascii="Segoe UI" w:hAnsi="Segoe UI" w:cs="Segoe UI"/>
        </w:rPr>
        <w:t xml:space="preserve"> </w:t>
      </w:r>
      <w:r w:rsidR="008A3E86" w:rsidRPr="00F0254C">
        <w:rPr>
          <w:rFonts w:ascii="Segoe UI" w:hAnsi="Segoe UI" w:cs="Segoe UI"/>
        </w:rPr>
        <w:t xml:space="preserve">be due to </w:t>
      </w:r>
      <w:r w:rsidR="004512E7" w:rsidRPr="00F0254C">
        <w:rPr>
          <w:rFonts w:ascii="Segoe UI" w:hAnsi="Segoe UI" w:cs="Segoe UI"/>
        </w:rPr>
        <w:t>either</w:t>
      </w:r>
      <w:r w:rsidR="00B773BE" w:rsidRPr="00F0254C">
        <w:rPr>
          <w:rFonts w:ascii="Segoe UI" w:hAnsi="Segoe UI" w:cs="Segoe UI"/>
        </w:rPr>
        <w:t xml:space="preserve"> </w:t>
      </w:r>
      <w:r w:rsidR="008A3E86" w:rsidRPr="00F0254C">
        <w:rPr>
          <w:rFonts w:ascii="Segoe UI" w:hAnsi="Segoe UI" w:cs="Segoe UI"/>
        </w:rPr>
        <w:t xml:space="preserve">not </w:t>
      </w:r>
      <w:r w:rsidR="004512E7" w:rsidRPr="00F0254C">
        <w:rPr>
          <w:rFonts w:ascii="Segoe UI" w:hAnsi="Segoe UI" w:cs="Segoe UI"/>
        </w:rPr>
        <w:t>be</w:t>
      </w:r>
      <w:r w:rsidR="008A3E86" w:rsidRPr="00F0254C">
        <w:rPr>
          <w:rFonts w:ascii="Segoe UI" w:hAnsi="Segoe UI" w:cs="Segoe UI"/>
        </w:rPr>
        <w:t>ing</w:t>
      </w:r>
      <w:r w:rsidR="004512E7" w:rsidRPr="00F0254C">
        <w:rPr>
          <w:rFonts w:ascii="Segoe UI" w:hAnsi="Segoe UI" w:cs="Segoe UI"/>
        </w:rPr>
        <w:t xml:space="preserve"> clinically evaluated, hav</w:t>
      </w:r>
      <w:r w:rsidR="008A3E86" w:rsidRPr="00F0254C">
        <w:rPr>
          <w:rFonts w:ascii="Segoe UI" w:hAnsi="Segoe UI" w:cs="Segoe UI"/>
        </w:rPr>
        <w:t>ing</w:t>
      </w:r>
      <w:r w:rsidR="004512E7" w:rsidRPr="00F0254C">
        <w:rPr>
          <w:rFonts w:ascii="Segoe UI" w:hAnsi="Segoe UI" w:cs="Segoe UI"/>
        </w:rPr>
        <w:t xml:space="preserve"> subclinical </w:t>
      </w:r>
      <w:r w:rsidR="000554B0" w:rsidRPr="00F0254C">
        <w:rPr>
          <w:rFonts w:ascii="Segoe UI" w:hAnsi="Segoe UI" w:cs="Segoe UI"/>
        </w:rPr>
        <w:t>disease,</w:t>
      </w:r>
      <w:r w:rsidR="004512E7" w:rsidRPr="00F0254C">
        <w:rPr>
          <w:rFonts w:ascii="Segoe UI" w:hAnsi="Segoe UI" w:cs="Segoe UI"/>
        </w:rPr>
        <w:t xml:space="preserve"> or</w:t>
      </w:r>
      <w:r w:rsidR="008A3E86" w:rsidRPr="00F0254C">
        <w:rPr>
          <w:rFonts w:ascii="Segoe UI" w:hAnsi="Segoe UI" w:cs="Segoe UI"/>
        </w:rPr>
        <w:t xml:space="preserve"> having</w:t>
      </w:r>
      <w:r w:rsidR="004512E7" w:rsidRPr="00F0254C">
        <w:rPr>
          <w:rFonts w:ascii="Segoe UI" w:hAnsi="Segoe UI" w:cs="Segoe UI"/>
        </w:rPr>
        <w:t xml:space="preserve"> a clinical disease that is not documented, </w:t>
      </w:r>
      <w:r w:rsidR="00C71FD8" w:rsidRPr="00F0254C">
        <w:rPr>
          <w:rFonts w:ascii="Segoe UI" w:hAnsi="Segoe UI" w:cs="Segoe UI"/>
        </w:rPr>
        <w:t>that may present later or is not fully penetrant</w:t>
      </w:r>
      <w:r w:rsidR="004512E7" w:rsidRPr="00F0254C">
        <w:rPr>
          <w:rFonts w:ascii="Segoe UI" w:hAnsi="Segoe UI" w:cs="Segoe UI"/>
        </w:rPr>
        <w:t>.</w:t>
      </w:r>
    </w:p>
    <w:p w14:paraId="3AA8993D" w14:textId="6EBA22FE" w:rsidR="00160078" w:rsidRDefault="001737F2" w:rsidP="00621F24">
      <w:pPr>
        <w:spacing w:line="480" w:lineRule="auto"/>
        <w:rPr>
          <w:rFonts w:ascii="Segoe UI" w:hAnsi="Segoe UI" w:cs="Segoe UI"/>
        </w:rPr>
      </w:pPr>
      <w:r w:rsidRPr="00F0254C">
        <w:rPr>
          <w:rFonts w:ascii="Segoe UI" w:hAnsi="Segoe UI" w:cs="Segoe UI"/>
        </w:rPr>
        <w:t>When assessing compound heterozygosity, the difficulty is that s</w:t>
      </w:r>
      <w:r w:rsidR="004512E7" w:rsidRPr="00F0254C">
        <w:rPr>
          <w:rFonts w:ascii="Segoe UI" w:hAnsi="Segoe UI" w:cs="Segoe UI"/>
        </w:rPr>
        <w:t xml:space="preserve">ome variants may </w:t>
      </w:r>
      <w:r w:rsidRPr="00F0254C">
        <w:rPr>
          <w:rFonts w:ascii="Segoe UI" w:hAnsi="Segoe UI" w:cs="Segoe UI"/>
        </w:rPr>
        <w:t>lie</w:t>
      </w:r>
      <w:r w:rsidR="004512E7" w:rsidRPr="00F0254C">
        <w:rPr>
          <w:rFonts w:ascii="Segoe UI" w:hAnsi="Segoe UI" w:cs="Segoe UI"/>
        </w:rPr>
        <w:t xml:space="preserve"> on the same chromosome</w:t>
      </w:r>
      <w:r w:rsidR="00C71FD8" w:rsidRPr="00F0254C">
        <w:rPr>
          <w:rFonts w:ascii="Segoe UI" w:hAnsi="Segoe UI" w:cs="Segoe UI"/>
        </w:rPr>
        <w:t>. T</w:t>
      </w:r>
      <w:r w:rsidR="004512E7" w:rsidRPr="00F0254C">
        <w:rPr>
          <w:rFonts w:ascii="Segoe UI" w:hAnsi="Segoe UI" w:cs="Segoe UI"/>
        </w:rPr>
        <w:t xml:space="preserve">his cannot currently be </w:t>
      </w:r>
      <w:r w:rsidRPr="00F0254C">
        <w:rPr>
          <w:rFonts w:ascii="Segoe UI" w:hAnsi="Segoe UI" w:cs="Segoe UI"/>
        </w:rPr>
        <w:t>assessed</w:t>
      </w:r>
      <w:r w:rsidR="004512E7" w:rsidRPr="00F0254C">
        <w:rPr>
          <w:rFonts w:ascii="Segoe UI" w:hAnsi="Segoe UI" w:cs="Segoe UI"/>
        </w:rPr>
        <w:t xml:space="preserve"> with short-read data such as that used by Genomics England. </w:t>
      </w:r>
      <w:r w:rsidRPr="00F0254C">
        <w:rPr>
          <w:rFonts w:ascii="Segoe UI" w:hAnsi="Segoe UI" w:cs="Segoe UI"/>
        </w:rPr>
        <w:t xml:space="preserve">We </w:t>
      </w:r>
      <w:r w:rsidR="00C7089B" w:rsidRPr="00F0254C">
        <w:rPr>
          <w:rFonts w:ascii="Segoe UI" w:hAnsi="Segoe UI" w:cs="Segoe UI"/>
        </w:rPr>
        <w:t>confirmed</w:t>
      </w:r>
      <w:r w:rsidRPr="00F0254C">
        <w:rPr>
          <w:rFonts w:ascii="Segoe UI" w:hAnsi="Segoe UI" w:cs="Segoe UI"/>
        </w:rPr>
        <w:t xml:space="preserve"> the presence in-trans in one participant through parental assessment. The</w:t>
      </w:r>
      <w:r w:rsidR="00C7089B" w:rsidRPr="00F0254C">
        <w:rPr>
          <w:rFonts w:ascii="Segoe UI" w:hAnsi="Segoe UI" w:cs="Segoe UI"/>
        </w:rPr>
        <w:t>ir young age may explain the lack of phenotype data for probands with compound heterozygous variants. T</w:t>
      </w:r>
      <w:r w:rsidR="00E939AC" w:rsidRPr="00F0254C">
        <w:rPr>
          <w:rFonts w:ascii="Segoe UI" w:hAnsi="Segoe UI" w:cs="Segoe UI"/>
        </w:rPr>
        <w:t xml:space="preserve">hey </w:t>
      </w:r>
      <w:r w:rsidR="007073B6" w:rsidRPr="00F0254C">
        <w:rPr>
          <w:rFonts w:ascii="Segoe UI" w:hAnsi="Segoe UI" w:cs="Segoe UI"/>
        </w:rPr>
        <w:t>may yet develop significant disease in their lifetime</w:t>
      </w:r>
      <w:r w:rsidRPr="00F0254C">
        <w:rPr>
          <w:rFonts w:ascii="Segoe UI" w:hAnsi="Segoe UI" w:cs="Segoe UI"/>
        </w:rPr>
        <w:t xml:space="preserve"> </w:t>
      </w:r>
      <w:r w:rsidR="00427219" w:rsidRPr="00F0254C">
        <w:rPr>
          <w:rFonts w:ascii="Segoe UI" w:hAnsi="Segoe UI" w:cs="Segoe UI"/>
        </w:rPr>
        <w:t>(t</w:t>
      </w:r>
      <w:r w:rsidR="004512E7" w:rsidRPr="00F0254C">
        <w:rPr>
          <w:rFonts w:ascii="Segoe UI" w:hAnsi="Segoe UI" w:cs="Segoe UI"/>
        </w:rPr>
        <w:t xml:space="preserve">wo </w:t>
      </w:r>
      <w:r w:rsidR="00427219" w:rsidRPr="00F0254C">
        <w:rPr>
          <w:rFonts w:ascii="Segoe UI" w:hAnsi="Segoe UI" w:cs="Segoe UI"/>
        </w:rPr>
        <w:t xml:space="preserve">were </w:t>
      </w:r>
      <w:r w:rsidR="004512E7" w:rsidRPr="00F0254C">
        <w:rPr>
          <w:rFonts w:ascii="Segoe UI" w:hAnsi="Segoe UI" w:cs="Segoe UI"/>
        </w:rPr>
        <w:t>under 15 years</w:t>
      </w:r>
      <w:r w:rsidR="00427219" w:rsidRPr="00F0254C">
        <w:rPr>
          <w:rFonts w:ascii="Segoe UI" w:hAnsi="Segoe UI" w:cs="Segoe UI"/>
        </w:rPr>
        <w:t xml:space="preserve"> old).</w:t>
      </w:r>
      <w:r w:rsidR="004512E7" w:rsidRPr="00F0254C">
        <w:rPr>
          <w:rFonts w:ascii="Segoe UI" w:hAnsi="Segoe UI" w:cs="Segoe UI"/>
        </w:rPr>
        <w:t xml:space="preserve"> Array-based data on homozygous </w:t>
      </w:r>
      <w:r w:rsidR="004512E7" w:rsidRPr="00F0254C">
        <w:rPr>
          <w:rFonts w:ascii="Segoe UI" w:hAnsi="Segoe UI" w:cs="Segoe UI"/>
          <w:i/>
          <w:iCs/>
        </w:rPr>
        <w:t>NPHP1</w:t>
      </w:r>
      <w:r w:rsidR="004512E7" w:rsidRPr="00F0254C">
        <w:rPr>
          <w:rFonts w:ascii="Segoe UI" w:hAnsi="Segoe UI" w:cs="Segoe UI"/>
        </w:rPr>
        <w:t xml:space="preserve"> CNV deletions from Snoek </w:t>
      </w:r>
      <w:r w:rsidR="004512E7" w:rsidRPr="00F0254C">
        <w:rPr>
          <w:rFonts w:ascii="Segoe UI" w:hAnsi="Segoe UI" w:cs="Segoe UI"/>
          <w:i/>
          <w:iCs/>
        </w:rPr>
        <w:t>et al.</w:t>
      </w:r>
      <w:r w:rsidR="004512E7" w:rsidRPr="00F0254C">
        <w:rPr>
          <w:rFonts w:ascii="Segoe UI" w:hAnsi="Segoe UI" w:cs="Segoe UI"/>
        </w:rPr>
        <w:t xml:space="preserve"> suggests that individuals may not reach end-stage kidney disease until the seventh </w:t>
      </w:r>
      <w:r w:rsidR="004512E7" w:rsidRPr="00F0254C">
        <w:rPr>
          <w:rFonts w:ascii="Segoe UI" w:hAnsi="Segoe UI" w:cs="Segoe UI"/>
        </w:rPr>
        <w:lastRenderedPageBreak/>
        <w:t>decade.</w:t>
      </w:r>
      <w:r w:rsidR="004512E7" w:rsidRPr="00F0254C">
        <w:rPr>
          <w:rFonts w:ascii="Segoe UI" w:hAnsi="Segoe UI" w:cs="Segoe UI"/>
        </w:rPr>
        <w:fldChar w:fldCharType="begin" w:fldLock="1"/>
      </w:r>
      <w:r w:rsidR="00C275EA">
        <w:rPr>
          <w:rFonts w:ascii="Segoe UI" w:hAnsi="Segoe UI" w:cs="Segoe UI"/>
        </w:rPr>
        <w:instrText>ADDIN CSL_CITATION {"citationItems":[{"id":"ITEM-1","itemData":{"DOI":"http://dx.doi.org/10.1681/ASN.2017111200","ISSN":"1046-6673","PMID":"29654215","abstract":"Background Nephronophthisis (NPH) is the most prevalent genetic cause for ESRD in children. However, little is known about the prevalence of NPH in adult-onset ESRD. Homozygous full gene deletions of the NPHP1 gene encoding nephrocystin-1 are a prominent cause of NPH. We determined the prevalence of NPH in adults by assessing homozygous NPHP1 full gene deletions in adult-onset ESRD. Methods Adult renal transplant recipients from five cohorts of the International Genetics and Translational Research in Transplantation Network (iGeneTRAiN) underwent single-nucleotide polymorphism genotyping. After quality control, we determined autosomal copy number variants (such as deletions) on the basis of median log2 ratios and B-allele frequency patterns. The findings were independently validated in one cohort. Patients were included in the analysis if they had adult-onset ESRD, defined as start of RRT at $18 years old. Results We included 5606 patients with adult-onset ESRD; 26 (0.5%) showed homozygous NPHP1 deletions. No donor controls showed homozygosity for this deletion. Median age at ESRD onset was 30 (range, 18-61) years old for patients with NPH, with 54% of patients age $30 years old. Notably, only three (12%) patients were phenotypically classified as having NPH, whereas most patients were defined as having CKD with unknown etiology (n=11; 42%). Conclusions Considering that other mutation types in NPHP1 or mutations in other NPH-causing genes were not analyzed, NPH is a relatively frequent monogenic cause of adult-onset ESRD. Because 88% of patients had not been clinically diagnosed with NPH, wider application of genetic testing in adult-onset ESRD may be warranted.Copyright © 2018 by the American Society of Nephrology.","author":[{"dropping-particle":"","family":"Snoek","given":"Rozemarijn","non-dropping-particle":"","parse-names":false,"suffix":""},{"dropping-particle":"","family":"Setten","given":"Jessica","non-dropping-particle":"van","parse-names":false,"suffix":""},{"dropping-particle":"","family":"Keating","given":"Brendan J","non-dropping-particle":"","parse-names":false,"suffix":""},{"dropping-particle":"","family":"Israni","given":"Ajay K","non-dropping-particle":"","parse-names":false,"suffix":""},{"dropping-particle":"","family":"Jacobson","given":"Pamala A","non-dropping-particle":"","parse-names":false,"suffix":""},{"dropping-particle":"","family":"Oetting","given":"William S","non-dropping-particle":"","parse-names":false,"suffix":""},{"dropping-particle":"","family":"Matas","given":"Arthur J","non-dropping-particle":"","parse-names":false,"suffix":""},{"dropping-particle":"","family":"Mannon","given":"Roslyn B","non-dropping-particle":"","parse-names":false,"suffix":""},{"dropping-particle":"","family":"Zhang","given":"Zhongyang","non-dropping-particle":"","parse-names":false,"suffix":""},{"dropping-particle":"","family":"Zhang","given":"Weijia","non-dropping-particle":"","parse-names":false,"suffix":""},{"dropping-particle":"","family":"Hao","given":"Ke","non-dropping-particle":"","parse-names":false,"suffix":""},{"dropping-particle":"","family":"Murphy","given":"Barbara","non-dropping-particle":"","parse-names":false,"suffix":""},{"dropping-particle":"","family":"Reindl-Schwaighofer","given":"Roman","non-dropping-particle":"","parse-names":false,"suffix":""},{"dropping-particle":"","family":"Heinzl","given":"Andreas","non-dropping-particle":"","parse-names":false,"suffix":""},{"dropping-particle":"","family":"Oberbauer","given":"Rainer","non-dropping-particle":"","parse-names":false,"suffix":""},{"dropping-particle":"","family":"Viklicky","given":"Ondrej","non-dropping-particle":"","parse-names":false,"suffix":""},{"dropping-particle":"","family":"Conlon","given":"Peter J","non-dropping-particle":"","parse-names":false,"suffix":""},{"dropping-particle":"","family":"Stapleton","given":"Caragh P","non-dropping-particle":"","parse-names":false,"suffix":""},{"dropping-particle":"","family":"Bakker","given":"Stephan J L","non-dropping-particle":"","parse-names":false,"suffix":""},{"dropping-particle":"","family":"Snieder","given":"Harold","non-dropping-particle":"","parse-names":false,"suffix":""},{"dropping-particle":"","family":"Peters","given":"Edith D J","non-dropping-particle":"","parse-names":false,"suffix":""},{"dropping-particle":"","family":"Zwaag","given":"Bert","non-dropping-particle":"van der","parse-names":false,"suffix":""},{"dropping-particle":"","family":"Knoers","given":"Nine V A M","non-dropping-particle":"","parse-names":false,"suffix":""},{"dropping-particle":"","family":"Borst","given":"Martin H","non-dropping-particle":"de","parse-names":false,"suffix":""},{"dropping-particle":"","family":"Eerde","given":"Albertien M","non-dropping-particle":"van","parse-names":false,"suffix":""},{"dropping-particle":"","family":"R.","given":"Snoek","non-dropping-particle":"","parse-names":false,"suffix":""},{"dropping-particle":"","family":"J.","given":"Van Setten","non-dropping-particle":"","parse-names":false,"suffix":""},{"dropping-particle":"","family":"B.J.","given":"Keating","non-dropping-particle":"","parse-names":false,"suffix":""},{"dropping-particle":"","family":"A.K.","given":"Israni","non-dropping-particle":"","parse-names":false,"suffix":""},{"dropping-particle":"","family":"P.A.","given":"Jacobson","non-dropping-particle":"","parse-names":false,"suffix":""},{"dropping-particle":"","family":"W.S.","given":"Oetting","non-dropping-particle":"","parse-names":false,"suffix":""},{"dropping-particle":"","family":"A.J.","given":"Matas","non-dropping-particle":"","parse-names":false,"suffix":""},{"dropping-particle":"","family":"R.B.","given":"Mannon","non-dropping-particle":"","parse-names":false,"suffix":""},{"dropping-particle":"","family":"Z.","given":"Zhang","non-dropping-particle":"","parse-names":false,"suffix":""},{"dropping-particle":"","family":"W.","given":"Zhang","non-dropping-particle":"","parse-names":false,"suffix":""},{"dropping-particle":"","family":"K.","given":"Hao","non-dropping-particle":"","parse-names":false,"suffix":""},{"dropping-particle":"","family":"B.","given":"Murphy","non-dropping-particle":"","parse-names":false,"suffix":""},{"dropping-particle":"","family":"R.","given":"Reindl-Schwaighofer","non-dropping-particle":"","parse-names":false,"suffix":""},{"dropping-particle":"","family":"A.","given":"Heinzl","non-dropping-particle":"","parse-names":false,"suffix":""},{"dropping-particle":"","family":"R.","given":"Oberbauer","non-dropping-particle":"","parse-names":false,"suffix":""},{"dropping-particle":"","family":"O.","given":"Viklicky","non-dropping-particle":"","parse-names":false,"suffix":""},{"dropping-particle":"","family":"P.J.","given":"Conlon","non-dropping-particle":"","parse-names":false,"suffix":""},{"dropping-particle":"","family":"C.P.","given":"Stapleton","non-dropping-particle":"","parse-names":false,"suffix":""},{"dropping-particle":"","family":"S.J.L.","given":"Bakker","non-dropping-particle":"","parse-names":false,"suffix":""},{"dropping-particle":"","family":"H.","given":"Snieder","non-dropping-particle":"","parse-names":false,"suffix":""},{"dropping-particle":"","family":"E.D.J.","given":"Peters","non-dropping-particle":"","parse-names":false,"suffix":""},{"dropping-particle":"","family":"B.","given":"Van Der Zwaag","non-dropping-particle":"","parse-names":false,"suffix":""},{"dropping-particle":"","family":"N.V.A.M.","given":"Knoers","non-dropping-particle":"","parse-names":false,"suffix":""},{"dropping-particle":"","family":"M.H.","given":"De Borst","non-dropping-particle":"","parse-names":false,"suffix":""}],"container-title":"Journal of the American Society of Nephrology","id":"ITEM-1","issue":"6","issued":{"date-parts":[["2018","6","1"]]},"page":"1772-1779","publisher":"American Society of Nephrology (E-mail: email@asn-online.org)","publisher-place":"A.M. Van Eerde, Department of Genetics, University Medical Center Utrecht, Utrecht University, Utrecht, Netherlands. E-mail: a.vaneerde@umcutrecht.nl","title":"NPHP1 (Nephrocystin-1) gene deletions cause adult-onset ESRD","type":"article-journal","volume":"29"},"uris":["http://www.mendeley.com/documents/?uuid=1e10b200-c2d9-4bac-a2d0-dfd70b932771"]}],"mendeley":{"formattedCitation":"&lt;span style=\"baseline\"&gt;[21]&lt;/span&gt;","plainTextFormattedCitation":"[21]","previouslyFormattedCitation":"&lt;span style=\"baseline\"&gt;[21]&lt;/span&gt;"},"properties":{"noteIndex":0},"schema":"https://github.com/citation-style-language/schema/raw/master/csl-citation.json"}</w:instrText>
      </w:r>
      <w:r w:rsidR="004512E7" w:rsidRPr="00F0254C">
        <w:rPr>
          <w:rFonts w:ascii="Segoe UI" w:hAnsi="Segoe UI" w:cs="Segoe UI"/>
        </w:rPr>
        <w:fldChar w:fldCharType="separate"/>
      </w:r>
      <w:r w:rsidR="00621F24" w:rsidRPr="00621F24">
        <w:rPr>
          <w:rFonts w:ascii="Segoe UI" w:hAnsi="Segoe UI" w:cs="Segoe UI"/>
          <w:noProof/>
        </w:rPr>
        <w:t>[21]</w:t>
      </w:r>
      <w:r w:rsidR="004512E7" w:rsidRPr="00F0254C">
        <w:rPr>
          <w:rFonts w:ascii="Segoe UI" w:hAnsi="Segoe UI" w:cs="Segoe UI"/>
        </w:rPr>
        <w:fldChar w:fldCharType="end"/>
      </w:r>
      <w:r w:rsidR="004512E7" w:rsidRPr="00F0254C">
        <w:rPr>
          <w:rFonts w:ascii="Segoe UI" w:hAnsi="Segoe UI" w:cs="Segoe UI"/>
        </w:rPr>
        <w:t xml:space="preserve"> Longitudinal follow up of these pa</w:t>
      </w:r>
      <w:r w:rsidR="00E939AC" w:rsidRPr="00F0254C">
        <w:rPr>
          <w:rFonts w:ascii="Segoe UI" w:hAnsi="Segoe UI" w:cs="Segoe UI"/>
        </w:rPr>
        <w:t>rticipant</w:t>
      </w:r>
      <w:r w:rsidR="004512E7" w:rsidRPr="00F0254C">
        <w:rPr>
          <w:rFonts w:ascii="Segoe UI" w:hAnsi="Segoe UI" w:cs="Segoe UI"/>
        </w:rPr>
        <w:t xml:space="preserve">s using HES data from GEL will be required to clarify penetrance and confirm </w:t>
      </w:r>
      <w:r w:rsidR="00C7089B" w:rsidRPr="00F0254C">
        <w:rPr>
          <w:rFonts w:ascii="Segoe UI" w:hAnsi="Segoe UI" w:cs="Segoe UI"/>
        </w:rPr>
        <w:t>o</w:t>
      </w:r>
      <w:r w:rsidR="004512E7" w:rsidRPr="00F0254C">
        <w:rPr>
          <w:rFonts w:ascii="Segoe UI" w:hAnsi="Segoe UI" w:cs="Segoe UI"/>
        </w:rPr>
        <w:t xml:space="preserve">ther </w:t>
      </w:r>
      <w:r w:rsidR="00F000DE" w:rsidRPr="00F0254C">
        <w:rPr>
          <w:rFonts w:ascii="Segoe UI" w:hAnsi="Segoe UI" w:cs="Segoe UI"/>
        </w:rPr>
        <w:t>cases</w:t>
      </w:r>
      <w:r w:rsidR="004512E7" w:rsidRPr="00F0254C">
        <w:rPr>
          <w:rFonts w:ascii="Segoe UI" w:hAnsi="Segoe UI" w:cs="Segoe UI"/>
        </w:rPr>
        <w:t>.</w:t>
      </w:r>
    </w:p>
    <w:p w14:paraId="75DD6C45" w14:textId="5EC06000" w:rsidR="004E771F" w:rsidRDefault="00384C42" w:rsidP="00CD246B">
      <w:pPr>
        <w:pStyle w:val="Heading2"/>
      </w:pPr>
      <w:r>
        <w:t xml:space="preserve">Benefits </w:t>
      </w:r>
      <w:r w:rsidR="00930684">
        <w:t xml:space="preserve">and limitations </w:t>
      </w:r>
      <w:r>
        <w:t>of gene first approach</w:t>
      </w:r>
      <w:r w:rsidR="005909F5">
        <w:t xml:space="preserve"> using GenePy</w:t>
      </w:r>
    </w:p>
    <w:p w14:paraId="561B505E" w14:textId="4E46C0AA" w:rsidR="00950452" w:rsidRDefault="00950452" w:rsidP="00621F24">
      <w:pPr>
        <w:spacing w:line="480" w:lineRule="auto"/>
        <w:rPr>
          <w:rFonts w:ascii="Segoe UI" w:hAnsi="Segoe UI" w:cs="Segoe UI"/>
        </w:rPr>
      </w:pPr>
      <w:r w:rsidRPr="00F0254C">
        <w:rPr>
          <w:rFonts w:ascii="Segoe UI" w:hAnsi="Segoe UI" w:cs="Segoe UI"/>
        </w:rPr>
        <w:t xml:space="preserve">The large number of participants in the 100kG project offered a unique opportunity to identify the full spectrum of pathogenic variation in </w:t>
      </w:r>
      <w:r w:rsidRPr="00F0254C">
        <w:rPr>
          <w:rFonts w:ascii="Segoe UI" w:hAnsi="Segoe UI" w:cs="Segoe UI"/>
          <w:i/>
          <w:iCs/>
        </w:rPr>
        <w:t>NPHP1</w:t>
      </w:r>
      <w:r w:rsidRPr="00F0254C">
        <w:rPr>
          <w:rFonts w:ascii="Segoe UI" w:hAnsi="Segoe UI" w:cs="Segoe UI"/>
        </w:rPr>
        <w:t xml:space="preserve"> and related diseases. We therefore applied a more objective, agnostic genotype-to-phenotype approach. A significant benefit over a case-control approach is that it precludes the need to exclude participants from analyses based on predicted ancestry or relatedness. This is particularly important given the under-representation of </w:t>
      </w:r>
      <w:r w:rsidRPr="00852943">
        <w:rPr>
          <w:rFonts w:ascii="Segoe UI" w:hAnsi="Segoe UI" w:cs="Segoe UI"/>
        </w:rPr>
        <w:t>individuals from non-European ancestries in the genetic literature. As with all approaches that implement short read data, this approach is subject to the same limitations. This includes reduced sensitivity to detect variants</w:t>
      </w:r>
      <w:r>
        <w:rPr>
          <w:rFonts w:ascii="Segoe UI" w:hAnsi="Segoe UI" w:cs="Segoe UI"/>
        </w:rPr>
        <w:t xml:space="preserve"> in highly variable regions and absence of phase representation. A lack of </w:t>
      </w:r>
      <w:r w:rsidRPr="00775687">
        <w:rPr>
          <w:rFonts w:ascii="Segoe UI" w:hAnsi="Segoe UI" w:cs="Segoe UI"/>
        </w:rPr>
        <w:t>phase</w:t>
      </w:r>
      <w:r w:rsidRPr="004A66B1">
        <w:rPr>
          <w:rFonts w:ascii="Segoe UI" w:hAnsi="Segoe UI" w:cs="Segoe UI"/>
        </w:rPr>
        <w:t xml:space="preserve"> </w:t>
      </w:r>
      <w:r w:rsidRPr="00DC1709">
        <w:rPr>
          <w:rFonts w:ascii="Segoe UI" w:hAnsi="Segoe UI" w:cs="Segoe UI"/>
        </w:rPr>
        <w:t>d</w:t>
      </w:r>
      <w:r w:rsidRPr="008A2BB1">
        <w:rPr>
          <w:rFonts w:ascii="Segoe UI" w:hAnsi="Segoe UI" w:cs="Segoe UI"/>
        </w:rPr>
        <w:t>at</w:t>
      </w:r>
      <w:r w:rsidRPr="0094017A">
        <w:rPr>
          <w:rFonts w:ascii="Segoe UI" w:hAnsi="Segoe UI" w:cs="Segoe UI"/>
        </w:rPr>
        <w:t>a</w:t>
      </w:r>
      <w:r w:rsidRPr="00D90D16">
        <w:rPr>
          <w:rFonts w:ascii="Segoe UI" w:hAnsi="Segoe UI" w:cs="Segoe UI"/>
        </w:rPr>
        <w:t xml:space="preserve"> is particularly problematic in adult-onset disease where parent DNA may not be available to determine zygosity, therefore limiting the ability to assess compound heterozygous variants. </w:t>
      </w:r>
      <w:r w:rsidRPr="001064BB">
        <w:rPr>
          <w:rFonts w:ascii="Segoe UI" w:hAnsi="Segoe UI" w:cs="Segoe UI"/>
        </w:rPr>
        <w:t>As with all large-scale data, GenePy scoring is dependent upon data quality and the elimination of systematic bias and technical artefacts</w:t>
      </w:r>
      <w:r>
        <w:rPr>
          <w:rFonts w:ascii="Segoe UI" w:hAnsi="Segoe UI" w:cs="Segoe UI"/>
        </w:rPr>
        <w:t>. However, the genomics England data</w:t>
      </w:r>
      <w:r w:rsidR="00013E72">
        <w:rPr>
          <w:rFonts w:ascii="Segoe UI" w:hAnsi="Segoe UI" w:cs="Segoe UI"/>
        </w:rPr>
        <w:t xml:space="preserve"> used</w:t>
      </w:r>
      <w:r>
        <w:rPr>
          <w:rFonts w:ascii="Segoe UI" w:hAnsi="Segoe UI" w:cs="Segoe UI"/>
        </w:rPr>
        <w:t xml:space="preserve"> </w:t>
      </w:r>
      <w:r w:rsidR="00013E72">
        <w:rPr>
          <w:rFonts w:ascii="Segoe UI" w:hAnsi="Segoe UI" w:cs="Segoe UI"/>
        </w:rPr>
        <w:t>was</w:t>
      </w:r>
      <w:r>
        <w:rPr>
          <w:rFonts w:ascii="Segoe UI" w:hAnsi="Segoe UI" w:cs="Segoe UI"/>
        </w:rPr>
        <w:t xml:space="preserve"> </w:t>
      </w:r>
      <w:r w:rsidR="00013E72">
        <w:rPr>
          <w:rFonts w:ascii="Segoe UI" w:hAnsi="Segoe UI" w:cs="Segoe UI"/>
        </w:rPr>
        <w:t xml:space="preserve">of </w:t>
      </w:r>
      <w:r>
        <w:rPr>
          <w:rFonts w:ascii="Segoe UI" w:hAnsi="Segoe UI" w:cs="Segoe UI"/>
        </w:rPr>
        <w:t xml:space="preserve">high </w:t>
      </w:r>
      <w:r w:rsidR="00013E72">
        <w:rPr>
          <w:rFonts w:ascii="Segoe UI" w:hAnsi="Segoe UI" w:cs="Segoe UI"/>
        </w:rPr>
        <w:t>integrity</w:t>
      </w:r>
      <w:r>
        <w:rPr>
          <w:rFonts w:ascii="Segoe UI" w:hAnsi="Segoe UI" w:cs="Segoe UI"/>
        </w:rPr>
        <w:t xml:space="preserve">, with all samples </w:t>
      </w:r>
      <w:r w:rsidRPr="00D90D16">
        <w:rPr>
          <w:rFonts w:ascii="Segoe UI" w:hAnsi="Segoe UI" w:cs="Segoe UI"/>
        </w:rPr>
        <w:t xml:space="preserve">sequenced with 150bp </w:t>
      </w:r>
      <w:r w:rsidR="000E79F8" w:rsidRPr="00D90D16">
        <w:rPr>
          <w:rFonts w:ascii="Segoe UI" w:hAnsi="Segoe UI" w:cs="Segoe UI"/>
        </w:rPr>
        <w:t>paired</w:t>
      </w:r>
      <w:r w:rsidR="000E79F8">
        <w:rPr>
          <w:rFonts w:ascii="Segoe UI" w:hAnsi="Segoe UI" w:cs="Segoe UI"/>
        </w:rPr>
        <w:t>-</w:t>
      </w:r>
      <w:r w:rsidR="000E79F8" w:rsidRPr="00D90D16">
        <w:rPr>
          <w:rFonts w:ascii="Segoe UI" w:hAnsi="Segoe UI" w:cs="Segoe UI"/>
        </w:rPr>
        <w:t>end</w:t>
      </w:r>
      <w:r w:rsidRPr="00D90D16">
        <w:rPr>
          <w:rFonts w:ascii="Segoe UI" w:hAnsi="Segoe UI" w:cs="Segoe UI"/>
        </w:rPr>
        <w:t xml:space="preserve"> reads in a single lane of an Illumina HiSeq X.</w:t>
      </w:r>
    </w:p>
    <w:p w14:paraId="37B44CCA" w14:textId="49BA5DB4" w:rsidR="00DE1072" w:rsidRPr="00F0254C" w:rsidRDefault="00DE1072" w:rsidP="00CD246B">
      <w:pPr>
        <w:pStyle w:val="Heading2"/>
      </w:pPr>
      <w:r>
        <w:t>Potential for diagnostic uplift</w:t>
      </w:r>
    </w:p>
    <w:p w14:paraId="08B482B1" w14:textId="3212BC6A" w:rsidR="004512E7" w:rsidRDefault="007871F4" w:rsidP="001114A2">
      <w:pPr>
        <w:spacing w:after="0" w:line="480" w:lineRule="auto"/>
        <w:rPr>
          <w:rFonts w:ascii="Segoe UI" w:hAnsi="Segoe UI" w:cs="Segoe UI"/>
        </w:rPr>
      </w:pPr>
      <w:r w:rsidRPr="002415D7">
        <w:rPr>
          <w:rFonts w:ascii="Segoe UI" w:hAnsi="Segoe UI" w:cs="Segoe UI"/>
        </w:rPr>
        <w:t xml:space="preserve">Our data support the benefit of a gene first approach that allows the </w:t>
      </w:r>
      <w:r w:rsidRPr="005A6797">
        <w:rPr>
          <w:rFonts w:ascii="Segoe UI" w:hAnsi="Segoe UI" w:cs="Segoe UI"/>
        </w:rPr>
        <w:t xml:space="preserve">identification of genotypes and associated phenotypes </w:t>
      </w:r>
      <w:r w:rsidR="00716D9D" w:rsidRPr="005A6797">
        <w:rPr>
          <w:rFonts w:ascii="Segoe UI" w:hAnsi="Segoe UI" w:cs="Segoe UI"/>
        </w:rPr>
        <w:t>unbiased with respect to their phen</w:t>
      </w:r>
      <w:r w:rsidR="00016083" w:rsidRPr="005A6797">
        <w:rPr>
          <w:rFonts w:ascii="Segoe UI" w:hAnsi="Segoe UI" w:cs="Segoe UI"/>
        </w:rPr>
        <w:t>ot</w:t>
      </w:r>
      <w:r w:rsidR="00716D9D" w:rsidRPr="005A6797">
        <w:rPr>
          <w:rFonts w:ascii="Segoe UI" w:hAnsi="Segoe UI" w:cs="Segoe UI"/>
        </w:rPr>
        <w:t>ype.</w:t>
      </w:r>
      <w:r w:rsidR="00463441" w:rsidRPr="005A6797">
        <w:rPr>
          <w:rFonts w:ascii="Segoe UI" w:hAnsi="Segoe UI" w:cs="Segoe UI"/>
        </w:rPr>
        <w:t xml:space="preserve"> This approach can be applied to any gene</w:t>
      </w:r>
      <w:r w:rsidR="00716D9D" w:rsidRPr="005A6797">
        <w:rPr>
          <w:rFonts w:ascii="Segoe UI" w:hAnsi="Segoe UI" w:cs="Segoe UI"/>
        </w:rPr>
        <w:t xml:space="preserve"> </w:t>
      </w:r>
      <w:r w:rsidR="008A5ABA" w:rsidRPr="005A6797">
        <w:rPr>
          <w:rFonts w:ascii="Segoe UI" w:hAnsi="Segoe UI" w:cs="Segoe UI"/>
        </w:rPr>
        <w:t>and</w:t>
      </w:r>
      <w:r w:rsidR="00716D9D" w:rsidRPr="005A6797">
        <w:rPr>
          <w:rFonts w:ascii="Segoe UI" w:hAnsi="Segoe UI" w:cs="Segoe UI"/>
        </w:rPr>
        <w:t xml:space="preserve"> </w:t>
      </w:r>
      <w:r w:rsidRPr="005A6797">
        <w:rPr>
          <w:rFonts w:ascii="Segoe UI" w:hAnsi="Segoe UI" w:cs="Segoe UI"/>
        </w:rPr>
        <w:t xml:space="preserve">includes participants </w:t>
      </w:r>
      <w:r w:rsidR="00C7089B" w:rsidRPr="005A6797">
        <w:rPr>
          <w:rFonts w:ascii="Segoe UI" w:hAnsi="Segoe UI" w:cs="Segoe UI"/>
        </w:rPr>
        <w:t>who may</w:t>
      </w:r>
      <w:r w:rsidRPr="005A6797">
        <w:rPr>
          <w:rFonts w:ascii="Segoe UI" w:hAnsi="Segoe UI" w:cs="Segoe UI"/>
        </w:rPr>
        <w:t xml:space="preserve"> </w:t>
      </w:r>
      <w:r w:rsidR="000C44CC" w:rsidRPr="005A6797">
        <w:rPr>
          <w:rFonts w:ascii="Segoe UI" w:hAnsi="Segoe UI" w:cs="Segoe UI"/>
        </w:rPr>
        <w:t xml:space="preserve">yet to </w:t>
      </w:r>
      <w:r w:rsidRPr="005A6797">
        <w:rPr>
          <w:rFonts w:ascii="Segoe UI" w:hAnsi="Segoe UI" w:cs="Segoe UI"/>
        </w:rPr>
        <w:t>develop disease.</w:t>
      </w:r>
      <w:r w:rsidR="008E27E0" w:rsidRPr="005A6797">
        <w:rPr>
          <w:rFonts w:ascii="Segoe UI" w:hAnsi="Segoe UI" w:cs="Segoe UI"/>
        </w:rPr>
        <w:t xml:space="preserve"> </w:t>
      </w:r>
      <w:r w:rsidR="004512E7" w:rsidRPr="005A6797">
        <w:rPr>
          <w:rFonts w:ascii="Segoe UI" w:hAnsi="Segoe UI" w:cs="Segoe UI"/>
        </w:rPr>
        <w:t xml:space="preserve">Notably, the genotype-phenotype approach did not miss any </w:t>
      </w:r>
      <w:r w:rsidR="004512E7" w:rsidRPr="00863FF1">
        <w:rPr>
          <w:rFonts w:ascii="Segoe UI" w:hAnsi="Segoe UI" w:cs="Segoe UI"/>
        </w:rPr>
        <w:t xml:space="preserve">individuals reported as </w:t>
      </w:r>
      <w:r w:rsidR="004512E7" w:rsidRPr="00863FF1">
        <w:rPr>
          <w:rFonts w:ascii="Segoe UI" w:hAnsi="Segoe UI" w:cs="Segoe UI"/>
        </w:rPr>
        <w:lastRenderedPageBreak/>
        <w:t xml:space="preserve">solved by the GEL clinical interpretation pipeline at the time of writing. According to GMC exit questionnaire data, nine participants from seven families were </w:t>
      </w:r>
      <w:r w:rsidR="00F000DE" w:rsidRPr="00602938">
        <w:rPr>
          <w:rFonts w:ascii="Segoe UI" w:hAnsi="Segoe UI" w:cs="Segoe UI"/>
        </w:rPr>
        <w:t>reported</w:t>
      </w:r>
      <w:r w:rsidR="004512E7" w:rsidRPr="003B12EB">
        <w:rPr>
          <w:rFonts w:ascii="Segoe UI" w:hAnsi="Segoe UI" w:cs="Segoe UI"/>
        </w:rPr>
        <w:t xml:space="preserve"> by GEL using the clinical interpretation pipeline. However, one was </w:t>
      </w:r>
      <w:r w:rsidR="00F000DE" w:rsidRPr="005A6797">
        <w:rPr>
          <w:rFonts w:ascii="Segoe UI" w:hAnsi="Segoe UI" w:cs="Segoe UI"/>
        </w:rPr>
        <w:t xml:space="preserve">reported </w:t>
      </w:r>
      <w:r w:rsidR="004512E7" w:rsidRPr="005A6797">
        <w:rPr>
          <w:rFonts w:ascii="Segoe UI" w:hAnsi="Segoe UI" w:cs="Segoe UI"/>
        </w:rPr>
        <w:t>for another retinal gene (</w:t>
      </w:r>
      <w:r w:rsidR="004512E7" w:rsidRPr="005A6797">
        <w:rPr>
          <w:rFonts w:ascii="Segoe UI" w:hAnsi="Segoe UI" w:cs="Segoe UI"/>
          <w:i/>
          <w:iCs/>
        </w:rPr>
        <w:t>PDE6B</w:t>
      </w:r>
      <w:r w:rsidR="004512E7" w:rsidRPr="005A6797">
        <w:rPr>
          <w:rFonts w:ascii="Segoe UI" w:hAnsi="Segoe UI" w:cs="Segoe UI"/>
        </w:rPr>
        <w:t xml:space="preserve">) other than </w:t>
      </w:r>
      <w:r w:rsidR="004512E7" w:rsidRPr="005A6797">
        <w:rPr>
          <w:rFonts w:ascii="Segoe UI" w:hAnsi="Segoe UI" w:cs="Segoe UI"/>
          <w:i/>
          <w:iCs/>
        </w:rPr>
        <w:t>NPHP1</w:t>
      </w:r>
      <w:r w:rsidR="004512E7" w:rsidRPr="005A6797">
        <w:rPr>
          <w:rFonts w:ascii="Segoe UI" w:hAnsi="Segoe UI" w:cs="Segoe UI"/>
        </w:rPr>
        <w:t xml:space="preserve">. This </w:t>
      </w:r>
      <w:r w:rsidR="00427219" w:rsidRPr="005A6797">
        <w:rPr>
          <w:rFonts w:ascii="Segoe UI" w:hAnsi="Segoe UI" w:cs="Segoe UI"/>
        </w:rPr>
        <w:t>highlights</w:t>
      </w:r>
      <w:r w:rsidR="004512E7" w:rsidRPr="005A6797">
        <w:rPr>
          <w:rFonts w:ascii="Segoe UI" w:hAnsi="Segoe UI" w:cs="Segoe UI"/>
        </w:rPr>
        <w:t xml:space="preserve"> the possibility that some participants have more than one monogenic molecular diagnosis. In one whole exome study of 7374 patients, 101 (4.9%) had diagnoses that involved more than one locus, and associated phenotypes could be distinct or overlapping.</w:t>
      </w:r>
      <w:r w:rsidR="004512E7" w:rsidRPr="002415D7">
        <w:rPr>
          <w:rFonts w:ascii="Segoe UI" w:hAnsi="Segoe UI" w:cs="Segoe UI"/>
        </w:rPr>
        <w:fldChar w:fldCharType="begin" w:fldLock="1"/>
      </w:r>
      <w:r w:rsidR="00C275EA" w:rsidRPr="005A6797">
        <w:rPr>
          <w:rFonts w:ascii="Segoe UI" w:hAnsi="Segoe UI" w:cs="Segoe UI"/>
        </w:rPr>
        <w:instrText>ADDIN CSL_CITATION {"citationItems":[{"id":"ITEM-1","itemData":{"DOI":"10.1056/nejmoa1516767","ISSN":"0028-4793","PMID":"27959697","abstract":"© Copyright 2016 Massachusetts Medical Society. BACKGROUND: Whole-exome sequencing can provide insight into the relationship between observed clinical phenotypes and underlying genotypes. METHODS: We conducted a retrospective analysis of data from a series of 7374 consecutive unrelated patients who had been referred to a clinical diagnostic laboratory for whole-exome sequencing; our goal was to determine the frequency and clinical characteristics of patients for whom more than one molecular diagnosis was reported. The phenotypic similarity between molecularly diagnosed pairs of diseases was calculated with the use of terms from the Human Phenotype Ontology. RESULTS: A molecular diagnosis was rendered for 2076 of 7374 patients (28.2%); among these patients, 101 (4.9%) had diagnoses that involved two or more disease loci. We also analyzed parental samples, when available, and found that de novo variants accounted for 67.8% (61 of 90) of pathogenic variants in autosomal dominant disease genes and 51.7% (15 of 29) of pathogenic variants in X-linked disease genes; both variants were de novo in 44.7% (17 of 38) of patients with two monoallelic variants. Causal copy-number variants were found in 12 patients (11.9%) with multiple diagnoses. Phenotypic similarity scores were significantly lower among patients in whom the phenotype resulted from two distinct mendelian disorders that affected different organ systems (50 patients) than among patients with disorders that had overlapping phenotypic features (30 patients) (median score, 0.21 vs. 0.36; P = 1.77×10 -7 ). CONCLUSIONS: In our study, we found multiple molecular diagnoses in 4.9% of cases in which whole-exome sequencing was informative. Our results show that structured clinical ontologies can be used to determine the degree of overlap between two mendelian diseases in the same patient; the diseases can be distinct or overlapping. Distinct disease phenotypes affect different organ systems, whereas overlapping disease phenotypes are more likely to be caused by two genes encoding proteins that interact within the same pathway.","author":[{"dropping-particle":"","family":"Posey","given":"Jennifer E.","non-dropping-particle":"","parse-names":false,"suffix":""},{"dropping-particle":"","family":"Harel","given":"Tamar","non-dropping-particle":"","parse-names":false,"suffix":""},{"dropping-particle":"","family":"Liu","given":"Pengfei","non-dropping-particle":"","parse-names":false,"suffix":""},{"dropping-particle":"","family":"Rosenfeld","given":"Jill A.","non-dropping-particle":"","parse-names":false,"suffix":""},{"dropping-particle":"","family":"James","given":"Regis A.","non-dropping-particle":"","parse-names":false,"suffix":""},{"dropping-particle":"","family":"Coban Akdemir","given":"Zeynep H.","non-dropping-particle":"","parse-names":false,"suffix":""},{"dropping-particle":"","family":"Walkiewicz","given":"Magdalena","non-dropping-particle":"","parse-names":false,"suffix":""},{"dropping-particle":"","family":"Bi","given":"Weimin","non-dropping-particle":"","parse-names":false,"suffix":""},{"dropping-particle":"","family":"Xiao","given":"Rui","non-dropping-particle":"","parse-names":false,"suffix":""},{"dropping-particle":"","family":"Ding","given":"Yan","non-dropping-particle":"","parse-names":false,"suffix":""},{"dropping-particle":"","family":"Xia","given":"Fan","non-dropping-particle":"","parse-names":false,"suffix":""},{"dropping-particle":"","family":"Beaudet","given":"Arthur L.","non-dropping-particle":"","parse-names":false,"suffix":""},{"dropping-particle":"","family":"Muzny","given":"Donna M.","non-dropping-particle":"","parse-names":false,"suffix":""},{"dropping-particle":"","family":"Gibbs","given":"Richard A.","non-dropping-particle":"","parse-names":false,"suffix":""},{"dropping-particle":"","family":"Boerwinkle","given":"Eric","non-dropping-particle":"","parse-names":false,"suffix":""},{"dropping-particle":"","family":"Eng","given":"Christine M.","non-dropping-particle":"","parse-names":false,"suffix":""},{"dropping-particle":"","family":"Sutton","given":"V. Reid","non-dropping-particle":"","parse-names":false,"suffix":""},{"dropping-particle":"","family":"Shaw","given":"Chad A.","non-dropping-particle":"","parse-names":false,"suffix":""},{"dropping-particle":"","family":"Plon","given":"Sharon E.","non-dropping-particle":"","parse-names":false,"suffix":""},{"dropping-particle":"","family":"Yang","given":"Yaping","non-dropping-particle":"","parse-names":false,"suffix":""},{"dropping-particle":"","family":"Lupski","given":"James R.","non-dropping-particle":"","parse-names":false,"suffix":""}],"container-title":"New England Journal of Medicine","id":"ITEM-1","issue":"1","issued":{"date-parts":[["2017","1","5"]]},"page":"21-31","publisher":"New England Journal of Medicine (NEJM/MMS)","title":"Resolution of Disease Phenotypes Resulting from Multilocus Genomic Variation","type":"article-journal","volume":"376"},"uris":["http://www.mendeley.com/documents/?uuid=e0fb01ae-339d-3bec-83d8-ff7a167dae1b"]}],"mendeley":{"formattedCitation":"&lt;span style=\"baseline\"&gt;[47]&lt;/span&gt;","plainTextFormattedCitation":"[47]","previouslyFormattedCitation":"&lt;span style=\"baseline\"&gt;[47]&lt;/span&gt;"},"properties":{"noteIndex":0},"schema":"https://github.com/citation-style-language/schema/raw/master/csl-citation.json"}</w:instrText>
      </w:r>
      <w:r w:rsidR="004512E7" w:rsidRPr="002415D7">
        <w:rPr>
          <w:rFonts w:ascii="Segoe UI" w:hAnsi="Segoe UI" w:cs="Segoe UI"/>
        </w:rPr>
        <w:fldChar w:fldCharType="separate"/>
      </w:r>
      <w:r w:rsidR="00621F24" w:rsidRPr="002415D7">
        <w:rPr>
          <w:rFonts w:ascii="Segoe UI" w:hAnsi="Segoe UI" w:cs="Segoe UI"/>
          <w:noProof/>
        </w:rPr>
        <w:t>[47]</w:t>
      </w:r>
      <w:r w:rsidR="004512E7" w:rsidRPr="002415D7">
        <w:rPr>
          <w:rFonts w:ascii="Segoe UI" w:hAnsi="Segoe UI" w:cs="Segoe UI"/>
        </w:rPr>
        <w:fldChar w:fldCharType="end"/>
      </w:r>
      <w:r w:rsidR="002415D7" w:rsidRPr="002415D7">
        <w:rPr>
          <w:rFonts w:ascii="Segoe UI" w:hAnsi="Segoe UI" w:cs="Segoe UI"/>
        </w:rPr>
        <w:t xml:space="preserve"> </w:t>
      </w:r>
      <w:r w:rsidR="002415D7" w:rsidRPr="005A6797">
        <w:rPr>
          <w:rFonts w:ascii="Segoe UI" w:hAnsi="Segoe UI" w:cs="Segoe UI"/>
        </w:rPr>
        <w:t>All patients with more than one genetic diagnosis were known to be consanguineous</w:t>
      </w:r>
      <w:r w:rsidR="001114A2">
        <w:rPr>
          <w:rFonts w:ascii="Segoe UI" w:hAnsi="Segoe UI" w:cs="Segoe UI"/>
        </w:rPr>
        <w:t>.</w:t>
      </w:r>
    </w:p>
    <w:p w14:paraId="47283711" w14:textId="61E49F5F" w:rsidR="001A359D" w:rsidRPr="0058436C" w:rsidRDefault="00350BBA" w:rsidP="00CD246B">
      <w:pPr>
        <w:pStyle w:val="Heading2"/>
      </w:pPr>
      <w:r>
        <w:t>The c</w:t>
      </w:r>
      <w:r w:rsidR="001A359D">
        <w:t xml:space="preserve">ontribution of SNVs to </w:t>
      </w:r>
      <w:r w:rsidR="001A359D" w:rsidRPr="005A6797">
        <w:rPr>
          <w:i/>
          <w:iCs/>
        </w:rPr>
        <w:t>NPHP1</w:t>
      </w:r>
      <w:r w:rsidR="001A359D">
        <w:t>-rel</w:t>
      </w:r>
      <w:r w:rsidR="00CA70E3">
        <w:t>a</w:t>
      </w:r>
      <w:r w:rsidR="001A359D">
        <w:t>ted disease</w:t>
      </w:r>
    </w:p>
    <w:p w14:paraId="494EF07F" w14:textId="7E77BEBB" w:rsidR="00DE1072" w:rsidRDefault="007871F4" w:rsidP="00280608">
      <w:pPr>
        <w:spacing w:line="480" w:lineRule="auto"/>
        <w:rPr>
          <w:rFonts w:ascii="Segoe UI" w:hAnsi="Segoe UI" w:cs="Segoe UI"/>
        </w:rPr>
      </w:pPr>
      <w:r w:rsidRPr="0058436C">
        <w:rPr>
          <w:rFonts w:ascii="Segoe UI" w:hAnsi="Segoe UI" w:cs="Segoe UI"/>
        </w:rPr>
        <w:t xml:space="preserve">Homozygous CNV deletions of </w:t>
      </w:r>
      <w:r w:rsidRPr="0058436C">
        <w:rPr>
          <w:rFonts w:ascii="Segoe UI" w:hAnsi="Segoe UI" w:cs="Segoe UI"/>
          <w:i/>
          <w:iCs/>
        </w:rPr>
        <w:t>NPHP1</w:t>
      </w:r>
      <w:r w:rsidRPr="0058436C">
        <w:rPr>
          <w:rFonts w:ascii="Segoe UI" w:hAnsi="Segoe UI" w:cs="Segoe UI"/>
        </w:rPr>
        <w:t xml:space="preserve"> are a well-defined cause of kidney failure. However, the contribution of SNVs and indels to kidney and retinal disease is less well characterised. This study suggests that pathogenic </w:t>
      </w:r>
      <w:r w:rsidRPr="0058436C">
        <w:rPr>
          <w:rFonts w:ascii="Segoe UI" w:hAnsi="Segoe UI" w:cs="Segoe UI"/>
          <w:i/>
          <w:iCs/>
        </w:rPr>
        <w:t>NPHP1</w:t>
      </w:r>
      <w:r w:rsidRPr="0058436C">
        <w:rPr>
          <w:rFonts w:ascii="Segoe UI" w:hAnsi="Segoe UI" w:cs="Segoe UI"/>
        </w:rPr>
        <w:t xml:space="preserve"> variants are more common than previously estimated and that SNVs may account for up to 44% of diagnoses of </w:t>
      </w:r>
      <w:r w:rsidRPr="0058436C">
        <w:rPr>
          <w:rFonts w:ascii="Segoe UI" w:hAnsi="Segoe UI" w:cs="Segoe UI"/>
          <w:i/>
          <w:iCs/>
        </w:rPr>
        <w:t>NPHP1</w:t>
      </w:r>
      <w:r w:rsidRPr="0058436C">
        <w:rPr>
          <w:rFonts w:ascii="Segoe UI" w:hAnsi="Segoe UI" w:cs="Segoe UI"/>
        </w:rPr>
        <w:t>-related monogenic disease.</w:t>
      </w:r>
      <w:r w:rsidR="007763A1" w:rsidRPr="0058436C">
        <w:rPr>
          <w:rFonts w:ascii="Segoe UI" w:hAnsi="Segoe UI" w:cs="Segoe UI"/>
        </w:rPr>
        <w:t xml:space="preserve"> This may represent a conservative estimate as participants with no recorded renal or retinal phenotype (due to young age or lack of identification) may yet demonstrate these phenotypes.</w:t>
      </w:r>
    </w:p>
    <w:p w14:paraId="45FABFBD" w14:textId="4907DE7A" w:rsidR="007E5FD9" w:rsidRDefault="007E5FD9" w:rsidP="00CD246B">
      <w:pPr>
        <w:pStyle w:val="Heading2"/>
      </w:pPr>
      <w:r>
        <w:t>Conclusion</w:t>
      </w:r>
    </w:p>
    <w:p w14:paraId="0F0891A4" w14:textId="326248B3" w:rsidR="005A6797" w:rsidRPr="0058436C" w:rsidRDefault="008D3130" w:rsidP="007043C2">
      <w:pPr>
        <w:spacing w:line="480" w:lineRule="auto"/>
        <w:rPr>
          <w:rFonts w:ascii="Segoe UI" w:hAnsi="Segoe UI" w:cs="Segoe UI"/>
        </w:rPr>
      </w:pPr>
      <w:r>
        <w:rPr>
          <w:rFonts w:ascii="Segoe UI" w:hAnsi="Segoe UI" w:cs="Segoe UI"/>
        </w:rPr>
        <w:t>The gene first (</w:t>
      </w:r>
      <w:r w:rsidRPr="001D7AFC">
        <w:rPr>
          <w:rFonts w:ascii="Segoe UI" w:hAnsi="Segoe UI" w:cs="Segoe UI"/>
        </w:rPr>
        <w:t>genotype-to-phenotype</w:t>
      </w:r>
      <w:r>
        <w:rPr>
          <w:rFonts w:ascii="Segoe UI" w:hAnsi="Segoe UI" w:cs="Segoe UI"/>
        </w:rPr>
        <w:t xml:space="preserve">) approach combined with a </w:t>
      </w:r>
      <w:r w:rsidRPr="001D7AFC">
        <w:rPr>
          <w:rFonts w:ascii="Segoe UI" w:hAnsi="Segoe UI" w:cs="Segoe UI"/>
        </w:rPr>
        <w:t>gene pathogenicity score (GenePy)</w:t>
      </w:r>
      <w:r>
        <w:rPr>
          <w:rFonts w:ascii="Segoe UI" w:hAnsi="Segoe UI" w:cs="Segoe UI"/>
        </w:rPr>
        <w:t xml:space="preserve"> enabled the identification of the full </w:t>
      </w:r>
      <w:r w:rsidRPr="001D7AFC">
        <w:rPr>
          <w:rFonts w:ascii="Segoe UI" w:hAnsi="Segoe UI" w:cs="Segoe UI"/>
        </w:rPr>
        <w:t>molecular genetic spectrum of nephrocystin-1 (</w:t>
      </w:r>
      <w:r w:rsidRPr="00BC6806">
        <w:rPr>
          <w:rFonts w:ascii="Segoe UI" w:hAnsi="Segoe UI" w:cs="Segoe UI"/>
          <w:i/>
          <w:iCs/>
        </w:rPr>
        <w:t>NPHP1</w:t>
      </w:r>
      <w:r w:rsidRPr="001D7AFC">
        <w:rPr>
          <w:rFonts w:ascii="Segoe UI" w:hAnsi="Segoe UI" w:cs="Segoe UI"/>
        </w:rPr>
        <w:t>) in the UK 100,000 genomes project</w:t>
      </w:r>
      <w:r>
        <w:rPr>
          <w:rFonts w:ascii="Segoe UI" w:hAnsi="Segoe UI" w:cs="Segoe UI"/>
        </w:rPr>
        <w:t xml:space="preserve"> irrespective of relatedness or ancestry. Supportive data from AlphaFold structural modelling suggests that up to 44% of diagnoses of </w:t>
      </w:r>
      <w:r w:rsidRPr="00BC6806">
        <w:rPr>
          <w:rFonts w:ascii="Segoe UI" w:hAnsi="Segoe UI" w:cs="Segoe UI"/>
          <w:i/>
          <w:iCs/>
        </w:rPr>
        <w:t>NPHP1</w:t>
      </w:r>
      <w:r>
        <w:rPr>
          <w:rFonts w:ascii="Segoe UI" w:hAnsi="Segoe UI" w:cs="Segoe UI"/>
        </w:rPr>
        <w:t xml:space="preserve">-related disease may be caused by SNVs in the addition to the well described CNV deletions. Increasing availability of phased genomic data from long read sequencing is expected to </w:t>
      </w:r>
      <w:r>
        <w:rPr>
          <w:rFonts w:ascii="Segoe UI" w:hAnsi="Segoe UI" w:cs="Segoe UI"/>
        </w:rPr>
        <w:lastRenderedPageBreak/>
        <w:t>further the power of this approach and allow confident assessment of compound heterozygous variants. Longitudinal follow up will provide data on the ability to predict future disease states in high GenePy scoring individuals.</w:t>
      </w:r>
    </w:p>
    <w:p w14:paraId="11A62365" w14:textId="77777777" w:rsidR="002A25B5" w:rsidRPr="0058436C" w:rsidRDefault="002A25B5" w:rsidP="005614E6">
      <w:pPr>
        <w:pStyle w:val="Heading1"/>
        <w:rPr>
          <w:rFonts w:ascii="Segoe UI" w:hAnsi="Segoe UI" w:cs="Segoe UI"/>
          <w:color w:val="auto"/>
        </w:rPr>
      </w:pPr>
      <w:r w:rsidRPr="0058436C">
        <w:rPr>
          <w:rFonts w:ascii="Segoe UI" w:hAnsi="Segoe UI" w:cs="Segoe UI"/>
          <w:color w:val="auto"/>
        </w:rPr>
        <w:t>References</w:t>
      </w:r>
    </w:p>
    <w:p w14:paraId="22CECE0C" w14:textId="36E3F223" w:rsidR="00C275EA" w:rsidRPr="00C275EA" w:rsidRDefault="002A25B5" w:rsidP="00C275EA">
      <w:pPr>
        <w:widowControl w:val="0"/>
        <w:autoSpaceDE w:val="0"/>
        <w:autoSpaceDN w:val="0"/>
        <w:adjustRightInd w:val="0"/>
        <w:ind w:left="640" w:hanging="640"/>
        <w:rPr>
          <w:rFonts w:ascii="Segoe UI" w:hAnsi="Segoe UI" w:cs="Segoe UI"/>
          <w:noProof/>
          <w:szCs w:val="24"/>
        </w:rPr>
      </w:pPr>
      <w:r w:rsidRPr="0058436C">
        <w:rPr>
          <w:rFonts w:ascii="Segoe UI" w:hAnsi="Segoe UI" w:cs="Segoe UI"/>
        </w:rPr>
        <w:fldChar w:fldCharType="begin" w:fldLock="1"/>
      </w:r>
      <w:r w:rsidRPr="0058436C">
        <w:rPr>
          <w:rFonts w:ascii="Segoe UI" w:hAnsi="Segoe UI" w:cs="Segoe UI"/>
        </w:rPr>
        <w:instrText xml:space="preserve">ADDIN Mendeley Bibliography CSL_BIBLIOGRAPHY </w:instrText>
      </w:r>
      <w:r w:rsidRPr="0058436C">
        <w:rPr>
          <w:rFonts w:ascii="Segoe UI" w:hAnsi="Segoe UI" w:cs="Segoe UI"/>
        </w:rPr>
        <w:fldChar w:fldCharType="separate"/>
      </w:r>
      <w:r w:rsidR="00C275EA" w:rsidRPr="00C275EA">
        <w:rPr>
          <w:rFonts w:ascii="Segoe UI" w:hAnsi="Segoe UI" w:cs="Segoe UI"/>
          <w:noProof/>
          <w:szCs w:val="24"/>
        </w:rPr>
        <w:t>1.</w:t>
      </w:r>
      <w:r w:rsidR="00C275EA" w:rsidRPr="00C275EA">
        <w:rPr>
          <w:rFonts w:ascii="Segoe UI" w:hAnsi="Segoe UI" w:cs="Segoe UI"/>
          <w:noProof/>
          <w:szCs w:val="24"/>
        </w:rPr>
        <w:tab/>
        <w:t xml:space="preserve">Konrad, M. </w:t>
      </w:r>
      <w:r w:rsidR="00C275EA" w:rsidRPr="00C275EA">
        <w:rPr>
          <w:rFonts w:ascii="Segoe UI" w:hAnsi="Segoe UI" w:cs="Segoe UI"/>
          <w:i/>
          <w:iCs/>
          <w:noProof/>
          <w:szCs w:val="24"/>
        </w:rPr>
        <w:t>et al.</w:t>
      </w:r>
      <w:r w:rsidR="00C275EA" w:rsidRPr="00C275EA">
        <w:rPr>
          <w:rFonts w:ascii="Segoe UI" w:hAnsi="Segoe UI" w:cs="Segoe UI"/>
          <w:noProof/>
          <w:szCs w:val="24"/>
        </w:rPr>
        <w:t xml:space="preserve"> Large homozygous deletions of the 2q13 region are a major cause of juvenile nephronophthisis. </w:t>
      </w:r>
      <w:r w:rsidR="00C275EA" w:rsidRPr="00C275EA">
        <w:rPr>
          <w:rFonts w:ascii="Segoe UI" w:hAnsi="Segoe UI" w:cs="Segoe UI"/>
          <w:i/>
          <w:iCs/>
          <w:noProof/>
          <w:szCs w:val="24"/>
        </w:rPr>
        <w:t>Hum. Mol. Genet.</w:t>
      </w:r>
      <w:r w:rsidR="00C275EA" w:rsidRPr="00C275EA">
        <w:rPr>
          <w:rFonts w:ascii="Segoe UI" w:hAnsi="Segoe UI" w:cs="Segoe UI"/>
          <w:noProof/>
          <w:szCs w:val="24"/>
        </w:rPr>
        <w:t xml:space="preserve"> </w:t>
      </w:r>
      <w:r w:rsidR="00C275EA" w:rsidRPr="00C275EA">
        <w:rPr>
          <w:rFonts w:ascii="Segoe UI" w:hAnsi="Segoe UI" w:cs="Segoe UI"/>
          <w:b/>
          <w:bCs/>
          <w:noProof/>
          <w:szCs w:val="24"/>
        </w:rPr>
        <w:t>5</w:t>
      </w:r>
      <w:r w:rsidR="00C275EA" w:rsidRPr="00C275EA">
        <w:rPr>
          <w:rFonts w:ascii="Segoe UI" w:hAnsi="Segoe UI" w:cs="Segoe UI"/>
          <w:noProof/>
          <w:szCs w:val="24"/>
        </w:rPr>
        <w:t>, 367–371 (1996)</w:t>
      </w:r>
    </w:p>
    <w:p w14:paraId="72C367AA" w14:textId="77777777" w:rsidR="00C275EA" w:rsidRPr="00C275EA" w:rsidRDefault="00C275EA" w:rsidP="00C275EA">
      <w:pPr>
        <w:widowControl w:val="0"/>
        <w:autoSpaceDE w:val="0"/>
        <w:autoSpaceDN w:val="0"/>
        <w:adjustRightInd w:val="0"/>
        <w:ind w:left="640" w:hanging="640"/>
        <w:rPr>
          <w:rFonts w:ascii="Segoe UI" w:hAnsi="Segoe UI" w:cs="Segoe UI"/>
          <w:noProof/>
          <w:szCs w:val="24"/>
        </w:rPr>
      </w:pPr>
      <w:r w:rsidRPr="00C275EA">
        <w:rPr>
          <w:rFonts w:ascii="Segoe UI" w:hAnsi="Segoe UI" w:cs="Segoe UI"/>
          <w:noProof/>
          <w:szCs w:val="24"/>
        </w:rPr>
        <w:t>2.</w:t>
      </w:r>
      <w:r w:rsidRPr="00C275EA">
        <w:rPr>
          <w:rFonts w:ascii="Segoe UI" w:hAnsi="Segoe UI" w:cs="Segoe UI"/>
          <w:noProof/>
          <w:szCs w:val="24"/>
        </w:rPr>
        <w:tab/>
        <w:t xml:space="preserve">Hildebrandt, F. </w:t>
      </w:r>
      <w:r w:rsidRPr="00C275EA">
        <w:rPr>
          <w:rFonts w:ascii="Segoe UI" w:hAnsi="Segoe UI" w:cs="Segoe UI"/>
          <w:i/>
          <w:iCs/>
          <w:noProof/>
          <w:szCs w:val="24"/>
        </w:rPr>
        <w:t>et al.</w:t>
      </w:r>
      <w:r w:rsidRPr="00C275EA">
        <w:rPr>
          <w:rFonts w:ascii="Segoe UI" w:hAnsi="Segoe UI" w:cs="Segoe UI"/>
          <w:noProof/>
          <w:szCs w:val="24"/>
        </w:rPr>
        <w:t xml:space="preserve"> A novel gene encoding an SH3 domain protein is mutated in nephronophthisis type 1. </w:t>
      </w:r>
      <w:r w:rsidRPr="00C275EA">
        <w:rPr>
          <w:rFonts w:ascii="Segoe UI" w:hAnsi="Segoe UI" w:cs="Segoe UI"/>
          <w:i/>
          <w:iCs/>
          <w:noProof/>
          <w:szCs w:val="24"/>
        </w:rPr>
        <w:t>Nat. Genet.</w:t>
      </w:r>
      <w:r w:rsidRPr="00C275EA">
        <w:rPr>
          <w:rFonts w:ascii="Segoe UI" w:hAnsi="Segoe UI" w:cs="Segoe UI"/>
          <w:noProof/>
          <w:szCs w:val="24"/>
        </w:rPr>
        <w:t xml:space="preserve"> </w:t>
      </w:r>
      <w:r w:rsidRPr="00C275EA">
        <w:rPr>
          <w:rFonts w:ascii="Segoe UI" w:hAnsi="Segoe UI" w:cs="Segoe UI"/>
          <w:b/>
          <w:bCs/>
          <w:noProof/>
          <w:szCs w:val="24"/>
        </w:rPr>
        <w:t>17</w:t>
      </w:r>
      <w:r w:rsidRPr="00C275EA">
        <w:rPr>
          <w:rFonts w:ascii="Segoe UI" w:hAnsi="Segoe UI" w:cs="Segoe UI"/>
          <w:noProof/>
          <w:szCs w:val="24"/>
        </w:rPr>
        <w:t>, 149–153 (1997)</w:t>
      </w:r>
    </w:p>
    <w:p w14:paraId="4D6CE5A2" w14:textId="77777777" w:rsidR="00C275EA" w:rsidRPr="00C275EA" w:rsidRDefault="00C275EA" w:rsidP="00C275EA">
      <w:pPr>
        <w:widowControl w:val="0"/>
        <w:autoSpaceDE w:val="0"/>
        <w:autoSpaceDN w:val="0"/>
        <w:adjustRightInd w:val="0"/>
        <w:ind w:left="640" w:hanging="640"/>
        <w:rPr>
          <w:rFonts w:ascii="Segoe UI" w:hAnsi="Segoe UI" w:cs="Segoe UI"/>
          <w:noProof/>
          <w:szCs w:val="24"/>
        </w:rPr>
      </w:pPr>
      <w:r w:rsidRPr="00C275EA">
        <w:rPr>
          <w:rFonts w:ascii="Segoe UI" w:hAnsi="Segoe UI" w:cs="Segoe UI"/>
          <w:noProof/>
          <w:szCs w:val="24"/>
        </w:rPr>
        <w:t>3.</w:t>
      </w:r>
      <w:r w:rsidRPr="00C275EA">
        <w:rPr>
          <w:rFonts w:ascii="Segoe UI" w:hAnsi="Segoe UI" w:cs="Segoe UI"/>
          <w:noProof/>
          <w:szCs w:val="24"/>
        </w:rPr>
        <w:tab/>
        <w:t xml:space="preserve">Saunier, S. A novel gene that encodes a protein with a putative src homology 3 domain is a candidate gene for familial juvenile nephronophthisis. </w:t>
      </w:r>
      <w:r w:rsidRPr="00C275EA">
        <w:rPr>
          <w:rFonts w:ascii="Segoe UI" w:hAnsi="Segoe UI" w:cs="Segoe UI"/>
          <w:i/>
          <w:iCs/>
          <w:noProof/>
          <w:szCs w:val="24"/>
        </w:rPr>
        <w:t>Hum. Mol. Genet.</w:t>
      </w:r>
      <w:r w:rsidRPr="00C275EA">
        <w:rPr>
          <w:rFonts w:ascii="Segoe UI" w:hAnsi="Segoe UI" w:cs="Segoe UI"/>
          <w:noProof/>
          <w:szCs w:val="24"/>
        </w:rPr>
        <w:t xml:space="preserve"> </w:t>
      </w:r>
      <w:r w:rsidRPr="00C275EA">
        <w:rPr>
          <w:rFonts w:ascii="Segoe UI" w:hAnsi="Segoe UI" w:cs="Segoe UI"/>
          <w:b/>
          <w:bCs/>
          <w:noProof/>
          <w:szCs w:val="24"/>
        </w:rPr>
        <w:t>6</w:t>
      </w:r>
      <w:r w:rsidRPr="00C275EA">
        <w:rPr>
          <w:rFonts w:ascii="Segoe UI" w:hAnsi="Segoe UI" w:cs="Segoe UI"/>
          <w:noProof/>
          <w:szCs w:val="24"/>
        </w:rPr>
        <w:t>, 2317–2323 (1997)</w:t>
      </w:r>
    </w:p>
    <w:p w14:paraId="65B261E0" w14:textId="77777777" w:rsidR="00C275EA" w:rsidRPr="00C275EA" w:rsidRDefault="00C275EA" w:rsidP="00C275EA">
      <w:pPr>
        <w:widowControl w:val="0"/>
        <w:autoSpaceDE w:val="0"/>
        <w:autoSpaceDN w:val="0"/>
        <w:adjustRightInd w:val="0"/>
        <w:ind w:left="640" w:hanging="640"/>
        <w:rPr>
          <w:rFonts w:ascii="Segoe UI" w:hAnsi="Segoe UI" w:cs="Segoe UI"/>
          <w:noProof/>
          <w:szCs w:val="24"/>
        </w:rPr>
      </w:pPr>
      <w:r w:rsidRPr="00C275EA">
        <w:rPr>
          <w:rFonts w:ascii="Segoe UI" w:hAnsi="Segoe UI" w:cs="Segoe UI"/>
          <w:noProof/>
          <w:szCs w:val="24"/>
        </w:rPr>
        <w:t>4.</w:t>
      </w:r>
      <w:r w:rsidRPr="00C275EA">
        <w:rPr>
          <w:rFonts w:ascii="Segoe UI" w:hAnsi="Segoe UI" w:cs="Segoe UI"/>
          <w:noProof/>
          <w:szCs w:val="24"/>
        </w:rPr>
        <w:tab/>
        <w:t xml:space="preserve">Saunier, S. </w:t>
      </w:r>
      <w:r w:rsidRPr="00C275EA">
        <w:rPr>
          <w:rFonts w:ascii="Segoe UI" w:hAnsi="Segoe UI" w:cs="Segoe UI"/>
          <w:i/>
          <w:iCs/>
          <w:noProof/>
          <w:szCs w:val="24"/>
        </w:rPr>
        <w:t>et al.</w:t>
      </w:r>
      <w:r w:rsidRPr="00C275EA">
        <w:rPr>
          <w:rFonts w:ascii="Segoe UI" w:hAnsi="Segoe UI" w:cs="Segoe UI"/>
          <w:noProof/>
          <w:szCs w:val="24"/>
        </w:rPr>
        <w:t xml:space="preserve"> Characterization of the NPHP1 locus: Mutational mechanism involved in deletions in familial juvenile nephronophthisis. </w:t>
      </w:r>
      <w:r w:rsidRPr="00C275EA">
        <w:rPr>
          <w:rFonts w:ascii="Segoe UI" w:hAnsi="Segoe UI" w:cs="Segoe UI"/>
          <w:i/>
          <w:iCs/>
          <w:noProof/>
          <w:szCs w:val="24"/>
        </w:rPr>
        <w:t>Am. J. Hum. Genet.</w:t>
      </w:r>
      <w:r w:rsidRPr="00C275EA">
        <w:rPr>
          <w:rFonts w:ascii="Segoe UI" w:hAnsi="Segoe UI" w:cs="Segoe UI"/>
          <w:noProof/>
          <w:szCs w:val="24"/>
        </w:rPr>
        <w:t xml:space="preserve"> </w:t>
      </w:r>
      <w:r w:rsidRPr="00C275EA">
        <w:rPr>
          <w:rFonts w:ascii="Segoe UI" w:hAnsi="Segoe UI" w:cs="Segoe UI"/>
          <w:b/>
          <w:bCs/>
          <w:noProof/>
          <w:szCs w:val="24"/>
        </w:rPr>
        <w:t>66</w:t>
      </w:r>
      <w:r w:rsidRPr="00C275EA">
        <w:rPr>
          <w:rFonts w:ascii="Segoe UI" w:hAnsi="Segoe UI" w:cs="Segoe UI"/>
          <w:noProof/>
          <w:szCs w:val="24"/>
        </w:rPr>
        <w:t>, 778–789 (2000)</w:t>
      </w:r>
    </w:p>
    <w:p w14:paraId="0761A90B" w14:textId="77777777" w:rsidR="00C275EA" w:rsidRPr="00C275EA" w:rsidRDefault="00C275EA" w:rsidP="00C275EA">
      <w:pPr>
        <w:widowControl w:val="0"/>
        <w:autoSpaceDE w:val="0"/>
        <w:autoSpaceDN w:val="0"/>
        <w:adjustRightInd w:val="0"/>
        <w:ind w:left="640" w:hanging="640"/>
        <w:rPr>
          <w:rFonts w:ascii="Segoe UI" w:hAnsi="Segoe UI" w:cs="Segoe UI"/>
          <w:noProof/>
          <w:szCs w:val="24"/>
        </w:rPr>
      </w:pPr>
      <w:r w:rsidRPr="00C275EA">
        <w:rPr>
          <w:rFonts w:ascii="Segoe UI" w:hAnsi="Segoe UI" w:cs="Segoe UI"/>
          <w:noProof/>
          <w:szCs w:val="24"/>
        </w:rPr>
        <w:t>5.</w:t>
      </w:r>
      <w:r w:rsidRPr="00C275EA">
        <w:rPr>
          <w:rFonts w:ascii="Segoe UI" w:hAnsi="Segoe UI" w:cs="Segoe UI"/>
          <w:noProof/>
          <w:szCs w:val="24"/>
        </w:rPr>
        <w:tab/>
        <w:t xml:space="preserve">Yuan, B. </w:t>
      </w:r>
      <w:r w:rsidRPr="00C275EA">
        <w:rPr>
          <w:rFonts w:ascii="Segoe UI" w:hAnsi="Segoe UI" w:cs="Segoe UI"/>
          <w:i/>
          <w:iCs/>
          <w:noProof/>
          <w:szCs w:val="24"/>
        </w:rPr>
        <w:t>et al.</w:t>
      </w:r>
      <w:r w:rsidRPr="00C275EA">
        <w:rPr>
          <w:rFonts w:ascii="Segoe UI" w:hAnsi="Segoe UI" w:cs="Segoe UI"/>
          <w:noProof/>
          <w:szCs w:val="24"/>
        </w:rPr>
        <w:t xml:space="preserve"> Comparative Genomic Analyses of the Human NPHP1 Locus Reveal Complex Genomic Architecture and Its Regional Evolution in Primates. </w:t>
      </w:r>
      <w:r w:rsidRPr="00C275EA">
        <w:rPr>
          <w:rFonts w:ascii="Segoe UI" w:hAnsi="Segoe UI" w:cs="Segoe UI"/>
          <w:i/>
          <w:iCs/>
          <w:noProof/>
          <w:szCs w:val="24"/>
        </w:rPr>
        <w:t>PLoS Genet.</w:t>
      </w:r>
      <w:r w:rsidRPr="00C275EA">
        <w:rPr>
          <w:rFonts w:ascii="Segoe UI" w:hAnsi="Segoe UI" w:cs="Segoe UI"/>
          <w:noProof/>
          <w:szCs w:val="24"/>
        </w:rPr>
        <w:t xml:space="preserve"> </w:t>
      </w:r>
      <w:r w:rsidRPr="00C275EA">
        <w:rPr>
          <w:rFonts w:ascii="Segoe UI" w:hAnsi="Segoe UI" w:cs="Segoe UI"/>
          <w:b/>
          <w:bCs/>
          <w:noProof/>
          <w:szCs w:val="24"/>
        </w:rPr>
        <w:t>11</w:t>
      </w:r>
      <w:r w:rsidRPr="00C275EA">
        <w:rPr>
          <w:rFonts w:ascii="Segoe UI" w:hAnsi="Segoe UI" w:cs="Segoe UI"/>
          <w:noProof/>
          <w:szCs w:val="24"/>
        </w:rPr>
        <w:t>, (2015)</w:t>
      </w:r>
    </w:p>
    <w:p w14:paraId="489EB63B" w14:textId="77777777" w:rsidR="00C275EA" w:rsidRPr="00C275EA" w:rsidRDefault="00C275EA" w:rsidP="00C275EA">
      <w:pPr>
        <w:widowControl w:val="0"/>
        <w:autoSpaceDE w:val="0"/>
        <w:autoSpaceDN w:val="0"/>
        <w:adjustRightInd w:val="0"/>
        <w:ind w:left="640" w:hanging="640"/>
        <w:rPr>
          <w:rFonts w:ascii="Segoe UI" w:hAnsi="Segoe UI" w:cs="Segoe UI"/>
          <w:noProof/>
          <w:szCs w:val="24"/>
        </w:rPr>
      </w:pPr>
      <w:r w:rsidRPr="00C275EA">
        <w:rPr>
          <w:rFonts w:ascii="Segoe UI" w:hAnsi="Segoe UI" w:cs="Segoe UI"/>
          <w:noProof/>
          <w:szCs w:val="24"/>
        </w:rPr>
        <w:t>6.</w:t>
      </w:r>
      <w:r w:rsidRPr="00C275EA">
        <w:rPr>
          <w:rFonts w:ascii="Segoe UI" w:hAnsi="Segoe UI" w:cs="Segoe UI"/>
          <w:noProof/>
          <w:szCs w:val="24"/>
        </w:rPr>
        <w:tab/>
        <w:t xml:space="preserve">Bailey, J. A., Yavor, A. M., Massa, H. F., Trask, B. J. &amp; Eichler, E. E. Segmental duplications: Organization and impact within the current human genome project assembly. </w:t>
      </w:r>
      <w:r w:rsidRPr="00C275EA">
        <w:rPr>
          <w:rFonts w:ascii="Segoe UI" w:hAnsi="Segoe UI" w:cs="Segoe UI"/>
          <w:i/>
          <w:iCs/>
          <w:noProof/>
          <w:szCs w:val="24"/>
        </w:rPr>
        <w:t>Genome Res.</w:t>
      </w:r>
      <w:r w:rsidRPr="00C275EA">
        <w:rPr>
          <w:rFonts w:ascii="Segoe UI" w:hAnsi="Segoe UI" w:cs="Segoe UI"/>
          <w:noProof/>
          <w:szCs w:val="24"/>
        </w:rPr>
        <w:t xml:space="preserve"> </w:t>
      </w:r>
      <w:r w:rsidRPr="00C275EA">
        <w:rPr>
          <w:rFonts w:ascii="Segoe UI" w:hAnsi="Segoe UI" w:cs="Segoe UI"/>
          <w:b/>
          <w:bCs/>
          <w:noProof/>
          <w:szCs w:val="24"/>
        </w:rPr>
        <w:t>11</w:t>
      </w:r>
      <w:r w:rsidRPr="00C275EA">
        <w:rPr>
          <w:rFonts w:ascii="Segoe UI" w:hAnsi="Segoe UI" w:cs="Segoe UI"/>
          <w:noProof/>
          <w:szCs w:val="24"/>
        </w:rPr>
        <w:t>, 1005–1017 (2001)</w:t>
      </w:r>
    </w:p>
    <w:p w14:paraId="0BC1C7DC" w14:textId="77777777" w:rsidR="00C275EA" w:rsidRPr="00C275EA" w:rsidRDefault="00C275EA" w:rsidP="00C275EA">
      <w:pPr>
        <w:widowControl w:val="0"/>
        <w:autoSpaceDE w:val="0"/>
        <w:autoSpaceDN w:val="0"/>
        <w:adjustRightInd w:val="0"/>
        <w:ind w:left="640" w:hanging="640"/>
        <w:rPr>
          <w:rFonts w:ascii="Segoe UI" w:hAnsi="Segoe UI" w:cs="Segoe UI"/>
          <w:noProof/>
          <w:szCs w:val="24"/>
        </w:rPr>
      </w:pPr>
      <w:r w:rsidRPr="00C275EA">
        <w:rPr>
          <w:rFonts w:ascii="Segoe UI" w:hAnsi="Segoe UI" w:cs="Segoe UI"/>
          <w:noProof/>
          <w:szCs w:val="24"/>
        </w:rPr>
        <w:t>7.</w:t>
      </w:r>
      <w:r w:rsidRPr="00C275EA">
        <w:rPr>
          <w:rFonts w:ascii="Segoe UI" w:hAnsi="Segoe UI" w:cs="Segoe UI"/>
          <w:noProof/>
          <w:szCs w:val="24"/>
        </w:rPr>
        <w:tab/>
        <w:t xml:space="preserve">Fliegauf, M. </w:t>
      </w:r>
      <w:r w:rsidRPr="00C275EA">
        <w:rPr>
          <w:rFonts w:ascii="Segoe UI" w:hAnsi="Segoe UI" w:cs="Segoe UI"/>
          <w:i/>
          <w:iCs/>
          <w:noProof/>
          <w:szCs w:val="24"/>
        </w:rPr>
        <w:t>et al.</w:t>
      </w:r>
      <w:r w:rsidRPr="00C275EA">
        <w:rPr>
          <w:rFonts w:ascii="Segoe UI" w:hAnsi="Segoe UI" w:cs="Segoe UI"/>
          <w:noProof/>
          <w:szCs w:val="24"/>
        </w:rPr>
        <w:t xml:space="preserve"> Nephrocystin specifically localizes to the transition zone of renal and respiratory cilia and photoreceptor connecting cilia. </w:t>
      </w:r>
      <w:r w:rsidRPr="00C275EA">
        <w:rPr>
          <w:rFonts w:ascii="Segoe UI" w:hAnsi="Segoe UI" w:cs="Segoe UI"/>
          <w:i/>
          <w:iCs/>
          <w:noProof/>
          <w:szCs w:val="24"/>
        </w:rPr>
        <w:t>J. Am. Soc. Nephrol.</w:t>
      </w:r>
      <w:r w:rsidRPr="00C275EA">
        <w:rPr>
          <w:rFonts w:ascii="Segoe UI" w:hAnsi="Segoe UI" w:cs="Segoe UI"/>
          <w:noProof/>
          <w:szCs w:val="24"/>
        </w:rPr>
        <w:t xml:space="preserve"> </w:t>
      </w:r>
      <w:r w:rsidRPr="00C275EA">
        <w:rPr>
          <w:rFonts w:ascii="Segoe UI" w:hAnsi="Segoe UI" w:cs="Segoe UI"/>
          <w:b/>
          <w:bCs/>
          <w:noProof/>
          <w:szCs w:val="24"/>
        </w:rPr>
        <w:t>17</w:t>
      </w:r>
      <w:r w:rsidRPr="00C275EA">
        <w:rPr>
          <w:rFonts w:ascii="Segoe UI" w:hAnsi="Segoe UI" w:cs="Segoe UI"/>
          <w:noProof/>
          <w:szCs w:val="24"/>
        </w:rPr>
        <w:t>, 2424–2433 (2006)</w:t>
      </w:r>
    </w:p>
    <w:p w14:paraId="241CEEE8" w14:textId="77777777" w:rsidR="00C275EA" w:rsidRPr="00C275EA" w:rsidRDefault="00C275EA" w:rsidP="00C275EA">
      <w:pPr>
        <w:widowControl w:val="0"/>
        <w:autoSpaceDE w:val="0"/>
        <w:autoSpaceDN w:val="0"/>
        <w:adjustRightInd w:val="0"/>
        <w:ind w:left="640" w:hanging="640"/>
        <w:rPr>
          <w:rFonts w:ascii="Segoe UI" w:hAnsi="Segoe UI" w:cs="Segoe UI"/>
          <w:noProof/>
          <w:szCs w:val="24"/>
        </w:rPr>
      </w:pPr>
      <w:r w:rsidRPr="00C275EA">
        <w:rPr>
          <w:rFonts w:ascii="Segoe UI" w:hAnsi="Segoe UI" w:cs="Segoe UI"/>
          <w:noProof/>
          <w:szCs w:val="24"/>
        </w:rPr>
        <w:t>8.</w:t>
      </w:r>
      <w:r w:rsidRPr="00C275EA">
        <w:rPr>
          <w:rFonts w:ascii="Segoe UI" w:hAnsi="Segoe UI" w:cs="Segoe UI"/>
          <w:noProof/>
          <w:szCs w:val="24"/>
        </w:rPr>
        <w:tab/>
        <w:t xml:space="preserve">Eley, L., Moochhala, S. H., Simms, R., Hildebrandt, F. &amp; Sayer, J. A. Nephrocystin-1 interacts directly with Ack1 and is expressed in human collecting duct. </w:t>
      </w:r>
      <w:r w:rsidRPr="00C275EA">
        <w:rPr>
          <w:rFonts w:ascii="Segoe UI" w:hAnsi="Segoe UI" w:cs="Segoe UI"/>
          <w:i/>
          <w:iCs/>
          <w:noProof/>
          <w:szCs w:val="24"/>
        </w:rPr>
        <w:t>Biochem. Biophys. Res. Commun.</w:t>
      </w:r>
      <w:r w:rsidRPr="00C275EA">
        <w:rPr>
          <w:rFonts w:ascii="Segoe UI" w:hAnsi="Segoe UI" w:cs="Segoe UI"/>
          <w:noProof/>
          <w:szCs w:val="24"/>
        </w:rPr>
        <w:t xml:space="preserve"> </w:t>
      </w:r>
      <w:r w:rsidRPr="00C275EA">
        <w:rPr>
          <w:rFonts w:ascii="Segoe UI" w:hAnsi="Segoe UI" w:cs="Segoe UI"/>
          <w:b/>
          <w:bCs/>
          <w:noProof/>
          <w:szCs w:val="24"/>
        </w:rPr>
        <w:t>371</w:t>
      </w:r>
      <w:r w:rsidRPr="00C275EA">
        <w:rPr>
          <w:rFonts w:ascii="Segoe UI" w:hAnsi="Segoe UI" w:cs="Segoe UI"/>
          <w:noProof/>
          <w:szCs w:val="24"/>
        </w:rPr>
        <w:t>, 877–882 (2008)</w:t>
      </w:r>
    </w:p>
    <w:p w14:paraId="050605AA" w14:textId="77777777" w:rsidR="00C275EA" w:rsidRPr="00C275EA" w:rsidRDefault="00C275EA" w:rsidP="00C275EA">
      <w:pPr>
        <w:widowControl w:val="0"/>
        <w:autoSpaceDE w:val="0"/>
        <w:autoSpaceDN w:val="0"/>
        <w:adjustRightInd w:val="0"/>
        <w:ind w:left="640" w:hanging="640"/>
        <w:rPr>
          <w:rFonts w:ascii="Segoe UI" w:hAnsi="Segoe UI" w:cs="Segoe UI"/>
          <w:noProof/>
          <w:szCs w:val="24"/>
        </w:rPr>
      </w:pPr>
      <w:r w:rsidRPr="00C275EA">
        <w:rPr>
          <w:rFonts w:ascii="Segoe UI" w:hAnsi="Segoe UI" w:cs="Segoe UI"/>
          <w:noProof/>
          <w:szCs w:val="24"/>
        </w:rPr>
        <w:t>9.</w:t>
      </w:r>
      <w:r w:rsidRPr="00C275EA">
        <w:rPr>
          <w:rFonts w:ascii="Segoe UI" w:hAnsi="Segoe UI" w:cs="Segoe UI"/>
          <w:noProof/>
          <w:szCs w:val="24"/>
        </w:rPr>
        <w:tab/>
        <w:t xml:space="preserve">Reiter, J. F. &amp; Leroux, M. R. Genes and molecular pathways underpinning ciliopathies. </w:t>
      </w:r>
      <w:r w:rsidRPr="00C275EA">
        <w:rPr>
          <w:rFonts w:ascii="Segoe UI" w:hAnsi="Segoe UI" w:cs="Segoe UI"/>
          <w:i/>
          <w:iCs/>
          <w:noProof/>
          <w:szCs w:val="24"/>
        </w:rPr>
        <w:lastRenderedPageBreak/>
        <w:t>Nature Reviews Molecular Cell Biology</w:t>
      </w:r>
      <w:r w:rsidRPr="00C275EA">
        <w:rPr>
          <w:rFonts w:ascii="Segoe UI" w:hAnsi="Segoe UI" w:cs="Segoe UI"/>
          <w:noProof/>
          <w:szCs w:val="24"/>
        </w:rPr>
        <w:t xml:space="preserve"> vol. 18 533–547 at https://doi.org/10.1038/nrm.2017.60 (2017)</w:t>
      </w:r>
    </w:p>
    <w:p w14:paraId="5313F3E5" w14:textId="77777777" w:rsidR="00C275EA" w:rsidRPr="00C275EA" w:rsidRDefault="00C275EA" w:rsidP="00C275EA">
      <w:pPr>
        <w:widowControl w:val="0"/>
        <w:autoSpaceDE w:val="0"/>
        <w:autoSpaceDN w:val="0"/>
        <w:adjustRightInd w:val="0"/>
        <w:ind w:left="640" w:hanging="640"/>
        <w:rPr>
          <w:rFonts w:ascii="Segoe UI" w:hAnsi="Segoe UI" w:cs="Segoe UI"/>
          <w:noProof/>
          <w:szCs w:val="24"/>
        </w:rPr>
      </w:pPr>
      <w:r w:rsidRPr="00C275EA">
        <w:rPr>
          <w:rFonts w:ascii="Segoe UI" w:hAnsi="Segoe UI" w:cs="Segoe UI"/>
          <w:noProof/>
          <w:szCs w:val="24"/>
        </w:rPr>
        <w:t>10.</w:t>
      </w:r>
      <w:r w:rsidRPr="00C275EA">
        <w:rPr>
          <w:rFonts w:ascii="Segoe UI" w:hAnsi="Segoe UI" w:cs="Segoe UI"/>
          <w:noProof/>
          <w:szCs w:val="24"/>
        </w:rPr>
        <w:tab/>
        <w:t xml:space="preserve">Wolf, M. &amp; Hildebrandt, F. Nephronophthisis. </w:t>
      </w:r>
      <w:r w:rsidRPr="00C275EA">
        <w:rPr>
          <w:rFonts w:ascii="Segoe UI" w:hAnsi="Segoe UI" w:cs="Segoe UI"/>
          <w:i/>
          <w:iCs/>
          <w:noProof/>
          <w:szCs w:val="24"/>
        </w:rPr>
        <w:t>Pediatric Nephrology</w:t>
      </w:r>
      <w:r w:rsidRPr="00C275EA">
        <w:rPr>
          <w:rFonts w:ascii="Segoe UI" w:hAnsi="Segoe UI" w:cs="Segoe UI"/>
          <w:noProof/>
          <w:szCs w:val="24"/>
        </w:rPr>
        <w:t xml:space="preserve"> vol. 26 181–194 at https://doi.org/10.1007/s00467-010-1585-z (2011)</w:t>
      </w:r>
    </w:p>
    <w:p w14:paraId="3F806751" w14:textId="77777777" w:rsidR="00C275EA" w:rsidRPr="00C275EA" w:rsidRDefault="00C275EA" w:rsidP="00C275EA">
      <w:pPr>
        <w:widowControl w:val="0"/>
        <w:autoSpaceDE w:val="0"/>
        <w:autoSpaceDN w:val="0"/>
        <w:adjustRightInd w:val="0"/>
        <w:ind w:left="640" w:hanging="640"/>
        <w:rPr>
          <w:rFonts w:ascii="Segoe UI" w:hAnsi="Segoe UI" w:cs="Segoe UI"/>
          <w:noProof/>
          <w:szCs w:val="24"/>
        </w:rPr>
      </w:pPr>
      <w:r w:rsidRPr="00C275EA">
        <w:rPr>
          <w:rFonts w:ascii="Segoe UI" w:hAnsi="Segoe UI" w:cs="Segoe UI"/>
          <w:noProof/>
          <w:szCs w:val="24"/>
        </w:rPr>
        <w:t>11.</w:t>
      </w:r>
      <w:r w:rsidRPr="00C275EA">
        <w:rPr>
          <w:rFonts w:ascii="Segoe UI" w:hAnsi="Segoe UI" w:cs="Segoe UI"/>
          <w:noProof/>
          <w:szCs w:val="24"/>
        </w:rPr>
        <w:tab/>
        <w:t xml:space="preserve">Halbritter, J. </w:t>
      </w:r>
      <w:r w:rsidRPr="00C275EA">
        <w:rPr>
          <w:rFonts w:ascii="Segoe UI" w:hAnsi="Segoe UI" w:cs="Segoe UI"/>
          <w:i/>
          <w:iCs/>
          <w:noProof/>
          <w:szCs w:val="24"/>
        </w:rPr>
        <w:t>et al.</w:t>
      </w:r>
      <w:r w:rsidRPr="00C275EA">
        <w:rPr>
          <w:rFonts w:ascii="Segoe UI" w:hAnsi="Segoe UI" w:cs="Segoe UI"/>
          <w:noProof/>
          <w:szCs w:val="24"/>
        </w:rPr>
        <w:t xml:space="preserve"> Identification of 99 novel mutations in a worldwide cohort of 1,056 patients with a nephronophthisis-related ciliopathy. </w:t>
      </w:r>
      <w:r w:rsidRPr="00C275EA">
        <w:rPr>
          <w:rFonts w:ascii="Segoe UI" w:hAnsi="Segoe UI" w:cs="Segoe UI"/>
          <w:i/>
          <w:iCs/>
          <w:noProof/>
          <w:szCs w:val="24"/>
        </w:rPr>
        <w:t>Hum. Genet.</w:t>
      </w:r>
      <w:r w:rsidRPr="00C275EA">
        <w:rPr>
          <w:rFonts w:ascii="Segoe UI" w:hAnsi="Segoe UI" w:cs="Segoe UI"/>
          <w:noProof/>
          <w:szCs w:val="24"/>
        </w:rPr>
        <w:t xml:space="preserve"> </w:t>
      </w:r>
      <w:r w:rsidRPr="00C275EA">
        <w:rPr>
          <w:rFonts w:ascii="Segoe UI" w:hAnsi="Segoe UI" w:cs="Segoe UI"/>
          <w:b/>
          <w:bCs/>
          <w:noProof/>
          <w:szCs w:val="24"/>
        </w:rPr>
        <w:t>132</w:t>
      </w:r>
      <w:r w:rsidRPr="00C275EA">
        <w:rPr>
          <w:rFonts w:ascii="Segoe UI" w:hAnsi="Segoe UI" w:cs="Segoe UI"/>
          <w:noProof/>
          <w:szCs w:val="24"/>
        </w:rPr>
        <w:t>, 865–884 (2013)</w:t>
      </w:r>
    </w:p>
    <w:p w14:paraId="3C086112" w14:textId="77777777" w:rsidR="00C275EA" w:rsidRPr="00C275EA" w:rsidRDefault="00C275EA" w:rsidP="00C275EA">
      <w:pPr>
        <w:widowControl w:val="0"/>
        <w:autoSpaceDE w:val="0"/>
        <w:autoSpaceDN w:val="0"/>
        <w:adjustRightInd w:val="0"/>
        <w:ind w:left="640" w:hanging="640"/>
        <w:rPr>
          <w:rFonts w:ascii="Segoe UI" w:hAnsi="Segoe UI" w:cs="Segoe UI"/>
          <w:noProof/>
          <w:szCs w:val="24"/>
        </w:rPr>
      </w:pPr>
      <w:r w:rsidRPr="00C275EA">
        <w:rPr>
          <w:rFonts w:ascii="Segoe UI" w:hAnsi="Segoe UI" w:cs="Segoe UI"/>
          <w:noProof/>
          <w:szCs w:val="24"/>
        </w:rPr>
        <w:t>12.</w:t>
      </w:r>
      <w:r w:rsidRPr="00C275EA">
        <w:rPr>
          <w:rFonts w:ascii="Segoe UI" w:hAnsi="Segoe UI" w:cs="Segoe UI"/>
          <w:noProof/>
          <w:szCs w:val="24"/>
        </w:rPr>
        <w:tab/>
        <w:t xml:space="preserve">Hildebrandt, F., Attanasio, M. &amp; Otto, E. Nephronophthisis: Disease mechanisms of a ciliopathy. </w:t>
      </w:r>
      <w:r w:rsidRPr="00C275EA">
        <w:rPr>
          <w:rFonts w:ascii="Segoe UI" w:hAnsi="Segoe UI" w:cs="Segoe UI"/>
          <w:i/>
          <w:iCs/>
          <w:noProof/>
          <w:szCs w:val="24"/>
        </w:rPr>
        <w:t>Journal of the American Society of Nephrology</w:t>
      </w:r>
      <w:r w:rsidRPr="00C275EA">
        <w:rPr>
          <w:rFonts w:ascii="Segoe UI" w:hAnsi="Segoe UI" w:cs="Segoe UI"/>
          <w:noProof/>
          <w:szCs w:val="24"/>
        </w:rPr>
        <w:t xml:space="preserve"> vol. 20 23–35 at https://doi.org/10.1681/ASN.2008050456 (2009)</w:t>
      </w:r>
    </w:p>
    <w:p w14:paraId="2880D6CB" w14:textId="77777777" w:rsidR="00C275EA" w:rsidRPr="00C275EA" w:rsidRDefault="00C275EA" w:rsidP="00C275EA">
      <w:pPr>
        <w:widowControl w:val="0"/>
        <w:autoSpaceDE w:val="0"/>
        <w:autoSpaceDN w:val="0"/>
        <w:adjustRightInd w:val="0"/>
        <w:ind w:left="640" w:hanging="640"/>
        <w:rPr>
          <w:rFonts w:ascii="Segoe UI" w:hAnsi="Segoe UI" w:cs="Segoe UI"/>
          <w:noProof/>
          <w:szCs w:val="24"/>
        </w:rPr>
      </w:pPr>
      <w:r w:rsidRPr="00C275EA">
        <w:rPr>
          <w:rFonts w:ascii="Segoe UI" w:hAnsi="Segoe UI" w:cs="Segoe UI"/>
          <w:noProof/>
          <w:szCs w:val="24"/>
        </w:rPr>
        <w:t>13.</w:t>
      </w:r>
      <w:r w:rsidRPr="00C275EA">
        <w:rPr>
          <w:rFonts w:ascii="Segoe UI" w:hAnsi="Segoe UI" w:cs="Segoe UI"/>
          <w:noProof/>
          <w:szCs w:val="24"/>
        </w:rPr>
        <w:tab/>
        <w:t xml:space="preserve">Braun, D. A. &amp; Hildebrandt, F. Ciliopathies. </w:t>
      </w:r>
      <w:r w:rsidRPr="00C275EA">
        <w:rPr>
          <w:rFonts w:ascii="Segoe UI" w:hAnsi="Segoe UI" w:cs="Segoe UI"/>
          <w:i/>
          <w:iCs/>
          <w:noProof/>
          <w:szCs w:val="24"/>
        </w:rPr>
        <w:t>Cold Spring Harb. Perspect. Biol.</w:t>
      </w:r>
      <w:r w:rsidRPr="00C275EA">
        <w:rPr>
          <w:rFonts w:ascii="Segoe UI" w:hAnsi="Segoe UI" w:cs="Segoe UI"/>
          <w:noProof/>
          <w:szCs w:val="24"/>
        </w:rPr>
        <w:t xml:space="preserve"> </w:t>
      </w:r>
      <w:r w:rsidRPr="00C275EA">
        <w:rPr>
          <w:rFonts w:ascii="Segoe UI" w:hAnsi="Segoe UI" w:cs="Segoe UI"/>
          <w:b/>
          <w:bCs/>
          <w:noProof/>
          <w:szCs w:val="24"/>
        </w:rPr>
        <w:t>9</w:t>
      </w:r>
      <w:r w:rsidRPr="00C275EA">
        <w:rPr>
          <w:rFonts w:ascii="Segoe UI" w:hAnsi="Segoe UI" w:cs="Segoe UI"/>
          <w:noProof/>
          <w:szCs w:val="24"/>
        </w:rPr>
        <w:t>, (2017)</w:t>
      </w:r>
    </w:p>
    <w:p w14:paraId="71BCE8C2" w14:textId="77777777" w:rsidR="00C275EA" w:rsidRPr="00C275EA" w:rsidRDefault="00C275EA" w:rsidP="00C275EA">
      <w:pPr>
        <w:widowControl w:val="0"/>
        <w:autoSpaceDE w:val="0"/>
        <w:autoSpaceDN w:val="0"/>
        <w:adjustRightInd w:val="0"/>
        <w:ind w:left="640" w:hanging="640"/>
        <w:rPr>
          <w:rFonts w:ascii="Segoe UI" w:hAnsi="Segoe UI" w:cs="Segoe UI"/>
          <w:noProof/>
          <w:szCs w:val="24"/>
        </w:rPr>
      </w:pPr>
      <w:r w:rsidRPr="00C275EA">
        <w:rPr>
          <w:rFonts w:ascii="Segoe UI" w:hAnsi="Segoe UI" w:cs="Segoe UI"/>
          <w:noProof/>
          <w:szCs w:val="24"/>
        </w:rPr>
        <w:t>14.</w:t>
      </w:r>
      <w:r w:rsidRPr="00C275EA">
        <w:rPr>
          <w:rFonts w:ascii="Segoe UI" w:hAnsi="Segoe UI" w:cs="Segoe UI"/>
          <w:noProof/>
          <w:szCs w:val="24"/>
        </w:rPr>
        <w:tab/>
        <w:t xml:space="preserve">Hildebrandt, F. &amp; Zhou, W. Nephronophthisis-associated ciliopathies. </w:t>
      </w:r>
      <w:r w:rsidRPr="00C275EA">
        <w:rPr>
          <w:rFonts w:ascii="Segoe UI" w:hAnsi="Segoe UI" w:cs="Segoe UI"/>
          <w:i/>
          <w:iCs/>
          <w:noProof/>
          <w:szCs w:val="24"/>
        </w:rPr>
        <w:t>Journal of the American Society of Nephrology</w:t>
      </w:r>
      <w:r w:rsidRPr="00C275EA">
        <w:rPr>
          <w:rFonts w:ascii="Segoe UI" w:hAnsi="Segoe UI" w:cs="Segoe UI"/>
          <w:noProof/>
          <w:szCs w:val="24"/>
        </w:rPr>
        <w:t xml:space="preserve"> vol. 18 1855–1871 at https://doi.org/10.1681/ASN.2006121344 (2007)</w:t>
      </w:r>
    </w:p>
    <w:p w14:paraId="773A5176" w14:textId="77777777" w:rsidR="00C275EA" w:rsidRPr="00C275EA" w:rsidRDefault="00C275EA" w:rsidP="00C275EA">
      <w:pPr>
        <w:widowControl w:val="0"/>
        <w:autoSpaceDE w:val="0"/>
        <w:autoSpaceDN w:val="0"/>
        <w:adjustRightInd w:val="0"/>
        <w:ind w:left="640" w:hanging="640"/>
        <w:rPr>
          <w:rFonts w:ascii="Segoe UI" w:hAnsi="Segoe UI" w:cs="Segoe UI"/>
          <w:noProof/>
          <w:szCs w:val="24"/>
        </w:rPr>
      </w:pPr>
      <w:r w:rsidRPr="00C275EA">
        <w:rPr>
          <w:rFonts w:ascii="Segoe UI" w:hAnsi="Segoe UI" w:cs="Segoe UI"/>
          <w:noProof/>
          <w:szCs w:val="24"/>
        </w:rPr>
        <w:t>15.</w:t>
      </w:r>
      <w:r w:rsidRPr="00C275EA">
        <w:rPr>
          <w:rFonts w:ascii="Segoe UI" w:hAnsi="Segoe UI" w:cs="Segoe UI"/>
          <w:noProof/>
          <w:szCs w:val="24"/>
        </w:rPr>
        <w:tab/>
        <w:t xml:space="preserve">Hildebrandt, F. </w:t>
      </w:r>
      <w:r w:rsidRPr="00C275EA">
        <w:rPr>
          <w:rFonts w:ascii="Segoe UI" w:hAnsi="Segoe UI" w:cs="Segoe UI"/>
          <w:i/>
          <w:iCs/>
          <w:noProof/>
          <w:szCs w:val="24"/>
        </w:rPr>
        <w:t>et al.</w:t>
      </w:r>
      <w:r w:rsidRPr="00C275EA">
        <w:rPr>
          <w:rFonts w:ascii="Segoe UI" w:hAnsi="Segoe UI" w:cs="Segoe UI"/>
          <w:noProof/>
          <w:szCs w:val="24"/>
        </w:rPr>
        <w:t xml:space="preserve"> Molecular genetic identification of families with juvenile nephronophthisis type 1: Rate of progression to renal failure. </w:t>
      </w:r>
      <w:r w:rsidRPr="00C275EA">
        <w:rPr>
          <w:rFonts w:ascii="Segoe UI" w:hAnsi="Segoe UI" w:cs="Segoe UI"/>
          <w:i/>
          <w:iCs/>
          <w:noProof/>
          <w:szCs w:val="24"/>
        </w:rPr>
        <w:t>Kidney Int.</w:t>
      </w:r>
      <w:r w:rsidRPr="00C275EA">
        <w:rPr>
          <w:rFonts w:ascii="Segoe UI" w:hAnsi="Segoe UI" w:cs="Segoe UI"/>
          <w:noProof/>
          <w:szCs w:val="24"/>
        </w:rPr>
        <w:t xml:space="preserve"> </w:t>
      </w:r>
      <w:r w:rsidRPr="00C275EA">
        <w:rPr>
          <w:rFonts w:ascii="Segoe UI" w:hAnsi="Segoe UI" w:cs="Segoe UI"/>
          <w:b/>
          <w:bCs/>
          <w:noProof/>
          <w:szCs w:val="24"/>
        </w:rPr>
        <w:t>51</w:t>
      </w:r>
      <w:r w:rsidRPr="00C275EA">
        <w:rPr>
          <w:rFonts w:ascii="Segoe UI" w:hAnsi="Segoe UI" w:cs="Segoe UI"/>
          <w:noProof/>
          <w:szCs w:val="24"/>
        </w:rPr>
        <w:t>, 261–269 (1997)</w:t>
      </w:r>
    </w:p>
    <w:p w14:paraId="135406CB" w14:textId="77777777" w:rsidR="00C275EA" w:rsidRPr="00C275EA" w:rsidRDefault="00C275EA" w:rsidP="00C275EA">
      <w:pPr>
        <w:widowControl w:val="0"/>
        <w:autoSpaceDE w:val="0"/>
        <w:autoSpaceDN w:val="0"/>
        <w:adjustRightInd w:val="0"/>
        <w:ind w:left="640" w:hanging="640"/>
        <w:rPr>
          <w:rFonts w:ascii="Segoe UI" w:hAnsi="Segoe UI" w:cs="Segoe UI"/>
          <w:noProof/>
          <w:szCs w:val="24"/>
        </w:rPr>
      </w:pPr>
      <w:r w:rsidRPr="00C275EA">
        <w:rPr>
          <w:rFonts w:ascii="Segoe UI" w:hAnsi="Segoe UI" w:cs="Segoe UI"/>
          <w:noProof/>
          <w:szCs w:val="24"/>
        </w:rPr>
        <w:t>16.</w:t>
      </w:r>
      <w:r w:rsidRPr="00C275EA">
        <w:rPr>
          <w:rFonts w:ascii="Segoe UI" w:hAnsi="Segoe UI" w:cs="Segoe UI"/>
          <w:noProof/>
          <w:szCs w:val="24"/>
        </w:rPr>
        <w:tab/>
        <w:t xml:space="preserve">Caridi, G. </w:t>
      </w:r>
      <w:r w:rsidRPr="00C275EA">
        <w:rPr>
          <w:rFonts w:ascii="Segoe UI" w:hAnsi="Segoe UI" w:cs="Segoe UI"/>
          <w:i/>
          <w:iCs/>
          <w:noProof/>
          <w:szCs w:val="24"/>
        </w:rPr>
        <w:t>et al.</w:t>
      </w:r>
      <w:r w:rsidRPr="00C275EA">
        <w:rPr>
          <w:rFonts w:ascii="Segoe UI" w:hAnsi="Segoe UI" w:cs="Segoe UI"/>
          <w:noProof/>
          <w:szCs w:val="24"/>
        </w:rPr>
        <w:t xml:space="preserve"> Renal-retinal syndromes: association of retinal anomalies and recessive nephronophthisis in patients with homozygous deletion of the NPH1 locus. </w:t>
      </w:r>
      <w:r w:rsidRPr="00C275EA">
        <w:rPr>
          <w:rFonts w:ascii="Segoe UI" w:hAnsi="Segoe UI" w:cs="Segoe UI"/>
          <w:i/>
          <w:iCs/>
          <w:noProof/>
          <w:szCs w:val="24"/>
        </w:rPr>
        <w:t>Am. J. Kidney Dis.</w:t>
      </w:r>
      <w:r w:rsidRPr="00C275EA">
        <w:rPr>
          <w:rFonts w:ascii="Segoe UI" w:hAnsi="Segoe UI" w:cs="Segoe UI"/>
          <w:noProof/>
          <w:szCs w:val="24"/>
        </w:rPr>
        <w:t xml:space="preserve"> </w:t>
      </w:r>
      <w:r w:rsidRPr="00C275EA">
        <w:rPr>
          <w:rFonts w:ascii="Segoe UI" w:hAnsi="Segoe UI" w:cs="Segoe UI"/>
          <w:b/>
          <w:bCs/>
          <w:noProof/>
          <w:szCs w:val="24"/>
        </w:rPr>
        <w:t>32</w:t>
      </w:r>
      <w:r w:rsidRPr="00C275EA">
        <w:rPr>
          <w:rFonts w:ascii="Segoe UI" w:hAnsi="Segoe UI" w:cs="Segoe UI"/>
          <w:noProof/>
          <w:szCs w:val="24"/>
        </w:rPr>
        <w:t>, 1059–62 (1998)</w:t>
      </w:r>
    </w:p>
    <w:p w14:paraId="19955504" w14:textId="77777777" w:rsidR="00C275EA" w:rsidRPr="00C275EA" w:rsidRDefault="00C275EA" w:rsidP="00C275EA">
      <w:pPr>
        <w:widowControl w:val="0"/>
        <w:autoSpaceDE w:val="0"/>
        <w:autoSpaceDN w:val="0"/>
        <w:adjustRightInd w:val="0"/>
        <w:ind w:left="640" w:hanging="640"/>
        <w:rPr>
          <w:rFonts w:ascii="Segoe UI" w:hAnsi="Segoe UI" w:cs="Segoe UI"/>
          <w:noProof/>
          <w:szCs w:val="24"/>
        </w:rPr>
      </w:pPr>
      <w:r w:rsidRPr="00C275EA">
        <w:rPr>
          <w:rFonts w:ascii="Segoe UI" w:hAnsi="Segoe UI" w:cs="Segoe UI"/>
          <w:noProof/>
          <w:szCs w:val="24"/>
        </w:rPr>
        <w:t>17.</w:t>
      </w:r>
      <w:r w:rsidRPr="00C275EA">
        <w:rPr>
          <w:rFonts w:ascii="Segoe UI" w:hAnsi="Segoe UI" w:cs="Segoe UI"/>
          <w:noProof/>
          <w:szCs w:val="24"/>
        </w:rPr>
        <w:tab/>
        <w:t xml:space="preserve">Birtel, J. </w:t>
      </w:r>
      <w:r w:rsidRPr="00C275EA">
        <w:rPr>
          <w:rFonts w:ascii="Segoe UI" w:hAnsi="Segoe UI" w:cs="Segoe UI"/>
          <w:i/>
          <w:iCs/>
          <w:noProof/>
          <w:szCs w:val="24"/>
        </w:rPr>
        <w:t>et al.</w:t>
      </w:r>
      <w:r w:rsidRPr="00C275EA">
        <w:rPr>
          <w:rFonts w:ascii="Segoe UI" w:hAnsi="Segoe UI" w:cs="Segoe UI"/>
          <w:noProof/>
          <w:szCs w:val="24"/>
        </w:rPr>
        <w:t xml:space="preserve"> NPHP1 gene-associated nephronophthisis is associated with an occult retinopathy. </w:t>
      </w:r>
      <w:r w:rsidRPr="00C275EA">
        <w:rPr>
          <w:rFonts w:ascii="Segoe UI" w:hAnsi="Segoe UI" w:cs="Segoe UI"/>
          <w:i/>
          <w:iCs/>
          <w:noProof/>
          <w:szCs w:val="24"/>
        </w:rPr>
        <w:t>Kidney Int.</w:t>
      </w:r>
      <w:r w:rsidRPr="00C275EA">
        <w:rPr>
          <w:rFonts w:ascii="Segoe UI" w:hAnsi="Segoe UI" w:cs="Segoe UI"/>
          <w:noProof/>
          <w:szCs w:val="24"/>
        </w:rPr>
        <w:t xml:space="preserve"> </w:t>
      </w:r>
      <w:r w:rsidRPr="00C275EA">
        <w:rPr>
          <w:rFonts w:ascii="Segoe UI" w:hAnsi="Segoe UI" w:cs="Segoe UI"/>
          <w:b/>
          <w:bCs/>
          <w:noProof/>
          <w:szCs w:val="24"/>
        </w:rPr>
        <w:t>100</w:t>
      </w:r>
      <w:r w:rsidRPr="00C275EA">
        <w:rPr>
          <w:rFonts w:ascii="Segoe UI" w:hAnsi="Segoe UI" w:cs="Segoe UI"/>
          <w:noProof/>
          <w:szCs w:val="24"/>
        </w:rPr>
        <w:t>, 1092–1100 (2021)</w:t>
      </w:r>
    </w:p>
    <w:p w14:paraId="10EB47EF" w14:textId="77777777" w:rsidR="00C275EA" w:rsidRPr="00C275EA" w:rsidRDefault="00C275EA" w:rsidP="00C275EA">
      <w:pPr>
        <w:widowControl w:val="0"/>
        <w:autoSpaceDE w:val="0"/>
        <w:autoSpaceDN w:val="0"/>
        <w:adjustRightInd w:val="0"/>
        <w:ind w:left="640" w:hanging="640"/>
        <w:rPr>
          <w:rFonts w:ascii="Segoe UI" w:hAnsi="Segoe UI" w:cs="Segoe UI"/>
          <w:noProof/>
          <w:szCs w:val="24"/>
        </w:rPr>
      </w:pPr>
      <w:r w:rsidRPr="00C275EA">
        <w:rPr>
          <w:rFonts w:ascii="Segoe UI" w:hAnsi="Segoe UI" w:cs="Segoe UI"/>
          <w:noProof/>
          <w:szCs w:val="24"/>
        </w:rPr>
        <w:t>18.</w:t>
      </w:r>
      <w:r w:rsidRPr="00C275EA">
        <w:rPr>
          <w:rFonts w:ascii="Segoe UI" w:hAnsi="Segoe UI" w:cs="Segoe UI"/>
          <w:noProof/>
          <w:szCs w:val="24"/>
        </w:rPr>
        <w:tab/>
        <w:t xml:space="preserve">Parisi, M. A. </w:t>
      </w:r>
      <w:r w:rsidRPr="00C275EA">
        <w:rPr>
          <w:rFonts w:ascii="Segoe UI" w:hAnsi="Segoe UI" w:cs="Segoe UI"/>
          <w:i/>
          <w:iCs/>
          <w:noProof/>
          <w:szCs w:val="24"/>
        </w:rPr>
        <w:t>et al.</w:t>
      </w:r>
      <w:r w:rsidRPr="00C275EA">
        <w:rPr>
          <w:rFonts w:ascii="Segoe UI" w:hAnsi="Segoe UI" w:cs="Segoe UI"/>
          <w:noProof/>
          <w:szCs w:val="24"/>
        </w:rPr>
        <w:t xml:space="preserve"> The NPHP1 gene deletion associated with juvenile nephronophthisis is present in a subset of individuals with Joubert syndrome. </w:t>
      </w:r>
      <w:r w:rsidRPr="00C275EA">
        <w:rPr>
          <w:rFonts w:ascii="Segoe UI" w:hAnsi="Segoe UI" w:cs="Segoe UI"/>
          <w:i/>
          <w:iCs/>
          <w:noProof/>
          <w:szCs w:val="24"/>
        </w:rPr>
        <w:t>Am. J. Hum. Genet.</w:t>
      </w:r>
      <w:r w:rsidRPr="00C275EA">
        <w:rPr>
          <w:rFonts w:ascii="Segoe UI" w:hAnsi="Segoe UI" w:cs="Segoe UI"/>
          <w:noProof/>
          <w:szCs w:val="24"/>
        </w:rPr>
        <w:t xml:space="preserve"> </w:t>
      </w:r>
      <w:r w:rsidRPr="00C275EA">
        <w:rPr>
          <w:rFonts w:ascii="Segoe UI" w:hAnsi="Segoe UI" w:cs="Segoe UI"/>
          <w:b/>
          <w:bCs/>
          <w:noProof/>
          <w:szCs w:val="24"/>
        </w:rPr>
        <w:t>75</w:t>
      </w:r>
      <w:r w:rsidRPr="00C275EA">
        <w:rPr>
          <w:rFonts w:ascii="Segoe UI" w:hAnsi="Segoe UI" w:cs="Segoe UI"/>
          <w:noProof/>
          <w:szCs w:val="24"/>
        </w:rPr>
        <w:t>, 82–91 (2004)</w:t>
      </w:r>
    </w:p>
    <w:p w14:paraId="2D334842" w14:textId="77777777" w:rsidR="00C275EA" w:rsidRPr="00C275EA" w:rsidRDefault="00C275EA" w:rsidP="00C275EA">
      <w:pPr>
        <w:widowControl w:val="0"/>
        <w:autoSpaceDE w:val="0"/>
        <w:autoSpaceDN w:val="0"/>
        <w:adjustRightInd w:val="0"/>
        <w:ind w:left="640" w:hanging="640"/>
        <w:rPr>
          <w:rFonts w:ascii="Segoe UI" w:hAnsi="Segoe UI" w:cs="Segoe UI"/>
          <w:noProof/>
          <w:szCs w:val="24"/>
        </w:rPr>
      </w:pPr>
      <w:r w:rsidRPr="00C275EA">
        <w:rPr>
          <w:rFonts w:ascii="Segoe UI" w:hAnsi="Segoe UI" w:cs="Segoe UI"/>
          <w:noProof/>
          <w:szCs w:val="24"/>
        </w:rPr>
        <w:t>19.</w:t>
      </w:r>
      <w:r w:rsidRPr="00C275EA">
        <w:rPr>
          <w:rFonts w:ascii="Segoe UI" w:hAnsi="Segoe UI" w:cs="Segoe UI"/>
          <w:noProof/>
          <w:szCs w:val="24"/>
        </w:rPr>
        <w:tab/>
        <w:t xml:space="preserve">Caridi, G. </w:t>
      </w:r>
      <w:r w:rsidRPr="00C275EA">
        <w:rPr>
          <w:rFonts w:ascii="Segoe UI" w:hAnsi="Segoe UI" w:cs="Segoe UI"/>
          <w:i/>
          <w:iCs/>
          <w:noProof/>
          <w:szCs w:val="24"/>
        </w:rPr>
        <w:t>et al.</w:t>
      </w:r>
      <w:r w:rsidRPr="00C275EA">
        <w:rPr>
          <w:rFonts w:ascii="Segoe UI" w:hAnsi="Segoe UI" w:cs="Segoe UI"/>
          <w:noProof/>
          <w:szCs w:val="24"/>
        </w:rPr>
        <w:t xml:space="preserve"> Nephronophthisis type 1 deletion syndrome with neurological symptoms: Prevalence and significance of the association. </w:t>
      </w:r>
      <w:r w:rsidRPr="00C275EA">
        <w:rPr>
          <w:rFonts w:ascii="Segoe UI" w:hAnsi="Segoe UI" w:cs="Segoe UI"/>
          <w:i/>
          <w:iCs/>
          <w:noProof/>
          <w:szCs w:val="24"/>
        </w:rPr>
        <w:t>Kidney Int.</w:t>
      </w:r>
      <w:r w:rsidRPr="00C275EA">
        <w:rPr>
          <w:rFonts w:ascii="Segoe UI" w:hAnsi="Segoe UI" w:cs="Segoe UI"/>
          <w:noProof/>
          <w:szCs w:val="24"/>
        </w:rPr>
        <w:t xml:space="preserve"> </w:t>
      </w:r>
      <w:r w:rsidRPr="00C275EA">
        <w:rPr>
          <w:rFonts w:ascii="Segoe UI" w:hAnsi="Segoe UI" w:cs="Segoe UI"/>
          <w:b/>
          <w:bCs/>
          <w:noProof/>
          <w:szCs w:val="24"/>
        </w:rPr>
        <w:t>70</w:t>
      </w:r>
      <w:r w:rsidRPr="00C275EA">
        <w:rPr>
          <w:rFonts w:ascii="Segoe UI" w:hAnsi="Segoe UI" w:cs="Segoe UI"/>
          <w:noProof/>
          <w:szCs w:val="24"/>
        </w:rPr>
        <w:t>, 1342–1347 (2006)</w:t>
      </w:r>
    </w:p>
    <w:p w14:paraId="2367DACE" w14:textId="77777777" w:rsidR="00C275EA" w:rsidRPr="00C275EA" w:rsidRDefault="00C275EA" w:rsidP="00C275EA">
      <w:pPr>
        <w:widowControl w:val="0"/>
        <w:autoSpaceDE w:val="0"/>
        <w:autoSpaceDN w:val="0"/>
        <w:adjustRightInd w:val="0"/>
        <w:ind w:left="640" w:hanging="640"/>
        <w:rPr>
          <w:rFonts w:ascii="Segoe UI" w:hAnsi="Segoe UI" w:cs="Segoe UI"/>
          <w:noProof/>
          <w:szCs w:val="24"/>
        </w:rPr>
      </w:pPr>
      <w:r w:rsidRPr="00C275EA">
        <w:rPr>
          <w:rFonts w:ascii="Segoe UI" w:hAnsi="Segoe UI" w:cs="Segoe UI"/>
          <w:noProof/>
          <w:szCs w:val="24"/>
        </w:rPr>
        <w:t>20.</w:t>
      </w:r>
      <w:r w:rsidRPr="00C275EA">
        <w:rPr>
          <w:rFonts w:ascii="Segoe UI" w:hAnsi="Segoe UI" w:cs="Segoe UI"/>
          <w:noProof/>
          <w:szCs w:val="24"/>
        </w:rPr>
        <w:tab/>
        <w:t xml:space="preserve">Castori, M. </w:t>
      </w:r>
      <w:r w:rsidRPr="00C275EA">
        <w:rPr>
          <w:rFonts w:ascii="Segoe UI" w:hAnsi="Segoe UI" w:cs="Segoe UI"/>
          <w:i/>
          <w:iCs/>
          <w:noProof/>
          <w:szCs w:val="24"/>
        </w:rPr>
        <w:t>et al.</w:t>
      </w:r>
      <w:r w:rsidRPr="00C275EA">
        <w:rPr>
          <w:rFonts w:ascii="Segoe UI" w:hAnsi="Segoe UI" w:cs="Segoe UI"/>
          <w:noProof/>
          <w:szCs w:val="24"/>
        </w:rPr>
        <w:t xml:space="preserve"> NPHP1 gene deletion is a rare cause of Joubert syndrome related disorders. </w:t>
      </w:r>
      <w:r w:rsidRPr="00C275EA">
        <w:rPr>
          <w:rFonts w:ascii="Segoe UI" w:hAnsi="Segoe UI" w:cs="Segoe UI"/>
          <w:i/>
          <w:iCs/>
          <w:noProof/>
          <w:szCs w:val="24"/>
        </w:rPr>
        <w:t>J. Med. Genet.</w:t>
      </w:r>
      <w:r w:rsidRPr="00C275EA">
        <w:rPr>
          <w:rFonts w:ascii="Segoe UI" w:hAnsi="Segoe UI" w:cs="Segoe UI"/>
          <w:noProof/>
          <w:szCs w:val="24"/>
        </w:rPr>
        <w:t xml:space="preserve"> </w:t>
      </w:r>
      <w:r w:rsidRPr="00C275EA">
        <w:rPr>
          <w:rFonts w:ascii="Segoe UI" w:hAnsi="Segoe UI" w:cs="Segoe UI"/>
          <w:b/>
          <w:bCs/>
          <w:noProof/>
          <w:szCs w:val="24"/>
        </w:rPr>
        <w:t>42</w:t>
      </w:r>
      <w:r w:rsidRPr="00C275EA">
        <w:rPr>
          <w:rFonts w:ascii="Segoe UI" w:hAnsi="Segoe UI" w:cs="Segoe UI"/>
          <w:noProof/>
          <w:szCs w:val="24"/>
        </w:rPr>
        <w:t>, e9 (2005)</w:t>
      </w:r>
    </w:p>
    <w:p w14:paraId="6241C79B" w14:textId="77777777" w:rsidR="00C275EA" w:rsidRPr="00C275EA" w:rsidRDefault="00C275EA" w:rsidP="00C275EA">
      <w:pPr>
        <w:widowControl w:val="0"/>
        <w:autoSpaceDE w:val="0"/>
        <w:autoSpaceDN w:val="0"/>
        <w:adjustRightInd w:val="0"/>
        <w:ind w:left="640" w:hanging="640"/>
        <w:rPr>
          <w:rFonts w:ascii="Segoe UI" w:hAnsi="Segoe UI" w:cs="Segoe UI"/>
          <w:noProof/>
          <w:szCs w:val="24"/>
        </w:rPr>
      </w:pPr>
      <w:r w:rsidRPr="00C275EA">
        <w:rPr>
          <w:rFonts w:ascii="Segoe UI" w:hAnsi="Segoe UI" w:cs="Segoe UI"/>
          <w:noProof/>
          <w:szCs w:val="24"/>
        </w:rPr>
        <w:lastRenderedPageBreak/>
        <w:t>21.</w:t>
      </w:r>
      <w:r w:rsidRPr="00C275EA">
        <w:rPr>
          <w:rFonts w:ascii="Segoe UI" w:hAnsi="Segoe UI" w:cs="Segoe UI"/>
          <w:noProof/>
          <w:szCs w:val="24"/>
        </w:rPr>
        <w:tab/>
        <w:t xml:space="preserve">Snoek, R. </w:t>
      </w:r>
      <w:r w:rsidRPr="00C275EA">
        <w:rPr>
          <w:rFonts w:ascii="Segoe UI" w:hAnsi="Segoe UI" w:cs="Segoe UI"/>
          <w:i/>
          <w:iCs/>
          <w:noProof/>
          <w:szCs w:val="24"/>
        </w:rPr>
        <w:t>et al.</w:t>
      </w:r>
      <w:r w:rsidRPr="00C275EA">
        <w:rPr>
          <w:rFonts w:ascii="Segoe UI" w:hAnsi="Segoe UI" w:cs="Segoe UI"/>
          <w:noProof/>
          <w:szCs w:val="24"/>
        </w:rPr>
        <w:t xml:space="preserve"> NPHP1 (Nephrocystin-1) gene deletions cause adult-onset ESRD. </w:t>
      </w:r>
      <w:r w:rsidRPr="00C275EA">
        <w:rPr>
          <w:rFonts w:ascii="Segoe UI" w:hAnsi="Segoe UI" w:cs="Segoe UI"/>
          <w:i/>
          <w:iCs/>
          <w:noProof/>
          <w:szCs w:val="24"/>
        </w:rPr>
        <w:t>J. Am. Soc. Nephrol.</w:t>
      </w:r>
      <w:r w:rsidRPr="00C275EA">
        <w:rPr>
          <w:rFonts w:ascii="Segoe UI" w:hAnsi="Segoe UI" w:cs="Segoe UI"/>
          <w:noProof/>
          <w:szCs w:val="24"/>
        </w:rPr>
        <w:t xml:space="preserve"> </w:t>
      </w:r>
      <w:r w:rsidRPr="00C275EA">
        <w:rPr>
          <w:rFonts w:ascii="Segoe UI" w:hAnsi="Segoe UI" w:cs="Segoe UI"/>
          <w:b/>
          <w:bCs/>
          <w:noProof/>
          <w:szCs w:val="24"/>
        </w:rPr>
        <w:t>29</w:t>
      </w:r>
      <w:r w:rsidRPr="00C275EA">
        <w:rPr>
          <w:rFonts w:ascii="Segoe UI" w:hAnsi="Segoe UI" w:cs="Segoe UI"/>
          <w:noProof/>
          <w:szCs w:val="24"/>
        </w:rPr>
        <w:t>, 1772–1779 (2018)</w:t>
      </w:r>
    </w:p>
    <w:p w14:paraId="10937D0C" w14:textId="77777777" w:rsidR="00C275EA" w:rsidRPr="00C275EA" w:rsidRDefault="00C275EA" w:rsidP="00C275EA">
      <w:pPr>
        <w:widowControl w:val="0"/>
        <w:autoSpaceDE w:val="0"/>
        <w:autoSpaceDN w:val="0"/>
        <w:adjustRightInd w:val="0"/>
        <w:ind w:left="640" w:hanging="640"/>
        <w:rPr>
          <w:rFonts w:ascii="Segoe UI" w:hAnsi="Segoe UI" w:cs="Segoe UI"/>
          <w:noProof/>
          <w:szCs w:val="24"/>
        </w:rPr>
      </w:pPr>
      <w:r w:rsidRPr="00C275EA">
        <w:rPr>
          <w:rFonts w:ascii="Segoe UI" w:hAnsi="Segoe UI" w:cs="Segoe UI"/>
          <w:noProof/>
          <w:szCs w:val="24"/>
        </w:rPr>
        <w:t>22.</w:t>
      </w:r>
      <w:r w:rsidRPr="00C275EA">
        <w:rPr>
          <w:rFonts w:ascii="Segoe UI" w:hAnsi="Segoe UI" w:cs="Segoe UI"/>
          <w:noProof/>
          <w:szCs w:val="24"/>
        </w:rPr>
        <w:tab/>
        <w:t xml:space="preserve">Wang, Y., Chen, F., Wang, J., Zhao, Y. &amp; Liu, F. Two novel homozygous mutations in NPHP1 lead to late onset end-stage renal disease: A case report of an adult nephronophthisis in a Chinese intermarriage family. </w:t>
      </w:r>
      <w:r w:rsidRPr="00C275EA">
        <w:rPr>
          <w:rFonts w:ascii="Segoe UI" w:hAnsi="Segoe UI" w:cs="Segoe UI"/>
          <w:i/>
          <w:iCs/>
          <w:noProof/>
          <w:szCs w:val="24"/>
        </w:rPr>
        <w:t>BMC Nephrol.</w:t>
      </w:r>
      <w:r w:rsidRPr="00C275EA">
        <w:rPr>
          <w:rFonts w:ascii="Segoe UI" w:hAnsi="Segoe UI" w:cs="Segoe UI"/>
          <w:noProof/>
          <w:szCs w:val="24"/>
        </w:rPr>
        <w:t xml:space="preserve"> </w:t>
      </w:r>
      <w:r w:rsidRPr="00C275EA">
        <w:rPr>
          <w:rFonts w:ascii="Segoe UI" w:hAnsi="Segoe UI" w:cs="Segoe UI"/>
          <w:b/>
          <w:bCs/>
          <w:noProof/>
          <w:szCs w:val="24"/>
        </w:rPr>
        <w:t>20</w:t>
      </w:r>
      <w:r w:rsidRPr="00C275EA">
        <w:rPr>
          <w:rFonts w:ascii="Segoe UI" w:hAnsi="Segoe UI" w:cs="Segoe UI"/>
          <w:noProof/>
          <w:szCs w:val="24"/>
        </w:rPr>
        <w:t>, 1–5 (2019)</w:t>
      </w:r>
    </w:p>
    <w:p w14:paraId="0530F2E1" w14:textId="77777777" w:rsidR="00C275EA" w:rsidRPr="00C275EA" w:rsidRDefault="00C275EA" w:rsidP="00C275EA">
      <w:pPr>
        <w:widowControl w:val="0"/>
        <w:autoSpaceDE w:val="0"/>
        <w:autoSpaceDN w:val="0"/>
        <w:adjustRightInd w:val="0"/>
        <w:ind w:left="640" w:hanging="640"/>
        <w:rPr>
          <w:rFonts w:ascii="Segoe UI" w:hAnsi="Segoe UI" w:cs="Segoe UI"/>
          <w:noProof/>
          <w:szCs w:val="24"/>
        </w:rPr>
      </w:pPr>
      <w:r w:rsidRPr="00C275EA">
        <w:rPr>
          <w:rFonts w:ascii="Segoe UI" w:hAnsi="Segoe UI" w:cs="Segoe UI"/>
          <w:noProof/>
          <w:szCs w:val="24"/>
        </w:rPr>
        <w:t>23.</w:t>
      </w:r>
      <w:r w:rsidRPr="00C275EA">
        <w:rPr>
          <w:rFonts w:ascii="Segoe UI" w:hAnsi="Segoe UI" w:cs="Segoe UI"/>
          <w:noProof/>
          <w:szCs w:val="24"/>
        </w:rPr>
        <w:tab/>
        <w:t xml:space="preserve">Bansal, V., Libiger, O., Torkamani, A. &amp; Schork, N. J. Statistical analysis strategies for association studies involving rare variants. </w:t>
      </w:r>
      <w:r w:rsidRPr="00C275EA">
        <w:rPr>
          <w:rFonts w:ascii="Segoe UI" w:hAnsi="Segoe UI" w:cs="Segoe UI"/>
          <w:i/>
          <w:iCs/>
          <w:noProof/>
          <w:szCs w:val="24"/>
        </w:rPr>
        <w:t>Nat. Rev. Genet. 2010 1111</w:t>
      </w:r>
      <w:r w:rsidRPr="00C275EA">
        <w:rPr>
          <w:rFonts w:ascii="Segoe UI" w:hAnsi="Segoe UI" w:cs="Segoe UI"/>
          <w:noProof/>
          <w:szCs w:val="24"/>
        </w:rPr>
        <w:t xml:space="preserve"> </w:t>
      </w:r>
      <w:r w:rsidRPr="00C275EA">
        <w:rPr>
          <w:rFonts w:ascii="Segoe UI" w:hAnsi="Segoe UI" w:cs="Segoe UI"/>
          <w:b/>
          <w:bCs/>
          <w:noProof/>
          <w:szCs w:val="24"/>
        </w:rPr>
        <w:t>11</w:t>
      </w:r>
      <w:r w:rsidRPr="00C275EA">
        <w:rPr>
          <w:rFonts w:ascii="Segoe UI" w:hAnsi="Segoe UI" w:cs="Segoe UI"/>
          <w:noProof/>
          <w:szCs w:val="24"/>
        </w:rPr>
        <w:t>, 773–785 (2010)</w:t>
      </w:r>
    </w:p>
    <w:p w14:paraId="41E25A16" w14:textId="77777777" w:rsidR="00C275EA" w:rsidRPr="00C275EA" w:rsidRDefault="00C275EA" w:rsidP="00C275EA">
      <w:pPr>
        <w:widowControl w:val="0"/>
        <w:autoSpaceDE w:val="0"/>
        <w:autoSpaceDN w:val="0"/>
        <w:adjustRightInd w:val="0"/>
        <w:ind w:left="640" w:hanging="640"/>
        <w:rPr>
          <w:rFonts w:ascii="Segoe UI" w:hAnsi="Segoe UI" w:cs="Segoe UI"/>
          <w:noProof/>
          <w:szCs w:val="24"/>
        </w:rPr>
      </w:pPr>
      <w:r w:rsidRPr="00C275EA">
        <w:rPr>
          <w:rFonts w:ascii="Segoe UI" w:hAnsi="Segoe UI" w:cs="Segoe UI"/>
          <w:noProof/>
          <w:szCs w:val="24"/>
        </w:rPr>
        <w:t>24.</w:t>
      </w:r>
      <w:r w:rsidRPr="00C275EA">
        <w:rPr>
          <w:rFonts w:ascii="Segoe UI" w:hAnsi="Segoe UI" w:cs="Segoe UI"/>
          <w:noProof/>
          <w:szCs w:val="24"/>
        </w:rPr>
        <w:tab/>
        <w:t xml:space="preserve">Mossotto, E. </w:t>
      </w:r>
      <w:r w:rsidRPr="00C275EA">
        <w:rPr>
          <w:rFonts w:ascii="Segoe UI" w:hAnsi="Segoe UI" w:cs="Segoe UI"/>
          <w:i/>
          <w:iCs/>
          <w:noProof/>
          <w:szCs w:val="24"/>
        </w:rPr>
        <w:t>et al.</w:t>
      </w:r>
      <w:r w:rsidRPr="00C275EA">
        <w:rPr>
          <w:rFonts w:ascii="Segoe UI" w:hAnsi="Segoe UI" w:cs="Segoe UI"/>
          <w:noProof/>
          <w:szCs w:val="24"/>
        </w:rPr>
        <w:t xml:space="preserve"> GenePy - a score for estimating gene pathogenicity in individuals using next-generation sequencing data. </w:t>
      </w:r>
      <w:r w:rsidRPr="00C275EA">
        <w:rPr>
          <w:rFonts w:ascii="Segoe UI" w:hAnsi="Segoe UI" w:cs="Segoe UI"/>
          <w:i/>
          <w:iCs/>
          <w:noProof/>
          <w:szCs w:val="24"/>
        </w:rPr>
        <w:t>BMC Bioinformatics</w:t>
      </w:r>
      <w:r w:rsidRPr="00C275EA">
        <w:rPr>
          <w:rFonts w:ascii="Segoe UI" w:hAnsi="Segoe UI" w:cs="Segoe UI"/>
          <w:noProof/>
          <w:szCs w:val="24"/>
        </w:rPr>
        <w:t xml:space="preserve"> </w:t>
      </w:r>
      <w:r w:rsidRPr="00C275EA">
        <w:rPr>
          <w:rFonts w:ascii="Segoe UI" w:hAnsi="Segoe UI" w:cs="Segoe UI"/>
          <w:b/>
          <w:bCs/>
          <w:noProof/>
          <w:szCs w:val="24"/>
        </w:rPr>
        <w:t>20</w:t>
      </w:r>
      <w:r w:rsidRPr="00C275EA">
        <w:rPr>
          <w:rFonts w:ascii="Segoe UI" w:hAnsi="Segoe UI" w:cs="Segoe UI"/>
          <w:noProof/>
          <w:szCs w:val="24"/>
        </w:rPr>
        <w:t>, 254 (2019)</w:t>
      </w:r>
    </w:p>
    <w:p w14:paraId="23A6C840" w14:textId="77777777" w:rsidR="00C275EA" w:rsidRPr="00C275EA" w:rsidRDefault="00C275EA" w:rsidP="00C275EA">
      <w:pPr>
        <w:widowControl w:val="0"/>
        <w:autoSpaceDE w:val="0"/>
        <w:autoSpaceDN w:val="0"/>
        <w:adjustRightInd w:val="0"/>
        <w:ind w:left="640" w:hanging="640"/>
        <w:rPr>
          <w:rFonts w:ascii="Segoe UI" w:hAnsi="Segoe UI" w:cs="Segoe UI"/>
          <w:noProof/>
          <w:szCs w:val="24"/>
        </w:rPr>
      </w:pPr>
      <w:r w:rsidRPr="00C275EA">
        <w:rPr>
          <w:rFonts w:ascii="Segoe UI" w:hAnsi="Segoe UI" w:cs="Segoe UI"/>
          <w:noProof/>
          <w:szCs w:val="24"/>
        </w:rPr>
        <w:t>25.</w:t>
      </w:r>
      <w:r w:rsidRPr="00C275EA">
        <w:rPr>
          <w:rFonts w:ascii="Segoe UI" w:hAnsi="Segoe UI" w:cs="Segoe UI"/>
          <w:noProof/>
          <w:szCs w:val="24"/>
        </w:rPr>
        <w:tab/>
        <w:t xml:space="preserve">Genomics England. </w:t>
      </w:r>
      <w:r w:rsidRPr="00C275EA">
        <w:rPr>
          <w:rFonts w:ascii="Segoe UI" w:hAnsi="Segoe UI" w:cs="Segoe UI"/>
          <w:i/>
          <w:iCs/>
          <w:noProof/>
          <w:szCs w:val="24"/>
        </w:rPr>
        <w:t>The National Genomics Research and Healthcare Knowledgebase v5</w:t>
      </w:r>
      <w:r w:rsidRPr="00C275EA">
        <w:rPr>
          <w:rFonts w:ascii="Segoe UI" w:hAnsi="Segoe UI" w:cs="Segoe UI"/>
          <w:noProof/>
          <w:szCs w:val="24"/>
        </w:rPr>
        <w:t>. (2019). doi:10.6084/m9.figshare.4530893.v5</w:t>
      </w:r>
    </w:p>
    <w:p w14:paraId="505CF2F3" w14:textId="77777777" w:rsidR="00C275EA" w:rsidRPr="00C275EA" w:rsidRDefault="00C275EA" w:rsidP="00C275EA">
      <w:pPr>
        <w:widowControl w:val="0"/>
        <w:autoSpaceDE w:val="0"/>
        <w:autoSpaceDN w:val="0"/>
        <w:adjustRightInd w:val="0"/>
        <w:ind w:left="640" w:hanging="640"/>
        <w:rPr>
          <w:rFonts w:ascii="Segoe UI" w:hAnsi="Segoe UI" w:cs="Segoe UI"/>
          <w:noProof/>
          <w:szCs w:val="24"/>
        </w:rPr>
      </w:pPr>
      <w:r w:rsidRPr="00C275EA">
        <w:rPr>
          <w:rFonts w:ascii="Segoe UI" w:hAnsi="Segoe UI" w:cs="Segoe UI"/>
          <w:noProof/>
          <w:szCs w:val="24"/>
        </w:rPr>
        <w:t>26.</w:t>
      </w:r>
      <w:r w:rsidRPr="00C275EA">
        <w:rPr>
          <w:rFonts w:ascii="Segoe UI" w:hAnsi="Segoe UI" w:cs="Segoe UI"/>
          <w:noProof/>
          <w:szCs w:val="24"/>
        </w:rPr>
        <w:tab/>
        <w:t xml:space="preserve">Köhler, S. </w:t>
      </w:r>
      <w:r w:rsidRPr="00C275EA">
        <w:rPr>
          <w:rFonts w:ascii="Segoe UI" w:hAnsi="Segoe UI" w:cs="Segoe UI"/>
          <w:i/>
          <w:iCs/>
          <w:noProof/>
          <w:szCs w:val="24"/>
        </w:rPr>
        <w:t>et al.</w:t>
      </w:r>
      <w:r w:rsidRPr="00C275EA">
        <w:rPr>
          <w:rFonts w:ascii="Segoe UI" w:hAnsi="Segoe UI" w:cs="Segoe UI"/>
          <w:noProof/>
          <w:szCs w:val="24"/>
        </w:rPr>
        <w:t xml:space="preserve"> The human phenotype ontology in 2021. </w:t>
      </w:r>
      <w:r w:rsidRPr="00C275EA">
        <w:rPr>
          <w:rFonts w:ascii="Segoe UI" w:hAnsi="Segoe UI" w:cs="Segoe UI"/>
          <w:i/>
          <w:iCs/>
          <w:noProof/>
          <w:szCs w:val="24"/>
        </w:rPr>
        <w:t>Nucleic Acids Res.</w:t>
      </w:r>
      <w:r w:rsidRPr="00C275EA">
        <w:rPr>
          <w:rFonts w:ascii="Segoe UI" w:hAnsi="Segoe UI" w:cs="Segoe UI"/>
          <w:noProof/>
          <w:szCs w:val="24"/>
        </w:rPr>
        <w:t xml:space="preserve"> </w:t>
      </w:r>
      <w:r w:rsidRPr="00C275EA">
        <w:rPr>
          <w:rFonts w:ascii="Segoe UI" w:hAnsi="Segoe UI" w:cs="Segoe UI"/>
          <w:b/>
          <w:bCs/>
          <w:noProof/>
          <w:szCs w:val="24"/>
        </w:rPr>
        <w:t>49</w:t>
      </w:r>
      <w:r w:rsidRPr="00C275EA">
        <w:rPr>
          <w:rFonts w:ascii="Segoe UI" w:hAnsi="Segoe UI" w:cs="Segoe UI"/>
          <w:noProof/>
          <w:szCs w:val="24"/>
        </w:rPr>
        <w:t>, D1207–D1217 (2021)</w:t>
      </w:r>
    </w:p>
    <w:p w14:paraId="18E13ADB" w14:textId="77777777" w:rsidR="00C275EA" w:rsidRPr="00C275EA" w:rsidRDefault="00C275EA" w:rsidP="00C275EA">
      <w:pPr>
        <w:widowControl w:val="0"/>
        <w:autoSpaceDE w:val="0"/>
        <w:autoSpaceDN w:val="0"/>
        <w:adjustRightInd w:val="0"/>
        <w:ind w:left="640" w:hanging="640"/>
        <w:rPr>
          <w:rFonts w:ascii="Segoe UI" w:hAnsi="Segoe UI" w:cs="Segoe UI"/>
          <w:noProof/>
          <w:szCs w:val="24"/>
        </w:rPr>
      </w:pPr>
      <w:r w:rsidRPr="00C275EA">
        <w:rPr>
          <w:rFonts w:ascii="Segoe UI" w:hAnsi="Segoe UI" w:cs="Segoe UI"/>
          <w:noProof/>
          <w:szCs w:val="24"/>
        </w:rPr>
        <w:t>27.</w:t>
      </w:r>
      <w:r w:rsidRPr="00C275EA">
        <w:rPr>
          <w:rFonts w:ascii="Segoe UI" w:hAnsi="Segoe UI" w:cs="Segoe UI"/>
          <w:noProof/>
          <w:szCs w:val="24"/>
        </w:rPr>
        <w:tab/>
        <w:t xml:space="preserve">World Health Organization. </w:t>
      </w:r>
      <w:r w:rsidRPr="00C275EA">
        <w:rPr>
          <w:rFonts w:ascii="Segoe UI" w:hAnsi="Segoe UI" w:cs="Segoe UI"/>
          <w:i/>
          <w:iCs/>
          <w:noProof/>
          <w:szCs w:val="24"/>
        </w:rPr>
        <w:t>The ICD-10 classification of mental and behavioural disorders: Clinical descriptions and diagnostic guidelins.</w:t>
      </w:r>
      <w:r w:rsidRPr="00C275EA">
        <w:rPr>
          <w:rFonts w:ascii="Segoe UI" w:hAnsi="Segoe UI" w:cs="Segoe UI"/>
          <w:noProof/>
          <w:szCs w:val="24"/>
        </w:rPr>
        <w:t xml:space="preserve"> </w:t>
      </w:r>
      <w:r w:rsidRPr="00C275EA">
        <w:rPr>
          <w:rFonts w:ascii="Segoe UI" w:hAnsi="Segoe UI" w:cs="Segoe UI"/>
          <w:i/>
          <w:iCs/>
          <w:noProof/>
          <w:szCs w:val="24"/>
        </w:rPr>
        <w:t>ICD-10 Classification of Mentall and Behavioural Disorders</w:t>
      </w:r>
      <w:r w:rsidRPr="00C275EA">
        <w:rPr>
          <w:rFonts w:ascii="Segoe UI" w:hAnsi="Segoe UI" w:cs="Segoe UI"/>
          <w:noProof/>
          <w:szCs w:val="24"/>
        </w:rPr>
        <w:t xml:space="preserve"> (1992).</w:t>
      </w:r>
    </w:p>
    <w:p w14:paraId="139BB097" w14:textId="77777777" w:rsidR="00C275EA" w:rsidRPr="00C275EA" w:rsidRDefault="00C275EA" w:rsidP="00C275EA">
      <w:pPr>
        <w:widowControl w:val="0"/>
        <w:autoSpaceDE w:val="0"/>
        <w:autoSpaceDN w:val="0"/>
        <w:adjustRightInd w:val="0"/>
        <w:ind w:left="640" w:hanging="640"/>
        <w:rPr>
          <w:rFonts w:ascii="Segoe UI" w:hAnsi="Segoe UI" w:cs="Segoe UI"/>
          <w:noProof/>
          <w:szCs w:val="24"/>
        </w:rPr>
      </w:pPr>
      <w:r w:rsidRPr="00C275EA">
        <w:rPr>
          <w:rFonts w:ascii="Segoe UI" w:hAnsi="Segoe UI" w:cs="Segoe UI"/>
          <w:noProof/>
          <w:szCs w:val="24"/>
        </w:rPr>
        <w:t>28.</w:t>
      </w:r>
      <w:r w:rsidRPr="00C275EA">
        <w:rPr>
          <w:rFonts w:ascii="Segoe UI" w:hAnsi="Segoe UI" w:cs="Segoe UI"/>
          <w:noProof/>
          <w:szCs w:val="24"/>
        </w:rPr>
        <w:tab/>
        <w:t xml:space="preserve">Nelson, E. K. </w:t>
      </w:r>
      <w:r w:rsidRPr="00C275EA">
        <w:rPr>
          <w:rFonts w:ascii="Segoe UI" w:hAnsi="Segoe UI" w:cs="Segoe UI"/>
          <w:i/>
          <w:iCs/>
          <w:noProof/>
          <w:szCs w:val="24"/>
        </w:rPr>
        <w:t>et al.</w:t>
      </w:r>
      <w:r w:rsidRPr="00C275EA">
        <w:rPr>
          <w:rFonts w:ascii="Segoe UI" w:hAnsi="Segoe UI" w:cs="Segoe UI"/>
          <w:noProof/>
          <w:szCs w:val="24"/>
        </w:rPr>
        <w:t xml:space="preserve"> LabKey Server: An open source platform for scientific data integration, analysis and collaboration. </w:t>
      </w:r>
      <w:r w:rsidRPr="00C275EA">
        <w:rPr>
          <w:rFonts w:ascii="Segoe UI" w:hAnsi="Segoe UI" w:cs="Segoe UI"/>
          <w:i/>
          <w:iCs/>
          <w:noProof/>
          <w:szCs w:val="24"/>
        </w:rPr>
        <w:t>BMC Bioinformatics</w:t>
      </w:r>
      <w:r w:rsidRPr="00C275EA">
        <w:rPr>
          <w:rFonts w:ascii="Segoe UI" w:hAnsi="Segoe UI" w:cs="Segoe UI"/>
          <w:noProof/>
          <w:szCs w:val="24"/>
        </w:rPr>
        <w:t xml:space="preserve"> </w:t>
      </w:r>
      <w:r w:rsidRPr="00C275EA">
        <w:rPr>
          <w:rFonts w:ascii="Segoe UI" w:hAnsi="Segoe UI" w:cs="Segoe UI"/>
          <w:b/>
          <w:bCs/>
          <w:noProof/>
          <w:szCs w:val="24"/>
        </w:rPr>
        <w:t>12</w:t>
      </w:r>
      <w:r w:rsidRPr="00C275EA">
        <w:rPr>
          <w:rFonts w:ascii="Segoe UI" w:hAnsi="Segoe UI" w:cs="Segoe UI"/>
          <w:noProof/>
          <w:szCs w:val="24"/>
        </w:rPr>
        <w:t>, 71 (2011)</w:t>
      </w:r>
    </w:p>
    <w:p w14:paraId="56D239D7" w14:textId="77777777" w:rsidR="00C275EA" w:rsidRPr="00C275EA" w:rsidRDefault="00C275EA" w:rsidP="00C275EA">
      <w:pPr>
        <w:widowControl w:val="0"/>
        <w:autoSpaceDE w:val="0"/>
        <w:autoSpaceDN w:val="0"/>
        <w:adjustRightInd w:val="0"/>
        <w:ind w:left="640" w:hanging="640"/>
        <w:rPr>
          <w:rFonts w:ascii="Segoe UI" w:hAnsi="Segoe UI" w:cs="Segoe UI"/>
          <w:noProof/>
          <w:szCs w:val="24"/>
        </w:rPr>
      </w:pPr>
      <w:r w:rsidRPr="00C275EA">
        <w:rPr>
          <w:rFonts w:ascii="Segoe UI" w:hAnsi="Segoe UI" w:cs="Segoe UI"/>
          <w:noProof/>
          <w:szCs w:val="24"/>
        </w:rPr>
        <w:t>29.</w:t>
      </w:r>
      <w:r w:rsidRPr="00C275EA">
        <w:rPr>
          <w:rFonts w:ascii="Segoe UI" w:hAnsi="Segoe UI" w:cs="Segoe UI"/>
          <w:noProof/>
          <w:szCs w:val="24"/>
        </w:rPr>
        <w:tab/>
        <w:t xml:space="preserve">Köhler, S. </w:t>
      </w:r>
      <w:r w:rsidRPr="00C275EA">
        <w:rPr>
          <w:rFonts w:ascii="Segoe UI" w:hAnsi="Segoe UI" w:cs="Segoe UI"/>
          <w:i/>
          <w:iCs/>
          <w:noProof/>
          <w:szCs w:val="24"/>
        </w:rPr>
        <w:t>et al.</w:t>
      </w:r>
      <w:r w:rsidRPr="00C275EA">
        <w:rPr>
          <w:rFonts w:ascii="Segoe UI" w:hAnsi="Segoe UI" w:cs="Segoe UI"/>
          <w:noProof/>
          <w:szCs w:val="24"/>
        </w:rPr>
        <w:t xml:space="preserve"> Expansion of the Human Phenotype Ontology (HPO) knowledge base and resources. </w:t>
      </w:r>
      <w:r w:rsidRPr="00C275EA">
        <w:rPr>
          <w:rFonts w:ascii="Segoe UI" w:hAnsi="Segoe UI" w:cs="Segoe UI"/>
          <w:i/>
          <w:iCs/>
          <w:noProof/>
          <w:szCs w:val="24"/>
        </w:rPr>
        <w:t>Nucleic Acids Res.</w:t>
      </w:r>
      <w:r w:rsidRPr="00C275EA">
        <w:rPr>
          <w:rFonts w:ascii="Segoe UI" w:hAnsi="Segoe UI" w:cs="Segoe UI"/>
          <w:noProof/>
          <w:szCs w:val="24"/>
        </w:rPr>
        <w:t xml:space="preserve"> </w:t>
      </w:r>
      <w:r w:rsidRPr="00C275EA">
        <w:rPr>
          <w:rFonts w:ascii="Segoe UI" w:hAnsi="Segoe UI" w:cs="Segoe UI"/>
          <w:b/>
          <w:bCs/>
          <w:noProof/>
          <w:szCs w:val="24"/>
        </w:rPr>
        <w:t>47</w:t>
      </w:r>
      <w:r w:rsidRPr="00C275EA">
        <w:rPr>
          <w:rFonts w:ascii="Segoe UI" w:hAnsi="Segoe UI" w:cs="Segoe UI"/>
          <w:noProof/>
          <w:szCs w:val="24"/>
        </w:rPr>
        <w:t>, D1018–D1027 (2019)</w:t>
      </w:r>
    </w:p>
    <w:p w14:paraId="5A01D4A8" w14:textId="77777777" w:rsidR="00C275EA" w:rsidRPr="00C275EA" w:rsidRDefault="00C275EA" w:rsidP="00C275EA">
      <w:pPr>
        <w:widowControl w:val="0"/>
        <w:autoSpaceDE w:val="0"/>
        <w:autoSpaceDN w:val="0"/>
        <w:adjustRightInd w:val="0"/>
        <w:ind w:left="640" w:hanging="640"/>
        <w:rPr>
          <w:rFonts w:ascii="Segoe UI" w:hAnsi="Segoe UI" w:cs="Segoe UI"/>
          <w:noProof/>
          <w:szCs w:val="24"/>
        </w:rPr>
      </w:pPr>
      <w:r w:rsidRPr="00C275EA">
        <w:rPr>
          <w:rFonts w:ascii="Segoe UI" w:hAnsi="Segoe UI" w:cs="Segoe UI"/>
          <w:noProof/>
          <w:szCs w:val="24"/>
        </w:rPr>
        <w:t>30.</w:t>
      </w:r>
      <w:r w:rsidRPr="00C275EA">
        <w:rPr>
          <w:rFonts w:ascii="Segoe UI" w:hAnsi="Segoe UI" w:cs="Segoe UI"/>
          <w:noProof/>
          <w:szCs w:val="24"/>
        </w:rPr>
        <w:tab/>
        <w:t xml:space="preserve">Roller, E., Ivakhno, S., Lee, S., Royce, T. &amp; Tanner, S. Canvas: Versatile and scalable detection of copy number variants. </w:t>
      </w:r>
      <w:r w:rsidRPr="00C275EA">
        <w:rPr>
          <w:rFonts w:ascii="Segoe UI" w:hAnsi="Segoe UI" w:cs="Segoe UI"/>
          <w:i/>
          <w:iCs/>
          <w:noProof/>
          <w:szCs w:val="24"/>
        </w:rPr>
        <w:t>Bioinformatics</w:t>
      </w:r>
      <w:r w:rsidRPr="00C275EA">
        <w:rPr>
          <w:rFonts w:ascii="Segoe UI" w:hAnsi="Segoe UI" w:cs="Segoe UI"/>
          <w:noProof/>
          <w:szCs w:val="24"/>
        </w:rPr>
        <w:t xml:space="preserve"> </w:t>
      </w:r>
      <w:r w:rsidRPr="00C275EA">
        <w:rPr>
          <w:rFonts w:ascii="Segoe UI" w:hAnsi="Segoe UI" w:cs="Segoe UI"/>
          <w:b/>
          <w:bCs/>
          <w:noProof/>
          <w:szCs w:val="24"/>
        </w:rPr>
        <w:t>32</w:t>
      </w:r>
      <w:r w:rsidRPr="00C275EA">
        <w:rPr>
          <w:rFonts w:ascii="Segoe UI" w:hAnsi="Segoe UI" w:cs="Segoe UI"/>
          <w:noProof/>
          <w:szCs w:val="24"/>
        </w:rPr>
        <w:t>, 2375–2377 (2016)</w:t>
      </w:r>
    </w:p>
    <w:p w14:paraId="13480BEC" w14:textId="77777777" w:rsidR="00C275EA" w:rsidRPr="00C275EA" w:rsidRDefault="00C275EA" w:rsidP="00C275EA">
      <w:pPr>
        <w:widowControl w:val="0"/>
        <w:autoSpaceDE w:val="0"/>
        <w:autoSpaceDN w:val="0"/>
        <w:adjustRightInd w:val="0"/>
        <w:ind w:left="640" w:hanging="640"/>
        <w:rPr>
          <w:rFonts w:ascii="Segoe UI" w:hAnsi="Segoe UI" w:cs="Segoe UI"/>
          <w:noProof/>
          <w:szCs w:val="24"/>
        </w:rPr>
      </w:pPr>
      <w:r w:rsidRPr="00C275EA">
        <w:rPr>
          <w:rFonts w:ascii="Segoe UI" w:hAnsi="Segoe UI" w:cs="Segoe UI"/>
          <w:noProof/>
          <w:szCs w:val="24"/>
        </w:rPr>
        <w:t>31.</w:t>
      </w:r>
      <w:r w:rsidRPr="00C275EA">
        <w:rPr>
          <w:rFonts w:ascii="Segoe UI" w:hAnsi="Segoe UI" w:cs="Segoe UI"/>
          <w:noProof/>
          <w:szCs w:val="24"/>
        </w:rPr>
        <w:tab/>
        <w:t xml:space="preserve">Li, H. A statistical framework for SNP calling, mutation discovery, association mapping and population genetical parameter estimation from sequencing data. </w:t>
      </w:r>
      <w:r w:rsidRPr="00C275EA">
        <w:rPr>
          <w:rFonts w:ascii="Segoe UI" w:hAnsi="Segoe UI" w:cs="Segoe UI"/>
          <w:i/>
          <w:iCs/>
          <w:noProof/>
          <w:szCs w:val="24"/>
        </w:rPr>
        <w:t>Bioinformatics</w:t>
      </w:r>
      <w:r w:rsidRPr="00C275EA">
        <w:rPr>
          <w:rFonts w:ascii="Segoe UI" w:hAnsi="Segoe UI" w:cs="Segoe UI"/>
          <w:noProof/>
          <w:szCs w:val="24"/>
        </w:rPr>
        <w:t xml:space="preserve"> </w:t>
      </w:r>
      <w:r w:rsidRPr="00C275EA">
        <w:rPr>
          <w:rFonts w:ascii="Segoe UI" w:hAnsi="Segoe UI" w:cs="Segoe UI"/>
          <w:b/>
          <w:bCs/>
          <w:noProof/>
          <w:szCs w:val="24"/>
        </w:rPr>
        <w:t>27</w:t>
      </w:r>
      <w:r w:rsidRPr="00C275EA">
        <w:rPr>
          <w:rFonts w:ascii="Segoe UI" w:hAnsi="Segoe UI" w:cs="Segoe UI"/>
          <w:noProof/>
          <w:szCs w:val="24"/>
        </w:rPr>
        <w:t>, 2987–2993 (2011)</w:t>
      </w:r>
    </w:p>
    <w:p w14:paraId="4DFE1CDF" w14:textId="77777777" w:rsidR="00C275EA" w:rsidRPr="00C275EA" w:rsidRDefault="00C275EA" w:rsidP="00C275EA">
      <w:pPr>
        <w:widowControl w:val="0"/>
        <w:autoSpaceDE w:val="0"/>
        <w:autoSpaceDN w:val="0"/>
        <w:adjustRightInd w:val="0"/>
        <w:ind w:left="640" w:hanging="640"/>
        <w:rPr>
          <w:rFonts w:ascii="Segoe UI" w:hAnsi="Segoe UI" w:cs="Segoe UI"/>
          <w:noProof/>
          <w:szCs w:val="24"/>
        </w:rPr>
      </w:pPr>
      <w:r w:rsidRPr="00C275EA">
        <w:rPr>
          <w:rFonts w:ascii="Segoe UI" w:hAnsi="Segoe UI" w:cs="Segoe UI"/>
          <w:noProof/>
          <w:szCs w:val="24"/>
        </w:rPr>
        <w:t>32.</w:t>
      </w:r>
      <w:r w:rsidRPr="00C275EA">
        <w:rPr>
          <w:rFonts w:ascii="Segoe UI" w:hAnsi="Segoe UI" w:cs="Segoe UI"/>
          <w:noProof/>
          <w:szCs w:val="24"/>
        </w:rPr>
        <w:tab/>
        <w:t>NPHP1 nephrocystin 1 [Homo sapiens (human)] - Gene - NCBI. https://www.ncbi.nlm.nih.gov/gene/4867</w:t>
      </w:r>
    </w:p>
    <w:p w14:paraId="28A6836F" w14:textId="77777777" w:rsidR="00C275EA" w:rsidRPr="00C275EA" w:rsidRDefault="00C275EA" w:rsidP="00C275EA">
      <w:pPr>
        <w:widowControl w:val="0"/>
        <w:autoSpaceDE w:val="0"/>
        <w:autoSpaceDN w:val="0"/>
        <w:adjustRightInd w:val="0"/>
        <w:ind w:left="640" w:hanging="640"/>
        <w:rPr>
          <w:rFonts w:ascii="Segoe UI" w:hAnsi="Segoe UI" w:cs="Segoe UI"/>
          <w:noProof/>
          <w:szCs w:val="24"/>
        </w:rPr>
      </w:pPr>
      <w:r w:rsidRPr="00C275EA">
        <w:rPr>
          <w:rFonts w:ascii="Segoe UI" w:hAnsi="Segoe UI" w:cs="Segoe UI"/>
          <w:noProof/>
          <w:szCs w:val="24"/>
        </w:rPr>
        <w:lastRenderedPageBreak/>
        <w:t>33.</w:t>
      </w:r>
      <w:r w:rsidRPr="00C275EA">
        <w:rPr>
          <w:rFonts w:ascii="Segoe UI" w:hAnsi="Segoe UI" w:cs="Segoe UI"/>
          <w:noProof/>
          <w:szCs w:val="24"/>
        </w:rPr>
        <w:tab/>
        <w:t xml:space="preserve">Danecek, P. </w:t>
      </w:r>
      <w:r w:rsidRPr="00C275EA">
        <w:rPr>
          <w:rFonts w:ascii="Segoe UI" w:hAnsi="Segoe UI" w:cs="Segoe UI"/>
          <w:i/>
          <w:iCs/>
          <w:noProof/>
          <w:szCs w:val="24"/>
        </w:rPr>
        <w:t>et al.</w:t>
      </w:r>
      <w:r w:rsidRPr="00C275EA">
        <w:rPr>
          <w:rFonts w:ascii="Segoe UI" w:hAnsi="Segoe UI" w:cs="Segoe UI"/>
          <w:noProof/>
          <w:szCs w:val="24"/>
        </w:rPr>
        <w:t xml:space="preserve"> The variant call format and VCFtools. </w:t>
      </w:r>
      <w:r w:rsidRPr="00C275EA">
        <w:rPr>
          <w:rFonts w:ascii="Segoe UI" w:hAnsi="Segoe UI" w:cs="Segoe UI"/>
          <w:i/>
          <w:iCs/>
          <w:noProof/>
          <w:szCs w:val="24"/>
        </w:rPr>
        <w:t>Bioinformatics</w:t>
      </w:r>
      <w:r w:rsidRPr="00C275EA">
        <w:rPr>
          <w:rFonts w:ascii="Segoe UI" w:hAnsi="Segoe UI" w:cs="Segoe UI"/>
          <w:noProof/>
          <w:szCs w:val="24"/>
        </w:rPr>
        <w:t xml:space="preserve"> </w:t>
      </w:r>
      <w:r w:rsidRPr="00C275EA">
        <w:rPr>
          <w:rFonts w:ascii="Segoe UI" w:hAnsi="Segoe UI" w:cs="Segoe UI"/>
          <w:b/>
          <w:bCs/>
          <w:noProof/>
          <w:szCs w:val="24"/>
        </w:rPr>
        <w:t>27</w:t>
      </w:r>
      <w:r w:rsidRPr="00C275EA">
        <w:rPr>
          <w:rFonts w:ascii="Segoe UI" w:hAnsi="Segoe UI" w:cs="Segoe UI"/>
          <w:noProof/>
          <w:szCs w:val="24"/>
        </w:rPr>
        <w:t>, 2156–2158 (2011)</w:t>
      </w:r>
    </w:p>
    <w:p w14:paraId="170D0CCC" w14:textId="77777777" w:rsidR="00C275EA" w:rsidRPr="00C275EA" w:rsidRDefault="00C275EA" w:rsidP="00C275EA">
      <w:pPr>
        <w:widowControl w:val="0"/>
        <w:autoSpaceDE w:val="0"/>
        <w:autoSpaceDN w:val="0"/>
        <w:adjustRightInd w:val="0"/>
        <w:ind w:left="640" w:hanging="640"/>
        <w:rPr>
          <w:rFonts w:ascii="Segoe UI" w:hAnsi="Segoe UI" w:cs="Segoe UI"/>
          <w:noProof/>
          <w:szCs w:val="24"/>
        </w:rPr>
      </w:pPr>
      <w:r w:rsidRPr="00C275EA">
        <w:rPr>
          <w:rFonts w:ascii="Segoe UI" w:hAnsi="Segoe UI" w:cs="Segoe UI"/>
          <w:noProof/>
          <w:szCs w:val="24"/>
        </w:rPr>
        <w:t>34.</w:t>
      </w:r>
      <w:r w:rsidRPr="00C275EA">
        <w:rPr>
          <w:rFonts w:ascii="Segoe UI" w:hAnsi="Segoe UI" w:cs="Segoe UI"/>
          <w:noProof/>
          <w:szCs w:val="24"/>
        </w:rPr>
        <w:tab/>
        <w:t>GitHub - UoS-HGIG/GenePy-1.3: Latest GenePy version compatible with both GRCh38 and GRCh37(hg19). https://github.com/UoS-HGIG/GenePy-1.3</w:t>
      </w:r>
    </w:p>
    <w:p w14:paraId="6AB0AEEC" w14:textId="77777777" w:rsidR="00C275EA" w:rsidRPr="00C275EA" w:rsidRDefault="00C275EA" w:rsidP="00C275EA">
      <w:pPr>
        <w:widowControl w:val="0"/>
        <w:autoSpaceDE w:val="0"/>
        <w:autoSpaceDN w:val="0"/>
        <w:adjustRightInd w:val="0"/>
        <w:ind w:left="640" w:hanging="640"/>
        <w:rPr>
          <w:rFonts w:ascii="Segoe UI" w:hAnsi="Segoe UI" w:cs="Segoe UI"/>
          <w:noProof/>
          <w:szCs w:val="24"/>
        </w:rPr>
      </w:pPr>
      <w:r w:rsidRPr="00C275EA">
        <w:rPr>
          <w:rFonts w:ascii="Segoe UI" w:hAnsi="Segoe UI" w:cs="Segoe UI"/>
          <w:noProof/>
          <w:szCs w:val="24"/>
        </w:rPr>
        <w:t>35.</w:t>
      </w:r>
      <w:r w:rsidRPr="00C275EA">
        <w:rPr>
          <w:rFonts w:ascii="Segoe UI" w:hAnsi="Segoe UI" w:cs="Segoe UI"/>
          <w:noProof/>
          <w:szCs w:val="24"/>
        </w:rPr>
        <w:tab/>
        <w:t xml:space="preserve">Wang, K., Li, M. &amp; Hakonarson, H. ANNOVAR: functional annotation of genetic variants from high-throughput sequencing data. </w:t>
      </w:r>
      <w:r w:rsidRPr="00C275EA">
        <w:rPr>
          <w:rFonts w:ascii="Segoe UI" w:hAnsi="Segoe UI" w:cs="Segoe UI"/>
          <w:i/>
          <w:iCs/>
          <w:noProof/>
          <w:szCs w:val="24"/>
        </w:rPr>
        <w:t>Nucleic Acids Res.</w:t>
      </w:r>
      <w:r w:rsidRPr="00C275EA">
        <w:rPr>
          <w:rFonts w:ascii="Segoe UI" w:hAnsi="Segoe UI" w:cs="Segoe UI"/>
          <w:noProof/>
          <w:szCs w:val="24"/>
        </w:rPr>
        <w:t xml:space="preserve"> </w:t>
      </w:r>
      <w:r w:rsidRPr="00C275EA">
        <w:rPr>
          <w:rFonts w:ascii="Segoe UI" w:hAnsi="Segoe UI" w:cs="Segoe UI"/>
          <w:b/>
          <w:bCs/>
          <w:noProof/>
          <w:szCs w:val="24"/>
        </w:rPr>
        <w:t>38</w:t>
      </w:r>
      <w:r w:rsidRPr="00C275EA">
        <w:rPr>
          <w:rFonts w:ascii="Segoe UI" w:hAnsi="Segoe UI" w:cs="Segoe UI"/>
          <w:noProof/>
          <w:szCs w:val="24"/>
        </w:rPr>
        <w:t>, e164–e164 (2010)</w:t>
      </w:r>
    </w:p>
    <w:p w14:paraId="17337226" w14:textId="77777777" w:rsidR="00C275EA" w:rsidRPr="00C275EA" w:rsidRDefault="00C275EA" w:rsidP="00C275EA">
      <w:pPr>
        <w:widowControl w:val="0"/>
        <w:autoSpaceDE w:val="0"/>
        <w:autoSpaceDN w:val="0"/>
        <w:adjustRightInd w:val="0"/>
        <w:ind w:left="640" w:hanging="640"/>
        <w:rPr>
          <w:rFonts w:ascii="Segoe UI" w:hAnsi="Segoe UI" w:cs="Segoe UI"/>
          <w:noProof/>
          <w:szCs w:val="24"/>
        </w:rPr>
      </w:pPr>
      <w:r w:rsidRPr="00C275EA">
        <w:rPr>
          <w:rFonts w:ascii="Segoe UI" w:hAnsi="Segoe UI" w:cs="Segoe UI"/>
          <w:noProof/>
          <w:szCs w:val="24"/>
        </w:rPr>
        <w:t>36.</w:t>
      </w:r>
      <w:r w:rsidRPr="00C275EA">
        <w:rPr>
          <w:rFonts w:ascii="Segoe UI" w:hAnsi="Segoe UI" w:cs="Segoe UI"/>
          <w:noProof/>
          <w:szCs w:val="24"/>
        </w:rPr>
        <w:tab/>
        <w:t xml:space="preserve">Rentzsch, P., Witten, D., Cooper, G. M., Shendure, J. &amp; Kircher, M. CADD: predicting the deleteriousness of variants throughout the human genome. </w:t>
      </w:r>
      <w:r w:rsidRPr="00C275EA">
        <w:rPr>
          <w:rFonts w:ascii="Segoe UI" w:hAnsi="Segoe UI" w:cs="Segoe UI"/>
          <w:i/>
          <w:iCs/>
          <w:noProof/>
          <w:szCs w:val="24"/>
        </w:rPr>
        <w:t>Nucleic Acids Res.</w:t>
      </w:r>
      <w:r w:rsidRPr="00C275EA">
        <w:rPr>
          <w:rFonts w:ascii="Segoe UI" w:hAnsi="Segoe UI" w:cs="Segoe UI"/>
          <w:noProof/>
          <w:szCs w:val="24"/>
        </w:rPr>
        <w:t xml:space="preserve"> </w:t>
      </w:r>
      <w:r w:rsidRPr="00C275EA">
        <w:rPr>
          <w:rFonts w:ascii="Segoe UI" w:hAnsi="Segoe UI" w:cs="Segoe UI"/>
          <w:b/>
          <w:bCs/>
          <w:noProof/>
          <w:szCs w:val="24"/>
        </w:rPr>
        <w:t>47</w:t>
      </w:r>
      <w:r w:rsidRPr="00C275EA">
        <w:rPr>
          <w:rFonts w:ascii="Segoe UI" w:hAnsi="Segoe UI" w:cs="Segoe UI"/>
          <w:noProof/>
          <w:szCs w:val="24"/>
        </w:rPr>
        <w:t>, D886–D894 (2019)</w:t>
      </w:r>
    </w:p>
    <w:p w14:paraId="2BAECA30" w14:textId="77777777" w:rsidR="00C275EA" w:rsidRPr="00C275EA" w:rsidRDefault="00C275EA" w:rsidP="00C275EA">
      <w:pPr>
        <w:widowControl w:val="0"/>
        <w:autoSpaceDE w:val="0"/>
        <w:autoSpaceDN w:val="0"/>
        <w:adjustRightInd w:val="0"/>
        <w:ind w:left="640" w:hanging="640"/>
        <w:rPr>
          <w:rFonts w:ascii="Segoe UI" w:hAnsi="Segoe UI" w:cs="Segoe UI"/>
          <w:noProof/>
          <w:szCs w:val="24"/>
        </w:rPr>
      </w:pPr>
      <w:r w:rsidRPr="00C275EA">
        <w:rPr>
          <w:rFonts w:ascii="Segoe UI" w:hAnsi="Segoe UI" w:cs="Segoe UI"/>
          <w:noProof/>
          <w:szCs w:val="24"/>
        </w:rPr>
        <w:t>37.</w:t>
      </w:r>
      <w:r w:rsidRPr="00C275EA">
        <w:rPr>
          <w:rFonts w:ascii="Segoe UI" w:hAnsi="Segoe UI" w:cs="Segoe UI"/>
          <w:noProof/>
          <w:szCs w:val="24"/>
        </w:rPr>
        <w:tab/>
        <w:t xml:space="preserve">Khanna, T., Hanna, G., Sternberg, M. J. E. &amp; David, A. Missense3D-DB web catalogue: an atom-based analysis and repository of 4M human protein-coding genetic variants. </w:t>
      </w:r>
      <w:r w:rsidRPr="00C275EA">
        <w:rPr>
          <w:rFonts w:ascii="Segoe UI" w:hAnsi="Segoe UI" w:cs="Segoe UI"/>
          <w:i/>
          <w:iCs/>
          <w:noProof/>
          <w:szCs w:val="24"/>
        </w:rPr>
        <w:t>Hum. Genet.</w:t>
      </w:r>
      <w:r w:rsidRPr="00C275EA">
        <w:rPr>
          <w:rFonts w:ascii="Segoe UI" w:hAnsi="Segoe UI" w:cs="Segoe UI"/>
          <w:noProof/>
          <w:szCs w:val="24"/>
        </w:rPr>
        <w:t xml:space="preserve"> </w:t>
      </w:r>
      <w:r w:rsidRPr="00C275EA">
        <w:rPr>
          <w:rFonts w:ascii="Segoe UI" w:hAnsi="Segoe UI" w:cs="Segoe UI"/>
          <w:b/>
          <w:bCs/>
          <w:noProof/>
          <w:szCs w:val="24"/>
        </w:rPr>
        <w:t>140</w:t>
      </w:r>
      <w:r w:rsidRPr="00C275EA">
        <w:rPr>
          <w:rFonts w:ascii="Segoe UI" w:hAnsi="Segoe UI" w:cs="Segoe UI"/>
          <w:noProof/>
          <w:szCs w:val="24"/>
        </w:rPr>
        <w:t>, 805–812 (2021)</w:t>
      </w:r>
    </w:p>
    <w:p w14:paraId="6B8F579F" w14:textId="77777777" w:rsidR="00C275EA" w:rsidRPr="00C275EA" w:rsidRDefault="00C275EA" w:rsidP="00C275EA">
      <w:pPr>
        <w:widowControl w:val="0"/>
        <w:autoSpaceDE w:val="0"/>
        <w:autoSpaceDN w:val="0"/>
        <w:adjustRightInd w:val="0"/>
        <w:ind w:left="640" w:hanging="640"/>
        <w:rPr>
          <w:rFonts w:ascii="Segoe UI" w:hAnsi="Segoe UI" w:cs="Segoe UI"/>
          <w:noProof/>
          <w:szCs w:val="24"/>
        </w:rPr>
      </w:pPr>
      <w:r w:rsidRPr="00C275EA">
        <w:rPr>
          <w:rFonts w:ascii="Segoe UI" w:hAnsi="Segoe UI" w:cs="Segoe UI"/>
          <w:noProof/>
          <w:szCs w:val="24"/>
        </w:rPr>
        <w:t>38.</w:t>
      </w:r>
      <w:r w:rsidRPr="00C275EA">
        <w:rPr>
          <w:rFonts w:ascii="Segoe UI" w:hAnsi="Segoe UI" w:cs="Segoe UI"/>
          <w:noProof/>
          <w:szCs w:val="24"/>
        </w:rPr>
        <w:tab/>
        <w:t xml:space="preserve">Ittisoponpisan, S. </w:t>
      </w:r>
      <w:r w:rsidRPr="00C275EA">
        <w:rPr>
          <w:rFonts w:ascii="Segoe UI" w:hAnsi="Segoe UI" w:cs="Segoe UI"/>
          <w:i/>
          <w:iCs/>
          <w:noProof/>
          <w:szCs w:val="24"/>
        </w:rPr>
        <w:t>et al.</w:t>
      </w:r>
      <w:r w:rsidRPr="00C275EA">
        <w:rPr>
          <w:rFonts w:ascii="Segoe UI" w:hAnsi="Segoe UI" w:cs="Segoe UI"/>
          <w:noProof/>
          <w:szCs w:val="24"/>
        </w:rPr>
        <w:t xml:space="preserve"> Can Predicted Protein 3D Structures Provide Reliable Insights into whether Missense Variants Are Disease Associated? </w:t>
      </w:r>
      <w:r w:rsidRPr="00C275EA">
        <w:rPr>
          <w:rFonts w:ascii="Segoe UI" w:hAnsi="Segoe UI" w:cs="Segoe UI"/>
          <w:i/>
          <w:iCs/>
          <w:noProof/>
          <w:szCs w:val="24"/>
        </w:rPr>
        <w:t>J. Mol. Biol.</w:t>
      </w:r>
      <w:r w:rsidRPr="00C275EA">
        <w:rPr>
          <w:rFonts w:ascii="Segoe UI" w:hAnsi="Segoe UI" w:cs="Segoe UI"/>
          <w:noProof/>
          <w:szCs w:val="24"/>
        </w:rPr>
        <w:t xml:space="preserve"> </w:t>
      </w:r>
      <w:r w:rsidRPr="00C275EA">
        <w:rPr>
          <w:rFonts w:ascii="Segoe UI" w:hAnsi="Segoe UI" w:cs="Segoe UI"/>
          <w:b/>
          <w:bCs/>
          <w:noProof/>
          <w:szCs w:val="24"/>
        </w:rPr>
        <w:t>431</w:t>
      </w:r>
      <w:r w:rsidRPr="00C275EA">
        <w:rPr>
          <w:rFonts w:ascii="Segoe UI" w:hAnsi="Segoe UI" w:cs="Segoe UI"/>
          <w:noProof/>
          <w:szCs w:val="24"/>
        </w:rPr>
        <w:t>, 2197–2212 (2019)</w:t>
      </w:r>
    </w:p>
    <w:p w14:paraId="752153D6" w14:textId="77777777" w:rsidR="00C275EA" w:rsidRPr="00C275EA" w:rsidRDefault="00C275EA" w:rsidP="00C275EA">
      <w:pPr>
        <w:widowControl w:val="0"/>
        <w:autoSpaceDE w:val="0"/>
        <w:autoSpaceDN w:val="0"/>
        <w:adjustRightInd w:val="0"/>
        <w:ind w:left="640" w:hanging="640"/>
        <w:rPr>
          <w:rFonts w:ascii="Segoe UI" w:hAnsi="Segoe UI" w:cs="Segoe UI"/>
          <w:noProof/>
          <w:szCs w:val="24"/>
        </w:rPr>
      </w:pPr>
      <w:r w:rsidRPr="00C275EA">
        <w:rPr>
          <w:rFonts w:ascii="Segoe UI" w:hAnsi="Segoe UI" w:cs="Segoe UI"/>
          <w:noProof/>
          <w:szCs w:val="24"/>
        </w:rPr>
        <w:t>39.</w:t>
      </w:r>
      <w:r w:rsidRPr="00C275EA">
        <w:rPr>
          <w:rFonts w:ascii="Segoe UI" w:hAnsi="Segoe UI" w:cs="Segoe UI"/>
          <w:noProof/>
          <w:szCs w:val="24"/>
        </w:rPr>
        <w:tab/>
        <w:t xml:space="preserve">Zhu, K. </w:t>
      </w:r>
      <w:r w:rsidRPr="00C275EA">
        <w:rPr>
          <w:rFonts w:ascii="Segoe UI" w:hAnsi="Segoe UI" w:cs="Segoe UI"/>
          <w:i/>
          <w:iCs/>
          <w:noProof/>
          <w:szCs w:val="24"/>
        </w:rPr>
        <w:t>et al.</w:t>
      </w:r>
      <w:r w:rsidRPr="00C275EA">
        <w:rPr>
          <w:rFonts w:ascii="Segoe UI" w:hAnsi="Segoe UI" w:cs="Segoe UI"/>
          <w:noProof/>
          <w:szCs w:val="24"/>
        </w:rPr>
        <w:t xml:space="preserve"> Antibody structure determination using a combination of homology modeling, energy-based refinement, and loop prediction. </w:t>
      </w:r>
      <w:r w:rsidRPr="00C275EA">
        <w:rPr>
          <w:rFonts w:ascii="Segoe UI" w:hAnsi="Segoe UI" w:cs="Segoe UI"/>
          <w:i/>
          <w:iCs/>
          <w:noProof/>
          <w:szCs w:val="24"/>
        </w:rPr>
        <w:t>Proteins Struct. Funct. Bioinforma.</w:t>
      </w:r>
      <w:r w:rsidRPr="00C275EA">
        <w:rPr>
          <w:rFonts w:ascii="Segoe UI" w:hAnsi="Segoe UI" w:cs="Segoe UI"/>
          <w:noProof/>
          <w:szCs w:val="24"/>
        </w:rPr>
        <w:t xml:space="preserve"> </w:t>
      </w:r>
      <w:r w:rsidRPr="00C275EA">
        <w:rPr>
          <w:rFonts w:ascii="Segoe UI" w:hAnsi="Segoe UI" w:cs="Segoe UI"/>
          <w:b/>
          <w:bCs/>
          <w:noProof/>
          <w:szCs w:val="24"/>
        </w:rPr>
        <w:t>82</w:t>
      </w:r>
      <w:r w:rsidRPr="00C275EA">
        <w:rPr>
          <w:rFonts w:ascii="Segoe UI" w:hAnsi="Segoe UI" w:cs="Segoe UI"/>
          <w:noProof/>
          <w:szCs w:val="24"/>
        </w:rPr>
        <w:t>, 1646–1655 (2014)</w:t>
      </w:r>
    </w:p>
    <w:p w14:paraId="1A9A3A4C" w14:textId="77777777" w:rsidR="00C275EA" w:rsidRPr="00C275EA" w:rsidRDefault="00C275EA" w:rsidP="00C275EA">
      <w:pPr>
        <w:widowControl w:val="0"/>
        <w:autoSpaceDE w:val="0"/>
        <w:autoSpaceDN w:val="0"/>
        <w:adjustRightInd w:val="0"/>
        <w:ind w:left="640" w:hanging="640"/>
        <w:rPr>
          <w:rFonts w:ascii="Segoe UI" w:hAnsi="Segoe UI" w:cs="Segoe UI"/>
          <w:noProof/>
          <w:szCs w:val="24"/>
        </w:rPr>
      </w:pPr>
      <w:r w:rsidRPr="00C275EA">
        <w:rPr>
          <w:rFonts w:ascii="Segoe UI" w:hAnsi="Segoe UI" w:cs="Segoe UI"/>
          <w:noProof/>
          <w:szCs w:val="24"/>
        </w:rPr>
        <w:t>40.</w:t>
      </w:r>
      <w:r w:rsidRPr="00C275EA">
        <w:rPr>
          <w:rFonts w:ascii="Segoe UI" w:hAnsi="Segoe UI" w:cs="Segoe UI"/>
          <w:noProof/>
          <w:szCs w:val="24"/>
        </w:rPr>
        <w:tab/>
        <w:t xml:space="preserve">Salam, N. K., Adzhigirey, M., Sherman, W., Pearlman, D. A. &amp; Thirumalai, D. Structure-based approach to the prediction of disulfide bonds in proteins. </w:t>
      </w:r>
      <w:r w:rsidRPr="00C275EA">
        <w:rPr>
          <w:rFonts w:ascii="Segoe UI" w:hAnsi="Segoe UI" w:cs="Segoe UI"/>
          <w:i/>
          <w:iCs/>
          <w:noProof/>
          <w:szCs w:val="24"/>
        </w:rPr>
        <w:t>Protein Eng. Des. Sel.</w:t>
      </w:r>
      <w:r w:rsidRPr="00C275EA">
        <w:rPr>
          <w:rFonts w:ascii="Segoe UI" w:hAnsi="Segoe UI" w:cs="Segoe UI"/>
          <w:noProof/>
          <w:szCs w:val="24"/>
        </w:rPr>
        <w:t xml:space="preserve"> </w:t>
      </w:r>
      <w:r w:rsidRPr="00C275EA">
        <w:rPr>
          <w:rFonts w:ascii="Segoe UI" w:hAnsi="Segoe UI" w:cs="Segoe UI"/>
          <w:b/>
          <w:bCs/>
          <w:noProof/>
          <w:szCs w:val="24"/>
        </w:rPr>
        <w:t>27</w:t>
      </w:r>
      <w:r w:rsidRPr="00C275EA">
        <w:rPr>
          <w:rFonts w:ascii="Segoe UI" w:hAnsi="Segoe UI" w:cs="Segoe UI"/>
          <w:noProof/>
          <w:szCs w:val="24"/>
        </w:rPr>
        <w:t>, 365–374 (2014)</w:t>
      </w:r>
    </w:p>
    <w:p w14:paraId="29BB2B56" w14:textId="77777777" w:rsidR="00C275EA" w:rsidRPr="00C275EA" w:rsidRDefault="00C275EA" w:rsidP="00C275EA">
      <w:pPr>
        <w:widowControl w:val="0"/>
        <w:autoSpaceDE w:val="0"/>
        <w:autoSpaceDN w:val="0"/>
        <w:adjustRightInd w:val="0"/>
        <w:ind w:left="640" w:hanging="640"/>
        <w:rPr>
          <w:rFonts w:ascii="Segoe UI" w:hAnsi="Segoe UI" w:cs="Segoe UI"/>
          <w:noProof/>
          <w:szCs w:val="24"/>
        </w:rPr>
      </w:pPr>
      <w:r w:rsidRPr="00C275EA">
        <w:rPr>
          <w:rFonts w:ascii="Segoe UI" w:hAnsi="Segoe UI" w:cs="Segoe UI"/>
          <w:noProof/>
          <w:szCs w:val="24"/>
        </w:rPr>
        <w:t>41.</w:t>
      </w:r>
      <w:r w:rsidRPr="00C275EA">
        <w:rPr>
          <w:rFonts w:ascii="Segoe UI" w:hAnsi="Segoe UI" w:cs="Segoe UI"/>
          <w:noProof/>
          <w:szCs w:val="24"/>
        </w:rPr>
        <w:tab/>
        <w:t xml:space="preserve">Beard, H., Cholleti, A., Pearlman, D., Sherman, W. &amp; Loving, K. A. Applying Physics-Based Scoring to Calculate Free Energies of Binding for Single Amino Acid Mutations in Protein-Protein Complexes. </w:t>
      </w:r>
      <w:r w:rsidRPr="00C275EA">
        <w:rPr>
          <w:rFonts w:ascii="Segoe UI" w:hAnsi="Segoe UI" w:cs="Segoe UI"/>
          <w:i/>
          <w:iCs/>
          <w:noProof/>
          <w:szCs w:val="24"/>
        </w:rPr>
        <w:t>PLoS One</w:t>
      </w:r>
      <w:r w:rsidRPr="00C275EA">
        <w:rPr>
          <w:rFonts w:ascii="Segoe UI" w:hAnsi="Segoe UI" w:cs="Segoe UI"/>
          <w:noProof/>
          <w:szCs w:val="24"/>
        </w:rPr>
        <w:t xml:space="preserve"> </w:t>
      </w:r>
      <w:r w:rsidRPr="00C275EA">
        <w:rPr>
          <w:rFonts w:ascii="Segoe UI" w:hAnsi="Segoe UI" w:cs="Segoe UI"/>
          <w:b/>
          <w:bCs/>
          <w:noProof/>
          <w:szCs w:val="24"/>
        </w:rPr>
        <w:t>8</w:t>
      </w:r>
      <w:r w:rsidRPr="00C275EA">
        <w:rPr>
          <w:rFonts w:ascii="Segoe UI" w:hAnsi="Segoe UI" w:cs="Segoe UI"/>
          <w:noProof/>
          <w:szCs w:val="24"/>
        </w:rPr>
        <w:t>, e82849 (2013)</w:t>
      </w:r>
    </w:p>
    <w:p w14:paraId="0C7A3ECA" w14:textId="77777777" w:rsidR="00C275EA" w:rsidRPr="00C275EA" w:rsidRDefault="00C275EA" w:rsidP="00C275EA">
      <w:pPr>
        <w:widowControl w:val="0"/>
        <w:autoSpaceDE w:val="0"/>
        <w:autoSpaceDN w:val="0"/>
        <w:adjustRightInd w:val="0"/>
        <w:ind w:left="640" w:hanging="640"/>
        <w:rPr>
          <w:rFonts w:ascii="Segoe UI" w:hAnsi="Segoe UI" w:cs="Segoe UI"/>
          <w:noProof/>
          <w:szCs w:val="24"/>
        </w:rPr>
      </w:pPr>
      <w:r w:rsidRPr="00C275EA">
        <w:rPr>
          <w:rFonts w:ascii="Segoe UI" w:hAnsi="Segoe UI" w:cs="Segoe UI"/>
          <w:noProof/>
          <w:szCs w:val="24"/>
        </w:rPr>
        <w:t>42.</w:t>
      </w:r>
      <w:r w:rsidRPr="00C275EA">
        <w:rPr>
          <w:rFonts w:ascii="Segoe UI" w:hAnsi="Segoe UI" w:cs="Segoe UI"/>
          <w:noProof/>
          <w:szCs w:val="24"/>
        </w:rPr>
        <w:tab/>
        <w:t xml:space="preserve">Richards, S. </w:t>
      </w:r>
      <w:r w:rsidRPr="00C275EA">
        <w:rPr>
          <w:rFonts w:ascii="Segoe UI" w:hAnsi="Segoe UI" w:cs="Segoe UI"/>
          <w:i/>
          <w:iCs/>
          <w:noProof/>
          <w:szCs w:val="24"/>
        </w:rPr>
        <w:t>et al.</w:t>
      </w:r>
      <w:r w:rsidRPr="00C275EA">
        <w:rPr>
          <w:rFonts w:ascii="Segoe UI" w:hAnsi="Segoe UI" w:cs="Segoe UI"/>
          <w:noProof/>
          <w:szCs w:val="24"/>
        </w:rPr>
        <w:t xml:space="preserve"> Standards and guidelines for the interpretation of sequence variants: A joint consensus recommendation of the American College of Medical Genetics and Genomics and the Association for Molecular Pathology. </w:t>
      </w:r>
      <w:r w:rsidRPr="00C275EA">
        <w:rPr>
          <w:rFonts w:ascii="Segoe UI" w:hAnsi="Segoe UI" w:cs="Segoe UI"/>
          <w:i/>
          <w:iCs/>
          <w:noProof/>
          <w:szCs w:val="24"/>
        </w:rPr>
        <w:t>Genet. Med.</w:t>
      </w:r>
      <w:r w:rsidRPr="00C275EA">
        <w:rPr>
          <w:rFonts w:ascii="Segoe UI" w:hAnsi="Segoe UI" w:cs="Segoe UI"/>
          <w:noProof/>
          <w:szCs w:val="24"/>
        </w:rPr>
        <w:t xml:space="preserve"> </w:t>
      </w:r>
      <w:r w:rsidRPr="00C275EA">
        <w:rPr>
          <w:rFonts w:ascii="Segoe UI" w:hAnsi="Segoe UI" w:cs="Segoe UI"/>
          <w:b/>
          <w:bCs/>
          <w:noProof/>
          <w:szCs w:val="24"/>
        </w:rPr>
        <w:t>17</w:t>
      </w:r>
      <w:r w:rsidRPr="00C275EA">
        <w:rPr>
          <w:rFonts w:ascii="Segoe UI" w:hAnsi="Segoe UI" w:cs="Segoe UI"/>
          <w:noProof/>
          <w:szCs w:val="24"/>
        </w:rPr>
        <w:t>, 405–424 (2015)</w:t>
      </w:r>
    </w:p>
    <w:p w14:paraId="48C775DE" w14:textId="77777777" w:rsidR="00C275EA" w:rsidRPr="00C275EA" w:rsidRDefault="00C275EA" w:rsidP="00C275EA">
      <w:pPr>
        <w:widowControl w:val="0"/>
        <w:autoSpaceDE w:val="0"/>
        <w:autoSpaceDN w:val="0"/>
        <w:adjustRightInd w:val="0"/>
        <w:ind w:left="640" w:hanging="640"/>
        <w:rPr>
          <w:rFonts w:ascii="Segoe UI" w:hAnsi="Segoe UI" w:cs="Segoe UI"/>
          <w:noProof/>
          <w:szCs w:val="24"/>
        </w:rPr>
      </w:pPr>
      <w:r w:rsidRPr="00C275EA">
        <w:rPr>
          <w:rFonts w:ascii="Segoe UI" w:hAnsi="Segoe UI" w:cs="Segoe UI"/>
          <w:noProof/>
          <w:szCs w:val="24"/>
        </w:rPr>
        <w:t>43.</w:t>
      </w:r>
      <w:r w:rsidRPr="00C275EA">
        <w:rPr>
          <w:rFonts w:ascii="Segoe UI" w:hAnsi="Segoe UI" w:cs="Segoe UI"/>
          <w:noProof/>
          <w:szCs w:val="24"/>
        </w:rPr>
        <w:tab/>
        <w:t xml:space="preserve">Varadi, M. </w:t>
      </w:r>
      <w:r w:rsidRPr="00C275EA">
        <w:rPr>
          <w:rFonts w:ascii="Segoe UI" w:hAnsi="Segoe UI" w:cs="Segoe UI"/>
          <w:i/>
          <w:iCs/>
          <w:noProof/>
          <w:szCs w:val="24"/>
        </w:rPr>
        <w:t>et al.</w:t>
      </w:r>
      <w:r w:rsidRPr="00C275EA">
        <w:rPr>
          <w:rFonts w:ascii="Segoe UI" w:hAnsi="Segoe UI" w:cs="Segoe UI"/>
          <w:noProof/>
          <w:szCs w:val="24"/>
        </w:rPr>
        <w:t xml:space="preserve"> AlphaFold Protein Structure Database: massively expanding the </w:t>
      </w:r>
      <w:r w:rsidRPr="00C275EA">
        <w:rPr>
          <w:rFonts w:ascii="Segoe UI" w:hAnsi="Segoe UI" w:cs="Segoe UI"/>
          <w:noProof/>
          <w:szCs w:val="24"/>
        </w:rPr>
        <w:lastRenderedPageBreak/>
        <w:t xml:space="preserve">structural coverage of protein-sequence space with high-accuracy models. </w:t>
      </w:r>
      <w:r w:rsidRPr="00C275EA">
        <w:rPr>
          <w:rFonts w:ascii="Segoe UI" w:hAnsi="Segoe UI" w:cs="Segoe UI"/>
          <w:i/>
          <w:iCs/>
          <w:noProof/>
          <w:szCs w:val="24"/>
        </w:rPr>
        <w:t>Nucleic Acids Res.</w:t>
      </w:r>
      <w:r w:rsidRPr="00C275EA">
        <w:rPr>
          <w:rFonts w:ascii="Segoe UI" w:hAnsi="Segoe UI" w:cs="Segoe UI"/>
          <w:noProof/>
          <w:szCs w:val="24"/>
        </w:rPr>
        <w:t xml:space="preserve"> </w:t>
      </w:r>
      <w:r w:rsidRPr="00C275EA">
        <w:rPr>
          <w:rFonts w:ascii="Segoe UI" w:hAnsi="Segoe UI" w:cs="Segoe UI"/>
          <w:b/>
          <w:bCs/>
          <w:noProof/>
          <w:szCs w:val="24"/>
        </w:rPr>
        <w:t>50</w:t>
      </w:r>
      <w:r w:rsidRPr="00C275EA">
        <w:rPr>
          <w:rFonts w:ascii="Segoe UI" w:hAnsi="Segoe UI" w:cs="Segoe UI"/>
          <w:noProof/>
          <w:szCs w:val="24"/>
        </w:rPr>
        <w:t>, D439–D444 (2022)</w:t>
      </w:r>
    </w:p>
    <w:p w14:paraId="27019F1D" w14:textId="77777777" w:rsidR="00C275EA" w:rsidRPr="00C275EA" w:rsidRDefault="00C275EA" w:rsidP="00C275EA">
      <w:pPr>
        <w:widowControl w:val="0"/>
        <w:autoSpaceDE w:val="0"/>
        <w:autoSpaceDN w:val="0"/>
        <w:adjustRightInd w:val="0"/>
        <w:ind w:left="640" w:hanging="640"/>
        <w:rPr>
          <w:rFonts w:ascii="Segoe UI" w:hAnsi="Segoe UI" w:cs="Segoe UI"/>
          <w:noProof/>
          <w:szCs w:val="24"/>
        </w:rPr>
      </w:pPr>
      <w:r w:rsidRPr="00C275EA">
        <w:rPr>
          <w:rFonts w:ascii="Segoe UI" w:hAnsi="Segoe UI" w:cs="Segoe UI"/>
          <w:noProof/>
          <w:szCs w:val="24"/>
        </w:rPr>
        <w:t>44.</w:t>
      </w:r>
      <w:r w:rsidRPr="00C275EA">
        <w:rPr>
          <w:rFonts w:ascii="Segoe UI" w:hAnsi="Segoe UI" w:cs="Segoe UI"/>
          <w:noProof/>
          <w:szCs w:val="24"/>
        </w:rPr>
        <w:tab/>
        <w:t xml:space="preserve">Jumper, J. </w:t>
      </w:r>
      <w:r w:rsidRPr="00C275EA">
        <w:rPr>
          <w:rFonts w:ascii="Segoe UI" w:hAnsi="Segoe UI" w:cs="Segoe UI"/>
          <w:i/>
          <w:iCs/>
          <w:noProof/>
          <w:szCs w:val="24"/>
        </w:rPr>
        <w:t>et al.</w:t>
      </w:r>
      <w:r w:rsidRPr="00C275EA">
        <w:rPr>
          <w:rFonts w:ascii="Segoe UI" w:hAnsi="Segoe UI" w:cs="Segoe UI"/>
          <w:noProof/>
          <w:szCs w:val="24"/>
        </w:rPr>
        <w:t xml:space="preserve"> Highly accurate protein structure prediction with AlphaFold. </w:t>
      </w:r>
      <w:r w:rsidRPr="00C275EA">
        <w:rPr>
          <w:rFonts w:ascii="Segoe UI" w:hAnsi="Segoe UI" w:cs="Segoe UI"/>
          <w:i/>
          <w:iCs/>
          <w:noProof/>
          <w:szCs w:val="24"/>
        </w:rPr>
        <w:t>Nat. 2021 5967873</w:t>
      </w:r>
      <w:r w:rsidRPr="00C275EA">
        <w:rPr>
          <w:rFonts w:ascii="Segoe UI" w:hAnsi="Segoe UI" w:cs="Segoe UI"/>
          <w:noProof/>
          <w:szCs w:val="24"/>
        </w:rPr>
        <w:t xml:space="preserve"> </w:t>
      </w:r>
      <w:r w:rsidRPr="00C275EA">
        <w:rPr>
          <w:rFonts w:ascii="Segoe UI" w:hAnsi="Segoe UI" w:cs="Segoe UI"/>
          <w:b/>
          <w:bCs/>
          <w:noProof/>
          <w:szCs w:val="24"/>
        </w:rPr>
        <w:t>596</w:t>
      </w:r>
      <w:r w:rsidRPr="00C275EA">
        <w:rPr>
          <w:rFonts w:ascii="Segoe UI" w:hAnsi="Segoe UI" w:cs="Segoe UI"/>
          <w:noProof/>
          <w:szCs w:val="24"/>
        </w:rPr>
        <w:t>, 583–589 (2021)</w:t>
      </w:r>
    </w:p>
    <w:p w14:paraId="0441F0BC" w14:textId="77777777" w:rsidR="00C275EA" w:rsidRPr="00C275EA" w:rsidRDefault="00C275EA" w:rsidP="00C275EA">
      <w:pPr>
        <w:widowControl w:val="0"/>
        <w:autoSpaceDE w:val="0"/>
        <w:autoSpaceDN w:val="0"/>
        <w:adjustRightInd w:val="0"/>
        <w:ind w:left="640" w:hanging="640"/>
        <w:rPr>
          <w:rFonts w:ascii="Segoe UI" w:hAnsi="Segoe UI" w:cs="Segoe UI"/>
          <w:noProof/>
          <w:szCs w:val="24"/>
        </w:rPr>
      </w:pPr>
      <w:r w:rsidRPr="00C275EA">
        <w:rPr>
          <w:rFonts w:ascii="Segoe UI" w:hAnsi="Segoe UI" w:cs="Segoe UI"/>
          <w:noProof/>
          <w:szCs w:val="24"/>
        </w:rPr>
        <w:t>45.</w:t>
      </w:r>
      <w:r w:rsidRPr="00C275EA">
        <w:rPr>
          <w:rFonts w:ascii="Segoe UI" w:hAnsi="Segoe UI" w:cs="Segoe UI"/>
          <w:noProof/>
          <w:szCs w:val="24"/>
        </w:rPr>
        <w:tab/>
        <w:t xml:space="preserve">Mannella, V. </w:t>
      </w:r>
      <w:r w:rsidRPr="00C275EA">
        <w:rPr>
          <w:rFonts w:ascii="Segoe UI" w:hAnsi="Segoe UI" w:cs="Segoe UI"/>
          <w:i/>
          <w:iCs/>
          <w:noProof/>
          <w:szCs w:val="24"/>
        </w:rPr>
        <w:t>et al.</w:t>
      </w:r>
      <w:r w:rsidRPr="00C275EA">
        <w:rPr>
          <w:rFonts w:ascii="Segoe UI" w:hAnsi="Segoe UI" w:cs="Segoe UI"/>
          <w:noProof/>
          <w:szCs w:val="24"/>
        </w:rPr>
        <w:t xml:space="preserve"> The N-Terminal Domain of NPHP1 Folds into a Monomeric Left-Handed Antiparallel Three-Stranded Coiled Coil with Anti-apoptotic Function. </w:t>
      </w:r>
      <w:r w:rsidRPr="00C275EA">
        <w:rPr>
          <w:rFonts w:ascii="Segoe UI" w:hAnsi="Segoe UI" w:cs="Segoe UI"/>
          <w:i/>
          <w:iCs/>
          <w:noProof/>
          <w:szCs w:val="24"/>
        </w:rPr>
        <w:t>ACS Chem. Biol.</w:t>
      </w:r>
      <w:r w:rsidRPr="00C275EA">
        <w:rPr>
          <w:rFonts w:ascii="Segoe UI" w:hAnsi="Segoe UI" w:cs="Segoe UI"/>
          <w:noProof/>
          <w:szCs w:val="24"/>
        </w:rPr>
        <w:t xml:space="preserve"> </w:t>
      </w:r>
      <w:r w:rsidRPr="00C275EA">
        <w:rPr>
          <w:rFonts w:ascii="Segoe UI" w:hAnsi="Segoe UI" w:cs="Segoe UI"/>
          <w:b/>
          <w:bCs/>
          <w:noProof/>
          <w:szCs w:val="24"/>
        </w:rPr>
        <w:t>14</w:t>
      </w:r>
      <w:r w:rsidRPr="00C275EA">
        <w:rPr>
          <w:rFonts w:ascii="Segoe UI" w:hAnsi="Segoe UI" w:cs="Segoe UI"/>
          <w:noProof/>
          <w:szCs w:val="24"/>
        </w:rPr>
        <w:t>, 1845–1854 (2019)</w:t>
      </w:r>
    </w:p>
    <w:p w14:paraId="70BCFD90" w14:textId="77777777" w:rsidR="00C275EA" w:rsidRPr="00C275EA" w:rsidRDefault="00C275EA" w:rsidP="00C275EA">
      <w:pPr>
        <w:widowControl w:val="0"/>
        <w:autoSpaceDE w:val="0"/>
        <w:autoSpaceDN w:val="0"/>
        <w:adjustRightInd w:val="0"/>
        <w:ind w:left="640" w:hanging="640"/>
        <w:rPr>
          <w:rFonts w:ascii="Segoe UI" w:hAnsi="Segoe UI" w:cs="Segoe UI"/>
          <w:noProof/>
          <w:szCs w:val="24"/>
        </w:rPr>
      </w:pPr>
      <w:r w:rsidRPr="00C275EA">
        <w:rPr>
          <w:rFonts w:ascii="Segoe UI" w:hAnsi="Segoe UI" w:cs="Segoe UI"/>
          <w:noProof/>
          <w:szCs w:val="24"/>
        </w:rPr>
        <w:t>46.</w:t>
      </w:r>
      <w:r w:rsidRPr="00C275EA">
        <w:rPr>
          <w:rFonts w:ascii="Segoe UI" w:hAnsi="Segoe UI" w:cs="Segoe UI"/>
          <w:noProof/>
          <w:szCs w:val="24"/>
        </w:rPr>
        <w:tab/>
        <w:t xml:space="preserve">Le Maire, A. </w:t>
      </w:r>
      <w:r w:rsidRPr="00C275EA">
        <w:rPr>
          <w:rFonts w:ascii="Segoe UI" w:hAnsi="Segoe UI" w:cs="Segoe UI"/>
          <w:i/>
          <w:iCs/>
          <w:noProof/>
          <w:szCs w:val="24"/>
        </w:rPr>
        <w:t>et al.</w:t>
      </w:r>
      <w:r w:rsidRPr="00C275EA">
        <w:rPr>
          <w:rFonts w:ascii="Segoe UI" w:hAnsi="Segoe UI" w:cs="Segoe UI"/>
          <w:noProof/>
          <w:szCs w:val="24"/>
        </w:rPr>
        <w:t xml:space="preserve"> Solution NMR structure of the SH3 domain of human nephrocystin and analysis of a mutation-causing juvenile nephronophthisis. </w:t>
      </w:r>
      <w:r w:rsidRPr="00C275EA">
        <w:rPr>
          <w:rFonts w:ascii="Segoe UI" w:hAnsi="Segoe UI" w:cs="Segoe UI"/>
          <w:i/>
          <w:iCs/>
          <w:noProof/>
          <w:szCs w:val="24"/>
        </w:rPr>
        <w:t>Proteins Struct. Funct. Bioinforma.</w:t>
      </w:r>
      <w:r w:rsidRPr="00C275EA">
        <w:rPr>
          <w:rFonts w:ascii="Segoe UI" w:hAnsi="Segoe UI" w:cs="Segoe UI"/>
          <w:noProof/>
          <w:szCs w:val="24"/>
        </w:rPr>
        <w:t xml:space="preserve"> </w:t>
      </w:r>
      <w:r w:rsidRPr="00C275EA">
        <w:rPr>
          <w:rFonts w:ascii="Segoe UI" w:hAnsi="Segoe UI" w:cs="Segoe UI"/>
          <w:b/>
          <w:bCs/>
          <w:noProof/>
          <w:szCs w:val="24"/>
        </w:rPr>
        <w:t>59</w:t>
      </w:r>
      <w:r w:rsidRPr="00C275EA">
        <w:rPr>
          <w:rFonts w:ascii="Segoe UI" w:hAnsi="Segoe UI" w:cs="Segoe UI"/>
          <w:noProof/>
          <w:szCs w:val="24"/>
        </w:rPr>
        <w:t>, 347–355 (2005)</w:t>
      </w:r>
    </w:p>
    <w:p w14:paraId="1D587008" w14:textId="77777777" w:rsidR="00C275EA" w:rsidRPr="00C275EA" w:rsidRDefault="00C275EA" w:rsidP="00C275EA">
      <w:pPr>
        <w:widowControl w:val="0"/>
        <w:autoSpaceDE w:val="0"/>
        <w:autoSpaceDN w:val="0"/>
        <w:adjustRightInd w:val="0"/>
        <w:ind w:left="640" w:hanging="640"/>
        <w:rPr>
          <w:rFonts w:ascii="Segoe UI" w:hAnsi="Segoe UI" w:cs="Segoe UI"/>
          <w:noProof/>
        </w:rPr>
      </w:pPr>
      <w:r w:rsidRPr="00C275EA">
        <w:rPr>
          <w:rFonts w:ascii="Segoe UI" w:hAnsi="Segoe UI" w:cs="Segoe UI"/>
          <w:noProof/>
          <w:szCs w:val="24"/>
        </w:rPr>
        <w:t>47.</w:t>
      </w:r>
      <w:r w:rsidRPr="00C275EA">
        <w:rPr>
          <w:rFonts w:ascii="Segoe UI" w:hAnsi="Segoe UI" w:cs="Segoe UI"/>
          <w:noProof/>
          <w:szCs w:val="24"/>
        </w:rPr>
        <w:tab/>
        <w:t xml:space="preserve">Posey, J. E. </w:t>
      </w:r>
      <w:r w:rsidRPr="00C275EA">
        <w:rPr>
          <w:rFonts w:ascii="Segoe UI" w:hAnsi="Segoe UI" w:cs="Segoe UI"/>
          <w:i/>
          <w:iCs/>
          <w:noProof/>
          <w:szCs w:val="24"/>
        </w:rPr>
        <w:t>et al.</w:t>
      </w:r>
      <w:r w:rsidRPr="00C275EA">
        <w:rPr>
          <w:rFonts w:ascii="Segoe UI" w:hAnsi="Segoe UI" w:cs="Segoe UI"/>
          <w:noProof/>
          <w:szCs w:val="24"/>
        </w:rPr>
        <w:t xml:space="preserve"> Resolution of Disease Phenotypes Resulting from Multilocus Genomic Variation. </w:t>
      </w:r>
      <w:r w:rsidRPr="00C275EA">
        <w:rPr>
          <w:rFonts w:ascii="Segoe UI" w:hAnsi="Segoe UI" w:cs="Segoe UI"/>
          <w:i/>
          <w:iCs/>
          <w:noProof/>
          <w:szCs w:val="24"/>
        </w:rPr>
        <w:t>N. Engl. J. Med.</w:t>
      </w:r>
      <w:r w:rsidRPr="00C275EA">
        <w:rPr>
          <w:rFonts w:ascii="Segoe UI" w:hAnsi="Segoe UI" w:cs="Segoe UI"/>
          <w:noProof/>
          <w:szCs w:val="24"/>
        </w:rPr>
        <w:t xml:space="preserve"> </w:t>
      </w:r>
      <w:r w:rsidRPr="00C275EA">
        <w:rPr>
          <w:rFonts w:ascii="Segoe UI" w:hAnsi="Segoe UI" w:cs="Segoe UI"/>
          <w:b/>
          <w:bCs/>
          <w:noProof/>
          <w:szCs w:val="24"/>
        </w:rPr>
        <w:t>376</w:t>
      </w:r>
      <w:r w:rsidRPr="00C275EA">
        <w:rPr>
          <w:rFonts w:ascii="Segoe UI" w:hAnsi="Segoe UI" w:cs="Segoe UI"/>
          <w:noProof/>
          <w:szCs w:val="24"/>
        </w:rPr>
        <w:t>, 21–31 (2017)</w:t>
      </w:r>
    </w:p>
    <w:p w14:paraId="72947328" w14:textId="2D4B511E" w:rsidR="00023660" w:rsidRPr="0058436C" w:rsidRDefault="002A25B5" w:rsidP="005614E6">
      <w:pPr>
        <w:pStyle w:val="BodyText"/>
        <w:rPr>
          <w:rFonts w:ascii="Segoe UI" w:hAnsi="Segoe UI" w:cs="Segoe UI"/>
        </w:rPr>
        <w:sectPr w:rsidR="00023660" w:rsidRPr="0058436C" w:rsidSect="00036EBD">
          <w:headerReference w:type="default" r:id="rId17"/>
          <w:pgSz w:w="11906" w:h="16838"/>
          <w:pgMar w:top="1440" w:right="1440" w:bottom="1440" w:left="1440" w:header="708" w:footer="708" w:gutter="0"/>
          <w:lnNumType w:countBy="1" w:restart="continuous"/>
          <w:cols w:space="708"/>
          <w:docGrid w:linePitch="360"/>
        </w:sectPr>
      </w:pPr>
      <w:r w:rsidRPr="0058436C">
        <w:rPr>
          <w:rFonts w:ascii="Segoe UI" w:hAnsi="Segoe UI" w:cs="Segoe UI"/>
        </w:rPr>
        <w:fldChar w:fldCharType="end"/>
      </w:r>
    </w:p>
    <w:p w14:paraId="2F9B9416" w14:textId="5EE0AF25" w:rsidR="00B1700B" w:rsidRPr="0058436C" w:rsidRDefault="00B7282C" w:rsidP="004728E0">
      <w:pPr>
        <w:pStyle w:val="Heading1"/>
        <w:rPr>
          <w:rFonts w:ascii="Segoe UI" w:hAnsi="Segoe UI" w:cs="Segoe UI"/>
        </w:rPr>
      </w:pPr>
      <w:r w:rsidRPr="0058436C">
        <w:rPr>
          <w:rFonts w:ascii="Segoe UI" w:hAnsi="Segoe UI" w:cs="Segoe UI"/>
        </w:rPr>
        <w:t>Author Information</w:t>
      </w:r>
    </w:p>
    <w:p w14:paraId="34016B5B" w14:textId="1D9B326C" w:rsidR="001D24BF" w:rsidRDefault="001D24BF" w:rsidP="00CD246B">
      <w:pPr>
        <w:pStyle w:val="Heading2"/>
      </w:pPr>
      <w:r w:rsidRPr="001D24BF">
        <w:t>Authors and Affiliations</w:t>
      </w:r>
    </w:p>
    <w:p w14:paraId="599CE0BA" w14:textId="15C2401C" w:rsidR="00E05854" w:rsidRPr="00732F02" w:rsidRDefault="00E05854" w:rsidP="00E05854">
      <w:pPr>
        <w:spacing w:after="0" w:line="480" w:lineRule="auto"/>
        <w:rPr>
          <w:rFonts w:ascii="Segoe UI" w:hAnsi="Segoe UI" w:cs="Segoe UI"/>
          <w:b/>
        </w:rPr>
      </w:pPr>
      <w:r w:rsidRPr="00732F02">
        <w:rPr>
          <w:rFonts w:ascii="Segoe UI" w:hAnsi="Segoe UI" w:cs="Segoe UI"/>
          <w:b/>
        </w:rPr>
        <w:t>University of Southampton, Duthie Building (MP 808), Southampton General Hospital, Tremona Road Shirley, Southampton SO16 6YD, UK</w:t>
      </w:r>
    </w:p>
    <w:p w14:paraId="582239CD" w14:textId="27B119E7" w:rsidR="00DD403A" w:rsidRPr="00E05854" w:rsidRDefault="00DD403A" w:rsidP="00E05854">
      <w:pPr>
        <w:spacing w:after="0" w:line="480" w:lineRule="auto"/>
        <w:rPr>
          <w:rFonts w:ascii="Segoe UI" w:hAnsi="Segoe UI" w:cs="Segoe UI"/>
          <w:b/>
        </w:rPr>
      </w:pPr>
      <w:r>
        <w:rPr>
          <w:rFonts w:ascii="Segoe UI" w:hAnsi="Segoe UI" w:cs="Segoe UI"/>
          <w:bCs/>
        </w:rPr>
        <w:t xml:space="preserve">Gary Leggatt, Guo Cheng, Sumit Narain, Christine Gast, </w:t>
      </w:r>
      <w:r w:rsidR="009B5040">
        <w:rPr>
          <w:rFonts w:ascii="Segoe UI" w:hAnsi="Segoe UI" w:cs="Segoe UI"/>
          <w:bCs/>
        </w:rPr>
        <w:t>Rodney D Gilbert &amp; Sarah Ennis</w:t>
      </w:r>
    </w:p>
    <w:p w14:paraId="351707BA" w14:textId="670C3011" w:rsidR="00E05854" w:rsidRPr="00732F02" w:rsidRDefault="00E6116B" w:rsidP="00E05854">
      <w:pPr>
        <w:spacing w:after="0" w:line="480" w:lineRule="auto"/>
        <w:rPr>
          <w:rFonts w:ascii="Segoe UI" w:hAnsi="Segoe UI" w:cs="Segoe UI"/>
          <w:b/>
          <w:bCs/>
        </w:rPr>
      </w:pPr>
      <w:r w:rsidRPr="00732F02">
        <w:rPr>
          <w:rFonts w:ascii="Segoe UI" w:hAnsi="Segoe UI" w:cs="Segoe UI"/>
          <w:b/>
          <w:bCs/>
        </w:rPr>
        <w:t xml:space="preserve">Wessex Kidney Centre, Portsmouth </w:t>
      </w:r>
      <w:r w:rsidR="00CC0AFE" w:rsidRPr="00732F02">
        <w:rPr>
          <w:rFonts w:ascii="Segoe UI" w:hAnsi="Segoe UI" w:cs="Segoe UI"/>
          <w:b/>
          <w:bCs/>
        </w:rPr>
        <w:t>Hospitals University</w:t>
      </w:r>
      <w:r w:rsidRPr="00732F02">
        <w:rPr>
          <w:rFonts w:ascii="Segoe UI" w:hAnsi="Segoe UI" w:cs="Segoe UI"/>
          <w:b/>
          <w:bCs/>
        </w:rPr>
        <w:t xml:space="preserve"> NHS Trust, Southwick Hill Road, Cosham, Portsmouth PO6 3LY, UK</w:t>
      </w:r>
    </w:p>
    <w:p w14:paraId="654FE75C" w14:textId="42824ED4" w:rsidR="00DD403A" w:rsidRDefault="00DD403A" w:rsidP="00E05854">
      <w:pPr>
        <w:spacing w:after="0" w:line="480" w:lineRule="auto"/>
        <w:rPr>
          <w:rFonts w:ascii="Segoe UI" w:hAnsi="Segoe UI" w:cs="Segoe UI"/>
        </w:rPr>
      </w:pPr>
      <w:r>
        <w:rPr>
          <w:rFonts w:ascii="Segoe UI" w:hAnsi="Segoe UI" w:cs="Segoe UI"/>
        </w:rPr>
        <w:t>Gary Leggatt</w:t>
      </w:r>
      <w:r w:rsidR="009B5040">
        <w:rPr>
          <w:rFonts w:ascii="Segoe UI" w:hAnsi="Segoe UI" w:cs="Segoe UI"/>
        </w:rPr>
        <w:t xml:space="preserve"> &amp; </w:t>
      </w:r>
      <w:r w:rsidR="009B5040">
        <w:rPr>
          <w:rFonts w:ascii="Segoe UI" w:hAnsi="Segoe UI" w:cs="Segoe UI"/>
          <w:bCs/>
        </w:rPr>
        <w:t>Christine Gast</w:t>
      </w:r>
    </w:p>
    <w:p w14:paraId="17882E3A" w14:textId="25C9F731" w:rsidR="00D47C92" w:rsidRPr="00D47C92" w:rsidRDefault="00D47C92" w:rsidP="00D47C92">
      <w:pPr>
        <w:spacing w:after="0" w:line="480" w:lineRule="auto"/>
        <w:rPr>
          <w:rFonts w:ascii="Segoe UI" w:hAnsi="Segoe UI" w:cs="Segoe UI"/>
          <w:b/>
          <w:bCs/>
        </w:rPr>
      </w:pPr>
      <w:r w:rsidRPr="00D47C92">
        <w:rPr>
          <w:rFonts w:ascii="Segoe UI" w:hAnsi="Segoe UI" w:cs="Segoe UI"/>
          <w:b/>
          <w:bCs/>
        </w:rPr>
        <w:t>Me</w:t>
      </w:r>
      <w:r>
        <w:rPr>
          <w:rFonts w:ascii="Segoe UI" w:hAnsi="Segoe UI" w:cs="Segoe UI"/>
          <w:b/>
          <w:bCs/>
        </w:rPr>
        <w:t>detia</w:t>
      </w:r>
      <w:r w:rsidRPr="00D47C92">
        <w:rPr>
          <w:rFonts w:ascii="Segoe UI" w:hAnsi="Segoe UI" w:cs="Segoe UI"/>
          <w:b/>
          <w:bCs/>
        </w:rPr>
        <w:t xml:space="preserve">, </w:t>
      </w:r>
      <w:r w:rsidRPr="00D47C92">
        <w:rPr>
          <w:rFonts w:ascii="Segoe UI" w:hAnsi="Segoe UI" w:cs="Segoe UI"/>
          <w:b/>
          <w:bCs/>
          <w:lang w:val="fr-FR"/>
        </w:rPr>
        <w:t>Institut Imagine, 24 Boulevard du Montparnasse, Paris 75015, France</w:t>
      </w:r>
    </w:p>
    <w:p w14:paraId="5A555A93" w14:textId="58DBB245" w:rsidR="00DD403A" w:rsidRDefault="00DD403A" w:rsidP="00DD403A">
      <w:pPr>
        <w:spacing w:after="0" w:line="480" w:lineRule="auto"/>
        <w:rPr>
          <w:rFonts w:ascii="Segoe UI" w:hAnsi="Segoe UI" w:cs="Segoe UI"/>
        </w:rPr>
      </w:pPr>
      <w:r>
        <w:rPr>
          <w:rFonts w:ascii="Segoe UI" w:hAnsi="Segoe UI" w:cs="Segoe UI"/>
        </w:rPr>
        <w:t>Luis Briseño-Roa &amp;</w:t>
      </w:r>
      <w:r w:rsidRPr="00F0254C">
        <w:rPr>
          <w:rFonts w:ascii="Segoe UI" w:hAnsi="Segoe UI" w:cs="Segoe UI"/>
        </w:rPr>
        <w:t xml:space="preserve"> </w:t>
      </w:r>
      <w:r w:rsidR="00732F02">
        <w:rPr>
          <w:rFonts w:ascii="Segoe UI" w:hAnsi="Segoe UI" w:cs="Segoe UI"/>
        </w:rPr>
        <w:t>Jean-Phil</w:t>
      </w:r>
      <w:r>
        <w:rPr>
          <w:rFonts w:ascii="Segoe UI" w:hAnsi="Segoe UI" w:cs="Segoe UI"/>
        </w:rPr>
        <w:t>ip</w:t>
      </w:r>
      <w:r w:rsidR="00732F02">
        <w:rPr>
          <w:rFonts w:ascii="Segoe UI" w:hAnsi="Segoe UI" w:cs="Segoe UI"/>
        </w:rPr>
        <w:t>p</w:t>
      </w:r>
      <w:r>
        <w:rPr>
          <w:rFonts w:ascii="Segoe UI" w:hAnsi="Segoe UI" w:cs="Segoe UI"/>
        </w:rPr>
        <w:t xml:space="preserve">e </w:t>
      </w:r>
      <w:r w:rsidRPr="00F0254C">
        <w:rPr>
          <w:rFonts w:ascii="Segoe UI" w:hAnsi="Segoe UI" w:cs="Segoe UI"/>
        </w:rPr>
        <w:t>Annereau</w:t>
      </w:r>
    </w:p>
    <w:p w14:paraId="2494680B" w14:textId="32329A47" w:rsidR="00E05854" w:rsidRPr="00732F02" w:rsidRDefault="00535E35" w:rsidP="00E05854">
      <w:pPr>
        <w:spacing w:after="0" w:line="480" w:lineRule="auto"/>
        <w:rPr>
          <w:rFonts w:ascii="Segoe UI" w:hAnsi="Segoe UI" w:cs="Segoe UI"/>
          <w:b/>
          <w:bCs/>
        </w:rPr>
      </w:pPr>
      <w:r w:rsidRPr="00732F02">
        <w:rPr>
          <w:rFonts w:ascii="Segoe UI" w:hAnsi="Segoe UI" w:cs="Segoe UI"/>
          <w:b/>
          <w:bCs/>
        </w:rPr>
        <w:lastRenderedPageBreak/>
        <w:t xml:space="preserve">Southampton Children's Hospital, </w:t>
      </w:r>
      <w:r w:rsidR="00E05854" w:rsidRPr="00732F02">
        <w:rPr>
          <w:rFonts w:ascii="Segoe UI" w:hAnsi="Segoe UI" w:cs="Segoe UI"/>
          <w:b/>
          <w:bCs/>
        </w:rPr>
        <w:t>Southampton General Hospital, Tremona Road Shirley, Southampton SO16 6YD, UK</w:t>
      </w:r>
    </w:p>
    <w:p w14:paraId="61E54B85" w14:textId="3AB52B77" w:rsidR="00DD403A" w:rsidRPr="00052EC1" w:rsidRDefault="00DD403A" w:rsidP="00E05854">
      <w:pPr>
        <w:spacing w:after="0" w:line="480" w:lineRule="auto"/>
        <w:rPr>
          <w:rFonts w:ascii="Segoe UI" w:hAnsi="Segoe UI" w:cs="Segoe UI"/>
        </w:rPr>
      </w:pPr>
      <w:r>
        <w:rPr>
          <w:rFonts w:ascii="Segoe UI" w:hAnsi="Segoe UI" w:cs="Segoe UI"/>
        </w:rPr>
        <w:t>Rodney Gilbert</w:t>
      </w:r>
    </w:p>
    <w:p w14:paraId="16204555" w14:textId="1C0CBB7E" w:rsidR="00D40B10" w:rsidRPr="00052EC1" w:rsidRDefault="00535E35" w:rsidP="00E05854">
      <w:pPr>
        <w:spacing w:after="0" w:line="480" w:lineRule="auto"/>
        <w:rPr>
          <w:rFonts w:ascii="Segoe UI" w:hAnsi="Segoe UI" w:cs="Segoe UI"/>
          <w:b/>
          <w:bCs/>
        </w:rPr>
      </w:pPr>
      <w:r w:rsidRPr="00052EC1">
        <w:rPr>
          <w:rFonts w:ascii="Segoe UI" w:hAnsi="Segoe UI" w:cs="Segoe UI"/>
          <w:b/>
          <w:bCs/>
        </w:rPr>
        <w:t xml:space="preserve">University Hospital Southampton NHS Foundation Trust, </w:t>
      </w:r>
      <w:r w:rsidR="00E05854" w:rsidRPr="00052EC1">
        <w:rPr>
          <w:rFonts w:ascii="Segoe UI" w:hAnsi="Segoe UI" w:cs="Segoe UI"/>
          <w:b/>
          <w:bCs/>
        </w:rPr>
        <w:t>Southampton General Hospital, Tremona Road Shirley, Southampton SO16 6YD, UK</w:t>
      </w:r>
    </w:p>
    <w:p w14:paraId="2F818F7D" w14:textId="1797D768" w:rsidR="00EA618E" w:rsidRPr="00052EC1" w:rsidRDefault="00EA618E" w:rsidP="00E05854">
      <w:pPr>
        <w:spacing w:after="0" w:line="480" w:lineRule="auto"/>
        <w:rPr>
          <w:rFonts w:ascii="Segoe UI" w:hAnsi="Segoe UI" w:cs="Segoe UI"/>
        </w:rPr>
      </w:pPr>
      <w:r w:rsidRPr="00052EC1">
        <w:rPr>
          <w:rFonts w:ascii="Segoe UI" w:hAnsi="Segoe UI" w:cs="Segoe UI"/>
        </w:rPr>
        <w:t>Gary Leggatt</w:t>
      </w:r>
    </w:p>
    <w:p w14:paraId="6E971F94" w14:textId="4D311776" w:rsidR="00377281" w:rsidRPr="00052EC1" w:rsidRDefault="00D40B10" w:rsidP="00377281">
      <w:pPr>
        <w:pStyle w:val="Heading3"/>
        <w:numPr>
          <w:ilvl w:val="0"/>
          <w:numId w:val="0"/>
        </w:numPr>
        <w:shd w:val="clear" w:color="auto" w:fill="FFFFFF"/>
        <w:spacing w:before="0" w:line="480" w:lineRule="auto"/>
        <w:ind w:left="720" w:hanging="720"/>
        <w:rPr>
          <w:rFonts w:ascii="Segoe UI" w:hAnsi="Segoe UI" w:cs="Segoe UI"/>
          <w:color w:val="auto"/>
        </w:rPr>
      </w:pPr>
      <w:r w:rsidRPr="00052EC1">
        <w:rPr>
          <w:rFonts w:ascii="Segoe UI" w:hAnsi="Segoe UI" w:cs="Segoe UI"/>
          <w:color w:val="auto"/>
        </w:rPr>
        <w:t>Genomics England Research Consortium</w:t>
      </w:r>
    </w:p>
    <w:p w14:paraId="3E6B1D9A" w14:textId="11BB64EE" w:rsidR="00377281" w:rsidRPr="00052EC1" w:rsidRDefault="00377281" w:rsidP="004728E0">
      <w:pPr>
        <w:spacing w:after="0" w:line="480" w:lineRule="auto"/>
        <w:rPr>
          <w:rFonts w:ascii="Segoe UI" w:hAnsi="Segoe UI" w:cs="Segoe UI"/>
        </w:rPr>
      </w:pPr>
      <w:r w:rsidRPr="00052EC1">
        <w:rPr>
          <w:rFonts w:ascii="Segoe UI" w:hAnsi="Segoe UI" w:cs="Segoe UI"/>
        </w:rPr>
        <w:t>J. C. Ambrose, P. Arumugam, R. Bevers, M. Bleda, F. Boardman-Pretty, C. R. Boustred, H. Brittain, M.A Brown, M. J. Caulfield, G. C. Chan, T. Fowler, A. Giess, J. N.  Griffin, A. Hamblin, S. Henderson, T. J. P. Hubbard, R. Jackson, L. J. Jones, D. Kasperaviciute, M. Kayikci, A. Kousathanas, L. Lahnstein, A. Lakey, S. E. A. Leigh, I. U. S. Leong, F. J. Lopez, F. Maleady-Crowe, M. McEntagart, F. Minneci, J. Mitchell, L. Moutsianas, M. Mueller, N. Murugaesu, A. C. Need, P. O‘Donovan, C. A. Odhams, C. Patch, D. Perez-Gil, M. B. Pereira, J. Pullinger, T. Rahim, A. Rendon, T. Rogers, K. Savage, K. Sawant, R. H. Scott, A. Siddiq, A. Sieghart, S. C. Smith, A. Sosinsky, A. Stuckey, M. Tanguy, A. L. Taylor Tavares, E. R. A. Thomas, S. R. Thompson, A. Tucci, M. J. Welland, E. Williams, K. Witkowska, S. M. Wood &amp; M. Zarowiecki.</w:t>
      </w:r>
    </w:p>
    <w:p w14:paraId="3D0725F3" w14:textId="2C6A7576" w:rsidR="001D24BF" w:rsidRPr="00052EC1" w:rsidRDefault="001D24BF" w:rsidP="00CD246B">
      <w:pPr>
        <w:pStyle w:val="Heading2"/>
      </w:pPr>
      <w:r w:rsidRPr="00052EC1">
        <w:t>Contributions</w:t>
      </w:r>
    </w:p>
    <w:p w14:paraId="1B1FB139" w14:textId="5E20AD11" w:rsidR="00D40B10" w:rsidRPr="00052EC1" w:rsidRDefault="00344BEA" w:rsidP="004728E0">
      <w:pPr>
        <w:spacing w:after="0" w:line="480" w:lineRule="auto"/>
        <w:rPr>
          <w:rFonts w:ascii="Segoe UI" w:hAnsi="Segoe UI" w:cs="Segoe UI"/>
        </w:rPr>
      </w:pPr>
      <w:r w:rsidRPr="00052EC1">
        <w:rPr>
          <w:rFonts w:ascii="Segoe UI" w:hAnsi="Segoe UI" w:cs="Segoe UI"/>
        </w:rPr>
        <w:t xml:space="preserve">Analysis and interpretation of the </w:t>
      </w:r>
      <w:r w:rsidR="004728E0" w:rsidRPr="00052EC1">
        <w:rPr>
          <w:rFonts w:ascii="Segoe UI" w:hAnsi="Segoe UI" w:cs="Segoe UI"/>
        </w:rPr>
        <w:t>whole genome sequencing</w:t>
      </w:r>
      <w:r w:rsidRPr="00052EC1">
        <w:rPr>
          <w:rFonts w:ascii="Segoe UI" w:hAnsi="Segoe UI" w:cs="Segoe UI"/>
        </w:rPr>
        <w:t xml:space="preserve"> data were performed principally by </w:t>
      </w:r>
      <w:r w:rsidR="004728E0" w:rsidRPr="00052EC1">
        <w:rPr>
          <w:rFonts w:ascii="Segoe UI" w:hAnsi="Segoe UI" w:cs="Segoe UI"/>
        </w:rPr>
        <w:t xml:space="preserve">GL, GC, SN and SE.  </w:t>
      </w:r>
      <w:r w:rsidRPr="00052EC1">
        <w:rPr>
          <w:rFonts w:ascii="Segoe UI" w:hAnsi="Segoe UI" w:cs="Segoe UI"/>
        </w:rPr>
        <w:t xml:space="preserve">Expertise regarding </w:t>
      </w:r>
      <w:r w:rsidR="004728E0" w:rsidRPr="00052EC1">
        <w:rPr>
          <w:rFonts w:ascii="Segoe UI" w:hAnsi="Segoe UI" w:cs="Segoe UI"/>
        </w:rPr>
        <w:t xml:space="preserve">proteomics was provided by LBR and JPA. </w:t>
      </w:r>
      <w:r w:rsidRPr="00052EC1">
        <w:rPr>
          <w:rFonts w:ascii="Segoe UI" w:hAnsi="Segoe UI" w:cs="Segoe UI"/>
        </w:rPr>
        <w:t>Clinical perspective was provided by</w:t>
      </w:r>
      <w:r w:rsidR="004728E0" w:rsidRPr="00052EC1">
        <w:rPr>
          <w:rFonts w:ascii="Segoe UI" w:hAnsi="Segoe UI" w:cs="Segoe UI"/>
        </w:rPr>
        <w:t xml:space="preserve"> GL, CG and RDG. </w:t>
      </w:r>
      <w:r w:rsidRPr="00052EC1">
        <w:rPr>
          <w:rFonts w:ascii="Segoe UI" w:hAnsi="Segoe UI" w:cs="Segoe UI"/>
        </w:rPr>
        <w:t xml:space="preserve">The manuscript was written by </w:t>
      </w:r>
      <w:r w:rsidR="004728E0" w:rsidRPr="00052EC1">
        <w:rPr>
          <w:rFonts w:ascii="Segoe UI" w:hAnsi="Segoe UI" w:cs="Segoe UI"/>
        </w:rPr>
        <w:t>GL and LBR</w:t>
      </w:r>
      <w:r w:rsidRPr="00052EC1">
        <w:rPr>
          <w:rFonts w:ascii="Segoe UI" w:hAnsi="Segoe UI" w:cs="Segoe UI"/>
        </w:rPr>
        <w:t>, with input from all other authors.</w:t>
      </w:r>
    </w:p>
    <w:p w14:paraId="6CABF68E" w14:textId="787F0495" w:rsidR="00B7282C" w:rsidRPr="00052EC1" w:rsidRDefault="00344BEA" w:rsidP="004728E0">
      <w:pPr>
        <w:spacing w:after="0" w:line="480" w:lineRule="auto"/>
        <w:rPr>
          <w:rFonts w:ascii="Segoe UI" w:hAnsi="Segoe UI" w:cs="Segoe UI"/>
          <w:b/>
          <w:bCs/>
        </w:rPr>
      </w:pPr>
      <w:r w:rsidRPr="00052EC1">
        <w:rPr>
          <w:rFonts w:ascii="Segoe UI" w:hAnsi="Segoe UI" w:cs="Segoe UI"/>
          <w:b/>
          <w:bCs/>
        </w:rPr>
        <w:t>Corresponding author</w:t>
      </w:r>
    </w:p>
    <w:p w14:paraId="3BDFC509" w14:textId="3857FDA8" w:rsidR="00344BEA" w:rsidRPr="00052EC1" w:rsidRDefault="00344BEA" w:rsidP="004728E0">
      <w:pPr>
        <w:spacing w:after="0" w:line="480" w:lineRule="auto"/>
        <w:rPr>
          <w:rFonts w:ascii="Segoe UI" w:hAnsi="Segoe UI" w:cs="Segoe UI"/>
        </w:rPr>
      </w:pPr>
      <w:r w:rsidRPr="00052EC1">
        <w:rPr>
          <w:rFonts w:ascii="Segoe UI" w:hAnsi="Segoe UI" w:cs="Segoe UI"/>
        </w:rPr>
        <w:t>Correspondence to Gary Leggatt</w:t>
      </w:r>
      <w:r w:rsidR="00EA618E" w:rsidRPr="00052EC1">
        <w:rPr>
          <w:rFonts w:ascii="Segoe UI" w:hAnsi="Segoe UI" w:cs="Segoe UI"/>
        </w:rPr>
        <w:t xml:space="preserve"> (gary.leggatt@porthosp.nhs.uk)</w:t>
      </w:r>
    </w:p>
    <w:p w14:paraId="590F2439" w14:textId="0F809859" w:rsidR="00D40B10" w:rsidRPr="00052EC1" w:rsidRDefault="00D40B10" w:rsidP="00344BEA">
      <w:pPr>
        <w:rPr>
          <w:rFonts w:ascii="Segoe UI" w:hAnsi="Segoe UI" w:cs="Segoe UI"/>
        </w:rPr>
      </w:pPr>
    </w:p>
    <w:p w14:paraId="536156C9" w14:textId="208A4957" w:rsidR="00D40B10" w:rsidRPr="00052EC1" w:rsidRDefault="00052EC1" w:rsidP="00052EC1">
      <w:pPr>
        <w:pStyle w:val="Heading1"/>
        <w:rPr>
          <w:rFonts w:ascii="Segoe UI" w:hAnsi="Segoe UI" w:cs="Segoe UI"/>
        </w:rPr>
      </w:pPr>
      <w:r w:rsidRPr="00052EC1">
        <w:rPr>
          <w:rFonts w:ascii="Segoe UI" w:hAnsi="Segoe UI" w:cs="Segoe UI"/>
        </w:rPr>
        <w:t>Acknowledgements</w:t>
      </w:r>
    </w:p>
    <w:p w14:paraId="064F619E" w14:textId="77777777" w:rsidR="00052EC1" w:rsidRPr="00052EC1" w:rsidRDefault="00052EC1" w:rsidP="00052EC1">
      <w:pPr>
        <w:spacing w:line="480" w:lineRule="auto"/>
        <w:rPr>
          <w:rFonts w:ascii="Segoe UI" w:hAnsi="Segoe UI" w:cs="Segoe UI"/>
        </w:rPr>
      </w:pPr>
      <w:r w:rsidRPr="00052EC1">
        <w:t xml:space="preserve">This research was made possible through access to the data and findings generated by the 100,000 Genomes Project. The 100,000 Genomes Project is managed by Genomics England Limited (a wholly owned company of the Department of Health and Social Care). The 100,000 Genomes Project is funded by the National Institute for Health Research and NHS England. The </w:t>
      </w:r>
      <w:r w:rsidRPr="00052EC1">
        <w:rPr>
          <w:rFonts w:ascii="Segoe UI" w:hAnsi="Segoe UI" w:cs="Segoe UI"/>
        </w:rPr>
        <w:t>Wellcome Trust, Cancer Research UK and the Medical Research Council have also funded research infrastructure. The 100,000 Genomes Project uses data provided by patients and collected by the National Health Service as part of their care and support.</w:t>
      </w:r>
    </w:p>
    <w:p w14:paraId="2E60A37F" w14:textId="0315E811" w:rsidR="00052EC1" w:rsidRPr="00052EC1" w:rsidRDefault="00052EC1" w:rsidP="00052EC1">
      <w:pPr>
        <w:spacing w:line="480" w:lineRule="auto"/>
        <w:rPr>
          <w:rFonts w:ascii="Segoe UI" w:hAnsi="Segoe UI" w:cs="Segoe UI"/>
        </w:rPr>
      </w:pPr>
      <w:r w:rsidRPr="00052EC1">
        <w:rPr>
          <w:rFonts w:ascii="Segoe UI" w:hAnsi="Segoe UI" w:cs="Segoe UI"/>
        </w:rPr>
        <w:t xml:space="preserve">David Rinaldo for his helpful </w:t>
      </w:r>
      <w:r w:rsidR="008A5ABA" w:rsidRPr="00052EC1">
        <w:rPr>
          <w:rFonts w:ascii="Segoe UI" w:hAnsi="Segoe UI" w:cs="Segoe UI"/>
        </w:rPr>
        <w:t>advice</w:t>
      </w:r>
      <w:r w:rsidRPr="00052EC1">
        <w:rPr>
          <w:rFonts w:ascii="Segoe UI" w:hAnsi="Segoe UI" w:cs="Segoe UI"/>
        </w:rPr>
        <w:t xml:space="preserve"> with the modelling using Maestro &amp; BioLuminate suite (Schrodinger, NY).</w:t>
      </w:r>
    </w:p>
    <w:p w14:paraId="4C6D0259" w14:textId="77777777" w:rsidR="00052EC1" w:rsidRPr="00052EC1" w:rsidRDefault="00052EC1" w:rsidP="00052EC1">
      <w:pPr>
        <w:spacing w:line="480" w:lineRule="auto"/>
        <w:rPr>
          <w:rFonts w:ascii="Segoe UI" w:hAnsi="Segoe UI" w:cs="Segoe UI"/>
          <w:b/>
          <w:bCs/>
        </w:rPr>
      </w:pPr>
      <w:r w:rsidRPr="00052EC1">
        <w:rPr>
          <w:rFonts w:ascii="Segoe UI" w:hAnsi="Segoe UI" w:cs="Segoe UI"/>
        </w:rPr>
        <w:t xml:space="preserve">Analyses of copy number variants in </w:t>
      </w:r>
      <w:r w:rsidRPr="00052EC1">
        <w:rPr>
          <w:rFonts w:ascii="Segoe UI" w:hAnsi="Segoe UI" w:cs="Segoe UI"/>
          <w:i/>
          <w:iCs/>
        </w:rPr>
        <w:t>NPHP1</w:t>
      </w:r>
      <w:r w:rsidRPr="00052EC1">
        <w:rPr>
          <w:rFonts w:ascii="Segoe UI" w:hAnsi="Segoe UI" w:cs="Segoe UI"/>
        </w:rPr>
        <w:t xml:space="preserve"> were initially performed by Dr Guillermo del Angel, </w:t>
      </w:r>
      <w:r w:rsidRPr="00052EC1">
        <w:rPr>
          <w:rFonts w:ascii="Segoe UI" w:hAnsi="Segoe UI" w:cs="Segoe UI"/>
          <w:color w:val="222222"/>
          <w:shd w:val="clear" w:color="auto" w:fill="FFFFFF"/>
        </w:rPr>
        <w:t>Alexion Pharmaceuticals Inc</w:t>
      </w:r>
      <w:r w:rsidRPr="00052EC1">
        <w:rPr>
          <w:rFonts w:ascii="Segoe UI" w:hAnsi="Segoe UI" w:cs="Segoe UI"/>
        </w:rPr>
        <w:t>.</w:t>
      </w:r>
    </w:p>
    <w:p w14:paraId="742C4BAB" w14:textId="77777777" w:rsidR="00052EC1" w:rsidRPr="00052EC1" w:rsidRDefault="00052EC1" w:rsidP="00052EC1"/>
    <w:p w14:paraId="1FC1189D" w14:textId="225DB93D" w:rsidR="00B7282C" w:rsidRPr="0058436C" w:rsidRDefault="00B7282C" w:rsidP="00B7282C">
      <w:pPr>
        <w:pStyle w:val="Heading1"/>
        <w:rPr>
          <w:rFonts w:ascii="Segoe UI" w:hAnsi="Segoe UI" w:cs="Segoe UI"/>
        </w:rPr>
      </w:pPr>
      <w:r w:rsidRPr="0058436C">
        <w:rPr>
          <w:rFonts w:ascii="Segoe UI" w:hAnsi="Segoe UI" w:cs="Segoe UI"/>
        </w:rPr>
        <w:t>Data Availability Statement</w:t>
      </w:r>
    </w:p>
    <w:p w14:paraId="5EE79078" w14:textId="701768DE" w:rsidR="00CC0F38" w:rsidRPr="00CC0F38" w:rsidRDefault="00CC0F38" w:rsidP="00CC0F38">
      <w:pPr>
        <w:spacing w:line="480" w:lineRule="auto"/>
        <w:rPr>
          <w:rFonts w:ascii="Segoe UI" w:hAnsi="Segoe UI" w:cs="Segoe UI"/>
        </w:rPr>
      </w:pPr>
      <w:r w:rsidRPr="00CC0F38">
        <w:rPr>
          <w:rFonts w:ascii="Segoe UI" w:hAnsi="Segoe UI" w:cs="Segoe UI"/>
        </w:rPr>
        <w:t xml:space="preserve">Full data are available in the Genomic England Secure Research Environment. Access is controlled to protect the privacy and confidentiality of participants in the Genomics England 100,000 Genomes Project and to comply with the consent given by participants for use of their healthcare and genomic data. Access to full data is permitted to researchers after registration with a Genomics England Clinical Interpretation Partnership (GeCIP) </w:t>
      </w:r>
      <w:r w:rsidRPr="00CC0F38">
        <w:rPr>
          <w:rFonts w:ascii="Segoe UI" w:hAnsi="Segoe UI" w:cs="Segoe UI"/>
        </w:rPr>
        <w:lastRenderedPageBreak/>
        <w:t>(</w:t>
      </w:r>
      <w:hyperlink r:id="rId18" w:history="1">
        <w:r w:rsidR="007C11AE" w:rsidRPr="007E640D">
          <w:rPr>
            <w:rStyle w:val="Hyperlink"/>
            <w:rFonts w:ascii="Segoe UI" w:hAnsi="Segoe UI" w:cs="Segoe UI"/>
          </w:rPr>
          <w:t>https://www.genomicsengland.co.uk/about-gecip/for-gecip-members/data-and-data-access/</w:t>
        </w:r>
      </w:hyperlink>
      <w:r w:rsidR="007C11AE">
        <w:rPr>
          <w:rFonts w:ascii="Segoe UI" w:hAnsi="Segoe UI" w:cs="Segoe UI"/>
        </w:rPr>
        <w:t xml:space="preserve">) </w:t>
      </w:r>
      <w:r w:rsidR="007C11AE" w:rsidRPr="007C11AE">
        <w:rPr>
          <w:rFonts w:ascii="Segoe UI" w:hAnsi="Segoe UI" w:cs="Segoe UI"/>
        </w:rPr>
        <w:t>and by contacting the corresponding author upon reasonable request.</w:t>
      </w:r>
    </w:p>
    <w:p w14:paraId="33DA37F7" w14:textId="0A0B569D" w:rsidR="00B7282C" w:rsidRPr="0058436C" w:rsidRDefault="00B7282C" w:rsidP="00B7282C">
      <w:pPr>
        <w:pStyle w:val="Heading1"/>
        <w:rPr>
          <w:rFonts w:ascii="Segoe UI" w:hAnsi="Segoe UI" w:cs="Segoe UI"/>
        </w:rPr>
      </w:pPr>
      <w:r w:rsidRPr="0058436C">
        <w:rPr>
          <w:rFonts w:ascii="Segoe UI" w:hAnsi="Segoe UI" w:cs="Segoe UI"/>
        </w:rPr>
        <w:t xml:space="preserve"> Competing Interests Statement</w:t>
      </w:r>
    </w:p>
    <w:p w14:paraId="70067B6E" w14:textId="0536E8B8" w:rsidR="00B7282C" w:rsidRPr="00216F36" w:rsidRDefault="00216F36" w:rsidP="00CC0F38">
      <w:pPr>
        <w:spacing w:after="0" w:line="480" w:lineRule="auto"/>
        <w:rPr>
          <w:rFonts w:ascii="Segoe UI" w:hAnsi="Segoe UI" w:cs="Segoe UI"/>
        </w:rPr>
      </w:pPr>
      <w:r w:rsidRPr="00216F36">
        <w:rPr>
          <w:rFonts w:ascii="Segoe UI" w:hAnsi="Segoe UI" w:cs="Segoe UI"/>
        </w:rPr>
        <w:t xml:space="preserve">JPA &amp; LBR are shareholders at Medetia Pharmaceuticals; JPA &amp; LBR are authors in the patent application WO2109/075369A1, currently on </w:t>
      </w:r>
      <w:r>
        <w:rPr>
          <w:rFonts w:ascii="Segoe UI" w:hAnsi="Segoe UI" w:cs="Segoe UI"/>
        </w:rPr>
        <w:t>PCT National examination phase. There are no other conflicts of interest.</w:t>
      </w:r>
    </w:p>
    <w:sectPr w:rsidR="00B7282C" w:rsidRPr="00216F36" w:rsidSect="004728E0">
      <w:type w:val="continuous"/>
      <w:pgSz w:w="11906" w:h="16838"/>
      <w:pgMar w:top="1440" w:right="1440" w:bottom="1440" w:left="1440" w:header="709" w:footer="709"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C51DD7" w14:textId="77777777" w:rsidR="00C742F7" w:rsidRDefault="00C742F7" w:rsidP="005614E6">
      <w:r>
        <w:separator/>
      </w:r>
    </w:p>
  </w:endnote>
  <w:endnote w:type="continuationSeparator" w:id="0">
    <w:p w14:paraId="322F6B06" w14:textId="77777777" w:rsidR="00C742F7" w:rsidRDefault="00C742F7" w:rsidP="005614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68188512"/>
      <w:docPartObj>
        <w:docPartGallery w:val="Page Numbers (Bottom of Page)"/>
        <w:docPartUnique/>
      </w:docPartObj>
    </w:sdtPr>
    <w:sdtEndPr>
      <w:rPr>
        <w:noProof/>
      </w:rPr>
    </w:sdtEndPr>
    <w:sdtContent>
      <w:p w14:paraId="407F8283" w14:textId="58A6FC18" w:rsidR="00F701F2" w:rsidRDefault="00F701F2">
        <w:pPr>
          <w:pStyle w:val="Footer"/>
          <w:jc w:val="right"/>
        </w:pPr>
        <w:r>
          <w:fldChar w:fldCharType="begin"/>
        </w:r>
        <w:r>
          <w:instrText xml:space="preserve"> PAGE   \* MERGEFORMAT </w:instrText>
        </w:r>
        <w:r>
          <w:fldChar w:fldCharType="separate"/>
        </w:r>
        <w:r w:rsidR="00D72306">
          <w:rPr>
            <w:noProof/>
          </w:rPr>
          <w:t>31</w:t>
        </w:r>
        <w:r>
          <w:rPr>
            <w:noProof/>
          </w:rPr>
          <w:fldChar w:fldCharType="end"/>
        </w:r>
      </w:p>
    </w:sdtContent>
  </w:sdt>
  <w:p w14:paraId="1B30A8AA" w14:textId="77777777" w:rsidR="00F701F2" w:rsidRDefault="00F701F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60749E" w14:textId="77777777" w:rsidR="00C742F7" w:rsidRDefault="00C742F7" w:rsidP="005614E6">
      <w:r>
        <w:separator/>
      </w:r>
    </w:p>
  </w:footnote>
  <w:footnote w:type="continuationSeparator" w:id="0">
    <w:p w14:paraId="42C3E952" w14:textId="77777777" w:rsidR="00C742F7" w:rsidRDefault="00C742F7" w:rsidP="005614E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200ED0" w14:textId="5C8A71AF" w:rsidR="00F701F2" w:rsidRDefault="00912205">
    <w:pPr>
      <w:pStyle w:val="Header"/>
    </w:pPr>
    <w:sdt>
      <w:sdtPr>
        <w:id w:val="-1135173050"/>
        <w:docPartObj>
          <w:docPartGallery w:val="Watermarks"/>
          <w:docPartUnique/>
        </w:docPartObj>
      </w:sdtPr>
      <w:sdtEndPr/>
      <w:sdtContent>
        <w:r>
          <w:rPr>
            <w:noProof/>
            <w:lang w:val="en-US" w:eastAsia="en-US"/>
          </w:rPr>
          <w:pict w14:anchorId="76C98B6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476642" o:spid="_x0000_s1025" type="#_x0000_t136" alt="" style="position:absolute;left:0;text-align:left;margin-left:0;margin-top:0;width:527.85pt;height:131.95pt;rotation:315;z-index:-251658752;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CONFIDENTIAL"/>
              <w10:wrap anchorx="margin" anchory="margin"/>
            </v:shape>
          </w:pict>
        </w:r>
      </w:sdtContent>
    </w:sdt>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51B32B" w14:textId="77777777" w:rsidR="00F701F2" w:rsidRDefault="00F701F2" w:rsidP="005614E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4AA4A9" w14:textId="77777777" w:rsidR="00F701F2" w:rsidRDefault="00F701F2" w:rsidP="005614E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6A0F99"/>
    <w:multiLevelType w:val="hybridMultilevel"/>
    <w:tmpl w:val="0DBE8B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482775B"/>
    <w:multiLevelType w:val="multilevel"/>
    <w:tmpl w:val="CB063A8A"/>
    <w:lvl w:ilvl="0">
      <w:start w:val="1"/>
      <w:numFmt w:val="decimal"/>
      <w:pStyle w:val="Heading1"/>
      <w:lvlText w:val="%1"/>
      <w:lvlJc w:val="left"/>
      <w:pPr>
        <w:ind w:left="3976" w:hanging="432"/>
      </w:pPr>
      <w:rPr>
        <w:rFonts w:ascii="Segoe UI" w:hAnsi="Segoe UI" w:cs="Segoe UI" w:hint="default"/>
      </w:rPr>
    </w:lvl>
    <w:lvl w:ilvl="1">
      <w:start w:val="1"/>
      <w:numFmt w:val="decimal"/>
      <w:pStyle w:val="Heading2"/>
      <w:lvlText w:val="%1.%2"/>
      <w:lvlJc w:val="left"/>
      <w:pPr>
        <w:ind w:left="8940" w:hanging="576"/>
      </w:pPr>
    </w:lvl>
    <w:lvl w:ilvl="2">
      <w:start w:val="1"/>
      <w:numFmt w:val="decimal"/>
      <w:pStyle w:val="Heading3"/>
      <w:lvlText w:val="%1.%2.%3"/>
      <w:lvlJc w:val="left"/>
      <w:pPr>
        <w:ind w:left="4973" w:hanging="7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 w15:restartNumberingAfterBreak="0">
    <w:nsid w:val="35431A4B"/>
    <w:multiLevelType w:val="multilevel"/>
    <w:tmpl w:val="694034CE"/>
    <w:lvl w:ilvl="0">
      <w:start w:val="1"/>
      <w:numFmt w:val="upperLetter"/>
      <w:pStyle w:val="AppendixMain"/>
      <w:lvlText w:val="Appendix %1"/>
      <w:lvlJc w:val="left"/>
      <w:pPr>
        <w:ind w:left="360" w:hanging="360"/>
      </w:pPr>
      <w:rPr>
        <w:rFonts w:hint="default"/>
      </w:rPr>
    </w:lvl>
    <w:lvl w:ilvl="1">
      <w:start w:val="1"/>
      <w:numFmt w:val="decimal"/>
      <w:pStyle w:val="AppendixSubheading"/>
      <w:lvlText w:val="%1.%2"/>
      <w:lvlJc w:val="left"/>
      <w:pPr>
        <w:ind w:left="720" w:hanging="720"/>
      </w:pPr>
      <w:rPr>
        <w:rFonts w:hint="default"/>
      </w:rPr>
    </w:lvl>
    <w:lvl w:ilvl="2">
      <w:start w:val="1"/>
      <w:numFmt w:val="decimal"/>
      <w:pStyle w:val="AppendixThird"/>
      <w:lvlText w:val="%1.%2.%3"/>
      <w:lvlJc w:val="left"/>
      <w:pPr>
        <w:ind w:left="1080" w:hanging="108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3A8C548A"/>
    <w:multiLevelType w:val="hybridMultilevel"/>
    <w:tmpl w:val="D63EA9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11F0023"/>
    <w:multiLevelType w:val="multilevel"/>
    <w:tmpl w:val="2A962F6E"/>
    <w:lvl w:ilvl="0">
      <w:start w:val="1"/>
      <w:numFmt w:val="decimal"/>
      <w:lvlText w:val="Chapter %1"/>
      <w:lvlJc w:val="left"/>
      <w:pPr>
        <w:tabs>
          <w:tab w:val="num" w:pos="1985"/>
        </w:tabs>
        <w:ind w:left="567" w:hanging="567"/>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1021"/>
        </w:tabs>
        <w:ind w:left="1021" w:hanging="1021"/>
      </w:pPr>
      <w:rPr>
        <w:rFonts w:hint="default"/>
      </w:rPr>
    </w:lvl>
    <w:lvl w:ilvl="3">
      <w:start w:val="1"/>
      <w:numFmt w:val="decimal"/>
      <w:lvlText w:val="%1.%2.%3.%4"/>
      <w:lvlJc w:val="left"/>
      <w:pPr>
        <w:tabs>
          <w:tab w:val="num" w:pos="1134"/>
        </w:tabs>
        <w:ind w:left="1134" w:hanging="1134"/>
      </w:pPr>
      <w:rPr>
        <w:rFonts w:hint="default"/>
      </w:rPr>
    </w:lvl>
    <w:lvl w:ilvl="4">
      <w:start w:val="1"/>
      <w:numFmt w:val="decimal"/>
      <w:lvlText w:val="%1.%2.%3.%4.%5"/>
      <w:lvlJc w:val="left"/>
      <w:pPr>
        <w:tabs>
          <w:tab w:val="num" w:pos="1247"/>
        </w:tabs>
        <w:ind w:left="1247" w:hanging="1247"/>
      </w:pPr>
      <w:rPr>
        <w:rFonts w:hint="default"/>
      </w:rPr>
    </w:lvl>
    <w:lvl w:ilvl="5">
      <w:start w:val="1"/>
      <w:numFmt w:val="decimal"/>
      <w:lvlText w:val="%1.%2.%3.%4.%5.%6"/>
      <w:lvlJc w:val="left"/>
      <w:pPr>
        <w:tabs>
          <w:tab w:val="num" w:pos="1361"/>
        </w:tabs>
        <w:ind w:left="1361" w:hanging="1361"/>
      </w:pPr>
      <w:rPr>
        <w:rFonts w:hint="default"/>
      </w:rPr>
    </w:lvl>
    <w:lvl w:ilvl="6">
      <w:start w:val="1"/>
      <w:numFmt w:val="decimal"/>
      <w:lvlText w:val="%1.%2.%3.%4.%5.%6.%7"/>
      <w:lvlJc w:val="left"/>
      <w:pPr>
        <w:tabs>
          <w:tab w:val="num" w:pos="1474"/>
        </w:tabs>
        <w:ind w:left="1474" w:hanging="1474"/>
      </w:pPr>
      <w:rPr>
        <w:rFonts w:hint="default"/>
      </w:rPr>
    </w:lvl>
    <w:lvl w:ilvl="7">
      <w:start w:val="1"/>
      <w:numFmt w:val="decimal"/>
      <w:lvlText w:val="%1.%2.%3.%4.%5.%6.%7.%8"/>
      <w:lvlJc w:val="left"/>
      <w:pPr>
        <w:tabs>
          <w:tab w:val="num" w:pos="1588"/>
        </w:tabs>
        <w:ind w:left="1588" w:hanging="1588"/>
      </w:pPr>
      <w:rPr>
        <w:rFonts w:hint="default"/>
      </w:rPr>
    </w:lvl>
    <w:lvl w:ilvl="8">
      <w:start w:val="1"/>
      <w:numFmt w:val="decimal"/>
      <w:lvlText w:val="%1.%2.%3.%4.%5.%6.%7.%8.%9"/>
      <w:lvlJc w:val="left"/>
      <w:pPr>
        <w:tabs>
          <w:tab w:val="num" w:pos="1701"/>
        </w:tabs>
        <w:ind w:left="1701" w:hanging="1701"/>
      </w:pPr>
      <w:rPr>
        <w:rFonts w:hint="default"/>
      </w:rPr>
    </w:lvl>
  </w:abstractNum>
  <w:abstractNum w:abstractNumId="5" w15:restartNumberingAfterBreak="0">
    <w:nsid w:val="41F769EE"/>
    <w:multiLevelType w:val="hybridMultilevel"/>
    <w:tmpl w:val="3C420CF6"/>
    <w:lvl w:ilvl="0" w:tplc="A418B178">
      <w:start w:val="1"/>
      <w:numFmt w:val="bullet"/>
      <w:lvlText w:val="•"/>
      <w:lvlJc w:val="left"/>
      <w:pPr>
        <w:tabs>
          <w:tab w:val="num" w:pos="720"/>
        </w:tabs>
        <w:ind w:left="720" w:hanging="360"/>
      </w:pPr>
      <w:rPr>
        <w:rFonts w:ascii="Arial" w:hAnsi="Arial" w:hint="default"/>
      </w:rPr>
    </w:lvl>
    <w:lvl w:ilvl="1" w:tplc="F4C48504" w:tentative="1">
      <w:start w:val="1"/>
      <w:numFmt w:val="bullet"/>
      <w:lvlText w:val="•"/>
      <w:lvlJc w:val="left"/>
      <w:pPr>
        <w:tabs>
          <w:tab w:val="num" w:pos="1440"/>
        </w:tabs>
        <w:ind w:left="1440" w:hanging="360"/>
      </w:pPr>
      <w:rPr>
        <w:rFonts w:ascii="Arial" w:hAnsi="Arial" w:hint="default"/>
      </w:rPr>
    </w:lvl>
    <w:lvl w:ilvl="2" w:tplc="55AC3784" w:tentative="1">
      <w:start w:val="1"/>
      <w:numFmt w:val="bullet"/>
      <w:lvlText w:val="•"/>
      <w:lvlJc w:val="left"/>
      <w:pPr>
        <w:tabs>
          <w:tab w:val="num" w:pos="2160"/>
        </w:tabs>
        <w:ind w:left="2160" w:hanging="360"/>
      </w:pPr>
      <w:rPr>
        <w:rFonts w:ascii="Arial" w:hAnsi="Arial" w:hint="default"/>
      </w:rPr>
    </w:lvl>
    <w:lvl w:ilvl="3" w:tplc="496C36E2" w:tentative="1">
      <w:start w:val="1"/>
      <w:numFmt w:val="bullet"/>
      <w:lvlText w:val="•"/>
      <w:lvlJc w:val="left"/>
      <w:pPr>
        <w:tabs>
          <w:tab w:val="num" w:pos="2880"/>
        </w:tabs>
        <w:ind w:left="2880" w:hanging="360"/>
      </w:pPr>
      <w:rPr>
        <w:rFonts w:ascii="Arial" w:hAnsi="Arial" w:hint="default"/>
      </w:rPr>
    </w:lvl>
    <w:lvl w:ilvl="4" w:tplc="F1A4DD96" w:tentative="1">
      <w:start w:val="1"/>
      <w:numFmt w:val="bullet"/>
      <w:lvlText w:val="•"/>
      <w:lvlJc w:val="left"/>
      <w:pPr>
        <w:tabs>
          <w:tab w:val="num" w:pos="3600"/>
        </w:tabs>
        <w:ind w:left="3600" w:hanging="360"/>
      </w:pPr>
      <w:rPr>
        <w:rFonts w:ascii="Arial" w:hAnsi="Arial" w:hint="default"/>
      </w:rPr>
    </w:lvl>
    <w:lvl w:ilvl="5" w:tplc="6C5C953E" w:tentative="1">
      <w:start w:val="1"/>
      <w:numFmt w:val="bullet"/>
      <w:lvlText w:val="•"/>
      <w:lvlJc w:val="left"/>
      <w:pPr>
        <w:tabs>
          <w:tab w:val="num" w:pos="4320"/>
        </w:tabs>
        <w:ind w:left="4320" w:hanging="360"/>
      </w:pPr>
      <w:rPr>
        <w:rFonts w:ascii="Arial" w:hAnsi="Arial" w:hint="default"/>
      </w:rPr>
    </w:lvl>
    <w:lvl w:ilvl="6" w:tplc="FF7E14B6" w:tentative="1">
      <w:start w:val="1"/>
      <w:numFmt w:val="bullet"/>
      <w:lvlText w:val="•"/>
      <w:lvlJc w:val="left"/>
      <w:pPr>
        <w:tabs>
          <w:tab w:val="num" w:pos="5040"/>
        </w:tabs>
        <w:ind w:left="5040" w:hanging="360"/>
      </w:pPr>
      <w:rPr>
        <w:rFonts w:ascii="Arial" w:hAnsi="Arial" w:hint="default"/>
      </w:rPr>
    </w:lvl>
    <w:lvl w:ilvl="7" w:tplc="DD9C5172" w:tentative="1">
      <w:start w:val="1"/>
      <w:numFmt w:val="bullet"/>
      <w:lvlText w:val="•"/>
      <w:lvlJc w:val="left"/>
      <w:pPr>
        <w:tabs>
          <w:tab w:val="num" w:pos="5760"/>
        </w:tabs>
        <w:ind w:left="5760" w:hanging="360"/>
      </w:pPr>
      <w:rPr>
        <w:rFonts w:ascii="Arial" w:hAnsi="Arial" w:hint="default"/>
      </w:rPr>
    </w:lvl>
    <w:lvl w:ilvl="8" w:tplc="0DC6B4F6"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4A5731E8"/>
    <w:multiLevelType w:val="multilevel"/>
    <w:tmpl w:val="B46882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43362EE"/>
    <w:multiLevelType w:val="hybridMultilevel"/>
    <w:tmpl w:val="3DE856C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73D87EBB"/>
    <w:multiLevelType w:val="hybridMultilevel"/>
    <w:tmpl w:val="4FCCC73E"/>
    <w:lvl w:ilvl="0" w:tplc="30521346">
      <w:start w:val="1"/>
      <w:numFmt w:val="bullet"/>
      <w:lvlText w:val="•"/>
      <w:lvlJc w:val="left"/>
      <w:pPr>
        <w:tabs>
          <w:tab w:val="num" w:pos="720"/>
        </w:tabs>
        <w:ind w:left="720" w:hanging="360"/>
      </w:pPr>
      <w:rPr>
        <w:rFonts w:ascii="Arial" w:hAnsi="Arial" w:hint="default"/>
      </w:rPr>
    </w:lvl>
    <w:lvl w:ilvl="1" w:tplc="C7A8ECA4">
      <w:start w:val="180"/>
      <w:numFmt w:val="bullet"/>
      <w:lvlText w:val="•"/>
      <w:lvlJc w:val="left"/>
      <w:pPr>
        <w:tabs>
          <w:tab w:val="num" w:pos="1440"/>
        </w:tabs>
        <w:ind w:left="1440" w:hanging="360"/>
      </w:pPr>
      <w:rPr>
        <w:rFonts w:ascii="Arial" w:hAnsi="Arial" w:hint="default"/>
      </w:rPr>
    </w:lvl>
    <w:lvl w:ilvl="2" w:tplc="0A9A33B6" w:tentative="1">
      <w:start w:val="1"/>
      <w:numFmt w:val="bullet"/>
      <w:lvlText w:val="•"/>
      <w:lvlJc w:val="left"/>
      <w:pPr>
        <w:tabs>
          <w:tab w:val="num" w:pos="2160"/>
        </w:tabs>
        <w:ind w:left="2160" w:hanging="360"/>
      </w:pPr>
      <w:rPr>
        <w:rFonts w:ascii="Arial" w:hAnsi="Arial" w:hint="default"/>
      </w:rPr>
    </w:lvl>
    <w:lvl w:ilvl="3" w:tplc="2CCCF3F4" w:tentative="1">
      <w:start w:val="1"/>
      <w:numFmt w:val="bullet"/>
      <w:lvlText w:val="•"/>
      <w:lvlJc w:val="left"/>
      <w:pPr>
        <w:tabs>
          <w:tab w:val="num" w:pos="2880"/>
        </w:tabs>
        <w:ind w:left="2880" w:hanging="360"/>
      </w:pPr>
      <w:rPr>
        <w:rFonts w:ascii="Arial" w:hAnsi="Arial" w:hint="default"/>
      </w:rPr>
    </w:lvl>
    <w:lvl w:ilvl="4" w:tplc="A0C89B4C" w:tentative="1">
      <w:start w:val="1"/>
      <w:numFmt w:val="bullet"/>
      <w:lvlText w:val="•"/>
      <w:lvlJc w:val="left"/>
      <w:pPr>
        <w:tabs>
          <w:tab w:val="num" w:pos="3600"/>
        </w:tabs>
        <w:ind w:left="3600" w:hanging="360"/>
      </w:pPr>
      <w:rPr>
        <w:rFonts w:ascii="Arial" w:hAnsi="Arial" w:hint="default"/>
      </w:rPr>
    </w:lvl>
    <w:lvl w:ilvl="5" w:tplc="26B67B78" w:tentative="1">
      <w:start w:val="1"/>
      <w:numFmt w:val="bullet"/>
      <w:lvlText w:val="•"/>
      <w:lvlJc w:val="left"/>
      <w:pPr>
        <w:tabs>
          <w:tab w:val="num" w:pos="4320"/>
        </w:tabs>
        <w:ind w:left="4320" w:hanging="360"/>
      </w:pPr>
      <w:rPr>
        <w:rFonts w:ascii="Arial" w:hAnsi="Arial" w:hint="default"/>
      </w:rPr>
    </w:lvl>
    <w:lvl w:ilvl="6" w:tplc="111CC33E" w:tentative="1">
      <w:start w:val="1"/>
      <w:numFmt w:val="bullet"/>
      <w:lvlText w:val="•"/>
      <w:lvlJc w:val="left"/>
      <w:pPr>
        <w:tabs>
          <w:tab w:val="num" w:pos="5040"/>
        </w:tabs>
        <w:ind w:left="5040" w:hanging="360"/>
      </w:pPr>
      <w:rPr>
        <w:rFonts w:ascii="Arial" w:hAnsi="Arial" w:hint="default"/>
      </w:rPr>
    </w:lvl>
    <w:lvl w:ilvl="7" w:tplc="A1547F30" w:tentative="1">
      <w:start w:val="1"/>
      <w:numFmt w:val="bullet"/>
      <w:lvlText w:val="•"/>
      <w:lvlJc w:val="left"/>
      <w:pPr>
        <w:tabs>
          <w:tab w:val="num" w:pos="5760"/>
        </w:tabs>
        <w:ind w:left="5760" w:hanging="360"/>
      </w:pPr>
      <w:rPr>
        <w:rFonts w:ascii="Arial" w:hAnsi="Arial" w:hint="default"/>
      </w:rPr>
    </w:lvl>
    <w:lvl w:ilvl="8" w:tplc="FD10DC1C"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76586452"/>
    <w:multiLevelType w:val="hybridMultilevel"/>
    <w:tmpl w:val="13F4BC8E"/>
    <w:lvl w:ilvl="0" w:tplc="08090011">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595286568">
    <w:abstractNumId w:val="2"/>
  </w:num>
  <w:num w:numId="2" w16cid:durableId="1388914255">
    <w:abstractNumId w:val="2"/>
  </w:num>
  <w:num w:numId="3" w16cid:durableId="1935087727">
    <w:abstractNumId w:val="2"/>
  </w:num>
  <w:num w:numId="4" w16cid:durableId="1670325774">
    <w:abstractNumId w:val="4"/>
  </w:num>
  <w:num w:numId="5" w16cid:durableId="959453195">
    <w:abstractNumId w:val="4"/>
  </w:num>
  <w:num w:numId="6" w16cid:durableId="1593393094">
    <w:abstractNumId w:val="4"/>
  </w:num>
  <w:num w:numId="7" w16cid:durableId="384330921">
    <w:abstractNumId w:val="4"/>
  </w:num>
  <w:num w:numId="8" w16cid:durableId="758259581">
    <w:abstractNumId w:val="4"/>
  </w:num>
  <w:num w:numId="9" w16cid:durableId="461726253">
    <w:abstractNumId w:val="4"/>
  </w:num>
  <w:num w:numId="10" w16cid:durableId="1503469663">
    <w:abstractNumId w:val="4"/>
  </w:num>
  <w:num w:numId="11" w16cid:durableId="859077945">
    <w:abstractNumId w:val="4"/>
  </w:num>
  <w:num w:numId="12" w16cid:durableId="2053920817">
    <w:abstractNumId w:val="4"/>
  </w:num>
  <w:num w:numId="13" w16cid:durableId="50423998">
    <w:abstractNumId w:val="2"/>
  </w:num>
  <w:num w:numId="14" w16cid:durableId="296841353">
    <w:abstractNumId w:val="2"/>
  </w:num>
  <w:num w:numId="15" w16cid:durableId="166753997">
    <w:abstractNumId w:val="2"/>
  </w:num>
  <w:num w:numId="16" w16cid:durableId="1717314803">
    <w:abstractNumId w:val="1"/>
  </w:num>
  <w:num w:numId="17" w16cid:durableId="1277953698">
    <w:abstractNumId w:val="1"/>
  </w:num>
  <w:num w:numId="18" w16cid:durableId="1204252074">
    <w:abstractNumId w:val="1"/>
  </w:num>
  <w:num w:numId="19" w16cid:durableId="1100182232">
    <w:abstractNumId w:val="1"/>
  </w:num>
  <w:num w:numId="20" w16cid:durableId="780957873">
    <w:abstractNumId w:val="1"/>
  </w:num>
  <w:num w:numId="21" w16cid:durableId="1252857782">
    <w:abstractNumId w:val="1"/>
  </w:num>
  <w:num w:numId="22" w16cid:durableId="601449908">
    <w:abstractNumId w:val="1"/>
  </w:num>
  <w:num w:numId="23" w16cid:durableId="1293944645">
    <w:abstractNumId w:val="1"/>
  </w:num>
  <w:num w:numId="24" w16cid:durableId="59376788">
    <w:abstractNumId w:val="1"/>
  </w:num>
  <w:num w:numId="25" w16cid:durableId="46999749">
    <w:abstractNumId w:val="1"/>
  </w:num>
  <w:num w:numId="26" w16cid:durableId="623460435">
    <w:abstractNumId w:val="8"/>
  </w:num>
  <w:num w:numId="27" w16cid:durableId="2135366926">
    <w:abstractNumId w:val="0"/>
  </w:num>
  <w:num w:numId="28" w16cid:durableId="1844708945">
    <w:abstractNumId w:val="1"/>
  </w:num>
  <w:num w:numId="29" w16cid:durableId="127283400">
    <w:abstractNumId w:val="1"/>
  </w:num>
  <w:num w:numId="30" w16cid:durableId="75829399">
    <w:abstractNumId w:val="1"/>
  </w:num>
  <w:num w:numId="31" w16cid:durableId="1510946048">
    <w:abstractNumId w:val="1"/>
  </w:num>
  <w:num w:numId="32" w16cid:durableId="188760500">
    <w:abstractNumId w:val="1"/>
  </w:num>
  <w:num w:numId="33" w16cid:durableId="180245127">
    <w:abstractNumId w:val="1"/>
  </w:num>
  <w:num w:numId="34" w16cid:durableId="1408459498">
    <w:abstractNumId w:val="1"/>
  </w:num>
  <w:num w:numId="35" w16cid:durableId="837694024">
    <w:abstractNumId w:val="1"/>
  </w:num>
  <w:num w:numId="36" w16cid:durableId="338966311">
    <w:abstractNumId w:val="1"/>
  </w:num>
  <w:num w:numId="37" w16cid:durableId="624196606">
    <w:abstractNumId w:val="1"/>
  </w:num>
  <w:num w:numId="38" w16cid:durableId="1801534135">
    <w:abstractNumId w:val="9"/>
  </w:num>
  <w:num w:numId="39" w16cid:durableId="1586495739">
    <w:abstractNumId w:val="3"/>
  </w:num>
  <w:num w:numId="40" w16cid:durableId="968239490">
    <w:abstractNumId w:val="5"/>
  </w:num>
  <w:num w:numId="41" w16cid:durableId="421951638">
    <w:abstractNumId w:val="7"/>
  </w:num>
  <w:num w:numId="42" w16cid:durableId="13241300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zA2NTC0MDAxNTYzNjJW0lEKTi0uzszPAykwMagFAM0cNnEtAAAA"/>
  </w:docVars>
  <w:rsids>
    <w:rsidRoot w:val="00112D5C"/>
    <w:rsid w:val="00000A9E"/>
    <w:rsid w:val="000024F1"/>
    <w:rsid w:val="00003AAB"/>
    <w:rsid w:val="000068A0"/>
    <w:rsid w:val="00010C46"/>
    <w:rsid w:val="000125EC"/>
    <w:rsid w:val="00013E72"/>
    <w:rsid w:val="00016083"/>
    <w:rsid w:val="0001625F"/>
    <w:rsid w:val="0001637D"/>
    <w:rsid w:val="00016FC5"/>
    <w:rsid w:val="0002015B"/>
    <w:rsid w:val="00022875"/>
    <w:rsid w:val="00023660"/>
    <w:rsid w:val="000236FA"/>
    <w:rsid w:val="000238EF"/>
    <w:rsid w:val="00023C63"/>
    <w:rsid w:val="00023ED9"/>
    <w:rsid w:val="00024FA3"/>
    <w:rsid w:val="000257C9"/>
    <w:rsid w:val="00027029"/>
    <w:rsid w:val="0002736C"/>
    <w:rsid w:val="000307F9"/>
    <w:rsid w:val="00033168"/>
    <w:rsid w:val="00036216"/>
    <w:rsid w:val="00036EBD"/>
    <w:rsid w:val="00037E57"/>
    <w:rsid w:val="0004294A"/>
    <w:rsid w:val="0004388D"/>
    <w:rsid w:val="00050D32"/>
    <w:rsid w:val="00051109"/>
    <w:rsid w:val="00052EC1"/>
    <w:rsid w:val="000554B0"/>
    <w:rsid w:val="000556D2"/>
    <w:rsid w:val="00056975"/>
    <w:rsid w:val="000624B8"/>
    <w:rsid w:val="00062E5B"/>
    <w:rsid w:val="00062E72"/>
    <w:rsid w:val="000664ED"/>
    <w:rsid w:val="00066A01"/>
    <w:rsid w:val="00067C2A"/>
    <w:rsid w:val="000721E4"/>
    <w:rsid w:val="000808AD"/>
    <w:rsid w:val="00085E08"/>
    <w:rsid w:val="0008633D"/>
    <w:rsid w:val="0009333B"/>
    <w:rsid w:val="00095375"/>
    <w:rsid w:val="00097602"/>
    <w:rsid w:val="000978A3"/>
    <w:rsid w:val="000A2435"/>
    <w:rsid w:val="000A5082"/>
    <w:rsid w:val="000A6D32"/>
    <w:rsid w:val="000A7BD3"/>
    <w:rsid w:val="000B1AD6"/>
    <w:rsid w:val="000B241A"/>
    <w:rsid w:val="000B40AE"/>
    <w:rsid w:val="000B53C9"/>
    <w:rsid w:val="000C358B"/>
    <w:rsid w:val="000C4088"/>
    <w:rsid w:val="000C44CC"/>
    <w:rsid w:val="000D12D8"/>
    <w:rsid w:val="000D3EF3"/>
    <w:rsid w:val="000D4BA0"/>
    <w:rsid w:val="000E0CA5"/>
    <w:rsid w:val="000E1984"/>
    <w:rsid w:val="000E1F91"/>
    <w:rsid w:val="000E2B4A"/>
    <w:rsid w:val="000E79F8"/>
    <w:rsid w:val="000F0525"/>
    <w:rsid w:val="000F14FD"/>
    <w:rsid w:val="000F5FCF"/>
    <w:rsid w:val="001007A9"/>
    <w:rsid w:val="001031FC"/>
    <w:rsid w:val="00104539"/>
    <w:rsid w:val="00104761"/>
    <w:rsid w:val="001064BB"/>
    <w:rsid w:val="00106AE1"/>
    <w:rsid w:val="00110877"/>
    <w:rsid w:val="001114A2"/>
    <w:rsid w:val="00112D5C"/>
    <w:rsid w:val="00114338"/>
    <w:rsid w:val="0012041B"/>
    <w:rsid w:val="00122AEE"/>
    <w:rsid w:val="001237FB"/>
    <w:rsid w:val="00124DA6"/>
    <w:rsid w:val="00125145"/>
    <w:rsid w:val="0013535D"/>
    <w:rsid w:val="00136061"/>
    <w:rsid w:val="00136333"/>
    <w:rsid w:val="00136F57"/>
    <w:rsid w:val="0014133D"/>
    <w:rsid w:val="00141EA4"/>
    <w:rsid w:val="00143563"/>
    <w:rsid w:val="0014510F"/>
    <w:rsid w:val="00146C46"/>
    <w:rsid w:val="00152AA7"/>
    <w:rsid w:val="0015373F"/>
    <w:rsid w:val="001547F3"/>
    <w:rsid w:val="00154876"/>
    <w:rsid w:val="00154C8F"/>
    <w:rsid w:val="0015736B"/>
    <w:rsid w:val="00157D5D"/>
    <w:rsid w:val="00160078"/>
    <w:rsid w:val="00163D45"/>
    <w:rsid w:val="001715EC"/>
    <w:rsid w:val="001737F2"/>
    <w:rsid w:val="00173CD9"/>
    <w:rsid w:val="00175B14"/>
    <w:rsid w:val="00177027"/>
    <w:rsid w:val="001806FB"/>
    <w:rsid w:val="0018566D"/>
    <w:rsid w:val="001863B7"/>
    <w:rsid w:val="00194D82"/>
    <w:rsid w:val="001962F6"/>
    <w:rsid w:val="001A1382"/>
    <w:rsid w:val="001A283C"/>
    <w:rsid w:val="001A359D"/>
    <w:rsid w:val="001A3F45"/>
    <w:rsid w:val="001A4409"/>
    <w:rsid w:val="001A7BF8"/>
    <w:rsid w:val="001A7CA2"/>
    <w:rsid w:val="001B0284"/>
    <w:rsid w:val="001B03DF"/>
    <w:rsid w:val="001B258D"/>
    <w:rsid w:val="001B710E"/>
    <w:rsid w:val="001B7668"/>
    <w:rsid w:val="001B7943"/>
    <w:rsid w:val="001C1D59"/>
    <w:rsid w:val="001C2B48"/>
    <w:rsid w:val="001C3742"/>
    <w:rsid w:val="001D0261"/>
    <w:rsid w:val="001D1755"/>
    <w:rsid w:val="001D1E7C"/>
    <w:rsid w:val="001D1EA6"/>
    <w:rsid w:val="001D236E"/>
    <w:rsid w:val="001D24BF"/>
    <w:rsid w:val="001D6285"/>
    <w:rsid w:val="001D6C55"/>
    <w:rsid w:val="001D73B1"/>
    <w:rsid w:val="001E18FB"/>
    <w:rsid w:val="001E51B2"/>
    <w:rsid w:val="001E5A89"/>
    <w:rsid w:val="001E5EA7"/>
    <w:rsid w:val="001F104B"/>
    <w:rsid w:val="001F24DD"/>
    <w:rsid w:val="001F2BCD"/>
    <w:rsid w:val="001F3558"/>
    <w:rsid w:val="001F4B03"/>
    <w:rsid w:val="001F6150"/>
    <w:rsid w:val="001F78EF"/>
    <w:rsid w:val="001F7D0C"/>
    <w:rsid w:val="00201637"/>
    <w:rsid w:val="0020324E"/>
    <w:rsid w:val="002064FA"/>
    <w:rsid w:val="00206D96"/>
    <w:rsid w:val="00206DCC"/>
    <w:rsid w:val="0020719A"/>
    <w:rsid w:val="002101D5"/>
    <w:rsid w:val="00211CEE"/>
    <w:rsid w:val="002152BC"/>
    <w:rsid w:val="00216A73"/>
    <w:rsid w:val="00216F36"/>
    <w:rsid w:val="00223415"/>
    <w:rsid w:val="002253CE"/>
    <w:rsid w:val="00226BCE"/>
    <w:rsid w:val="00231E7B"/>
    <w:rsid w:val="00233019"/>
    <w:rsid w:val="002331A9"/>
    <w:rsid w:val="00234C28"/>
    <w:rsid w:val="00234E36"/>
    <w:rsid w:val="0023609C"/>
    <w:rsid w:val="002405EA"/>
    <w:rsid w:val="00240EE2"/>
    <w:rsid w:val="002415D7"/>
    <w:rsid w:val="002432C2"/>
    <w:rsid w:val="002438AC"/>
    <w:rsid w:val="00244E25"/>
    <w:rsid w:val="00247CC2"/>
    <w:rsid w:val="002507B4"/>
    <w:rsid w:val="002508A1"/>
    <w:rsid w:val="002512BA"/>
    <w:rsid w:val="0025425C"/>
    <w:rsid w:val="0025492B"/>
    <w:rsid w:val="002634AB"/>
    <w:rsid w:val="00263E37"/>
    <w:rsid w:val="002652BE"/>
    <w:rsid w:val="002713A7"/>
    <w:rsid w:val="002721F9"/>
    <w:rsid w:val="002724CA"/>
    <w:rsid w:val="0027307E"/>
    <w:rsid w:val="002736A6"/>
    <w:rsid w:val="00275143"/>
    <w:rsid w:val="00280608"/>
    <w:rsid w:val="00285275"/>
    <w:rsid w:val="00285B67"/>
    <w:rsid w:val="00285E59"/>
    <w:rsid w:val="0028756A"/>
    <w:rsid w:val="00287BBF"/>
    <w:rsid w:val="002906A3"/>
    <w:rsid w:val="00290D2F"/>
    <w:rsid w:val="00292D64"/>
    <w:rsid w:val="00292F29"/>
    <w:rsid w:val="00293A6D"/>
    <w:rsid w:val="00295B4F"/>
    <w:rsid w:val="00295CB6"/>
    <w:rsid w:val="00297384"/>
    <w:rsid w:val="002A0169"/>
    <w:rsid w:val="002A0FE3"/>
    <w:rsid w:val="002A2477"/>
    <w:rsid w:val="002A25B5"/>
    <w:rsid w:val="002A56BA"/>
    <w:rsid w:val="002A59CE"/>
    <w:rsid w:val="002A5F32"/>
    <w:rsid w:val="002A6E60"/>
    <w:rsid w:val="002B0029"/>
    <w:rsid w:val="002B0489"/>
    <w:rsid w:val="002B4CA6"/>
    <w:rsid w:val="002B5791"/>
    <w:rsid w:val="002B7607"/>
    <w:rsid w:val="002C472F"/>
    <w:rsid w:val="002C6300"/>
    <w:rsid w:val="002C783A"/>
    <w:rsid w:val="002C7AA8"/>
    <w:rsid w:val="002D2DCB"/>
    <w:rsid w:val="002D2DEC"/>
    <w:rsid w:val="002D39E5"/>
    <w:rsid w:val="002D4D91"/>
    <w:rsid w:val="002D532B"/>
    <w:rsid w:val="002D57EE"/>
    <w:rsid w:val="002E15BB"/>
    <w:rsid w:val="002E3E15"/>
    <w:rsid w:val="002E458A"/>
    <w:rsid w:val="002E46CA"/>
    <w:rsid w:val="002E6376"/>
    <w:rsid w:val="002E6D21"/>
    <w:rsid w:val="002E7336"/>
    <w:rsid w:val="002F0F9C"/>
    <w:rsid w:val="002F17B3"/>
    <w:rsid w:val="002F4489"/>
    <w:rsid w:val="002F5222"/>
    <w:rsid w:val="002F7162"/>
    <w:rsid w:val="00302A6B"/>
    <w:rsid w:val="003054EF"/>
    <w:rsid w:val="0031203E"/>
    <w:rsid w:val="00312CE5"/>
    <w:rsid w:val="00315C6B"/>
    <w:rsid w:val="00315D77"/>
    <w:rsid w:val="00315E15"/>
    <w:rsid w:val="003160C3"/>
    <w:rsid w:val="003221EC"/>
    <w:rsid w:val="0032311E"/>
    <w:rsid w:val="00323A18"/>
    <w:rsid w:val="003277A8"/>
    <w:rsid w:val="0033111C"/>
    <w:rsid w:val="00332032"/>
    <w:rsid w:val="00336016"/>
    <w:rsid w:val="00337BC1"/>
    <w:rsid w:val="00337BF0"/>
    <w:rsid w:val="00341163"/>
    <w:rsid w:val="00342C3C"/>
    <w:rsid w:val="00344BEA"/>
    <w:rsid w:val="0034686B"/>
    <w:rsid w:val="00347327"/>
    <w:rsid w:val="00347775"/>
    <w:rsid w:val="00350BBA"/>
    <w:rsid w:val="00350C1D"/>
    <w:rsid w:val="0035105E"/>
    <w:rsid w:val="00356864"/>
    <w:rsid w:val="003638D2"/>
    <w:rsid w:val="003648F6"/>
    <w:rsid w:val="003675B4"/>
    <w:rsid w:val="00375B09"/>
    <w:rsid w:val="00377281"/>
    <w:rsid w:val="003807B5"/>
    <w:rsid w:val="003813E0"/>
    <w:rsid w:val="00381600"/>
    <w:rsid w:val="0038366C"/>
    <w:rsid w:val="00383FF6"/>
    <w:rsid w:val="00384B04"/>
    <w:rsid w:val="00384C42"/>
    <w:rsid w:val="0038600E"/>
    <w:rsid w:val="00386846"/>
    <w:rsid w:val="003905CF"/>
    <w:rsid w:val="00390A88"/>
    <w:rsid w:val="00390C8D"/>
    <w:rsid w:val="003937FD"/>
    <w:rsid w:val="00395D5D"/>
    <w:rsid w:val="00396DF9"/>
    <w:rsid w:val="003A09A6"/>
    <w:rsid w:val="003A0B62"/>
    <w:rsid w:val="003B0413"/>
    <w:rsid w:val="003B0DBF"/>
    <w:rsid w:val="003B12EB"/>
    <w:rsid w:val="003B1703"/>
    <w:rsid w:val="003B49F1"/>
    <w:rsid w:val="003C1168"/>
    <w:rsid w:val="003C20D1"/>
    <w:rsid w:val="003C61FB"/>
    <w:rsid w:val="003C708F"/>
    <w:rsid w:val="003C7821"/>
    <w:rsid w:val="003C7884"/>
    <w:rsid w:val="003D54AD"/>
    <w:rsid w:val="003D73D6"/>
    <w:rsid w:val="003D7CD8"/>
    <w:rsid w:val="003E2EE5"/>
    <w:rsid w:val="003E42BB"/>
    <w:rsid w:val="003F2207"/>
    <w:rsid w:val="003F3DBA"/>
    <w:rsid w:val="004011C6"/>
    <w:rsid w:val="00404A2E"/>
    <w:rsid w:val="004077C8"/>
    <w:rsid w:val="004120E6"/>
    <w:rsid w:val="00417E32"/>
    <w:rsid w:val="004221AF"/>
    <w:rsid w:val="00427219"/>
    <w:rsid w:val="00431C0A"/>
    <w:rsid w:val="00434085"/>
    <w:rsid w:val="004341E4"/>
    <w:rsid w:val="004345F3"/>
    <w:rsid w:val="004375B7"/>
    <w:rsid w:val="00440940"/>
    <w:rsid w:val="00443FE4"/>
    <w:rsid w:val="004442FE"/>
    <w:rsid w:val="00444C2D"/>
    <w:rsid w:val="004455ED"/>
    <w:rsid w:val="004469CE"/>
    <w:rsid w:val="004512E7"/>
    <w:rsid w:val="00456B82"/>
    <w:rsid w:val="004572B6"/>
    <w:rsid w:val="004604E7"/>
    <w:rsid w:val="004608DA"/>
    <w:rsid w:val="00460FEF"/>
    <w:rsid w:val="00462212"/>
    <w:rsid w:val="00463441"/>
    <w:rsid w:val="00466693"/>
    <w:rsid w:val="004728E0"/>
    <w:rsid w:val="0047691B"/>
    <w:rsid w:val="00477644"/>
    <w:rsid w:val="0048114A"/>
    <w:rsid w:val="004854A2"/>
    <w:rsid w:val="004878E6"/>
    <w:rsid w:val="0049451D"/>
    <w:rsid w:val="00495970"/>
    <w:rsid w:val="004A0B14"/>
    <w:rsid w:val="004A343F"/>
    <w:rsid w:val="004A4052"/>
    <w:rsid w:val="004A4692"/>
    <w:rsid w:val="004A585A"/>
    <w:rsid w:val="004A66B1"/>
    <w:rsid w:val="004A674C"/>
    <w:rsid w:val="004B2468"/>
    <w:rsid w:val="004B3D5B"/>
    <w:rsid w:val="004B48D3"/>
    <w:rsid w:val="004B7D59"/>
    <w:rsid w:val="004C7AA1"/>
    <w:rsid w:val="004D00AF"/>
    <w:rsid w:val="004D0DF7"/>
    <w:rsid w:val="004D6A30"/>
    <w:rsid w:val="004D7018"/>
    <w:rsid w:val="004E0937"/>
    <w:rsid w:val="004E1A6E"/>
    <w:rsid w:val="004E37C1"/>
    <w:rsid w:val="004E3B44"/>
    <w:rsid w:val="004E478C"/>
    <w:rsid w:val="004E4EA4"/>
    <w:rsid w:val="004E771F"/>
    <w:rsid w:val="004F1362"/>
    <w:rsid w:val="004F1EB9"/>
    <w:rsid w:val="004F479B"/>
    <w:rsid w:val="004F6EAC"/>
    <w:rsid w:val="0050065D"/>
    <w:rsid w:val="0050216B"/>
    <w:rsid w:val="00506A0D"/>
    <w:rsid w:val="00507BBE"/>
    <w:rsid w:val="00511970"/>
    <w:rsid w:val="00512C25"/>
    <w:rsid w:val="00515F3E"/>
    <w:rsid w:val="00516743"/>
    <w:rsid w:val="0052370C"/>
    <w:rsid w:val="00526A4E"/>
    <w:rsid w:val="00532DD5"/>
    <w:rsid w:val="0053524C"/>
    <w:rsid w:val="00535E35"/>
    <w:rsid w:val="005366F4"/>
    <w:rsid w:val="005370E2"/>
    <w:rsid w:val="00540ED7"/>
    <w:rsid w:val="005423E3"/>
    <w:rsid w:val="005457B0"/>
    <w:rsid w:val="005458AE"/>
    <w:rsid w:val="00546408"/>
    <w:rsid w:val="0054680E"/>
    <w:rsid w:val="005468BD"/>
    <w:rsid w:val="005508EA"/>
    <w:rsid w:val="00552B99"/>
    <w:rsid w:val="00552D71"/>
    <w:rsid w:val="00557CAC"/>
    <w:rsid w:val="00560BBE"/>
    <w:rsid w:val="005614E6"/>
    <w:rsid w:val="00561E1F"/>
    <w:rsid w:val="005659D4"/>
    <w:rsid w:val="005743F8"/>
    <w:rsid w:val="00582CEC"/>
    <w:rsid w:val="00583DAC"/>
    <w:rsid w:val="0058436C"/>
    <w:rsid w:val="005909F5"/>
    <w:rsid w:val="00591AA4"/>
    <w:rsid w:val="00592F6D"/>
    <w:rsid w:val="0059480B"/>
    <w:rsid w:val="00595272"/>
    <w:rsid w:val="0059590A"/>
    <w:rsid w:val="005A03C6"/>
    <w:rsid w:val="005A1891"/>
    <w:rsid w:val="005A1D85"/>
    <w:rsid w:val="005A1E23"/>
    <w:rsid w:val="005A2F91"/>
    <w:rsid w:val="005A44D3"/>
    <w:rsid w:val="005A6797"/>
    <w:rsid w:val="005B0FD5"/>
    <w:rsid w:val="005B2220"/>
    <w:rsid w:val="005B2746"/>
    <w:rsid w:val="005B2B01"/>
    <w:rsid w:val="005B6FCB"/>
    <w:rsid w:val="005C0B44"/>
    <w:rsid w:val="005C367C"/>
    <w:rsid w:val="005C4748"/>
    <w:rsid w:val="005C4C89"/>
    <w:rsid w:val="005C58EA"/>
    <w:rsid w:val="005C6715"/>
    <w:rsid w:val="005C77F5"/>
    <w:rsid w:val="005C7B05"/>
    <w:rsid w:val="005D0DBF"/>
    <w:rsid w:val="005D3549"/>
    <w:rsid w:val="005D4226"/>
    <w:rsid w:val="005D4770"/>
    <w:rsid w:val="005D5295"/>
    <w:rsid w:val="005D65CB"/>
    <w:rsid w:val="005E0A50"/>
    <w:rsid w:val="005E1326"/>
    <w:rsid w:val="005E6CCE"/>
    <w:rsid w:val="005E751C"/>
    <w:rsid w:val="005E7CAD"/>
    <w:rsid w:val="005F1D21"/>
    <w:rsid w:val="005F2821"/>
    <w:rsid w:val="005F617D"/>
    <w:rsid w:val="00601733"/>
    <w:rsid w:val="00602938"/>
    <w:rsid w:val="00602E51"/>
    <w:rsid w:val="00603AE7"/>
    <w:rsid w:val="00604E17"/>
    <w:rsid w:val="00614E79"/>
    <w:rsid w:val="00621ECE"/>
    <w:rsid w:val="00621F24"/>
    <w:rsid w:val="00624126"/>
    <w:rsid w:val="00626074"/>
    <w:rsid w:val="00630FD9"/>
    <w:rsid w:val="006316F4"/>
    <w:rsid w:val="0063201D"/>
    <w:rsid w:val="0063278A"/>
    <w:rsid w:val="00635795"/>
    <w:rsid w:val="00636730"/>
    <w:rsid w:val="00637550"/>
    <w:rsid w:val="006406FD"/>
    <w:rsid w:val="0064186E"/>
    <w:rsid w:val="00643E10"/>
    <w:rsid w:val="00646BAC"/>
    <w:rsid w:val="006500F5"/>
    <w:rsid w:val="00650623"/>
    <w:rsid w:val="0066175C"/>
    <w:rsid w:val="00661A2A"/>
    <w:rsid w:val="00664D1C"/>
    <w:rsid w:val="00670A76"/>
    <w:rsid w:val="00673E73"/>
    <w:rsid w:val="00674F6E"/>
    <w:rsid w:val="0068134C"/>
    <w:rsid w:val="006814A1"/>
    <w:rsid w:val="00681AE4"/>
    <w:rsid w:val="0068214F"/>
    <w:rsid w:val="00683950"/>
    <w:rsid w:val="00685485"/>
    <w:rsid w:val="0068627F"/>
    <w:rsid w:val="0069044F"/>
    <w:rsid w:val="006917AD"/>
    <w:rsid w:val="00693516"/>
    <w:rsid w:val="0069372F"/>
    <w:rsid w:val="0069379A"/>
    <w:rsid w:val="00694D86"/>
    <w:rsid w:val="0069790D"/>
    <w:rsid w:val="006A124E"/>
    <w:rsid w:val="006A33E3"/>
    <w:rsid w:val="006A46AF"/>
    <w:rsid w:val="006A56E3"/>
    <w:rsid w:val="006A5E81"/>
    <w:rsid w:val="006A6843"/>
    <w:rsid w:val="006B0C58"/>
    <w:rsid w:val="006B4696"/>
    <w:rsid w:val="006B7736"/>
    <w:rsid w:val="006C06EC"/>
    <w:rsid w:val="006C129C"/>
    <w:rsid w:val="006C130F"/>
    <w:rsid w:val="006C1670"/>
    <w:rsid w:val="006C29AD"/>
    <w:rsid w:val="006C6171"/>
    <w:rsid w:val="006C7E72"/>
    <w:rsid w:val="006D2082"/>
    <w:rsid w:val="006D6EF6"/>
    <w:rsid w:val="006E5C8C"/>
    <w:rsid w:val="006E6FE0"/>
    <w:rsid w:val="006F009E"/>
    <w:rsid w:val="006F233D"/>
    <w:rsid w:val="006F4196"/>
    <w:rsid w:val="006F7A00"/>
    <w:rsid w:val="00700555"/>
    <w:rsid w:val="007007F3"/>
    <w:rsid w:val="007043C2"/>
    <w:rsid w:val="00706997"/>
    <w:rsid w:val="00706A90"/>
    <w:rsid w:val="007073B6"/>
    <w:rsid w:val="00707817"/>
    <w:rsid w:val="00707EDD"/>
    <w:rsid w:val="00715395"/>
    <w:rsid w:val="00716D9D"/>
    <w:rsid w:val="00721888"/>
    <w:rsid w:val="0072214C"/>
    <w:rsid w:val="00724619"/>
    <w:rsid w:val="00726648"/>
    <w:rsid w:val="007269E4"/>
    <w:rsid w:val="007302FC"/>
    <w:rsid w:val="007313A5"/>
    <w:rsid w:val="007325F9"/>
    <w:rsid w:val="00732E02"/>
    <w:rsid w:val="00732F02"/>
    <w:rsid w:val="00733176"/>
    <w:rsid w:val="0073318C"/>
    <w:rsid w:val="0073448B"/>
    <w:rsid w:val="00734DFA"/>
    <w:rsid w:val="0074029B"/>
    <w:rsid w:val="00742676"/>
    <w:rsid w:val="0074275A"/>
    <w:rsid w:val="007432BA"/>
    <w:rsid w:val="00744B63"/>
    <w:rsid w:val="007471FD"/>
    <w:rsid w:val="00750B8F"/>
    <w:rsid w:val="00752231"/>
    <w:rsid w:val="0075642D"/>
    <w:rsid w:val="0076043A"/>
    <w:rsid w:val="007609AA"/>
    <w:rsid w:val="0076172D"/>
    <w:rsid w:val="007634E5"/>
    <w:rsid w:val="0076491F"/>
    <w:rsid w:val="00770C6E"/>
    <w:rsid w:val="00772E93"/>
    <w:rsid w:val="00775687"/>
    <w:rsid w:val="007763A1"/>
    <w:rsid w:val="007766EC"/>
    <w:rsid w:val="00776FBD"/>
    <w:rsid w:val="0077782F"/>
    <w:rsid w:val="00780402"/>
    <w:rsid w:val="00782A1F"/>
    <w:rsid w:val="00783085"/>
    <w:rsid w:val="007831DA"/>
    <w:rsid w:val="0078338B"/>
    <w:rsid w:val="007843F4"/>
    <w:rsid w:val="00785BFF"/>
    <w:rsid w:val="007871F4"/>
    <w:rsid w:val="00790248"/>
    <w:rsid w:val="00790441"/>
    <w:rsid w:val="00791B49"/>
    <w:rsid w:val="007922D5"/>
    <w:rsid w:val="0079588A"/>
    <w:rsid w:val="00795A42"/>
    <w:rsid w:val="00797829"/>
    <w:rsid w:val="007979A3"/>
    <w:rsid w:val="007A27A5"/>
    <w:rsid w:val="007A2DDF"/>
    <w:rsid w:val="007A645E"/>
    <w:rsid w:val="007A6711"/>
    <w:rsid w:val="007B05C2"/>
    <w:rsid w:val="007B16D2"/>
    <w:rsid w:val="007B17B9"/>
    <w:rsid w:val="007B3DE8"/>
    <w:rsid w:val="007B5184"/>
    <w:rsid w:val="007B71FF"/>
    <w:rsid w:val="007B7FB5"/>
    <w:rsid w:val="007C0CE1"/>
    <w:rsid w:val="007C11AE"/>
    <w:rsid w:val="007C29D3"/>
    <w:rsid w:val="007C5A55"/>
    <w:rsid w:val="007C5D03"/>
    <w:rsid w:val="007D042B"/>
    <w:rsid w:val="007D6D8E"/>
    <w:rsid w:val="007D7C79"/>
    <w:rsid w:val="007E0F89"/>
    <w:rsid w:val="007E11BD"/>
    <w:rsid w:val="007E3AD3"/>
    <w:rsid w:val="007E5FD9"/>
    <w:rsid w:val="007E6AA2"/>
    <w:rsid w:val="007F109A"/>
    <w:rsid w:val="007F1B1E"/>
    <w:rsid w:val="007F2B12"/>
    <w:rsid w:val="007F6002"/>
    <w:rsid w:val="007F7B56"/>
    <w:rsid w:val="00800EBE"/>
    <w:rsid w:val="0080224E"/>
    <w:rsid w:val="00803914"/>
    <w:rsid w:val="00806003"/>
    <w:rsid w:val="0081153E"/>
    <w:rsid w:val="0081233E"/>
    <w:rsid w:val="00814DF0"/>
    <w:rsid w:val="00821D08"/>
    <w:rsid w:val="00823E28"/>
    <w:rsid w:val="008242FB"/>
    <w:rsid w:val="008245B8"/>
    <w:rsid w:val="00830F7A"/>
    <w:rsid w:val="008327EF"/>
    <w:rsid w:val="00833508"/>
    <w:rsid w:val="0083424B"/>
    <w:rsid w:val="00841875"/>
    <w:rsid w:val="008422E8"/>
    <w:rsid w:val="00844037"/>
    <w:rsid w:val="00844FE7"/>
    <w:rsid w:val="008452D7"/>
    <w:rsid w:val="0084601C"/>
    <w:rsid w:val="00846203"/>
    <w:rsid w:val="008473A3"/>
    <w:rsid w:val="008479AD"/>
    <w:rsid w:val="00851A04"/>
    <w:rsid w:val="00852943"/>
    <w:rsid w:val="0085695C"/>
    <w:rsid w:val="00857333"/>
    <w:rsid w:val="0086019F"/>
    <w:rsid w:val="00860F0A"/>
    <w:rsid w:val="0086135A"/>
    <w:rsid w:val="008621AB"/>
    <w:rsid w:val="00863FF1"/>
    <w:rsid w:val="008644E7"/>
    <w:rsid w:val="008644ED"/>
    <w:rsid w:val="008649FB"/>
    <w:rsid w:val="00866112"/>
    <w:rsid w:val="00866C48"/>
    <w:rsid w:val="0087508F"/>
    <w:rsid w:val="008760F2"/>
    <w:rsid w:val="00876560"/>
    <w:rsid w:val="00880CD3"/>
    <w:rsid w:val="00884ABB"/>
    <w:rsid w:val="00890F7D"/>
    <w:rsid w:val="00891B5A"/>
    <w:rsid w:val="00893F7A"/>
    <w:rsid w:val="00894D9B"/>
    <w:rsid w:val="00897682"/>
    <w:rsid w:val="00897B53"/>
    <w:rsid w:val="008A0509"/>
    <w:rsid w:val="008A0A23"/>
    <w:rsid w:val="008A13F3"/>
    <w:rsid w:val="008A2BB1"/>
    <w:rsid w:val="008A3552"/>
    <w:rsid w:val="008A3E86"/>
    <w:rsid w:val="008A5ABA"/>
    <w:rsid w:val="008A7515"/>
    <w:rsid w:val="008B690B"/>
    <w:rsid w:val="008C0F8B"/>
    <w:rsid w:val="008C109F"/>
    <w:rsid w:val="008C23A2"/>
    <w:rsid w:val="008C2F33"/>
    <w:rsid w:val="008C3596"/>
    <w:rsid w:val="008C3DE8"/>
    <w:rsid w:val="008C51DC"/>
    <w:rsid w:val="008C53D2"/>
    <w:rsid w:val="008C691F"/>
    <w:rsid w:val="008D107F"/>
    <w:rsid w:val="008D1EB3"/>
    <w:rsid w:val="008D3130"/>
    <w:rsid w:val="008D4629"/>
    <w:rsid w:val="008D5557"/>
    <w:rsid w:val="008D5AA6"/>
    <w:rsid w:val="008D5B1C"/>
    <w:rsid w:val="008D5ED6"/>
    <w:rsid w:val="008D71DC"/>
    <w:rsid w:val="008D79A9"/>
    <w:rsid w:val="008E27E0"/>
    <w:rsid w:val="008E3852"/>
    <w:rsid w:val="008E5CF8"/>
    <w:rsid w:val="008F2330"/>
    <w:rsid w:val="008F2BFB"/>
    <w:rsid w:val="008F4B0B"/>
    <w:rsid w:val="008F6897"/>
    <w:rsid w:val="008F7522"/>
    <w:rsid w:val="00900411"/>
    <w:rsid w:val="00903C92"/>
    <w:rsid w:val="0090764C"/>
    <w:rsid w:val="00910D6A"/>
    <w:rsid w:val="00911BF7"/>
    <w:rsid w:val="00912205"/>
    <w:rsid w:val="00913A29"/>
    <w:rsid w:val="0091489F"/>
    <w:rsid w:val="00914F12"/>
    <w:rsid w:val="00916CDF"/>
    <w:rsid w:val="00923993"/>
    <w:rsid w:val="00924B9C"/>
    <w:rsid w:val="00930057"/>
    <w:rsid w:val="00930684"/>
    <w:rsid w:val="00932F47"/>
    <w:rsid w:val="0094017A"/>
    <w:rsid w:val="00940B5E"/>
    <w:rsid w:val="00941EEC"/>
    <w:rsid w:val="00944298"/>
    <w:rsid w:val="00950224"/>
    <w:rsid w:val="00950452"/>
    <w:rsid w:val="00952B1B"/>
    <w:rsid w:val="00954794"/>
    <w:rsid w:val="00960F34"/>
    <w:rsid w:val="009617C4"/>
    <w:rsid w:val="00961A99"/>
    <w:rsid w:val="009653DC"/>
    <w:rsid w:val="009660D1"/>
    <w:rsid w:val="00966211"/>
    <w:rsid w:val="00966BAD"/>
    <w:rsid w:val="00971414"/>
    <w:rsid w:val="00972647"/>
    <w:rsid w:val="00975D91"/>
    <w:rsid w:val="009812C4"/>
    <w:rsid w:val="00981DC4"/>
    <w:rsid w:val="00984131"/>
    <w:rsid w:val="009842DC"/>
    <w:rsid w:val="00991999"/>
    <w:rsid w:val="00994C1F"/>
    <w:rsid w:val="00996A90"/>
    <w:rsid w:val="00997449"/>
    <w:rsid w:val="009A0477"/>
    <w:rsid w:val="009A2FF4"/>
    <w:rsid w:val="009A57C4"/>
    <w:rsid w:val="009A6C74"/>
    <w:rsid w:val="009B02C6"/>
    <w:rsid w:val="009B269C"/>
    <w:rsid w:val="009B3DA3"/>
    <w:rsid w:val="009B4FF2"/>
    <w:rsid w:val="009B5040"/>
    <w:rsid w:val="009B58DD"/>
    <w:rsid w:val="009B5948"/>
    <w:rsid w:val="009C21F7"/>
    <w:rsid w:val="009C269E"/>
    <w:rsid w:val="009C30B8"/>
    <w:rsid w:val="009C440E"/>
    <w:rsid w:val="009C6C3E"/>
    <w:rsid w:val="009C722E"/>
    <w:rsid w:val="009C7B5C"/>
    <w:rsid w:val="009D08F5"/>
    <w:rsid w:val="009D7A81"/>
    <w:rsid w:val="009E0D4D"/>
    <w:rsid w:val="009E0F02"/>
    <w:rsid w:val="009E30CE"/>
    <w:rsid w:val="009E397C"/>
    <w:rsid w:val="009E7287"/>
    <w:rsid w:val="009F0BF0"/>
    <w:rsid w:val="009F0FC9"/>
    <w:rsid w:val="009F53F2"/>
    <w:rsid w:val="009F637A"/>
    <w:rsid w:val="009F69A9"/>
    <w:rsid w:val="00A015D6"/>
    <w:rsid w:val="00A0258B"/>
    <w:rsid w:val="00A02E39"/>
    <w:rsid w:val="00A02F05"/>
    <w:rsid w:val="00A05A09"/>
    <w:rsid w:val="00A0754D"/>
    <w:rsid w:val="00A12A96"/>
    <w:rsid w:val="00A135AE"/>
    <w:rsid w:val="00A13A6B"/>
    <w:rsid w:val="00A1623E"/>
    <w:rsid w:val="00A16C4F"/>
    <w:rsid w:val="00A17AF4"/>
    <w:rsid w:val="00A27039"/>
    <w:rsid w:val="00A30168"/>
    <w:rsid w:val="00A30A6C"/>
    <w:rsid w:val="00A328E4"/>
    <w:rsid w:val="00A34AC8"/>
    <w:rsid w:val="00A36C79"/>
    <w:rsid w:val="00A37A57"/>
    <w:rsid w:val="00A42F34"/>
    <w:rsid w:val="00A44A77"/>
    <w:rsid w:val="00A45D75"/>
    <w:rsid w:val="00A46002"/>
    <w:rsid w:val="00A46946"/>
    <w:rsid w:val="00A47B29"/>
    <w:rsid w:val="00A52F80"/>
    <w:rsid w:val="00A56C8A"/>
    <w:rsid w:val="00A576CE"/>
    <w:rsid w:val="00A57725"/>
    <w:rsid w:val="00A57DB9"/>
    <w:rsid w:val="00A57E53"/>
    <w:rsid w:val="00A60891"/>
    <w:rsid w:val="00A62492"/>
    <w:rsid w:val="00A63488"/>
    <w:rsid w:val="00A64B87"/>
    <w:rsid w:val="00A64EF8"/>
    <w:rsid w:val="00A65719"/>
    <w:rsid w:val="00A66315"/>
    <w:rsid w:val="00A72B2D"/>
    <w:rsid w:val="00A7453E"/>
    <w:rsid w:val="00A80C73"/>
    <w:rsid w:val="00A827BB"/>
    <w:rsid w:val="00A8398A"/>
    <w:rsid w:val="00A842B9"/>
    <w:rsid w:val="00A84E81"/>
    <w:rsid w:val="00A85BFF"/>
    <w:rsid w:val="00A86C90"/>
    <w:rsid w:val="00A924F8"/>
    <w:rsid w:val="00A932C7"/>
    <w:rsid w:val="00A95EF6"/>
    <w:rsid w:val="00A960AC"/>
    <w:rsid w:val="00AA1212"/>
    <w:rsid w:val="00AA251B"/>
    <w:rsid w:val="00AA2C33"/>
    <w:rsid w:val="00AA2CED"/>
    <w:rsid w:val="00AA2CFB"/>
    <w:rsid w:val="00AA74A8"/>
    <w:rsid w:val="00AB0656"/>
    <w:rsid w:val="00AB1994"/>
    <w:rsid w:val="00AB4AFF"/>
    <w:rsid w:val="00AB56A8"/>
    <w:rsid w:val="00AC09A6"/>
    <w:rsid w:val="00AC0D59"/>
    <w:rsid w:val="00AC0DC3"/>
    <w:rsid w:val="00AC2866"/>
    <w:rsid w:val="00AC37DB"/>
    <w:rsid w:val="00AC3FBD"/>
    <w:rsid w:val="00AC4186"/>
    <w:rsid w:val="00AC4E39"/>
    <w:rsid w:val="00AC6029"/>
    <w:rsid w:val="00AD124A"/>
    <w:rsid w:val="00AD1AD9"/>
    <w:rsid w:val="00AD2DB3"/>
    <w:rsid w:val="00AD5841"/>
    <w:rsid w:val="00AD6E98"/>
    <w:rsid w:val="00AD756B"/>
    <w:rsid w:val="00AE2B14"/>
    <w:rsid w:val="00AE2C02"/>
    <w:rsid w:val="00AE797B"/>
    <w:rsid w:val="00AF190F"/>
    <w:rsid w:val="00AF27C5"/>
    <w:rsid w:val="00AF402A"/>
    <w:rsid w:val="00AF4F9D"/>
    <w:rsid w:val="00AF5136"/>
    <w:rsid w:val="00AF5806"/>
    <w:rsid w:val="00AF7C34"/>
    <w:rsid w:val="00B00121"/>
    <w:rsid w:val="00B02B8E"/>
    <w:rsid w:val="00B0301A"/>
    <w:rsid w:val="00B03D87"/>
    <w:rsid w:val="00B067CF"/>
    <w:rsid w:val="00B10C4E"/>
    <w:rsid w:val="00B14B67"/>
    <w:rsid w:val="00B16D09"/>
    <w:rsid w:val="00B1700B"/>
    <w:rsid w:val="00B2208A"/>
    <w:rsid w:val="00B249C7"/>
    <w:rsid w:val="00B2682A"/>
    <w:rsid w:val="00B27C99"/>
    <w:rsid w:val="00B32714"/>
    <w:rsid w:val="00B33C35"/>
    <w:rsid w:val="00B35520"/>
    <w:rsid w:val="00B41373"/>
    <w:rsid w:val="00B413E3"/>
    <w:rsid w:val="00B45D3C"/>
    <w:rsid w:val="00B47FED"/>
    <w:rsid w:val="00B51F8A"/>
    <w:rsid w:val="00B53AD9"/>
    <w:rsid w:val="00B62032"/>
    <w:rsid w:val="00B64B92"/>
    <w:rsid w:val="00B64EBD"/>
    <w:rsid w:val="00B65B55"/>
    <w:rsid w:val="00B6757A"/>
    <w:rsid w:val="00B7282C"/>
    <w:rsid w:val="00B74646"/>
    <w:rsid w:val="00B76263"/>
    <w:rsid w:val="00B773BE"/>
    <w:rsid w:val="00B80A23"/>
    <w:rsid w:val="00B81840"/>
    <w:rsid w:val="00B825BA"/>
    <w:rsid w:val="00B924ED"/>
    <w:rsid w:val="00B9334D"/>
    <w:rsid w:val="00B935D9"/>
    <w:rsid w:val="00B94E70"/>
    <w:rsid w:val="00BA4ECB"/>
    <w:rsid w:val="00BA5954"/>
    <w:rsid w:val="00BA6014"/>
    <w:rsid w:val="00BA651D"/>
    <w:rsid w:val="00BA6C44"/>
    <w:rsid w:val="00BB1688"/>
    <w:rsid w:val="00BB7CE4"/>
    <w:rsid w:val="00BC146D"/>
    <w:rsid w:val="00BC183A"/>
    <w:rsid w:val="00BC1F7F"/>
    <w:rsid w:val="00BC3530"/>
    <w:rsid w:val="00BC667B"/>
    <w:rsid w:val="00BC7445"/>
    <w:rsid w:val="00BC74E3"/>
    <w:rsid w:val="00BD4B95"/>
    <w:rsid w:val="00BE093D"/>
    <w:rsid w:val="00BE10C3"/>
    <w:rsid w:val="00BE2206"/>
    <w:rsid w:val="00BF5715"/>
    <w:rsid w:val="00BF6E12"/>
    <w:rsid w:val="00BF71C5"/>
    <w:rsid w:val="00C01B40"/>
    <w:rsid w:val="00C03A8E"/>
    <w:rsid w:val="00C12003"/>
    <w:rsid w:val="00C17030"/>
    <w:rsid w:val="00C202AE"/>
    <w:rsid w:val="00C2181A"/>
    <w:rsid w:val="00C23AA9"/>
    <w:rsid w:val="00C25785"/>
    <w:rsid w:val="00C25B6E"/>
    <w:rsid w:val="00C26B95"/>
    <w:rsid w:val="00C26E89"/>
    <w:rsid w:val="00C275EA"/>
    <w:rsid w:val="00C320E7"/>
    <w:rsid w:val="00C32E06"/>
    <w:rsid w:val="00C363E6"/>
    <w:rsid w:val="00C3749D"/>
    <w:rsid w:val="00C42BEC"/>
    <w:rsid w:val="00C44116"/>
    <w:rsid w:val="00C45B05"/>
    <w:rsid w:val="00C46A78"/>
    <w:rsid w:val="00C50140"/>
    <w:rsid w:val="00C503F0"/>
    <w:rsid w:val="00C55619"/>
    <w:rsid w:val="00C570B2"/>
    <w:rsid w:val="00C60425"/>
    <w:rsid w:val="00C605C4"/>
    <w:rsid w:val="00C607AB"/>
    <w:rsid w:val="00C611A5"/>
    <w:rsid w:val="00C6127E"/>
    <w:rsid w:val="00C630C6"/>
    <w:rsid w:val="00C6382D"/>
    <w:rsid w:val="00C64A72"/>
    <w:rsid w:val="00C67EFE"/>
    <w:rsid w:val="00C7089B"/>
    <w:rsid w:val="00C711D5"/>
    <w:rsid w:val="00C71FD8"/>
    <w:rsid w:val="00C7299A"/>
    <w:rsid w:val="00C742F7"/>
    <w:rsid w:val="00C74DB2"/>
    <w:rsid w:val="00C76676"/>
    <w:rsid w:val="00C810C7"/>
    <w:rsid w:val="00C8189A"/>
    <w:rsid w:val="00C91196"/>
    <w:rsid w:val="00C91967"/>
    <w:rsid w:val="00C93939"/>
    <w:rsid w:val="00C93970"/>
    <w:rsid w:val="00C9492B"/>
    <w:rsid w:val="00C95769"/>
    <w:rsid w:val="00C95BD1"/>
    <w:rsid w:val="00CA34D4"/>
    <w:rsid w:val="00CA3CB1"/>
    <w:rsid w:val="00CA703C"/>
    <w:rsid w:val="00CA70E3"/>
    <w:rsid w:val="00CA7250"/>
    <w:rsid w:val="00CB1437"/>
    <w:rsid w:val="00CB351D"/>
    <w:rsid w:val="00CC08F4"/>
    <w:rsid w:val="00CC0AFE"/>
    <w:rsid w:val="00CC0C2E"/>
    <w:rsid w:val="00CC0F38"/>
    <w:rsid w:val="00CC4901"/>
    <w:rsid w:val="00CC7947"/>
    <w:rsid w:val="00CD246B"/>
    <w:rsid w:val="00CD6BCD"/>
    <w:rsid w:val="00CD7384"/>
    <w:rsid w:val="00CE0B14"/>
    <w:rsid w:val="00CE0CC6"/>
    <w:rsid w:val="00CE1B39"/>
    <w:rsid w:val="00CE2CAC"/>
    <w:rsid w:val="00CE4DED"/>
    <w:rsid w:val="00CE4EBD"/>
    <w:rsid w:val="00CE5352"/>
    <w:rsid w:val="00CE76B7"/>
    <w:rsid w:val="00CF2CA2"/>
    <w:rsid w:val="00CF32FE"/>
    <w:rsid w:val="00CF6E42"/>
    <w:rsid w:val="00CF7422"/>
    <w:rsid w:val="00D000ED"/>
    <w:rsid w:val="00D01066"/>
    <w:rsid w:val="00D01694"/>
    <w:rsid w:val="00D041A0"/>
    <w:rsid w:val="00D05338"/>
    <w:rsid w:val="00D076F9"/>
    <w:rsid w:val="00D107E1"/>
    <w:rsid w:val="00D11D81"/>
    <w:rsid w:val="00D11E66"/>
    <w:rsid w:val="00D16175"/>
    <w:rsid w:val="00D241FB"/>
    <w:rsid w:val="00D25469"/>
    <w:rsid w:val="00D25514"/>
    <w:rsid w:val="00D25ECB"/>
    <w:rsid w:val="00D30944"/>
    <w:rsid w:val="00D35555"/>
    <w:rsid w:val="00D36550"/>
    <w:rsid w:val="00D36586"/>
    <w:rsid w:val="00D37E60"/>
    <w:rsid w:val="00D40B10"/>
    <w:rsid w:val="00D4278D"/>
    <w:rsid w:val="00D4455F"/>
    <w:rsid w:val="00D47C92"/>
    <w:rsid w:val="00D51F88"/>
    <w:rsid w:val="00D52F81"/>
    <w:rsid w:val="00D5553F"/>
    <w:rsid w:val="00D558B6"/>
    <w:rsid w:val="00D56934"/>
    <w:rsid w:val="00D6000C"/>
    <w:rsid w:val="00D61C51"/>
    <w:rsid w:val="00D64504"/>
    <w:rsid w:val="00D645DC"/>
    <w:rsid w:val="00D7066D"/>
    <w:rsid w:val="00D72094"/>
    <w:rsid w:val="00D72306"/>
    <w:rsid w:val="00D72D39"/>
    <w:rsid w:val="00D736CC"/>
    <w:rsid w:val="00D73833"/>
    <w:rsid w:val="00D73F2C"/>
    <w:rsid w:val="00D76261"/>
    <w:rsid w:val="00D8185D"/>
    <w:rsid w:val="00D8302E"/>
    <w:rsid w:val="00D9182A"/>
    <w:rsid w:val="00D93662"/>
    <w:rsid w:val="00D9370D"/>
    <w:rsid w:val="00D95B64"/>
    <w:rsid w:val="00D96D10"/>
    <w:rsid w:val="00D97DF4"/>
    <w:rsid w:val="00DA0D2F"/>
    <w:rsid w:val="00DA1F2F"/>
    <w:rsid w:val="00DA413F"/>
    <w:rsid w:val="00DA496E"/>
    <w:rsid w:val="00DA533D"/>
    <w:rsid w:val="00DA5573"/>
    <w:rsid w:val="00DB0D17"/>
    <w:rsid w:val="00DB14E7"/>
    <w:rsid w:val="00DB2937"/>
    <w:rsid w:val="00DB3615"/>
    <w:rsid w:val="00DB6A59"/>
    <w:rsid w:val="00DC1709"/>
    <w:rsid w:val="00DC2289"/>
    <w:rsid w:val="00DC25CA"/>
    <w:rsid w:val="00DD0117"/>
    <w:rsid w:val="00DD08DB"/>
    <w:rsid w:val="00DD1605"/>
    <w:rsid w:val="00DD403A"/>
    <w:rsid w:val="00DE1072"/>
    <w:rsid w:val="00DE2209"/>
    <w:rsid w:val="00DE2AE7"/>
    <w:rsid w:val="00DE5D5B"/>
    <w:rsid w:val="00DF19DE"/>
    <w:rsid w:val="00DF28AF"/>
    <w:rsid w:val="00DF634B"/>
    <w:rsid w:val="00E00653"/>
    <w:rsid w:val="00E0260D"/>
    <w:rsid w:val="00E04DCA"/>
    <w:rsid w:val="00E05854"/>
    <w:rsid w:val="00E13299"/>
    <w:rsid w:val="00E13E9F"/>
    <w:rsid w:val="00E13EE2"/>
    <w:rsid w:val="00E13F0C"/>
    <w:rsid w:val="00E146DD"/>
    <w:rsid w:val="00E15911"/>
    <w:rsid w:val="00E15A96"/>
    <w:rsid w:val="00E170F9"/>
    <w:rsid w:val="00E20967"/>
    <w:rsid w:val="00E21B62"/>
    <w:rsid w:val="00E23344"/>
    <w:rsid w:val="00E236D2"/>
    <w:rsid w:val="00E23937"/>
    <w:rsid w:val="00E240B1"/>
    <w:rsid w:val="00E25BFC"/>
    <w:rsid w:val="00E3135B"/>
    <w:rsid w:val="00E32190"/>
    <w:rsid w:val="00E3371B"/>
    <w:rsid w:val="00E33BF8"/>
    <w:rsid w:val="00E35AB6"/>
    <w:rsid w:val="00E44BE9"/>
    <w:rsid w:val="00E4738D"/>
    <w:rsid w:val="00E4745E"/>
    <w:rsid w:val="00E47923"/>
    <w:rsid w:val="00E50EB6"/>
    <w:rsid w:val="00E52CF0"/>
    <w:rsid w:val="00E539D0"/>
    <w:rsid w:val="00E56EDB"/>
    <w:rsid w:val="00E6116B"/>
    <w:rsid w:val="00E63639"/>
    <w:rsid w:val="00E654CA"/>
    <w:rsid w:val="00E6628D"/>
    <w:rsid w:val="00E67B4D"/>
    <w:rsid w:val="00E67D19"/>
    <w:rsid w:val="00E710C5"/>
    <w:rsid w:val="00E71503"/>
    <w:rsid w:val="00E71E67"/>
    <w:rsid w:val="00E74582"/>
    <w:rsid w:val="00E76CD6"/>
    <w:rsid w:val="00E8592A"/>
    <w:rsid w:val="00E866DD"/>
    <w:rsid w:val="00E87D55"/>
    <w:rsid w:val="00E933EB"/>
    <w:rsid w:val="00E939AC"/>
    <w:rsid w:val="00E94B7D"/>
    <w:rsid w:val="00E96DA4"/>
    <w:rsid w:val="00E974CD"/>
    <w:rsid w:val="00EA184F"/>
    <w:rsid w:val="00EA1854"/>
    <w:rsid w:val="00EA3EAD"/>
    <w:rsid w:val="00EA40B2"/>
    <w:rsid w:val="00EA5029"/>
    <w:rsid w:val="00EA618E"/>
    <w:rsid w:val="00EA6A9F"/>
    <w:rsid w:val="00EB1C0D"/>
    <w:rsid w:val="00EB5C92"/>
    <w:rsid w:val="00EB5DD1"/>
    <w:rsid w:val="00EB613C"/>
    <w:rsid w:val="00EB63D5"/>
    <w:rsid w:val="00EB6748"/>
    <w:rsid w:val="00EB675E"/>
    <w:rsid w:val="00EB7FE8"/>
    <w:rsid w:val="00EC64C4"/>
    <w:rsid w:val="00ED17DA"/>
    <w:rsid w:val="00ED1A92"/>
    <w:rsid w:val="00ED5034"/>
    <w:rsid w:val="00ED669D"/>
    <w:rsid w:val="00ED7D05"/>
    <w:rsid w:val="00EE5274"/>
    <w:rsid w:val="00EF0225"/>
    <w:rsid w:val="00EF09EB"/>
    <w:rsid w:val="00EF13FE"/>
    <w:rsid w:val="00EF2719"/>
    <w:rsid w:val="00EF3162"/>
    <w:rsid w:val="00EF4D4A"/>
    <w:rsid w:val="00EF5B74"/>
    <w:rsid w:val="00EF6303"/>
    <w:rsid w:val="00F000DE"/>
    <w:rsid w:val="00F0016E"/>
    <w:rsid w:val="00F01046"/>
    <w:rsid w:val="00F0254C"/>
    <w:rsid w:val="00F0576D"/>
    <w:rsid w:val="00F067E6"/>
    <w:rsid w:val="00F1182F"/>
    <w:rsid w:val="00F125EB"/>
    <w:rsid w:val="00F13A32"/>
    <w:rsid w:val="00F22506"/>
    <w:rsid w:val="00F22BE7"/>
    <w:rsid w:val="00F25ED7"/>
    <w:rsid w:val="00F30656"/>
    <w:rsid w:val="00F3171A"/>
    <w:rsid w:val="00F31773"/>
    <w:rsid w:val="00F3241A"/>
    <w:rsid w:val="00F36C80"/>
    <w:rsid w:val="00F4388E"/>
    <w:rsid w:val="00F461E0"/>
    <w:rsid w:val="00F51DA2"/>
    <w:rsid w:val="00F52409"/>
    <w:rsid w:val="00F5269C"/>
    <w:rsid w:val="00F53BFC"/>
    <w:rsid w:val="00F5599F"/>
    <w:rsid w:val="00F57103"/>
    <w:rsid w:val="00F60FAC"/>
    <w:rsid w:val="00F60FDB"/>
    <w:rsid w:val="00F62772"/>
    <w:rsid w:val="00F701F2"/>
    <w:rsid w:val="00F70637"/>
    <w:rsid w:val="00F70E3C"/>
    <w:rsid w:val="00F72AC5"/>
    <w:rsid w:val="00F72B3C"/>
    <w:rsid w:val="00F73BE6"/>
    <w:rsid w:val="00F75F18"/>
    <w:rsid w:val="00F76004"/>
    <w:rsid w:val="00F765BE"/>
    <w:rsid w:val="00F80990"/>
    <w:rsid w:val="00F81F4C"/>
    <w:rsid w:val="00F82035"/>
    <w:rsid w:val="00F8280F"/>
    <w:rsid w:val="00F82D20"/>
    <w:rsid w:val="00F82F0E"/>
    <w:rsid w:val="00F833B3"/>
    <w:rsid w:val="00F859A1"/>
    <w:rsid w:val="00F8747B"/>
    <w:rsid w:val="00F87829"/>
    <w:rsid w:val="00F92312"/>
    <w:rsid w:val="00F92C6B"/>
    <w:rsid w:val="00F953AD"/>
    <w:rsid w:val="00F96620"/>
    <w:rsid w:val="00F96743"/>
    <w:rsid w:val="00FA01AE"/>
    <w:rsid w:val="00FA2323"/>
    <w:rsid w:val="00FA2738"/>
    <w:rsid w:val="00FA3751"/>
    <w:rsid w:val="00FA49DE"/>
    <w:rsid w:val="00FA6092"/>
    <w:rsid w:val="00FB0C2B"/>
    <w:rsid w:val="00FB102E"/>
    <w:rsid w:val="00FC2897"/>
    <w:rsid w:val="00FC3913"/>
    <w:rsid w:val="00FC5486"/>
    <w:rsid w:val="00FC54E7"/>
    <w:rsid w:val="00FC61F4"/>
    <w:rsid w:val="00FD239C"/>
    <w:rsid w:val="00FD5970"/>
    <w:rsid w:val="00FD7E22"/>
    <w:rsid w:val="00FE049A"/>
    <w:rsid w:val="00FE13C4"/>
    <w:rsid w:val="00FE19C6"/>
    <w:rsid w:val="00FE433B"/>
    <w:rsid w:val="00FF413F"/>
    <w:rsid w:val="00FF54F5"/>
    <w:rsid w:val="00FF7044"/>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96E8E3"/>
  <w15:chartTrackingRefBased/>
  <w15:docId w15:val="{004547EE-B1F4-4174-BB52-A69C285224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9"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0"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1196"/>
    <w:pPr>
      <w:spacing w:line="360" w:lineRule="auto"/>
      <w:jc w:val="both"/>
    </w:pPr>
  </w:style>
  <w:style w:type="paragraph" w:styleId="Heading1">
    <w:name w:val="heading 1"/>
    <w:basedOn w:val="Normal"/>
    <w:next w:val="Normal"/>
    <w:link w:val="Heading1Char"/>
    <w:uiPriority w:val="9"/>
    <w:qFormat/>
    <w:rsid w:val="004728E0"/>
    <w:pPr>
      <w:keepNext/>
      <w:keepLines/>
      <w:numPr>
        <w:numId w:val="37"/>
      </w:numPr>
      <w:pBdr>
        <w:bottom w:val="single" w:sz="4" w:space="1" w:color="595959" w:themeColor="text1" w:themeTint="A6"/>
      </w:pBdr>
      <w:spacing w:before="360"/>
      <w:ind w:left="431" w:hanging="431"/>
      <w:outlineLvl w:val="0"/>
    </w:pPr>
    <w:rPr>
      <w:rFonts w:asciiTheme="majorHAnsi" w:eastAsiaTheme="majorEastAsia" w:hAnsiTheme="majorHAnsi" w:cstheme="majorBidi"/>
      <w:b/>
      <w:bCs/>
      <w:smallCaps/>
      <w:color w:val="000000" w:themeColor="text1"/>
      <w:sz w:val="36"/>
      <w:szCs w:val="36"/>
    </w:rPr>
  </w:style>
  <w:style w:type="paragraph" w:styleId="Heading2">
    <w:name w:val="heading 2"/>
    <w:basedOn w:val="Normal"/>
    <w:next w:val="Normal"/>
    <w:link w:val="Heading2Char"/>
    <w:autoRedefine/>
    <w:uiPriority w:val="9"/>
    <w:unhideWhenUsed/>
    <w:qFormat/>
    <w:rsid w:val="00CD246B"/>
    <w:pPr>
      <w:keepNext/>
      <w:keepLines/>
      <w:numPr>
        <w:ilvl w:val="1"/>
        <w:numId w:val="37"/>
      </w:numPr>
      <w:spacing w:before="360" w:after="0" w:line="480" w:lineRule="auto"/>
      <w:ind w:left="578" w:hanging="578"/>
      <w:outlineLvl w:val="1"/>
    </w:pPr>
    <w:rPr>
      <w:rFonts w:asciiTheme="majorHAnsi" w:eastAsiaTheme="majorEastAsia" w:hAnsiTheme="majorHAnsi" w:cstheme="majorBidi"/>
      <w:b/>
      <w:bCs/>
      <w:smallCaps/>
      <w:color w:val="000000" w:themeColor="text1"/>
      <w:sz w:val="28"/>
      <w:szCs w:val="28"/>
    </w:rPr>
  </w:style>
  <w:style w:type="paragraph" w:styleId="Heading3">
    <w:name w:val="heading 3"/>
    <w:basedOn w:val="Normal"/>
    <w:next w:val="Normal"/>
    <w:link w:val="Heading3Char"/>
    <w:uiPriority w:val="9"/>
    <w:unhideWhenUsed/>
    <w:qFormat/>
    <w:rsid w:val="004011C6"/>
    <w:pPr>
      <w:keepNext/>
      <w:keepLines/>
      <w:numPr>
        <w:ilvl w:val="2"/>
        <w:numId w:val="37"/>
      </w:numPr>
      <w:spacing w:before="200" w:after="0"/>
      <w:ind w:left="720"/>
      <w:outlineLvl w:val="2"/>
    </w:pPr>
    <w:rPr>
      <w:rFonts w:asciiTheme="majorHAnsi" w:eastAsiaTheme="majorEastAsia" w:hAnsiTheme="majorHAnsi" w:cstheme="majorBidi"/>
      <w:b/>
      <w:bCs/>
      <w:color w:val="000000" w:themeColor="text1"/>
    </w:rPr>
  </w:style>
  <w:style w:type="paragraph" w:styleId="Heading4">
    <w:name w:val="heading 4"/>
    <w:basedOn w:val="Normal"/>
    <w:next w:val="Normal"/>
    <w:link w:val="Heading4Char"/>
    <w:uiPriority w:val="9"/>
    <w:unhideWhenUsed/>
    <w:qFormat/>
    <w:rsid w:val="004011C6"/>
    <w:pPr>
      <w:keepNext/>
      <w:keepLines/>
      <w:numPr>
        <w:ilvl w:val="3"/>
        <w:numId w:val="37"/>
      </w:numPr>
      <w:spacing w:before="200" w:after="0"/>
      <w:outlineLvl w:val="3"/>
    </w:pPr>
    <w:rPr>
      <w:rFonts w:asciiTheme="majorHAnsi" w:eastAsiaTheme="majorEastAsia" w:hAnsiTheme="majorHAnsi" w:cstheme="majorBidi"/>
      <w:b/>
      <w:bCs/>
      <w:i/>
      <w:iCs/>
      <w:color w:val="000000" w:themeColor="text1"/>
    </w:rPr>
  </w:style>
  <w:style w:type="paragraph" w:styleId="Heading5">
    <w:name w:val="heading 5"/>
    <w:basedOn w:val="Normal"/>
    <w:next w:val="Normal"/>
    <w:link w:val="Heading5Char"/>
    <w:uiPriority w:val="9"/>
    <w:unhideWhenUsed/>
    <w:qFormat/>
    <w:rsid w:val="004011C6"/>
    <w:pPr>
      <w:keepNext/>
      <w:keepLines/>
      <w:numPr>
        <w:ilvl w:val="4"/>
        <w:numId w:val="37"/>
      </w:numPr>
      <w:spacing w:before="200" w:after="0"/>
      <w:outlineLvl w:val="4"/>
    </w:pPr>
    <w:rPr>
      <w:rFonts w:asciiTheme="majorHAnsi" w:eastAsiaTheme="majorEastAsia" w:hAnsiTheme="majorHAnsi" w:cstheme="majorBidi"/>
      <w:color w:val="323E4F" w:themeColor="text2" w:themeShade="BF"/>
    </w:rPr>
  </w:style>
  <w:style w:type="paragraph" w:styleId="Heading6">
    <w:name w:val="heading 6"/>
    <w:basedOn w:val="Normal"/>
    <w:next w:val="Normal"/>
    <w:link w:val="Heading6Char"/>
    <w:uiPriority w:val="9"/>
    <w:unhideWhenUsed/>
    <w:qFormat/>
    <w:rsid w:val="004011C6"/>
    <w:pPr>
      <w:keepNext/>
      <w:keepLines/>
      <w:numPr>
        <w:ilvl w:val="5"/>
        <w:numId w:val="37"/>
      </w:numPr>
      <w:spacing w:before="200" w:after="0"/>
      <w:outlineLvl w:val="5"/>
    </w:pPr>
    <w:rPr>
      <w:rFonts w:asciiTheme="majorHAnsi" w:eastAsiaTheme="majorEastAsia" w:hAnsiTheme="majorHAnsi" w:cstheme="majorBidi"/>
      <w:i/>
      <w:iCs/>
      <w:color w:val="323E4F" w:themeColor="text2" w:themeShade="BF"/>
    </w:rPr>
  </w:style>
  <w:style w:type="paragraph" w:styleId="Heading7">
    <w:name w:val="heading 7"/>
    <w:basedOn w:val="Normal"/>
    <w:next w:val="Normal"/>
    <w:link w:val="Heading7Char"/>
    <w:uiPriority w:val="9"/>
    <w:unhideWhenUsed/>
    <w:qFormat/>
    <w:rsid w:val="004011C6"/>
    <w:pPr>
      <w:keepNext/>
      <w:keepLines/>
      <w:numPr>
        <w:ilvl w:val="6"/>
        <w:numId w:val="37"/>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4011C6"/>
    <w:pPr>
      <w:keepNext/>
      <w:keepLines/>
      <w:numPr>
        <w:ilvl w:val="7"/>
        <w:numId w:val="37"/>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qFormat/>
    <w:rsid w:val="004011C6"/>
    <w:pPr>
      <w:keepNext/>
      <w:keepLines/>
      <w:numPr>
        <w:ilvl w:val="8"/>
        <w:numId w:val="37"/>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112D5C"/>
    <w:pPr>
      <w:tabs>
        <w:tab w:val="center" w:pos="4513"/>
        <w:tab w:val="right" w:pos="9026"/>
      </w:tabs>
      <w:spacing w:after="0" w:line="240" w:lineRule="auto"/>
    </w:pPr>
  </w:style>
  <w:style w:type="character" w:customStyle="1" w:styleId="FooterChar">
    <w:name w:val="Footer Char"/>
    <w:basedOn w:val="DefaultParagraphFont"/>
    <w:link w:val="Footer"/>
    <w:uiPriority w:val="99"/>
    <w:rsid w:val="00112D5C"/>
  </w:style>
  <w:style w:type="table" w:customStyle="1" w:styleId="GridTable4-Accent13">
    <w:name w:val="Grid Table 4 - Accent 13"/>
    <w:basedOn w:val="TableNormal"/>
    <w:next w:val="GridTable4-Accent1"/>
    <w:uiPriority w:val="49"/>
    <w:rsid w:val="00112D5C"/>
    <w:pPr>
      <w:spacing w:before="200" w:after="0" w:line="240" w:lineRule="auto"/>
    </w:pPr>
    <w:rPr>
      <w:rFonts w:ascii="Calibri" w:eastAsia="Times New Roman" w:hAnsi="Calibri" w:cs="Times New Roman"/>
      <w:lang w:eastAsia="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14">
    <w:name w:val="Grid Table 4 - Accent 14"/>
    <w:basedOn w:val="TableNormal"/>
    <w:next w:val="GridTable4-Accent1"/>
    <w:uiPriority w:val="49"/>
    <w:rsid w:val="00112D5C"/>
    <w:pPr>
      <w:spacing w:before="200" w:after="0" w:line="240" w:lineRule="auto"/>
    </w:pPr>
    <w:rPr>
      <w:rFonts w:ascii="Calibri" w:eastAsia="Times New Roman" w:hAnsi="Calibri" w:cs="Times New Roman"/>
      <w:lang w:eastAsia="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4-Accent1">
    <w:name w:val="Grid Table 4 Accent 1"/>
    <w:basedOn w:val="TableNormal"/>
    <w:uiPriority w:val="49"/>
    <w:rsid w:val="00112D5C"/>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Heading1Char">
    <w:name w:val="Heading 1 Char"/>
    <w:basedOn w:val="DefaultParagraphFont"/>
    <w:link w:val="Heading1"/>
    <w:uiPriority w:val="9"/>
    <w:rsid w:val="004728E0"/>
    <w:rPr>
      <w:rFonts w:asciiTheme="majorHAnsi" w:eastAsiaTheme="majorEastAsia" w:hAnsiTheme="majorHAnsi" w:cstheme="majorBidi"/>
      <w:b/>
      <w:bCs/>
      <w:smallCaps/>
      <w:color w:val="000000" w:themeColor="text1"/>
      <w:sz w:val="36"/>
      <w:szCs w:val="36"/>
    </w:rPr>
  </w:style>
  <w:style w:type="paragraph" w:customStyle="1" w:styleId="FirstParagraph">
    <w:name w:val="First Paragraph"/>
    <w:basedOn w:val="BodyText"/>
    <w:next w:val="BodyText"/>
    <w:rsid w:val="00112D5C"/>
  </w:style>
  <w:style w:type="paragraph" w:styleId="BodyText">
    <w:name w:val="Body Text"/>
    <w:basedOn w:val="Normal"/>
    <w:link w:val="BodyTextChar"/>
    <w:rsid w:val="00112D5C"/>
    <w:pPr>
      <w:spacing w:before="180" w:after="180" w:line="480" w:lineRule="auto"/>
    </w:pPr>
  </w:style>
  <w:style w:type="character" w:customStyle="1" w:styleId="BodyTextChar">
    <w:name w:val="Body Text Char"/>
    <w:basedOn w:val="DefaultParagraphFont"/>
    <w:link w:val="BodyText"/>
    <w:rsid w:val="00112D5C"/>
  </w:style>
  <w:style w:type="paragraph" w:customStyle="1" w:styleId="Compact">
    <w:name w:val="Compact"/>
    <w:basedOn w:val="BodyText"/>
    <w:rsid w:val="00112D5C"/>
    <w:pPr>
      <w:spacing w:before="36" w:after="36"/>
    </w:pPr>
  </w:style>
  <w:style w:type="paragraph" w:customStyle="1" w:styleId="Author">
    <w:name w:val="Author"/>
    <w:next w:val="BodyText"/>
    <w:rsid w:val="00112D5C"/>
    <w:pPr>
      <w:keepNext/>
      <w:keepLines/>
      <w:jc w:val="center"/>
    </w:pPr>
  </w:style>
  <w:style w:type="paragraph" w:customStyle="1" w:styleId="Abstract">
    <w:name w:val="Abstract"/>
    <w:basedOn w:val="Normal"/>
    <w:next w:val="BodyText"/>
    <w:rsid w:val="00112D5C"/>
    <w:pPr>
      <w:keepNext/>
      <w:keepLines/>
      <w:spacing w:before="300" w:after="300"/>
    </w:pPr>
    <w:rPr>
      <w:sz w:val="20"/>
      <w:szCs w:val="20"/>
    </w:rPr>
  </w:style>
  <w:style w:type="character" w:customStyle="1" w:styleId="Heading2Char">
    <w:name w:val="Heading 2 Char"/>
    <w:basedOn w:val="DefaultParagraphFont"/>
    <w:link w:val="Heading2"/>
    <w:uiPriority w:val="9"/>
    <w:rsid w:val="00CD246B"/>
    <w:rPr>
      <w:rFonts w:asciiTheme="majorHAnsi" w:eastAsiaTheme="majorEastAsia" w:hAnsiTheme="majorHAnsi" w:cstheme="majorBidi"/>
      <w:b/>
      <w:bCs/>
      <w:smallCaps/>
      <w:color w:val="000000" w:themeColor="text1"/>
      <w:sz w:val="28"/>
      <w:szCs w:val="28"/>
    </w:rPr>
  </w:style>
  <w:style w:type="character" w:customStyle="1" w:styleId="Heading3Char">
    <w:name w:val="Heading 3 Char"/>
    <w:basedOn w:val="DefaultParagraphFont"/>
    <w:link w:val="Heading3"/>
    <w:uiPriority w:val="9"/>
    <w:rsid w:val="004011C6"/>
    <w:rPr>
      <w:rFonts w:asciiTheme="majorHAnsi" w:eastAsiaTheme="majorEastAsia" w:hAnsiTheme="majorHAnsi" w:cstheme="majorBidi"/>
      <w:b/>
      <w:bCs/>
      <w:color w:val="000000" w:themeColor="text1"/>
    </w:rPr>
  </w:style>
  <w:style w:type="character" w:customStyle="1" w:styleId="Heading4Char">
    <w:name w:val="Heading 4 Char"/>
    <w:basedOn w:val="DefaultParagraphFont"/>
    <w:link w:val="Heading4"/>
    <w:uiPriority w:val="9"/>
    <w:rsid w:val="004011C6"/>
    <w:rPr>
      <w:rFonts w:asciiTheme="majorHAnsi" w:eastAsiaTheme="majorEastAsia" w:hAnsiTheme="majorHAnsi" w:cstheme="majorBidi"/>
      <w:b/>
      <w:bCs/>
      <w:i/>
      <w:iCs/>
      <w:color w:val="000000" w:themeColor="text1"/>
    </w:rPr>
  </w:style>
  <w:style w:type="character" w:customStyle="1" w:styleId="Heading5Char">
    <w:name w:val="Heading 5 Char"/>
    <w:basedOn w:val="DefaultParagraphFont"/>
    <w:link w:val="Heading5"/>
    <w:uiPriority w:val="9"/>
    <w:rsid w:val="004011C6"/>
    <w:rPr>
      <w:rFonts w:asciiTheme="majorHAnsi" w:eastAsiaTheme="majorEastAsia" w:hAnsiTheme="majorHAnsi" w:cstheme="majorBidi"/>
      <w:color w:val="323E4F" w:themeColor="text2" w:themeShade="BF"/>
    </w:rPr>
  </w:style>
  <w:style w:type="character" w:customStyle="1" w:styleId="Heading6Char">
    <w:name w:val="Heading 6 Char"/>
    <w:basedOn w:val="DefaultParagraphFont"/>
    <w:link w:val="Heading6"/>
    <w:uiPriority w:val="9"/>
    <w:rsid w:val="004011C6"/>
    <w:rPr>
      <w:rFonts w:asciiTheme="majorHAnsi" w:eastAsiaTheme="majorEastAsia" w:hAnsiTheme="majorHAnsi" w:cstheme="majorBidi"/>
      <w:i/>
      <w:iCs/>
      <w:color w:val="323E4F" w:themeColor="text2" w:themeShade="BF"/>
    </w:rPr>
  </w:style>
  <w:style w:type="paragraph" w:styleId="FootnoteText">
    <w:name w:val="footnote text"/>
    <w:basedOn w:val="Normal"/>
    <w:link w:val="FootnoteTextChar"/>
    <w:uiPriority w:val="9"/>
    <w:semiHidden/>
    <w:unhideWhenUsed/>
    <w:rsid w:val="00112D5C"/>
  </w:style>
  <w:style w:type="character" w:customStyle="1" w:styleId="FootnoteTextChar">
    <w:name w:val="Footnote Text Char"/>
    <w:basedOn w:val="DefaultParagraphFont"/>
    <w:link w:val="FootnoteText"/>
    <w:uiPriority w:val="9"/>
    <w:semiHidden/>
    <w:rsid w:val="00112D5C"/>
  </w:style>
  <w:style w:type="paragraph" w:styleId="Title">
    <w:name w:val="Title"/>
    <w:basedOn w:val="Normal"/>
    <w:next w:val="Normal"/>
    <w:link w:val="TitleChar"/>
    <w:uiPriority w:val="10"/>
    <w:qFormat/>
    <w:rsid w:val="004011C6"/>
    <w:pPr>
      <w:spacing w:after="0" w:line="240" w:lineRule="auto"/>
      <w:contextualSpacing/>
    </w:pPr>
    <w:rPr>
      <w:rFonts w:asciiTheme="majorHAnsi" w:eastAsiaTheme="majorEastAsia" w:hAnsiTheme="majorHAnsi" w:cstheme="majorBidi"/>
      <w:color w:val="000000" w:themeColor="text1"/>
      <w:sz w:val="56"/>
      <w:szCs w:val="56"/>
    </w:rPr>
  </w:style>
  <w:style w:type="character" w:customStyle="1" w:styleId="TitleChar">
    <w:name w:val="Title Char"/>
    <w:basedOn w:val="DefaultParagraphFont"/>
    <w:link w:val="Title"/>
    <w:uiPriority w:val="10"/>
    <w:rsid w:val="004011C6"/>
    <w:rPr>
      <w:rFonts w:asciiTheme="majorHAnsi" w:eastAsiaTheme="majorEastAsia" w:hAnsiTheme="majorHAnsi" w:cstheme="majorBidi"/>
      <w:color w:val="000000" w:themeColor="text1"/>
      <w:sz w:val="56"/>
      <w:szCs w:val="56"/>
    </w:rPr>
  </w:style>
  <w:style w:type="paragraph" w:styleId="Subtitle">
    <w:name w:val="Subtitle"/>
    <w:basedOn w:val="Normal"/>
    <w:next w:val="Normal"/>
    <w:link w:val="SubtitleChar"/>
    <w:uiPriority w:val="11"/>
    <w:qFormat/>
    <w:rsid w:val="004011C6"/>
    <w:pPr>
      <w:numPr>
        <w:ilvl w:val="1"/>
      </w:numPr>
    </w:pPr>
    <w:rPr>
      <w:color w:val="5A5A5A" w:themeColor="text1" w:themeTint="A5"/>
      <w:spacing w:val="10"/>
    </w:rPr>
  </w:style>
  <w:style w:type="character" w:customStyle="1" w:styleId="SubtitleChar">
    <w:name w:val="Subtitle Char"/>
    <w:basedOn w:val="DefaultParagraphFont"/>
    <w:link w:val="Subtitle"/>
    <w:uiPriority w:val="11"/>
    <w:rsid w:val="004011C6"/>
    <w:rPr>
      <w:color w:val="5A5A5A" w:themeColor="text1" w:themeTint="A5"/>
      <w:spacing w:val="10"/>
    </w:rPr>
  </w:style>
  <w:style w:type="paragraph" w:styleId="Date">
    <w:name w:val="Date"/>
    <w:next w:val="BodyText"/>
    <w:link w:val="DateChar"/>
    <w:rsid w:val="00112D5C"/>
    <w:pPr>
      <w:keepNext/>
      <w:keepLines/>
      <w:jc w:val="center"/>
    </w:pPr>
  </w:style>
  <w:style w:type="character" w:customStyle="1" w:styleId="DateChar">
    <w:name w:val="Date Char"/>
    <w:basedOn w:val="DefaultParagraphFont"/>
    <w:link w:val="Date"/>
    <w:rsid w:val="00112D5C"/>
  </w:style>
  <w:style w:type="paragraph" w:styleId="BlockText">
    <w:name w:val="Block Text"/>
    <w:basedOn w:val="BodyText"/>
    <w:next w:val="BodyText"/>
    <w:uiPriority w:val="9"/>
    <w:semiHidden/>
    <w:unhideWhenUsed/>
    <w:rsid w:val="00112D5C"/>
    <w:pPr>
      <w:spacing w:before="100" w:after="100"/>
    </w:pPr>
    <w:rPr>
      <w:rFonts w:asciiTheme="majorHAnsi" w:eastAsiaTheme="majorEastAsia" w:hAnsiTheme="majorHAnsi" w:cstheme="majorBidi"/>
      <w:bCs/>
      <w:sz w:val="20"/>
      <w:szCs w:val="20"/>
    </w:rPr>
  </w:style>
  <w:style w:type="paragraph" w:styleId="Bibliography">
    <w:name w:val="Bibliography"/>
    <w:basedOn w:val="Normal"/>
    <w:rsid w:val="00112D5C"/>
  </w:style>
  <w:style w:type="paragraph" w:styleId="TOCHeading">
    <w:name w:val="TOC Heading"/>
    <w:basedOn w:val="Heading1"/>
    <w:next w:val="Normal"/>
    <w:uiPriority w:val="39"/>
    <w:semiHidden/>
    <w:unhideWhenUsed/>
    <w:qFormat/>
    <w:rsid w:val="004011C6"/>
    <w:pPr>
      <w:outlineLvl w:val="9"/>
    </w:pPr>
  </w:style>
  <w:style w:type="paragraph" w:customStyle="1" w:styleId="TableCell">
    <w:name w:val="Table Cell"/>
    <w:basedOn w:val="Normal"/>
    <w:link w:val="TableCellChar"/>
    <w:rsid w:val="00112D5C"/>
    <w:pPr>
      <w:spacing w:before="40" w:after="40"/>
      <w:ind w:left="6"/>
    </w:pPr>
  </w:style>
  <w:style w:type="character" w:customStyle="1" w:styleId="TableCellChar">
    <w:name w:val="Table Cell Char"/>
    <w:basedOn w:val="DefaultParagraphFont"/>
    <w:link w:val="TableCell"/>
    <w:locked/>
    <w:rsid w:val="00112D5C"/>
  </w:style>
  <w:style w:type="paragraph" w:customStyle="1" w:styleId="Contents">
    <w:name w:val="Contents"/>
    <w:basedOn w:val="Normal"/>
    <w:next w:val="Normal"/>
    <w:rsid w:val="00112D5C"/>
    <w:pPr>
      <w:spacing w:after="240"/>
      <w:outlineLvl w:val="0"/>
    </w:pPr>
    <w:rPr>
      <w:rFonts w:cs="Arial"/>
      <w:b/>
      <w:bCs/>
      <w:kern w:val="32"/>
      <w:sz w:val="36"/>
      <w:szCs w:val="32"/>
      <w:lang w:eastAsia="en-US"/>
    </w:rPr>
  </w:style>
  <w:style w:type="paragraph" w:customStyle="1" w:styleId="Quotation">
    <w:name w:val="Quotation"/>
    <w:basedOn w:val="Normal"/>
    <w:rsid w:val="00112D5C"/>
    <w:pPr>
      <w:ind w:left="425" w:right="425"/>
    </w:pPr>
    <w:rPr>
      <w:iCs/>
      <w:szCs w:val="24"/>
      <w:lang w:eastAsia="en-US"/>
    </w:rPr>
  </w:style>
  <w:style w:type="paragraph" w:customStyle="1" w:styleId="ContentsSubheading">
    <w:name w:val="Contents Subheading"/>
    <w:basedOn w:val="Contents"/>
    <w:next w:val="Normal"/>
    <w:rsid w:val="00112D5C"/>
    <w:pPr>
      <w:outlineLvl w:val="1"/>
    </w:pPr>
    <w:rPr>
      <w:sz w:val="28"/>
    </w:rPr>
  </w:style>
  <w:style w:type="paragraph" w:customStyle="1" w:styleId="AppendixMain">
    <w:name w:val="Appendix Main"/>
    <w:basedOn w:val="Contents"/>
    <w:next w:val="Normal"/>
    <w:rsid w:val="00112D5C"/>
    <w:pPr>
      <w:keepNext/>
      <w:numPr>
        <w:numId w:val="15"/>
      </w:numPr>
      <w:spacing w:before="360" w:after="0"/>
    </w:pPr>
  </w:style>
  <w:style w:type="paragraph" w:customStyle="1" w:styleId="AppendixSubheading">
    <w:name w:val="Appendix Subheading"/>
    <w:basedOn w:val="AppendixMain"/>
    <w:next w:val="Normal"/>
    <w:rsid w:val="00112D5C"/>
    <w:pPr>
      <w:numPr>
        <w:ilvl w:val="1"/>
      </w:numPr>
      <w:outlineLvl w:val="1"/>
    </w:pPr>
    <w:rPr>
      <w:sz w:val="28"/>
    </w:rPr>
  </w:style>
  <w:style w:type="paragraph" w:customStyle="1" w:styleId="AppendixThird">
    <w:name w:val="Appendix Third"/>
    <w:basedOn w:val="AppendixMain"/>
    <w:next w:val="Normal"/>
    <w:rsid w:val="00112D5C"/>
    <w:pPr>
      <w:numPr>
        <w:ilvl w:val="2"/>
      </w:numPr>
      <w:outlineLvl w:val="2"/>
    </w:pPr>
    <w:rPr>
      <w:sz w:val="24"/>
    </w:rPr>
  </w:style>
  <w:style w:type="paragraph" w:customStyle="1" w:styleId="CaptionFollowon">
    <w:name w:val="Caption Follow on"/>
    <w:basedOn w:val="Caption"/>
    <w:next w:val="Normal"/>
    <w:rsid w:val="00112D5C"/>
    <w:pPr>
      <w:tabs>
        <w:tab w:val="left" w:pos="1418"/>
      </w:tabs>
      <w:spacing w:after="120" w:line="360" w:lineRule="auto"/>
      <w:ind w:left="1134"/>
      <w:contextualSpacing/>
    </w:pPr>
    <w:rPr>
      <w:i w:val="0"/>
      <w:iCs w:val="0"/>
      <w:sz w:val="22"/>
      <w:szCs w:val="26"/>
      <w:lang w:eastAsia="en-US"/>
    </w:rPr>
  </w:style>
  <w:style w:type="paragraph" w:styleId="Caption">
    <w:name w:val="caption"/>
    <w:basedOn w:val="Normal"/>
    <w:next w:val="Normal"/>
    <w:uiPriority w:val="35"/>
    <w:unhideWhenUsed/>
    <w:qFormat/>
    <w:rsid w:val="004011C6"/>
    <w:pPr>
      <w:spacing w:after="200" w:line="240" w:lineRule="auto"/>
    </w:pPr>
    <w:rPr>
      <w:i/>
      <w:iCs/>
      <w:color w:val="44546A" w:themeColor="text2"/>
      <w:sz w:val="18"/>
      <w:szCs w:val="18"/>
    </w:rPr>
  </w:style>
  <w:style w:type="paragraph" w:customStyle="1" w:styleId="FooterLandscapedEven">
    <w:name w:val="Footer Landscaped Even"/>
    <w:basedOn w:val="Footer"/>
    <w:rsid w:val="00112D5C"/>
    <w:pPr>
      <w:tabs>
        <w:tab w:val="clear" w:pos="4513"/>
        <w:tab w:val="clear" w:pos="9026"/>
        <w:tab w:val="center" w:pos="4153"/>
        <w:tab w:val="right" w:pos="8505"/>
      </w:tabs>
      <w:spacing w:after="1800"/>
      <w:jc w:val="center"/>
    </w:pPr>
    <w:rPr>
      <w:noProof/>
      <w:szCs w:val="24"/>
      <w:lang w:eastAsia="en-US"/>
    </w:rPr>
  </w:style>
  <w:style w:type="paragraph" w:customStyle="1" w:styleId="HeaderLandscapedOdd">
    <w:name w:val="Header Landscaped Odd"/>
    <w:basedOn w:val="Header"/>
    <w:rsid w:val="00112D5C"/>
    <w:pPr>
      <w:tabs>
        <w:tab w:val="clear" w:pos="4513"/>
        <w:tab w:val="clear" w:pos="9026"/>
        <w:tab w:val="center" w:pos="4153"/>
        <w:tab w:val="right" w:pos="8460"/>
      </w:tabs>
      <w:spacing w:before="1800"/>
      <w:jc w:val="right"/>
    </w:pPr>
    <w:rPr>
      <w:szCs w:val="24"/>
      <w:lang w:eastAsia="en-US"/>
    </w:rPr>
  </w:style>
  <w:style w:type="paragraph" w:styleId="Header">
    <w:name w:val="header"/>
    <w:basedOn w:val="Normal"/>
    <w:link w:val="HeaderChar"/>
    <w:uiPriority w:val="99"/>
    <w:unhideWhenUsed/>
    <w:rsid w:val="00112D5C"/>
    <w:pPr>
      <w:tabs>
        <w:tab w:val="center" w:pos="4513"/>
        <w:tab w:val="right" w:pos="9026"/>
      </w:tabs>
      <w:spacing w:line="240" w:lineRule="auto"/>
    </w:pPr>
  </w:style>
  <w:style w:type="character" w:customStyle="1" w:styleId="HeaderChar">
    <w:name w:val="Header Char"/>
    <w:basedOn w:val="DefaultParagraphFont"/>
    <w:link w:val="Header"/>
    <w:uiPriority w:val="99"/>
    <w:rsid w:val="00112D5C"/>
  </w:style>
  <w:style w:type="paragraph" w:customStyle="1" w:styleId="QuotationAttribution">
    <w:name w:val="Quotation_Attribution"/>
    <w:basedOn w:val="Quotation"/>
    <w:next w:val="Normal"/>
    <w:rsid w:val="00112D5C"/>
    <w:rPr>
      <w:b/>
    </w:rPr>
  </w:style>
  <w:style w:type="paragraph" w:customStyle="1" w:styleId="Insertedimage">
    <w:name w:val="Inserted image"/>
    <w:basedOn w:val="Normal"/>
    <w:next w:val="Normal"/>
    <w:rsid w:val="00112D5C"/>
    <w:pPr>
      <w:keepNext/>
      <w:spacing w:before="120" w:after="120" w:line="240" w:lineRule="auto"/>
      <w:jc w:val="center"/>
    </w:pPr>
    <w:rPr>
      <w:noProof/>
    </w:rPr>
  </w:style>
  <w:style w:type="paragraph" w:customStyle="1" w:styleId="TableHeader">
    <w:name w:val="Table Header"/>
    <w:basedOn w:val="TableCell"/>
    <w:next w:val="TableCell"/>
    <w:link w:val="TableHeaderChar"/>
    <w:rsid w:val="00112D5C"/>
    <w:pPr>
      <w:adjustRightInd w:val="0"/>
    </w:pPr>
    <w:rPr>
      <w:b/>
      <w:bCs/>
    </w:rPr>
  </w:style>
  <w:style w:type="character" w:customStyle="1" w:styleId="TableHeaderChar">
    <w:name w:val="Table Header Char"/>
    <w:basedOn w:val="TableCellChar"/>
    <w:link w:val="TableHeader"/>
    <w:locked/>
    <w:rsid w:val="00112D5C"/>
    <w:rPr>
      <w:b/>
      <w:bCs/>
    </w:rPr>
  </w:style>
  <w:style w:type="paragraph" w:customStyle="1" w:styleId="AbstractNormal">
    <w:name w:val="Abstract Normal"/>
    <w:basedOn w:val="Normal"/>
    <w:rsid w:val="00112D5C"/>
    <w:pPr>
      <w:spacing w:line="276" w:lineRule="auto"/>
    </w:pPr>
  </w:style>
  <w:style w:type="character" w:customStyle="1" w:styleId="Heading7Char">
    <w:name w:val="Heading 7 Char"/>
    <w:basedOn w:val="DefaultParagraphFont"/>
    <w:link w:val="Heading7"/>
    <w:uiPriority w:val="9"/>
    <w:rsid w:val="004011C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4011C6"/>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rsid w:val="004011C6"/>
    <w:rPr>
      <w:rFonts w:asciiTheme="majorHAnsi" w:eastAsiaTheme="majorEastAsia" w:hAnsiTheme="majorHAnsi" w:cstheme="majorBidi"/>
      <w:i/>
      <w:iCs/>
      <w:color w:val="404040" w:themeColor="text1" w:themeTint="BF"/>
      <w:sz w:val="20"/>
      <w:szCs w:val="20"/>
    </w:rPr>
  </w:style>
  <w:style w:type="paragraph" w:styleId="NormalWeb">
    <w:name w:val="Normal (Web)"/>
    <w:basedOn w:val="Normal"/>
    <w:uiPriority w:val="99"/>
    <w:unhideWhenUsed/>
    <w:rsid w:val="002721F9"/>
    <w:pPr>
      <w:spacing w:before="100" w:beforeAutospacing="1" w:after="100" w:afterAutospacing="1"/>
    </w:pPr>
    <w:rPr>
      <w:rFonts w:ascii="Times New Roman" w:eastAsia="Times New Roman" w:hAnsi="Times New Roman" w:cs="Times New Roman"/>
    </w:rPr>
  </w:style>
  <w:style w:type="paragraph" w:customStyle="1" w:styleId="Default">
    <w:name w:val="Default"/>
    <w:rsid w:val="008327EF"/>
    <w:pPr>
      <w:autoSpaceDE w:val="0"/>
      <w:autoSpaceDN w:val="0"/>
      <w:adjustRightInd w:val="0"/>
      <w:spacing w:after="0"/>
    </w:pPr>
    <w:rPr>
      <w:rFonts w:ascii="Calibri" w:hAnsi="Calibri" w:cs="Calibri"/>
      <w:color w:val="000000"/>
    </w:rPr>
  </w:style>
  <w:style w:type="character" w:styleId="Hyperlink">
    <w:name w:val="Hyperlink"/>
    <w:basedOn w:val="DefaultParagraphFont"/>
    <w:uiPriority w:val="99"/>
    <w:unhideWhenUsed/>
    <w:rsid w:val="00A05A09"/>
    <w:rPr>
      <w:color w:val="0563C1" w:themeColor="hyperlink"/>
      <w:u w:val="single"/>
    </w:rPr>
  </w:style>
  <w:style w:type="table" w:styleId="TableGrid">
    <w:name w:val="Table Grid"/>
    <w:basedOn w:val="TableNormal"/>
    <w:uiPriority w:val="39"/>
    <w:rsid w:val="002C6300"/>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4011C6"/>
    <w:rPr>
      <w:b/>
      <w:bCs/>
      <w:color w:val="000000" w:themeColor="text1"/>
    </w:rPr>
  </w:style>
  <w:style w:type="character" w:styleId="Emphasis">
    <w:name w:val="Emphasis"/>
    <w:basedOn w:val="DefaultParagraphFont"/>
    <w:uiPriority w:val="20"/>
    <w:qFormat/>
    <w:rsid w:val="004011C6"/>
    <w:rPr>
      <w:i/>
      <w:iCs/>
      <w:color w:val="auto"/>
    </w:rPr>
  </w:style>
  <w:style w:type="paragraph" w:styleId="NoSpacing">
    <w:name w:val="No Spacing"/>
    <w:link w:val="NoSpacingChar"/>
    <w:uiPriority w:val="1"/>
    <w:qFormat/>
    <w:rsid w:val="004011C6"/>
    <w:pPr>
      <w:spacing w:after="0" w:line="240" w:lineRule="auto"/>
    </w:pPr>
  </w:style>
  <w:style w:type="character" w:customStyle="1" w:styleId="NoSpacingChar">
    <w:name w:val="No Spacing Char"/>
    <w:basedOn w:val="DefaultParagraphFont"/>
    <w:link w:val="NoSpacing"/>
    <w:uiPriority w:val="1"/>
    <w:rsid w:val="004011C6"/>
  </w:style>
  <w:style w:type="paragraph" w:styleId="ListParagraph">
    <w:name w:val="List Paragraph"/>
    <w:basedOn w:val="Normal"/>
    <w:uiPriority w:val="34"/>
    <w:qFormat/>
    <w:rsid w:val="004011C6"/>
    <w:pPr>
      <w:ind w:left="720"/>
      <w:contextualSpacing/>
    </w:pPr>
  </w:style>
  <w:style w:type="paragraph" w:styleId="Quote">
    <w:name w:val="Quote"/>
    <w:basedOn w:val="Normal"/>
    <w:next w:val="Normal"/>
    <w:link w:val="QuoteChar"/>
    <w:uiPriority w:val="29"/>
    <w:qFormat/>
    <w:rsid w:val="004011C6"/>
    <w:pPr>
      <w:spacing w:before="160"/>
      <w:ind w:left="720" w:right="720"/>
    </w:pPr>
    <w:rPr>
      <w:i/>
      <w:iCs/>
      <w:color w:val="000000" w:themeColor="text1"/>
    </w:rPr>
  </w:style>
  <w:style w:type="character" w:customStyle="1" w:styleId="QuoteChar">
    <w:name w:val="Quote Char"/>
    <w:basedOn w:val="DefaultParagraphFont"/>
    <w:link w:val="Quote"/>
    <w:uiPriority w:val="29"/>
    <w:rsid w:val="004011C6"/>
    <w:rPr>
      <w:i/>
      <w:iCs/>
      <w:color w:val="000000" w:themeColor="text1"/>
    </w:rPr>
  </w:style>
  <w:style w:type="paragraph" w:styleId="IntenseQuote">
    <w:name w:val="Intense Quote"/>
    <w:basedOn w:val="Normal"/>
    <w:next w:val="Normal"/>
    <w:link w:val="IntenseQuoteChar"/>
    <w:uiPriority w:val="30"/>
    <w:qFormat/>
    <w:rsid w:val="004011C6"/>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ind w:left="936" w:right="936"/>
      <w:jc w:val="center"/>
    </w:pPr>
    <w:rPr>
      <w:color w:val="000000" w:themeColor="text1"/>
    </w:rPr>
  </w:style>
  <w:style w:type="character" w:customStyle="1" w:styleId="IntenseQuoteChar">
    <w:name w:val="Intense Quote Char"/>
    <w:basedOn w:val="DefaultParagraphFont"/>
    <w:link w:val="IntenseQuote"/>
    <w:uiPriority w:val="30"/>
    <w:rsid w:val="004011C6"/>
    <w:rPr>
      <w:color w:val="000000" w:themeColor="text1"/>
      <w:shd w:val="clear" w:color="auto" w:fill="F2F2F2" w:themeFill="background1" w:themeFillShade="F2"/>
    </w:rPr>
  </w:style>
  <w:style w:type="character" w:styleId="SubtleEmphasis">
    <w:name w:val="Subtle Emphasis"/>
    <w:basedOn w:val="DefaultParagraphFont"/>
    <w:uiPriority w:val="19"/>
    <w:qFormat/>
    <w:rsid w:val="004011C6"/>
    <w:rPr>
      <w:i/>
      <w:iCs/>
      <w:color w:val="404040" w:themeColor="text1" w:themeTint="BF"/>
    </w:rPr>
  </w:style>
  <w:style w:type="character" w:styleId="IntenseEmphasis">
    <w:name w:val="Intense Emphasis"/>
    <w:basedOn w:val="DefaultParagraphFont"/>
    <w:uiPriority w:val="21"/>
    <w:qFormat/>
    <w:rsid w:val="004011C6"/>
    <w:rPr>
      <w:b/>
      <w:bCs/>
      <w:i/>
      <w:iCs/>
      <w:caps/>
    </w:rPr>
  </w:style>
  <w:style w:type="character" w:styleId="SubtleReference">
    <w:name w:val="Subtle Reference"/>
    <w:basedOn w:val="DefaultParagraphFont"/>
    <w:uiPriority w:val="31"/>
    <w:qFormat/>
    <w:rsid w:val="004011C6"/>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4011C6"/>
    <w:rPr>
      <w:b/>
      <w:bCs/>
      <w:smallCaps/>
      <w:u w:val="single"/>
    </w:rPr>
  </w:style>
  <w:style w:type="character" w:styleId="BookTitle">
    <w:name w:val="Book Title"/>
    <w:basedOn w:val="DefaultParagraphFont"/>
    <w:uiPriority w:val="33"/>
    <w:qFormat/>
    <w:rsid w:val="004011C6"/>
    <w:rPr>
      <w:b w:val="0"/>
      <w:bCs w:val="0"/>
      <w:smallCaps/>
      <w:spacing w:val="5"/>
    </w:rPr>
  </w:style>
  <w:style w:type="table" w:styleId="GridTable1Light-Accent1">
    <w:name w:val="Grid Table 1 Light Accent 1"/>
    <w:basedOn w:val="TableNormal"/>
    <w:uiPriority w:val="46"/>
    <w:rsid w:val="00AF5806"/>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character" w:customStyle="1" w:styleId="inline-comment-marker">
    <w:name w:val="inline-comment-marker"/>
    <w:basedOn w:val="DefaultParagraphFont"/>
    <w:rsid w:val="0004294A"/>
  </w:style>
  <w:style w:type="paragraph" w:styleId="BalloonText">
    <w:name w:val="Balloon Text"/>
    <w:basedOn w:val="Normal"/>
    <w:link w:val="BalloonTextChar"/>
    <w:uiPriority w:val="99"/>
    <w:semiHidden/>
    <w:unhideWhenUsed/>
    <w:rsid w:val="00A52F8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52F80"/>
    <w:rPr>
      <w:rFonts w:ascii="Segoe UI" w:hAnsi="Segoe UI" w:cs="Segoe UI"/>
      <w:sz w:val="18"/>
      <w:szCs w:val="18"/>
    </w:rPr>
  </w:style>
  <w:style w:type="table" w:customStyle="1" w:styleId="GridTable4-Accent11">
    <w:name w:val="Grid Table 4 - Accent 11"/>
    <w:basedOn w:val="TableNormal"/>
    <w:next w:val="GridTable4-Accent1"/>
    <w:uiPriority w:val="49"/>
    <w:rsid w:val="00E866DD"/>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131">
    <w:name w:val="Grid Table 4 - Accent 131"/>
    <w:basedOn w:val="TableNormal"/>
    <w:next w:val="GridTable4-Accent1"/>
    <w:uiPriority w:val="49"/>
    <w:rsid w:val="003C61FB"/>
    <w:pPr>
      <w:spacing w:before="200" w:after="0" w:line="240" w:lineRule="auto"/>
    </w:pPr>
    <w:rPr>
      <w:rFonts w:ascii="Calibri" w:eastAsia="Times New Roman" w:hAnsi="Calibri" w:cs="Times New Roman"/>
      <w:lang w:eastAsia="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111">
    <w:name w:val="Grid Table 4 - Accent 111"/>
    <w:basedOn w:val="TableNormal"/>
    <w:uiPriority w:val="49"/>
    <w:rsid w:val="003C61FB"/>
    <w:pPr>
      <w:spacing w:before="200" w:after="0" w:line="240" w:lineRule="auto"/>
    </w:pPr>
    <w:rPr>
      <w:rFonts w:ascii="Calibri" w:eastAsia="Times New Roman" w:hAnsi="Calibri" w:cs="Times New Roman"/>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112">
    <w:name w:val="Grid Table 4 - Accent 112"/>
    <w:basedOn w:val="TableNormal"/>
    <w:uiPriority w:val="49"/>
    <w:rsid w:val="003C61FB"/>
    <w:pPr>
      <w:spacing w:before="200" w:after="0" w:line="240" w:lineRule="auto"/>
    </w:pPr>
    <w:rPr>
      <w:rFonts w:ascii="Calibri" w:eastAsia="Times New Roman" w:hAnsi="Calibri" w:cs="Times New Roman"/>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15">
    <w:name w:val="Grid Table 4 - Accent 15"/>
    <w:basedOn w:val="TableNormal"/>
    <w:next w:val="GridTable4-Accent1"/>
    <w:uiPriority w:val="49"/>
    <w:rsid w:val="00B413E3"/>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styleId="CommentReference">
    <w:name w:val="annotation reference"/>
    <w:basedOn w:val="DefaultParagraphFont"/>
    <w:uiPriority w:val="99"/>
    <w:semiHidden/>
    <w:unhideWhenUsed/>
    <w:rsid w:val="00560BBE"/>
    <w:rPr>
      <w:sz w:val="16"/>
      <w:szCs w:val="16"/>
    </w:rPr>
  </w:style>
  <w:style w:type="paragraph" w:styleId="CommentText">
    <w:name w:val="annotation text"/>
    <w:basedOn w:val="Normal"/>
    <w:link w:val="CommentTextChar"/>
    <w:uiPriority w:val="99"/>
    <w:unhideWhenUsed/>
    <w:rsid w:val="00560BBE"/>
    <w:pPr>
      <w:spacing w:line="240" w:lineRule="auto"/>
    </w:pPr>
    <w:rPr>
      <w:sz w:val="20"/>
      <w:szCs w:val="20"/>
    </w:rPr>
  </w:style>
  <w:style w:type="character" w:customStyle="1" w:styleId="CommentTextChar">
    <w:name w:val="Comment Text Char"/>
    <w:basedOn w:val="DefaultParagraphFont"/>
    <w:link w:val="CommentText"/>
    <w:uiPriority w:val="99"/>
    <w:rsid w:val="00560BBE"/>
    <w:rPr>
      <w:sz w:val="20"/>
      <w:szCs w:val="20"/>
    </w:rPr>
  </w:style>
  <w:style w:type="paragraph" w:styleId="CommentSubject">
    <w:name w:val="annotation subject"/>
    <w:basedOn w:val="CommentText"/>
    <w:next w:val="CommentText"/>
    <w:link w:val="CommentSubjectChar"/>
    <w:uiPriority w:val="99"/>
    <w:semiHidden/>
    <w:unhideWhenUsed/>
    <w:rsid w:val="00560BBE"/>
    <w:rPr>
      <w:b/>
      <w:bCs/>
    </w:rPr>
  </w:style>
  <w:style w:type="character" w:customStyle="1" w:styleId="CommentSubjectChar">
    <w:name w:val="Comment Subject Char"/>
    <w:basedOn w:val="CommentTextChar"/>
    <w:link w:val="CommentSubject"/>
    <w:uiPriority w:val="99"/>
    <w:semiHidden/>
    <w:rsid w:val="00560BBE"/>
    <w:rPr>
      <w:b/>
      <w:bCs/>
      <w:sz w:val="20"/>
      <w:szCs w:val="20"/>
    </w:rPr>
  </w:style>
  <w:style w:type="table" w:styleId="GridTable1Light-Accent5">
    <w:name w:val="Grid Table 1 Light Accent 5"/>
    <w:basedOn w:val="TableNormal"/>
    <w:uiPriority w:val="46"/>
    <w:rsid w:val="00591AA4"/>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character" w:styleId="FootnoteReference">
    <w:name w:val="footnote reference"/>
    <w:basedOn w:val="DefaultParagraphFont"/>
    <w:uiPriority w:val="99"/>
    <w:semiHidden/>
    <w:unhideWhenUsed/>
    <w:rsid w:val="001863B7"/>
    <w:rPr>
      <w:vertAlign w:val="superscript"/>
    </w:rPr>
  </w:style>
  <w:style w:type="paragraph" w:styleId="Revision">
    <w:name w:val="Revision"/>
    <w:hidden/>
    <w:uiPriority w:val="99"/>
    <w:semiHidden/>
    <w:rsid w:val="000A5082"/>
    <w:pPr>
      <w:spacing w:after="0" w:line="240" w:lineRule="auto"/>
    </w:pPr>
  </w:style>
  <w:style w:type="character" w:styleId="LineNumber">
    <w:name w:val="line number"/>
    <w:basedOn w:val="DefaultParagraphFont"/>
    <w:uiPriority w:val="99"/>
    <w:semiHidden/>
    <w:unhideWhenUsed/>
    <w:rsid w:val="003D54AD"/>
  </w:style>
  <w:style w:type="paragraph" w:customStyle="1" w:styleId="small-text">
    <w:name w:val="small-text"/>
    <w:basedOn w:val="Normal"/>
    <w:rsid w:val="00F953AD"/>
    <w:pPr>
      <w:spacing w:before="100" w:beforeAutospacing="1" w:after="100" w:afterAutospacing="1" w:line="240" w:lineRule="auto"/>
      <w:jc w:val="left"/>
    </w:pPr>
    <w:rPr>
      <w:rFonts w:ascii="Times New Roman" w:eastAsia="Times New Roman" w:hAnsi="Times New Roman" w:cs="Times New Roman"/>
      <w:sz w:val="24"/>
      <w:szCs w:val="24"/>
      <w:lang w:eastAsia="en-GB"/>
    </w:rPr>
  </w:style>
  <w:style w:type="paragraph" w:customStyle="1" w:styleId="locationsaddress-line">
    <w:name w:val="locations__address-line"/>
    <w:basedOn w:val="Normal"/>
    <w:rsid w:val="001D24BF"/>
    <w:pPr>
      <w:spacing w:before="100" w:beforeAutospacing="1" w:after="100" w:afterAutospacing="1" w:line="240" w:lineRule="auto"/>
      <w:jc w:val="left"/>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9C269E"/>
    <w:rPr>
      <w:color w:val="954F72"/>
      <w:u w:val="single"/>
    </w:rPr>
  </w:style>
  <w:style w:type="paragraph" w:customStyle="1" w:styleId="msonormal0">
    <w:name w:val="msonormal"/>
    <w:basedOn w:val="Normal"/>
    <w:rsid w:val="009C269E"/>
    <w:pPr>
      <w:spacing w:before="100" w:beforeAutospacing="1" w:after="100" w:afterAutospacing="1" w:line="240" w:lineRule="auto"/>
      <w:jc w:val="left"/>
    </w:pPr>
    <w:rPr>
      <w:rFonts w:ascii="Times New Roman" w:eastAsia="Times New Roman" w:hAnsi="Times New Roman" w:cs="Times New Roman"/>
      <w:sz w:val="24"/>
      <w:szCs w:val="24"/>
    </w:rPr>
  </w:style>
  <w:style w:type="paragraph" w:customStyle="1" w:styleId="xl66">
    <w:name w:val="xl66"/>
    <w:basedOn w:val="Normal"/>
    <w:rsid w:val="009C269E"/>
    <w:pPr>
      <w:spacing w:before="100" w:beforeAutospacing="1" w:after="100" w:afterAutospacing="1" w:line="240" w:lineRule="auto"/>
      <w:jc w:val="left"/>
    </w:pPr>
    <w:rPr>
      <w:rFonts w:ascii="Calibri" w:eastAsia="Times New Roman" w:hAnsi="Calibri" w:cs="Calibri"/>
      <w:color w:val="000000"/>
      <w:sz w:val="24"/>
      <w:szCs w:val="24"/>
    </w:rPr>
  </w:style>
  <w:style w:type="paragraph" w:customStyle="1" w:styleId="xl67">
    <w:name w:val="xl67"/>
    <w:basedOn w:val="Normal"/>
    <w:rsid w:val="009C269E"/>
    <w:pPr>
      <w:spacing w:before="100" w:beforeAutospacing="1" w:after="100" w:afterAutospacing="1" w:line="240" w:lineRule="auto"/>
      <w:jc w:val="center"/>
    </w:pPr>
    <w:rPr>
      <w:rFonts w:ascii="Calibri" w:eastAsia="Times New Roman" w:hAnsi="Calibri" w:cs="Calibri"/>
      <w:color w:val="000000"/>
      <w:sz w:val="24"/>
      <w:szCs w:val="24"/>
    </w:rPr>
  </w:style>
  <w:style w:type="paragraph" w:customStyle="1" w:styleId="xl68">
    <w:name w:val="xl68"/>
    <w:basedOn w:val="Normal"/>
    <w:rsid w:val="009C269E"/>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Calibri" w:eastAsia="Times New Roman" w:hAnsi="Calibri" w:cs="Calibri"/>
      <w:color w:val="000000"/>
      <w:sz w:val="24"/>
      <w:szCs w:val="24"/>
    </w:rPr>
  </w:style>
  <w:style w:type="paragraph" w:customStyle="1" w:styleId="xl69">
    <w:name w:val="xl69"/>
    <w:basedOn w:val="Normal"/>
    <w:rsid w:val="009C269E"/>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Calibri" w:eastAsia="Times New Roman" w:hAnsi="Calibri" w:cs="Calibri"/>
      <w:color w:val="000000"/>
      <w:sz w:val="24"/>
      <w:szCs w:val="24"/>
    </w:rPr>
  </w:style>
  <w:style w:type="paragraph" w:customStyle="1" w:styleId="xl70">
    <w:name w:val="xl70"/>
    <w:basedOn w:val="Normal"/>
    <w:rsid w:val="009C269E"/>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Calibri" w:eastAsia="Times New Roman" w:hAnsi="Calibri" w:cs="Calibri"/>
      <w:color w:val="000000"/>
      <w:sz w:val="24"/>
      <w:szCs w:val="24"/>
    </w:rPr>
  </w:style>
  <w:style w:type="paragraph" w:customStyle="1" w:styleId="xl71">
    <w:name w:val="xl71"/>
    <w:basedOn w:val="Normal"/>
    <w:rsid w:val="009C269E"/>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line="240" w:lineRule="auto"/>
      <w:jc w:val="center"/>
    </w:pPr>
    <w:rPr>
      <w:rFonts w:ascii="Calibri" w:eastAsia="Times New Roman" w:hAnsi="Calibri" w:cs="Calibri"/>
      <w:color w:val="000000"/>
      <w:sz w:val="24"/>
      <w:szCs w:val="24"/>
    </w:rPr>
  </w:style>
  <w:style w:type="paragraph" w:customStyle="1" w:styleId="xl72">
    <w:name w:val="xl72"/>
    <w:basedOn w:val="Normal"/>
    <w:rsid w:val="009C269E"/>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pPr>
    <w:rPr>
      <w:rFonts w:ascii="Calibri" w:eastAsia="Times New Roman" w:hAnsi="Calibri" w:cs="Calibri"/>
      <w:color w:val="000000"/>
      <w:sz w:val="24"/>
      <w:szCs w:val="24"/>
    </w:rPr>
  </w:style>
  <w:style w:type="paragraph" w:customStyle="1" w:styleId="xl73">
    <w:name w:val="xl73"/>
    <w:basedOn w:val="Normal"/>
    <w:rsid w:val="009C269E"/>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line="240" w:lineRule="auto"/>
      <w:jc w:val="center"/>
    </w:pPr>
    <w:rPr>
      <w:rFonts w:ascii="Calibri" w:eastAsia="Times New Roman" w:hAnsi="Calibri" w:cs="Calibri"/>
      <w:color w:val="000000"/>
      <w:sz w:val="24"/>
      <w:szCs w:val="24"/>
    </w:rPr>
  </w:style>
  <w:style w:type="paragraph" w:customStyle="1" w:styleId="xl74">
    <w:name w:val="xl74"/>
    <w:basedOn w:val="Normal"/>
    <w:rsid w:val="009C269E"/>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line="240" w:lineRule="auto"/>
      <w:jc w:val="center"/>
    </w:pPr>
    <w:rPr>
      <w:rFonts w:ascii="Calibri" w:eastAsia="Times New Roman" w:hAnsi="Calibri" w:cs="Calibri"/>
      <w:color w:val="000000"/>
      <w:sz w:val="24"/>
      <w:szCs w:val="24"/>
    </w:rPr>
  </w:style>
  <w:style w:type="paragraph" w:customStyle="1" w:styleId="xl75">
    <w:name w:val="xl75"/>
    <w:basedOn w:val="Normal"/>
    <w:rsid w:val="009C269E"/>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Calibri" w:eastAsia="Times New Roman" w:hAnsi="Calibri" w:cs="Calibri"/>
      <w:color w:val="000000"/>
      <w:sz w:val="24"/>
      <w:szCs w:val="24"/>
    </w:rPr>
  </w:style>
  <w:style w:type="paragraph" w:customStyle="1" w:styleId="xl76">
    <w:name w:val="xl76"/>
    <w:basedOn w:val="Normal"/>
    <w:rsid w:val="009C269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Calibri"/>
      <w:color w:val="000000"/>
      <w:sz w:val="24"/>
      <w:szCs w:val="24"/>
    </w:rPr>
  </w:style>
  <w:style w:type="paragraph" w:customStyle="1" w:styleId="xl77">
    <w:name w:val="xl77"/>
    <w:basedOn w:val="Normal"/>
    <w:rsid w:val="009C269E"/>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Calibri"/>
      <w:color w:val="000000"/>
      <w:sz w:val="24"/>
      <w:szCs w:val="24"/>
    </w:rPr>
  </w:style>
  <w:style w:type="paragraph" w:customStyle="1" w:styleId="xl78">
    <w:name w:val="xl78"/>
    <w:basedOn w:val="Normal"/>
    <w:rsid w:val="009C269E"/>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pPr>
    <w:rPr>
      <w:rFonts w:ascii="Calibri" w:eastAsia="Times New Roman" w:hAnsi="Calibri" w:cs="Calibri"/>
      <w:color w:val="000000"/>
      <w:sz w:val="24"/>
      <w:szCs w:val="24"/>
    </w:rPr>
  </w:style>
  <w:style w:type="paragraph" w:customStyle="1" w:styleId="xl79">
    <w:name w:val="xl79"/>
    <w:basedOn w:val="Normal"/>
    <w:rsid w:val="009C269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Calibri" w:eastAsia="Times New Roman" w:hAnsi="Calibri" w:cs="Calibri"/>
      <w:color w:val="000000"/>
      <w:sz w:val="24"/>
      <w:szCs w:val="24"/>
    </w:rPr>
  </w:style>
  <w:style w:type="paragraph" w:customStyle="1" w:styleId="xl80">
    <w:name w:val="xl80"/>
    <w:basedOn w:val="Normal"/>
    <w:rsid w:val="009C269E"/>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Calibri" w:eastAsia="Times New Roman" w:hAnsi="Calibri" w:cs="Calibri"/>
      <w:color w:val="000000"/>
      <w:sz w:val="24"/>
      <w:szCs w:val="24"/>
    </w:rPr>
  </w:style>
  <w:style w:type="paragraph" w:customStyle="1" w:styleId="xl81">
    <w:name w:val="xl81"/>
    <w:basedOn w:val="Normal"/>
    <w:rsid w:val="009C269E"/>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Calibri" w:eastAsia="Times New Roman" w:hAnsi="Calibri" w:cs="Calibri"/>
      <w:color w:val="000000"/>
      <w:sz w:val="24"/>
      <w:szCs w:val="24"/>
    </w:rPr>
  </w:style>
  <w:style w:type="paragraph" w:customStyle="1" w:styleId="xl82">
    <w:name w:val="xl82"/>
    <w:basedOn w:val="Normal"/>
    <w:rsid w:val="009C269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Calibri"/>
      <w:i/>
      <w:iCs/>
      <w:color w:val="000000"/>
      <w:sz w:val="24"/>
      <w:szCs w:val="24"/>
    </w:rPr>
  </w:style>
  <w:style w:type="paragraph" w:customStyle="1" w:styleId="xl83">
    <w:name w:val="xl83"/>
    <w:basedOn w:val="Normal"/>
    <w:rsid w:val="009C269E"/>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Calibri" w:eastAsia="Times New Roman" w:hAnsi="Calibri" w:cs="Calibri"/>
      <w:color w:val="000000"/>
      <w:sz w:val="24"/>
      <w:szCs w:val="24"/>
    </w:rPr>
  </w:style>
  <w:style w:type="paragraph" w:customStyle="1" w:styleId="xl84">
    <w:name w:val="xl84"/>
    <w:basedOn w:val="Normal"/>
    <w:rsid w:val="009C269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Calibri"/>
      <w:i/>
      <w:iCs/>
      <w:color w:val="000000"/>
      <w:sz w:val="16"/>
      <w:szCs w:val="16"/>
    </w:rPr>
  </w:style>
  <w:style w:type="paragraph" w:customStyle="1" w:styleId="xl85">
    <w:name w:val="xl85"/>
    <w:basedOn w:val="Normal"/>
    <w:rsid w:val="009C269E"/>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Calibri" w:eastAsia="Times New Roman" w:hAnsi="Calibri" w:cs="Calibri"/>
      <w:color w:val="000000"/>
      <w:sz w:val="24"/>
      <w:szCs w:val="24"/>
    </w:rPr>
  </w:style>
  <w:style w:type="paragraph" w:customStyle="1" w:styleId="xl86">
    <w:name w:val="xl86"/>
    <w:basedOn w:val="Normal"/>
    <w:rsid w:val="009C269E"/>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Calibri"/>
      <w:color w:val="000000"/>
      <w:sz w:val="24"/>
      <w:szCs w:val="24"/>
    </w:rPr>
  </w:style>
  <w:style w:type="paragraph" w:customStyle="1" w:styleId="xl87">
    <w:name w:val="xl87"/>
    <w:basedOn w:val="Normal"/>
    <w:rsid w:val="009C269E"/>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Calibri"/>
      <w:i/>
      <w:iCs/>
      <w:color w:val="000000"/>
      <w:sz w:val="24"/>
      <w:szCs w:val="24"/>
    </w:rPr>
  </w:style>
  <w:style w:type="paragraph" w:customStyle="1" w:styleId="xl88">
    <w:name w:val="xl88"/>
    <w:basedOn w:val="Normal"/>
    <w:rsid w:val="009C269E"/>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Calibri"/>
      <w:color w:val="000000"/>
      <w:sz w:val="24"/>
      <w:szCs w:val="24"/>
    </w:rPr>
  </w:style>
  <w:style w:type="paragraph" w:customStyle="1" w:styleId="xl89">
    <w:name w:val="xl89"/>
    <w:basedOn w:val="Normal"/>
    <w:rsid w:val="009C269E"/>
    <w:pPr>
      <w:spacing w:before="100" w:beforeAutospacing="1" w:after="100" w:afterAutospacing="1" w:line="240" w:lineRule="auto"/>
      <w:jc w:val="left"/>
    </w:pPr>
    <w:rPr>
      <w:rFonts w:ascii="Calibri" w:eastAsia="Times New Roman" w:hAnsi="Calibri" w:cs="Calibri"/>
      <w:color w:val="000000"/>
      <w:sz w:val="24"/>
      <w:szCs w:val="24"/>
    </w:rPr>
  </w:style>
  <w:style w:type="paragraph" w:customStyle="1" w:styleId="xl90">
    <w:name w:val="xl90"/>
    <w:basedOn w:val="Normal"/>
    <w:rsid w:val="009C269E"/>
    <w:pPr>
      <w:pBdr>
        <w:top w:val="single" w:sz="8" w:space="0" w:color="auto"/>
        <w:left w:val="single" w:sz="4" w:space="0" w:color="auto"/>
        <w:right w:val="single" w:sz="8" w:space="0" w:color="auto"/>
      </w:pBdr>
      <w:spacing w:before="100" w:beforeAutospacing="1" w:after="100" w:afterAutospacing="1" w:line="240" w:lineRule="auto"/>
      <w:jc w:val="center"/>
    </w:pPr>
    <w:rPr>
      <w:rFonts w:ascii="Calibri" w:eastAsia="Times New Roman" w:hAnsi="Calibri" w:cs="Calibri"/>
      <w:color w:val="000000"/>
      <w:sz w:val="24"/>
      <w:szCs w:val="24"/>
    </w:rPr>
  </w:style>
  <w:style w:type="paragraph" w:customStyle="1" w:styleId="xl91">
    <w:name w:val="xl91"/>
    <w:basedOn w:val="Normal"/>
    <w:rsid w:val="009C269E"/>
    <w:pPr>
      <w:pBdr>
        <w:top w:val="single" w:sz="8" w:space="0" w:color="auto"/>
        <w:left w:val="single" w:sz="4" w:space="0" w:color="auto"/>
        <w:right w:val="single" w:sz="4" w:space="0" w:color="auto"/>
      </w:pBdr>
      <w:spacing w:before="100" w:beforeAutospacing="1" w:after="100" w:afterAutospacing="1" w:line="240" w:lineRule="auto"/>
      <w:jc w:val="center"/>
    </w:pPr>
    <w:rPr>
      <w:rFonts w:ascii="Calibri" w:eastAsia="Times New Roman" w:hAnsi="Calibri" w:cs="Calibri"/>
      <w:color w:val="000000"/>
      <w:sz w:val="24"/>
      <w:szCs w:val="24"/>
    </w:rPr>
  </w:style>
  <w:style w:type="paragraph" w:customStyle="1" w:styleId="xl92">
    <w:name w:val="xl92"/>
    <w:basedOn w:val="Normal"/>
    <w:rsid w:val="009C269E"/>
    <w:pPr>
      <w:pBdr>
        <w:top w:val="single" w:sz="8" w:space="0" w:color="auto"/>
        <w:left w:val="single" w:sz="4" w:space="0" w:color="auto"/>
        <w:right w:val="single" w:sz="8" w:space="0" w:color="auto"/>
      </w:pBdr>
      <w:spacing w:before="100" w:beforeAutospacing="1" w:after="100" w:afterAutospacing="1" w:line="240" w:lineRule="auto"/>
      <w:jc w:val="center"/>
    </w:pPr>
    <w:rPr>
      <w:rFonts w:ascii="Calibri" w:eastAsia="Times New Roman" w:hAnsi="Calibri" w:cs="Calibri"/>
      <w:color w:val="000000"/>
      <w:sz w:val="24"/>
      <w:szCs w:val="24"/>
    </w:rPr>
  </w:style>
  <w:style w:type="paragraph" w:customStyle="1" w:styleId="xl93">
    <w:name w:val="xl93"/>
    <w:basedOn w:val="Normal"/>
    <w:rsid w:val="009C269E"/>
    <w:pPr>
      <w:pBdr>
        <w:top w:val="single" w:sz="8" w:space="0" w:color="auto"/>
        <w:left w:val="single" w:sz="8" w:space="0" w:color="auto"/>
        <w:right w:val="single" w:sz="4" w:space="0" w:color="auto"/>
      </w:pBdr>
      <w:spacing w:before="100" w:beforeAutospacing="1" w:after="100" w:afterAutospacing="1" w:line="240" w:lineRule="auto"/>
      <w:jc w:val="center"/>
    </w:pPr>
    <w:rPr>
      <w:rFonts w:ascii="Calibri" w:eastAsia="Times New Roman" w:hAnsi="Calibri" w:cs="Calibri"/>
      <w:color w:val="000000"/>
      <w:sz w:val="24"/>
      <w:szCs w:val="24"/>
    </w:rPr>
  </w:style>
  <w:style w:type="paragraph" w:customStyle="1" w:styleId="xl94">
    <w:name w:val="xl94"/>
    <w:basedOn w:val="Normal"/>
    <w:rsid w:val="009C269E"/>
    <w:pPr>
      <w:pBdr>
        <w:top w:val="single" w:sz="8" w:space="0" w:color="auto"/>
        <w:left w:val="single" w:sz="4" w:space="0" w:color="auto"/>
        <w:right w:val="single" w:sz="4" w:space="0" w:color="auto"/>
      </w:pBdr>
      <w:spacing w:before="100" w:beforeAutospacing="1" w:after="100" w:afterAutospacing="1" w:line="240" w:lineRule="auto"/>
      <w:jc w:val="center"/>
    </w:pPr>
    <w:rPr>
      <w:rFonts w:ascii="Calibri" w:eastAsia="Times New Roman" w:hAnsi="Calibri" w:cs="Calibri"/>
      <w:color w:val="000000"/>
      <w:sz w:val="24"/>
      <w:szCs w:val="24"/>
    </w:rPr>
  </w:style>
  <w:style w:type="paragraph" w:customStyle="1" w:styleId="xl95">
    <w:name w:val="xl95"/>
    <w:basedOn w:val="Normal"/>
    <w:rsid w:val="009C269E"/>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Calibri"/>
      <w:color w:val="000000"/>
      <w:sz w:val="24"/>
      <w:szCs w:val="24"/>
    </w:rPr>
  </w:style>
  <w:style w:type="paragraph" w:customStyle="1" w:styleId="xl96">
    <w:name w:val="xl96"/>
    <w:basedOn w:val="Normal"/>
    <w:rsid w:val="009C269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Calibri" w:eastAsia="Times New Roman" w:hAnsi="Calibri" w:cs="Calibri"/>
      <w:color w:val="000000"/>
      <w:sz w:val="24"/>
      <w:szCs w:val="24"/>
    </w:rPr>
  </w:style>
  <w:style w:type="paragraph" w:customStyle="1" w:styleId="xl97">
    <w:name w:val="xl97"/>
    <w:basedOn w:val="Normal"/>
    <w:rsid w:val="009C269E"/>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pPr>
    <w:rPr>
      <w:rFonts w:ascii="Calibri" w:eastAsia="Times New Roman" w:hAnsi="Calibri" w:cs="Calibri"/>
      <w:color w:val="000000"/>
      <w:sz w:val="24"/>
      <w:szCs w:val="24"/>
    </w:rPr>
  </w:style>
  <w:style w:type="paragraph" w:customStyle="1" w:styleId="xl98">
    <w:name w:val="xl98"/>
    <w:basedOn w:val="Normal"/>
    <w:rsid w:val="009C269E"/>
    <w:pPr>
      <w:spacing w:before="100" w:beforeAutospacing="1" w:after="100" w:afterAutospacing="1" w:line="240" w:lineRule="auto"/>
      <w:jc w:val="left"/>
    </w:pPr>
    <w:rPr>
      <w:rFonts w:ascii="Calibri" w:eastAsia="Times New Roman" w:hAnsi="Calibri" w:cs="Calibri"/>
      <w:color w:val="000000"/>
      <w:sz w:val="24"/>
      <w:szCs w:val="24"/>
    </w:rPr>
  </w:style>
  <w:style w:type="paragraph" w:customStyle="1" w:styleId="xl99">
    <w:name w:val="xl99"/>
    <w:basedOn w:val="Normal"/>
    <w:rsid w:val="009C269E"/>
    <w:pPr>
      <w:pBdr>
        <w:top w:val="single" w:sz="8" w:space="0" w:color="auto"/>
        <w:left w:val="single" w:sz="4" w:space="0" w:color="auto"/>
        <w:bottom w:val="single" w:sz="4" w:space="0" w:color="auto"/>
        <w:right w:val="single" w:sz="4" w:space="0" w:color="auto"/>
      </w:pBdr>
      <w:shd w:val="clear" w:color="000000" w:fill="9BC2E6"/>
      <w:spacing w:before="100" w:beforeAutospacing="1" w:after="100" w:afterAutospacing="1" w:line="240" w:lineRule="auto"/>
      <w:jc w:val="center"/>
    </w:pPr>
    <w:rPr>
      <w:rFonts w:ascii="Calibri" w:eastAsia="Times New Roman" w:hAnsi="Calibri" w:cs="Calibri"/>
      <w:i/>
      <w:iCs/>
      <w:color w:val="000000"/>
      <w:sz w:val="24"/>
      <w:szCs w:val="24"/>
    </w:rPr>
  </w:style>
  <w:style w:type="paragraph" w:customStyle="1" w:styleId="xl100">
    <w:name w:val="xl100"/>
    <w:basedOn w:val="Normal"/>
    <w:rsid w:val="009C269E"/>
    <w:pPr>
      <w:pBdr>
        <w:top w:val="single" w:sz="4" w:space="0" w:color="auto"/>
        <w:left w:val="single" w:sz="4" w:space="0" w:color="auto"/>
        <w:bottom w:val="single" w:sz="4" w:space="0" w:color="auto"/>
        <w:right w:val="single" w:sz="4" w:space="0" w:color="auto"/>
      </w:pBdr>
      <w:shd w:val="clear" w:color="000000" w:fill="9BC2E6"/>
      <w:spacing w:before="100" w:beforeAutospacing="1" w:after="100" w:afterAutospacing="1" w:line="240" w:lineRule="auto"/>
      <w:jc w:val="center"/>
    </w:pPr>
    <w:rPr>
      <w:rFonts w:ascii="Calibri" w:eastAsia="Times New Roman" w:hAnsi="Calibri" w:cs="Calibri"/>
      <w:i/>
      <w:iCs/>
      <w:color w:val="000000"/>
      <w:sz w:val="24"/>
      <w:szCs w:val="24"/>
    </w:rPr>
  </w:style>
  <w:style w:type="paragraph" w:customStyle="1" w:styleId="xl101">
    <w:name w:val="xl101"/>
    <w:basedOn w:val="Normal"/>
    <w:rsid w:val="009C269E"/>
    <w:pPr>
      <w:pBdr>
        <w:top w:val="single" w:sz="4" w:space="0" w:color="auto"/>
        <w:left w:val="single" w:sz="4" w:space="0" w:color="auto"/>
        <w:bottom w:val="single" w:sz="4" w:space="0" w:color="auto"/>
        <w:right w:val="single" w:sz="4" w:space="0" w:color="auto"/>
      </w:pBdr>
      <w:shd w:val="clear" w:color="000000" w:fill="9BC2E6"/>
      <w:spacing w:before="100" w:beforeAutospacing="1" w:after="100" w:afterAutospacing="1" w:line="240" w:lineRule="auto"/>
      <w:jc w:val="center"/>
    </w:pPr>
    <w:rPr>
      <w:rFonts w:ascii="Calibri" w:eastAsia="Times New Roman" w:hAnsi="Calibri" w:cs="Calibri"/>
      <w:color w:val="000000"/>
      <w:sz w:val="24"/>
      <w:szCs w:val="24"/>
    </w:rPr>
  </w:style>
  <w:style w:type="paragraph" w:customStyle="1" w:styleId="xl102">
    <w:name w:val="xl102"/>
    <w:basedOn w:val="Normal"/>
    <w:rsid w:val="009C269E"/>
    <w:pPr>
      <w:pBdr>
        <w:top w:val="single" w:sz="4" w:space="0" w:color="auto"/>
        <w:left w:val="single" w:sz="4" w:space="0" w:color="auto"/>
        <w:bottom w:val="single" w:sz="4" w:space="0" w:color="auto"/>
        <w:right w:val="single" w:sz="8" w:space="0" w:color="auto"/>
      </w:pBdr>
      <w:shd w:val="clear" w:color="000000" w:fill="9BC2E6"/>
      <w:spacing w:before="100" w:beforeAutospacing="1" w:after="100" w:afterAutospacing="1" w:line="240" w:lineRule="auto"/>
      <w:jc w:val="center"/>
    </w:pPr>
    <w:rPr>
      <w:rFonts w:ascii="Calibri" w:eastAsia="Times New Roman" w:hAnsi="Calibri" w:cs="Calibri"/>
      <w:color w:val="000000"/>
      <w:sz w:val="24"/>
      <w:szCs w:val="24"/>
    </w:rPr>
  </w:style>
  <w:style w:type="paragraph" w:customStyle="1" w:styleId="xl103">
    <w:name w:val="xl103"/>
    <w:basedOn w:val="Normal"/>
    <w:rsid w:val="009C269E"/>
    <w:pPr>
      <w:pBdr>
        <w:top w:val="single" w:sz="4" w:space="0" w:color="auto"/>
        <w:left w:val="single" w:sz="4" w:space="0" w:color="auto"/>
        <w:bottom w:val="single" w:sz="8" w:space="0" w:color="auto"/>
        <w:right w:val="single" w:sz="4" w:space="0" w:color="auto"/>
      </w:pBdr>
      <w:shd w:val="clear" w:color="000000" w:fill="9BC2E6"/>
      <w:spacing w:before="100" w:beforeAutospacing="1" w:after="100" w:afterAutospacing="1" w:line="240" w:lineRule="auto"/>
      <w:jc w:val="center"/>
    </w:pPr>
    <w:rPr>
      <w:rFonts w:ascii="Calibri" w:eastAsia="Times New Roman" w:hAnsi="Calibri" w:cs="Calibri"/>
      <w:color w:val="000000"/>
      <w:sz w:val="24"/>
      <w:szCs w:val="24"/>
    </w:rPr>
  </w:style>
  <w:style w:type="paragraph" w:customStyle="1" w:styleId="xl104">
    <w:name w:val="xl104"/>
    <w:basedOn w:val="Normal"/>
    <w:rsid w:val="009C269E"/>
    <w:pPr>
      <w:pBdr>
        <w:top w:val="single" w:sz="8" w:space="0" w:color="auto"/>
        <w:left w:val="single" w:sz="4" w:space="0" w:color="auto"/>
        <w:bottom w:val="single" w:sz="4" w:space="0" w:color="auto"/>
        <w:right w:val="single" w:sz="4" w:space="0" w:color="auto"/>
      </w:pBdr>
      <w:shd w:val="clear" w:color="000000" w:fill="5B9BD5"/>
      <w:spacing w:before="100" w:beforeAutospacing="1" w:after="100" w:afterAutospacing="1" w:line="240" w:lineRule="auto"/>
      <w:jc w:val="center"/>
    </w:pPr>
    <w:rPr>
      <w:rFonts w:ascii="Calibri" w:eastAsia="Times New Roman" w:hAnsi="Calibri" w:cs="Calibri"/>
      <w:color w:val="000000"/>
      <w:sz w:val="24"/>
      <w:szCs w:val="24"/>
    </w:rPr>
  </w:style>
  <w:style w:type="paragraph" w:customStyle="1" w:styleId="xl105">
    <w:name w:val="xl105"/>
    <w:basedOn w:val="Normal"/>
    <w:rsid w:val="009C269E"/>
    <w:pPr>
      <w:pBdr>
        <w:top w:val="single" w:sz="4" w:space="0" w:color="auto"/>
        <w:left w:val="single" w:sz="8" w:space="0" w:color="auto"/>
        <w:bottom w:val="single" w:sz="4" w:space="0" w:color="auto"/>
        <w:right w:val="single" w:sz="4" w:space="0" w:color="auto"/>
      </w:pBdr>
      <w:shd w:val="clear" w:color="000000" w:fill="5B9BD5"/>
      <w:spacing w:before="100" w:beforeAutospacing="1" w:after="100" w:afterAutospacing="1" w:line="240" w:lineRule="auto"/>
      <w:jc w:val="center"/>
    </w:pPr>
    <w:rPr>
      <w:rFonts w:ascii="Calibri" w:eastAsia="Times New Roman" w:hAnsi="Calibri" w:cs="Calibri"/>
      <w:color w:val="000000"/>
      <w:sz w:val="24"/>
      <w:szCs w:val="24"/>
    </w:rPr>
  </w:style>
  <w:style w:type="paragraph" w:customStyle="1" w:styleId="xl106">
    <w:name w:val="xl106"/>
    <w:basedOn w:val="Normal"/>
    <w:rsid w:val="009C269E"/>
    <w:pPr>
      <w:pBdr>
        <w:top w:val="single" w:sz="4" w:space="0" w:color="auto"/>
        <w:left w:val="single" w:sz="4" w:space="0" w:color="auto"/>
        <w:bottom w:val="single" w:sz="4" w:space="0" w:color="auto"/>
        <w:right w:val="single" w:sz="4" w:space="0" w:color="auto"/>
      </w:pBdr>
      <w:shd w:val="clear" w:color="000000" w:fill="5B9BD5"/>
      <w:spacing w:before="100" w:beforeAutospacing="1" w:after="100" w:afterAutospacing="1" w:line="240" w:lineRule="auto"/>
      <w:jc w:val="center"/>
    </w:pPr>
    <w:rPr>
      <w:rFonts w:ascii="Calibri" w:eastAsia="Times New Roman" w:hAnsi="Calibri" w:cs="Calibri"/>
      <w:color w:val="000000"/>
      <w:sz w:val="24"/>
      <w:szCs w:val="24"/>
    </w:rPr>
  </w:style>
  <w:style w:type="paragraph" w:customStyle="1" w:styleId="xl107">
    <w:name w:val="xl107"/>
    <w:basedOn w:val="Normal"/>
    <w:rsid w:val="009C269E"/>
    <w:pPr>
      <w:pBdr>
        <w:top w:val="single" w:sz="4" w:space="0" w:color="auto"/>
        <w:left w:val="single" w:sz="4" w:space="0" w:color="auto"/>
        <w:bottom w:val="single" w:sz="8" w:space="0" w:color="auto"/>
        <w:right w:val="single" w:sz="4" w:space="0" w:color="auto"/>
      </w:pBdr>
      <w:shd w:val="clear" w:color="000000" w:fill="5B9BD5"/>
      <w:spacing w:before="100" w:beforeAutospacing="1" w:after="100" w:afterAutospacing="1" w:line="240" w:lineRule="auto"/>
      <w:jc w:val="center"/>
    </w:pPr>
    <w:rPr>
      <w:rFonts w:ascii="Calibri" w:eastAsia="Times New Roman" w:hAnsi="Calibri" w:cs="Calibri"/>
      <w:color w:val="000000"/>
      <w:sz w:val="24"/>
      <w:szCs w:val="24"/>
    </w:rPr>
  </w:style>
  <w:style w:type="paragraph" w:customStyle="1" w:styleId="xl108">
    <w:name w:val="xl108"/>
    <w:basedOn w:val="Normal"/>
    <w:rsid w:val="009C269E"/>
    <w:pPr>
      <w:pBdr>
        <w:top w:val="single" w:sz="8" w:space="0" w:color="auto"/>
        <w:left w:val="single" w:sz="8" w:space="0" w:color="auto"/>
        <w:right w:val="single" w:sz="4" w:space="0" w:color="auto"/>
      </w:pBdr>
      <w:shd w:val="clear" w:color="000000" w:fill="FFFFFF"/>
      <w:spacing w:before="100" w:beforeAutospacing="1" w:after="100" w:afterAutospacing="1" w:line="240" w:lineRule="auto"/>
      <w:jc w:val="center"/>
    </w:pPr>
    <w:rPr>
      <w:rFonts w:ascii="Calibri" w:eastAsia="Times New Roman" w:hAnsi="Calibri" w:cs="Calibri"/>
      <w:color w:val="000000"/>
      <w:sz w:val="24"/>
      <w:szCs w:val="24"/>
    </w:rPr>
  </w:style>
  <w:style w:type="paragraph" w:customStyle="1" w:styleId="xl109">
    <w:name w:val="xl109"/>
    <w:basedOn w:val="Normal"/>
    <w:rsid w:val="009C269E"/>
    <w:pPr>
      <w:pBdr>
        <w:top w:val="single" w:sz="8" w:space="0" w:color="auto"/>
        <w:left w:val="single" w:sz="4" w:space="0" w:color="auto"/>
        <w:bottom w:val="single" w:sz="4" w:space="0" w:color="auto"/>
        <w:right w:val="single" w:sz="4" w:space="0" w:color="auto"/>
      </w:pBdr>
      <w:shd w:val="clear" w:color="000000" w:fill="9BC2E6"/>
      <w:spacing w:before="100" w:beforeAutospacing="1" w:after="100" w:afterAutospacing="1" w:line="240" w:lineRule="auto"/>
      <w:jc w:val="center"/>
    </w:pPr>
    <w:rPr>
      <w:rFonts w:ascii="Calibri" w:eastAsia="Times New Roman" w:hAnsi="Calibri" w:cs="Calibri"/>
      <w:color w:val="000000"/>
      <w:sz w:val="24"/>
      <w:szCs w:val="24"/>
    </w:rPr>
  </w:style>
  <w:style w:type="paragraph" w:customStyle="1" w:styleId="xl110">
    <w:name w:val="xl110"/>
    <w:basedOn w:val="Normal"/>
    <w:rsid w:val="009C269E"/>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Calibri" w:eastAsia="Times New Roman" w:hAnsi="Calibri" w:cs="Calibri"/>
      <w:color w:val="000000"/>
      <w:sz w:val="24"/>
      <w:szCs w:val="24"/>
    </w:rPr>
  </w:style>
  <w:style w:type="paragraph" w:customStyle="1" w:styleId="xl111">
    <w:name w:val="xl111"/>
    <w:basedOn w:val="Normal"/>
    <w:rsid w:val="009C269E"/>
    <w:pPr>
      <w:pBdr>
        <w:top w:val="single" w:sz="8" w:space="0" w:color="auto"/>
        <w:left w:val="single" w:sz="8" w:space="0" w:color="auto"/>
      </w:pBdr>
      <w:shd w:val="clear" w:color="000000" w:fill="FFFFFF"/>
      <w:spacing w:before="100" w:beforeAutospacing="1" w:after="100" w:afterAutospacing="1" w:line="240" w:lineRule="auto"/>
      <w:jc w:val="left"/>
    </w:pPr>
    <w:rPr>
      <w:rFonts w:ascii="Calibri" w:eastAsia="Times New Roman" w:hAnsi="Calibri" w:cs="Calibri"/>
      <w:color w:val="000000"/>
      <w:sz w:val="24"/>
      <w:szCs w:val="24"/>
    </w:rPr>
  </w:style>
  <w:style w:type="paragraph" w:customStyle="1" w:styleId="xl112">
    <w:name w:val="xl112"/>
    <w:basedOn w:val="Normal"/>
    <w:rsid w:val="009C269E"/>
    <w:pPr>
      <w:pBdr>
        <w:top w:val="single" w:sz="8" w:space="0" w:color="auto"/>
      </w:pBdr>
      <w:shd w:val="clear" w:color="000000" w:fill="FFFFFF"/>
      <w:spacing w:before="100" w:beforeAutospacing="1" w:after="100" w:afterAutospacing="1" w:line="240" w:lineRule="auto"/>
      <w:jc w:val="left"/>
    </w:pPr>
    <w:rPr>
      <w:rFonts w:ascii="Calibri" w:eastAsia="Times New Roman" w:hAnsi="Calibri" w:cs="Calibri"/>
      <w:color w:val="000000"/>
      <w:sz w:val="24"/>
      <w:szCs w:val="24"/>
    </w:rPr>
  </w:style>
  <w:style w:type="paragraph" w:customStyle="1" w:styleId="xl113">
    <w:name w:val="xl113"/>
    <w:basedOn w:val="Normal"/>
    <w:rsid w:val="009C269E"/>
    <w:pPr>
      <w:pBdr>
        <w:top w:val="single" w:sz="8" w:space="0" w:color="auto"/>
        <w:right w:val="single" w:sz="8" w:space="0" w:color="auto"/>
      </w:pBdr>
      <w:shd w:val="clear" w:color="000000" w:fill="FFFFFF"/>
      <w:spacing w:before="100" w:beforeAutospacing="1" w:after="100" w:afterAutospacing="1" w:line="240" w:lineRule="auto"/>
      <w:jc w:val="left"/>
    </w:pPr>
    <w:rPr>
      <w:rFonts w:ascii="Calibri" w:eastAsia="Times New Roman" w:hAnsi="Calibri" w:cs="Calibri"/>
      <w:color w:val="000000"/>
      <w:sz w:val="24"/>
      <w:szCs w:val="24"/>
    </w:rPr>
  </w:style>
  <w:style w:type="paragraph" w:customStyle="1" w:styleId="xl114">
    <w:name w:val="xl114"/>
    <w:basedOn w:val="Normal"/>
    <w:rsid w:val="009C269E"/>
    <w:pPr>
      <w:pBdr>
        <w:left w:val="single" w:sz="8" w:space="0" w:color="auto"/>
        <w:bottom w:val="single" w:sz="8" w:space="0" w:color="auto"/>
      </w:pBdr>
      <w:spacing w:before="100" w:beforeAutospacing="1" w:after="100" w:afterAutospacing="1" w:line="240" w:lineRule="auto"/>
      <w:jc w:val="left"/>
    </w:pPr>
    <w:rPr>
      <w:rFonts w:ascii="Calibri" w:eastAsia="Times New Roman" w:hAnsi="Calibri" w:cs="Calibri"/>
      <w:color w:val="000000"/>
      <w:sz w:val="24"/>
      <w:szCs w:val="24"/>
    </w:rPr>
  </w:style>
  <w:style w:type="paragraph" w:customStyle="1" w:styleId="xl115">
    <w:name w:val="xl115"/>
    <w:basedOn w:val="Normal"/>
    <w:rsid w:val="009C269E"/>
    <w:pPr>
      <w:pBdr>
        <w:bottom w:val="single" w:sz="8" w:space="0" w:color="auto"/>
      </w:pBdr>
      <w:spacing w:before="100" w:beforeAutospacing="1" w:after="100" w:afterAutospacing="1" w:line="240" w:lineRule="auto"/>
      <w:jc w:val="left"/>
    </w:pPr>
    <w:rPr>
      <w:rFonts w:ascii="Calibri" w:eastAsia="Times New Roman" w:hAnsi="Calibri" w:cs="Calibri"/>
      <w:color w:val="000000"/>
      <w:sz w:val="24"/>
      <w:szCs w:val="24"/>
    </w:rPr>
  </w:style>
  <w:style w:type="paragraph" w:customStyle="1" w:styleId="xl116">
    <w:name w:val="xl116"/>
    <w:basedOn w:val="Normal"/>
    <w:rsid w:val="009C269E"/>
    <w:pPr>
      <w:pBdr>
        <w:bottom w:val="single" w:sz="8" w:space="0" w:color="auto"/>
        <w:right w:val="single" w:sz="8" w:space="0" w:color="auto"/>
      </w:pBdr>
      <w:spacing w:before="100" w:beforeAutospacing="1" w:after="100" w:afterAutospacing="1" w:line="240" w:lineRule="auto"/>
      <w:jc w:val="left"/>
    </w:pPr>
    <w:rPr>
      <w:rFonts w:ascii="Calibri" w:eastAsia="Times New Roman" w:hAnsi="Calibri" w:cs="Calibri"/>
      <w:color w:val="000000"/>
      <w:sz w:val="24"/>
      <w:szCs w:val="24"/>
    </w:rPr>
  </w:style>
  <w:style w:type="paragraph" w:customStyle="1" w:styleId="xl117">
    <w:name w:val="xl117"/>
    <w:basedOn w:val="Normal"/>
    <w:rsid w:val="009C269E"/>
    <w:pPr>
      <w:pBdr>
        <w:top w:val="single" w:sz="4" w:space="0" w:color="auto"/>
        <w:left w:val="single" w:sz="8" w:space="0" w:color="auto"/>
        <w:right w:val="single" w:sz="4" w:space="0" w:color="auto"/>
      </w:pBdr>
      <w:shd w:val="clear" w:color="000000" w:fill="FFFFFF"/>
      <w:spacing w:before="100" w:beforeAutospacing="1" w:after="100" w:afterAutospacing="1" w:line="240" w:lineRule="auto"/>
      <w:jc w:val="center"/>
    </w:pPr>
    <w:rPr>
      <w:rFonts w:ascii="Calibri" w:eastAsia="Times New Roman" w:hAnsi="Calibri" w:cs="Calibri"/>
      <w:color w:val="000000"/>
      <w:sz w:val="24"/>
      <w:szCs w:val="24"/>
    </w:rPr>
  </w:style>
  <w:style w:type="paragraph" w:customStyle="1" w:styleId="xl118">
    <w:name w:val="xl118"/>
    <w:basedOn w:val="Normal"/>
    <w:rsid w:val="009C269E"/>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pPr>
    <w:rPr>
      <w:rFonts w:ascii="Calibri" w:eastAsia="Times New Roman" w:hAnsi="Calibri" w:cs="Calibri"/>
      <w:color w:val="000000"/>
      <w:sz w:val="24"/>
      <w:szCs w:val="24"/>
    </w:rPr>
  </w:style>
  <w:style w:type="paragraph" w:customStyle="1" w:styleId="xl119">
    <w:name w:val="xl119"/>
    <w:basedOn w:val="Normal"/>
    <w:rsid w:val="009C269E"/>
    <w:pPr>
      <w:pBdr>
        <w:top w:val="single" w:sz="4" w:space="0" w:color="auto"/>
        <w:left w:val="single" w:sz="4" w:space="0" w:color="auto"/>
        <w:right w:val="single" w:sz="8" w:space="0" w:color="auto"/>
      </w:pBdr>
      <w:shd w:val="clear" w:color="000000" w:fill="FFFFFF"/>
      <w:spacing w:before="100" w:beforeAutospacing="1" w:after="100" w:afterAutospacing="1" w:line="240" w:lineRule="auto"/>
      <w:jc w:val="center"/>
    </w:pPr>
    <w:rPr>
      <w:rFonts w:ascii="Calibri" w:eastAsia="Times New Roman" w:hAnsi="Calibri" w:cs="Calibri"/>
      <w:color w:val="000000"/>
      <w:sz w:val="24"/>
      <w:szCs w:val="24"/>
    </w:rPr>
  </w:style>
  <w:style w:type="paragraph" w:customStyle="1" w:styleId="xl120">
    <w:name w:val="xl120"/>
    <w:basedOn w:val="Normal"/>
    <w:rsid w:val="009C269E"/>
    <w:pPr>
      <w:pBdr>
        <w:top w:val="single" w:sz="8" w:space="0" w:color="auto"/>
        <w:left w:val="single" w:sz="8" w:space="0" w:color="auto"/>
        <w:bottom w:val="single" w:sz="4" w:space="0" w:color="auto"/>
        <w:right w:val="single" w:sz="4" w:space="0" w:color="auto"/>
      </w:pBdr>
      <w:shd w:val="clear" w:color="000000" w:fill="9BC2E6"/>
      <w:spacing w:before="100" w:beforeAutospacing="1" w:after="100" w:afterAutospacing="1" w:line="240" w:lineRule="auto"/>
      <w:jc w:val="center"/>
    </w:pPr>
    <w:rPr>
      <w:rFonts w:ascii="Calibri" w:eastAsia="Times New Roman" w:hAnsi="Calibri" w:cs="Calibri"/>
      <w:color w:val="000000"/>
      <w:sz w:val="24"/>
      <w:szCs w:val="24"/>
    </w:rPr>
  </w:style>
  <w:style w:type="paragraph" w:customStyle="1" w:styleId="xl121">
    <w:name w:val="xl121"/>
    <w:basedOn w:val="Normal"/>
    <w:rsid w:val="009C269E"/>
    <w:pPr>
      <w:pBdr>
        <w:top w:val="single" w:sz="4" w:space="0" w:color="auto"/>
        <w:left w:val="single" w:sz="4" w:space="0" w:color="auto"/>
        <w:bottom w:val="single" w:sz="8" w:space="0" w:color="auto"/>
        <w:right w:val="single" w:sz="8" w:space="0" w:color="auto"/>
      </w:pBdr>
      <w:shd w:val="clear" w:color="000000" w:fill="9BC2E6"/>
      <w:spacing w:before="100" w:beforeAutospacing="1" w:after="100" w:afterAutospacing="1" w:line="240" w:lineRule="auto"/>
      <w:jc w:val="center"/>
    </w:pPr>
    <w:rPr>
      <w:rFonts w:ascii="Calibri" w:eastAsia="Times New Roman" w:hAnsi="Calibri" w:cs="Calibri"/>
      <w:color w:val="000000"/>
      <w:sz w:val="24"/>
      <w:szCs w:val="24"/>
    </w:rPr>
  </w:style>
  <w:style w:type="paragraph" w:customStyle="1" w:styleId="xl122">
    <w:name w:val="xl122"/>
    <w:basedOn w:val="Normal"/>
    <w:rsid w:val="009C269E"/>
    <w:pPr>
      <w:pBdr>
        <w:top w:val="single" w:sz="8" w:space="0" w:color="auto"/>
        <w:left w:val="single" w:sz="8" w:space="0" w:color="auto"/>
        <w:bottom w:val="single" w:sz="4" w:space="0" w:color="auto"/>
      </w:pBdr>
      <w:shd w:val="clear" w:color="000000" w:fill="FFFFFF"/>
      <w:spacing w:before="100" w:beforeAutospacing="1" w:after="100" w:afterAutospacing="1" w:line="240" w:lineRule="auto"/>
      <w:jc w:val="center"/>
    </w:pPr>
    <w:rPr>
      <w:rFonts w:ascii="Calibri" w:eastAsia="Times New Roman" w:hAnsi="Calibri" w:cs="Calibri"/>
      <w:color w:val="000000"/>
      <w:sz w:val="24"/>
      <w:szCs w:val="24"/>
    </w:rPr>
  </w:style>
  <w:style w:type="paragraph" w:customStyle="1" w:styleId="xl123">
    <w:name w:val="xl123"/>
    <w:basedOn w:val="Normal"/>
    <w:rsid w:val="009C269E"/>
    <w:pPr>
      <w:pBdr>
        <w:top w:val="single" w:sz="8"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24">
    <w:name w:val="xl124"/>
    <w:basedOn w:val="Normal"/>
    <w:rsid w:val="009C269E"/>
    <w:pPr>
      <w:pBdr>
        <w:top w:val="single" w:sz="8"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25">
    <w:name w:val="xl125"/>
    <w:basedOn w:val="Normal"/>
    <w:rsid w:val="009C269E"/>
    <w:pPr>
      <w:pBdr>
        <w:left w:val="single" w:sz="8" w:space="0" w:color="auto"/>
      </w:pBdr>
      <w:shd w:val="clear" w:color="000000" w:fill="FFFFFF"/>
      <w:spacing w:before="100" w:beforeAutospacing="1" w:after="100" w:afterAutospacing="1" w:line="240" w:lineRule="auto"/>
      <w:jc w:val="center"/>
    </w:pPr>
    <w:rPr>
      <w:rFonts w:ascii="Calibri" w:eastAsia="Times New Roman" w:hAnsi="Calibri" w:cs="Calibri"/>
      <w:color w:val="000000"/>
      <w:sz w:val="24"/>
      <w:szCs w:val="24"/>
    </w:rPr>
  </w:style>
  <w:style w:type="paragraph" w:customStyle="1" w:styleId="xl126">
    <w:name w:val="xl126"/>
    <w:basedOn w:val="Normal"/>
    <w:rsid w:val="009C269E"/>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27">
    <w:name w:val="xl127"/>
    <w:basedOn w:val="Normal"/>
    <w:rsid w:val="009C269E"/>
    <w:pPr>
      <w:pBdr>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28">
    <w:name w:val="xl128"/>
    <w:basedOn w:val="Normal"/>
    <w:rsid w:val="009C269E"/>
    <w:pPr>
      <w:pBdr>
        <w:top w:val="single" w:sz="4" w:space="0" w:color="auto"/>
        <w:left w:val="single" w:sz="8" w:space="0" w:color="auto"/>
        <w:bottom w:val="single" w:sz="4" w:space="0" w:color="auto"/>
      </w:pBdr>
      <w:shd w:val="clear" w:color="000000" w:fill="FFFFFF"/>
      <w:spacing w:before="100" w:beforeAutospacing="1" w:after="100" w:afterAutospacing="1" w:line="240" w:lineRule="auto"/>
      <w:jc w:val="center"/>
    </w:pPr>
    <w:rPr>
      <w:rFonts w:ascii="Calibri" w:eastAsia="Times New Roman" w:hAnsi="Calibri" w:cs="Calibri"/>
      <w:color w:val="000000"/>
      <w:sz w:val="24"/>
      <w:szCs w:val="24"/>
    </w:rPr>
  </w:style>
  <w:style w:type="paragraph" w:customStyle="1" w:styleId="xl129">
    <w:name w:val="xl129"/>
    <w:basedOn w:val="Normal"/>
    <w:rsid w:val="009C269E"/>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30">
    <w:name w:val="xl130"/>
    <w:basedOn w:val="Normal"/>
    <w:rsid w:val="009C269E"/>
    <w:pPr>
      <w:pBdr>
        <w:top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31">
    <w:name w:val="xl131"/>
    <w:basedOn w:val="Normal"/>
    <w:rsid w:val="009C269E"/>
    <w:pPr>
      <w:pBdr>
        <w:top w:val="single" w:sz="4" w:space="0" w:color="auto"/>
        <w:left w:val="single" w:sz="8" w:space="0" w:color="auto"/>
        <w:bottom w:val="single" w:sz="8" w:space="0" w:color="auto"/>
      </w:pBdr>
      <w:spacing w:before="100" w:beforeAutospacing="1" w:after="100" w:afterAutospacing="1" w:line="240" w:lineRule="auto"/>
      <w:jc w:val="center"/>
    </w:pPr>
    <w:rPr>
      <w:rFonts w:ascii="Calibri" w:eastAsia="Times New Roman" w:hAnsi="Calibri" w:cs="Calibri"/>
      <w:color w:val="000000"/>
      <w:sz w:val="24"/>
      <w:szCs w:val="24"/>
    </w:rPr>
  </w:style>
  <w:style w:type="paragraph" w:customStyle="1" w:styleId="xl132">
    <w:name w:val="xl132"/>
    <w:basedOn w:val="Normal"/>
    <w:rsid w:val="009C269E"/>
    <w:pPr>
      <w:pBdr>
        <w:top w:val="single" w:sz="4"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33">
    <w:name w:val="xl133"/>
    <w:basedOn w:val="Normal"/>
    <w:rsid w:val="009C269E"/>
    <w:pPr>
      <w:pBdr>
        <w:top w:val="single" w:sz="4"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34">
    <w:name w:val="xl134"/>
    <w:basedOn w:val="Normal"/>
    <w:rsid w:val="00AB4AFF"/>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xl135">
    <w:name w:val="xl135"/>
    <w:basedOn w:val="Normal"/>
    <w:rsid w:val="00AB4AFF"/>
    <w:pPr>
      <w:pBdr>
        <w:top w:val="single" w:sz="4" w:space="0" w:color="auto"/>
        <w:left w:val="single" w:sz="4" w:space="0" w:color="auto"/>
        <w:bottom w:val="single" w:sz="8" w:space="0" w:color="auto"/>
        <w:right w:val="single" w:sz="4" w:space="0" w:color="auto"/>
      </w:pBdr>
      <w:shd w:val="clear" w:color="000000" w:fill="9BC2E6"/>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xl136">
    <w:name w:val="xl136"/>
    <w:basedOn w:val="Normal"/>
    <w:rsid w:val="00AB4AFF"/>
    <w:pPr>
      <w:pBdr>
        <w:top w:val="single" w:sz="4" w:space="0" w:color="auto"/>
        <w:left w:val="single" w:sz="4" w:space="0" w:color="auto"/>
        <w:bottom w:val="single" w:sz="8" w:space="0" w:color="auto"/>
        <w:right w:val="single" w:sz="4" w:space="0" w:color="auto"/>
      </w:pBdr>
      <w:shd w:val="clear" w:color="000000" w:fill="5B9BD5"/>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xl137">
    <w:name w:val="xl137"/>
    <w:basedOn w:val="Normal"/>
    <w:rsid w:val="00AB4AFF"/>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xl138">
    <w:name w:val="xl138"/>
    <w:basedOn w:val="Normal"/>
    <w:rsid w:val="00AB4AFF"/>
    <w:pPr>
      <w:pBdr>
        <w:top w:val="single" w:sz="8" w:space="0" w:color="auto"/>
        <w:left w:val="single" w:sz="8"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xl139">
    <w:name w:val="xl139"/>
    <w:basedOn w:val="Normal"/>
    <w:rsid w:val="00AB4AFF"/>
    <w:pPr>
      <w:pBdr>
        <w:top w:val="single" w:sz="8"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xl140">
    <w:name w:val="xl140"/>
    <w:basedOn w:val="Normal"/>
    <w:rsid w:val="00AB4AFF"/>
    <w:pPr>
      <w:pBdr>
        <w:top w:val="single" w:sz="8" w:space="0" w:color="auto"/>
        <w:left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535286">
      <w:bodyDiv w:val="1"/>
      <w:marLeft w:val="0"/>
      <w:marRight w:val="0"/>
      <w:marTop w:val="0"/>
      <w:marBottom w:val="0"/>
      <w:divBdr>
        <w:top w:val="none" w:sz="0" w:space="0" w:color="auto"/>
        <w:left w:val="none" w:sz="0" w:space="0" w:color="auto"/>
        <w:bottom w:val="none" w:sz="0" w:space="0" w:color="auto"/>
        <w:right w:val="none" w:sz="0" w:space="0" w:color="auto"/>
      </w:divBdr>
    </w:div>
    <w:div w:id="74059655">
      <w:bodyDiv w:val="1"/>
      <w:marLeft w:val="0"/>
      <w:marRight w:val="0"/>
      <w:marTop w:val="0"/>
      <w:marBottom w:val="0"/>
      <w:divBdr>
        <w:top w:val="none" w:sz="0" w:space="0" w:color="auto"/>
        <w:left w:val="none" w:sz="0" w:space="0" w:color="auto"/>
        <w:bottom w:val="none" w:sz="0" w:space="0" w:color="auto"/>
        <w:right w:val="none" w:sz="0" w:space="0" w:color="auto"/>
      </w:divBdr>
      <w:divsChild>
        <w:div w:id="323363013">
          <w:marLeft w:val="1166"/>
          <w:marRight w:val="0"/>
          <w:marTop w:val="0"/>
          <w:marBottom w:val="0"/>
          <w:divBdr>
            <w:top w:val="none" w:sz="0" w:space="0" w:color="auto"/>
            <w:left w:val="none" w:sz="0" w:space="0" w:color="auto"/>
            <w:bottom w:val="none" w:sz="0" w:space="0" w:color="auto"/>
            <w:right w:val="none" w:sz="0" w:space="0" w:color="auto"/>
          </w:divBdr>
        </w:div>
        <w:div w:id="1191795832">
          <w:marLeft w:val="1166"/>
          <w:marRight w:val="0"/>
          <w:marTop w:val="0"/>
          <w:marBottom w:val="0"/>
          <w:divBdr>
            <w:top w:val="none" w:sz="0" w:space="0" w:color="auto"/>
            <w:left w:val="none" w:sz="0" w:space="0" w:color="auto"/>
            <w:bottom w:val="none" w:sz="0" w:space="0" w:color="auto"/>
            <w:right w:val="none" w:sz="0" w:space="0" w:color="auto"/>
          </w:divBdr>
        </w:div>
        <w:div w:id="2118910649">
          <w:marLeft w:val="446"/>
          <w:marRight w:val="0"/>
          <w:marTop w:val="0"/>
          <w:marBottom w:val="0"/>
          <w:divBdr>
            <w:top w:val="none" w:sz="0" w:space="0" w:color="auto"/>
            <w:left w:val="none" w:sz="0" w:space="0" w:color="auto"/>
            <w:bottom w:val="none" w:sz="0" w:space="0" w:color="auto"/>
            <w:right w:val="none" w:sz="0" w:space="0" w:color="auto"/>
          </w:divBdr>
        </w:div>
      </w:divsChild>
    </w:div>
    <w:div w:id="190579143">
      <w:bodyDiv w:val="1"/>
      <w:marLeft w:val="0"/>
      <w:marRight w:val="0"/>
      <w:marTop w:val="0"/>
      <w:marBottom w:val="0"/>
      <w:divBdr>
        <w:top w:val="none" w:sz="0" w:space="0" w:color="auto"/>
        <w:left w:val="none" w:sz="0" w:space="0" w:color="auto"/>
        <w:bottom w:val="none" w:sz="0" w:space="0" w:color="auto"/>
        <w:right w:val="none" w:sz="0" w:space="0" w:color="auto"/>
      </w:divBdr>
    </w:div>
    <w:div w:id="191892152">
      <w:bodyDiv w:val="1"/>
      <w:marLeft w:val="0"/>
      <w:marRight w:val="0"/>
      <w:marTop w:val="0"/>
      <w:marBottom w:val="0"/>
      <w:divBdr>
        <w:top w:val="none" w:sz="0" w:space="0" w:color="auto"/>
        <w:left w:val="none" w:sz="0" w:space="0" w:color="auto"/>
        <w:bottom w:val="none" w:sz="0" w:space="0" w:color="auto"/>
        <w:right w:val="none" w:sz="0" w:space="0" w:color="auto"/>
      </w:divBdr>
    </w:div>
    <w:div w:id="471143595">
      <w:bodyDiv w:val="1"/>
      <w:marLeft w:val="0"/>
      <w:marRight w:val="0"/>
      <w:marTop w:val="0"/>
      <w:marBottom w:val="0"/>
      <w:divBdr>
        <w:top w:val="none" w:sz="0" w:space="0" w:color="auto"/>
        <w:left w:val="none" w:sz="0" w:space="0" w:color="auto"/>
        <w:bottom w:val="none" w:sz="0" w:space="0" w:color="auto"/>
        <w:right w:val="none" w:sz="0" w:space="0" w:color="auto"/>
      </w:divBdr>
    </w:div>
    <w:div w:id="471868829">
      <w:bodyDiv w:val="1"/>
      <w:marLeft w:val="0"/>
      <w:marRight w:val="0"/>
      <w:marTop w:val="0"/>
      <w:marBottom w:val="0"/>
      <w:divBdr>
        <w:top w:val="none" w:sz="0" w:space="0" w:color="auto"/>
        <w:left w:val="none" w:sz="0" w:space="0" w:color="auto"/>
        <w:bottom w:val="none" w:sz="0" w:space="0" w:color="auto"/>
        <w:right w:val="none" w:sz="0" w:space="0" w:color="auto"/>
      </w:divBdr>
    </w:div>
    <w:div w:id="541404380">
      <w:bodyDiv w:val="1"/>
      <w:marLeft w:val="0"/>
      <w:marRight w:val="0"/>
      <w:marTop w:val="0"/>
      <w:marBottom w:val="0"/>
      <w:divBdr>
        <w:top w:val="none" w:sz="0" w:space="0" w:color="auto"/>
        <w:left w:val="none" w:sz="0" w:space="0" w:color="auto"/>
        <w:bottom w:val="none" w:sz="0" w:space="0" w:color="auto"/>
        <w:right w:val="none" w:sz="0" w:space="0" w:color="auto"/>
      </w:divBdr>
    </w:div>
    <w:div w:id="576591959">
      <w:bodyDiv w:val="1"/>
      <w:marLeft w:val="0"/>
      <w:marRight w:val="0"/>
      <w:marTop w:val="0"/>
      <w:marBottom w:val="0"/>
      <w:divBdr>
        <w:top w:val="none" w:sz="0" w:space="0" w:color="auto"/>
        <w:left w:val="none" w:sz="0" w:space="0" w:color="auto"/>
        <w:bottom w:val="none" w:sz="0" w:space="0" w:color="auto"/>
        <w:right w:val="none" w:sz="0" w:space="0" w:color="auto"/>
      </w:divBdr>
    </w:div>
    <w:div w:id="640159780">
      <w:bodyDiv w:val="1"/>
      <w:marLeft w:val="0"/>
      <w:marRight w:val="0"/>
      <w:marTop w:val="0"/>
      <w:marBottom w:val="0"/>
      <w:divBdr>
        <w:top w:val="none" w:sz="0" w:space="0" w:color="auto"/>
        <w:left w:val="none" w:sz="0" w:space="0" w:color="auto"/>
        <w:bottom w:val="none" w:sz="0" w:space="0" w:color="auto"/>
        <w:right w:val="none" w:sz="0" w:space="0" w:color="auto"/>
      </w:divBdr>
    </w:div>
    <w:div w:id="685519627">
      <w:bodyDiv w:val="1"/>
      <w:marLeft w:val="0"/>
      <w:marRight w:val="0"/>
      <w:marTop w:val="0"/>
      <w:marBottom w:val="0"/>
      <w:divBdr>
        <w:top w:val="none" w:sz="0" w:space="0" w:color="auto"/>
        <w:left w:val="none" w:sz="0" w:space="0" w:color="auto"/>
        <w:bottom w:val="none" w:sz="0" w:space="0" w:color="auto"/>
        <w:right w:val="none" w:sz="0" w:space="0" w:color="auto"/>
      </w:divBdr>
    </w:div>
    <w:div w:id="685522996">
      <w:bodyDiv w:val="1"/>
      <w:marLeft w:val="0"/>
      <w:marRight w:val="0"/>
      <w:marTop w:val="0"/>
      <w:marBottom w:val="0"/>
      <w:divBdr>
        <w:top w:val="none" w:sz="0" w:space="0" w:color="auto"/>
        <w:left w:val="none" w:sz="0" w:space="0" w:color="auto"/>
        <w:bottom w:val="none" w:sz="0" w:space="0" w:color="auto"/>
        <w:right w:val="none" w:sz="0" w:space="0" w:color="auto"/>
      </w:divBdr>
    </w:div>
    <w:div w:id="709956596">
      <w:bodyDiv w:val="1"/>
      <w:marLeft w:val="0"/>
      <w:marRight w:val="0"/>
      <w:marTop w:val="0"/>
      <w:marBottom w:val="0"/>
      <w:divBdr>
        <w:top w:val="none" w:sz="0" w:space="0" w:color="auto"/>
        <w:left w:val="none" w:sz="0" w:space="0" w:color="auto"/>
        <w:bottom w:val="none" w:sz="0" w:space="0" w:color="auto"/>
        <w:right w:val="none" w:sz="0" w:space="0" w:color="auto"/>
      </w:divBdr>
    </w:div>
    <w:div w:id="746657914">
      <w:bodyDiv w:val="1"/>
      <w:marLeft w:val="0"/>
      <w:marRight w:val="0"/>
      <w:marTop w:val="0"/>
      <w:marBottom w:val="0"/>
      <w:divBdr>
        <w:top w:val="none" w:sz="0" w:space="0" w:color="auto"/>
        <w:left w:val="none" w:sz="0" w:space="0" w:color="auto"/>
        <w:bottom w:val="none" w:sz="0" w:space="0" w:color="auto"/>
        <w:right w:val="none" w:sz="0" w:space="0" w:color="auto"/>
      </w:divBdr>
    </w:div>
    <w:div w:id="827135614">
      <w:bodyDiv w:val="1"/>
      <w:marLeft w:val="0"/>
      <w:marRight w:val="0"/>
      <w:marTop w:val="0"/>
      <w:marBottom w:val="0"/>
      <w:divBdr>
        <w:top w:val="none" w:sz="0" w:space="0" w:color="auto"/>
        <w:left w:val="none" w:sz="0" w:space="0" w:color="auto"/>
        <w:bottom w:val="none" w:sz="0" w:space="0" w:color="auto"/>
        <w:right w:val="none" w:sz="0" w:space="0" w:color="auto"/>
      </w:divBdr>
    </w:div>
    <w:div w:id="879365396">
      <w:bodyDiv w:val="1"/>
      <w:marLeft w:val="0"/>
      <w:marRight w:val="0"/>
      <w:marTop w:val="0"/>
      <w:marBottom w:val="0"/>
      <w:divBdr>
        <w:top w:val="none" w:sz="0" w:space="0" w:color="auto"/>
        <w:left w:val="none" w:sz="0" w:space="0" w:color="auto"/>
        <w:bottom w:val="none" w:sz="0" w:space="0" w:color="auto"/>
        <w:right w:val="none" w:sz="0" w:space="0" w:color="auto"/>
      </w:divBdr>
    </w:div>
    <w:div w:id="946038936">
      <w:bodyDiv w:val="1"/>
      <w:marLeft w:val="0"/>
      <w:marRight w:val="0"/>
      <w:marTop w:val="0"/>
      <w:marBottom w:val="0"/>
      <w:divBdr>
        <w:top w:val="none" w:sz="0" w:space="0" w:color="auto"/>
        <w:left w:val="none" w:sz="0" w:space="0" w:color="auto"/>
        <w:bottom w:val="none" w:sz="0" w:space="0" w:color="auto"/>
        <w:right w:val="none" w:sz="0" w:space="0" w:color="auto"/>
      </w:divBdr>
    </w:div>
    <w:div w:id="951085461">
      <w:bodyDiv w:val="1"/>
      <w:marLeft w:val="0"/>
      <w:marRight w:val="0"/>
      <w:marTop w:val="0"/>
      <w:marBottom w:val="0"/>
      <w:divBdr>
        <w:top w:val="none" w:sz="0" w:space="0" w:color="auto"/>
        <w:left w:val="none" w:sz="0" w:space="0" w:color="auto"/>
        <w:bottom w:val="none" w:sz="0" w:space="0" w:color="auto"/>
        <w:right w:val="none" w:sz="0" w:space="0" w:color="auto"/>
      </w:divBdr>
    </w:div>
    <w:div w:id="967394052">
      <w:bodyDiv w:val="1"/>
      <w:marLeft w:val="0"/>
      <w:marRight w:val="0"/>
      <w:marTop w:val="0"/>
      <w:marBottom w:val="0"/>
      <w:divBdr>
        <w:top w:val="none" w:sz="0" w:space="0" w:color="auto"/>
        <w:left w:val="none" w:sz="0" w:space="0" w:color="auto"/>
        <w:bottom w:val="none" w:sz="0" w:space="0" w:color="auto"/>
        <w:right w:val="none" w:sz="0" w:space="0" w:color="auto"/>
      </w:divBdr>
    </w:div>
    <w:div w:id="1010916452">
      <w:bodyDiv w:val="1"/>
      <w:marLeft w:val="0"/>
      <w:marRight w:val="0"/>
      <w:marTop w:val="0"/>
      <w:marBottom w:val="0"/>
      <w:divBdr>
        <w:top w:val="none" w:sz="0" w:space="0" w:color="auto"/>
        <w:left w:val="none" w:sz="0" w:space="0" w:color="auto"/>
        <w:bottom w:val="none" w:sz="0" w:space="0" w:color="auto"/>
        <w:right w:val="none" w:sz="0" w:space="0" w:color="auto"/>
      </w:divBdr>
    </w:div>
    <w:div w:id="1028723621">
      <w:bodyDiv w:val="1"/>
      <w:marLeft w:val="0"/>
      <w:marRight w:val="0"/>
      <w:marTop w:val="0"/>
      <w:marBottom w:val="0"/>
      <w:divBdr>
        <w:top w:val="none" w:sz="0" w:space="0" w:color="auto"/>
        <w:left w:val="none" w:sz="0" w:space="0" w:color="auto"/>
        <w:bottom w:val="none" w:sz="0" w:space="0" w:color="auto"/>
        <w:right w:val="none" w:sz="0" w:space="0" w:color="auto"/>
      </w:divBdr>
    </w:div>
    <w:div w:id="1039933286">
      <w:bodyDiv w:val="1"/>
      <w:marLeft w:val="0"/>
      <w:marRight w:val="0"/>
      <w:marTop w:val="0"/>
      <w:marBottom w:val="0"/>
      <w:divBdr>
        <w:top w:val="none" w:sz="0" w:space="0" w:color="auto"/>
        <w:left w:val="none" w:sz="0" w:space="0" w:color="auto"/>
        <w:bottom w:val="none" w:sz="0" w:space="0" w:color="auto"/>
        <w:right w:val="none" w:sz="0" w:space="0" w:color="auto"/>
      </w:divBdr>
    </w:div>
    <w:div w:id="1146045024">
      <w:bodyDiv w:val="1"/>
      <w:marLeft w:val="0"/>
      <w:marRight w:val="0"/>
      <w:marTop w:val="0"/>
      <w:marBottom w:val="0"/>
      <w:divBdr>
        <w:top w:val="none" w:sz="0" w:space="0" w:color="auto"/>
        <w:left w:val="none" w:sz="0" w:space="0" w:color="auto"/>
        <w:bottom w:val="none" w:sz="0" w:space="0" w:color="auto"/>
        <w:right w:val="none" w:sz="0" w:space="0" w:color="auto"/>
      </w:divBdr>
    </w:div>
    <w:div w:id="1162968667">
      <w:bodyDiv w:val="1"/>
      <w:marLeft w:val="0"/>
      <w:marRight w:val="0"/>
      <w:marTop w:val="0"/>
      <w:marBottom w:val="0"/>
      <w:divBdr>
        <w:top w:val="none" w:sz="0" w:space="0" w:color="auto"/>
        <w:left w:val="none" w:sz="0" w:space="0" w:color="auto"/>
        <w:bottom w:val="none" w:sz="0" w:space="0" w:color="auto"/>
        <w:right w:val="none" w:sz="0" w:space="0" w:color="auto"/>
      </w:divBdr>
    </w:div>
    <w:div w:id="1165508283">
      <w:bodyDiv w:val="1"/>
      <w:marLeft w:val="0"/>
      <w:marRight w:val="0"/>
      <w:marTop w:val="0"/>
      <w:marBottom w:val="0"/>
      <w:divBdr>
        <w:top w:val="none" w:sz="0" w:space="0" w:color="auto"/>
        <w:left w:val="none" w:sz="0" w:space="0" w:color="auto"/>
        <w:bottom w:val="none" w:sz="0" w:space="0" w:color="auto"/>
        <w:right w:val="none" w:sz="0" w:space="0" w:color="auto"/>
      </w:divBdr>
    </w:div>
    <w:div w:id="1166433714">
      <w:bodyDiv w:val="1"/>
      <w:marLeft w:val="0"/>
      <w:marRight w:val="0"/>
      <w:marTop w:val="0"/>
      <w:marBottom w:val="0"/>
      <w:divBdr>
        <w:top w:val="none" w:sz="0" w:space="0" w:color="auto"/>
        <w:left w:val="none" w:sz="0" w:space="0" w:color="auto"/>
        <w:bottom w:val="none" w:sz="0" w:space="0" w:color="auto"/>
        <w:right w:val="none" w:sz="0" w:space="0" w:color="auto"/>
      </w:divBdr>
    </w:div>
    <w:div w:id="1203321225">
      <w:bodyDiv w:val="1"/>
      <w:marLeft w:val="0"/>
      <w:marRight w:val="0"/>
      <w:marTop w:val="0"/>
      <w:marBottom w:val="0"/>
      <w:divBdr>
        <w:top w:val="none" w:sz="0" w:space="0" w:color="auto"/>
        <w:left w:val="none" w:sz="0" w:space="0" w:color="auto"/>
        <w:bottom w:val="none" w:sz="0" w:space="0" w:color="auto"/>
        <w:right w:val="none" w:sz="0" w:space="0" w:color="auto"/>
      </w:divBdr>
    </w:div>
    <w:div w:id="1206405375">
      <w:bodyDiv w:val="1"/>
      <w:marLeft w:val="0"/>
      <w:marRight w:val="0"/>
      <w:marTop w:val="0"/>
      <w:marBottom w:val="0"/>
      <w:divBdr>
        <w:top w:val="none" w:sz="0" w:space="0" w:color="auto"/>
        <w:left w:val="none" w:sz="0" w:space="0" w:color="auto"/>
        <w:bottom w:val="none" w:sz="0" w:space="0" w:color="auto"/>
        <w:right w:val="none" w:sz="0" w:space="0" w:color="auto"/>
      </w:divBdr>
    </w:div>
    <w:div w:id="1220631726">
      <w:bodyDiv w:val="1"/>
      <w:marLeft w:val="0"/>
      <w:marRight w:val="0"/>
      <w:marTop w:val="0"/>
      <w:marBottom w:val="0"/>
      <w:divBdr>
        <w:top w:val="none" w:sz="0" w:space="0" w:color="auto"/>
        <w:left w:val="none" w:sz="0" w:space="0" w:color="auto"/>
        <w:bottom w:val="none" w:sz="0" w:space="0" w:color="auto"/>
        <w:right w:val="none" w:sz="0" w:space="0" w:color="auto"/>
      </w:divBdr>
    </w:div>
    <w:div w:id="1263337688">
      <w:bodyDiv w:val="1"/>
      <w:marLeft w:val="0"/>
      <w:marRight w:val="0"/>
      <w:marTop w:val="0"/>
      <w:marBottom w:val="0"/>
      <w:divBdr>
        <w:top w:val="none" w:sz="0" w:space="0" w:color="auto"/>
        <w:left w:val="none" w:sz="0" w:space="0" w:color="auto"/>
        <w:bottom w:val="none" w:sz="0" w:space="0" w:color="auto"/>
        <w:right w:val="none" w:sz="0" w:space="0" w:color="auto"/>
      </w:divBdr>
    </w:div>
    <w:div w:id="1356691377">
      <w:bodyDiv w:val="1"/>
      <w:marLeft w:val="0"/>
      <w:marRight w:val="0"/>
      <w:marTop w:val="0"/>
      <w:marBottom w:val="0"/>
      <w:divBdr>
        <w:top w:val="none" w:sz="0" w:space="0" w:color="auto"/>
        <w:left w:val="none" w:sz="0" w:space="0" w:color="auto"/>
        <w:bottom w:val="none" w:sz="0" w:space="0" w:color="auto"/>
        <w:right w:val="none" w:sz="0" w:space="0" w:color="auto"/>
      </w:divBdr>
      <w:divsChild>
        <w:div w:id="1490439472">
          <w:marLeft w:val="360"/>
          <w:marRight w:val="0"/>
          <w:marTop w:val="200"/>
          <w:marBottom w:val="0"/>
          <w:divBdr>
            <w:top w:val="none" w:sz="0" w:space="0" w:color="auto"/>
            <w:left w:val="none" w:sz="0" w:space="0" w:color="auto"/>
            <w:bottom w:val="none" w:sz="0" w:space="0" w:color="auto"/>
            <w:right w:val="none" w:sz="0" w:space="0" w:color="auto"/>
          </w:divBdr>
        </w:div>
      </w:divsChild>
    </w:div>
    <w:div w:id="1359743269">
      <w:bodyDiv w:val="1"/>
      <w:marLeft w:val="0"/>
      <w:marRight w:val="0"/>
      <w:marTop w:val="0"/>
      <w:marBottom w:val="0"/>
      <w:divBdr>
        <w:top w:val="none" w:sz="0" w:space="0" w:color="auto"/>
        <w:left w:val="none" w:sz="0" w:space="0" w:color="auto"/>
        <w:bottom w:val="none" w:sz="0" w:space="0" w:color="auto"/>
        <w:right w:val="none" w:sz="0" w:space="0" w:color="auto"/>
      </w:divBdr>
    </w:div>
    <w:div w:id="1368607559">
      <w:bodyDiv w:val="1"/>
      <w:marLeft w:val="0"/>
      <w:marRight w:val="0"/>
      <w:marTop w:val="0"/>
      <w:marBottom w:val="0"/>
      <w:divBdr>
        <w:top w:val="none" w:sz="0" w:space="0" w:color="auto"/>
        <w:left w:val="none" w:sz="0" w:space="0" w:color="auto"/>
        <w:bottom w:val="none" w:sz="0" w:space="0" w:color="auto"/>
        <w:right w:val="none" w:sz="0" w:space="0" w:color="auto"/>
      </w:divBdr>
    </w:div>
    <w:div w:id="1494491709">
      <w:bodyDiv w:val="1"/>
      <w:marLeft w:val="0"/>
      <w:marRight w:val="0"/>
      <w:marTop w:val="0"/>
      <w:marBottom w:val="0"/>
      <w:divBdr>
        <w:top w:val="none" w:sz="0" w:space="0" w:color="auto"/>
        <w:left w:val="none" w:sz="0" w:space="0" w:color="auto"/>
        <w:bottom w:val="none" w:sz="0" w:space="0" w:color="auto"/>
        <w:right w:val="none" w:sz="0" w:space="0" w:color="auto"/>
      </w:divBdr>
    </w:div>
    <w:div w:id="1546719589">
      <w:bodyDiv w:val="1"/>
      <w:marLeft w:val="0"/>
      <w:marRight w:val="0"/>
      <w:marTop w:val="0"/>
      <w:marBottom w:val="0"/>
      <w:divBdr>
        <w:top w:val="none" w:sz="0" w:space="0" w:color="auto"/>
        <w:left w:val="none" w:sz="0" w:space="0" w:color="auto"/>
        <w:bottom w:val="none" w:sz="0" w:space="0" w:color="auto"/>
        <w:right w:val="none" w:sz="0" w:space="0" w:color="auto"/>
      </w:divBdr>
    </w:div>
    <w:div w:id="1569996571">
      <w:bodyDiv w:val="1"/>
      <w:marLeft w:val="0"/>
      <w:marRight w:val="0"/>
      <w:marTop w:val="0"/>
      <w:marBottom w:val="0"/>
      <w:divBdr>
        <w:top w:val="none" w:sz="0" w:space="0" w:color="auto"/>
        <w:left w:val="none" w:sz="0" w:space="0" w:color="auto"/>
        <w:bottom w:val="none" w:sz="0" w:space="0" w:color="auto"/>
        <w:right w:val="none" w:sz="0" w:space="0" w:color="auto"/>
      </w:divBdr>
    </w:div>
    <w:div w:id="1809475565">
      <w:bodyDiv w:val="1"/>
      <w:marLeft w:val="0"/>
      <w:marRight w:val="0"/>
      <w:marTop w:val="0"/>
      <w:marBottom w:val="0"/>
      <w:divBdr>
        <w:top w:val="none" w:sz="0" w:space="0" w:color="auto"/>
        <w:left w:val="none" w:sz="0" w:space="0" w:color="auto"/>
        <w:bottom w:val="none" w:sz="0" w:space="0" w:color="auto"/>
        <w:right w:val="none" w:sz="0" w:space="0" w:color="auto"/>
      </w:divBdr>
      <w:divsChild>
        <w:div w:id="669405279">
          <w:marLeft w:val="0"/>
          <w:marRight w:val="0"/>
          <w:marTop w:val="0"/>
          <w:marBottom w:val="360"/>
          <w:divBdr>
            <w:top w:val="none" w:sz="0" w:space="0" w:color="auto"/>
            <w:left w:val="none" w:sz="0" w:space="0" w:color="auto"/>
            <w:bottom w:val="none" w:sz="0" w:space="0" w:color="auto"/>
            <w:right w:val="none" w:sz="0" w:space="0" w:color="auto"/>
          </w:divBdr>
        </w:div>
      </w:divsChild>
    </w:div>
    <w:div w:id="1833830528">
      <w:bodyDiv w:val="1"/>
      <w:marLeft w:val="0"/>
      <w:marRight w:val="0"/>
      <w:marTop w:val="0"/>
      <w:marBottom w:val="0"/>
      <w:divBdr>
        <w:top w:val="none" w:sz="0" w:space="0" w:color="auto"/>
        <w:left w:val="none" w:sz="0" w:space="0" w:color="auto"/>
        <w:bottom w:val="none" w:sz="0" w:space="0" w:color="auto"/>
        <w:right w:val="none" w:sz="0" w:space="0" w:color="auto"/>
      </w:divBdr>
    </w:div>
    <w:div w:id="1852597949">
      <w:bodyDiv w:val="1"/>
      <w:marLeft w:val="0"/>
      <w:marRight w:val="0"/>
      <w:marTop w:val="0"/>
      <w:marBottom w:val="0"/>
      <w:divBdr>
        <w:top w:val="none" w:sz="0" w:space="0" w:color="auto"/>
        <w:left w:val="none" w:sz="0" w:space="0" w:color="auto"/>
        <w:bottom w:val="none" w:sz="0" w:space="0" w:color="auto"/>
        <w:right w:val="none" w:sz="0" w:space="0" w:color="auto"/>
      </w:divBdr>
    </w:div>
    <w:div w:id="1863208470">
      <w:bodyDiv w:val="1"/>
      <w:marLeft w:val="0"/>
      <w:marRight w:val="0"/>
      <w:marTop w:val="0"/>
      <w:marBottom w:val="0"/>
      <w:divBdr>
        <w:top w:val="none" w:sz="0" w:space="0" w:color="auto"/>
        <w:left w:val="none" w:sz="0" w:space="0" w:color="auto"/>
        <w:bottom w:val="none" w:sz="0" w:space="0" w:color="auto"/>
        <w:right w:val="none" w:sz="0" w:space="0" w:color="auto"/>
      </w:divBdr>
      <w:divsChild>
        <w:div w:id="732120926">
          <w:marLeft w:val="360"/>
          <w:marRight w:val="0"/>
          <w:marTop w:val="200"/>
          <w:marBottom w:val="0"/>
          <w:divBdr>
            <w:top w:val="none" w:sz="0" w:space="0" w:color="auto"/>
            <w:left w:val="none" w:sz="0" w:space="0" w:color="auto"/>
            <w:bottom w:val="none" w:sz="0" w:space="0" w:color="auto"/>
            <w:right w:val="none" w:sz="0" w:space="0" w:color="auto"/>
          </w:divBdr>
        </w:div>
      </w:divsChild>
    </w:div>
    <w:div w:id="1890651187">
      <w:bodyDiv w:val="1"/>
      <w:marLeft w:val="0"/>
      <w:marRight w:val="0"/>
      <w:marTop w:val="0"/>
      <w:marBottom w:val="0"/>
      <w:divBdr>
        <w:top w:val="none" w:sz="0" w:space="0" w:color="auto"/>
        <w:left w:val="none" w:sz="0" w:space="0" w:color="auto"/>
        <w:bottom w:val="none" w:sz="0" w:space="0" w:color="auto"/>
        <w:right w:val="none" w:sz="0" w:space="0" w:color="auto"/>
      </w:divBdr>
    </w:div>
    <w:div w:id="1906914822">
      <w:bodyDiv w:val="1"/>
      <w:marLeft w:val="0"/>
      <w:marRight w:val="0"/>
      <w:marTop w:val="0"/>
      <w:marBottom w:val="0"/>
      <w:divBdr>
        <w:top w:val="none" w:sz="0" w:space="0" w:color="auto"/>
        <w:left w:val="none" w:sz="0" w:space="0" w:color="auto"/>
        <w:bottom w:val="none" w:sz="0" w:space="0" w:color="auto"/>
        <w:right w:val="none" w:sz="0" w:space="0" w:color="auto"/>
      </w:divBdr>
    </w:div>
    <w:div w:id="1962883945">
      <w:bodyDiv w:val="1"/>
      <w:marLeft w:val="0"/>
      <w:marRight w:val="0"/>
      <w:marTop w:val="0"/>
      <w:marBottom w:val="0"/>
      <w:divBdr>
        <w:top w:val="none" w:sz="0" w:space="0" w:color="auto"/>
        <w:left w:val="none" w:sz="0" w:space="0" w:color="auto"/>
        <w:bottom w:val="none" w:sz="0" w:space="0" w:color="auto"/>
        <w:right w:val="none" w:sz="0" w:space="0" w:color="auto"/>
      </w:divBdr>
    </w:div>
    <w:div w:id="1976177267">
      <w:bodyDiv w:val="1"/>
      <w:marLeft w:val="0"/>
      <w:marRight w:val="0"/>
      <w:marTop w:val="0"/>
      <w:marBottom w:val="0"/>
      <w:divBdr>
        <w:top w:val="none" w:sz="0" w:space="0" w:color="auto"/>
        <w:left w:val="none" w:sz="0" w:space="0" w:color="auto"/>
        <w:bottom w:val="none" w:sz="0" w:space="0" w:color="auto"/>
        <w:right w:val="none" w:sz="0" w:space="0" w:color="auto"/>
      </w:divBdr>
    </w:div>
    <w:div w:id="2053190213">
      <w:bodyDiv w:val="1"/>
      <w:marLeft w:val="0"/>
      <w:marRight w:val="0"/>
      <w:marTop w:val="0"/>
      <w:marBottom w:val="0"/>
      <w:divBdr>
        <w:top w:val="none" w:sz="0" w:space="0" w:color="auto"/>
        <w:left w:val="none" w:sz="0" w:space="0" w:color="auto"/>
        <w:bottom w:val="none" w:sz="0" w:space="0" w:color="auto"/>
        <w:right w:val="none" w:sz="0" w:space="0" w:color="auto"/>
      </w:divBdr>
    </w:div>
    <w:div w:id="2114283331">
      <w:bodyDiv w:val="1"/>
      <w:marLeft w:val="0"/>
      <w:marRight w:val="0"/>
      <w:marTop w:val="0"/>
      <w:marBottom w:val="0"/>
      <w:divBdr>
        <w:top w:val="none" w:sz="0" w:space="0" w:color="auto"/>
        <w:left w:val="none" w:sz="0" w:space="0" w:color="auto"/>
        <w:bottom w:val="none" w:sz="0" w:space="0" w:color="auto"/>
        <w:right w:val="none" w:sz="0" w:space="0" w:color="auto"/>
      </w:divBdr>
      <w:divsChild>
        <w:div w:id="1034618427">
          <w:marLeft w:val="0"/>
          <w:marRight w:val="0"/>
          <w:marTop w:val="0"/>
          <w:marBottom w:val="0"/>
          <w:divBdr>
            <w:top w:val="none" w:sz="0" w:space="0" w:color="auto"/>
            <w:left w:val="none" w:sz="0" w:space="0" w:color="auto"/>
            <w:bottom w:val="none" w:sz="0" w:space="0" w:color="auto"/>
            <w:right w:val="none" w:sz="0" w:space="0" w:color="auto"/>
          </w:divBdr>
        </w:div>
      </w:divsChild>
    </w:div>
    <w:div w:id="2133865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s://www.genomicsengland.co.uk/about-gecip/for-gecip-members/data-and-data-access/"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8B94063F65236B44864E0EF1AF48E70F" ma:contentTypeVersion="14" ma:contentTypeDescription="Create a new document." ma:contentTypeScope="" ma:versionID="692f56ff85ffd9b0e353626ce6d25842">
  <xsd:schema xmlns:xsd="http://www.w3.org/2001/XMLSchema" xmlns:xs="http://www.w3.org/2001/XMLSchema" xmlns:p="http://schemas.microsoft.com/office/2006/metadata/properties" xmlns:ns3="9286087d-2d83-477b-bcbd-7ed0b4e7c7b8" xmlns:ns4="5db15211-9fcf-4151-9f55-e1a80c38034b" targetNamespace="http://schemas.microsoft.com/office/2006/metadata/properties" ma:root="true" ma:fieldsID="bc632f39857039f3b24bc3890423983b" ns3:_="" ns4:_="">
    <xsd:import namespace="9286087d-2d83-477b-bcbd-7ed0b4e7c7b8"/>
    <xsd:import namespace="5db15211-9fcf-4151-9f55-e1a80c38034b"/>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OCR" minOccurs="0"/>
                <xsd:element ref="ns4:SharedWithUsers" minOccurs="0"/>
                <xsd:element ref="ns4:SharedWithDetails" minOccurs="0"/>
                <xsd:element ref="ns4:SharingHintHash" minOccurs="0"/>
                <xsd:element ref="ns3:MediaServiceAutoKeyPoints" minOccurs="0"/>
                <xsd:element ref="ns3:MediaServiceKeyPoints" minOccurs="0"/>
                <xsd:element ref="ns3:MediaServiceGenerationTime" minOccurs="0"/>
                <xsd:element ref="ns3:MediaServiceEventHashCode" minOccurs="0"/>
                <xsd:element ref="ns3:MediaLengthInSecond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286087d-2d83-477b-bcbd-7ed0b4e7c7b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Location" ma:index="21"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db15211-9fcf-4151-9f55-e1a80c38034b"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0DE72D7-0075-46A7-AF11-272CC3484AB0}">
  <ds:schemaRefs>
    <ds:schemaRef ds:uri="http://schemas.openxmlformats.org/officeDocument/2006/bibliography"/>
  </ds:schemaRefs>
</ds:datastoreItem>
</file>

<file path=customXml/itemProps2.xml><?xml version="1.0" encoding="utf-8"?>
<ds:datastoreItem xmlns:ds="http://schemas.openxmlformats.org/officeDocument/2006/customXml" ds:itemID="{F486C5E0-C09C-4F5E-84A3-6ED23C5CD84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286087d-2d83-477b-bcbd-7ed0b4e7c7b8"/>
    <ds:schemaRef ds:uri="5db15211-9fcf-4151-9f55-e1a80c38034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977791C-72DE-4997-A96D-57A20B20B40E}">
  <ds:schemaRefs>
    <ds:schemaRef ds:uri="http://schemas.microsoft.com/sharepoint/v3/contenttype/forms"/>
  </ds:schemaRefs>
</ds:datastoreItem>
</file>

<file path=customXml/itemProps4.xml><?xml version="1.0" encoding="utf-8"?>
<ds:datastoreItem xmlns:ds="http://schemas.openxmlformats.org/officeDocument/2006/customXml" ds:itemID="{F545FDD8-DCA8-4E0E-B152-6D7E60520345}">
  <ds:schemaRefs>
    <ds:schemaRef ds:uri="5db15211-9fcf-4151-9f55-e1a80c38034b"/>
    <ds:schemaRef ds:uri="http://schemas.microsoft.com/office/2006/metadata/properties"/>
    <ds:schemaRef ds:uri="http://purl.org/dc/terms/"/>
    <ds:schemaRef ds:uri="http://purl.org/dc/elements/1.1/"/>
    <ds:schemaRef ds:uri="http://schemas.microsoft.com/office/infopath/2007/PartnerControls"/>
    <ds:schemaRef ds:uri="http://schemas.microsoft.com/office/2006/documentManagement/types"/>
    <ds:schemaRef ds:uri="http://schemas.openxmlformats.org/package/2006/metadata/core-properties"/>
    <ds:schemaRef ds:uri="9286087d-2d83-477b-bcbd-7ed0b4e7c7b8"/>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35</Pages>
  <Words>41251</Words>
  <Characters>235134</Characters>
  <Application>Microsoft Office Word</Application>
  <DocSecurity>0</DocSecurity>
  <Lines>1959</Lines>
  <Paragraphs>551</Paragraphs>
  <ScaleCrop>false</ScaleCrop>
  <HeadingPairs>
    <vt:vector size="2" baseType="variant">
      <vt:variant>
        <vt:lpstr>Title</vt:lpstr>
      </vt:variant>
      <vt:variant>
        <vt:i4>1</vt:i4>
      </vt:variant>
    </vt:vector>
  </HeadingPairs>
  <TitlesOfParts>
    <vt:vector size="1" baseType="lpstr">
      <vt:lpstr/>
    </vt:vector>
  </TitlesOfParts>
  <Company>University Of Southampton</Company>
  <LinksUpToDate>false</LinksUpToDate>
  <CharactersWithSpaces>275834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Gary Leggatt</dc:creator>
  <cp:keywords/>
  <dc:description/>
  <cp:lastModifiedBy>Gary Leggatt</cp:lastModifiedBy>
  <cp:revision>2</cp:revision>
  <cp:lastPrinted>2022-11-11T09:38:00Z</cp:lastPrinted>
  <dcterms:created xsi:type="dcterms:W3CDTF">2023-03-30T14:15:00Z</dcterms:created>
  <dcterms:modified xsi:type="dcterms:W3CDTF">2023-03-30T14:15:00Z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b4361a9f-c34d-335e-9c22-96fe1ab88bf3</vt:lpwstr>
  </property>
  <property fmtid="{D5CDD505-2E9C-101B-9397-08002B2CF9AE}" pid="4" name="Mendeley Citation Style_1">
    <vt:lpwstr>https://csl.mendeley.com/styles/539873101/nature</vt:lpwstr>
  </property>
  <property fmtid="{D5CDD505-2E9C-101B-9397-08002B2CF9AE}" pid="5" name="Mendeley Recent Style Id 0_1">
    <vt:lpwstr>http://www.zotero.org/styles/apa</vt:lpwstr>
  </property>
  <property fmtid="{D5CDD505-2E9C-101B-9397-08002B2CF9AE}" pid="6" name="Mendeley Recent Style Name 0_1">
    <vt:lpwstr>American Psychological Association 6th edition</vt:lpwstr>
  </property>
  <property fmtid="{D5CDD505-2E9C-101B-9397-08002B2CF9AE}" pid="7" name="Mendeley Recent Style Id 1_1">
    <vt:lpwstr>http://www.zotero.org/styles/harvard-cite-them-right</vt:lpwstr>
  </property>
  <property fmtid="{D5CDD505-2E9C-101B-9397-08002B2CF9AE}" pid="8" name="Mendeley Recent Style Name 1_1">
    <vt:lpwstr>Cite Them Right 10th edition - Harvard</vt:lpwstr>
  </property>
  <property fmtid="{D5CDD505-2E9C-101B-9397-08002B2CF9AE}" pid="9" name="Mendeley Recent Style Id 2_1">
    <vt:lpwstr>http://www.zotero.org/styles/ieee</vt:lpwstr>
  </property>
  <property fmtid="{D5CDD505-2E9C-101B-9397-08002B2CF9AE}" pid="10" name="Mendeley Recent Style Name 2_1">
    <vt:lpwstr>IEEE</vt:lpwstr>
  </property>
  <property fmtid="{D5CDD505-2E9C-101B-9397-08002B2CF9AE}" pid="11" name="Mendeley Recent Style Id 3_1">
    <vt:lpwstr>http://www.zotero.org/styles/jama</vt:lpwstr>
  </property>
  <property fmtid="{D5CDD505-2E9C-101B-9397-08002B2CF9AE}" pid="12" name="Mendeley Recent Style Name 3_1">
    <vt:lpwstr>JAMA (The Journal of the American Medical Association)</vt:lpwstr>
  </property>
  <property fmtid="{D5CDD505-2E9C-101B-9397-08002B2CF9AE}" pid="13" name="Mendeley Recent Style Id 4_1">
    <vt:lpwstr>http://www.zotero.org/styles/modern-humanities-research-association</vt:lpwstr>
  </property>
  <property fmtid="{D5CDD505-2E9C-101B-9397-08002B2CF9AE}" pid="14" name="Mendeley Recent Style Name 4_1">
    <vt:lpwstr>Modern Humanities Research Association 3rd edition (note with bibliography)</vt:lpwstr>
  </property>
  <property fmtid="{D5CDD505-2E9C-101B-9397-08002B2CF9AE}" pid="15" name="Mendeley Recent Style Id 5_1">
    <vt:lpwstr>http://www.zotero.org/styles/modern-language-association</vt:lpwstr>
  </property>
  <property fmtid="{D5CDD505-2E9C-101B-9397-08002B2CF9AE}" pid="16" name="Mendeley Recent Style Name 5_1">
    <vt:lpwstr>Modern Language Association 8th edition</vt:lpwstr>
  </property>
  <property fmtid="{D5CDD505-2E9C-101B-9397-08002B2CF9AE}" pid="17" name="Mendeley Recent Style Id 6_1">
    <vt:lpwstr>http://www.zotero.org/styles/national-library-of-medicine</vt:lpwstr>
  </property>
  <property fmtid="{D5CDD505-2E9C-101B-9397-08002B2CF9AE}" pid="18" name="Mendeley Recent Style Name 6_1">
    <vt:lpwstr>National Library of Medicine</vt:lpwstr>
  </property>
  <property fmtid="{D5CDD505-2E9C-101B-9397-08002B2CF9AE}" pid="19" name="Mendeley Recent Style Id 7_1">
    <vt:lpwstr>http://www.zotero.org/styles/nature</vt:lpwstr>
  </property>
  <property fmtid="{D5CDD505-2E9C-101B-9397-08002B2CF9AE}" pid="20" name="Mendeley Recent Style Name 7_1">
    <vt:lpwstr>Nature</vt:lpwstr>
  </property>
  <property fmtid="{D5CDD505-2E9C-101B-9397-08002B2CF9AE}" pid="21" name="Mendeley Recent Style Id 8_1">
    <vt:lpwstr>http://csl.mendeley.com/styles/539873101/nature</vt:lpwstr>
  </property>
  <property fmtid="{D5CDD505-2E9C-101B-9397-08002B2CF9AE}" pid="22" name="Mendeley Recent Style Name 8_1">
    <vt:lpwstr>Nature - Gary Leggatt</vt:lpwstr>
  </property>
  <property fmtid="{D5CDD505-2E9C-101B-9397-08002B2CF9AE}" pid="23" name="Mendeley Recent Style Id 9_1">
    <vt:lpwstr>https://csl.mendeley.com/styles/539873101/nature</vt:lpwstr>
  </property>
  <property fmtid="{D5CDD505-2E9C-101B-9397-08002B2CF9AE}" pid="24" name="Mendeley Recent Style Name 9_1">
    <vt:lpwstr>Nature - Gary Leggatt</vt:lpwstr>
  </property>
  <property fmtid="{D5CDD505-2E9C-101B-9397-08002B2CF9AE}" pid="25" name="ContentTypeId">
    <vt:lpwstr>0x0101008B94063F65236B44864E0EF1AF48E70F</vt:lpwstr>
  </property>
</Properties>
</file>