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04EA8" w14:textId="77777777" w:rsidR="00373C8C" w:rsidRPr="005869CA" w:rsidRDefault="00373C8C" w:rsidP="00373C8C">
      <w:pPr>
        <w:spacing w:after="160" w:line="480" w:lineRule="auto"/>
        <w:jc w:val="center"/>
        <w:rPr>
          <w:lang w:val="en-US"/>
        </w:rPr>
      </w:pPr>
      <w:r w:rsidRPr="005869CA">
        <w:rPr>
          <w:b/>
          <w:lang w:val="en-US"/>
        </w:rPr>
        <w:t>Abstract</w:t>
      </w:r>
    </w:p>
    <w:p w14:paraId="68065AFF" w14:textId="77777777" w:rsidR="00373C8C" w:rsidRDefault="00373C8C" w:rsidP="00373C8C">
      <w:pPr>
        <w:spacing w:line="480" w:lineRule="auto"/>
        <w:rPr>
          <w:lang w:val="en-US"/>
        </w:rPr>
      </w:pPr>
      <w:r>
        <w:rPr>
          <w:lang w:val="en-US"/>
        </w:rPr>
        <w:t xml:space="preserve">Recent research has shown that insecure attachment, especially attachment anxiety, is associated with poor mental health outcomes, especially during the COVID-19 pandemic. Other research suggests that insecure attachment may be linked to nonadherence to social distancing behaviors during the pandemic. In a nationally representative UK sample (cross-sectional </w:t>
      </w:r>
      <w:r w:rsidRPr="001F1840">
        <w:rPr>
          <w:i/>
          <w:iCs/>
          <w:lang w:val="en-US"/>
        </w:rPr>
        <w:t>n</w:t>
      </w:r>
      <w:r>
        <w:rPr>
          <w:lang w:val="en-US"/>
        </w:rPr>
        <w:t xml:space="preserve"> = 1325; longitudinal </w:t>
      </w:r>
      <w:r w:rsidRPr="001F1840">
        <w:rPr>
          <w:i/>
          <w:iCs/>
          <w:lang w:val="en-US"/>
        </w:rPr>
        <w:t xml:space="preserve">n </w:t>
      </w:r>
      <w:r>
        <w:rPr>
          <w:lang w:val="en-US"/>
        </w:rPr>
        <w:t>= 950) we examine the causal links between attachment styles (secure, anxious, avoidant), mental health outcomes (depression, anxiety, loneliness), and adherence to social distancing behaviors during the first several months of the UK lockdown (between April-August 2020). The data were analyzed using state-of-the-art causal discovery and targeted learning algorithms to identify causal processes. The results showed that insecure attachment styles were causally linked to poorer mental health outcomes, mediated by loneliness. Only attachment avoidance was causally linked to nonadherence to social distancing guidelines. Future interventions to improve mental health outcomes should focus on mitigating feelings of loneliness. Limitations include no access to pre-pandemic data and the use of categorical attachment measure.</w:t>
      </w:r>
    </w:p>
    <w:p w14:paraId="56DDCBEA" w14:textId="77777777" w:rsidR="00373C8C" w:rsidRPr="005869CA" w:rsidRDefault="00373C8C" w:rsidP="00373C8C">
      <w:pPr>
        <w:spacing w:line="480" w:lineRule="auto"/>
        <w:rPr>
          <w:lang w:val="en-US"/>
        </w:rPr>
      </w:pPr>
      <w:r w:rsidRPr="001F1840">
        <w:rPr>
          <w:i/>
          <w:iCs/>
          <w:lang w:val="en-US"/>
        </w:rPr>
        <w:t>Keywords:</w:t>
      </w:r>
      <w:r>
        <w:rPr>
          <w:lang w:val="en-US"/>
        </w:rPr>
        <w:t xml:space="preserve"> attachment style; mental health; COVID-19; social distancing behaviors; loneliness</w:t>
      </w:r>
    </w:p>
    <w:p w14:paraId="15E4C3B3" w14:textId="77777777" w:rsidR="00373C8C" w:rsidRPr="002D3749" w:rsidRDefault="00373C8C" w:rsidP="00373C8C">
      <w:pPr>
        <w:rPr>
          <w:lang w:val="en-US"/>
        </w:rPr>
      </w:pPr>
    </w:p>
    <w:p w14:paraId="1A807AB3" w14:textId="77777777" w:rsidR="00373C8C" w:rsidRPr="00373C8C" w:rsidRDefault="00373C8C">
      <w:pPr>
        <w:rPr>
          <w:bCs/>
          <w:lang w:val="en-US"/>
        </w:rPr>
      </w:pPr>
      <w:r>
        <w:rPr>
          <w:b/>
          <w:lang w:val="en-US"/>
        </w:rPr>
        <w:br w:type="page"/>
      </w:r>
    </w:p>
    <w:p w14:paraId="75041A4F" w14:textId="1934D29C" w:rsidR="00D66D04" w:rsidRPr="00CB39EE" w:rsidRDefault="00CB39EE" w:rsidP="00CB39EE">
      <w:pPr>
        <w:spacing w:after="160" w:line="480" w:lineRule="auto"/>
        <w:jc w:val="center"/>
        <w:rPr>
          <w:lang w:val="en-US"/>
        </w:rPr>
      </w:pPr>
      <w:r>
        <w:rPr>
          <w:b/>
          <w:lang w:val="en-US"/>
        </w:rPr>
        <w:lastRenderedPageBreak/>
        <w:t>Toward a Causal Link between Attachment Styles and Mental Health during the COVID-19 Pandemic</w:t>
      </w:r>
    </w:p>
    <w:p w14:paraId="339BE019" w14:textId="689739CB" w:rsidR="001D1E93" w:rsidRPr="00E5665B" w:rsidRDefault="00411C61" w:rsidP="001D1E93">
      <w:pPr>
        <w:spacing w:after="160" w:line="480" w:lineRule="auto"/>
        <w:ind w:firstLine="709"/>
        <w:rPr>
          <w:lang w:val="en-US"/>
        </w:rPr>
      </w:pPr>
      <w:r w:rsidRPr="005869CA">
        <w:rPr>
          <w:lang w:val="en-US"/>
        </w:rPr>
        <w:tab/>
      </w:r>
      <w:r w:rsidR="001D1E93" w:rsidRPr="00E5665B">
        <w:rPr>
          <w:lang w:val="en-US"/>
        </w:rPr>
        <w:t xml:space="preserve">The COVID-19 pandemic has brought many challenges including navigating how best to protect our health and well-being, while living our lives to the fullest. For some, the circumstances surrounding COVID-19 have been more detrimental to their mental health than for others (Shevlin et al., 2021). In this paper, we test novel hypotheses with important implications for well-being using data from early in the pandemic collected by the COVID-19 Psychological Research Consortium Study (C19PRCS), </w:t>
      </w:r>
      <w:r w:rsidR="001D1E93" w:rsidRPr="00E5665B">
        <w:rPr>
          <w:color w:val="212529"/>
          <w:shd w:val="clear" w:color="auto" w:fill="FFFFFF"/>
        </w:rPr>
        <w:t xml:space="preserve">a longitudinal survey tracking changes in </w:t>
      </w:r>
      <w:proofErr w:type="spellStart"/>
      <w:r w:rsidR="001D1E93" w:rsidRPr="00E5665B">
        <w:rPr>
          <w:color w:val="212529"/>
          <w:shd w:val="clear" w:color="auto" w:fill="FFFFFF"/>
        </w:rPr>
        <w:t>behavior</w:t>
      </w:r>
      <w:proofErr w:type="spellEnd"/>
      <w:r w:rsidR="001D1E93" w:rsidRPr="00E5665B">
        <w:rPr>
          <w:color w:val="212529"/>
          <w:shd w:val="clear" w:color="auto" w:fill="FFFFFF"/>
        </w:rPr>
        <w:t xml:space="preserve"> and mental health over the pandemic in a large representative sample of the UK adult population</w:t>
      </w:r>
      <w:r w:rsidR="001D1E93" w:rsidRPr="00E5665B">
        <w:rPr>
          <w:lang w:val="en-US"/>
        </w:rPr>
        <w:t xml:space="preserve">. We aimed to develop a theoretical causal model to better understand how individual differences in attachment styles influence adherence to social distancing behaviors, as well as mental health outcomes (loneliness, depression, anxiety) in the context of the pandemic. Importantly, we used a cutting-edge causal discovery algorithm known as Structural Agnostic Modeling (SAM; </w:t>
      </w:r>
      <w:proofErr w:type="spellStart"/>
      <w:r w:rsidR="001D1E93" w:rsidRPr="00E5665B">
        <w:rPr>
          <w:lang w:val="en-US"/>
        </w:rPr>
        <w:t>Kalainathan</w:t>
      </w:r>
      <w:proofErr w:type="spellEnd"/>
      <w:r w:rsidR="001D1E93" w:rsidRPr="00E5665B">
        <w:rPr>
          <w:lang w:val="en-US"/>
        </w:rPr>
        <w:t xml:space="preserve"> et al., 2020) to estimate the causal structure of the model. We then estimated and tested specific causal effects within the model using targeted learning (van der </w:t>
      </w:r>
      <w:proofErr w:type="spellStart"/>
      <w:r w:rsidR="001D1E93" w:rsidRPr="00E5665B">
        <w:rPr>
          <w:lang w:val="en-US"/>
        </w:rPr>
        <w:t>Laan</w:t>
      </w:r>
      <w:proofErr w:type="spellEnd"/>
      <w:r w:rsidR="001D1E93" w:rsidRPr="00E5665B">
        <w:rPr>
          <w:lang w:val="en-US"/>
        </w:rPr>
        <w:t xml:space="preserve"> et al., 2011). Using these advanced methods allowed us to examine the possible causal relationships between attachment styles, social distancing behaviors</w:t>
      </w:r>
      <w:r w:rsidR="00471207">
        <w:rPr>
          <w:lang w:val="en-US"/>
        </w:rPr>
        <w:t>,</w:t>
      </w:r>
      <w:r w:rsidR="001D1E93" w:rsidRPr="00E5665B">
        <w:rPr>
          <w:lang w:val="en-US"/>
        </w:rPr>
        <w:t xml:space="preserve"> and mental health outcomes during the pandemic in a representative sample of UK adults.</w:t>
      </w:r>
    </w:p>
    <w:p w14:paraId="7DF0FC84" w14:textId="77777777" w:rsidR="001D1E93" w:rsidRPr="00E5665B" w:rsidRDefault="001D1E93" w:rsidP="001D1E93">
      <w:pPr>
        <w:spacing w:after="160" w:line="480" w:lineRule="auto"/>
        <w:ind w:firstLine="709"/>
        <w:jc w:val="center"/>
        <w:rPr>
          <w:b/>
          <w:bCs/>
          <w:lang w:val="en-US"/>
        </w:rPr>
      </w:pPr>
      <w:r w:rsidRPr="00E5665B">
        <w:rPr>
          <w:b/>
          <w:bCs/>
          <w:lang w:val="en-US"/>
        </w:rPr>
        <w:t>Mental Health during the COVID-19 Pandemic</w:t>
      </w:r>
    </w:p>
    <w:p w14:paraId="21144133" w14:textId="0C911C28" w:rsidR="001D1E93" w:rsidRPr="00E5665B" w:rsidRDefault="001D1E93" w:rsidP="001D1E93">
      <w:pPr>
        <w:spacing w:after="160" w:line="480" w:lineRule="auto"/>
        <w:ind w:firstLine="709"/>
        <w:rPr>
          <w:lang w:val="en-US"/>
        </w:rPr>
      </w:pPr>
      <w:r w:rsidRPr="00E5665B">
        <w:rPr>
          <w:b/>
          <w:lang w:val="en-US"/>
        </w:rPr>
        <w:tab/>
      </w:r>
      <w:r w:rsidRPr="00E5665B">
        <w:rPr>
          <w:lang w:val="en-US"/>
        </w:rPr>
        <w:t>The pandemic has led to an increase in mental health difficulties in many nations (</w:t>
      </w:r>
      <w:proofErr w:type="spellStart"/>
      <w:r w:rsidRPr="00E5665B">
        <w:rPr>
          <w:lang w:val="en-US"/>
        </w:rPr>
        <w:t>Burkova</w:t>
      </w:r>
      <w:proofErr w:type="spellEnd"/>
      <w:r w:rsidRPr="00E5665B">
        <w:rPr>
          <w:lang w:val="en-US"/>
        </w:rPr>
        <w:t xml:space="preserve"> et al., 2021; Pierce et al., 2020; Randall et al., 2022). For example, a systematic review of 43 cross-sectional studies (</w:t>
      </w:r>
      <w:proofErr w:type="spellStart"/>
      <w:r w:rsidRPr="00E5665B">
        <w:rPr>
          <w:lang w:val="en-US"/>
        </w:rPr>
        <w:t>Vindegaard</w:t>
      </w:r>
      <w:proofErr w:type="spellEnd"/>
      <w:r w:rsidRPr="00E5665B">
        <w:rPr>
          <w:lang w:val="en-US"/>
        </w:rPr>
        <w:t xml:space="preserve"> </w:t>
      </w:r>
      <w:r w:rsidR="00E22A59">
        <w:rPr>
          <w:lang w:val="en-US"/>
        </w:rPr>
        <w:t>&amp;</w:t>
      </w:r>
      <w:r w:rsidRPr="00E5665B">
        <w:rPr>
          <w:lang w:val="en-US"/>
        </w:rPr>
        <w:t xml:space="preserve"> </w:t>
      </w:r>
      <w:proofErr w:type="spellStart"/>
      <w:r w:rsidRPr="00E5665B">
        <w:rPr>
          <w:lang w:val="en-US"/>
        </w:rPr>
        <w:t>Benros</w:t>
      </w:r>
      <w:proofErr w:type="spellEnd"/>
      <w:r w:rsidRPr="00E5665B">
        <w:rPr>
          <w:lang w:val="en-US"/>
        </w:rPr>
        <w:t>, 2020) showed higher rates of depression, anxiety</w:t>
      </w:r>
      <w:r w:rsidR="00471207">
        <w:rPr>
          <w:lang w:val="en-US"/>
        </w:rPr>
        <w:t>,</w:t>
      </w:r>
      <w:r w:rsidRPr="00E5665B">
        <w:rPr>
          <w:lang w:val="en-US"/>
        </w:rPr>
        <w:t xml:space="preserve"> and posttraumatic stress-disorder (PTSD) compared to before the </w:t>
      </w:r>
      <w:r w:rsidRPr="00E5665B">
        <w:rPr>
          <w:lang w:val="en-US"/>
        </w:rPr>
        <w:lastRenderedPageBreak/>
        <w:t xml:space="preserve">pandemic. Several longitudinal studies support this pattern, for example, Pierce et al. (2020) compared pre-pandemic levels to one month into lockdown in the UK and showed roughly a 10% increase in depression and anxiety after the pandemic began. Other longitudinal studies that examined outcomes over the course of the pandemic show mixed results. </w:t>
      </w:r>
      <w:proofErr w:type="spellStart"/>
      <w:r w:rsidRPr="00E5665B">
        <w:rPr>
          <w:lang w:val="en-US"/>
        </w:rPr>
        <w:t>Huckins</w:t>
      </w:r>
      <w:proofErr w:type="spellEnd"/>
      <w:r w:rsidRPr="00E5665B">
        <w:rPr>
          <w:lang w:val="en-US"/>
        </w:rPr>
        <w:t xml:space="preserve"> et al. (2020) found an increase in anxiety and depression over 12 weeks during the pandemic in a student sample, whereas Wang et al. (2020) found that the moderate to severe levels of stress, depression, and anxiety assessed at the start of the pandemic and four weeks later in China initially did not change over this time.</w:t>
      </w:r>
    </w:p>
    <w:p w14:paraId="21161513" w14:textId="77777777" w:rsidR="001D1E93" w:rsidRPr="00E5665B" w:rsidRDefault="001D1E93" w:rsidP="001D1E93">
      <w:pPr>
        <w:spacing w:after="160" w:line="480" w:lineRule="auto"/>
        <w:ind w:firstLine="709"/>
        <w:jc w:val="center"/>
        <w:rPr>
          <w:b/>
          <w:bCs/>
          <w:lang w:val="en-US"/>
        </w:rPr>
      </w:pPr>
      <w:r w:rsidRPr="00E5665B">
        <w:rPr>
          <w:b/>
          <w:bCs/>
          <w:lang w:val="en-US"/>
        </w:rPr>
        <w:t>Attachment Styles and</w:t>
      </w:r>
      <w:r w:rsidRPr="00E5665B">
        <w:rPr>
          <w:lang w:val="en-US"/>
        </w:rPr>
        <w:t xml:space="preserve"> </w:t>
      </w:r>
      <w:r w:rsidRPr="00E5665B">
        <w:rPr>
          <w:b/>
          <w:bCs/>
          <w:lang w:val="en-US"/>
        </w:rPr>
        <w:t>Mental Health during the COVID-19 Pandemic</w:t>
      </w:r>
    </w:p>
    <w:p w14:paraId="673341AE" w14:textId="4DD3A63D" w:rsidR="001D1E93" w:rsidRPr="00E5665B" w:rsidRDefault="001D1E93" w:rsidP="001D1E93">
      <w:pPr>
        <w:spacing w:after="160" w:line="480" w:lineRule="auto"/>
        <w:ind w:firstLine="709"/>
        <w:rPr>
          <w:lang w:val="en-US"/>
        </w:rPr>
      </w:pPr>
      <w:r w:rsidRPr="00E5665B">
        <w:rPr>
          <w:lang w:val="en-US"/>
        </w:rPr>
        <w:t>Although many people have found the COVID-19 pandemic stressful, not everyone has experienced worse mental health (e.g., Shevlin et al., 2021). Research has examined several factors that predict who is more likely to experience elevated depression, anxiety, and poor well</w:t>
      </w:r>
      <w:r w:rsidR="00601B67">
        <w:rPr>
          <w:lang w:val="en-US"/>
        </w:rPr>
        <w:t>-</w:t>
      </w:r>
      <w:r w:rsidRPr="00E5665B">
        <w:rPr>
          <w:lang w:val="en-US"/>
        </w:rPr>
        <w:t xml:space="preserve">being due to the pandemic. </w:t>
      </w:r>
      <w:bookmarkStart w:id="0" w:name="_Hlk135058646"/>
      <w:r w:rsidR="00495720" w:rsidRPr="00E5665B">
        <w:rPr>
          <w:lang w:val="en-US"/>
        </w:rPr>
        <w:t xml:space="preserve">One such variable is adult attachment style, which describes </w:t>
      </w:r>
      <w:r w:rsidR="00495720">
        <w:rPr>
          <w:lang w:val="en-US"/>
        </w:rPr>
        <w:t>the ways people think, feel</w:t>
      </w:r>
      <w:r w:rsidR="004047B1">
        <w:rPr>
          <w:lang w:val="en-US"/>
        </w:rPr>
        <w:t>,</w:t>
      </w:r>
      <w:r w:rsidR="00495720">
        <w:rPr>
          <w:lang w:val="en-US"/>
        </w:rPr>
        <w:t xml:space="preserve"> and behave in their close relationships that are developed based on experiences with caregiver</w:t>
      </w:r>
      <w:r w:rsidR="00495720" w:rsidRPr="00E5665B">
        <w:rPr>
          <w:lang w:val="en-US"/>
        </w:rPr>
        <w:t>s</w:t>
      </w:r>
      <w:r w:rsidR="00495720">
        <w:rPr>
          <w:lang w:val="en-US"/>
        </w:rPr>
        <w:t xml:space="preserve"> </w:t>
      </w:r>
      <w:r w:rsidR="004047B1">
        <w:rPr>
          <w:lang w:val="en-US"/>
        </w:rPr>
        <w:t>and</w:t>
      </w:r>
      <w:r w:rsidR="00495720">
        <w:rPr>
          <w:lang w:val="en-US"/>
        </w:rPr>
        <w:t xml:space="preserve"> are mentally represented as internal working models. </w:t>
      </w:r>
      <w:bookmarkEnd w:id="0"/>
      <w:r w:rsidRPr="00E5665B">
        <w:rPr>
          <w:lang w:val="en-US"/>
        </w:rPr>
        <w:t>The primary purpose of forming these ties or ‘attachments’ is to maintain proximity to our caregivers and thus ensure survival (Bowlby, 1969). The quality of these attachment relationships throughout life becomes internalized over time as ‘attachment styles’ (Bowlby, 1969; Brennan et al., 1998). When an individual experiences sensitive, responsive care from their attachment figures (parents, partners), they develop attachment security. Attachment security is associated with happiness, life satisfaction, and more positive physical and mental health and well-being outcomes (</w:t>
      </w:r>
      <w:proofErr w:type="spellStart"/>
      <w:r w:rsidRPr="00E5665B">
        <w:rPr>
          <w:lang w:val="en-US"/>
        </w:rPr>
        <w:t>Mikulincer</w:t>
      </w:r>
      <w:proofErr w:type="spellEnd"/>
      <w:r w:rsidRPr="00E5665B">
        <w:rPr>
          <w:lang w:val="en-US"/>
        </w:rPr>
        <w:t xml:space="preserve"> &amp; Shaver, 2016). Conversely, a history of experiences in which attachment figures are rejecting, or inconsistent, leads to attachment insecurity, conceptualized as avoidance (of intimacy) or anxiety (about abandonment) (Brennan et al., 1998). These individual differences should </w:t>
      </w:r>
      <w:r w:rsidRPr="00E5665B">
        <w:rPr>
          <w:lang w:val="en-US"/>
        </w:rPr>
        <w:lastRenderedPageBreak/>
        <w:t>theoretically link to the ability to adapt behaviorally and emotionally to the demands enforced by the COVID-19 pandemic. </w:t>
      </w:r>
    </w:p>
    <w:p w14:paraId="346BB0DD" w14:textId="577F246E" w:rsidR="001D1E93" w:rsidRPr="00E5665B" w:rsidRDefault="001D1E93" w:rsidP="001D1E93">
      <w:pPr>
        <w:spacing w:after="160" w:line="480" w:lineRule="auto"/>
        <w:ind w:firstLine="709"/>
        <w:rPr>
          <w:lang w:val="en-US"/>
        </w:rPr>
      </w:pPr>
      <w:r w:rsidRPr="00E5665B">
        <w:rPr>
          <w:lang w:val="en-US"/>
        </w:rPr>
        <w:t xml:space="preserve">Indeed, research demonstrates that adult attachment styles have influenced well-being during the COVID-19 pandemic. Moccia et al. (2020) found that </w:t>
      </w:r>
      <w:r w:rsidR="00471207">
        <w:rPr>
          <w:lang w:val="en-US"/>
        </w:rPr>
        <w:t>attachment anxiety</w:t>
      </w:r>
      <w:r w:rsidRPr="00E5665B">
        <w:rPr>
          <w:lang w:val="en-US"/>
        </w:rPr>
        <w:t xml:space="preserve"> differentiated between those who reported moderate-severe psychological distress versus no distress during the pandemic in Italy, suggesting that attachment anxiety is a risk factor for mental health problems. Similarly, Mazza et al. (2021) found in an Italian sample of healthcare workers that attachment anxiety was positively associated with high stress, depression, and anxiety. Carbajal et al. (2021) also focused on healthcare workers </w:t>
      </w:r>
      <w:r w:rsidR="004047B1">
        <w:rPr>
          <w:lang w:val="en-US"/>
        </w:rPr>
        <w:t xml:space="preserve">and </w:t>
      </w:r>
      <w:r w:rsidRPr="00E5665B">
        <w:rPr>
          <w:lang w:val="en-US"/>
        </w:rPr>
        <w:t>found that both attachment anxiety and avoidance were negatively associated with resilience and positively associated with depression and PTSD, whereas attachment anxiety was positively associated with generalized anxiety and suicidality. Building on this cross-sectional work, Vowels et al. (2022) examined the effects of adult attachment on depression and anxiety in two longitudinal studies that assessed depression and anxiety weekly over five weeks near the start of lockdown in the UK</w:t>
      </w:r>
      <w:r w:rsidR="0009109C">
        <w:rPr>
          <w:lang w:val="en-US"/>
        </w:rPr>
        <w:t xml:space="preserve"> (Study 1) and compared the levels of depression and anxiety from pre-pandemic to during pandemic (Study 2)</w:t>
      </w:r>
      <w:r w:rsidRPr="00E5665B">
        <w:rPr>
          <w:lang w:val="en-US"/>
        </w:rPr>
        <w:t xml:space="preserve">. The </w:t>
      </w:r>
      <w:r w:rsidR="004047B1">
        <w:rPr>
          <w:lang w:val="en-US"/>
        </w:rPr>
        <w:t>authors</w:t>
      </w:r>
      <w:r w:rsidRPr="00E5665B">
        <w:rPr>
          <w:lang w:val="en-US"/>
        </w:rPr>
        <w:t xml:space="preserve"> found that those high in attachment anxiety experienced higher depression and anxiety than those low in attachment anxiety. Furthermore, those higher in attachment anxiety maintained their elevated levels of depression and anxiety across the five weeks, but those lower in attachment anxiety reported decreasing </w:t>
      </w:r>
      <w:r w:rsidR="00EF1865">
        <w:rPr>
          <w:lang w:val="en-US"/>
        </w:rPr>
        <w:t>levels</w:t>
      </w:r>
      <w:r w:rsidR="00EF1865" w:rsidRPr="00E5665B">
        <w:rPr>
          <w:lang w:val="en-US"/>
        </w:rPr>
        <w:t xml:space="preserve"> </w:t>
      </w:r>
      <w:r w:rsidRPr="00E5665B">
        <w:rPr>
          <w:lang w:val="en-US"/>
        </w:rPr>
        <w:t xml:space="preserve">over time. In </w:t>
      </w:r>
      <w:r w:rsidR="0009109C">
        <w:rPr>
          <w:lang w:val="en-US"/>
        </w:rPr>
        <w:t>Study 2</w:t>
      </w:r>
      <w:r w:rsidRPr="00E5665B">
        <w:rPr>
          <w:lang w:val="en-US"/>
        </w:rPr>
        <w:t>, Vowels et al. found that those higher (versus lower) in attachment anxiety reported increasing depression and anxiety over time. Attachment avoidance did not predict depression or anxiety in either study. The evidence above suggests that insecure attachment, especially attachment anxiety, may be a predictor of poor mental health during the pandemic. </w:t>
      </w:r>
    </w:p>
    <w:p w14:paraId="226CE368" w14:textId="77777777" w:rsidR="001D1E93" w:rsidRPr="00E5665B" w:rsidRDefault="001D1E93" w:rsidP="001D1E93">
      <w:pPr>
        <w:spacing w:after="160" w:line="480" w:lineRule="auto"/>
        <w:ind w:firstLine="709"/>
        <w:jc w:val="center"/>
        <w:rPr>
          <w:b/>
          <w:bCs/>
          <w:lang w:val="en-US"/>
        </w:rPr>
      </w:pPr>
      <w:r w:rsidRPr="00E5665B">
        <w:rPr>
          <w:b/>
          <w:bCs/>
          <w:lang w:val="en-US"/>
        </w:rPr>
        <w:t>Attachment Styles and Social Distancing Behaviors</w:t>
      </w:r>
    </w:p>
    <w:p w14:paraId="465CCD72" w14:textId="77777777" w:rsidR="001D1E93" w:rsidRPr="00E5665B" w:rsidRDefault="001D1E93" w:rsidP="001D1E93">
      <w:pPr>
        <w:spacing w:after="160" w:line="480" w:lineRule="auto"/>
        <w:ind w:firstLine="709"/>
        <w:rPr>
          <w:lang w:val="en-US"/>
        </w:rPr>
      </w:pPr>
      <w:r w:rsidRPr="00E5665B">
        <w:rPr>
          <w:lang w:val="en-US"/>
        </w:rPr>
        <w:lastRenderedPageBreak/>
        <w:t xml:space="preserve">The COVID-19 pandemic context presents several threats to the attachment system, most notably separation from loved ones due to enforced national lockdowns and social distancing measures as well as persistent mortality salience and exposure to illness-related cues. This context also required individuals to enact prescriptive COVID-19-related protective behaviors to prevent infection and/or spreading the disease to others such as hand washing, maintaining a physical distance from others, and wearing face masks. </w:t>
      </w:r>
    </w:p>
    <w:p w14:paraId="71425EE2" w14:textId="77777777" w:rsidR="001D1E93" w:rsidRPr="00E5665B" w:rsidRDefault="001D1E93" w:rsidP="001D1E93">
      <w:pPr>
        <w:spacing w:after="160" w:line="480" w:lineRule="auto"/>
        <w:ind w:firstLine="709"/>
        <w:rPr>
          <w:lang w:val="en-US"/>
        </w:rPr>
      </w:pPr>
      <w:r w:rsidRPr="00E5665B">
        <w:rPr>
          <w:lang w:val="en-US"/>
        </w:rPr>
        <w:t>Attachment style modulates how we respond to stress and threat (Brennan et al., 1998) including separation from loved ones (Ainsworth et al., 1978; Fraley &amp; Shaver, 1998) and cues of danger, such as illness. Consequently, attachment styles are predictive of how people appraise (Meredith et al., 2005) and cope (</w:t>
      </w:r>
      <w:proofErr w:type="spellStart"/>
      <w:r w:rsidRPr="00E5665B">
        <w:rPr>
          <w:lang w:val="en-US"/>
        </w:rPr>
        <w:t>Krasuska</w:t>
      </w:r>
      <w:proofErr w:type="spellEnd"/>
      <w:r w:rsidRPr="00E5665B">
        <w:rPr>
          <w:lang w:val="en-US"/>
        </w:rPr>
        <w:t xml:space="preserve"> et al., 2018) with symptoms, manage chronic conditions (</w:t>
      </w:r>
      <w:proofErr w:type="spellStart"/>
      <w:r w:rsidRPr="00E5665B">
        <w:rPr>
          <w:lang w:val="en-US"/>
        </w:rPr>
        <w:t>Ciechanowski</w:t>
      </w:r>
      <w:proofErr w:type="spellEnd"/>
      <w:r w:rsidRPr="00E5665B">
        <w:rPr>
          <w:lang w:val="en-US"/>
        </w:rPr>
        <w:t xml:space="preserve"> et al., 2004) and take preventive measures, including enacting protective health behaviors (</w:t>
      </w:r>
      <w:proofErr w:type="spellStart"/>
      <w:r w:rsidRPr="00E5665B">
        <w:rPr>
          <w:lang w:val="en-US"/>
        </w:rPr>
        <w:t>Pietromonaco</w:t>
      </w:r>
      <w:proofErr w:type="spellEnd"/>
      <w:r w:rsidRPr="00E5665B">
        <w:rPr>
          <w:lang w:val="en-US"/>
        </w:rPr>
        <w:t xml:space="preserve"> et al., 2013). Moreover, attachment styles have been found to be predictive of the capacity for prosocial behavior and empathy (</w:t>
      </w:r>
      <w:proofErr w:type="spellStart"/>
      <w:r w:rsidRPr="00E5665B">
        <w:rPr>
          <w:lang w:val="en-US"/>
        </w:rPr>
        <w:t>Boag</w:t>
      </w:r>
      <w:proofErr w:type="spellEnd"/>
      <w:r w:rsidRPr="00E5665B">
        <w:rPr>
          <w:lang w:val="en-US"/>
        </w:rPr>
        <w:t xml:space="preserve"> &amp; </w:t>
      </w:r>
      <w:proofErr w:type="spellStart"/>
      <w:r w:rsidRPr="00E5665B">
        <w:rPr>
          <w:lang w:val="en-US"/>
        </w:rPr>
        <w:t>Carnelley</w:t>
      </w:r>
      <w:proofErr w:type="spellEnd"/>
      <w:r w:rsidRPr="00E5665B">
        <w:rPr>
          <w:lang w:val="en-US"/>
        </w:rPr>
        <w:t xml:space="preserve">, 2016; </w:t>
      </w:r>
      <w:proofErr w:type="spellStart"/>
      <w:r w:rsidRPr="00E5665B">
        <w:rPr>
          <w:lang w:val="en-US"/>
        </w:rPr>
        <w:t>Mikulincer</w:t>
      </w:r>
      <w:proofErr w:type="spellEnd"/>
      <w:r w:rsidRPr="00E5665B">
        <w:rPr>
          <w:lang w:val="en-US"/>
        </w:rPr>
        <w:t xml:space="preserve"> et al., 2005). Thus, we believe that the requirement to physically and socially distance from others presents the greatest threat to the attachment system that would initiate individual coping responses to regulate this threat, driven by attachment style.</w:t>
      </w:r>
    </w:p>
    <w:p w14:paraId="1A3F0774" w14:textId="43A5867F" w:rsidR="001D1E93" w:rsidRPr="00E5665B" w:rsidRDefault="0009109C" w:rsidP="001D1E93">
      <w:pPr>
        <w:spacing w:after="160" w:line="480" w:lineRule="auto"/>
        <w:ind w:firstLine="709"/>
        <w:rPr>
          <w:lang w:val="en-US"/>
        </w:rPr>
      </w:pPr>
      <w:r>
        <w:rPr>
          <w:lang w:val="en-US"/>
        </w:rPr>
        <w:t>Therefore,</w:t>
      </w:r>
      <w:r w:rsidR="001D1E93" w:rsidRPr="00E5665B">
        <w:rPr>
          <w:lang w:val="en-US"/>
        </w:rPr>
        <w:t xml:space="preserve"> attachment style is likely to be a key predictor of the enactment of social distancing in the context of COVID-19; this is supported by some initial evidence. In a US context, earlier in the pandemic, </w:t>
      </w:r>
      <w:proofErr w:type="gramStart"/>
      <w:r w:rsidR="001D1E93" w:rsidRPr="00E5665B">
        <w:rPr>
          <w:lang w:val="en-US"/>
        </w:rPr>
        <w:t>Lozano</w:t>
      </w:r>
      <w:proofErr w:type="gramEnd"/>
      <w:r w:rsidR="001D1E93" w:rsidRPr="00E5665B">
        <w:rPr>
          <w:lang w:val="en-US"/>
        </w:rPr>
        <w:t xml:space="preserve"> and Fraley (2021) examined attachment styles as a predictor of engagement in, and reminding others about, the following protective behaviors: hand washing, social distancing, wearing face masks, refraining from touching face/mouth and disinfection of items. Attachment avoidance was negatively associated with both engagement in, and reminding others about the behaviors, and attachment anxiety was positively associated with reminding others. </w:t>
      </w:r>
      <w:proofErr w:type="spellStart"/>
      <w:r w:rsidR="001D1E93" w:rsidRPr="00E5665B">
        <w:rPr>
          <w:lang w:val="en-US"/>
        </w:rPr>
        <w:t>Brulin</w:t>
      </w:r>
      <w:proofErr w:type="spellEnd"/>
      <w:r w:rsidR="001D1E93" w:rsidRPr="00E5665B">
        <w:rPr>
          <w:lang w:val="en-US"/>
        </w:rPr>
        <w:t xml:space="preserve"> et al. (2022) examined the associations </w:t>
      </w:r>
      <w:r w:rsidR="001D1E93" w:rsidRPr="00E5665B">
        <w:rPr>
          <w:lang w:val="en-US"/>
        </w:rPr>
        <w:lastRenderedPageBreak/>
        <w:t>between attachment and adherence to the COVID-19 regulations in Sweden. Both attachment anxiety and avoidance were associated with nonadherence to authorities’ guidelines, such as social distancing and hand washing. While these findings are consistent with attachment theory and are a first attempt to apply and explore attachment to the COVID-19 context, much work remains to be done to delineate the ways in which individual differences in attachment style affect people’s coping and adherence to social distancing behaviors in the pandemic.</w:t>
      </w:r>
    </w:p>
    <w:p w14:paraId="7F0DB0A6" w14:textId="77777777" w:rsidR="001D1E93" w:rsidRPr="00E5665B" w:rsidRDefault="001D1E93" w:rsidP="00E22A59">
      <w:pPr>
        <w:spacing w:line="480" w:lineRule="auto"/>
        <w:jc w:val="center"/>
      </w:pPr>
      <w:r w:rsidRPr="00E5665B">
        <w:rPr>
          <w:b/>
          <w:bCs/>
          <w:color w:val="000000"/>
        </w:rPr>
        <w:t>Toward Causality in the Present Research</w:t>
      </w:r>
    </w:p>
    <w:p w14:paraId="4B3EC365" w14:textId="3E886CD4" w:rsidR="001D1E93" w:rsidRPr="00E5665B" w:rsidRDefault="001D1E93" w:rsidP="001D1E93">
      <w:pPr>
        <w:spacing w:after="160" w:line="480" w:lineRule="auto"/>
        <w:ind w:firstLine="709"/>
        <w:rPr>
          <w:lang w:val="en-US"/>
        </w:rPr>
      </w:pPr>
      <w:r w:rsidRPr="00E5665B">
        <w:rPr>
          <w:lang w:val="en-US"/>
        </w:rPr>
        <w:t xml:space="preserve">Prior research evidence is derived from non-experimental studies and their authors have understandably refrained from making causal claims about the association between attachment styles, mental </w:t>
      </w:r>
      <w:proofErr w:type="gramStart"/>
      <w:r w:rsidRPr="00E5665B">
        <w:rPr>
          <w:lang w:val="en-US"/>
        </w:rPr>
        <w:t>health</w:t>
      </w:r>
      <w:proofErr w:type="gramEnd"/>
      <w:r w:rsidRPr="00E5665B">
        <w:rPr>
          <w:lang w:val="en-US"/>
        </w:rPr>
        <w:t xml:space="preserve"> and adherence to health guidance. The well-known phrase “correlation is not causation” cautions researchers in the social and health sciences (Hernan, 2018) to be mindful about the scope and confidence of their conclusions when interpreting results obtained from non-experimental and cross-sectional studies. Well-intentioned caution in this regard often means that cross-sectional data is assumed to tell us nothing about causality. However, recently, several researchers have argued that reluctance to make causal inferences does little to make the interpretations more reliable (Grosz et al., 2020; Hernan, 2018; Rohrer, 2018; Vowels, 2021). It instead results in a conflation of causal and correlational language, a lack of transparency concerning the (causal) assumptions underlying the research, and a reluctance to adopt robust statistical techniques for improving the validity of our analyses (Grosz et al., 2020; Rohrer, 2018; Vowels, 2021). Indeed, such techniques do </w:t>
      </w:r>
      <w:r w:rsidR="00E22A59" w:rsidRPr="00E5665B">
        <w:rPr>
          <w:lang w:val="en-US"/>
        </w:rPr>
        <w:t>exist,</w:t>
      </w:r>
      <w:r w:rsidRPr="00E5665B">
        <w:rPr>
          <w:lang w:val="en-US"/>
        </w:rPr>
        <w:t xml:space="preserve"> and a vast array of statistical developments can be applied to the estimation of causal quantities from observational data (</w:t>
      </w:r>
      <w:proofErr w:type="spellStart"/>
      <w:r w:rsidRPr="00E5665B">
        <w:rPr>
          <w:lang w:val="en-US"/>
        </w:rPr>
        <w:t>Imbens</w:t>
      </w:r>
      <w:proofErr w:type="spellEnd"/>
      <w:r w:rsidRPr="00E5665B">
        <w:rPr>
          <w:lang w:val="en-US"/>
        </w:rPr>
        <w:t xml:space="preserve"> et al., 2015; Pearl, 2009). Furthermore, there exist techniques for estimation of causal quantities given an assumed structure</w:t>
      </w:r>
      <w:r w:rsidR="0009109C">
        <w:rPr>
          <w:lang w:val="en-US"/>
        </w:rPr>
        <w:t xml:space="preserve"> (</w:t>
      </w:r>
      <w:r w:rsidRPr="00E5665B">
        <w:rPr>
          <w:lang w:val="en-US"/>
        </w:rPr>
        <w:t>a process known as causal inference</w:t>
      </w:r>
      <w:r w:rsidR="0009109C">
        <w:rPr>
          <w:lang w:val="en-US"/>
        </w:rPr>
        <w:t xml:space="preserve">; </w:t>
      </w:r>
      <w:r w:rsidRPr="00E5665B">
        <w:rPr>
          <w:lang w:val="en-US"/>
        </w:rPr>
        <w:t xml:space="preserve">Pearl 2009; Tian &amp; Pearl, 2002; van der </w:t>
      </w:r>
      <w:proofErr w:type="spellStart"/>
      <w:r w:rsidRPr="00E5665B">
        <w:rPr>
          <w:lang w:val="en-US"/>
        </w:rPr>
        <w:t>Laan</w:t>
      </w:r>
      <w:proofErr w:type="spellEnd"/>
      <w:r w:rsidRPr="00E5665B">
        <w:rPr>
          <w:lang w:val="en-US"/>
        </w:rPr>
        <w:t xml:space="preserve"> &amp; Rose, 2011) as well as </w:t>
      </w:r>
      <w:r w:rsidRPr="00E5665B">
        <w:rPr>
          <w:lang w:val="en-US"/>
        </w:rPr>
        <w:lastRenderedPageBreak/>
        <w:t xml:space="preserve">techniques for estimating the structure itself </w:t>
      </w:r>
      <w:r w:rsidR="0009109C">
        <w:rPr>
          <w:lang w:val="en-US"/>
        </w:rPr>
        <w:t>(</w:t>
      </w:r>
      <w:r w:rsidRPr="00E5665B">
        <w:rPr>
          <w:lang w:val="en-US"/>
        </w:rPr>
        <w:t>a process known as causal discovery</w:t>
      </w:r>
      <w:r w:rsidR="0009109C">
        <w:rPr>
          <w:lang w:val="en-US"/>
        </w:rPr>
        <w:t>;</w:t>
      </w:r>
      <w:r w:rsidRPr="00E5665B">
        <w:rPr>
          <w:lang w:val="en-US"/>
        </w:rPr>
        <w:t xml:space="preserve"> </w:t>
      </w:r>
      <w:proofErr w:type="spellStart"/>
      <w:r w:rsidRPr="00E5665B">
        <w:rPr>
          <w:lang w:val="en-US"/>
        </w:rPr>
        <w:t>Glymour</w:t>
      </w:r>
      <w:proofErr w:type="spellEnd"/>
      <w:r w:rsidRPr="00E5665B">
        <w:rPr>
          <w:lang w:val="en-US"/>
        </w:rPr>
        <w:t xml:space="preserve"> et al., 2019; Vowels et al., 2022).</w:t>
      </w:r>
    </w:p>
    <w:p w14:paraId="41DAD388" w14:textId="6A93973D" w:rsidR="001D1E93" w:rsidRPr="00E5665B" w:rsidRDefault="001D1E93" w:rsidP="001D1E93">
      <w:pPr>
        <w:spacing w:after="160" w:line="480" w:lineRule="auto"/>
        <w:ind w:firstLine="709"/>
        <w:contextualSpacing/>
        <w:rPr>
          <w:lang w:val="en-US"/>
        </w:rPr>
      </w:pPr>
      <w:r w:rsidRPr="00E5665B">
        <w:rPr>
          <w:lang w:val="en-US"/>
        </w:rPr>
        <w:t xml:space="preserve">Researchers in the field of causal discovery warn against interpreting the output of such algorithms too literally, and thus they should be used to inform theory rather than overrule it (Vowels et al., 2021; 2022). These methods nonetheless provide a means to validate certain aspects of theories, to explore data for possible causal structures and thus to help us specify models that reflect the discovered </w:t>
      </w:r>
      <w:r w:rsidR="00E22A59" w:rsidRPr="00E5665B">
        <w:rPr>
          <w:lang w:val="en-US"/>
        </w:rPr>
        <w:t>structure,</w:t>
      </w:r>
      <w:r w:rsidRPr="00E5665B">
        <w:rPr>
          <w:lang w:val="en-US"/>
        </w:rPr>
        <w:t xml:space="preserve"> and which can then be used to test hypotheses. In this work, we take advantage of recent progress in the domain of causal discovery, by using a state-of-the-art causal discovery algorithm known as Structural Agnostic Modeling (SAM; </w:t>
      </w:r>
      <w:proofErr w:type="spellStart"/>
      <w:r w:rsidRPr="00E5665B">
        <w:rPr>
          <w:lang w:val="en-US"/>
        </w:rPr>
        <w:t>Kalainathan</w:t>
      </w:r>
      <w:proofErr w:type="spellEnd"/>
      <w:r w:rsidRPr="00E5665B">
        <w:rPr>
          <w:lang w:val="en-US"/>
        </w:rPr>
        <w:t xml:space="preserve"> et al., 2020). Our aim was to develop a causal theoretical model between individual differences in attachment styles (i.e., secure, anxious, avoidant), social distancing behaviors (i.e., adherence to government guidelines) and mental health outcomes (i.e., loneliness, depression, anxiety). We then aimed to quantify the causal estimates using a targeted learning approach (van der </w:t>
      </w:r>
      <w:proofErr w:type="spellStart"/>
      <w:r w:rsidRPr="00E5665B">
        <w:rPr>
          <w:lang w:val="en-US"/>
        </w:rPr>
        <w:t>Laan</w:t>
      </w:r>
      <w:proofErr w:type="spellEnd"/>
      <w:r w:rsidRPr="00E5665B">
        <w:rPr>
          <w:lang w:val="en-US"/>
        </w:rPr>
        <w:t xml:space="preserve"> &amp; Rose, 2011) which sits at the intersection of machine learning and causality. Targeted learning allowed us to estimate the relationships between two target variables (i.e., the causal relationship between attachment anxiety and depression) without making assumptions about the functional form of that relationship (e.g., linear/non-linear).</w:t>
      </w:r>
    </w:p>
    <w:p w14:paraId="02F1DA15" w14:textId="77777777" w:rsidR="001D1E93" w:rsidRPr="00E5665B" w:rsidRDefault="001D1E93" w:rsidP="00E22A59">
      <w:pPr>
        <w:spacing w:line="480" w:lineRule="auto"/>
        <w:contextualSpacing/>
        <w:jc w:val="center"/>
      </w:pPr>
      <w:r w:rsidRPr="00E5665B">
        <w:rPr>
          <w:b/>
          <w:bCs/>
          <w:color w:val="000000"/>
        </w:rPr>
        <w:t>The Current Research</w:t>
      </w:r>
    </w:p>
    <w:p w14:paraId="13480AA8" w14:textId="1C8B104C" w:rsidR="001D1E93" w:rsidRPr="00E5665B" w:rsidRDefault="001D1E93" w:rsidP="001D1E93">
      <w:pPr>
        <w:spacing w:after="160" w:line="480" w:lineRule="auto"/>
        <w:ind w:firstLine="709"/>
        <w:contextualSpacing/>
        <w:rPr>
          <w:lang w:val="en-US"/>
        </w:rPr>
      </w:pPr>
      <w:r w:rsidRPr="00E5665B">
        <w:rPr>
          <w:lang w:val="en-US"/>
        </w:rPr>
        <w:t xml:space="preserve">We hypothesized that those with an insecure attachment style would report greater loneliness, anxiety, and depression compared to those with a secure attachment style; especially so for those with an anxious or fearful attachment style. </w:t>
      </w:r>
      <w:r w:rsidR="00601B67">
        <w:rPr>
          <w:lang w:val="en-US"/>
        </w:rPr>
        <w:t>Furthermore,</w:t>
      </w:r>
      <w:r w:rsidRPr="00E5665B">
        <w:rPr>
          <w:lang w:val="en-US"/>
        </w:rPr>
        <w:t xml:space="preserve"> we expected secure individuals to better adhere to social isolation/physical distancing than those with an insecure attachment style. Taking data from two different time points, we also examine the effects of attachment styles on depression and anxiety over time. We examine these </w:t>
      </w:r>
      <w:r w:rsidRPr="00E5665B">
        <w:rPr>
          <w:lang w:val="en-US"/>
        </w:rPr>
        <w:lastRenderedPageBreak/>
        <w:t xml:space="preserve">hypotheses in a secondary analysis of data from two waves of the COVID-19 Psychological Research Consortium Study (C19PRCS), </w:t>
      </w:r>
      <w:r w:rsidRPr="00E5665B">
        <w:rPr>
          <w:color w:val="212529"/>
          <w:shd w:val="clear" w:color="auto" w:fill="FFFFFF"/>
        </w:rPr>
        <w:t xml:space="preserve">a longitudinal survey tracking changes in </w:t>
      </w:r>
      <w:proofErr w:type="spellStart"/>
      <w:r w:rsidRPr="00E5665B">
        <w:rPr>
          <w:color w:val="212529"/>
          <w:shd w:val="clear" w:color="auto" w:fill="FFFFFF"/>
        </w:rPr>
        <w:t>behavior</w:t>
      </w:r>
      <w:proofErr w:type="spellEnd"/>
      <w:r w:rsidRPr="00E5665B">
        <w:rPr>
          <w:color w:val="212529"/>
          <w:shd w:val="clear" w:color="auto" w:fill="FFFFFF"/>
        </w:rPr>
        <w:t xml:space="preserve"> and mental health over the pandemic in</w:t>
      </w:r>
      <w:r w:rsidRPr="00E5665B">
        <w:rPr>
          <w:lang w:val="en-US"/>
        </w:rPr>
        <w:t xml:space="preserve"> a large nationally representative UK sample of adults.</w:t>
      </w:r>
    </w:p>
    <w:p w14:paraId="4DCD9D42" w14:textId="77777777" w:rsidR="001D1E93" w:rsidRPr="00E5665B" w:rsidRDefault="001D1E93" w:rsidP="00E22A59">
      <w:pPr>
        <w:spacing w:after="160" w:line="480" w:lineRule="auto"/>
        <w:contextualSpacing/>
        <w:jc w:val="center"/>
        <w:rPr>
          <w:lang w:val="en-US"/>
        </w:rPr>
      </w:pPr>
      <w:r w:rsidRPr="00E5665B">
        <w:rPr>
          <w:b/>
          <w:lang w:val="en-US"/>
        </w:rPr>
        <w:t>Method</w:t>
      </w:r>
    </w:p>
    <w:p w14:paraId="6416CFBB" w14:textId="77777777" w:rsidR="001D1E93" w:rsidRPr="00E5665B" w:rsidRDefault="001D1E93" w:rsidP="00E22A59">
      <w:pPr>
        <w:spacing w:after="160" w:line="480" w:lineRule="auto"/>
        <w:contextualSpacing/>
        <w:rPr>
          <w:lang w:val="en-US"/>
        </w:rPr>
      </w:pPr>
      <w:r w:rsidRPr="00E5665B">
        <w:rPr>
          <w:b/>
          <w:lang w:val="en-US"/>
        </w:rPr>
        <w:t>Participants and Procedure</w:t>
      </w:r>
    </w:p>
    <w:p w14:paraId="5A2C2235" w14:textId="1DFD044F" w:rsidR="001D1E93" w:rsidRPr="00E5665B" w:rsidRDefault="001D1E93" w:rsidP="001D1E93">
      <w:pPr>
        <w:spacing w:after="160" w:line="480" w:lineRule="auto"/>
        <w:ind w:firstLine="709"/>
        <w:contextualSpacing/>
        <w:rPr>
          <w:lang w:val="en-US"/>
        </w:rPr>
      </w:pPr>
      <w:r w:rsidRPr="00E5665B">
        <w:rPr>
          <w:lang w:val="en-US"/>
        </w:rPr>
        <w:t>We conducted a secondary analysis of UK data collected in waves two and three of the longitudinal, internet-based survey COVID-19 Psychological Research Consortium Study (C19PRCS). A detailed methodological account of the C19PRCS is available elsewhere (McBride et al., 202</w:t>
      </w:r>
      <w:r w:rsidR="00012AD9">
        <w:rPr>
          <w:lang w:val="en-US"/>
        </w:rPr>
        <w:t>1</w:t>
      </w:r>
      <w:r w:rsidRPr="00E5665B">
        <w:rPr>
          <w:lang w:val="en-US"/>
        </w:rPr>
        <w:t xml:space="preserve">) and the data is publicly available on the OSF </w:t>
      </w:r>
      <w:r w:rsidR="0035583A">
        <w:rPr>
          <w:lang w:val="en-US"/>
        </w:rPr>
        <w:t xml:space="preserve">[blinded for peer-review]. </w:t>
      </w:r>
      <w:r w:rsidRPr="00E5665B">
        <w:rPr>
          <w:lang w:val="en-US"/>
        </w:rPr>
        <w:t>Briefly, UK fieldwork of the C19PRC Study was conducted between April/May 2020 for Wave 2 and July/August 2020 for Wave 3. During Wave 2, strict social distancing measures were in place whereas during Wave 3, many of the measures had been lifted for the summer and restaurants and pubs were open and two households were allowed to meet indoors. Quota sampling was used to recruit a panel of adults who were nationally representative of the UK population in terms of age, sex, and household income. Participants were aged 18 years or older at the time of the survey, must have been able to complete the survey in English, and resident in the UK. Consenting adults completed the survey online and were reimbursed by Qualtrics for their time. Ethical approval for this research was provided by a UK University Psychology department (Reference number: 033759). At Wave 2, 1406 participants participated in the survey, but some people did not report on their attachment styles and were thus removed from the analyses. The final sample consisted of 1325 individuals in the cross-sectional analyses and 950 in the longitudinal analyses. The full demographic variables can be found in Table 1.</w:t>
      </w:r>
      <w:r w:rsidR="007F3AB4">
        <w:rPr>
          <w:lang w:val="en-US"/>
        </w:rPr>
        <w:t xml:space="preserve"> This study was not preregistered.</w:t>
      </w:r>
    </w:p>
    <w:p w14:paraId="6A292CF5" w14:textId="77777777" w:rsidR="001D1E93" w:rsidRPr="00E5665B" w:rsidRDefault="001D1E93" w:rsidP="00E22A59">
      <w:pPr>
        <w:spacing w:after="160" w:line="480" w:lineRule="auto"/>
        <w:rPr>
          <w:lang w:val="en-US"/>
        </w:rPr>
      </w:pPr>
      <w:r w:rsidRPr="00E5665B">
        <w:rPr>
          <w:b/>
          <w:lang w:val="en-US"/>
        </w:rPr>
        <w:t>Measures</w:t>
      </w:r>
    </w:p>
    <w:p w14:paraId="48AEADD0" w14:textId="6EB08C81" w:rsidR="001D1E93" w:rsidRPr="00E5665B" w:rsidRDefault="00601B67" w:rsidP="001D1E93">
      <w:pPr>
        <w:spacing w:after="160" w:line="480" w:lineRule="auto"/>
        <w:ind w:firstLine="709"/>
        <w:rPr>
          <w:highlight w:val="white"/>
          <w:lang w:val="en-US"/>
        </w:rPr>
      </w:pPr>
      <w:r>
        <w:rPr>
          <w:lang w:val="en-US"/>
        </w:rPr>
        <w:lastRenderedPageBreak/>
        <w:t>Due to the space limitations, a detailed description of all variables can be found in Supplemental material.</w:t>
      </w:r>
      <w:r>
        <w:rPr>
          <w:lang w:val="en-US"/>
        </w:rPr>
        <w:t xml:space="preserve"> </w:t>
      </w:r>
      <w:r w:rsidR="001D1E93" w:rsidRPr="00E5665B">
        <w:rPr>
          <w:lang w:val="en-US"/>
        </w:rPr>
        <w:t xml:space="preserve">Attachment style was measured using the Relationships Questionnaire (Bartholomew &amp; Horowitz, 1991) </w:t>
      </w:r>
      <w:r w:rsidR="001D1E93">
        <w:rPr>
          <w:lang w:val="en-US"/>
        </w:rPr>
        <w:t xml:space="preserve">which is a categorical measure of the four attachment styles: secure, anxious, avoidant, and fearful avoidant. </w:t>
      </w:r>
      <w:r w:rsidR="001D1E93" w:rsidRPr="00E5665B">
        <w:rPr>
          <w:lang w:val="en-US"/>
        </w:rPr>
        <w:t>Social distancing practices, in accordance with government guidelines during the first UK lockdown, were assessed using a list of 16 statements with respect to the past week</w:t>
      </w:r>
      <w:r w:rsidR="001D1E93">
        <w:rPr>
          <w:lang w:val="en-US"/>
        </w:rPr>
        <w:t xml:space="preserve">. </w:t>
      </w:r>
      <w:r w:rsidR="001D1E93" w:rsidRPr="00E5665B">
        <w:rPr>
          <w:lang w:val="en-US"/>
        </w:rPr>
        <w:t>Generalized Anxiety Disorder Scale (GAD-7; Spitzer et al., 2006)</w:t>
      </w:r>
      <w:r w:rsidR="001D1E93">
        <w:rPr>
          <w:lang w:val="en-US"/>
        </w:rPr>
        <w:t xml:space="preserve"> was used to measure generalized anxiety and t</w:t>
      </w:r>
      <w:r w:rsidR="001D1E93" w:rsidRPr="00E5665B">
        <w:rPr>
          <w:lang w:val="en-US"/>
        </w:rPr>
        <w:t>he Patient Health Questionnaire PHQ-9: Kroenke et al., 2002)</w:t>
      </w:r>
      <w:r w:rsidR="001D1E93">
        <w:rPr>
          <w:lang w:val="en-US"/>
        </w:rPr>
        <w:t xml:space="preserve"> depression</w:t>
      </w:r>
      <w:r w:rsidR="001D1E93" w:rsidRPr="00E5665B">
        <w:rPr>
          <w:lang w:val="en-US"/>
        </w:rPr>
        <w:t>. Loneliness was measured using a 3-item Loneliness Scale (Hughes et al., 2004). We also included a set of variables</w:t>
      </w:r>
      <w:r>
        <w:rPr>
          <w:lang w:val="en-US"/>
        </w:rPr>
        <w:t xml:space="preserve"> discussed among the study authors and determined to be</w:t>
      </w:r>
      <w:r w:rsidR="001D1E93" w:rsidRPr="00E5665B">
        <w:rPr>
          <w:lang w:val="en-US"/>
        </w:rPr>
        <w:t xml:space="preserve"> theoretically causally related to the central variables in the study that we controlled for in the models. These variables include demographics, COVID-19 related anxiety and perceived one month risk, and hygiene practices</w:t>
      </w:r>
      <w:r w:rsidR="001D1E93">
        <w:rPr>
          <w:lang w:val="en-US"/>
        </w:rPr>
        <w:t xml:space="preserve">. </w:t>
      </w:r>
    </w:p>
    <w:p w14:paraId="704ED33C" w14:textId="77777777" w:rsidR="001D1E93" w:rsidRPr="00E5665B" w:rsidRDefault="001D1E93" w:rsidP="00E22A59">
      <w:pPr>
        <w:spacing w:after="160" w:line="480" w:lineRule="auto"/>
        <w:contextualSpacing/>
        <w:rPr>
          <w:b/>
          <w:lang w:val="en-US"/>
        </w:rPr>
      </w:pPr>
      <w:r w:rsidRPr="00E5665B">
        <w:rPr>
          <w:b/>
          <w:lang w:val="en-US"/>
        </w:rPr>
        <w:t>Data Analysis</w:t>
      </w:r>
    </w:p>
    <w:p w14:paraId="1B0A9A5D" w14:textId="77777777" w:rsidR="001D1E93" w:rsidRPr="00E5665B" w:rsidRDefault="001D1E93" w:rsidP="001D1E93">
      <w:pPr>
        <w:spacing w:after="160" w:line="480" w:lineRule="auto"/>
        <w:ind w:firstLine="709"/>
        <w:contextualSpacing/>
        <w:rPr>
          <w:lang w:val="en-US"/>
        </w:rPr>
      </w:pPr>
      <w:r w:rsidRPr="00E5665B">
        <w:rPr>
          <w:lang w:val="en-US"/>
        </w:rPr>
        <w:t xml:space="preserve">We used a state-of-the-art causal discovery algorithm known as Structural Agnostic Modeling (SAM; </w:t>
      </w:r>
      <w:proofErr w:type="spellStart"/>
      <w:r w:rsidRPr="00E5665B">
        <w:rPr>
          <w:lang w:val="en-US"/>
        </w:rPr>
        <w:t>Kalainathan</w:t>
      </w:r>
      <w:proofErr w:type="spellEnd"/>
      <w:r w:rsidRPr="00E5665B">
        <w:rPr>
          <w:lang w:val="en-US"/>
        </w:rPr>
        <w:t xml:space="preserve"> et al., 2020)</w:t>
      </w:r>
      <w:r>
        <w:rPr>
          <w:lang w:val="en-US"/>
        </w:rPr>
        <w:t xml:space="preserve"> </w:t>
      </w:r>
      <w:r w:rsidRPr="00E5665B">
        <w:rPr>
          <w:lang w:val="en-US"/>
        </w:rPr>
        <w:t>to infer the cross-sectional structure for Wave 2 (17 variables and 1325 participants)</w:t>
      </w:r>
      <w:r>
        <w:rPr>
          <w:lang w:val="en-US"/>
        </w:rPr>
        <w:t xml:space="preserve"> and </w:t>
      </w:r>
      <w:r w:rsidRPr="00E5665B">
        <w:rPr>
          <w:lang w:val="en-US"/>
        </w:rPr>
        <w:t>the longitudinal structure across Wave 2 and Wave 3 (19 variables from 895 participants). We included all variables that were expected to be causally linked to the main variables of interest and thus affect the estimation of the causal relationships. We applied a constraint preventing the discovery of causal effects backwards in time, as well as constraints preventing causal links between certain demographics: age and gender cannot be effects; change in income was measured as the change between Waves 1 and 2 and thus was prevented from affecting all demographic variables. </w:t>
      </w:r>
      <w:r>
        <w:rPr>
          <w:lang w:val="en-US"/>
        </w:rPr>
        <w:t xml:space="preserve">We then </w:t>
      </w:r>
      <w:r w:rsidRPr="00E5665B">
        <w:rPr>
          <w:lang w:val="en-US"/>
        </w:rPr>
        <w:t xml:space="preserve">used a state-of-the-art method at the intersection of machine learning and causality known as targeted learning (van der </w:t>
      </w:r>
      <w:proofErr w:type="spellStart"/>
      <w:r w:rsidRPr="00E5665B">
        <w:rPr>
          <w:lang w:val="en-US"/>
        </w:rPr>
        <w:t>Laan</w:t>
      </w:r>
      <w:proofErr w:type="spellEnd"/>
      <w:r w:rsidRPr="00E5665B">
        <w:rPr>
          <w:lang w:val="en-US"/>
        </w:rPr>
        <w:t xml:space="preserve"> &amp; Rose, 2011)</w:t>
      </w:r>
      <w:r>
        <w:rPr>
          <w:lang w:val="en-US"/>
        </w:rPr>
        <w:t xml:space="preserve"> to estimate the specific effect of attachment styles on </w:t>
      </w:r>
      <w:r>
        <w:rPr>
          <w:lang w:val="en-US"/>
        </w:rPr>
        <w:lastRenderedPageBreak/>
        <w:t>social distancing behaviors and mental health outcomes. Details of the data analysis can be found in Supplemental material.</w:t>
      </w:r>
    </w:p>
    <w:p w14:paraId="00D0951D" w14:textId="77777777" w:rsidR="001D1E93" w:rsidRPr="00E5665B" w:rsidRDefault="001D1E93" w:rsidP="00E22A59">
      <w:pPr>
        <w:spacing w:after="160" w:line="480" w:lineRule="auto"/>
        <w:contextualSpacing/>
        <w:jc w:val="center"/>
        <w:rPr>
          <w:lang w:val="en-US"/>
        </w:rPr>
      </w:pPr>
      <w:r w:rsidRPr="00E5665B">
        <w:rPr>
          <w:b/>
          <w:lang w:val="en-US"/>
        </w:rPr>
        <w:t>Results</w:t>
      </w:r>
    </w:p>
    <w:p w14:paraId="5CF53D45" w14:textId="77777777" w:rsidR="001D1E93" w:rsidRPr="00E5665B" w:rsidRDefault="001D1E93" w:rsidP="001D1E93">
      <w:pPr>
        <w:spacing w:after="160" w:line="480" w:lineRule="auto"/>
        <w:ind w:firstLine="709"/>
        <w:contextualSpacing/>
        <w:rPr>
          <w:lang w:val="en-US"/>
        </w:rPr>
      </w:pPr>
      <w:r w:rsidRPr="00E5665B">
        <w:rPr>
          <w:lang w:val="en-US"/>
        </w:rPr>
        <w:t>Table 1 presents the means and standard deviations as well as the bivariate correlations between the main study variables. The number of people identifying as secure (</w:t>
      </w:r>
      <w:r w:rsidRPr="00E5665B">
        <w:rPr>
          <w:i/>
          <w:lang w:val="en-US"/>
        </w:rPr>
        <w:t>n</w:t>
      </w:r>
      <w:r w:rsidRPr="00E5665B">
        <w:rPr>
          <w:lang w:val="en-US"/>
        </w:rPr>
        <w:t xml:space="preserve"> = 441), avoidant (</w:t>
      </w:r>
      <w:r w:rsidRPr="00E5665B">
        <w:rPr>
          <w:i/>
          <w:lang w:val="en-US"/>
        </w:rPr>
        <w:t>n</w:t>
      </w:r>
      <w:r w:rsidRPr="00E5665B">
        <w:rPr>
          <w:lang w:val="en-US"/>
        </w:rPr>
        <w:t xml:space="preserve"> = 392), and anxious (</w:t>
      </w:r>
      <w:r w:rsidRPr="00E5665B">
        <w:rPr>
          <w:i/>
          <w:lang w:val="en-US"/>
        </w:rPr>
        <w:t>n</w:t>
      </w:r>
      <w:r w:rsidRPr="00E5665B">
        <w:rPr>
          <w:lang w:val="en-US"/>
        </w:rPr>
        <w:t xml:space="preserve"> = 367) were comparable, with fewer people identifying as fearful avoidant (</w:t>
      </w:r>
      <w:r w:rsidRPr="00E5665B">
        <w:rPr>
          <w:i/>
          <w:lang w:val="en-US"/>
        </w:rPr>
        <w:t>n</w:t>
      </w:r>
      <w:r w:rsidRPr="00E5665B">
        <w:rPr>
          <w:lang w:val="en-US"/>
        </w:rPr>
        <w:t xml:space="preserve"> = 124).</w:t>
      </w:r>
    </w:p>
    <w:p w14:paraId="473C61B3" w14:textId="77777777" w:rsidR="001D1E93" w:rsidRPr="00E5665B" w:rsidRDefault="001D1E93" w:rsidP="00E22A59">
      <w:pPr>
        <w:spacing w:after="160" w:line="480" w:lineRule="auto"/>
        <w:rPr>
          <w:lang w:val="en-US"/>
        </w:rPr>
      </w:pPr>
      <w:r w:rsidRPr="00E5665B">
        <w:rPr>
          <w:b/>
          <w:lang w:val="en-US"/>
        </w:rPr>
        <w:t>Cross-Sectional Model (Wave 2)</w:t>
      </w:r>
    </w:p>
    <w:p w14:paraId="727CE8F7" w14:textId="7AA60567" w:rsidR="001D1E93" w:rsidRPr="00E5665B" w:rsidRDefault="001D1E93" w:rsidP="001D1E93">
      <w:pPr>
        <w:spacing w:after="160" w:line="480" w:lineRule="auto"/>
        <w:ind w:firstLine="709"/>
        <w:rPr>
          <w:lang w:val="en-US"/>
        </w:rPr>
      </w:pPr>
      <w:r w:rsidRPr="00E5665B">
        <w:rPr>
          <w:lang w:val="en-US"/>
        </w:rPr>
        <w:t>The graphical illustration of the results from the causal discovery algorithm can be found in Figure 1 for the cross-sectional data and Figure 2 for the longitudinal data. The full adjacency matrices with all causal paths can be found in the Supplemental Material Figures S</w:t>
      </w:r>
      <w:r w:rsidR="00316A22">
        <w:rPr>
          <w:lang w:val="en-US"/>
        </w:rPr>
        <w:t>2</w:t>
      </w:r>
      <w:r w:rsidRPr="00E5665B">
        <w:rPr>
          <w:lang w:val="en-US"/>
        </w:rPr>
        <w:t xml:space="preserve"> and S</w:t>
      </w:r>
      <w:r w:rsidR="00316A22">
        <w:rPr>
          <w:lang w:val="en-US"/>
        </w:rPr>
        <w:t>3</w:t>
      </w:r>
      <w:r w:rsidRPr="00E5665B">
        <w:rPr>
          <w:lang w:val="en-US"/>
        </w:rPr>
        <w:t>. The directed causal relationships between the cause and effect with a confidence score of at least 0.5 (where this score ranges between 0 and 1) have been included in the graphs. We can see from Figure 1 that the only putative cause for attachment styles is participants’ gender whereas attachment styles cause relationship status, anxiety, depression, loneliness, and social distancing behaviors. Loneliness was identified as a mediator between attachment styles and anxiety, depression, and social distancing behaviors. We have highlighted the theoretically relevant relationships in bold but have also included the required control variables in Figure 1. Precision variables are included in grey as they are not necessary to produce an unbiased estimate but can make the standard errors tighter because they explain variance in the outcome variables.</w:t>
      </w:r>
    </w:p>
    <w:p w14:paraId="3D023CDF" w14:textId="77777777" w:rsidR="001D1E93" w:rsidRPr="00E5665B" w:rsidRDefault="001D1E93" w:rsidP="001D1E93">
      <w:pPr>
        <w:spacing w:after="160" w:line="480" w:lineRule="auto"/>
        <w:ind w:firstLine="709"/>
        <w:rPr>
          <w:lang w:val="en-US"/>
        </w:rPr>
      </w:pPr>
      <w:r w:rsidRPr="00E5665B">
        <w:rPr>
          <w:lang w:val="en-US"/>
        </w:rPr>
        <w:t>The algorithm does not provide the direction or the size of the effects and thus we used targeted learning to estimate the causal effects between attachment styles and each of the outcome variables. For the targeted learning, we used only the control variables that were essential in providing accurate causal estimates in line with what are known as the d-</w:t>
      </w:r>
      <w:r w:rsidRPr="00E5665B">
        <w:rPr>
          <w:lang w:val="en-US"/>
        </w:rPr>
        <w:lastRenderedPageBreak/>
        <w:t>separation rules for causal graphs, and precision variables that can help provide tighter estimates of the effect (i.e., smaller standard errors) (Cinelli et al., 2022). Thus, our set of control variables consisted of gender as a confounding variable and age, chronic illness, number of children in the household, adults in the household, change in income, keyworker status, one month risk, COVID-19 anxiety, and pregnancy as precision variables for all outcomes except for loneliness. For loneliness, we used gender as a control variable but only change in income, keyworker status, one month risk, COVID-19 anxiety, and chronic illness as precision variables.</w:t>
      </w:r>
    </w:p>
    <w:p w14:paraId="19E61BA5" w14:textId="77777777" w:rsidR="001D1E93" w:rsidRPr="00E5665B" w:rsidRDefault="001D1E93" w:rsidP="001D1E93">
      <w:pPr>
        <w:spacing w:after="160" w:line="480" w:lineRule="auto"/>
        <w:ind w:firstLine="709"/>
      </w:pPr>
      <w:r w:rsidRPr="00E5665B">
        <w:rPr>
          <w:lang w:val="en-US"/>
        </w:rPr>
        <w:t xml:space="preserve">Table 3 shows both the naive estimates as well as the estimates following the targeted learning steps. The naive estimates are essentially the correlations between the two variables without any control variables. We only describe the targeted learning results below. We use </w:t>
      </w:r>
      <w:r w:rsidRPr="00E5665B">
        <w:rPr>
          <w:lang w:val="en-US"/>
        </w:rPr>
        <w:sym w:font="Symbol" w:char="F079"/>
      </w:r>
      <w:r w:rsidRPr="00E5665B">
        <w:rPr>
          <w:lang w:val="en-US"/>
        </w:rPr>
        <w:t xml:space="preserve">* to denote the targeted learning estimates within the text. The estimates are scaled to be between -1 and +1 so an estimate can be understood in terms of percentages. For example, a </w:t>
      </w:r>
      <w:r w:rsidRPr="00E5665B">
        <w:rPr>
          <w:lang w:val="en-US"/>
        </w:rPr>
        <w:sym w:font="Symbol" w:char="F079"/>
      </w:r>
      <w:r w:rsidRPr="00E5665B">
        <w:rPr>
          <w:lang w:val="en-US"/>
        </w:rPr>
        <w:t xml:space="preserve">* = .10 means a 10% difference in the outcome between two groups. </w:t>
      </w:r>
      <w:r w:rsidRPr="00E5665B">
        <w:t xml:space="preserve">Note that we have opted to maintain a correlational language given that it makes the description of the results </w:t>
      </w:r>
      <w:proofErr w:type="gramStart"/>
      <w:r w:rsidRPr="00E5665B">
        <w:t>easier</w:t>
      </w:r>
      <w:proofErr w:type="gramEnd"/>
      <w:r w:rsidRPr="00E5665B">
        <w:t xml:space="preserve"> and readers are more used to interpreting this type of language. Thus, while the language used below is not explicitly causal, we are nonetheless intending for these quantities to be interpreted causally as a change in attachment style </w:t>
      </w:r>
      <w:r w:rsidRPr="00E5665B">
        <w:rPr>
          <w:i/>
          <w:iCs/>
        </w:rPr>
        <w:t>causing</w:t>
      </w:r>
      <w:r w:rsidRPr="00E5665B">
        <w:t xml:space="preserve"> a corresponding change in the outcome.</w:t>
      </w:r>
    </w:p>
    <w:p w14:paraId="2BBF3A3F" w14:textId="77777777" w:rsidR="001D1E93" w:rsidRPr="00E5665B" w:rsidRDefault="001D1E93" w:rsidP="001D1E93">
      <w:pPr>
        <w:spacing w:after="160" w:line="480" w:lineRule="auto"/>
        <w:ind w:firstLine="709"/>
        <w:rPr>
          <w:lang w:val="en-US"/>
        </w:rPr>
      </w:pPr>
      <w:r w:rsidRPr="00E5665B">
        <w:rPr>
          <w:lang w:val="en-US"/>
        </w:rPr>
        <w:t>We found that compared to secure individuals, fearful-avoidant individuals were higher in anxiety (</w:t>
      </w:r>
      <w:r w:rsidRPr="00E5665B">
        <w:rPr>
          <w:lang w:val="en-US"/>
        </w:rPr>
        <w:sym w:font="Symbol" w:char="F079"/>
      </w:r>
      <w:r w:rsidRPr="00E5665B">
        <w:rPr>
          <w:lang w:val="en-US"/>
        </w:rPr>
        <w:t>*</w:t>
      </w:r>
      <w:r w:rsidRPr="00E5665B">
        <w:rPr>
          <w:i/>
          <w:lang w:val="en-US"/>
        </w:rPr>
        <w:t xml:space="preserve"> </w:t>
      </w:r>
      <w:r w:rsidRPr="00E5665B">
        <w:rPr>
          <w:lang w:val="en-US"/>
        </w:rPr>
        <w:t xml:space="preserve">= .06, </w:t>
      </w:r>
      <w:r w:rsidRPr="00E5665B">
        <w:rPr>
          <w:i/>
          <w:lang w:val="en-US"/>
        </w:rPr>
        <w:t>p</w:t>
      </w:r>
      <w:r w:rsidRPr="00E5665B">
        <w:rPr>
          <w:lang w:val="en-US"/>
        </w:rPr>
        <w:t xml:space="preserve"> &lt; .001), depression (</w:t>
      </w:r>
      <w:r w:rsidRPr="00E5665B">
        <w:rPr>
          <w:lang w:val="en-US"/>
        </w:rPr>
        <w:sym w:font="Symbol" w:char="F079"/>
      </w:r>
      <w:r w:rsidRPr="00E5665B">
        <w:rPr>
          <w:lang w:val="en-US"/>
        </w:rPr>
        <w:t xml:space="preserve">* = .05, </w:t>
      </w:r>
      <w:r w:rsidRPr="00E5665B">
        <w:rPr>
          <w:i/>
          <w:lang w:val="en-US"/>
        </w:rPr>
        <w:t>p</w:t>
      </w:r>
      <w:r w:rsidRPr="00E5665B">
        <w:rPr>
          <w:lang w:val="en-US"/>
        </w:rPr>
        <w:t xml:space="preserve"> &lt; .001), and loneliness (</w:t>
      </w:r>
      <w:r w:rsidRPr="00E5665B">
        <w:rPr>
          <w:lang w:val="en-US"/>
        </w:rPr>
        <w:sym w:font="Symbol" w:char="F079"/>
      </w:r>
      <w:r w:rsidRPr="00E5665B">
        <w:rPr>
          <w:lang w:val="en-US"/>
        </w:rPr>
        <w:t xml:space="preserve">* = .18, </w:t>
      </w:r>
      <w:r w:rsidRPr="00E5665B">
        <w:rPr>
          <w:i/>
          <w:lang w:val="en-US"/>
        </w:rPr>
        <w:t>p</w:t>
      </w:r>
      <w:r w:rsidRPr="00E5665B">
        <w:rPr>
          <w:lang w:val="en-US"/>
        </w:rPr>
        <w:t xml:space="preserve"> &lt; .001); but did not report engaging in more social distancing behaviors (</w:t>
      </w:r>
      <w:r w:rsidRPr="00E5665B">
        <w:rPr>
          <w:lang w:val="en-US"/>
        </w:rPr>
        <w:sym w:font="Symbol" w:char="F079"/>
      </w:r>
      <w:r w:rsidRPr="00E5665B">
        <w:rPr>
          <w:lang w:val="en-US"/>
        </w:rPr>
        <w:t xml:space="preserve">* = .01, </w:t>
      </w:r>
      <w:r w:rsidRPr="00E5665B">
        <w:rPr>
          <w:i/>
          <w:lang w:val="en-US"/>
        </w:rPr>
        <w:t>p</w:t>
      </w:r>
      <w:r w:rsidRPr="00E5665B">
        <w:rPr>
          <w:lang w:val="en-US"/>
        </w:rPr>
        <w:t xml:space="preserve"> = .386). The results were similar for attachment-anxious individuals who were higher in anxiety (</w:t>
      </w:r>
      <w:r w:rsidRPr="00E5665B">
        <w:rPr>
          <w:lang w:val="en-US"/>
        </w:rPr>
        <w:sym w:font="Symbol" w:char="F079"/>
      </w:r>
      <w:r w:rsidRPr="00E5665B">
        <w:rPr>
          <w:lang w:val="en-US"/>
        </w:rPr>
        <w:t xml:space="preserve">* = .05, </w:t>
      </w:r>
      <w:r w:rsidRPr="00E5665B">
        <w:rPr>
          <w:i/>
          <w:lang w:val="en-US"/>
        </w:rPr>
        <w:t>p</w:t>
      </w:r>
      <w:r w:rsidRPr="00E5665B">
        <w:rPr>
          <w:lang w:val="en-US"/>
        </w:rPr>
        <w:t xml:space="preserve"> = .003), depression (</w:t>
      </w:r>
      <w:r w:rsidRPr="00E5665B">
        <w:rPr>
          <w:lang w:val="en-US"/>
        </w:rPr>
        <w:sym w:font="Symbol" w:char="F079"/>
      </w:r>
      <w:r w:rsidRPr="00E5665B">
        <w:rPr>
          <w:lang w:val="en-US"/>
        </w:rPr>
        <w:t xml:space="preserve">* = .05, </w:t>
      </w:r>
      <w:r w:rsidRPr="00E5665B">
        <w:rPr>
          <w:i/>
          <w:lang w:val="en-US"/>
        </w:rPr>
        <w:t>p</w:t>
      </w:r>
      <w:r w:rsidRPr="00E5665B">
        <w:rPr>
          <w:lang w:val="en-US"/>
        </w:rPr>
        <w:t xml:space="preserve"> = .010), and loneliness (</w:t>
      </w:r>
      <w:r w:rsidRPr="00E5665B">
        <w:rPr>
          <w:lang w:val="en-US"/>
        </w:rPr>
        <w:sym w:font="Symbol" w:char="F079"/>
      </w:r>
      <w:r w:rsidRPr="00E5665B">
        <w:rPr>
          <w:lang w:val="en-US"/>
        </w:rPr>
        <w:t xml:space="preserve">* = .17, </w:t>
      </w:r>
      <w:r w:rsidRPr="00E5665B">
        <w:rPr>
          <w:i/>
          <w:lang w:val="en-US"/>
        </w:rPr>
        <w:t>p</w:t>
      </w:r>
      <w:r w:rsidRPr="00E5665B">
        <w:rPr>
          <w:lang w:val="en-US"/>
        </w:rPr>
        <w:t xml:space="preserve"> &lt; .001) than </w:t>
      </w:r>
      <w:r w:rsidRPr="00E5665B">
        <w:rPr>
          <w:lang w:val="en-US"/>
        </w:rPr>
        <w:lastRenderedPageBreak/>
        <w:t>secure individuals; but did not report engaging in more social distancing behaviors (</w:t>
      </w:r>
      <w:r w:rsidRPr="00E5665B">
        <w:rPr>
          <w:lang w:val="en-US"/>
        </w:rPr>
        <w:sym w:font="Symbol" w:char="F079"/>
      </w:r>
      <w:r w:rsidRPr="00E5665B">
        <w:rPr>
          <w:lang w:val="en-US"/>
        </w:rPr>
        <w:t xml:space="preserve">* = .00, </w:t>
      </w:r>
      <w:r w:rsidRPr="00E5665B">
        <w:rPr>
          <w:i/>
          <w:lang w:val="en-US"/>
        </w:rPr>
        <w:t>p</w:t>
      </w:r>
      <w:r w:rsidRPr="00E5665B">
        <w:rPr>
          <w:lang w:val="en-US"/>
        </w:rPr>
        <w:t xml:space="preserve"> = .970).  Avoidant individuals only differed from secure individuals in their social distancing behaviors: Avoidant individuals were significantly less likely to engage in social distancing behaviors compared to secure individuals (</w:t>
      </w:r>
      <w:r w:rsidRPr="00E5665B">
        <w:rPr>
          <w:lang w:val="en-US"/>
        </w:rPr>
        <w:sym w:font="Symbol" w:char="F079"/>
      </w:r>
      <w:r w:rsidRPr="00E5665B">
        <w:rPr>
          <w:lang w:val="en-US"/>
        </w:rPr>
        <w:t xml:space="preserve">* = -.02, </w:t>
      </w:r>
      <w:r w:rsidRPr="00E5665B">
        <w:rPr>
          <w:i/>
          <w:lang w:val="en-US"/>
        </w:rPr>
        <w:t>p</w:t>
      </w:r>
      <w:r w:rsidRPr="00E5665B">
        <w:rPr>
          <w:lang w:val="en-US"/>
        </w:rPr>
        <w:t xml:space="preserve"> &lt; .001).</w:t>
      </w:r>
    </w:p>
    <w:p w14:paraId="622A4A4B" w14:textId="77777777" w:rsidR="001D1E93" w:rsidRPr="00E5665B" w:rsidRDefault="001D1E93" w:rsidP="00E22A59">
      <w:pPr>
        <w:spacing w:after="160" w:line="480" w:lineRule="auto"/>
        <w:rPr>
          <w:lang w:val="en-US"/>
        </w:rPr>
      </w:pPr>
      <w:r w:rsidRPr="00E5665B">
        <w:rPr>
          <w:b/>
          <w:lang w:val="en-US"/>
        </w:rPr>
        <w:t>Longitudinal Model</w:t>
      </w:r>
    </w:p>
    <w:p w14:paraId="0B70FD0F" w14:textId="77777777" w:rsidR="001D1E93" w:rsidRPr="00E5665B" w:rsidRDefault="001D1E93" w:rsidP="001D1E93">
      <w:pPr>
        <w:spacing w:after="160" w:line="480" w:lineRule="auto"/>
        <w:ind w:firstLine="709"/>
        <w:rPr>
          <w:lang w:val="en-US"/>
        </w:rPr>
      </w:pPr>
      <w:r w:rsidRPr="00E5665B">
        <w:rPr>
          <w:lang w:val="en-US"/>
        </w:rPr>
        <w:t xml:space="preserve">The results from the causal discovery algorithm for the longitudinal model can be found in Figure 3. The results were largely </w:t>
      </w:r>
      <w:proofErr w:type="gramStart"/>
      <w:r w:rsidRPr="00E5665B">
        <w:rPr>
          <w:lang w:val="en-US"/>
        </w:rPr>
        <w:t>similar to</w:t>
      </w:r>
      <w:proofErr w:type="gramEnd"/>
      <w:r w:rsidRPr="00E5665B">
        <w:rPr>
          <w:lang w:val="en-US"/>
        </w:rPr>
        <w:t xml:space="preserve"> the results of the cross-sectional model with attachment styles being suggested as putative causes for anxiety, depression, loneliness, and social distancing behaviors. Loneliness was again identified as a mediator between attachment styles and the other outcomes. However, social distancing behaviors were also identified as a mediator between loneliness and anxiety and depression. Attachment styles, anxiety, depression, loneliness, and social distancing behaviors at Wave 2 were also causes of depression and anxiety at Wave 3. Anxiety at Wave 3 was also identified as a cause of depression at Wave 3.</w:t>
      </w:r>
    </w:p>
    <w:p w14:paraId="08A8EBD0" w14:textId="77777777" w:rsidR="001D1E93" w:rsidRPr="00E5665B" w:rsidRDefault="001D1E93" w:rsidP="001D1E93">
      <w:pPr>
        <w:spacing w:after="160" w:line="480" w:lineRule="auto"/>
        <w:ind w:firstLine="709"/>
        <w:rPr>
          <w:lang w:val="en-US"/>
        </w:rPr>
      </w:pPr>
      <w:r w:rsidRPr="00E5665B">
        <w:rPr>
          <w:lang w:val="en-US"/>
        </w:rPr>
        <w:t xml:space="preserve">Table 3 shows both the naive estimates as well as the estimates following the targeted learning steps for the longitudinal analyses. The naive estimates do not differ between the analyses with and without controlling for time given that naive estimates are estimated without any control variables (including time). For the targeted learning, we used only the control variables that were needed to provide accurate causal estimates in line with the d-separation rules for causal inference. Based on these rules, </w:t>
      </w:r>
      <w:r w:rsidRPr="00E5665B">
        <w:rPr>
          <w:iCs/>
          <w:lang w:val="en-US"/>
        </w:rPr>
        <w:t>we needed to control for age, gender, relationship status, keyworker status, number of adults in the household, number of children in the household, change in income, chronic illness, COVID-19 anxiety, and perceived one month risk.</w:t>
      </w:r>
      <w:r w:rsidRPr="00E5665B">
        <w:rPr>
          <w:i/>
          <w:lang w:val="en-US"/>
        </w:rPr>
        <w:t xml:space="preserve"> </w:t>
      </w:r>
      <w:r w:rsidRPr="00E5665B">
        <w:rPr>
          <w:lang w:val="en-US"/>
        </w:rPr>
        <w:t xml:space="preserve">We did not include any mediators in the models as we were interested in the total effect of attachment styles on the mental health outcomes. We present </w:t>
      </w:r>
      <w:r w:rsidRPr="00E5665B">
        <w:rPr>
          <w:lang w:val="en-US"/>
        </w:rPr>
        <w:lastRenderedPageBreak/>
        <w:t xml:space="preserve">the results for the longitudinal estimates with and without controlling for Wave 2 reports of the variables. The estimates without the Wave 2 control refer to how much we can still explain the mental health outcomes at Wave 3 by the participants’ self-reported attachment style at Wave 2. The estimates including the Wave 2 control variables refer only to changes in the mental health outcomes from Wave 2 to Wave 3 </w:t>
      </w:r>
      <w:proofErr w:type="gramStart"/>
      <w:r w:rsidRPr="00E5665B">
        <w:rPr>
          <w:lang w:val="en-US"/>
        </w:rPr>
        <w:t>as a result of</w:t>
      </w:r>
      <w:proofErr w:type="gramEnd"/>
      <w:r w:rsidRPr="00E5665B">
        <w:rPr>
          <w:lang w:val="en-US"/>
        </w:rPr>
        <w:t xml:space="preserve"> attachment styles. However, we would not expect a fixed variable (i.e., a variable which is assumed to not change over time and does not in our models) to cause changes in an outcome over time but have included it in case readers are interested in this outcome.</w:t>
      </w:r>
    </w:p>
    <w:p w14:paraId="536B495A" w14:textId="77777777" w:rsidR="001D1E93" w:rsidRPr="00E5665B" w:rsidRDefault="001D1E93" w:rsidP="001D1E93">
      <w:pPr>
        <w:spacing w:after="160" w:line="480" w:lineRule="auto"/>
        <w:ind w:firstLine="709"/>
        <w:rPr>
          <w:lang w:val="en-US"/>
        </w:rPr>
      </w:pPr>
      <w:r w:rsidRPr="00E5665B">
        <w:rPr>
          <w:lang w:val="en-US"/>
        </w:rPr>
        <w:t>We found that compared to secure individuals, fearful-avoidant individuals were higher in anxiety (</w:t>
      </w:r>
      <w:r w:rsidRPr="00E5665B">
        <w:rPr>
          <w:lang w:val="en-US"/>
        </w:rPr>
        <w:sym w:font="Symbol" w:char="F079"/>
      </w:r>
      <w:r w:rsidRPr="00E5665B">
        <w:rPr>
          <w:lang w:val="en-US"/>
        </w:rPr>
        <w:t>*</w:t>
      </w:r>
      <w:r w:rsidRPr="00E5665B">
        <w:rPr>
          <w:i/>
          <w:lang w:val="en-US"/>
        </w:rPr>
        <w:t xml:space="preserve"> </w:t>
      </w:r>
      <w:r w:rsidRPr="00E5665B">
        <w:rPr>
          <w:lang w:val="en-US"/>
        </w:rPr>
        <w:t xml:space="preserve">= .07, </w:t>
      </w:r>
      <w:r w:rsidRPr="00E5665B">
        <w:rPr>
          <w:i/>
          <w:lang w:val="en-US"/>
        </w:rPr>
        <w:t>p</w:t>
      </w:r>
      <w:r w:rsidRPr="00E5665B">
        <w:rPr>
          <w:lang w:val="en-US"/>
        </w:rPr>
        <w:t xml:space="preserve"> &lt; .001) and depression (</w:t>
      </w:r>
      <w:r w:rsidRPr="00E5665B">
        <w:rPr>
          <w:lang w:val="en-US"/>
        </w:rPr>
        <w:sym w:font="Symbol" w:char="F079"/>
      </w:r>
      <w:r w:rsidRPr="00E5665B">
        <w:rPr>
          <w:lang w:val="en-US"/>
        </w:rPr>
        <w:t xml:space="preserve">* = .06, </w:t>
      </w:r>
      <w:r w:rsidRPr="00E5665B">
        <w:rPr>
          <w:i/>
          <w:lang w:val="en-US"/>
        </w:rPr>
        <w:t>p</w:t>
      </w:r>
      <w:r w:rsidRPr="00E5665B">
        <w:rPr>
          <w:lang w:val="en-US"/>
        </w:rPr>
        <w:t xml:space="preserve"> &lt; .001) at Wave 3. We also found that compared to secure individuals, anxious individuals were higher in anxiety (</w:t>
      </w:r>
      <w:r w:rsidRPr="00E5665B">
        <w:rPr>
          <w:lang w:val="en-US"/>
        </w:rPr>
        <w:sym w:font="Symbol" w:char="F079"/>
      </w:r>
      <w:r w:rsidRPr="00E5665B">
        <w:rPr>
          <w:lang w:val="en-US"/>
        </w:rPr>
        <w:t>*</w:t>
      </w:r>
      <w:r w:rsidRPr="00E5665B">
        <w:rPr>
          <w:i/>
          <w:lang w:val="en-US"/>
        </w:rPr>
        <w:t xml:space="preserve"> </w:t>
      </w:r>
      <w:r w:rsidRPr="00E5665B">
        <w:rPr>
          <w:lang w:val="en-US"/>
        </w:rPr>
        <w:t xml:space="preserve">= .06, </w:t>
      </w:r>
      <w:r w:rsidRPr="00E5665B">
        <w:rPr>
          <w:i/>
          <w:lang w:val="en-US"/>
        </w:rPr>
        <w:t>p</w:t>
      </w:r>
      <w:r w:rsidRPr="00E5665B">
        <w:rPr>
          <w:lang w:val="en-US"/>
        </w:rPr>
        <w:t xml:space="preserve"> = .007) and depression (</w:t>
      </w:r>
      <w:r w:rsidRPr="00E5665B">
        <w:rPr>
          <w:lang w:val="en-US"/>
        </w:rPr>
        <w:sym w:font="Symbol" w:char="F079"/>
      </w:r>
      <w:r w:rsidRPr="00E5665B">
        <w:rPr>
          <w:lang w:val="en-US"/>
        </w:rPr>
        <w:t xml:space="preserve">* = .05, </w:t>
      </w:r>
      <w:r w:rsidRPr="00E5665B">
        <w:rPr>
          <w:i/>
          <w:lang w:val="en-US"/>
        </w:rPr>
        <w:t>p</w:t>
      </w:r>
      <w:r w:rsidRPr="00E5665B">
        <w:rPr>
          <w:lang w:val="en-US"/>
        </w:rPr>
        <w:t xml:space="preserve"> = .022) at Wave 3. Finally, avoidant individuals differed significantly from secure individuals only in that they reported higher anxiety (</w:t>
      </w:r>
      <w:r w:rsidRPr="00E5665B">
        <w:rPr>
          <w:lang w:val="en-US"/>
        </w:rPr>
        <w:sym w:font="Symbol" w:char="F079"/>
      </w:r>
      <w:r w:rsidRPr="00E5665B">
        <w:rPr>
          <w:lang w:val="en-US"/>
        </w:rPr>
        <w:t xml:space="preserve">* = .03, </w:t>
      </w:r>
      <w:r w:rsidRPr="00E5665B">
        <w:rPr>
          <w:i/>
          <w:lang w:val="en-US"/>
        </w:rPr>
        <w:t>p</w:t>
      </w:r>
      <w:r w:rsidRPr="00E5665B">
        <w:rPr>
          <w:lang w:val="en-US"/>
        </w:rPr>
        <w:t xml:space="preserve"> = .025) but not higher depression (</w:t>
      </w:r>
      <w:r w:rsidRPr="00E5665B">
        <w:rPr>
          <w:lang w:val="en-US"/>
        </w:rPr>
        <w:sym w:font="Symbol" w:char="F079"/>
      </w:r>
      <w:r w:rsidRPr="00E5665B">
        <w:rPr>
          <w:lang w:val="en-US"/>
        </w:rPr>
        <w:t xml:space="preserve">* = .01, </w:t>
      </w:r>
      <w:r w:rsidRPr="00E5665B">
        <w:rPr>
          <w:i/>
          <w:lang w:val="en-US"/>
        </w:rPr>
        <w:t>p</w:t>
      </w:r>
      <w:r w:rsidRPr="00E5665B">
        <w:rPr>
          <w:lang w:val="en-US"/>
        </w:rPr>
        <w:t xml:space="preserve"> = .181). Changes in anxiety or depression scores between Waves 2 and 3 were not significantly different between any of the groups.</w:t>
      </w:r>
    </w:p>
    <w:p w14:paraId="55E9E3C7" w14:textId="0A06D7A2" w:rsidR="001D1E93" w:rsidRPr="00E5665B" w:rsidRDefault="001D1E93" w:rsidP="00E22A59">
      <w:pPr>
        <w:spacing w:after="160" w:line="480" w:lineRule="auto"/>
        <w:contextualSpacing/>
        <w:jc w:val="center"/>
        <w:rPr>
          <w:b/>
          <w:bCs/>
          <w:lang w:val="en-US"/>
        </w:rPr>
      </w:pPr>
      <w:r w:rsidRPr="00E5665B">
        <w:rPr>
          <w:b/>
          <w:bCs/>
          <w:lang w:val="en-US"/>
        </w:rPr>
        <w:t>Discussion</w:t>
      </w:r>
    </w:p>
    <w:p w14:paraId="08D41A38" w14:textId="4CF5B9A0" w:rsidR="001D1E93" w:rsidRPr="00E5665B" w:rsidRDefault="001D1E93" w:rsidP="001D1E93">
      <w:pPr>
        <w:spacing w:after="160" w:line="480" w:lineRule="auto"/>
        <w:ind w:firstLine="709"/>
        <w:contextualSpacing/>
        <w:rPr>
          <w:lang w:val="en-US"/>
        </w:rPr>
      </w:pPr>
      <w:r w:rsidRPr="00E5665B">
        <w:rPr>
          <w:lang w:val="en-US"/>
        </w:rPr>
        <w:t xml:space="preserve">The purpose of the present study was to identify putative causal relationships between attachment styles, social distancing behaviors, and mental health outcomes. As hypothesized, attachment insecurity was a risk factor for poor mental health during the COVID-19 pandemic. Specifically, individuals with fearful avoidant or anxious attachment styles were 5-6% higher in depression and generalized anxiety and 17-18% lonelier compared to secure individuals. Avoidant individuals did not differ in their depression or anxiety levels but were also significantly lonelier than secure individuals (albeit by a reduced margin, 5%). The </w:t>
      </w:r>
      <w:r w:rsidRPr="00E5665B">
        <w:rPr>
          <w:lang w:val="en-US"/>
        </w:rPr>
        <w:lastRenderedPageBreak/>
        <w:t>differences in levels of depression and anxiety between attachment anxious and fearful</w:t>
      </w:r>
      <w:r w:rsidR="00C53D8D">
        <w:rPr>
          <w:lang w:val="en-US"/>
        </w:rPr>
        <w:t>-</w:t>
      </w:r>
      <w:r w:rsidRPr="00E5665B">
        <w:rPr>
          <w:lang w:val="en-US"/>
        </w:rPr>
        <w:t xml:space="preserve">avoidant individuals and secure individuals remained constant over time. This pattern is in line with recent research, which identifies attachment anxiety, rather than avoidance, as being a risk factor for ongoing mental health issues during the pandemic (Mazza et al., 2021; Moccia et al., 2020; Vowels et al., 2022). To this we would add that those individuals with a fearful avoidant attachment are similarly at risk. </w:t>
      </w:r>
    </w:p>
    <w:p w14:paraId="4BFE906A" w14:textId="4C7EBC5E" w:rsidR="001D1E93" w:rsidRPr="00E5665B" w:rsidRDefault="001D1E93" w:rsidP="001D1E93">
      <w:pPr>
        <w:spacing w:after="160" w:line="480" w:lineRule="auto"/>
        <w:ind w:firstLine="709"/>
        <w:rPr>
          <w:lang w:val="en-US"/>
        </w:rPr>
      </w:pPr>
      <w:r w:rsidRPr="00E5665B">
        <w:rPr>
          <w:lang w:val="en-US"/>
        </w:rPr>
        <w:t>The causal discovery algorithm also identified loneliness as a partial mediator of the causal path between attachment styles to mental health outcomes. We found that while depression and anxiety are higher in anxious and fearful</w:t>
      </w:r>
      <w:r w:rsidR="00C53D8D">
        <w:rPr>
          <w:lang w:val="en-US"/>
        </w:rPr>
        <w:t>-</w:t>
      </w:r>
      <w:r w:rsidRPr="00E5665B">
        <w:rPr>
          <w:lang w:val="en-US"/>
        </w:rPr>
        <w:t>avoidant individuals, they are almost four times higher in loneliness than anxiety and depression compared to secure individuals. Again, this pattern has been observed by other researchers; Vismara et al. (2022) showed that loneliness had a partially mediating role between attachment anxiety and mental health outcomes during the COVID-19 pandemic in a sample of Italian participants. These results suggest that loneliness is particularly prevalent among anxious and fearful</w:t>
      </w:r>
      <w:r w:rsidR="00C53D8D">
        <w:rPr>
          <w:lang w:val="en-US"/>
        </w:rPr>
        <w:t>-</w:t>
      </w:r>
      <w:r w:rsidRPr="00E5665B">
        <w:rPr>
          <w:lang w:val="en-US"/>
        </w:rPr>
        <w:t xml:space="preserve">avoidant individuals and any interventions that are designed to improve mental health outcomes for individuals with insecure attachment styles should focus on preventing and ameliorating loneliness. </w:t>
      </w:r>
    </w:p>
    <w:p w14:paraId="7FF70394" w14:textId="350D40EF" w:rsidR="001D1E93" w:rsidRPr="00E5665B" w:rsidRDefault="001D1E93" w:rsidP="001D1E93">
      <w:pPr>
        <w:spacing w:after="160" w:line="480" w:lineRule="auto"/>
        <w:ind w:firstLine="709"/>
        <w:rPr>
          <w:lang w:val="en-US"/>
        </w:rPr>
      </w:pPr>
      <w:r w:rsidRPr="00E5665B">
        <w:rPr>
          <w:lang w:val="en-US"/>
        </w:rPr>
        <w:t xml:space="preserve">Furthermore, we also examined which attachment styles were causally linked to adherence to social distancing guidelines. In contrast to our hypothesis, we found that avoidant individuals were significantly </w:t>
      </w:r>
      <w:r w:rsidRPr="00E5665B">
        <w:rPr>
          <w:i/>
          <w:iCs/>
          <w:lang w:val="en-US"/>
        </w:rPr>
        <w:t>less</w:t>
      </w:r>
      <w:r w:rsidRPr="00E5665B">
        <w:rPr>
          <w:lang w:val="en-US"/>
        </w:rPr>
        <w:t xml:space="preserve"> likely to follow social distancing guidelines compared to secure. Indeed, recent research has also found the same pattern (</w:t>
      </w:r>
      <w:proofErr w:type="spellStart"/>
      <w:r w:rsidRPr="00E5665B">
        <w:rPr>
          <w:lang w:val="en-US"/>
        </w:rPr>
        <w:t>Brulin</w:t>
      </w:r>
      <w:proofErr w:type="spellEnd"/>
      <w:r w:rsidRPr="00E5665B">
        <w:rPr>
          <w:lang w:val="en-US"/>
        </w:rPr>
        <w:t xml:space="preserve"> et al., 2022; Lozano &amp; Fraley, 2021). In our study however, there was only a small (2%) difference between avoidant and secure individuals, which is not likely to be meaningful behaviorally. Overall, our results suggest that while insecure individuals have worse mental health </w:t>
      </w:r>
      <w:r w:rsidRPr="00E5665B">
        <w:rPr>
          <w:lang w:val="en-US"/>
        </w:rPr>
        <w:lastRenderedPageBreak/>
        <w:t xml:space="preserve">outcomes and feel lonelier compared to secure individuals, the causal relationship between attachment styles and social distancing measures, while it exists, is very small. </w:t>
      </w:r>
    </w:p>
    <w:p w14:paraId="42513323" w14:textId="77777777" w:rsidR="001D1E93" w:rsidRPr="00E5665B" w:rsidRDefault="001D1E93" w:rsidP="001D1E93">
      <w:pPr>
        <w:spacing w:after="160" w:line="480" w:lineRule="auto"/>
        <w:ind w:firstLine="709"/>
        <w:rPr>
          <w:lang w:val="en-US"/>
        </w:rPr>
      </w:pPr>
      <w:r w:rsidRPr="00E5665B">
        <w:rPr>
          <w:lang w:val="en-US"/>
        </w:rPr>
        <w:t>The present study provided causal evidence of the link between attachment styles and mental health outcomes during the COVID-19 pandemic. The study was the first to our knowledge to use causal methods to examine these relationships. The results from the causal analyses corroborate previous correlational findings but provide a more accurate estimate of the effect size due to the use of targeted learning, which has been shown to produce estimates that are less biased compared to other methods (</w:t>
      </w:r>
      <w:proofErr w:type="spellStart"/>
      <w:r w:rsidRPr="00E5665B">
        <w:rPr>
          <w:lang w:val="en-US"/>
        </w:rPr>
        <w:t>Luque</w:t>
      </w:r>
      <w:proofErr w:type="spellEnd"/>
      <w:r w:rsidRPr="00E5665B">
        <w:rPr>
          <w:lang w:val="en-US"/>
        </w:rPr>
        <w:t xml:space="preserve">-Fernandez et al. 2018; van der </w:t>
      </w:r>
      <w:proofErr w:type="spellStart"/>
      <w:r w:rsidRPr="00E5665B">
        <w:rPr>
          <w:lang w:val="en-US"/>
        </w:rPr>
        <w:t>Laan</w:t>
      </w:r>
      <w:proofErr w:type="spellEnd"/>
      <w:r w:rsidRPr="00E5665B">
        <w:rPr>
          <w:lang w:val="en-US"/>
        </w:rPr>
        <w:t xml:space="preserve"> &amp; Rose, 2011). Furthermore, the data were drawn from a nationally representative UK survey and the results were estimated both cross-sectionally and over time. Thus, we expect that the effect size estimates are a relatively accurate estimate of the real average estimate in the population.</w:t>
      </w:r>
    </w:p>
    <w:p w14:paraId="40238E9F" w14:textId="5D80BCEC" w:rsidR="001D1E93" w:rsidRPr="00E5665B" w:rsidRDefault="001D1E93" w:rsidP="001D1E93">
      <w:pPr>
        <w:spacing w:after="160" w:line="480" w:lineRule="auto"/>
        <w:ind w:firstLine="709"/>
        <w:rPr>
          <w:lang w:val="en-US"/>
        </w:rPr>
      </w:pPr>
      <w:r w:rsidRPr="00E5665B">
        <w:rPr>
          <w:lang w:val="en-US"/>
        </w:rPr>
        <w:t xml:space="preserve">However, there are also several limitations that should be considered. While we were able to establish causal relationships between our variables of interest using state-of-the-art causal discovery and causal inference algorithms, we did not have access to pre-pandemic data. Thus, we were only able to establish the causal relationships between attachment styles, social distancing behaviors, and mental health outcomes during the COVID-19 pandemic but we do not know whether insecure individuals were particularly at risk due to the pandemic or whether they already had higher levels of mental health problems before the pandemic occurred. One study to our knowledge has examined changes in mental health outcomes </w:t>
      </w:r>
      <w:proofErr w:type="gramStart"/>
      <w:r w:rsidRPr="00E5665B">
        <w:rPr>
          <w:lang w:val="en-US"/>
        </w:rPr>
        <w:t>as a result of</w:t>
      </w:r>
      <w:proofErr w:type="gramEnd"/>
      <w:r w:rsidRPr="00E5665B">
        <w:rPr>
          <w:lang w:val="en-US"/>
        </w:rPr>
        <w:t xml:space="preserve"> the pandemic with pre-pandemic and early pandemic data (Vowels et al., 2022) and showed that individuals higher in attachment anxiety were particularly at risk of worse mental health outcomes over time. However, attachment anxiety has also been linked to worse mental health in general (</w:t>
      </w:r>
      <w:proofErr w:type="spellStart"/>
      <w:r w:rsidRPr="00E5665B">
        <w:rPr>
          <w:lang w:val="en-US"/>
        </w:rPr>
        <w:t>Mikulincer</w:t>
      </w:r>
      <w:proofErr w:type="spellEnd"/>
      <w:r w:rsidRPr="00E5665B">
        <w:rPr>
          <w:lang w:val="en-US"/>
        </w:rPr>
        <w:t xml:space="preserve"> &amp; Shaver, 2016)</w:t>
      </w:r>
      <w:r w:rsidR="00095396">
        <w:rPr>
          <w:lang w:val="en-US"/>
        </w:rPr>
        <w:t xml:space="preserve"> a</w:t>
      </w:r>
      <w:r w:rsidR="00C43490">
        <w:rPr>
          <w:lang w:val="en-US"/>
        </w:rPr>
        <w:t xml:space="preserve">nd attachment security priming has been linked to lower depressed and anxious mood, suggesting a causal role for </w:t>
      </w:r>
      <w:r w:rsidR="00C43490">
        <w:rPr>
          <w:lang w:val="en-US"/>
        </w:rPr>
        <w:lastRenderedPageBreak/>
        <w:t>attachment (</w:t>
      </w:r>
      <w:proofErr w:type="spellStart"/>
      <w:r w:rsidR="007F77E3">
        <w:rPr>
          <w:lang w:val="en-US"/>
        </w:rPr>
        <w:t>Carnelley</w:t>
      </w:r>
      <w:proofErr w:type="spellEnd"/>
      <w:r w:rsidR="007F77E3">
        <w:rPr>
          <w:lang w:val="en-US"/>
        </w:rPr>
        <w:t xml:space="preserve"> et al., 2016; </w:t>
      </w:r>
      <w:proofErr w:type="spellStart"/>
      <w:r w:rsidR="007F77E3">
        <w:rPr>
          <w:lang w:val="en-US"/>
        </w:rPr>
        <w:t>Carnelley</w:t>
      </w:r>
      <w:proofErr w:type="spellEnd"/>
      <w:r w:rsidR="007F77E3">
        <w:rPr>
          <w:lang w:val="en-US"/>
        </w:rPr>
        <w:t xml:space="preserve"> et al., 2018</w:t>
      </w:r>
      <w:r w:rsidR="00C43490">
        <w:rPr>
          <w:lang w:val="en-US"/>
        </w:rPr>
        <w:t xml:space="preserve">). </w:t>
      </w:r>
      <w:r w:rsidRPr="00E5665B">
        <w:rPr>
          <w:lang w:val="en-US"/>
        </w:rPr>
        <w:t xml:space="preserve">What is clear is that attachment insecurity is causally linked to poorer mental health outcomes, especially to loneliness. </w:t>
      </w:r>
    </w:p>
    <w:p w14:paraId="2F23397D" w14:textId="0D5D252E" w:rsidR="001D1E93" w:rsidRPr="00E5665B" w:rsidRDefault="001D1E93" w:rsidP="001D1E93">
      <w:pPr>
        <w:spacing w:after="160" w:line="480" w:lineRule="auto"/>
        <w:ind w:firstLine="709"/>
        <w:rPr>
          <w:lang w:val="en-US"/>
        </w:rPr>
      </w:pPr>
      <w:r w:rsidRPr="00E5665B">
        <w:rPr>
          <w:lang w:val="en-US"/>
        </w:rPr>
        <w:t xml:space="preserve">Another limitation of the study relates to the measure of attachment. As is the case with most large datasets in nationally representative samples, the choice of variables is limited to what is available in the dataset. In our case, the only measure of attachment styles was categorical and measured attachment on two dimensions: attachment anxiety and attachment avoidance. This meant that participants were forced to place themselves into one of the four categories but there may be a great deal of heterogeneity within the categories. Arguably a categorical measure of attachment is </w:t>
      </w:r>
      <w:r w:rsidR="007F53DB">
        <w:rPr>
          <w:lang w:val="en-US"/>
        </w:rPr>
        <w:t>un</w:t>
      </w:r>
      <w:r w:rsidRPr="00E5665B">
        <w:rPr>
          <w:lang w:val="en-US"/>
        </w:rPr>
        <w:t>likely to suffer from shared method variance with the outcome variable (i.e., be closely correlated because of some third variable such as mood on the day)</w:t>
      </w:r>
      <w:r w:rsidR="007F53DB">
        <w:rPr>
          <w:lang w:val="en-US"/>
        </w:rPr>
        <w:t xml:space="preserve"> because a change of category is likely to require an effect which is larger than that of shared method variance. </w:t>
      </w:r>
      <w:r w:rsidRPr="00E5665B">
        <w:rPr>
          <w:lang w:val="en-US"/>
        </w:rPr>
        <w:t xml:space="preserve">This argument is </w:t>
      </w:r>
      <w:r w:rsidR="007F53DB">
        <w:rPr>
          <w:lang w:val="en-US"/>
        </w:rPr>
        <w:t>further</w:t>
      </w:r>
      <w:r w:rsidR="007F53DB" w:rsidRPr="00E5665B">
        <w:rPr>
          <w:lang w:val="en-US"/>
        </w:rPr>
        <w:t xml:space="preserve"> </w:t>
      </w:r>
      <w:r w:rsidRPr="00E5665B">
        <w:rPr>
          <w:lang w:val="en-US"/>
        </w:rPr>
        <w:t xml:space="preserve">supported by the fact that the estimates were the same strength within and between timepoints. However, it is not clear which measures provide a more accurate depiction of attachment styles overall </w:t>
      </w:r>
      <w:r w:rsidRPr="00E5665B">
        <w:rPr>
          <w:lang w:val="en-US"/>
        </w:rPr>
        <w:fldChar w:fldCharType="begin"/>
      </w:r>
      <w:r w:rsidRPr="00E5665B">
        <w:rPr>
          <w:lang w:val="en-US"/>
        </w:rPr>
        <w:instrText xml:space="preserve"> ADDIN ZOTERO_ITEM CSL_CITATION {"citationID":"hJR4ZRcM","properties":{"formattedCitation":"(Fraley, 2019)","plainCitation":"(Fraley, 2019)","noteIndex":0},"citationItems":[{"id":2585,"uris":["http://zotero.org/users/5353725/items/ICVENYJJ"],"itemData":{"id":2585,"type":"article-journal","abstract":"Some of the most emotionally powerful experiences result from the development, maintenance, and disruption of attachment relationships. In this article, I review several emerging themes and unresolved debates in the social-psychological study of adult attachment, including debates about the ways in which attachment-related functions shift over the course of development, what makes some people secure or insecure in their close relationships, consensual nonmonogamy, the evolutionary function of insecure attachment, and models of thriving through relationships.","container-title":"Annual Review of Psychology","DOI":"10.1146/annurev-psych-010418-102813","ISSN":"0066-4308","issue":"1","note":"publisher: Annual Reviews","page":"401–422","title":"Attachment in adulthood: Recent developments, emerging debates, and future directions","volume":"70","author":[{"family":"Fraley","given":"R. Chris"}],"issued":{"date-parts":[["2019",1]]}}}],"schema":"https://github.com/citation-style-language/schema/raw/master/csl-citation.json"} </w:instrText>
      </w:r>
      <w:r w:rsidRPr="00E5665B">
        <w:rPr>
          <w:lang w:val="en-US"/>
        </w:rPr>
        <w:fldChar w:fldCharType="separate"/>
      </w:r>
      <w:r w:rsidRPr="00E5665B">
        <w:rPr>
          <w:noProof/>
          <w:lang w:val="en-US"/>
        </w:rPr>
        <w:t>(Fraley, 2019)</w:t>
      </w:r>
      <w:r w:rsidRPr="00E5665B">
        <w:rPr>
          <w:lang w:val="en-US"/>
        </w:rPr>
        <w:fldChar w:fldCharType="end"/>
      </w:r>
      <w:r w:rsidRPr="00E5665B">
        <w:rPr>
          <w:lang w:val="en-US"/>
        </w:rPr>
        <w:t xml:space="preserve"> and the results may not be directly comparable to other studies which use a continuous measure of attachment. </w:t>
      </w:r>
      <w:r w:rsidR="008B67F1">
        <w:rPr>
          <w:lang w:val="en-US"/>
        </w:rPr>
        <w:t xml:space="preserve">Our results should be replicated with attachment dimensional measures </w:t>
      </w:r>
      <w:r w:rsidR="00497658">
        <w:rPr>
          <w:lang w:val="en-US"/>
        </w:rPr>
        <w:t>and future research should also examine observed behaviors in addition to self-report.</w:t>
      </w:r>
    </w:p>
    <w:p w14:paraId="75612E13" w14:textId="062B9CC0" w:rsidR="001D1E93" w:rsidRPr="00E5665B" w:rsidRDefault="001D1E93" w:rsidP="001D1E93">
      <w:pPr>
        <w:spacing w:after="160" w:line="480" w:lineRule="auto"/>
        <w:ind w:firstLine="709"/>
        <w:rPr>
          <w:lang w:val="en-US"/>
        </w:rPr>
      </w:pPr>
      <w:r w:rsidRPr="00E5665B">
        <w:rPr>
          <w:lang w:val="en-US"/>
        </w:rPr>
        <w:t>Finally, the validity of the estimates proposed to correspond with causal quantities relies on four key assumptions generally described in the causal inference literature (</w:t>
      </w:r>
      <w:proofErr w:type="spellStart"/>
      <w:r w:rsidRPr="00E5665B">
        <w:rPr>
          <w:lang w:val="en-US"/>
        </w:rPr>
        <w:t>Imbens</w:t>
      </w:r>
      <w:proofErr w:type="spellEnd"/>
      <w:r w:rsidRPr="00E5665B">
        <w:rPr>
          <w:lang w:val="en-US"/>
        </w:rPr>
        <w:t xml:space="preserve"> et al., 2015; Pearl, 2009). The first assumption is that our theory and graph are correct. Of course, this is a strong assumption, and one which is ideally validated under experimental conditions. The second assumption is known as </w:t>
      </w:r>
      <w:proofErr w:type="spellStart"/>
      <w:r w:rsidRPr="00E5665B">
        <w:rPr>
          <w:lang w:val="en-US"/>
        </w:rPr>
        <w:t>ignorability</w:t>
      </w:r>
      <w:proofErr w:type="spellEnd"/>
      <w:r w:rsidRPr="00E5665B">
        <w:rPr>
          <w:lang w:val="en-US"/>
        </w:rPr>
        <w:t xml:space="preserve"> (also known as conditional exchangeability), which is closely related to the first, and is the assumption that there exist no unobserved confounders which otherwise bias the effect size estimation. The third </w:t>
      </w:r>
      <w:r w:rsidRPr="00E5665B">
        <w:rPr>
          <w:lang w:val="en-US"/>
        </w:rPr>
        <w:lastRenderedPageBreak/>
        <w:t xml:space="preserve">assumption is that of positivity, which is the assumption that there exist </w:t>
      </w:r>
      <w:proofErr w:type="gramStart"/>
      <w:r w:rsidRPr="00E5665B">
        <w:rPr>
          <w:lang w:val="en-US"/>
        </w:rPr>
        <w:t>a sufficient number of</w:t>
      </w:r>
      <w:proofErr w:type="gramEnd"/>
      <w:r w:rsidRPr="00E5665B">
        <w:rPr>
          <w:lang w:val="en-US"/>
        </w:rPr>
        <w:t xml:space="preserve"> people in each attachment style group to adequately estimate the effects (i.e., the probability of being in each comparison group is positive / non-zero). The last is known as the Stable Unit Treatment Value Assumption (SUTVA), which is the assumption that the participants are independent of one another given their control variables (i.e., that the participants do not influence one another). We expect that the latter two assumptions hold in our sample given the relatively large sample size (which helps with positivity) and the participants being independent of one another (which helps the SUTVA). However, it is more difficult to establish whether the first two assumptions hold. We discussed the variables that were included in the study thoroughly among </w:t>
      </w:r>
      <w:r w:rsidR="00601B67">
        <w:rPr>
          <w:lang w:val="en-US"/>
        </w:rPr>
        <w:t xml:space="preserve">the authors who are </w:t>
      </w:r>
      <w:r w:rsidRPr="00E5665B">
        <w:rPr>
          <w:lang w:val="en-US"/>
        </w:rPr>
        <w:t xml:space="preserve">experts in attachment and mental health research and validated the theoretical variables using a causal discovery algorithm. We cannot, however, be certain that there are no unobserved confounders that we should have controlled for. Other researchers may disagree with the variables included and we encourage them to engage in the process of refining our causal theoretical model. </w:t>
      </w:r>
    </w:p>
    <w:p w14:paraId="00000038" w14:textId="38409C15" w:rsidR="00A92EB8" w:rsidRPr="001D1E93" w:rsidRDefault="001D1E93" w:rsidP="001D1E93">
      <w:pPr>
        <w:spacing w:line="480" w:lineRule="auto"/>
        <w:ind w:firstLine="709"/>
        <w:rPr>
          <w:lang w:val="en-US"/>
        </w:rPr>
      </w:pPr>
      <w:r w:rsidRPr="00E5665B">
        <w:rPr>
          <w:lang w:val="en-US"/>
        </w:rPr>
        <w:t>In conclusion, the present study provided causal evidence of the relationship between attachment insecurity and mental health outcomes during the COVID-19 pandemic. Specifically, we showed that anxious and fearful</w:t>
      </w:r>
      <w:r w:rsidR="00C53D8D">
        <w:rPr>
          <w:lang w:val="en-US"/>
        </w:rPr>
        <w:t>-</w:t>
      </w:r>
      <w:r w:rsidRPr="00E5665B">
        <w:rPr>
          <w:lang w:val="en-US"/>
        </w:rPr>
        <w:t xml:space="preserve">avoidant individuals have higher scores in depression, generalized anxiety, and loneliness whereas avoidant individuals have higher scores in loneliness compared to secure individuals. The results of the study imply that focusing on improving feelings of loneliness and isolation in insecurely attached individuals can help ameliorate mental health symptoms in this population. Many countries introduced lockdown and social distancing measures during the pandemic and these measures are in place periodically in different areas of the world. However, given the burden of social isolation among insecure individuals, it is likely that these measures exacerbate feelings of loneliness. Thus, finding ways to support and maintain social connection is likely to be </w:t>
      </w:r>
      <w:r w:rsidRPr="00E5665B">
        <w:rPr>
          <w:lang w:val="en-US"/>
        </w:rPr>
        <w:lastRenderedPageBreak/>
        <w:t>crucial in ameliorating mental health problems in the population.</w:t>
      </w:r>
      <w:r w:rsidR="00411C61" w:rsidRPr="005869CA">
        <w:rPr>
          <w:lang w:val="en-US"/>
        </w:rPr>
        <w:br/>
      </w:r>
    </w:p>
    <w:p w14:paraId="768AF85D" w14:textId="77777777" w:rsidR="00A77DB4" w:rsidRDefault="00A77DB4">
      <w:pPr>
        <w:rPr>
          <w:b/>
          <w:lang w:val="en-US"/>
        </w:rPr>
      </w:pPr>
      <w:r>
        <w:rPr>
          <w:b/>
          <w:lang w:val="en-US"/>
        </w:rPr>
        <w:br w:type="page"/>
      </w:r>
    </w:p>
    <w:p w14:paraId="00000039" w14:textId="1EDBEFCB" w:rsidR="00A92EB8" w:rsidRPr="009C6358" w:rsidRDefault="00411C61" w:rsidP="009C6358">
      <w:pPr>
        <w:spacing w:line="480" w:lineRule="auto"/>
        <w:ind w:left="709" w:hanging="709"/>
        <w:jc w:val="center"/>
        <w:rPr>
          <w:lang w:val="en-US"/>
        </w:rPr>
      </w:pPr>
      <w:r w:rsidRPr="009C6358">
        <w:rPr>
          <w:b/>
          <w:lang w:val="en-US"/>
        </w:rPr>
        <w:lastRenderedPageBreak/>
        <w:t>References</w:t>
      </w:r>
    </w:p>
    <w:p w14:paraId="0000003B" w14:textId="636F8247" w:rsidR="00A92EB8" w:rsidRPr="009C6358" w:rsidRDefault="00411C61" w:rsidP="00CF6D9B">
      <w:pPr>
        <w:spacing w:line="480" w:lineRule="auto"/>
        <w:ind w:left="709" w:hanging="709"/>
        <w:rPr>
          <w:lang w:val="en-US"/>
        </w:rPr>
      </w:pPr>
      <w:r w:rsidRPr="009C6358">
        <w:rPr>
          <w:lang w:val="en-US"/>
        </w:rPr>
        <w:t xml:space="preserve">Ainsworth, M. D. S., </w:t>
      </w:r>
      <w:proofErr w:type="spellStart"/>
      <w:r w:rsidRPr="009C6358">
        <w:rPr>
          <w:lang w:val="en-US"/>
        </w:rPr>
        <w:t>Blehar</w:t>
      </w:r>
      <w:proofErr w:type="spellEnd"/>
      <w:r w:rsidRPr="009C6358">
        <w:rPr>
          <w:lang w:val="en-US"/>
        </w:rPr>
        <w:t xml:space="preserve">, M. C., Waters, E., &amp; Wall, S. (1978). </w:t>
      </w:r>
      <w:r w:rsidRPr="009C6358">
        <w:rPr>
          <w:i/>
          <w:lang w:val="en-US"/>
        </w:rPr>
        <w:t>Patterns of attachment: A psychological study of the strange situation.</w:t>
      </w:r>
      <w:r w:rsidRPr="009C6358">
        <w:rPr>
          <w:lang w:val="en-US"/>
        </w:rPr>
        <w:t xml:space="preserve"> Hillsdale, NJ: Erlbaum.</w:t>
      </w:r>
    </w:p>
    <w:p w14:paraId="0000003C" w14:textId="77777777" w:rsidR="00A92EB8" w:rsidRPr="009C6358" w:rsidRDefault="00411C61" w:rsidP="009C6358">
      <w:pPr>
        <w:spacing w:line="480" w:lineRule="auto"/>
        <w:ind w:left="709" w:hanging="709"/>
        <w:rPr>
          <w:lang w:val="en-US"/>
        </w:rPr>
      </w:pPr>
      <w:r w:rsidRPr="009C6358">
        <w:rPr>
          <w:highlight w:val="white"/>
          <w:lang w:val="en-US"/>
        </w:rPr>
        <w:t xml:space="preserve">Bartholomew, K., &amp; Horowitz, L. M. (1991). Attachment styles among young adults: A test of a four-category model. </w:t>
      </w:r>
      <w:r w:rsidRPr="009C6358">
        <w:rPr>
          <w:i/>
          <w:highlight w:val="white"/>
          <w:lang w:val="en-US"/>
        </w:rPr>
        <w:t>Journal of Personality and Social Psychology, 61</w:t>
      </w:r>
      <w:r w:rsidRPr="009C6358">
        <w:rPr>
          <w:highlight w:val="white"/>
          <w:lang w:val="en-US"/>
        </w:rPr>
        <w:t xml:space="preserve">(2), 226–244. </w:t>
      </w:r>
      <w:hyperlink r:id="rId8">
        <w:r w:rsidRPr="009C6358">
          <w:rPr>
            <w:highlight w:val="white"/>
            <w:u w:val="single"/>
            <w:lang w:val="en-US"/>
          </w:rPr>
          <w:t>https://doi.org/10.1037/0022-3514.61.2.226</w:t>
        </w:r>
      </w:hyperlink>
      <w:r w:rsidRPr="009C6358">
        <w:rPr>
          <w:lang w:val="en-US"/>
        </w:rPr>
        <w:t> </w:t>
      </w:r>
    </w:p>
    <w:p w14:paraId="63959978" w14:textId="0BC916F6" w:rsidR="00943465" w:rsidRPr="00943465" w:rsidRDefault="00943465" w:rsidP="009C6358">
      <w:pPr>
        <w:spacing w:line="480" w:lineRule="auto"/>
        <w:ind w:left="709" w:hanging="709"/>
        <w:rPr>
          <w:lang w:val="en-US"/>
        </w:rPr>
      </w:pPr>
      <w:proofErr w:type="spellStart"/>
      <w:r w:rsidRPr="00943465">
        <w:rPr>
          <w:rFonts w:eastAsia="Calibri"/>
          <w:color w:val="000000"/>
        </w:rPr>
        <w:t>Boag</w:t>
      </w:r>
      <w:proofErr w:type="spellEnd"/>
      <w:r w:rsidRPr="00943465">
        <w:rPr>
          <w:rFonts w:eastAsia="Calibri"/>
          <w:color w:val="000000"/>
        </w:rPr>
        <w:t xml:space="preserve">, E., &amp; </w:t>
      </w:r>
      <w:proofErr w:type="spellStart"/>
      <w:r w:rsidRPr="00943465">
        <w:rPr>
          <w:rFonts w:eastAsia="Calibri"/>
          <w:color w:val="000000"/>
        </w:rPr>
        <w:t>Carnelley</w:t>
      </w:r>
      <w:proofErr w:type="spellEnd"/>
      <w:r w:rsidRPr="00943465">
        <w:rPr>
          <w:rFonts w:eastAsia="Calibri"/>
          <w:color w:val="000000"/>
        </w:rPr>
        <w:t xml:space="preserve">, K. B.  (2016). Attachment and prejudice: The mediating role of empathy. </w:t>
      </w:r>
      <w:r w:rsidRPr="00943465">
        <w:rPr>
          <w:rFonts w:eastAsia="Calibri"/>
          <w:i/>
          <w:iCs/>
          <w:color w:val="000000"/>
        </w:rPr>
        <w:t xml:space="preserve">British Journal of Social Psychology, 55, </w:t>
      </w:r>
      <w:r w:rsidRPr="00943465">
        <w:rPr>
          <w:rFonts w:eastAsia="Calibri"/>
          <w:color w:val="000000"/>
        </w:rPr>
        <w:t>337-356.</w:t>
      </w:r>
      <w:r>
        <w:rPr>
          <w:rFonts w:eastAsia="Calibri"/>
          <w:color w:val="000000"/>
        </w:rPr>
        <w:t xml:space="preserve"> https://doi.org/</w:t>
      </w:r>
      <w:r w:rsidRPr="00943465">
        <w:rPr>
          <w:rFonts w:eastAsia="Calibri"/>
          <w:color w:val="000000"/>
        </w:rPr>
        <w:t>10.1111/bjso.12132</w:t>
      </w:r>
      <w:r>
        <w:rPr>
          <w:rFonts w:eastAsia="Calibri"/>
          <w:color w:val="000000"/>
        </w:rPr>
        <w:t xml:space="preserve"> </w:t>
      </w:r>
    </w:p>
    <w:p w14:paraId="0000003D" w14:textId="35178D54" w:rsidR="00A92EB8" w:rsidRPr="009C6358" w:rsidRDefault="00411C61" w:rsidP="009C6358">
      <w:pPr>
        <w:spacing w:line="480" w:lineRule="auto"/>
        <w:ind w:left="709" w:hanging="709"/>
        <w:rPr>
          <w:lang w:val="en-US"/>
        </w:rPr>
      </w:pPr>
      <w:r w:rsidRPr="009C6358">
        <w:rPr>
          <w:lang w:val="en-US"/>
        </w:rPr>
        <w:t xml:space="preserve">Bowlby, J. (1969). </w:t>
      </w:r>
      <w:r w:rsidRPr="009C6358">
        <w:rPr>
          <w:i/>
          <w:lang w:val="en-US"/>
        </w:rPr>
        <w:t>Attachment and loss: Volume 1. Attachment</w:t>
      </w:r>
      <w:r w:rsidRPr="009C6358">
        <w:rPr>
          <w:lang w:val="en-US"/>
        </w:rPr>
        <w:t xml:space="preserve"> (1st ed.). Basic Books.</w:t>
      </w:r>
    </w:p>
    <w:p w14:paraId="00000043" w14:textId="187C126E" w:rsidR="00A92EB8" w:rsidRDefault="00411C61" w:rsidP="00CF6D9B">
      <w:pPr>
        <w:spacing w:line="480" w:lineRule="auto"/>
        <w:ind w:left="709" w:hanging="709"/>
        <w:rPr>
          <w:lang w:val="en-US"/>
        </w:rPr>
      </w:pPr>
      <w:r w:rsidRPr="009C6358">
        <w:rPr>
          <w:lang w:val="en-US"/>
        </w:rPr>
        <w:t xml:space="preserve">Brennan, K. A., Clark, C. L., &amp; Shaver, P. R. (1998). Self-report measurement of adult attachment: An integrative overview. In W. S. </w:t>
      </w:r>
      <w:proofErr w:type="spellStart"/>
      <w:r w:rsidRPr="009C6358">
        <w:rPr>
          <w:lang w:val="en-US"/>
        </w:rPr>
        <w:t>Rholes</w:t>
      </w:r>
      <w:proofErr w:type="spellEnd"/>
      <w:r w:rsidRPr="009C6358">
        <w:rPr>
          <w:lang w:val="en-US"/>
        </w:rPr>
        <w:t xml:space="preserve"> &amp; J. A. Simpson (Eds.), </w:t>
      </w:r>
      <w:r w:rsidRPr="009C6358">
        <w:rPr>
          <w:i/>
          <w:lang w:val="en-US"/>
        </w:rPr>
        <w:t>Attachment theory and close relationships</w:t>
      </w:r>
      <w:r w:rsidRPr="009C6358">
        <w:rPr>
          <w:lang w:val="en-US"/>
        </w:rPr>
        <w:t xml:space="preserve"> (pp. 46–76). Guilford Press.</w:t>
      </w:r>
    </w:p>
    <w:p w14:paraId="75022BB0" w14:textId="6E02E2AE" w:rsidR="00AA4872" w:rsidRPr="009C6358" w:rsidRDefault="00AA4872" w:rsidP="00AA4872">
      <w:pPr>
        <w:spacing w:line="480" w:lineRule="auto"/>
        <w:ind w:left="709" w:hanging="709"/>
        <w:rPr>
          <w:lang w:val="en-US"/>
        </w:rPr>
      </w:pPr>
      <w:proofErr w:type="spellStart"/>
      <w:r w:rsidRPr="009C6358">
        <w:rPr>
          <w:lang w:val="en-US"/>
        </w:rPr>
        <w:t>Breiman</w:t>
      </w:r>
      <w:proofErr w:type="spellEnd"/>
      <w:r w:rsidRPr="009C6358">
        <w:rPr>
          <w:lang w:val="en-US"/>
        </w:rPr>
        <w:t xml:space="preserve">, L. </w:t>
      </w:r>
      <w:r w:rsidR="00FD180A" w:rsidRPr="009C6358">
        <w:rPr>
          <w:lang w:val="en-US"/>
        </w:rPr>
        <w:t>(2001)</w:t>
      </w:r>
      <w:r w:rsidR="00FD180A">
        <w:rPr>
          <w:lang w:val="en-US"/>
        </w:rPr>
        <w:t>.</w:t>
      </w:r>
      <w:r w:rsidR="00FD180A" w:rsidRPr="009C6358">
        <w:rPr>
          <w:lang w:val="en-US"/>
        </w:rPr>
        <w:t xml:space="preserve"> </w:t>
      </w:r>
      <w:r w:rsidRPr="009C6358">
        <w:rPr>
          <w:lang w:val="en-US"/>
        </w:rPr>
        <w:t xml:space="preserve">Random Forests. </w:t>
      </w:r>
      <w:r w:rsidRPr="00C80159">
        <w:rPr>
          <w:i/>
          <w:iCs/>
          <w:lang w:val="en-US"/>
        </w:rPr>
        <w:t>Machine Learning</w:t>
      </w:r>
      <w:r w:rsidR="00FD180A" w:rsidRPr="00C80159">
        <w:rPr>
          <w:i/>
          <w:iCs/>
          <w:lang w:val="en-US"/>
        </w:rPr>
        <w:t>,</w:t>
      </w:r>
      <w:r w:rsidRPr="00C80159">
        <w:rPr>
          <w:i/>
          <w:iCs/>
          <w:lang w:val="en-US"/>
        </w:rPr>
        <w:t xml:space="preserve"> 45</w:t>
      </w:r>
      <w:r w:rsidRPr="009C6358">
        <w:rPr>
          <w:lang w:val="en-US"/>
        </w:rPr>
        <w:t>(1)</w:t>
      </w:r>
      <w:r w:rsidR="00FD180A">
        <w:rPr>
          <w:lang w:val="en-US"/>
        </w:rPr>
        <w:t>,</w:t>
      </w:r>
      <w:r w:rsidRPr="009C6358">
        <w:rPr>
          <w:lang w:val="en-US"/>
        </w:rPr>
        <w:t xml:space="preserve"> 5-32. https://doi.org/10.1023/A:1010933404324</w:t>
      </w:r>
    </w:p>
    <w:p w14:paraId="00000044" w14:textId="77777777" w:rsidR="00A92EB8" w:rsidRPr="009C6358" w:rsidRDefault="00411C61" w:rsidP="009C6358">
      <w:pPr>
        <w:spacing w:line="480" w:lineRule="auto"/>
        <w:ind w:left="709" w:hanging="709"/>
        <w:rPr>
          <w:lang w:val="en-US"/>
        </w:rPr>
      </w:pPr>
      <w:proofErr w:type="spellStart"/>
      <w:r w:rsidRPr="009C6358">
        <w:rPr>
          <w:lang w:val="en-US"/>
        </w:rPr>
        <w:t>Burkova</w:t>
      </w:r>
      <w:proofErr w:type="spellEnd"/>
      <w:r w:rsidRPr="009C6358">
        <w:rPr>
          <w:lang w:val="en-US"/>
        </w:rPr>
        <w:t xml:space="preserve">, V.N., </w:t>
      </w:r>
      <w:proofErr w:type="spellStart"/>
      <w:r w:rsidRPr="009C6358">
        <w:rPr>
          <w:lang w:val="en-US"/>
        </w:rPr>
        <w:t>Butovskaya</w:t>
      </w:r>
      <w:proofErr w:type="spellEnd"/>
      <w:r w:rsidRPr="009C6358">
        <w:rPr>
          <w:lang w:val="en-US"/>
        </w:rPr>
        <w:t xml:space="preserve">, M.L., Randall, </w:t>
      </w:r>
      <w:proofErr w:type="gramStart"/>
      <w:r w:rsidRPr="009C6358">
        <w:rPr>
          <w:lang w:val="en-US"/>
        </w:rPr>
        <w:t>A.K,;</w:t>
      </w:r>
      <w:proofErr w:type="gramEnd"/>
      <w:r w:rsidRPr="009C6358">
        <w:rPr>
          <w:lang w:val="en-US"/>
        </w:rPr>
        <w:t xml:space="preserve"> </w:t>
      </w:r>
      <w:proofErr w:type="spellStart"/>
      <w:r w:rsidRPr="009C6358">
        <w:rPr>
          <w:lang w:val="en-US"/>
        </w:rPr>
        <w:t>Fedenok</w:t>
      </w:r>
      <w:proofErr w:type="spellEnd"/>
      <w:r w:rsidRPr="009C6358">
        <w:rPr>
          <w:lang w:val="en-US"/>
        </w:rPr>
        <w:t xml:space="preserve">, J.N., Ahmadi, K., </w:t>
      </w:r>
      <w:proofErr w:type="spellStart"/>
      <w:r w:rsidRPr="009C6358">
        <w:rPr>
          <w:lang w:val="en-US"/>
        </w:rPr>
        <w:t>Alghraibeh</w:t>
      </w:r>
      <w:proofErr w:type="spellEnd"/>
      <w:r w:rsidRPr="009C6358">
        <w:rPr>
          <w:lang w:val="en-US"/>
        </w:rPr>
        <w:t xml:space="preserve">, A.M., </w:t>
      </w:r>
      <w:proofErr w:type="spellStart"/>
      <w:r w:rsidRPr="009C6358">
        <w:rPr>
          <w:lang w:val="en-US"/>
        </w:rPr>
        <w:t>Allami</w:t>
      </w:r>
      <w:proofErr w:type="spellEnd"/>
      <w:r w:rsidRPr="009C6358">
        <w:rPr>
          <w:lang w:val="en-US"/>
        </w:rPr>
        <w:t>, F.B.M., Alpaslan, F.S., Al-</w:t>
      </w:r>
      <w:proofErr w:type="spellStart"/>
      <w:r w:rsidRPr="009C6358">
        <w:rPr>
          <w:lang w:val="en-US"/>
        </w:rPr>
        <w:t>Zu’bi</w:t>
      </w:r>
      <w:proofErr w:type="spellEnd"/>
      <w:r w:rsidRPr="009C6358">
        <w:rPr>
          <w:lang w:val="en-US"/>
        </w:rPr>
        <w:t xml:space="preserve">, M.A.A., </w:t>
      </w:r>
      <w:proofErr w:type="spellStart"/>
      <w:r w:rsidRPr="009C6358">
        <w:rPr>
          <w:lang w:val="en-US"/>
        </w:rPr>
        <w:t>Biçer</w:t>
      </w:r>
      <w:proofErr w:type="spellEnd"/>
      <w:r w:rsidRPr="009C6358">
        <w:rPr>
          <w:lang w:val="en-US"/>
        </w:rPr>
        <w:t xml:space="preserve">, D.F., et al. (2021). Predictors of anxiety in the COVID-19 pandemic from a global perspective: Data from 23 countries. </w:t>
      </w:r>
      <w:r w:rsidRPr="009C6358">
        <w:rPr>
          <w:i/>
          <w:lang w:val="en-US"/>
        </w:rPr>
        <w:t>Sustainability, 13</w:t>
      </w:r>
      <w:r w:rsidRPr="009C6358">
        <w:rPr>
          <w:lang w:val="en-US"/>
        </w:rPr>
        <w:t xml:space="preserve">, 4017. </w:t>
      </w:r>
      <w:hyperlink r:id="rId9">
        <w:r w:rsidRPr="009C6358">
          <w:rPr>
            <w:u w:val="single"/>
            <w:lang w:val="en-US"/>
          </w:rPr>
          <w:t>https://doi.org/10.3390/su13074017</w:t>
        </w:r>
      </w:hyperlink>
      <w:r w:rsidRPr="009C6358">
        <w:rPr>
          <w:lang w:val="en-US"/>
        </w:rPr>
        <w:t>.</w:t>
      </w:r>
    </w:p>
    <w:p w14:paraId="0E0EF321" w14:textId="77777777" w:rsidR="00CF6D9B" w:rsidRPr="009C6358" w:rsidRDefault="00CF6D9B" w:rsidP="00CF6D9B">
      <w:pPr>
        <w:shd w:val="clear" w:color="auto" w:fill="FFFFFF"/>
        <w:spacing w:line="480" w:lineRule="auto"/>
        <w:ind w:left="709" w:hanging="709"/>
        <w:rPr>
          <w:lang w:val="en-US"/>
        </w:rPr>
      </w:pPr>
      <w:proofErr w:type="spellStart"/>
      <w:r w:rsidRPr="009C6358">
        <w:rPr>
          <w:lang w:val="en-US"/>
        </w:rPr>
        <w:t>Brulin</w:t>
      </w:r>
      <w:proofErr w:type="spellEnd"/>
      <w:r w:rsidRPr="009C6358">
        <w:rPr>
          <w:lang w:val="en-US"/>
        </w:rPr>
        <w:t xml:space="preserve">, J. G., Shaver, P. R., </w:t>
      </w:r>
      <w:proofErr w:type="spellStart"/>
      <w:r w:rsidRPr="009C6358">
        <w:rPr>
          <w:lang w:val="en-US"/>
        </w:rPr>
        <w:t>Mikulincer</w:t>
      </w:r>
      <w:proofErr w:type="spellEnd"/>
      <w:r w:rsidRPr="009C6358">
        <w:rPr>
          <w:lang w:val="en-US"/>
        </w:rPr>
        <w:t>, M., &amp; Granqvist, P. (2022). Attachment in the time of COVID-19: Insecure attachment orientations are associated with defiance of</w:t>
      </w:r>
    </w:p>
    <w:p w14:paraId="44A1CBA9" w14:textId="540DCC8F" w:rsidR="00CF6D9B" w:rsidRPr="00643D5F" w:rsidRDefault="00CF6D9B" w:rsidP="00CF6D9B">
      <w:pPr>
        <w:shd w:val="clear" w:color="auto" w:fill="FFFFFF"/>
        <w:spacing w:line="480" w:lineRule="auto"/>
        <w:ind w:left="709" w:hanging="709"/>
        <w:rPr>
          <w:iCs/>
          <w:lang w:val="en-US"/>
        </w:rPr>
      </w:pPr>
      <w:r w:rsidRPr="009C6358">
        <w:rPr>
          <w:lang w:val="en-US"/>
        </w:rPr>
        <w:tab/>
        <w:t xml:space="preserve">authorities’ guidelines during the pandemic. </w:t>
      </w:r>
      <w:r w:rsidRPr="00D900BE">
        <w:rPr>
          <w:i/>
          <w:lang w:val="en-US"/>
        </w:rPr>
        <w:t>Journal of Social and Personal Relationships,</w:t>
      </w:r>
      <w:r w:rsidR="00DA605B" w:rsidRPr="00DA605B">
        <w:t xml:space="preserve"> </w:t>
      </w:r>
      <w:r w:rsidR="00DA605B" w:rsidRPr="00DA605B">
        <w:rPr>
          <w:i/>
          <w:lang w:val="en-US"/>
        </w:rPr>
        <w:t>39</w:t>
      </w:r>
      <w:r w:rsidR="00DA605B" w:rsidRPr="00643D5F">
        <w:rPr>
          <w:iCs/>
          <w:lang w:val="en-US"/>
        </w:rPr>
        <w:t>(8), 2528–2548</w:t>
      </w:r>
      <w:r w:rsidR="00DA605B" w:rsidRPr="00DA605B">
        <w:rPr>
          <w:i/>
          <w:lang w:val="en-US"/>
        </w:rPr>
        <w:t>.</w:t>
      </w:r>
      <w:r w:rsidRPr="009C6358">
        <w:rPr>
          <w:i/>
          <w:lang w:val="en-US"/>
        </w:rPr>
        <w:t> </w:t>
      </w:r>
      <w:r w:rsidR="00D30591" w:rsidRPr="00643D5F">
        <w:rPr>
          <w:iCs/>
          <w:lang w:val="en-US"/>
        </w:rPr>
        <w:t>https://doi.org/10.1177/026540752210826</w:t>
      </w:r>
    </w:p>
    <w:p w14:paraId="55DB4D26" w14:textId="17EDEA93" w:rsidR="00AA4872" w:rsidRPr="009C6358" w:rsidRDefault="00411C61" w:rsidP="00095396">
      <w:pPr>
        <w:spacing w:line="480" w:lineRule="auto"/>
        <w:ind w:left="709" w:hanging="709"/>
        <w:rPr>
          <w:lang w:val="en-US"/>
        </w:rPr>
      </w:pPr>
      <w:r w:rsidRPr="009C6358">
        <w:rPr>
          <w:lang w:val="en-US"/>
        </w:rPr>
        <w:t xml:space="preserve">Carbajal, J., Ponder, W. N., Whitworth, J., Schuman, D. L., &amp; </w:t>
      </w:r>
      <w:proofErr w:type="spellStart"/>
      <w:r w:rsidRPr="009C6358">
        <w:rPr>
          <w:lang w:val="en-US"/>
        </w:rPr>
        <w:t>Galusha</w:t>
      </w:r>
      <w:proofErr w:type="spellEnd"/>
      <w:r w:rsidRPr="009C6358">
        <w:rPr>
          <w:lang w:val="en-US"/>
        </w:rPr>
        <w:t xml:space="preserve">, J. M. (2021): The impact of COVID-19 on first responders' resilience and attachment. </w:t>
      </w:r>
      <w:r w:rsidRPr="009C6358">
        <w:rPr>
          <w:i/>
          <w:lang w:val="en-US"/>
        </w:rPr>
        <w:t xml:space="preserve">Journal of </w:t>
      </w:r>
      <w:r w:rsidRPr="009C6358">
        <w:rPr>
          <w:i/>
          <w:lang w:val="en-US"/>
        </w:rPr>
        <w:lastRenderedPageBreak/>
        <w:t>Human Behavior in the Social Environment,</w:t>
      </w:r>
      <w:r w:rsidRPr="009C6358">
        <w:rPr>
          <w:lang w:val="en-US"/>
        </w:rPr>
        <w:t xml:space="preserve"> </w:t>
      </w:r>
      <w:r w:rsidR="00A31C65">
        <w:rPr>
          <w:lang w:val="en-US"/>
        </w:rPr>
        <w:t>https://doi.org/</w:t>
      </w:r>
      <w:r w:rsidRPr="009C6358">
        <w:rPr>
          <w:lang w:val="en-US"/>
        </w:rPr>
        <w:t>10.1080/10911359.2021.1962777</w:t>
      </w:r>
    </w:p>
    <w:p w14:paraId="4367A897" w14:textId="5BBC360D" w:rsidR="00095396" w:rsidRPr="00095396" w:rsidRDefault="00095396" w:rsidP="00095396">
      <w:pPr>
        <w:spacing w:line="480" w:lineRule="auto"/>
        <w:ind w:left="709" w:hanging="709"/>
        <w:rPr>
          <w:rFonts w:eastAsia="Calibri"/>
        </w:rPr>
      </w:pPr>
      <w:proofErr w:type="spellStart"/>
      <w:r w:rsidRPr="00095396">
        <w:rPr>
          <w:rFonts w:eastAsia="Calibri"/>
        </w:rPr>
        <w:t>Carnelley</w:t>
      </w:r>
      <w:proofErr w:type="spellEnd"/>
      <w:r w:rsidRPr="00095396">
        <w:rPr>
          <w:rFonts w:eastAsia="Calibri"/>
        </w:rPr>
        <w:t xml:space="preserve">, K. B., Otway, L., &amp; Rowe, A. C.  (2016). The effects of attachment priming on depressed and anxious mood. </w:t>
      </w:r>
      <w:r w:rsidRPr="00095396">
        <w:rPr>
          <w:rFonts w:eastAsia="Calibri"/>
          <w:i/>
          <w:iCs/>
        </w:rPr>
        <w:t>Clinical Psychological Science, 4</w:t>
      </w:r>
      <w:r w:rsidRPr="00095396">
        <w:rPr>
          <w:rFonts w:eastAsia="Calibri"/>
        </w:rPr>
        <w:t>, 433-450.</w:t>
      </w:r>
      <w:r>
        <w:rPr>
          <w:rFonts w:eastAsia="Calibri"/>
        </w:rPr>
        <w:t xml:space="preserve"> </w:t>
      </w:r>
      <w:r w:rsidRPr="00095396">
        <w:rPr>
          <w:rFonts w:eastAsia="Calibri"/>
        </w:rPr>
        <w:t>https://doi.org/10.1177/2167702615594998</w:t>
      </w:r>
    </w:p>
    <w:p w14:paraId="7F3C2C9B" w14:textId="188EDBE3" w:rsidR="00095396" w:rsidRPr="00095396" w:rsidRDefault="00095396" w:rsidP="00095396">
      <w:pPr>
        <w:spacing w:line="480" w:lineRule="auto"/>
        <w:ind w:left="709" w:hanging="709"/>
        <w:rPr>
          <w:highlight w:val="white"/>
        </w:rPr>
      </w:pPr>
      <w:proofErr w:type="spellStart"/>
      <w:r w:rsidRPr="00095396">
        <w:rPr>
          <w:rFonts w:eastAsia="Calibri"/>
        </w:rPr>
        <w:t>Carnelley</w:t>
      </w:r>
      <w:proofErr w:type="spellEnd"/>
      <w:r w:rsidRPr="00095396">
        <w:rPr>
          <w:rFonts w:eastAsia="Calibri"/>
        </w:rPr>
        <w:t xml:space="preserve">, K. B., </w:t>
      </w:r>
      <w:proofErr w:type="spellStart"/>
      <w:r w:rsidRPr="00095396">
        <w:rPr>
          <w:rFonts w:eastAsia="Calibri"/>
        </w:rPr>
        <w:t>Bejinaru</w:t>
      </w:r>
      <w:proofErr w:type="spellEnd"/>
      <w:r w:rsidRPr="00095396">
        <w:rPr>
          <w:rFonts w:eastAsia="Calibri"/>
        </w:rPr>
        <w:t xml:space="preserve">, M., Otway, L., Baldwin, D. &amp; Rowe, A. C. (2018). Effects of repeated attachment security priming in outpatients with primary depressive disorders.  </w:t>
      </w:r>
      <w:r w:rsidRPr="00095396">
        <w:rPr>
          <w:rFonts w:eastAsia="Calibri"/>
          <w:i/>
          <w:iCs/>
        </w:rPr>
        <w:t>Journal of Affective Disorders, 234</w:t>
      </w:r>
      <w:r w:rsidRPr="00095396">
        <w:rPr>
          <w:rFonts w:eastAsia="Calibri"/>
        </w:rPr>
        <w:t>, 201-206</w:t>
      </w:r>
      <w:r>
        <w:rPr>
          <w:rFonts w:eastAsia="Calibri"/>
        </w:rPr>
        <w:t xml:space="preserve">. </w:t>
      </w:r>
      <w:r w:rsidRPr="00095396">
        <w:rPr>
          <w:rFonts w:eastAsia="Calibri"/>
        </w:rPr>
        <w:t>https://doi.org/10.1016/j.jad.2018.02.040</w:t>
      </w:r>
    </w:p>
    <w:p w14:paraId="3716D259" w14:textId="7D249384" w:rsidR="00AA4872" w:rsidRPr="00DA605B" w:rsidRDefault="00AA4872" w:rsidP="00A31C65">
      <w:pPr>
        <w:pStyle w:val="Heading2"/>
        <w:keepNext w:val="0"/>
        <w:keepLines w:val="0"/>
        <w:shd w:val="clear" w:color="auto" w:fill="FFFFFF"/>
        <w:spacing w:before="0" w:after="0" w:line="480" w:lineRule="auto"/>
        <w:ind w:left="709" w:hanging="709"/>
        <w:rPr>
          <w:rFonts w:ascii="Times New Roman" w:eastAsia="Times New Roman" w:hAnsi="Times New Roman" w:cs="Times New Roman"/>
          <w:b w:val="0"/>
          <w:sz w:val="24"/>
          <w:szCs w:val="24"/>
          <w:lang w:val="en-US"/>
        </w:rPr>
      </w:pPr>
      <w:r w:rsidRPr="009C6358">
        <w:rPr>
          <w:rFonts w:ascii="Times New Roman" w:eastAsia="Times New Roman" w:hAnsi="Times New Roman" w:cs="Times New Roman"/>
          <w:b w:val="0"/>
          <w:sz w:val="24"/>
          <w:szCs w:val="24"/>
          <w:highlight w:val="white"/>
          <w:lang w:val="en-US"/>
        </w:rPr>
        <w:t>Cinelli, C.</w:t>
      </w:r>
      <w:r w:rsidR="00630728">
        <w:rPr>
          <w:rFonts w:ascii="Times New Roman" w:eastAsia="Times New Roman" w:hAnsi="Times New Roman" w:cs="Times New Roman"/>
          <w:b w:val="0"/>
          <w:sz w:val="24"/>
          <w:szCs w:val="24"/>
          <w:highlight w:val="white"/>
          <w:lang w:val="en-US"/>
        </w:rPr>
        <w:t xml:space="preserve">, </w:t>
      </w:r>
      <w:r w:rsidRPr="009C6358">
        <w:rPr>
          <w:rFonts w:ascii="Times New Roman" w:eastAsia="Times New Roman" w:hAnsi="Times New Roman" w:cs="Times New Roman"/>
          <w:b w:val="0"/>
          <w:sz w:val="24"/>
          <w:szCs w:val="24"/>
          <w:highlight w:val="white"/>
          <w:lang w:val="en-US"/>
        </w:rPr>
        <w:t>Forney, A.</w:t>
      </w:r>
      <w:r w:rsidR="00630728">
        <w:rPr>
          <w:rFonts w:ascii="Times New Roman" w:eastAsia="Times New Roman" w:hAnsi="Times New Roman" w:cs="Times New Roman"/>
          <w:b w:val="0"/>
          <w:sz w:val="24"/>
          <w:szCs w:val="24"/>
          <w:highlight w:val="white"/>
          <w:lang w:val="en-US"/>
        </w:rPr>
        <w:t>,</w:t>
      </w:r>
      <w:r w:rsidRPr="009C6358">
        <w:rPr>
          <w:rFonts w:ascii="Times New Roman" w:eastAsia="Times New Roman" w:hAnsi="Times New Roman" w:cs="Times New Roman"/>
          <w:b w:val="0"/>
          <w:sz w:val="24"/>
          <w:szCs w:val="24"/>
          <w:highlight w:val="white"/>
          <w:lang w:val="en-US"/>
        </w:rPr>
        <w:t xml:space="preserve"> </w:t>
      </w:r>
      <w:r w:rsidR="00630728">
        <w:rPr>
          <w:rFonts w:ascii="Times New Roman" w:eastAsia="Times New Roman" w:hAnsi="Times New Roman" w:cs="Times New Roman"/>
          <w:b w:val="0"/>
          <w:sz w:val="24"/>
          <w:szCs w:val="24"/>
          <w:highlight w:val="white"/>
          <w:lang w:val="en-US"/>
        </w:rPr>
        <w:t>&amp;</w:t>
      </w:r>
      <w:r w:rsidRPr="009C6358">
        <w:rPr>
          <w:rFonts w:ascii="Times New Roman" w:eastAsia="Times New Roman" w:hAnsi="Times New Roman" w:cs="Times New Roman"/>
          <w:b w:val="0"/>
          <w:sz w:val="24"/>
          <w:szCs w:val="24"/>
          <w:highlight w:val="white"/>
          <w:lang w:val="en-US"/>
        </w:rPr>
        <w:t xml:space="preserve"> Pearl, J., </w:t>
      </w:r>
      <w:r w:rsidR="00630728">
        <w:rPr>
          <w:rFonts w:ascii="Times New Roman" w:eastAsia="Times New Roman" w:hAnsi="Times New Roman" w:cs="Times New Roman"/>
          <w:b w:val="0"/>
          <w:sz w:val="24"/>
          <w:szCs w:val="24"/>
          <w:highlight w:val="white"/>
          <w:lang w:val="en-US"/>
        </w:rPr>
        <w:t xml:space="preserve">(2022) </w:t>
      </w:r>
      <w:r w:rsidRPr="009C6358">
        <w:rPr>
          <w:rFonts w:ascii="Times New Roman" w:eastAsia="Times New Roman" w:hAnsi="Times New Roman" w:cs="Times New Roman"/>
          <w:b w:val="0"/>
          <w:sz w:val="24"/>
          <w:szCs w:val="24"/>
          <w:highlight w:val="white"/>
          <w:lang w:val="en-US"/>
        </w:rPr>
        <w:t xml:space="preserve">A </w:t>
      </w:r>
      <w:r w:rsidR="00A31C65" w:rsidRPr="009C6358">
        <w:rPr>
          <w:rFonts w:ascii="Times New Roman" w:eastAsia="Times New Roman" w:hAnsi="Times New Roman" w:cs="Times New Roman"/>
          <w:b w:val="0"/>
          <w:sz w:val="24"/>
          <w:szCs w:val="24"/>
          <w:highlight w:val="white"/>
          <w:lang w:val="en-US"/>
        </w:rPr>
        <w:t>crash course in good and bad controls</w:t>
      </w:r>
      <w:r w:rsidR="00630728">
        <w:rPr>
          <w:rFonts w:ascii="Times New Roman" w:eastAsia="Times New Roman" w:hAnsi="Times New Roman" w:cs="Times New Roman"/>
          <w:b w:val="0"/>
          <w:sz w:val="24"/>
          <w:szCs w:val="24"/>
          <w:highlight w:val="white"/>
          <w:lang w:val="en-US"/>
        </w:rPr>
        <w:t xml:space="preserve">. </w:t>
      </w:r>
      <w:r w:rsidRPr="00A31C65">
        <w:rPr>
          <w:rFonts w:ascii="Times New Roman" w:eastAsia="Times New Roman" w:hAnsi="Times New Roman" w:cs="Times New Roman"/>
          <w:b w:val="0"/>
          <w:i/>
          <w:iCs/>
          <w:sz w:val="24"/>
          <w:szCs w:val="24"/>
          <w:highlight w:val="white"/>
        </w:rPr>
        <w:t>Sociological Methods &amp; Research</w:t>
      </w:r>
      <w:r w:rsidRPr="00A31C65">
        <w:rPr>
          <w:rFonts w:ascii="Times New Roman" w:eastAsia="Times New Roman" w:hAnsi="Times New Roman" w:cs="Times New Roman"/>
          <w:b w:val="0"/>
          <w:i/>
          <w:iCs/>
          <w:sz w:val="24"/>
          <w:szCs w:val="24"/>
          <w:highlight w:val="white"/>
          <w:lang w:val="en-US"/>
        </w:rPr>
        <w:t>.</w:t>
      </w:r>
      <w:r w:rsidR="00A31C65" w:rsidRPr="00A31C65">
        <w:rPr>
          <w:rFonts w:ascii="Times New Roman" w:eastAsia="Times New Roman" w:hAnsi="Times New Roman" w:cs="Times New Roman"/>
          <w:b w:val="0"/>
          <w:i/>
          <w:iCs/>
          <w:sz w:val="24"/>
          <w:szCs w:val="24"/>
          <w:highlight w:val="white"/>
          <w:lang w:val="en-US"/>
        </w:rPr>
        <w:t xml:space="preserve"> Advance online </w:t>
      </w:r>
      <w:r w:rsidR="00A31C65" w:rsidRPr="00DA605B">
        <w:rPr>
          <w:rFonts w:ascii="Times New Roman" w:eastAsia="Times New Roman" w:hAnsi="Times New Roman" w:cs="Times New Roman"/>
          <w:b w:val="0"/>
          <w:i/>
          <w:iCs/>
          <w:sz w:val="24"/>
          <w:szCs w:val="24"/>
          <w:highlight w:val="white"/>
          <w:lang w:val="en-US"/>
        </w:rPr>
        <w:t>publication.</w:t>
      </w:r>
      <w:r w:rsidRPr="00DA605B">
        <w:rPr>
          <w:rFonts w:ascii="Times New Roman" w:eastAsia="Times New Roman" w:hAnsi="Times New Roman" w:cs="Times New Roman"/>
          <w:b w:val="0"/>
          <w:i/>
          <w:iCs/>
          <w:sz w:val="24"/>
          <w:szCs w:val="24"/>
          <w:highlight w:val="white"/>
          <w:lang w:val="en-US"/>
        </w:rPr>
        <w:t xml:space="preserve"> </w:t>
      </w:r>
      <w:hyperlink r:id="rId10" w:history="1">
        <w:r w:rsidRPr="00DA605B">
          <w:rPr>
            <w:rStyle w:val="Hyperlink"/>
            <w:rFonts w:ascii="Times New Roman" w:eastAsia="Times New Roman" w:hAnsi="Times New Roman" w:cs="Times New Roman"/>
            <w:b w:val="0"/>
            <w:sz w:val="24"/>
            <w:szCs w:val="24"/>
            <w:highlight w:val="white"/>
          </w:rPr>
          <w:t>https://doi.org/10.1177/00491241221099552</w:t>
        </w:r>
      </w:hyperlink>
    </w:p>
    <w:p w14:paraId="00000046" w14:textId="6DB7B653" w:rsidR="00A92EB8" w:rsidRDefault="00DA605B" w:rsidP="00CF6D9B">
      <w:pPr>
        <w:spacing w:line="480" w:lineRule="auto"/>
        <w:ind w:left="709" w:hanging="709"/>
        <w:rPr>
          <w:rStyle w:val="cf01"/>
          <w:rFonts w:ascii="Times New Roman" w:hAnsi="Times New Roman" w:cs="Times New Roman"/>
          <w:sz w:val="24"/>
          <w:szCs w:val="24"/>
        </w:rPr>
      </w:pPr>
      <w:proofErr w:type="spellStart"/>
      <w:r w:rsidRPr="00643D5F">
        <w:rPr>
          <w:rStyle w:val="cf01"/>
          <w:rFonts w:ascii="Times New Roman" w:hAnsi="Times New Roman" w:cs="Times New Roman"/>
          <w:sz w:val="24"/>
          <w:szCs w:val="24"/>
          <w:lang w:val="en-US"/>
        </w:rPr>
        <w:t>Ciechanowski</w:t>
      </w:r>
      <w:proofErr w:type="spellEnd"/>
      <w:r w:rsidR="00D900BE" w:rsidRPr="00380216">
        <w:rPr>
          <w:rStyle w:val="cf01"/>
          <w:rFonts w:ascii="Times New Roman" w:hAnsi="Times New Roman" w:cs="Times New Roman"/>
          <w:sz w:val="24"/>
          <w:szCs w:val="24"/>
          <w:lang w:val="en-US"/>
        </w:rPr>
        <w:t>,</w:t>
      </w:r>
      <w:r w:rsidRPr="00643D5F">
        <w:rPr>
          <w:rStyle w:val="cf01"/>
          <w:rFonts w:ascii="Times New Roman" w:hAnsi="Times New Roman" w:cs="Times New Roman"/>
          <w:sz w:val="24"/>
          <w:szCs w:val="24"/>
          <w:lang w:val="en-US"/>
        </w:rPr>
        <w:t xml:space="preserve"> P</w:t>
      </w:r>
      <w:r w:rsidR="00D900BE" w:rsidRPr="00380216">
        <w:rPr>
          <w:rStyle w:val="cf01"/>
          <w:rFonts w:ascii="Times New Roman" w:hAnsi="Times New Roman" w:cs="Times New Roman"/>
          <w:sz w:val="24"/>
          <w:szCs w:val="24"/>
          <w:lang w:val="en-US"/>
        </w:rPr>
        <w:t>.</w:t>
      </w:r>
      <w:r w:rsidRPr="00643D5F">
        <w:rPr>
          <w:rStyle w:val="cf01"/>
          <w:rFonts w:ascii="Times New Roman" w:hAnsi="Times New Roman" w:cs="Times New Roman"/>
          <w:sz w:val="24"/>
          <w:szCs w:val="24"/>
          <w:lang w:val="en-US"/>
        </w:rPr>
        <w:t>, Russo</w:t>
      </w:r>
      <w:r w:rsidR="00D900BE" w:rsidRPr="00380216">
        <w:rPr>
          <w:rStyle w:val="cf01"/>
          <w:rFonts w:ascii="Times New Roman" w:hAnsi="Times New Roman" w:cs="Times New Roman"/>
          <w:sz w:val="24"/>
          <w:szCs w:val="24"/>
          <w:lang w:val="en-US"/>
        </w:rPr>
        <w:t>,</w:t>
      </w:r>
      <w:r w:rsidRPr="00643D5F">
        <w:rPr>
          <w:rStyle w:val="cf01"/>
          <w:rFonts w:ascii="Times New Roman" w:hAnsi="Times New Roman" w:cs="Times New Roman"/>
          <w:sz w:val="24"/>
          <w:szCs w:val="24"/>
          <w:lang w:val="en-US"/>
        </w:rPr>
        <w:t xml:space="preserve"> J</w:t>
      </w:r>
      <w:r w:rsidR="00D900BE" w:rsidRPr="00380216">
        <w:rPr>
          <w:rStyle w:val="cf01"/>
          <w:rFonts w:ascii="Times New Roman" w:hAnsi="Times New Roman" w:cs="Times New Roman"/>
          <w:sz w:val="24"/>
          <w:szCs w:val="24"/>
          <w:lang w:val="en-US"/>
        </w:rPr>
        <w:t>.</w:t>
      </w:r>
      <w:r w:rsidRPr="00643D5F">
        <w:rPr>
          <w:rStyle w:val="cf01"/>
          <w:rFonts w:ascii="Times New Roman" w:hAnsi="Times New Roman" w:cs="Times New Roman"/>
          <w:sz w:val="24"/>
          <w:szCs w:val="24"/>
          <w:lang w:val="en-US"/>
        </w:rPr>
        <w:t xml:space="preserve">, </w:t>
      </w:r>
      <w:proofErr w:type="spellStart"/>
      <w:r w:rsidRPr="00643D5F">
        <w:rPr>
          <w:rStyle w:val="cf01"/>
          <w:rFonts w:ascii="Times New Roman" w:hAnsi="Times New Roman" w:cs="Times New Roman"/>
          <w:sz w:val="24"/>
          <w:szCs w:val="24"/>
          <w:lang w:val="en-US"/>
        </w:rPr>
        <w:t>Katon</w:t>
      </w:r>
      <w:proofErr w:type="spellEnd"/>
      <w:r w:rsidR="00D900BE" w:rsidRPr="00380216">
        <w:rPr>
          <w:rStyle w:val="cf01"/>
          <w:rFonts w:ascii="Times New Roman" w:hAnsi="Times New Roman" w:cs="Times New Roman"/>
          <w:sz w:val="24"/>
          <w:szCs w:val="24"/>
          <w:lang w:val="en-US"/>
        </w:rPr>
        <w:t>,</w:t>
      </w:r>
      <w:r w:rsidRPr="00643D5F">
        <w:rPr>
          <w:rStyle w:val="cf01"/>
          <w:rFonts w:ascii="Times New Roman" w:hAnsi="Times New Roman" w:cs="Times New Roman"/>
          <w:sz w:val="24"/>
          <w:szCs w:val="24"/>
          <w:lang w:val="en-US"/>
        </w:rPr>
        <w:t xml:space="preserve"> W</w:t>
      </w:r>
      <w:r w:rsidR="00D900BE" w:rsidRPr="00380216">
        <w:rPr>
          <w:rStyle w:val="cf01"/>
          <w:rFonts w:ascii="Times New Roman" w:hAnsi="Times New Roman" w:cs="Times New Roman"/>
          <w:sz w:val="24"/>
          <w:szCs w:val="24"/>
          <w:lang w:val="en-US"/>
        </w:rPr>
        <w:t>.</w:t>
      </w:r>
      <w:r w:rsidRPr="00643D5F">
        <w:rPr>
          <w:rStyle w:val="cf01"/>
          <w:rFonts w:ascii="Times New Roman" w:hAnsi="Times New Roman" w:cs="Times New Roman"/>
          <w:sz w:val="24"/>
          <w:szCs w:val="24"/>
          <w:lang w:val="en-US"/>
        </w:rPr>
        <w:t xml:space="preserve">, Von </w:t>
      </w:r>
      <w:proofErr w:type="spellStart"/>
      <w:r w:rsidRPr="00643D5F">
        <w:rPr>
          <w:rStyle w:val="cf01"/>
          <w:rFonts w:ascii="Times New Roman" w:hAnsi="Times New Roman" w:cs="Times New Roman"/>
          <w:sz w:val="24"/>
          <w:szCs w:val="24"/>
          <w:lang w:val="en-US"/>
        </w:rPr>
        <w:t>Korff</w:t>
      </w:r>
      <w:proofErr w:type="spellEnd"/>
      <w:r w:rsidR="00D900BE" w:rsidRPr="00380216">
        <w:rPr>
          <w:rStyle w:val="cf01"/>
          <w:rFonts w:ascii="Times New Roman" w:hAnsi="Times New Roman" w:cs="Times New Roman"/>
          <w:sz w:val="24"/>
          <w:szCs w:val="24"/>
          <w:lang w:val="en-US"/>
        </w:rPr>
        <w:t>,</w:t>
      </w:r>
      <w:r w:rsidRPr="00643D5F">
        <w:rPr>
          <w:rStyle w:val="cf01"/>
          <w:rFonts w:ascii="Times New Roman" w:hAnsi="Times New Roman" w:cs="Times New Roman"/>
          <w:sz w:val="24"/>
          <w:szCs w:val="24"/>
          <w:lang w:val="en-US"/>
        </w:rPr>
        <w:t xml:space="preserve"> M</w:t>
      </w:r>
      <w:r w:rsidR="00D900BE" w:rsidRPr="00380216">
        <w:rPr>
          <w:rStyle w:val="cf01"/>
          <w:rFonts w:ascii="Times New Roman" w:hAnsi="Times New Roman" w:cs="Times New Roman"/>
          <w:sz w:val="24"/>
          <w:szCs w:val="24"/>
          <w:lang w:val="en-US"/>
        </w:rPr>
        <w:t>.</w:t>
      </w:r>
      <w:r w:rsidRPr="00643D5F">
        <w:rPr>
          <w:rStyle w:val="cf01"/>
          <w:rFonts w:ascii="Times New Roman" w:hAnsi="Times New Roman" w:cs="Times New Roman"/>
          <w:sz w:val="24"/>
          <w:szCs w:val="24"/>
          <w:lang w:val="en-US"/>
        </w:rPr>
        <w:t xml:space="preserve">, </w:t>
      </w:r>
      <w:proofErr w:type="spellStart"/>
      <w:r w:rsidRPr="00643D5F">
        <w:rPr>
          <w:rStyle w:val="cf01"/>
          <w:rFonts w:ascii="Times New Roman" w:hAnsi="Times New Roman" w:cs="Times New Roman"/>
          <w:sz w:val="24"/>
          <w:szCs w:val="24"/>
          <w:lang w:val="en-US"/>
        </w:rPr>
        <w:t>Ludman</w:t>
      </w:r>
      <w:proofErr w:type="spellEnd"/>
      <w:r w:rsidR="00D900BE" w:rsidRPr="00380216">
        <w:rPr>
          <w:rStyle w:val="cf01"/>
          <w:rFonts w:ascii="Times New Roman" w:hAnsi="Times New Roman" w:cs="Times New Roman"/>
          <w:sz w:val="24"/>
          <w:szCs w:val="24"/>
          <w:lang w:val="en-US"/>
        </w:rPr>
        <w:t>,</w:t>
      </w:r>
      <w:r w:rsidRPr="00643D5F">
        <w:rPr>
          <w:rStyle w:val="cf01"/>
          <w:rFonts w:ascii="Times New Roman" w:hAnsi="Times New Roman" w:cs="Times New Roman"/>
          <w:sz w:val="24"/>
          <w:szCs w:val="24"/>
          <w:lang w:val="en-US"/>
        </w:rPr>
        <w:t xml:space="preserve"> E</w:t>
      </w:r>
      <w:r w:rsidR="00D900BE" w:rsidRPr="00380216">
        <w:rPr>
          <w:rStyle w:val="cf01"/>
          <w:rFonts w:ascii="Times New Roman" w:hAnsi="Times New Roman" w:cs="Times New Roman"/>
          <w:sz w:val="24"/>
          <w:szCs w:val="24"/>
          <w:lang w:val="en-US"/>
        </w:rPr>
        <w:t>.</w:t>
      </w:r>
      <w:r w:rsidRPr="00643D5F">
        <w:rPr>
          <w:rStyle w:val="cf01"/>
          <w:rFonts w:ascii="Times New Roman" w:hAnsi="Times New Roman" w:cs="Times New Roman"/>
          <w:sz w:val="24"/>
          <w:szCs w:val="24"/>
          <w:lang w:val="en-US"/>
        </w:rPr>
        <w:t>, Lin</w:t>
      </w:r>
      <w:r w:rsidR="00D900BE" w:rsidRPr="00380216">
        <w:rPr>
          <w:rStyle w:val="cf01"/>
          <w:rFonts w:ascii="Times New Roman" w:hAnsi="Times New Roman" w:cs="Times New Roman"/>
          <w:sz w:val="24"/>
          <w:szCs w:val="24"/>
          <w:lang w:val="en-US"/>
        </w:rPr>
        <w:t>,</w:t>
      </w:r>
      <w:r w:rsidRPr="00643D5F">
        <w:rPr>
          <w:rStyle w:val="cf01"/>
          <w:rFonts w:ascii="Times New Roman" w:hAnsi="Times New Roman" w:cs="Times New Roman"/>
          <w:sz w:val="24"/>
          <w:szCs w:val="24"/>
          <w:lang w:val="en-US"/>
        </w:rPr>
        <w:t xml:space="preserve"> E</w:t>
      </w:r>
      <w:r w:rsidR="00D900BE" w:rsidRPr="00380216">
        <w:rPr>
          <w:rStyle w:val="cf01"/>
          <w:rFonts w:ascii="Times New Roman" w:hAnsi="Times New Roman" w:cs="Times New Roman"/>
          <w:sz w:val="24"/>
          <w:szCs w:val="24"/>
          <w:lang w:val="en-US"/>
        </w:rPr>
        <w:t>.</w:t>
      </w:r>
      <w:r w:rsidRPr="00643D5F">
        <w:rPr>
          <w:rStyle w:val="cf01"/>
          <w:rFonts w:ascii="Times New Roman" w:hAnsi="Times New Roman" w:cs="Times New Roman"/>
          <w:sz w:val="24"/>
          <w:szCs w:val="24"/>
          <w:lang w:val="en-US"/>
        </w:rPr>
        <w:t>, Simon</w:t>
      </w:r>
      <w:r w:rsidR="00D900BE" w:rsidRPr="00380216">
        <w:rPr>
          <w:rStyle w:val="cf01"/>
          <w:rFonts w:ascii="Times New Roman" w:hAnsi="Times New Roman" w:cs="Times New Roman"/>
          <w:sz w:val="24"/>
          <w:szCs w:val="24"/>
          <w:lang w:val="en-US"/>
        </w:rPr>
        <w:t>,</w:t>
      </w:r>
      <w:r w:rsidRPr="00643D5F">
        <w:rPr>
          <w:rStyle w:val="cf01"/>
          <w:rFonts w:ascii="Times New Roman" w:hAnsi="Times New Roman" w:cs="Times New Roman"/>
          <w:sz w:val="24"/>
          <w:szCs w:val="24"/>
          <w:lang w:val="en-US"/>
        </w:rPr>
        <w:t xml:space="preserve"> G</w:t>
      </w:r>
      <w:r w:rsidR="00D900BE" w:rsidRPr="00380216">
        <w:rPr>
          <w:rStyle w:val="cf01"/>
          <w:rFonts w:ascii="Times New Roman" w:hAnsi="Times New Roman" w:cs="Times New Roman"/>
          <w:sz w:val="24"/>
          <w:szCs w:val="24"/>
          <w:lang w:val="en-US"/>
        </w:rPr>
        <w:t>.</w:t>
      </w:r>
      <w:r w:rsidRPr="00643D5F">
        <w:rPr>
          <w:rStyle w:val="cf01"/>
          <w:rFonts w:ascii="Times New Roman" w:hAnsi="Times New Roman" w:cs="Times New Roman"/>
          <w:sz w:val="24"/>
          <w:szCs w:val="24"/>
          <w:lang w:val="en-US"/>
        </w:rPr>
        <w:t xml:space="preserve">, </w:t>
      </w:r>
      <w:r w:rsidR="00D900BE" w:rsidRPr="00380216">
        <w:rPr>
          <w:rStyle w:val="cf01"/>
          <w:rFonts w:ascii="Times New Roman" w:hAnsi="Times New Roman" w:cs="Times New Roman"/>
          <w:sz w:val="24"/>
          <w:szCs w:val="24"/>
          <w:lang w:val="en-US"/>
        </w:rPr>
        <w:t xml:space="preserve">&amp; </w:t>
      </w:r>
      <w:r w:rsidRPr="00643D5F">
        <w:rPr>
          <w:rStyle w:val="cf01"/>
          <w:rFonts w:ascii="Times New Roman" w:hAnsi="Times New Roman" w:cs="Times New Roman"/>
          <w:sz w:val="24"/>
          <w:szCs w:val="24"/>
          <w:lang w:val="en-US"/>
        </w:rPr>
        <w:t>Bush</w:t>
      </w:r>
      <w:r w:rsidR="00D900BE" w:rsidRPr="00380216">
        <w:rPr>
          <w:rStyle w:val="cf01"/>
          <w:rFonts w:ascii="Times New Roman" w:hAnsi="Times New Roman" w:cs="Times New Roman"/>
          <w:sz w:val="24"/>
          <w:szCs w:val="24"/>
          <w:lang w:val="en-US"/>
        </w:rPr>
        <w:t>,</w:t>
      </w:r>
      <w:r w:rsidRPr="00643D5F">
        <w:rPr>
          <w:rStyle w:val="cf01"/>
          <w:rFonts w:ascii="Times New Roman" w:hAnsi="Times New Roman" w:cs="Times New Roman"/>
          <w:sz w:val="24"/>
          <w:szCs w:val="24"/>
          <w:lang w:val="en-US"/>
        </w:rPr>
        <w:t xml:space="preserve"> T. (2004). </w:t>
      </w:r>
      <w:r w:rsidRPr="00643D5F">
        <w:rPr>
          <w:rStyle w:val="cf01"/>
          <w:rFonts w:ascii="Times New Roman" w:hAnsi="Times New Roman" w:cs="Times New Roman"/>
          <w:sz w:val="24"/>
          <w:szCs w:val="24"/>
        </w:rPr>
        <w:t>Influence of patient attachment style on self-care and outcomes in diabetes. Psychosomatic Medicine 66(5)</w:t>
      </w:r>
      <w:r w:rsidR="00D900BE">
        <w:rPr>
          <w:rStyle w:val="cf01"/>
          <w:rFonts w:ascii="Times New Roman" w:hAnsi="Times New Roman" w:cs="Times New Roman"/>
          <w:sz w:val="24"/>
          <w:szCs w:val="24"/>
        </w:rPr>
        <w:t xml:space="preserve">, </w:t>
      </w:r>
      <w:r w:rsidRPr="00643D5F">
        <w:rPr>
          <w:rStyle w:val="cf01"/>
          <w:rFonts w:ascii="Times New Roman" w:hAnsi="Times New Roman" w:cs="Times New Roman"/>
          <w:sz w:val="24"/>
          <w:szCs w:val="24"/>
        </w:rPr>
        <w:t>720-</w:t>
      </w:r>
      <w:r w:rsidR="00D900BE">
        <w:rPr>
          <w:rStyle w:val="cf01"/>
          <w:rFonts w:ascii="Times New Roman" w:hAnsi="Times New Roman" w:cs="Times New Roman"/>
          <w:sz w:val="24"/>
          <w:szCs w:val="24"/>
        </w:rPr>
        <w:t>72</w:t>
      </w:r>
      <w:r w:rsidRPr="00643D5F">
        <w:rPr>
          <w:rStyle w:val="cf01"/>
          <w:rFonts w:ascii="Times New Roman" w:hAnsi="Times New Roman" w:cs="Times New Roman"/>
          <w:sz w:val="24"/>
          <w:szCs w:val="24"/>
        </w:rPr>
        <w:t xml:space="preserve">8. </w:t>
      </w:r>
      <w:r w:rsidR="00D900BE" w:rsidRPr="009C6358">
        <w:rPr>
          <w:lang w:val="en-US"/>
        </w:rPr>
        <w:t>https://doi.org/</w:t>
      </w:r>
      <w:r w:rsidRPr="00643D5F">
        <w:rPr>
          <w:rStyle w:val="cf01"/>
          <w:rFonts w:ascii="Times New Roman" w:hAnsi="Times New Roman" w:cs="Times New Roman"/>
          <w:sz w:val="24"/>
          <w:szCs w:val="24"/>
        </w:rPr>
        <w:t xml:space="preserve">10.1097/01.psy.0000138125.59122.23. </w:t>
      </w:r>
    </w:p>
    <w:p w14:paraId="00000067" w14:textId="471612F3" w:rsidR="00A92EB8" w:rsidRDefault="00D56A62" w:rsidP="00CF6D9B">
      <w:pPr>
        <w:spacing w:line="480" w:lineRule="auto"/>
        <w:ind w:left="709" w:hanging="709"/>
        <w:rPr>
          <w:lang w:val="en-US"/>
        </w:rPr>
      </w:pPr>
      <w:r w:rsidRPr="00D56A62">
        <w:rPr>
          <w:lang w:val="en-US"/>
        </w:rPr>
        <w:t xml:space="preserve">Fraley, R. C., &amp; Shaver, P. R. (1998). Airport separations: A naturalistic study of adult attachment dynamics in separating couples. </w:t>
      </w:r>
      <w:r w:rsidRPr="00D900BE">
        <w:rPr>
          <w:i/>
          <w:iCs/>
          <w:lang w:val="en-US"/>
        </w:rPr>
        <w:t>Journal of Personality and Social Psychology, 75</w:t>
      </w:r>
      <w:r w:rsidRPr="00D56A62">
        <w:rPr>
          <w:lang w:val="en-US"/>
        </w:rPr>
        <w:t xml:space="preserve">(5), 1198–1212. </w:t>
      </w:r>
      <w:hyperlink r:id="rId11" w:history="1">
        <w:r w:rsidR="00D900BE" w:rsidRPr="00C84638">
          <w:rPr>
            <w:rStyle w:val="Hyperlink"/>
            <w:lang w:val="en-US"/>
          </w:rPr>
          <w:t>https://doi.org/10.1037/0022-3514.75.5.1198</w:t>
        </w:r>
      </w:hyperlink>
    </w:p>
    <w:p w14:paraId="3C30EA2A" w14:textId="23D23598" w:rsidR="00AA4872" w:rsidRPr="009C6358" w:rsidRDefault="003409C0" w:rsidP="00CF6D9B">
      <w:pPr>
        <w:spacing w:line="480" w:lineRule="auto"/>
        <w:ind w:left="709" w:hanging="709"/>
        <w:rPr>
          <w:lang w:val="en-US"/>
        </w:rPr>
      </w:pPr>
      <w:proofErr w:type="spellStart"/>
      <w:r w:rsidRPr="003409C0">
        <w:t>Dawid</w:t>
      </w:r>
      <w:proofErr w:type="spellEnd"/>
      <w:r w:rsidRPr="003409C0">
        <w:t>, A. P. (2010). Beware of the DAG! In </w:t>
      </w:r>
      <w:r w:rsidRPr="003409C0">
        <w:rPr>
          <w:i/>
          <w:iCs/>
        </w:rPr>
        <w:t>Causality: objectives and assessment</w:t>
      </w:r>
      <w:r w:rsidR="00643D5F">
        <w:rPr>
          <w:i/>
          <w:iCs/>
        </w:rPr>
        <w:t>,</w:t>
      </w:r>
      <w:r w:rsidRPr="003409C0">
        <w:t xml:space="preserve"> PMLR 6, 59-86. https://proceedings.mlr.press/v6/dawid10a</w:t>
      </w:r>
      <w:bookmarkStart w:id="1" w:name="_heading=h.8be35qjgyke1" w:colFirst="0" w:colLast="0"/>
      <w:bookmarkEnd w:id="1"/>
    </w:p>
    <w:p w14:paraId="00000076" w14:textId="009ACEC2" w:rsidR="00A92EB8" w:rsidRPr="009C6358" w:rsidRDefault="00411C61" w:rsidP="009C6358">
      <w:pPr>
        <w:spacing w:line="480" w:lineRule="auto"/>
        <w:ind w:left="709" w:hanging="709"/>
        <w:rPr>
          <w:lang w:val="en-US"/>
        </w:rPr>
      </w:pPr>
      <w:r w:rsidRPr="009C6358">
        <w:rPr>
          <w:lang w:val="en-US"/>
        </w:rPr>
        <w:t xml:space="preserve">Drucker, H. (1997) Improving regressors using boosting techniques. </w:t>
      </w:r>
      <w:r w:rsidRPr="009C6358">
        <w:rPr>
          <w:i/>
          <w:lang w:val="en-US"/>
        </w:rPr>
        <w:t>Proceedings of the Fourteenth International Conference on Machine Learning</w:t>
      </w:r>
      <w:r w:rsidRPr="009C6358">
        <w:rPr>
          <w:lang w:val="en-US"/>
        </w:rPr>
        <w:t xml:space="preserve"> pp107-115. https://doi.org/</w:t>
      </w:r>
      <w:r w:rsidRPr="009C6358">
        <w:rPr>
          <w:i/>
          <w:lang w:val="en-US"/>
        </w:rPr>
        <w:t>10.5555/645526.657132</w:t>
      </w:r>
    </w:p>
    <w:p w14:paraId="00000078" w14:textId="4DFA8E9D" w:rsidR="00A92EB8" w:rsidRPr="009C6358" w:rsidRDefault="00411C61" w:rsidP="009C6358">
      <w:pPr>
        <w:spacing w:line="480" w:lineRule="auto"/>
        <w:ind w:left="709" w:hanging="709"/>
        <w:rPr>
          <w:i/>
          <w:lang w:val="en-US"/>
        </w:rPr>
      </w:pPr>
      <w:proofErr w:type="spellStart"/>
      <w:r w:rsidRPr="009C6358">
        <w:rPr>
          <w:lang w:val="en-US"/>
        </w:rPr>
        <w:lastRenderedPageBreak/>
        <w:t>Glymour</w:t>
      </w:r>
      <w:proofErr w:type="spellEnd"/>
      <w:r w:rsidRPr="009C6358">
        <w:rPr>
          <w:lang w:val="en-US"/>
        </w:rPr>
        <w:t xml:space="preserve">, C. (2001) The mind's arrows: Bayes nets and graphical causal models in psychology. </w:t>
      </w:r>
      <w:r w:rsidRPr="009C6358">
        <w:rPr>
          <w:i/>
          <w:lang w:val="en-US"/>
        </w:rPr>
        <w:t>MIT Press.</w:t>
      </w:r>
    </w:p>
    <w:p w14:paraId="0000007A" w14:textId="79D1D1A7" w:rsidR="00A92EB8" w:rsidRPr="009C6358" w:rsidRDefault="00411C61" w:rsidP="009C6358">
      <w:pPr>
        <w:spacing w:line="480" w:lineRule="auto"/>
        <w:ind w:left="709" w:hanging="709"/>
        <w:rPr>
          <w:lang w:val="en-US"/>
        </w:rPr>
      </w:pPr>
      <w:proofErr w:type="spellStart"/>
      <w:r w:rsidRPr="009C6358">
        <w:rPr>
          <w:lang w:val="en-US"/>
        </w:rPr>
        <w:t>Glymour</w:t>
      </w:r>
      <w:proofErr w:type="spellEnd"/>
      <w:r w:rsidRPr="009C6358">
        <w:rPr>
          <w:lang w:val="en-US"/>
        </w:rPr>
        <w:t>, C.</w:t>
      </w:r>
      <w:r w:rsidR="00630728">
        <w:rPr>
          <w:lang w:val="en-US"/>
        </w:rPr>
        <w:t xml:space="preserve">, </w:t>
      </w:r>
      <w:r w:rsidRPr="009C6358">
        <w:rPr>
          <w:lang w:val="en-US"/>
        </w:rPr>
        <w:t>Zhang, K.</w:t>
      </w:r>
      <w:r w:rsidR="00630728">
        <w:rPr>
          <w:lang w:val="en-US"/>
        </w:rPr>
        <w:t>,</w:t>
      </w:r>
      <w:r w:rsidRPr="009C6358">
        <w:rPr>
          <w:lang w:val="en-US"/>
        </w:rPr>
        <w:t xml:space="preserve"> </w:t>
      </w:r>
      <w:r w:rsidR="00630728">
        <w:rPr>
          <w:lang w:val="en-US"/>
        </w:rPr>
        <w:t xml:space="preserve">&amp; </w:t>
      </w:r>
      <w:proofErr w:type="spellStart"/>
      <w:r w:rsidRPr="009C6358">
        <w:rPr>
          <w:lang w:val="en-US"/>
        </w:rPr>
        <w:t>Spirtes</w:t>
      </w:r>
      <w:proofErr w:type="spellEnd"/>
      <w:r w:rsidRPr="009C6358">
        <w:rPr>
          <w:lang w:val="en-US"/>
        </w:rPr>
        <w:t xml:space="preserve">, P. (2019) Review of causal discovery methods based on graphical models. </w:t>
      </w:r>
      <w:r w:rsidRPr="00A31C65">
        <w:rPr>
          <w:i/>
          <w:iCs/>
          <w:lang w:val="en-US"/>
        </w:rPr>
        <w:t>Frontiers in Genetics, 10</w:t>
      </w:r>
      <w:r w:rsidRPr="009C6358">
        <w:rPr>
          <w:lang w:val="en-US"/>
        </w:rPr>
        <w:t xml:space="preserve">. </w:t>
      </w:r>
      <w:hyperlink r:id="rId12">
        <w:r w:rsidRPr="009C6358">
          <w:rPr>
            <w:highlight w:val="white"/>
            <w:u w:val="single"/>
            <w:lang w:val="en-US"/>
          </w:rPr>
          <w:t>10.3389/fgene.2019.00524</w:t>
        </w:r>
      </w:hyperlink>
    </w:p>
    <w:p w14:paraId="0000007C" w14:textId="266FF8BC" w:rsidR="00A92EB8" w:rsidRPr="009C6358" w:rsidRDefault="00411C61" w:rsidP="009C6358">
      <w:pPr>
        <w:spacing w:line="480" w:lineRule="auto"/>
        <w:ind w:left="709" w:hanging="709"/>
        <w:rPr>
          <w:iCs/>
          <w:highlight w:val="white"/>
          <w:lang w:val="en-US"/>
        </w:rPr>
      </w:pPr>
      <w:r w:rsidRPr="009C6358">
        <w:rPr>
          <w:iCs/>
          <w:highlight w:val="white"/>
          <w:lang w:val="en-US"/>
        </w:rPr>
        <w:t xml:space="preserve">Goodfellow, I., </w:t>
      </w:r>
      <w:proofErr w:type="spellStart"/>
      <w:r w:rsidRPr="009C6358">
        <w:rPr>
          <w:iCs/>
          <w:highlight w:val="white"/>
          <w:lang w:val="en-US"/>
        </w:rPr>
        <w:t>Pouget</w:t>
      </w:r>
      <w:proofErr w:type="spellEnd"/>
      <w:r w:rsidRPr="009C6358">
        <w:rPr>
          <w:iCs/>
          <w:highlight w:val="white"/>
          <w:lang w:val="en-US"/>
        </w:rPr>
        <w:t xml:space="preserve">-Abadie, J., Mirza, M., Xu, B., </w:t>
      </w:r>
      <w:proofErr w:type="spellStart"/>
      <w:r w:rsidRPr="009C6358">
        <w:rPr>
          <w:iCs/>
          <w:highlight w:val="white"/>
          <w:lang w:val="en-US"/>
        </w:rPr>
        <w:t>Warde</w:t>
      </w:r>
      <w:proofErr w:type="spellEnd"/>
      <w:r w:rsidRPr="009C6358">
        <w:rPr>
          <w:iCs/>
          <w:highlight w:val="white"/>
          <w:lang w:val="en-US"/>
        </w:rPr>
        <w:t xml:space="preserve">-Farley, D., </w:t>
      </w:r>
      <w:proofErr w:type="spellStart"/>
      <w:r w:rsidRPr="009C6358">
        <w:rPr>
          <w:iCs/>
          <w:highlight w:val="white"/>
          <w:lang w:val="en-US"/>
        </w:rPr>
        <w:t>Ozair</w:t>
      </w:r>
      <w:proofErr w:type="spellEnd"/>
      <w:r w:rsidRPr="009C6358">
        <w:rPr>
          <w:iCs/>
          <w:highlight w:val="white"/>
          <w:lang w:val="en-US"/>
        </w:rPr>
        <w:t>, S., Courville, A.,</w:t>
      </w:r>
      <w:r w:rsidR="00630728">
        <w:rPr>
          <w:iCs/>
          <w:highlight w:val="white"/>
          <w:lang w:val="en-US"/>
        </w:rPr>
        <w:t xml:space="preserve"> &amp;</w:t>
      </w:r>
      <w:r w:rsidRPr="009C6358">
        <w:rPr>
          <w:iCs/>
          <w:highlight w:val="white"/>
          <w:lang w:val="en-US"/>
        </w:rPr>
        <w:t xml:space="preserve"> </w:t>
      </w:r>
      <w:proofErr w:type="spellStart"/>
      <w:r w:rsidRPr="009C6358">
        <w:rPr>
          <w:iCs/>
          <w:highlight w:val="white"/>
          <w:lang w:val="en-US"/>
        </w:rPr>
        <w:t>Bengio</w:t>
      </w:r>
      <w:proofErr w:type="spellEnd"/>
      <w:r w:rsidRPr="009C6358">
        <w:rPr>
          <w:iCs/>
          <w:highlight w:val="white"/>
          <w:lang w:val="en-US"/>
        </w:rPr>
        <w:t xml:space="preserve">, Y. Generative Adversarial Nets. </w:t>
      </w:r>
      <w:hyperlink r:id="rId13">
        <w:r w:rsidRPr="00A31C65">
          <w:rPr>
            <w:i/>
            <w:iCs/>
            <w:highlight w:val="white"/>
            <w:lang w:val="en-US"/>
          </w:rPr>
          <w:t>Advances in Neural Information Processing Systems 27 (NIPS 2014)</w:t>
        </w:r>
      </w:hyperlink>
      <w:r w:rsidRPr="009C6358">
        <w:rPr>
          <w:iCs/>
          <w:highlight w:val="white"/>
          <w:lang w:val="en-US"/>
        </w:rPr>
        <w:t>, 27.</w:t>
      </w:r>
    </w:p>
    <w:p w14:paraId="0000007E" w14:textId="2419C404" w:rsidR="00A92EB8" w:rsidRPr="009C6358" w:rsidRDefault="00411C61" w:rsidP="009C6358">
      <w:pPr>
        <w:spacing w:line="480" w:lineRule="auto"/>
        <w:ind w:left="709" w:hanging="709"/>
        <w:rPr>
          <w:iCs/>
          <w:highlight w:val="white"/>
          <w:lang w:val="en-US"/>
        </w:rPr>
      </w:pPr>
      <w:r w:rsidRPr="009C6358">
        <w:rPr>
          <w:iCs/>
          <w:highlight w:val="white"/>
          <w:lang w:val="en-US"/>
        </w:rPr>
        <w:t xml:space="preserve">Goodfellow, I., </w:t>
      </w:r>
      <w:proofErr w:type="spellStart"/>
      <w:r w:rsidRPr="009C6358">
        <w:rPr>
          <w:iCs/>
          <w:highlight w:val="white"/>
          <w:lang w:val="en-US"/>
        </w:rPr>
        <w:t>Bengio</w:t>
      </w:r>
      <w:proofErr w:type="spellEnd"/>
      <w:r w:rsidRPr="009C6358">
        <w:rPr>
          <w:iCs/>
          <w:highlight w:val="white"/>
          <w:lang w:val="en-US"/>
        </w:rPr>
        <w:t xml:space="preserve">, Y., </w:t>
      </w:r>
      <w:r w:rsidR="00630728">
        <w:rPr>
          <w:iCs/>
          <w:highlight w:val="white"/>
          <w:lang w:val="en-US"/>
        </w:rPr>
        <w:t xml:space="preserve">&amp; </w:t>
      </w:r>
      <w:r w:rsidRPr="009C6358">
        <w:rPr>
          <w:iCs/>
          <w:highlight w:val="white"/>
          <w:lang w:val="en-US"/>
        </w:rPr>
        <w:t xml:space="preserve">Courville, A. (2016) Deep learning. MIT Press: Cambridge, Massachusetts. </w:t>
      </w:r>
    </w:p>
    <w:p w14:paraId="1620DAFA" w14:textId="77777777" w:rsidR="00CF6D9B" w:rsidRPr="009C6358" w:rsidRDefault="00CF6D9B" w:rsidP="00CF6D9B">
      <w:pPr>
        <w:spacing w:line="480" w:lineRule="auto"/>
        <w:ind w:left="709" w:hanging="709"/>
        <w:rPr>
          <w:lang w:val="en-US"/>
        </w:rPr>
      </w:pPr>
      <w:r w:rsidRPr="009C6358">
        <w:rPr>
          <w:lang w:val="en-US"/>
        </w:rPr>
        <w:t xml:space="preserve">Grosz, M.P., Rohrer, J.M., &amp; Thoemmes, F.  (2020) The taboo against explicit causal inference in nonexperimental psychology. </w:t>
      </w:r>
      <w:r w:rsidRPr="009C6358">
        <w:rPr>
          <w:i/>
          <w:lang w:val="en-US"/>
        </w:rPr>
        <w:t xml:space="preserve">Perspectives on Psychological Science, 15(5), </w:t>
      </w:r>
      <w:r w:rsidRPr="009C6358">
        <w:rPr>
          <w:lang w:val="en-US"/>
        </w:rPr>
        <w:t>1243–1255</w:t>
      </w:r>
      <w:r w:rsidRPr="009C6358">
        <w:rPr>
          <w:i/>
          <w:lang w:val="en-US"/>
        </w:rPr>
        <w:t xml:space="preserve">. </w:t>
      </w:r>
      <w:r w:rsidRPr="009C6358">
        <w:rPr>
          <w:lang w:val="en-US"/>
        </w:rPr>
        <w:t>10.1177/1745691620921521</w:t>
      </w:r>
    </w:p>
    <w:p w14:paraId="057D66B7" w14:textId="3B30A4D0" w:rsidR="00CF6D9B" w:rsidRPr="009C6358" w:rsidRDefault="00CF6D9B" w:rsidP="00CF6D9B">
      <w:pPr>
        <w:spacing w:line="480" w:lineRule="auto"/>
        <w:ind w:left="709" w:hanging="709"/>
        <w:rPr>
          <w:lang w:val="en-US"/>
        </w:rPr>
      </w:pPr>
      <w:proofErr w:type="spellStart"/>
      <w:r w:rsidRPr="009C6358">
        <w:rPr>
          <w:lang w:val="en-US"/>
        </w:rPr>
        <w:t>Glymour</w:t>
      </w:r>
      <w:proofErr w:type="spellEnd"/>
      <w:r w:rsidRPr="009C6358">
        <w:rPr>
          <w:lang w:val="en-US"/>
        </w:rPr>
        <w:t>, C., Zhang, K.</w:t>
      </w:r>
      <w:r w:rsidR="00630728">
        <w:rPr>
          <w:lang w:val="en-US"/>
        </w:rPr>
        <w:t>,</w:t>
      </w:r>
      <w:r w:rsidRPr="009C6358">
        <w:rPr>
          <w:lang w:val="en-US"/>
        </w:rPr>
        <w:t xml:space="preserve"> &amp; </w:t>
      </w:r>
      <w:proofErr w:type="spellStart"/>
      <w:r w:rsidRPr="009C6358">
        <w:rPr>
          <w:lang w:val="en-US"/>
        </w:rPr>
        <w:t>Spirtes</w:t>
      </w:r>
      <w:proofErr w:type="spellEnd"/>
      <w:r w:rsidRPr="009C6358">
        <w:rPr>
          <w:lang w:val="en-US"/>
        </w:rPr>
        <w:t xml:space="preserve">, P. (2019) Review of causal discovery methods based on graphical models. </w:t>
      </w:r>
      <w:r w:rsidRPr="009C6358">
        <w:rPr>
          <w:i/>
          <w:lang w:val="en-US"/>
        </w:rPr>
        <w:t>Frontiers in Genetics, 10</w:t>
      </w:r>
      <w:r w:rsidRPr="009C6358">
        <w:rPr>
          <w:lang w:val="en-US"/>
        </w:rPr>
        <w:t>.</w:t>
      </w:r>
      <w:hyperlink r:id="rId14">
        <w:r w:rsidRPr="009C6358">
          <w:rPr>
            <w:u w:val="single"/>
            <w:lang w:val="en-US"/>
          </w:rPr>
          <w:t xml:space="preserve"> </w:t>
        </w:r>
      </w:hyperlink>
      <w:r w:rsidRPr="009C6358">
        <w:rPr>
          <w:lang w:val="en-US"/>
        </w:rPr>
        <w:t>https://doi.org/</w:t>
      </w:r>
      <w:hyperlink r:id="rId15">
        <w:r w:rsidRPr="009C6358">
          <w:rPr>
            <w:highlight w:val="white"/>
            <w:u w:val="single"/>
            <w:lang w:val="en-US"/>
          </w:rPr>
          <w:t>10.3389/fgene.2019.00524</w:t>
        </w:r>
      </w:hyperlink>
    </w:p>
    <w:p w14:paraId="16CF5033" w14:textId="77777777" w:rsidR="00CF6D9B" w:rsidRDefault="00CF6D9B" w:rsidP="00CF6D9B">
      <w:pPr>
        <w:spacing w:line="480" w:lineRule="auto"/>
        <w:ind w:left="709" w:hanging="709"/>
        <w:rPr>
          <w:lang w:val="en-US"/>
        </w:rPr>
      </w:pPr>
      <w:r w:rsidRPr="009C6358">
        <w:rPr>
          <w:lang w:val="en-US"/>
        </w:rPr>
        <w:t xml:space="preserve">Hampel, F.R. (1976) The influence function and its role in robust estimation. </w:t>
      </w:r>
      <w:r w:rsidRPr="00786C09">
        <w:rPr>
          <w:i/>
          <w:iCs/>
          <w:lang w:val="en-US"/>
        </w:rPr>
        <w:t>Journal of the American Statistical Association. 69</w:t>
      </w:r>
      <w:r w:rsidRPr="009C6358">
        <w:rPr>
          <w:lang w:val="en-US"/>
        </w:rPr>
        <w:t xml:space="preserve">(346), pp.383-393. </w:t>
      </w:r>
    </w:p>
    <w:p w14:paraId="6B559F58" w14:textId="489EFFFC" w:rsidR="00CF6D9B" w:rsidRPr="009C6358" w:rsidRDefault="00CF6D9B" w:rsidP="00CF6D9B">
      <w:pPr>
        <w:spacing w:line="480" w:lineRule="auto"/>
        <w:ind w:left="709" w:hanging="709"/>
        <w:rPr>
          <w:lang w:val="en-US"/>
        </w:rPr>
      </w:pPr>
      <w:proofErr w:type="spellStart"/>
      <w:r w:rsidRPr="009713E2">
        <w:rPr>
          <w:highlight w:val="white"/>
          <w:lang w:val="en-US"/>
        </w:rPr>
        <w:t>Hinz</w:t>
      </w:r>
      <w:proofErr w:type="spellEnd"/>
      <w:r w:rsidRPr="009713E2">
        <w:rPr>
          <w:highlight w:val="white"/>
          <w:lang w:val="en-US"/>
        </w:rPr>
        <w:t xml:space="preserve">, A., Ernst, J., </w:t>
      </w:r>
      <w:proofErr w:type="spellStart"/>
      <w:r w:rsidRPr="009713E2">
        <w:rPr>
          <w:highlight w:val="white"/>
          <w:lang w:val="en-US"/>
        </w:rPr>
        <w:t>Glaesmer</w:t>
      </w:r>
      <w:proofErr w:type="spellEnd"/>
      <w:r w:rsidRPr="009713E2">
        <w:rPr>
          <w:highlight w:val="white"/>
          <w:lang w:val="en-US"/>
        </w:rPr>
        <w:t xml:space="preserve">, H., </w:t>
      </w:r>
      <w:proofErr w:type="spellStart"/>
      <w:r w:rsidRPr="009713E2">
        <w:rPr>
          <w:highlight w:val="white"/>
          <w:lang w:val="en-US"/>
        </w:rPr>
        <w:t>Brähler</w:t>
      </w:r>
      <w:proofErr w:type="spellEnd"/>
      <w:r w:rsidRPr="009713E2">
        <w:rPr>
          <w:highlight w:val="white"/>
          <w:lang w:val="en-US"/>
        </w:rPr>
        <w:t xml:space="preserve">, E., Rauscher, F. G., </w:t>
      </w:r>
      <w:proofErr w:type="spellStart"/>
      <w:r w:rsidRPr="009713E2">
        <w:rPr>
          <w:highlight w:val="white"/>
          <w:lang w:val="en-US"/>
        </w:rPr>
        <w:t>Petrowski</w:t>
      </w:r>
      <w:proofErr w:type="spellEnd"/>
      <w:r w:rsidRPr="009713E2">
        <w:rPr>
          <w:highlight w:val="white"/>
          <w:lang w:val="en-US"/>
        </w:rPr>
        <w:t xml:space="preserve">, K., &amp; </w:t>
      </w:r>
      <w:proofErr w:type="spellStart"/>
      <w:r w:rsidRPr="009713E2">
        <w:rPr>
          <w:highlight w:val="white"/>
          <w:lang w:val="en-US"/>
        </w:rPr>
        <w:t>Kocalevent</w:t>
      </w:r>
      <w:proofErr w:type="spellEnd"/>
      <w:r w:rsidRPr="009713E2">
        <w:rPr>
          <w:highlight w:val="white"/>
          <w:lang w:val="en-US"/>
        </w:rPr>
        <w:t xml:space="preserve">, R. D. (2017). </w:t>
      </w:r>
      <w:r w:rsidRPr="009C6358">
        <w:rPr>
          <w:highlight w:val="white"/>
          <w:lang w:val="en-US"/>
        </w:rPr>
        <w:t>Frequency of somatic symptoms in the general population: Normative values for the Patient Health Questionnaire-15 (PHQ-15). </w:t>
      </w:r>
      <w:r w:rsidRPr="009C6358">
        <w:rPr>
          <w:i/>
          <w:highlight w:val="white"/>
          <w:lang w:val="en-US"/>
        </w:rPr>
        <w:t>Journal of Psychosomatic Research, 96</w:t>
      </w:r>
      <w:r w:rsidRPr="009C6358">
        <w:rPr>
          <w:highlight w:val="white"/>
          <w:lang w:val="en-US"/>
        </w:rPr>
        <w:t>, 27-31.</w:t>
      </w:r>
    </w:p>
    <w:p w14:paraId="183A894E" w14:textId="0267B333" w:rsidR="00CF6D9B" w:rsidRDefault="00CF6D9B" w:rsidP="00CF6D9B">
      <w:pPr>
        <w:spacing w:line="480" w:lineRule="auto"/>
        <w:ind w:left="709" w:hanging="709"/>
        <w:rPr>
          <w:lang w:val="en-US"/>
        </w:rPr>
      </w:pPr>
      <w:proofErr w:type="spellStart"/>
      <w:r w:rsidRPr="009C6358">
        <w:rPr>
          <w:lang w:val="en-US"/>
        </w:rPr>
        <w:t>Huckins</w:t>
      </w:r>
      <w:proofErr w:type="spellEnd"/>
      <w:r w:rsidRPr="009C6358">
        <w:rPr>
          <w:lang w:val="en-US"/>
        </w:rPr>
        <w:t xml:space="preserve">, J. F., </w:t>
      </w:r>
      <w:proofErr w:type="spellStart"/>
      <w:r w:rsidRPr="009C6358">
        <w:rPr>
          <w:lang w:val="en-US"/>
        </w:rPr>
        <w:t>daSilva</w:t>
      </w:r>
      <w:proofErr w:type="spellEnd"/>
      <w:r w:rsidRPr="009C6358">
        <w:rPr>
          <w:lang w:val="en-US"/>
        </w:rPr>
        <w:t xml:space="preserve">, A. W., Wang, W., Hedlund, E., Rogers, C., Nepal, S. K., … Campbell, A. T. (2020). Mental health and behavior of college students during the early phases of the COVID-19 pandemic: Longitudinal smartphone and ecological momentary assessment study. </w:t>
      </w:r>
      <w:r w:rsidRPr="009C6358">
        <w:rPr>
          <w:i/>
          <w:lang w:val="en-US"/>
        </w:rPr>
        <w:t>Journal of Medical Internet Research, 22</w:t>
      </w:r>
      <w:r w:rsidRPr="009C6358">
        <w:rPr>
          <w:lang w:val="en-US"/>
        </w:rPr>
        <w:t xml:space="preserve">(e20185), 1–13. </w:t>
      </w:r>
      <w:hyperlink r:id="rId16" w:history="1">
        <w:r w:rsidRPr="001B152D">
          <w:rPr>
            <w:rStyle w:val="Hyperlink"/>
            <w:lang w:val="en-US"/>
          </w:rPr>
          <w:t>https://doi.org/10.2196/20185</w:t>
        </w:r>
      </w:hyperlink>
      <w:r w:rsidRPr="009C6358">
        <w:rPr>
          <w:lang w:val="en-US"/>
        </w:rPr>
        <w:t>.</w:t>
      </w:r>
    </w:p>
    <w:p w14:paraId="59636B3B" w14:textId="7302BE57" w:rsidR="00CF6D9B" w:rsidRPr="009C6358" w:rsidRDefault="00CF6D9B" w:rsidP="00CF6D9B">
      <w:pPr>
        <w:spacing w:line="480" w:lineRule="auto"/>
        <w:ind w:left="709" w:hanging="709"/>
        <w:rPr>
          <w:lang w:val="en-US"/>
        </w:rPr>
      </w:pPr>
      <w:r w:rsidRPr="009C6358">
        <w:rPr>
          <w:highlight w:val="white"/>
          <w:lang w:val="en-US"/>
        </w:rPr>
        <w:lastRenderedPageBreak/>
        <w:t xml:space="preserve">Hughes, M. E., Waite, L. J., </w:t>
      </w:r>
      <w:proofErr w:type="spellStart"/>
      <w:r w:rsidRPr="009C6358">
        <w:rPr>
          <w:highlight w:val="white"/>
          <w:lang w:val="en-US"/>
        </w:rPr>
        <w:t>Hawkley</w:t>
      </w:r>
      <w:proofErr w:type="spellEnd"/>
      <w:r w:rsidRPr="009C6358">
        <w:rPr>
          <w:highlight w:val="white"/>
          <w:lang w:val="en-US"/>
        </w:rPr>
        <w:t>, L. C., &amp; Cacioppo, J. T. (2004). A short scale for measuring loneliness in large surveys: Results from two population-based studies. </w:t>
      </w:r>
      <w:r w:rsidRPr="009C6358">
        <w:rPr>
          <w:i/>
          <w:highlight w:val="white"/>
          <w:lang w:val="en-US"/>
        </w:rPr>
        <w:t>Research on Aging</w:t>
      </w:r>
      <w:r w:rsidRPr="009C6358">
        <w:rPr>
          <w:highlight w:val="white"/>
          <w:lang w:val="en-US"/>
        </w:rPr>
        <w:t xml:space="preserve">, </w:t>
      </w:r>
      <w:r w:rsidRPr="009C6358">
        <w:rPr>
          <w:i/>
          <w:highlight w:val="white"/>
          <w:lang w:val="en-US"/>
        </w:rPr>
        <w:t>26</w:t>
      </w:r>
      <w:r w:rsidRPr="009C6358">
        <w:rPr>
          <w:highlight w:val="white"/>
          <w:lang w:val="en-US"/>
        </w:rPr>
        <w:t>(6), 655-672.</w:t>
      </w:r>
    </w:p>
    <w:p w14:paraId="56158B2D" w14:textId="77777777" w:rsidR="00CF6D9B" w:rsidRPr="009C6358" w:rsidRDefault="00CF6D9B" w:rsidP="00CF6D9B">
      <w:pPr>
        <w:spacing w:line="480" w:lineRule="auto"/>
        <w:ind w:left="709" w:hanging="709"/>
        <w:rPr>
          <w:lang w:val="en-US"/>
        </w:rPr>
      </w:pPr>
      <w:proofErr w:type="spellStart"/>
      <w:r w:rsidRPr="00630728">
        <w:rPr>
          <w:highlight w:val="white"/>
          <w:lang w:val="en-US"/>
        </w:rPr>
        <w:t>Imbens</w:t>
      </w:r>
      <w:proofErr w:type="spellEnd"/>
      <w:r w:rsidRPr="00630728">
        <w:rPr>
          <w:highlight w:val="white"/>
          <w:lang w:val="en-US"/>
        </w:rPr>
        <w:t xml:space="preserve">, G.W. &amp; Rubin, D.B. (2015). </w:t>
      </w:r>
      <w:r w:rsidRPr="009C6358">
        <w:rPr>
          <w:i/>
          <w:highlight w:val="white"/>
          <w:lang w:val="en-US"/>
        </w:rPr>
        <w:t>Causal inference for statistics, social, and biomedical sciences. An Introduction</w:t>
      </w:r>
      <w:r w:rsidRPr="009C6358">
        <w:rPr>
          <w:highlight w:val="white"/>
          <w:lang w:val="en-US"/>
        </w:rPr>
        <w:t>. Cambridge University Press: New York.</w:t>
      </w:r>
    </w:p>
    <w:p w14:paraId="138927E6" w14:textId="77777777" w:rsidR="00CF6D9B" w:rsidRPr="009C6358" w:rsidRDefault="00CF6D9B" w:rsidP="00CF6D9B">
      <w:pPr>
        <w:spacing w:line="480" w:lineRule="auto"/>
        <w:ind w:left="709" w:hanging="709"/>
        <w:rPr>
          <w:lang w:val="en-US"/>
        </w:rPr>
      </w:pPr>
      <w:proofErr w:type="spellStart"/>
      <w:r w:rsidRPr="009C6358">
        <w:rPr>
          <w:highlight w:val="white"/>
          <w:lang w:val="en-US"/>
        </w:rPr>
        <w:t>Kalainathan</w:t>
      </w:r>
      <w:proofErr w:type="spellEnd"/>
      <w:r w:rsidRPr="009C6358">
        <w:rPr>
          <w:highlight w:val="white"/>
          <w:lang w:val="en-US"/>
        </w:rPr>
        <w:t xml:space="preserve">, D., </w:t>
      </w:r>
      <w:proofErr w:type="spellStart"/>
      <w:r w:rsidRPr="009C6358">
        <w:rPr>
          <w:highlight w:val="white"/>
          <w:lang w:val="en-US"/>
        </w:rPr>
        <w:t>Goudet</w:t>
      </w:r>
      <w:proofErr w:type="spellEnd"/>
      <w:r w:rsidRPr="009C6358">
        <w:rPr>
          <w:highlight w:val="white"/>
          <w:lang w:val="en-US"/>
        </w:rPr>
        <w:t xml:space="preserve">, O., Guyon, I., Lopez-Paz, D., &amp; </w:t>
      </w:r>
      <w:proofErr w:type="spellStart"/>
      <w:r w:rsidRPr="009C6358">
        <w:rPr>
          <w:highlight w:val="white"/>
          <w:lang w:val="en-US"/>
        </w:rPr>
        <w:t>Sebag</w:t>
      </w:r>
      <w:proofErr w:type="spellEnd"/>
      <w:r w:rsidRPr="009C6358">
        <w:rPr>
          <w:highlight w:val="white"/>
          <w:lang w:val="en-US"/>
        </w:rPr>
        <w:t xml:space="preserve">, M. (2020). </w:t>
      </w:r>
      <w:r w:rsidRPr="009C6358">
        <w:rPr>
          <w:i/>
          <w:highlight w:val="white"/>
          <w:lang w:val="en-US"/>
        </w:rPr>
        <w:t>Structural agnostic modeling: Adversarial learning of causal graphs</w:t>
      </w:r>
      <w:r w:rsidRPr="009C6358">
        <w:rPr>
          <w:highlight w:val="white"/>
          <w:lang w:val="en-US"/>
        </w:rPr>
        <w:t>. arXiv:1803.04929v3.</w:t>
      </w:r>
    </w:p>
    <w:p w14:paraId="0FCC6146" w14:textId="77777777" w:rsidR="00CF6D9B" w:rsidRPr="009C6358" w:rsidRDefault="00CF6D9B" w:rsidP="00CF6D9B">
      <w:pPr>
        <w:spacing w:line="480" w:lineRule="auto"/>
        <w:ind w:left="709" w:hanging="709"/>
        <w:rPr>
          <w:lang w:val="en-US"/>
        </w:rPr>
      </w:pPr>
      <w:proofErr w:type="spellStart"/>
      <w:r w:rsidRPr="00B44145">
        <w:rPr>
          <w:highlight w:val="white"/>
          <w:lang w:val="pl-PL"/>
        </w:rPr>
        <w:t>Kobak</w:t>
      </w:r>
      <w:proofErr w:type="spellEnd"/>
      <w:r w:rsidRPr="00B44145">
        <w:rPr>
          <w:highlight w:val="white"/>
          <w:lang w:val="pl-PL"/>
        </w:rPr>
        <w:t xml:space="preserve">, R. R., &amp; </w:t>
      </w:r>
      <w:proofErr w:type="spellStart"/>
      <w:r w:rsidRPr="00B44145">
        <w:rPr>
          <w:highlight w:val="white"/>
          <w:lang w:val="pl-PL"/>
        </w:rPr>
        <w:t>Sceery</w:t>
      </w:r>
      <w:proofErr w:type="spellEnd"/>
      <w:r w:rsidRPr="00B44145">
        <w:rPr>
          <w:highlight w:val="white"/>
          <w:lang w:val="pl-PL"/>
        </w:rPr>
        <w:t xml:space="preserve">, A. (1988). </w:t>
      </w:r>
      <w:r w:rsidRPr="009C6358">
        <w:rPr>
          <w:highlight w:val="white"/>
          <w:lang w:val="en-US"/>
        </w:rPr>
        <w:t xml:space="preserve">Attachment in late adolescence: Working models, affect regulation, and representations of self and others. </w:t>
      </w:r>
      <w:r w:rsidRPr="009C6358">
        <w:rPr>
          <w:i/>
          <w:highlight w:val="white"/>
          <w:lang w:val="en-US"/>
        </w:rPr>
        <w:t>Child Development, 59</w:t>
      </w:r>
      <w:r w:rsidRPr="009C6358">
        <w:rPr>
          <w:highlight w:val="white"/>
          <w:lang w:val="en-US"/>
        </w:rPr>
        <w:t xml:space="preserve">(1), 135–146. </w:t>
      </w:r>
      <w:hyperlink r:id="rId17">
        <w:r w:rsidRPr="009C6358">
          <w:rPr>
            <w:highlight w:val="white"/>
            <w:u w:val="single"/>
            <w:lang w:val="en-US"/>
          </w:rPr>
          <w:t>https://doi.org/10.2307/1130395</w:t>
        </w:r>
      </w:hyperlink>
    </w:p>
    <w:p w14:paraId="2EBC6F2E" w14:textId="77777777" w:rsidR="00CF6D9B" w:rsidRPr="009C6358" w:rsidRDefault="00CF6D9B" w:rsidP="00CF6D9B">
      <w:pPr>
        <w:spacing w:line="480" w:lineRule="auto"/>
        <w:ind w:left="709" w:hanging="709"/>
        <w:rPr>
          <w:lang w:val="en-US"/>
        </w:rPr>
      </w:pPr>
      <w:r w:rsidRPr="009C6358">
        <w:rPr>
          <w:highlight w:val="white"/>
          <w:lang w:val="en-US"/>
        </w:rPr>
        <w:t xml:space="preserve">Koller, D. &amp; Friedman, N. (2009) </w:t>
      </w:r>
      <w:r w:rsidRPr="009C6358">
        <w:rPr>
          <w:i/>
          <w:highlight w:val="white"/>
          <w:lang w:val="en-US"/>
        </w:rPr>
        <w:t>Probabilistic Graphical Models: Principles and Techniques</w:t>
      </w:r>
      <w:r w:rsidRPr="009C6358">
        <w:rPr>
          <w:highlight w:val="white"/>
          <w:lang w:val="en-US"/>
        </w:rPr>
        <w:t>. MIT Press: Cambridge, Massachusetts.</w:t>
      </w:r>
    </w:p>
    <w:p w14:paraId="0E020CC2" w14:textId="34E1DD54" w:rsidR="00CF6D9B" w:rsidRPr="009C6358" w:rsidRDefault="00275661" w:rsidP="00CF6D9B">
      <w:pPr>
        <w:spacing w:line="480" w:lineRule="auto"/>
        <w:ind w:left="709" w:hanging="709"/>
        <w:rPr>
          <w:lang w:val="en-US"/>
        </w:rPr>
      </w:pPr>
      <w:proofErr w:type="spellStart"/>
      <w:r w:rsidRPr="00275661">
        <w:rPr>
          <w:lang w:val="en-US"/>
        </w:rPr>
        <w:t>Krasuska</w:t>
      </w:r>
      <w:proofErr w:type="spellEnd"/>
      <w:r w:rsidR="00D900BE">
        <w:rPr>
          <w:lang w:val="en-US"/>
        </w:rPr>
        <w:t>,</w:t>
      </w:r>
      <w:r w:rsidRPr="00275661">
        <w:rPr>
          <w:lang w:val="en-US"/>
        </w:rPr>
        <w:t xml:space="preserve"> M</w:t>
      </w:r>
      <w:r w:rsidR="00D900BE">
        <w:rPr>
          <w:lang w:val="en-US"/>
        </w:rPr>
        <w:t>.</w:t>
      </w:r>
      <w:r w:rsidRPr="00275661">
        <w:rPr>
          <w:lang w:val="en-US"/>
        </w:rPr>
        <w:t xml:space="preserve">, </w:t>
      </w:r>
      <w:proofErr w:type="spellStart"/>
      <w:r w:rsidRPr="00275661">
        <w:rPr>
          <w:lang w:val="en-US"/>
        </w:rPr>
        <w:t>Lavda</w:t>
      </w:r>
      <w:proofErr w:type="spellEnd"/>
      <w:r w:rsidR="00D900BE">
        <w:rPr>
          <w:lang w:val="en-US"/>
        </w:rPr>
        <w:t>,</w:t>
      </w:r>
      <w:r w:rsidRPr="00275661">
        <w:rPr>
          <w:lang w:val="en-US"/>
        </w:rPr>
        <w:t xml:space="preserve"> A</w:t>
      </w:r>
      <w:r w:rsidR="00D900BE">
        <w:rPr>
          <w:lang w:val="en-US"/>
        </w:rPr>
        <w:t xml:space="preserve">. </w:t>
      </w:r>
      <w:r w:rsidRPr="00275661">
        <w:rPr>
          <w:lang w:val="en-US"/>
        </w:rPr>
        <w:t>C</w:t>
      </w:r>
      <w:r w:rsidR="00D900BE">
        <w:rPr>
          <w:lang w:val="en-US"/>
        </w:rPr>
        <w:t>.</w:t>
      </w:r>
      <w:r w:rsidRPr="00275661">
        <w:rPr>
          <w:lang w:val="en-US"/>
        </w:rPr>
        <w:t>, Thompson</w:t>
      </w:r>
      <w:r w:rsidR="00D900BE">
        <w:rPr>
          <w:lang w:val="en-US"/>
        </w:rPr>
        <w:t>,</w:t>
      </w:r>
      <w:r w:rsidRPr="00275661">
        <w:rPr>
          <w:lang w:val="en-US"/>
        </w:rPr>
        <w:t xml:space="preserve"> A</w:t>
      </w:r>
      <w:r w:rsidR="00D900BE">
        <w:rPr>
          <w:lang w:val="en-US"/>
        </w:rPr>
        <w:t xml:space="preserve">. </w:t>
      </w:r>
      <w:r w:rsidRPr="00275661">
        <w:rPr>
          <w:lang w:val="en-US"/>
        </w:rPr>
        <w:t>R</w:t>
      </w:r>
      <w:r w:rsidR="00D900BE">
        <w:rPr>
          <w:lang w:val="en-US"/>
        </w:rPr>
        <w:t>.</w:t>
      </w:r>
      <w:r w:rsidRPr="00275661">
        <w:rPr>
          <w:lang w:val="en-US"/>
        </w:rPr>
        <w:t xml:space="preserve">, </w:t>
      </w:r>
      <w:r w:rsidR="00D900BE">
        <w:rPr>
          <w:lang w:val="en-US"/>
        </w:rPr>
        <w:t xml:space="preserve">&amp; </w:t>
      </w:r>
      <w:r w:rsidRPr="00275661">
        <w:rPr>
          <w:lang w:val="en-US"/>
        </w:rPr>
        <w:t>Millings</w:t>
      </w:r>
      <w:r w:rsidR="00D900BE">
        <w:rPr>
          <w:lang w:val="en-US"/>
        </w:rPr>
        <w:t>,</w:t>
      </w:r>
      <w:r w:rsidRPr="00275661">
        <w:rPr>
          <w:lang w:val="en-US"/>
        </w:rPr>
        <w:t xml:space="preserve"> A. </w:t>
      </w:r>
      <w:r>
        <w:rPr>
          <w:lang w:val="en-US"/>
        </w:rPr>
        <w:t xml:space="preserve">(2018) </w:t>
      </w:r>
      <w:r w:rsidRPr="00275661">
        <w:rPr>
          <w:lang w:val="en-US"/>
        </w:rPr>
        <w:t xml:space="preserve">The role of adult attachment orientation and coping in psychological adjustment to living with skin conditions. </w:t>
      </w:r>
      <w:r w:rsidRPr="00643D5F">
        <w:rPr>
          <w:i/>
          <w:iCs/>
          <w:lang w:val="en-US"/>
        </w:rPr>
        <w:t xml:space="preserve">British Journal </w:t>
      </w:r>
      <w:proofErr w:type="gramStart"/>
      <w:r w:rsidRPr="00643D5F">
        <w:rPr>
          <w:i/>
          <w:iCs/>
          <w:lang w:val="en-US"/>
        </w:rPr>
        <w:t>of  Dermatology</w:t>
      </w:r>
      <w:proofErr w:type="gramEnd"/>
      <w:r w:rsidRPr="00643D5F">
        <w:rPr>
          <w:i/>
          <w:iCs/>
          <w:lang w:val="en-US"/>
        </w:rPr>
        <w:t>, 178</w:t>
      </w:r>
      <w:r w:rsidRPr="00275661">
        <w:rPr>
          <w:lang w:val="en-US"/>
        </w:rPr>
        <w:t>(6)</w:t>
      </w:r>
      <w:r w:rsidR="00D900BE">
        <w:rPr>
          <w:lang w:val="en-US"/>
        </w:rPr>
        <w:t xml:space="preserve">, </w:t>
      </w:r>
      <w:r w:rsidRPr="00275661">
        <w:rPr>
          <w:lang w:val="en-US"/>
        </w:rPr>
        <w:t xml:space="preserve">1396-1403. </w:t>
      </w:r>
      <w:r w:rsidR="00D900BE" w:rsidRPr="00D900BE">
        <w:rPr>
          <w:lang w:val="en-US"/>
        </w:rPr>
        <w:t>https://doi.org/</w:t>
      </w:r>
      <w:r w:rsidRPr="00275661">
        <w:rPr>
          <w:lang w:val="en-US"/>
        </w:rPr>
        <w:t xml:space="preserve">10.1111/bjd.16268. </w:t>
      </w:r>
    </w:p>
    <w:p w14:paraId="24A2D70D" w14:textId="4B4D0C83" w:rsidR="00CF6D9B" w:rsidRDefault="00CF6D9B" w:rsidP="00CF6D9B">
      <w:pPr>
        <w:spacing w:line="480" w:lineRule="auto"/>
        <w:ind w:left="709" w:hanging="709"/>
        <w:rPr>
          <w:lang w:val="en-US"/>
        </w:rPr>
      </w:pPr>
      <w:r w:rsidRPr="009C6358">
        <w:rPr>
          <w:highlight w:val="white"/>
          <w:lang w:val="en-US"/>
        </w:rPr>
        <w:t>Kroenke, K., Spitzer, R. L., &amp; Williams, J. B. (2002). The PHQ-15: validity of a new measure for evaluating the severity of somatic symptoms. </w:t>
      </w:r>
      <w:r w:rsidRPr="009C6358">
        <w:rPr>
          <w:i/>
          <w:highlight w:val="white"/>
          <w:lang w:val="en-US"/>
        </w:rPr>
        <w:t>Psychosomatic Medicine, 64</w:t>
      </w:r>
      <w:r w:rsidRPr="009C6358">
        <w:rPr>
          <w:highlight w:val="white"/>
          <w:lang w:val="en-US"/>
        </w:rPr>
        <w:t>(2), 258-266.</w:t>
      </w:r>
    </w:p>
    <w:p w14:paraId="00000089" w14:textId="50DD064A" w:rsidR="00A92EB8" w:rsidRPr="00B44145" w:rsidRDefault="00411C61" w:rsidP="00786C09">
      <w:pPr>
        <w:spacing w:line="480" w:lineRule="auto"/>
        <w:ind w:left="567" w:hanging="567"/>
        <w:rPr>
          <w:lang w:val="it-IT"/>
        </w:rPr>
      </w:pPr>
      <w:bookmarkStart w:id="2" w:name="_heading=h.c3k9bv9ruom7" w:colFirst="0" w:colLast="0"/>
      <w:bookmarkEnd w:id="2"/>
      <w:r w:rsidRPr="00786C09">
        <w:rPr>
          <w:highlight w:val="white"/>
        </w:rPr>
        <w:t>Li</w:t>
      </w:r>
      <w:r w:rsidR="00786C09">
        <w:rPr>
          <w:highlight w:val="white"/>
        </w:rPr>
        <w:t>, H.</w:t>
      </w:r>
      <w:r w:rsidRPr="00786C09">
        <w:rPr>
          <w:highlight w:val="white"/>
        </w:rPr>
        <w:t>,</w:t>
      </w:r>
      <w:r w:rsidR="00786C09">
        <w:rPr>
          <w:highlight w:val="white"/>
        </w:rPr>
        <w:t xml:space="preserve"> </w:t>
      </w:r>
      <w:proofErr w:type="spellStart"/>
      <w:r w:rsidRPr="00786C09">
        <w:rPr>
          <w:highlight w:val="white"/>
        </w:rPr>
        <w:t>Rosete</w:t>
      </w:r>
      <w:proofErr w:type="spellEnd"/>
      <w:r w:rsidRPr="00786C09">
        <w:rPr>
          <w:highlight w:val="white"/>
        </w:rPr>
        <w:t>,</w:t>
      </w:r>
      <w:r w:rsidR="00786C09">
        <w:rPr>
          <w:highlight w:val="white"/>
        </w:rPr>
        <w:t xml:space="preserve"> S., </w:t>
      </w:r>
      <w:r w:rsidRPr="00786C09">
        <w:rPr>
          <w:highlight w:val="white"/>
        </w:rPr>
        <w:t>Coyle,</w:t>
      </w:r>
      <w:r w:rsidR="00786C09">
        <w:rPr>
          <w:highlight w:val="white"/>
        </w:rPr>
        <w:t xml:space="preserve"> J., </w:t>
      </w:r>
      <w:r w:rsidRPr="00786C09">
        <w:rPr>
          <w:highlight w:val="white"/>
        </w:rPr>
        <w:t>Phillips</w:t>
      </w:r>
      <w:r w:rsidR="00786C09">
        <w:rPr>
          <w:highlight w:val="white"/>
        </w:rPr>
        <w:t>, R. V.</w:t>
      </w:r>
      <w:r w:rsidRPr="00786C09">
        <w:rPr>
          <w:highlight w:val="white"/>
        </w:rPr>
        <w:t>, Hejazi</w:t>
      </w:r>
      <w:r w:rsidR="00786C09">
        <w:rPr>
          <w:highlight w:val="white"/>
        </w:rPr>
        <w:t>, N. S.</w:t>
      </w:r>
      <w:r w:rsidRPr="00786C09">
        <w:rPr>
          <w:highlight w:val="white"/>
        </w:rPr>
        <w:t xml:space="preserve">, </w:t>
      </w:r>
      <w:proofErr w:type="spellStart"/>
      <w:r w:rsidRPr="00786C09">
        <w:rPr>
          <w:highlight w:val="white"/>
        </w:rPr>
        <w:t>Malenica</w:t>
      </w:r>
      <w:proofErr w:type="spellEnd"/>
      <w:r w:rsidR="00786C09">
        <w:rPr>
          <w:highlight w:val="white"/>
        </w:rPr>
        <w:t>, I.</w:t>
      </w:r>
      <w:r w:rsidRPr="00786C09">
        <w:rPr>
          <w:highlight w:val="white"/>
        </w:rPr>
        <w:t>, Arnold</w:t>
      </w:r>
      <w:r w:rsidR="00786C09">
        <w:rPr>
          <w:highlight w:val="white"/>
        </w:rPr>
        <w:t xml:space="preserve"> B. F.</w:t>
      </w:r>
      <w:r w:rsidRPr="00786C09">
        <w:rPr>
          <w:highlight w:val="white"/>
        </w:rPr>
        <w:t>,</w:t>
      </w:r>
      <w:r w:rsidR="00786C09">
        <w:rPr>
          <w:highlight w:val="white"/>
        </w:rPr>
        <w:t xml:space="preserve"> </w:t>
      </w:r>
      <w:r w:rsidRPr="00786C09">
        <w:rPr>
          <w:highlight w:val="white"/>
        </w:rPr>
        <w:t>Jade Benjamin-Chung, Mertens</w:t>
      </w:r>
      <w:r w:rsidR="00786C09">
        <w:rPr>
          <w:highlight w:val="white"/>
        </w:rPr>
        <w:t>, A.</w:t>
      </w:r>
      <w:r w:rsidRPr="00786C09">
        <w:rPr>
          <w:highlight w:val="white"/>
        </w:rPr>
        <w:t xml:space="preserve">, </w:t>
      </w:r>
      <w:proofErr w:type="spellStart"/>
      <w:r w:rsidRPr="00786C09">
        <w:rPr>
          <w:highlight w:val="white"/>
        </w:rPr>
        <w:t>Colford</w:t>
      </w:r>
      <w:proofErr w:type="spellEnd"/>
      <w:r w:rsidRPr="00786C09">
        <w:rPr>
          <w:highlight w:val="white"/>
        </w:rPr>
        <w:t xml:space="preserve"> Jr</w:t>
      </w:r>
      <w:r w:rsidR="00786C09">
        <w:rPr>
          <w:highlight w:val="white"/>
        </w:rPr>
        <w:t>, J. M.</w:t>
      </w:r>
      <w:r w:rsidRPr="00786C09">
        <w:rPr>
          <w:highlight w:val="white"/>
        </w:rPr>
        <w:t xml:space="preserve">, van der </w:t>
      </w:r>
      <w:proofErr w:type="spellStart"/>
      <w:r w:rsidRPr="00786C09">
        <w:rPr>
          <w:highlight w:val="white"/>
        </w:rPr>
        <w:t>Laan</w:t>
      </w:r>
      <w:proofErr w:type="spellEnd"/>
      <w:r w:rsidR="00786C09">
        <w:rPr>
          <w:highlight w:val="white"/>
        </w:rPr>
        <w:t>, M. J.</w:t>
      </w:r>
      <w:r w:rsidRPr="00786C09">
        <w:rPr>
          <w:highlight w:val="white"/>
        </w:rPr>
        <w:t>, Hubbard</w:t>
      </w:r>
      <w:r w:rsidR="00786C09">
        <w:t>, A. E.</w:t>
      </w:r>
      <w:r w:rsidRPr="00786C09">
        <w:t xml:space="preserve"> (2022)</w:t>
      </w:r>
      <w:r w:rsidR="00786C09">
        <w:t>.</w:t>
      </w:r>
      <w:r w:rsidRPr="00786C09">
        <w:t xml:space="preserve"> Evaluating the robustness of targeted maximum likelihood estimators via realistic simulations in nutrition intervention trials. </w:t>
      </w:r>
      <w:proofErr w:type="spellStart"/>
      <w:r w:rsidRPr="00B44145">
        <w:rPr>
          <w:i/>
          <w:iCs/>
          <w:lang w:val="it-IT"/>
        </w:rPr>
        <w:t>Statistics</w:t>
      </w:r>
      <w:proofErr w:type="spellEnd"/>
      <w:r w:rsidRPr="00B44145">
        <w:rPr>
          <w:i/>
          <w:iCs/>
          <w:lang w:val="it-IT"/>
        </w:rPr>
        <w:t xml:space="preserve"> in Medicine</w:t>
      </w:r>
      <w:r w:rsidR="009C6358" w:rsidRPr="00B44145">
        <w:rPr>
          <w:i/>
          <w:iCs/>
          <w:lang w:val="it-IT"/>
        </w:rPr>
        <w:t>, 41</w:t>
      </w:r>
      <w:r w:rsidR="009C6358" w:rsidRPr="00B44145">
        <w:rPr>
          <w:lang w:val="it-IT"/>
        </w:rPr>
        <w:t xml:space="preserve">(12). </w:t>
      </w:r>
      <w:hyperlink r:id="rId18" w:history="1">
        <w:r w:rsidR="009C6358" w:rsidRPr="00B44145">
          <w:rPr>
            <w:rStyle w:val="Hyperlink"/>
            <w:highlight w:val="white"/>
            <w:lang w:val="it-IT"/>
          </w:rPr>
          <w:t>https://doi.org/10.1002/sim.9348</w:t>
        </w:r>
      </w:hyperlink>
    </w:p>
    <w:p w14:paraId="5573DB74" w14:textId="77777777" w:rsidR="00E22A59" w:rsidRDefault="00CF6D9B" w:rsidP="00E22A59">
      <w:pPr>
        <w:spacing w:line="480" w:lineRule="auto"/>
        <w:ind w:left="709" w:hanging="709"/>
        <w:rPr>
          <w:lang w:val="en-US"/>
        </w:rPr>
      </w:pPr>
      <w:r w:rsidRPr="00B44145">
        <w:rPr>
          <w:highlight w:val="white"/>
          <w:lang w:val="it-IT"/>
        </w:rPr>
        <w:lastRenderedPageBreak/>
        <w:t xml:space="preserve">Lozano, E. B., &amp; </w:t>
      </w:r>
      <w:proofErr w:type="spellStart"/>
      <w:r w:rsidRPr="00B44145">
        <w:rPr>
          <w:highlight w:val="white"/>
          <w:lang w:val="it-IT"/>
        </w:rPr>
        <w:t>Fraley</w:t>
      </w:r>
      <w:proofErr w:type="spellEnd"/>
      <w:r w:rsidRPr="00B44145">
        <w:rPr>
          <w:highlight w:val="white"/>
          <w:lang w:val="it-IT"/>
        </w:rPr>
        <w:t xml:space="preserve">, R. C. (2021). </w:t>
      </w:r>
      <w:r w:rsidRPr="009C6358">
        <w:rPr>
          <w:highlight w:val="white"/>
          <w:lang w:val="en-US"/>
        </w:rPr>
        <w:t xml:space="preserve">Put your mask on first to help others: Attachment and sentinel behavior during </w:t>
      </w:r>
      <w:r w:rsidRPr="00365702">
        <w:rPr>
          <w:highlight w:val="white"/>
          <w:lang w:val="en-US"/>
        </w:rPr>
        <w:t>the COVID-19 pandemic.</w:t>
      </w:r>
      <w:r w:rsidRPr="00BA241B">
        <w:rPr>
          <w:lang w:val="en-US"/>
        </w:rPr>
        <w:t xml:space="preserve"> </w:t>
      </w:r>
      <w:r w:rsidRPr="00D900BE">
        <w:rPr>
          <w:i/>
          <w:lang w:val="en-US"/>
        </w:rPr>
        <w:t>Personality and Individual Differences</w:t>
      </w:r>
      <w:r w:rsidRPr="00D900BE">
        <w:rPr>
          <w:lang w:val="en-US"/>
        </w:rPr>
        <w:t xml:space="preserve">, </w:t>
      </w:r>
      <w:r w:rsidRPr="00D900BE">
        <w:rPr>
          <w:i/>
          <w:lang w:val="en-US"/>
        </w:rPr>
        <w:t>171</w:t>
      </w:r>
      <w:r w:rsidRPr="00D900BE">
        <w:rPr>
          <w:lang w:val="en-US"/>
        </w:rPr>
        <w:t>, 110487.</w:t>
      </w:r>
      <w:r w:rsidR="00365702" w:rsidRPr="00643D5F">
        <w:rPr>
          <w:color w:val="212121"/>
          <w:sz w:val="26"/>
          <w:szCs w:val="26"/>
          <w:shd w:val="clear" w:color="auto" w:fill="FFFFFF"/>
        </w:rPr>
        <w:t xml:space="preserve"> </w:t>
      </w:r>
      <w:r w:rsidR="00D900BE" w:rsidRPr="00D900BE">
        <w:rPr>
          <w:color w:val="212121"/>
          <w:sz w:val="26"/>
          <w:szCs w:val="26"/>
          <w:shd w:val="clear" w:color="auto" w:fill="FFFFFF"/>
        </w:rPr>
        <w:t>https://doi.org/</w:t>
      </w:r>
      <w:r w:rsidR="00365702" w:rsidRPr="00643D5F">
        <w:rPr>
          <w:color w:val="212121"/>
          <w:sz w:val="26"/>
          <w:szCs w:val="26"/>
          <w:shd w:val="clear" w:color="auto" w:fill="FFFFFF"/>
        </w:rPr>
        <w:t>10.1016/j.paid.2020.110487.</w:t>
      </w:r>
      <w:r w:rsidR="00365702">
        <w:rPr>
          <w:rFonts w:ascii="Roboto" w:hAnsi="Roboto"/>
          <w:color w:val="212121"/>
          <w:sz w:val="26"/>
          <w:szCs w:val="26"/>
          <w:shd w:val="clear" w:color="auto" w:fill="FFFFFF"/>
        </w:rPr>
        <w:t xml:space="preserve"> </w:t>
      </w:r>
    </w:p>
    <w:p w14:paraId="0000008A" w14:textId="4A310404" w:rsidR="00A92EB8" w:rsidRPr="00E22A59" w:rsidRDefault="00BA241B" w:rsidP="00E22A59">
      <w:pPr>
        <w:spacing w:line="480" w:lineRule="auto"/>
        <w:ind w:left="709" w:hanging="709"/>
        <w:rPr>
          <w:lang w:val="en-US"/>
        </w:rPr>
      </w:pPr>
      <w:proofErr w:type="spellStart"/>
      <w:r w:rsidRPr="007F3AB4">
        <w:rPr>
          <w:lang w:val="en-US"/>
        </w:rPr>
        <w:t>Luque</w:t>
      </w:r>
      <w:proofErr w:type="spellEnd"/>
      <w:r w:rsidRPr="007F3AB4">
        <w:rPr>
          <w:lang w:val="en-US"/>
        </w:rPr>
        <w:t>-Fernandez</w:t>
      </w:r>
      <w:r w:rsidR="00411C61" w:rsidRPr="007F3AB4">
        <w:rPr>
          <w:lang w:val="en-US"/>
        </w:rPr>
        <w:t xml:space="preserve">, M.A., </w:t>
      </w:r>
      <w:hyperlink r:id="rId19">
        <w:r w:rsidR="00411C61" w:rsidRPr="007F3AB4">
          <w:rPr>
            <w:lang w:val="en-US"/>
          </w:rPr>
          <w:t>Schomaker</w:t>
        </w:r>
      </w:hyperlink>
      <w:r w:rsidR="00411C61" w:rsidRPr="007F3AB4">
        <w:rPr>
          <w:lang w:val="en-US"/>
        </w:rPr>
        <w:t xml:space="preserve">, M., </w:t>
      </w:r>
      <w:hyperlink r:id="rId20">
        <w:r w:rsidR="00411C61" w:rsidRPr="007F3AB4">
          <w:rPr>
            <w:lang w:val="en-US"/>
          </w:rPr>
          <w:t>Rachet</w:t>
        </w:r>
      </w:hyperlink>
      <w:r w:rsidR="00411C61" w:rsidRPr="007F3AB4">
        <w:rPr>
          <w:lang w:val="en-US"/>
        </w:rPr>
        <w:t xml:space="preserve">, </w:t>
      </w:r>
      <w:hyperlink r:id="rId21">
        <w:r w:rsidR="00411C61" w:rsidRPr="007F3AB4">
          <w:rPr>
            <w:lang w:val="en-US"/>
          </w:rPr>
          <w:t>B</w:t>
        </w:r>
      </w:hyperlink>
      <w:r w:rsidR="00411C61" w:rsidRPr="007F3AB4">
        <w:rPr>
          <w:lang w:val="en-US"/>
        </w:rPr>
        <w:t>.,</w:t>
      </w:r>
      <w:r w:rsidR="00630728" w:rsidRPr="007F3AB4">
        <w:rPr>
          <w:lang w:val="en-US"/>
        </w:rPr>
        <w:t xml:space="preserve"> &amp;</w:t>
      </w:r>
      <w:r w:rsidR="00411C61" w:rsidRPr="007F3AB4">
        <w:rPr>
          <w:lang w:val="en-US"/>
        </w:rPr>
        <w:t xml:space="preserve"> </w:t>
      </w:r>
      <w:hyperlink r:id="rId22">
        <w:r w:rsidR="00411C61" w:rsidRPr="007F3AB4">
          <w:rPr>
            <w:lang w:val="en-US"/>
          </w:rPr>
          <w:t>Schnitzer</w:t>
        </w:r>
      </w:hyperlink>
      <w:r w:rsidR="00411C61" w:rsidRPr="007F3AB4">
        <w:rPr>
          <w:lang w:val="en-US"/>
        </w:rPr>
        <w:t>, M.E. (2018)</w:t>
      </w:r>
      <w:r w:rsidR="00786C09" w:rsidRPr="007F3AB4">
        <w:rPr>
          <w:lang w:val="en-US"/>
        </w:rPr>
        <w:t>.</w:t>
      </w:r>
      <w:r w:rsidR="00411C61" w:rsidRPr="007F3AB4">
        <w:rPr>
          <w:lang w:val="en-US"/>
        </w:rPr>
        <w:t xml:space="preserve"> </w:t>
      </w:r>
      <w:r w:rsidR="00411C61" w:rsidRPr="009C6358">
        <w:rPr>
          <w:lang w:val="en-US"/>
        </w:rPr>
        <w:t>Targeted maximum likelihood estimation for a binary treatment: A tutorial</w:t>
      </w:r>
      <w:r w:rsidR="00786C09">
        <w:rPr>
          <w:lang w:val="en-US"/>
        </w:rPr>
        <w:t>.</w:t>
      </w:r>
      <w:r w:rsidR="00411C61" w:rsidRPr="009C6358">
        <w:rPr>
          <w:lang w:val="en-US"/>
        </w:rPr>
        <w:t xml:space="preserve"> </w:t>
      </w:r>
      <w:proofErr w:type="spellStart"/>
      <w:r w:rsidR="00411C61" w:rsidRPr="00B44145">
        <w:rPr>
          <w:i/>
          <w:iCs/>
          <w:lang w:val="it-IT"/>
        </w:rPr>
        <w:t>Statistics</w:t>
      </w:r>
      <w:proofErr w:type="spellEnd"/>
      <w:r w:rsidR="00411C61" w:rsidRPr="00B44145">
        <w:rPr>
          <w:i/>
          <w:iCs/>
          <w:lang w:val="it-IT"/>
        </w:rPr>
        <w:t xml:space="preserve"> in Medicine, </w:t>
      </w:r>
      <w:r w:rsidR="00411C61" w:rsidRPr="00B44145">
        <w:rPr>
          <w:i/>
          <w:iCs/>
          <w:highlight w:val="white"/>
          <w:lang w:val="it-IT"/>
        </w:rPr>
        <w:t>37</w:t>
      </w:r>
      <w:r w:rsidR="00786C09" w:rsidRPr="00B44145">
        <w:rPr>
          <w:highlight w:val="white"/>
          <w:lang w:val="it-IT"/>
        </w:rPr>
        <w:t>(</w:t>
      </w:r>
      <w:r w:rsidR="00411C61" w:rsidRPr="00B44145">
        <w:rPr>
          <w:highlight w:val="white"/>
          <w:lang w:val="it-IT"/>
        </w:rPr>
        <w:t>16</w:t>
      </w:r>
      <w:r w:rsidR="00786C09" w:rsidRPr="00B44145">
        <w:rPr>
          <w:lang w:val="it-IT"/>
        </w:rPr>
        <w:t>), 2530-2546.</w:t>
      </w:r>
      <w:r w:rsidR="00411C61" w:rsidRPr="00B44145">
        <w:rPr>
          <w:lang w:val="it-IT"/>
        </w:rPr>
        <w:t xml:space="preserve"> </w:t>
      </w:r>
      <w:hyperlink r:id="rId23">
        <w:r w:rsidR="00411C61" w:rsidRPr="00B44145">
          <w:rPr>
            <w:lang w:val="it-IT"/>
          </w:rPr>
          <w:t>https://doi.org/10.1002/sim.7628</w:t>
        </w:r>
      </w:hyperlink>
    </w:p>
    <w:p w14:paraId="2517BBEF" w14:textId="77777777" w:rsidR="00CF6D9B" w:rsidRPr="00B44145" w:rsidRDefault="00CF6D9B" w:rsidP="00CF6D9B">
      <w:pPr>
        <w:spacing w:line="480" w:lineRule="auto"/>
        <w:ind w:left="709" w:hanging="709"/>
        <w:rPr>
          <w:lang w:val="it-IT"/>
        </w:rPr>
      </w:pPr>
      <w:r w:rsidRPr="00B44145">
        <w:rPr>
          <w:lang w:val="it-IT"/>
        </w:rPr>
        <w:t>Mazza, C., Colasanti, M., Ricci, E., Di Giandomenico, S., Marchetti, D., Fontanesi, L., </w:t>
      </w:r>
    </w:p>
    <w:p w14:paraId="1A917F5E" w14:textId="77777777" w:rsidR="00CF6D9B" w:rsidRPr="009C6358" w:rsidRDefault="00CF6D9B" w:rsidP="00CF6D9B">
      <w:pPr>
        <w:spacing w:line="480" w:lineRule="auto"/>
        <w:ind w:left="709" w:hanging="709"/>
        <w:rPr>
          <w:lang w:val="en-US"/>
        </w:rPr>
      </w:pPr>
      <w:r w:rsidRPr="00B44145">
        <w:rPr>
          <w:lang w:val="it-IT"/>
        </w:rPr>
        <w:tab/>
        <w:t xml:space="preserve">Verrocchio, M.C., Ferracuti, S., &amp; Roma, P. (2021). </w:t>
      </w:r>
      <w:r w:rsidRPr="009C6358">
        <w:rPr>
          <w:lang w:val="en-US"/>
        </w:rPr>
        <w:t xml:space="preserve">The COVID-19 outbreak and psychological distress in healthcare workers: The role of personality traits, attachment styles, and sociodemographic factors. </w:t>
      </w:r>
      <w:r w:rsidRPr="009C6358">
        <w:rPr>
          <w:i/>
          <w:lang w:val="en-US"/>
        </w:rPr>
        <w:t>Sustainability, 13,</w:t>
      </w:r>
      <w:r w:rsidRPr="009C6358">
        <w:rPr>
          <w:lang w:val="en-US"/>
        </w:rPr>
        <w:t xml:space="preserve"> 4992. https://doi.org/10.3390/ su13094992</w:t>
      </w:r>
    </w:p>
    <w:p w14:paraId="7CC07EFD" w14:textId="3DB5F05F" w:rsidR="008F7ED2" w:rsidRPr="008F7ED2" w:rsidRDefault="008F7ED2" w:rsidP="00CF6D9B">
      <w:pPr>
        <w:spacing w:line="480" w:lineRule="auto"/>
        <w:ind w:left="709" w:hanging="709"/>
        <w:rPr>
          <w:rFonts w:eastAsia="Calibri"/>
          <w:color w:val="000000" w:themeColor="text1"/>
        </w:rPr>
      </w:pPr>
      <w:r w:rsidRPr="008F7ED2">
        <w:rPr>
          <w:color w:val="000000" w:themeColor="text1"/>
          <w:shd w:val="clear" w:color="auto" w:fill="FEFEFE"/>
        </w:rPr>
        <w:t xml:space="preserve">McBride, O., Murphy, J., Shevlin, M., Gibson-Miller, J., Hartman, T. K., Hyland, P., </w:t>
      </w:r>
      <w:proofErr w:type="spellStart"/>
      <w:r w:rsidRPr="008F7ED2">
        <w:rPr>
          <w:color w:val="000000" w:themeColor="text1"/>
          <w:shd w:val="clear" w:color="auto" w:fill="FEFEFE"/>
        </w:rPr>
        <w:t>Levita</w:t>
      </w:r>
      <w:proofErr w:type="spellEnd"/>
      <w:r w:rsidRPr="008F7ED2">
        <w:rPr>
          <w:color w:val="000000" w:themeColor="text1"/>
          <w:shd w:val="clear" w:color="auto" w:fill="FEFEFE"/>
        </w:rPr>
        <w:t xml:space="preserve">, L., Mason, L., Martinez, A. P., McKay, R., Stocks, T. V. A., Bennett, K., </w:t>
      </w:r>
      <w:proofErr w:type="spellStart"/>
      <w:r w:rsidRPr="008F7ED2">
        <w:rPr>
          <w:color w:val="000000" w:themeColor="text1"/>
          <w:shd w:val="clear" w:color="auto" w:fill="FEFEFE"/>
        </w:rPr>
        <w:t>Vallières</w:t>
      </w:r>
      <w:proofErr w:type="spellEnd"/>
      <w:r w:rsidRPr="008F7ED2">
        <w:rPr>
          <w:color w:val="000000" w:themeColor="text1"/>
          <w:shd w:val="clear" w:color="auto" w:fill="FEFEFE"/>
        </w:rPr>
        <w:t xml:space="preserve">, F., </w:t>
      </w:r>
      <w:proofErr w:type="spellStart"/>
      <w:r w:rsidRPr="008F7ED2">
        <w:rPr>
          <w:color w:val="000000" w:themeColor="text1"/>
          <w:shd w:val="clear" w:color="auto" w:fill="FEFEFE"/>
        </w:rPr>
        <w:t>Karatzias</w:t>
      </w:r>
      <w:proofErr w:type="spellEnd"/>
      <w:r w:rsidRPr="008F7ED2">
        <w:rPr>
          <w:color w:val="000000" w:themeColor="text1"/>
          <w:shd w:val="clear" w:color="auto" w:fill="FEFEFE"/>
        </w:rPr>
        <w:t xml:space="preserve">, T., </w:t>
      </w:r>
      <w:proofErr w:type="spellStart"/>
      <w:r w:rsidRPr="008F7ED2">
        <w:rPr>
          <w:color w:val="000000" w:themeColor="text1"/>
          <w:shd w:val="clear" w:color="auto" w:fill="FEFEFE"/>
        </w:rPr>
        <w:t>Valiente</w:t>
      </w:r>
      <w:proofErr w:type="spellEnd"/>
      <w:r w:rsidRPr="008F7ED2">
        <w:rPr>
          <w:color w:val="000000" w:themeColor="text1"/>
          <w:shd w:val="clear" w:color="auto" w:fill="FEFEFE"/>
        </w:rPr>
        <w:t>, C., Vazquez, C., &amp; Bentall, R. P. (2021). Monitoring the psychological, social, and economic impact of the COVID-19 pandemic in the population: Context, design and conduct of the longitudinal COVID-19 psychological research consortium (C19PRC) study.</w:t>
      </w:r>
      <w:r w:rsidRPr="008F7ED2">
        <w:rPr>
          <w:rStyle w:val="Emphasis"/>
          <w:color w:val="000000" w:themeColor="text1"/>
          <w:shd w:val="clear" w:color="auto" w:fill="FEFEFE"/>
        </w:rPr>
        <w:t> International Journal of Methods in Psychiatric Research, 30</w:t>
      </w:r>
      <w:r w:rsidRPr="008F7ED2">
        <w:rPr>
          <w:color w:val="000000" w:themeColor="text1"/>
          <w:shd w:val="clear" w:color="auto" w:fill="FEFEFE"/>
        </w:rPr>
        <w:t>(1), e1861. </w:t>
      </w:r>
      <w:r w:rsidRPr="009C6358">
        <w:rPr>
          <w:lang w:val="en-US"/>
        </w:rPr>
        <w:t>https://doi.org/</w:t>
      </w:r>
      <w:r w:rsidRPr="008F7ED2">
        <w:rPr>
          <w:color w:val="000000" w:themeColor="text1"/>
          <w:shd w:val="clear" w:color="auto" w:fill="FEFEFE"/>
        </w:rPr>
        <w:t>10.1002/mpr.1861</w:t>
      </w:r>
    </w:p>
    <w:p w14:paraId="5ACFEDD2" w14:textId="198E2224" w:rsidR="00CF6D9B" w:rsidRPr="0064474E" w:rsidRDefault="0064474E" w:rsidP="00CF6D9B">
      <w:pPr>
        <w:spacing w:line="480" w:lineRule="auto"/>
        <w:ind w:left="709" w:hanging="709"/>
        <w:rPr>
          <w:highlight w:val="yellow"/>
          <w:lang w:val="en-US"/>
        </w:rPr>
      </w:pPr>
      <w:r w:rsidRPr="0064474E">
        <w:rPr>
          <w:rFonts w:eastAsia="Calibri"/>
          <w:color w:val="000000"/>
        </w:rPr>
        <w:t>Meredith, P. J., Strong, J., &amp; Feeney, J. A. (2005). Evidence of a relationship between adult attachment variables and appraisals of chronic pain. </w:t>
      </w:r>
      <w:r w:rsidRPr="0064474E">
        <w:rPr>
          <w:rFonts w:eastAsia="Calibri"/>
          <w:i/>
          <w:iCs/>
          <w:color w:val="000000"/>
        </w:rPr>
        <w:t>Pain Research &amp; Management, 10</w:t>
      </w:r>
      <w:r w:rsidRPr="0064474E">
        <w:rPr>
          <w:rFonts w:eastAsia="Calibri"/>
          <w:color w:val="000000"/>
        </w:rPr>
        <w:t>(4), 191–200. </w:t>
      </w:r>
      <w:hyperlink r:id="rId24" w:history="1">
        <w:r w:rsidRPr="0064474E">
          <w:rPr>
            <w:rFonts w:eastAsia="Calibri"/>
            <w:color w:val="094FD1"/>
            <w:u w:val="single" w:color="094FD1"/>
          </w:rPr>
          <w:t>https://doi.org/10.1155/2005/745650</w:t>
        </w:r>
      </w:hyperlink>
    </w:p>
    <w:p w14:paraId="75E385BA" w14:textId="57F4AC51" w:rsidR="00CF6D9B" w:rsidRDefault="009843AA" w:rsidP="00CF6D9B">
      <w:pPr>
        <w:spacing w:line="480" w:lineRule="auto"/>
        <w:ind w:left="709" w:hanging="709"/>
        <w:rPr>
          <w:lang w:val="en-US"/>
        </w:rPr>
      </w:pPr>
      <w:proofErr w:type="spellStart"/>
      <w:r w:rsidRPr="009843AA">
        <w:rPr>
          <w:lang w:val="en-US"/>
        </w:rPr>
        <w:t>Mikulincer</w:t>
      </w:r>
      <w:proofErr w:type="spellEnd"/>
      <w:r w:rsidRPr="009843AA">
        <w:rPr>
          <w:lang w:val="en-US"/>
        </w:rPr>
        <w:t xml:space="preserve">, M., Shaver, P. R., </w:t>
      </w:r>
      <w:proofErr w:type="spellStart"/>
      <w:r w:rsidRPr="009843AA">
        <w:rPr>
          <w:lang w:val="en-US"/>
        </w:rPr>
        <w:t>Gillath</w:t>
      </w:r>
      <w:proofErr w:type="spellEnd"/>
      <w:r w:rsidRPr="009843AA">
        <w:rPr>
          <w:lang w:val="en-US"/>
        </w:rPr>
        <w:t xml:space="preserve">, O., &amp; </w:t>
      </w:r>
      <w:proofErr w:type="spellStart"/>
      <w:r w:rsidRPr="009843AA">
        <w:rPr>
          <w:lang w:val="en-US"/>
        </w:rPr>
        <w:t>Nitzberg</w:t>
      </w:r>
      <w:proofErr w:type="spellEnd"/>
      <w:r w:rsidRPr="009843AA">
        <w:rPr>
          <w:lang w:val="en-US"/>
        </w:rPr>
        <w:t xml:space="preserve">, R. A. (2005). Attachment, </w:t>
      </w:r>
      <w:r w:rsidR="00D900BE">
        <w:rPr>
          <w:lang w:val="en-US"/>
        </w:rPr>
        <w:t>c</w:t>
      </w:r>
      <w:r w:rsidRPr="009843AA">
        <w:rPr>
          <w:lang w:val="en-US"/>
        </w:rPr>
        <w:t xml:space="preserve">aregiving, and </w:t>
      </w:r>
      <w:r w:rsidR="00D900BE">
        <w:rPr>
          <w:lang w:val="en-US"/>
        </w:rPr>
        <w:t>a</w:t>
      </w:r>
      <w:r w:rsidRPr="009843AA">
        <w:rPr>
          <w:lang w:val="en-US"/>
        </w:rPr>
        <w:t xml:space="preserve">ltruism: Boosting </w:t>
      </w:r>
      <w:r w:rsidR="00D900BE">
        <w:rPr>
          <w:lang w:val="en-US"/>
        </w:rPr>
        <w:t>a</w:t>
      </w:r>
      <w:r w:rsidRPr="009843AA">
        <w:rPr>
          <w:lang w:val="en-US"/>
        </w:rPr>
        <w:t xml:space="preserve">ttachment </w:t>
      </w:r>
      <w:r w:rsidR="00D900BE">
        <w:rPr>
          <w:lang w:val="en-US"/>
        </w:rPr>
        <w:t>s</w:t>
      </w:r>
      <w:r w:rsidRPr="009843AA">
        <w:rPr>
          <w:lang w:val="en-US"/>
        </w:rPr>
        <w:t xml:space="preserve">ecurity </w:t>
      </w:r>
      <w:r w:rsidR="00D900BE">
        <w:rPr>
          <w:lang w:val="en-US"/>
        </w:rPr>
        <w:t>i</w:t>
      </w:r>
      <w:r w:rsidRPr="009843AA">
        <w:rPr>
          <w:lang w:val="en-US"/>
        </w:rPr>
        <w:t xml:space="preserve">ncreases </w:t>
      </w:r>
      <w:r w:rsidR="00D900BE">
        <w:rPr>
          <w:lang w:val="en-US"/>
        </w:rPr>
        <w:t>c</w:t>
      </w:r>
      <w:r w:rsidRPr="009843AA">
        <w:rPr>
          <w:lang w:val="en-US"/>
        </w:rPr>
        <w:t xml:space="preserve">ompassion and </w:t>
      </w:r>
      <w:r w:rsidR="00D900BE">
        <w:rPr>
          <w:lang w:val="en-US"/>
        </w:rPr>
        <w:t>h</w:t>
      </w:r>
      <w:r w:rsidRPr="009843AA">
        <w:rPr>
          <w:lang w:val="en-US"/>
        </w:rPr>
        <w:t xml:space="preserve">elping. </w:t>
      </w:r>
      <w:r w:rsidRPr="00D900BE">
        <w:rPr>
          <w:i/>
          <w:iCs/>
          <w:lang w:val="en-US"/>
        </w:rPr>
        <w:t>Journal of Personality and Social Psychology, 89</w:t>
      </w:r>
      <w:r w:rsidRPr="009843AA">
        <w:rPr>
          <w:lang w:val="en-US"/>
        </w:rPr>
        <w:t>(5), 817–839. https://doi.org/10.1037/0022-3514.89.5.817</w:t>
      </w:r>
      <w:r w:rsidRPr="009843AA" w:rsidDel="009843AA">
        <w:rPr>
          <w:highlight w:val="yellow"/>
          <w:lang w:val="en-US"/>
        </w:rPr>
        <w:t xml:space="preserve"> </w:t>
      </w:r>
    </w:p>
    <w:p w14:paraId="1FA40523" w14:textId="0F05EEA3" w:rsidR="0064474E" w:rsidRPr="0064474E" w:rsidRDefault="0064474E" w:rsidP="00CF6D9B">
      <w:pPr>
        <w:spacing w:line="480" w:lineRule="auto"/>
        <w:ind w:left="709" w:hanging="709"/>
        <w:rPr>
          <w:lang w:val="en-US"/>
        </w:rPr>
      </w:pPr>
      <w:proofErr w:type="spellStart"/>
      <w:r w:rsidRPr="0064474E">
        <w:rPr>
          <w:rFonts w:eastAsia="Calibri"/>
          <w:color w:val="000000"/>
        </w:rPr>
        <w:lastRenderedPageBreak/>
        <w:t>Mikulincer</w:t>
      </w:r>
      <w:proofErr w:type="spellEnd"/>
      <w:r w:rsidRPr="0064474E">
        <w:rPr>
          <w:rFonts w:eastAsia="Calibri"/>
          <w:color w:val="000000"/>
        </w:rPr>
        <w:t xml:space="preserve">, M., &amp; Shaver, P. R.  (2016). Attachment bases of psychopathology. In M. </w:t>
      </w:r>
      <w:proofErr w:type="spellStart"/>
      <w:r w:rsidRPr="0064474E">
        <w:rPr>
          <w:rFonts w:eastAsia="Calibri"/>
          <w:color w:val="000000"/>
        </w:rPr>
        <w:t>Mikulincer</w:t>
      </w:r>
      <w:proofErr w:type="spellEnd"/>
      <w:r w:rsidRPr="0064474E">
        <w:rPr>
          <w:rFonts w:eastAsia="Calibri"/>
          <w:color w:val="000000"/>
        </w:rPr>
        <w:t xml:space="preserve"> &amp; P. R. Shaver’s, </w:t>
      </w:r>
      <w:r w:rsidRPr="0064474E">
        <w:rPr>
          <w:rFonts w:eastAsia="Calibri"/>
          <w:i/>
          <w:iCs/>
          <w:color w:val="000000"/>
        </w:rPr>
        <w:t>Attachment in adulthood:  Structure, dynamics, and change, 2nd Edition</w:t>
      </w:r>
      <w:r w:rsidRPr="0064474E">
        <w:rPr>
          <w:rFonts w:eastAsia="Calibri"/>
          <w:color w:val="000000"/>
        </w:rPr>
        <w:t xml:space="preserve"> (pp. 395-442).  New York:  Guilford Press.</w:t>
      </w:r>
    </w:p>
    <w:p w14:paraId="348E14C0" w14:textId="0BA3A2AA" w:rsidR="00CF6D9B" w:rsidRPr="00B44145" w:rsidRDefault="00CF6D9B" w:rsidP="00CF6D9B">
      <w:pPr>
        <w:spacing w:line="480" w:lineRule="auto"/>
        <w:ind w:left="709" w:hanging="709"/>
        <w:rPr>
          <w:lang w:val="it-IT"/>
        </w:rPr>
      </w:pPr>
      <w:proofErr w:type="spellStart"/>
      <w:r w:rsidRPr="009C6358">
        <w:rPr>
          <w:lang w:val="en-US"/>
        </w:rPr>
        <w:t>Mikulincer</w:t>
      </w:r>
      <w:proofErr w:type="spellEnd"/>
      <w:r w:rsidRPr="009C6358">
        <w:rPr>
          <w:lang w:val="en-US"/>
        </w:rPr>
        <w:t xml:space="preserve">, M., &amp; Shaver, P. R.  (2016). </w:t>
      </w:r>
      <w:r w:rsidRPr="009C6358">
        <w:rPr>
          <w:i/>
          <w:lang w:val="en-US"/>
        </w:rPr>
        <w:t>Attachment in adulthood:  Structure, dynamics, and change, 2</w:t>
      </w:r>
      <w:r w:rsidRPr="009C6358">
        <w:rPr>
          <w:i/>
          <w:vertAlign w:val="superscript"/>
          <w:lang w:val="en-US"/>
        </w:rPr>
        <w:t>nd</w:t>
      </w:r>
      <w:r w:rsidRPr="009C6358">
        <w:rPr>
          <w:i/>
          <w:lang w:val="en-US"/>
        </w:rPr>
        <w:t xml:space="preserve"> Edition</w:t>
      </w:r>
      <w:r w:rsidRPr="009C6358">
        <w:rPr>
          <w:lang w:val="en-US"/>
        </w:rPr>
        <w:t xml:space="preserve"> (pp. 3-26).  </w:t>
      </w:r>
      <w:r w:rsidRPr="00B44145">
        <w:rPr>
          <w:lang w:val="it-IT"/>
        </w:rPr>
        <w:t xml:space="preserve">New </w:t>
      </w:r>
      <w:proofErr w:type="gramStart"/>
      <w:r w:rsidRPr="00B44145">
        <w:rPr>
          <w:lang w:val="it-IT"/>
        </w:rPr>
        <w:t>York:  Guilford</w:t>
      </w:r>
      <w:proofErr w:type="gramEnd"/>
      <w:r w:rsidRPr="00B44145">
        <w:rPr>
          <w:lang w:val="it-IT"/>
        </w:rPr>
        <w:t xml:space="preserve"> Press. </w:t>
      </w:r>
    </w:p>
    <w:p w14:paraId="430B570F" w14:textId="30DC36D9" w:rsidR="00CF6D9B" w:rsidRDefault="00CF6D9B" w:rsidP="00CF6D9B">
      <w:pPr>
        <w:spacing w:line="480" w:lineRule="auto"/>
        <w:ind w:left="709" w:hanging="709"/>
        <w:rPr>
          <w:lang w:val="en-US"/>
        </w:rPr>
      </w:pPr>
      <w:r w:rsidRPr="00B44145">
        <w:rPr>
          <w:lang w:val="it-IT"/>
        </w:rPr>
        <w:t xml:space="preserve">Moccia, L., </w:t>
      </w:r>
      <w:proofErr w:type="spellStart"/>
      <w:r w:rsidRPr="00B44145">
        <w:rPr>
          <w:lang w:val="it-IT"/>
        </w:rPr>
        <w:t>Janiri</w:t>
      </w:r>
      <w:proofErr w:type="spellEnd"/>
      <w:r w:rsidRPr="00B44145">
        <w:rPr>
          <w:lang w:val="it-IT"/>
        </w:rPr>
        <w:t xml:space="preserve">, D., Pepe, M., Dattoli, L., Molinaro, M., De Martin, V., </w:t>
      </w:r>
      <w:proofErr w:type="spellStart"/>
      <w:r w:rsidRPr="00B44145">
        <w:rPr>
          <w:lang w:val="it-IT"/>
        </w:rPr>
        <w:t>Chieffo</w:t>
      </w:r>
      <w:proofErr w:type="spellEnd"/>
      <w:r w:rsidRPr="00B44145">
        <w:rPr>
          <w:lang w:val="it-IT"/>
        </w:rPr>
        <w:t xml:space="preserve">, D., </w:t>
      </w:r>
      <w:proofErr w:type="spellStart"/>
      <w:r w:rsidRPr="00B44145">
        <w:rPr>
          <w:lang w:val="it-IT"/>
        </w:rPr>
        <w:t>Janiri</w:t>
      </w:r>
      <w:proofErr w:type="spellEnd"/>
      <w:r w:rsidRPr="00B44145">
        <w:rPr>
          <w:lang w:val="it-IT"/>
        </w:rPr>
        <w:t xml:space="preserve">, L., Fiorillo, A., Sani, G., &amp; Di Nicola, M. (2020). </w:t>
      </w:r>
      <w:r w:rsidRPr="009C6358">
        <w:rPr>
          <w:lang w:val="en-US"/>
        </w:rPr>
        <w:t xml:space="preserve">Affective temperament, attachment style, and the psychological impact of the COVID-19 outbreak: an early report on the Italian general population. </w:t>
      </w:r>
      <w:r w:rsidRPr="009C6358">
        <w:rPr>
          <w:i/>
          <w:lang w:val="en-US"/>
        </w:rPr>
        <w:t>Brain, Behavior, and Immunity</w:t>
      </w:r>
      <w:r w:rsidRPr="009C6358">
        <w:rPr>
          <w:lang w:val="en-US"/>
        </w:rPr>
        <w:t>. https://doi.org/10.1016/j.bbi.2020.04.048.</w:t>
      </w:r>
    </w:p>
    <w:p w14:paraId="0000008C" w14:textId="06971F69" w:rsidR="00A92EB8" w:rsidRDefault="00411C61" w:rsidP="009C6358">
      <w:pPr>
        <w:spacing w:line="480" w:lineRule="auto"/>
        <w:ind w:left="709" w:hanging="709"/>
        <w:rPr>
          <w:lang w:val="en-US"/>
        </w:rPr>
      </w:pPr>
      <w:r w:rsidRPr="009C6358">
        <w:rPr>
          <w:lang w:val="en-US"/>
        </w:rPr>
        <w:t>Pearl, J. (2009)</w:t>
      </w:r>
      <w:r w:rsidR="00D94FC1">
        <w:rPr>
          <w:lang w:val="en-US"/>
        </w:rPr>
        <w:t>.</w:t>
      </w:r>
      <w:r w:rsidRPr="009C6358">
        <w:rPr>
          <w:lang w:val="en-US"/>
        </w:rPr>
        <w:t xml:space="preserve"> </w:t>
      </w:r>
      <w:r w:rsidRPr="00173386">
        <w:rPr>
          <w:i/>
          <w:iCs/>
          <w:lang w:val="en-US"/>
        </w:rPr>
        <w:t>Causality</w:t>
      </w:r>
      <w:r w:rsidRPr="009C6358">
        <w:rPr>
          <w:lang w:val="en-US"/>
        </w:rPr>
        <w:t xml:space="preserve">. Cambridge University Press: Cambridge. </w:t>
      </w:r>
    </w:p>
    <w:p w14:paraId="2FF24BFD" w14:textId="4BC6C0EE" w:rsidR="00CF6D9B" w:rsidRPr="00643D5F" w:rsidRDefault="00CF6D9B" w:rsidP="00CF6D9B">
      <w:pPr>
        <w:spacing w:line="480" w:lineRule="auto"/>
        <w:ind w:left="709" w:hanging="709"/>
        <w:rPr>
          <w:lang w:val="en-US"/>
        </w:rPr>
      </w:pPr>
      <w:r w:rsidRPr="0018293C">
        <w:rPr>
          <w:lang w:val="en-US"/>
        </w:rPr>
        <w:t xml:space="preserve">Pierce, M., Hope, H., Ford, T., Hatch, S., </w:t>
      </w:r>
      <w:proofErr w:type="spellStart"/>
      <w:r w:rsidRPr="0018293C">
        <w:rPr>
          <w:lang w:val="en-US"/>
        </w:rPr>
        <w:t>Hotopf</w:t>
      </w:r>
      <w:proofErr w:type="spellEnd"/>
      <w:r w:rsidRPr="0018293C">
        <w:rPr>
          <w:lang w:val="en-US"/>
        </w:rPr>
        <w:t xml:space="preserve">, M., John, A., … Abel, K. M. (2020). Mental health before and during the COVID-19 pandemic: A longitudinal probability sample survey of the UK population. </w:t>
      </w:r>
      <w:r w:rsidRPr="0018293C">
        <w:rPr>
          <w:i/>
          <w:lang w:val="en-US"/>
        </w:rPr>
        <w:t xml:space="preserve">The Lancet Psychiatry </w:t>
      </w:r>
      <w:r w:rsidRPr="0018293C">
        <w:rPr>
          <w:lang w:val="en-US"/>
        </w:rPr>
        <w:t>(pp. 1–10). https://doi. org/10.1016/S2215-0366(20)30308-4.</w:t>
      </w:r>
    </w:p>
    <w:p w14:paraId="3CC6C14C" w14:textId="600AF013" w:rsidR="00CF6D9B" w:rsidRPr="00BA241B" w:rsidRDefault="00314036" w:rsidP="009C6358">
      <w:pPr>
        <w:spacing w:line="480" w:lineRule="auto"/>
        <w:ind w:left="709" w:hanging="709"/>
        <w:rPr>
          <w:lang w:val="fr-CH"/>
        </w:rPr>
      </w:pPr>
      <w:proofErr w:type="spellStart"/>
      <w:r w:rsidRPr="00643D5F">
        <w:rPr>
          <w:lang w:val="en-US"/>
        </w:rPr>
        <w:t>Pietromonaco</w:t>
      </w:r>
      <w:proofErr w:type="spellEnd"/>
      <w:r w:rsidR="007013BE">
        <w:rPr>
          <w:lang w:val="en-US"/>
        </w:rPr>
        <w:t>,</w:t>
      </w:r>
      <w:r w:rsidRPr="00643D5F">
        <w:rPr>
          <w:lang w:val="en-US"/>
        </w:rPr>
        <w:t xml:space="preserve"> P</w:t>
      </w:r>
      <w:r w:rsidR="007013BE">
        <w:rPr>
          <w:lang w:val="en-US"/>
        </w:rPr>
        <w:t xml:space="preserve">. </w:t>
      </w:r>
      <w:r w:rsidRPr="00643D5F">
        <w:rPr>
          <w:lang w:val="en-US"/>
        </w:rPr>
        <w:t>R</w:t>
      </w:r>
      <w:r w:rsidR="007013BE">
        <w:rPr>
          <w:lang w:val="en-US"/>
        </w:rPr>
        <w:t>.</w:t>
      </w:r>
      <w:r w:rsidRPr="00643D5F">
        <w:rPr>
          <w:lang w:val="en-US"/>
        </w:rPr>
        <w:t>, Uchino</w:t>
      </w:r>
      <w:r w:rsidR="007013BE">
        <w:rPr>
          <w:lang w:val="en-US"/>
        </w:rPr>
        <w:t>,</w:t>
      </w:r>
      <w:r w:rsidRPr="00643D5F">
        <w:rPr>
          <w:lang w:val="en-US"/>
        </w:rPr>
        <w:t xml:space="preserve"> B</w:t>
      </w:r>
      <w:r w:rsidR="007013BE">
        <w:rPr>
          <w:lang w:val="en-US"/>
        </w:rPr>
        <w:t>.</w:t>
      </w:r>
      <w:r w:rsidRPr="00643D5F">
        <w:rPr>
          <w:lang w:val="en-US"/>
        </w:rPr>
        <w:t xml:space="preserve">, </w:t>
      </w:r>
      <w:r w:rsidR="007013BE">
        <w:rPr>
          <w:lang w:val="en-US"/>
        </w:rPr>
        <w:t xml:space="preserve">&amp; </w:t>
      </w:r>
      <w:r w:rsidRPr="00643D5F">
        <w:rPr>
          <w:lang w:val="en-US"/>
        </w:rPr>
        <w:t xml:space="preserve">Dunkel </w:t>
      </w:r>
      <w:proofErr w:type="spellStart"/>
      <w:r w:rsidRPr="00643D5F">
        <w:rPr>
          <w:lang w:val="en-US"/>
        </w:rPr>
        <w:t>Schetter</w:t>
      </w:r>
      <w:proofErr w:type="spellEnd"/>
      <w:r w:rsidR="007013BE">
        <w:rPr>
          <w:lang w:val="en-US"/>
        </w:rPr>
        <w:t>,</w:t>
      </w:r>
      <w:r w:rsidRPr="00643D5F">
        <w:rPr>
          <w:lang w:val="en-US"/>
        </w:rPr>
        <w:t xml:space="preserve"> C. (2013) Close relationship processes and health: implications of attachment theory for health and disease. </w:t>
      </w:r>
      <w:proofErr w:type="spellStart"/>
      <w:r w:rsidRPr="00BA241B">
        <w:rPr>
          <w:i/>
          <w:iCs/>
          <w:lang w:val="fr-CH"/>
        </w:rPr>
        <w:t>Health</w:t>
      </w:r>
      <w:proofErr w:type="spellEnd"/>
      <w:r w:rsidRPr="00BA241B">
        <w:rPr>
          <w:i/>
          <w:iCs/>
          <w:lang w:val="fr-CH"/>
        </w:rPr>
        <w:t xml:space="preserve"> Psychology</w:t>
      </w:r>
      <w:r w:rsidR="00014ADF">
        <w:rPr>
          <w:i/>
          <w:iCs/>
          <w:lang w:val="fr-CH"/>
        </w:rPr>
        <w:t>,</w:t>
      </w:r>
      <w:r w:rsidRPr="00BA241B">
        <w:rPr>
          <w:i/>
          <w:iCs/>
          <w:lang w:val="fr-CH"/>
        </w:rPr>
        <w:t xml:space="preserve"> 32</w:t>
      </w:r>
      <w:r w:rsidRPr="00BA241B">
        <w:rPr>
          <w:lang w:val="fr-CH"/>
        </w:rPr>
        <w:t>(5)</w:t>
      </w:r>
      <w:r w:rsidR="00014ADF">
        <w:rPr>
          <w:lang w:val="fr-CH"/>
        </w:rPr>
        <w:t xml:space="preserve">, </w:t>
      </w:r>
      <w:r w:rsidRPr="00BA241B">
        <w:rPr>
          <w:lang w:val="fr-CH"/>
        </w:rPr>
        <w:t xml:space="preserve">499-513. </w:t>
      </w:r>
      <w:r w:rsidR="00A06509" w:rsidRPr="00BA241B">
        <w:rPr>
          <w:lang w:val="fr-CH"/>
        </w:rPr>
        <w:t>https://doi.org/</w:t>
      </w:r>
      <w:r w:rsidRPr="00BA241B">
        <w:rPr>
          <w:lang w:val="fr-CH"/>
        </w:rPr>
        <w:t xml:space="preserve">10.1037/a0029349. </w:t>
      </w:r>
    </w:p>
    <w:p w14:paraId="0000008E" w14:textId="669F3589" w:rsidR="00A92EB8" w:rsidRPr="009C6358" w:rsidRDefault="00411C61" w:rsidP="009C6358">
      <w:pPr>
        <w:spacing w:line="480" w:lineRule="auto"/>
        <w:ind w:left="709" w:hanging="709"/>
        <w:rPr>
          <w:lang w:val="en-US"/>
        </w:rPr>
      </w:pPr>
      <w:proofErr w:type="spellStart"/>
      <w:r w:rsidRPr="00BA241B">
        <w:rPr>
          <w:lang w:val="fr-CH"/>
        </w:rPr>
        <w:t>Pedrogosa</w:t>
      </w:r>
      <w:proofErr w:type="spellEnd"/>
      <w:r w:rsidRPr="00BA241B">
        <w:rPr>
          <w:lang w:val="fr-CH"/>
        </w:rPr>
        <w:t xml:space="preserve">, F., </w:t>
      </w:r>
      <w:proofErr w:type="spellStart"/>
      <w:r w:rsidRPr="00BA241B">
        <w:rPr>
          <w:lang w:val="fr-CH"/>
        </w:rPr>
        <w:t>Varoquaux</w:t>
      </w:r>
      <w:proofErr w:type="spellEnd"/>
      <w:r w:rsidRPr="00BA241B">
        <w:rPr>
          <w:lang w:val="fr-CH"/>
        </w:rPr>
        <w:t xml:space="preserve">, G., </w:t>
      </w:r>
      <w:proofErr w:type="spellStart"/>
      <w:r w:rsidRPr="00BA241B">
        <w:rPr>
          <w:lang w:val="fr-CH"/>
        </w:rPr>
        <w:t>Gramfort</w:t>
      </w:r>
      <w:proofErr w:type="spellEnd"/>
      <w:r w:rsidRPr="00BA241B">
        <w:rPr>
          <w:lang w:val="fr-CH"/>
        </w:rPr>
        <w:t xml:space="preserve">, A., Michel, V., Thirion, B. et al. </w:t>
      </w:r>
      <w:r w:rsidRPr="009C6358">
        <w:rPr>
          <w:lang w:val="en-US"/>
        </w:rPr>
        <w:t>(2011)</w:t>
      </w:r>
      <w:r w:rsidR="002335BE">
        <w:rPr>
          <w:lang w:val="en-US"/>
        </w:rPr>
        <w:t>.</w:t>
      </w:r>
      <w:r w:rsidRPr="009C6358">
        <w:rPr>
          <w:lang w:val="en-US"/>
        </w:rPr>
        <w:t xml:space="preserve"> Scikit-learn: Machine Learning in Python. </w:t>
      </w:r>
      <w:r w:rsidR="002335BE">
        <w:rPr>
          <w:i/>
          <w:iCs/>
          <w:lang w:val="en-US"/>
        </w:rPr>
        <w:t>Journal of Machine Learning Research,</w:t>
      </w:r>
      <w:r w:rsidRPr="009C6358">
        <w:rPr>
          <w:lang w:val="en-US"/>
        </w:rPr>
        <w:t xml:space="preserve"> </w:t>
      </w:r>
      <w:r w:rsidRPr="002335BE">
        <w:rPr>
          <w:i/>
          <w:iCs/>
          <w:lang w:val="en-US"/>
        </w:rPr>
        <w:t>12</w:t>
      </w:r>
      <w:r w:rsidR="002335BE">
        <w:rPr>
          <w:lang w:val="en-US"/>
        </w:rPr>
        <w:t xml:space="preserve">, </w:t>
      </w:r>
      <w:r w:rsidRPr="009C6358">
        <w:rPr>
          <w:lang w:val="en-US"/>
        </w:rPr>
        <w:t>2825-2830.</w:t>
      </w:r>
    </w:p>
    <w:p w14:paraId="44B2AF18" w14:textId="3B06C512" w:rsidR="008239F4" w:rsidRDefault="008239F4" w:rsidP="00CF6D9B">
      <w:pPr>
        <w:spacing w:line="480" w:lineRule="auto"/>
        <w:ind w:left="709" w:hanging="709"/>
      </w:pPr>
      <w:r w:rsidRPr="00A02130">
        <w:t>Platt, J. C. (1999). Probabilistic outputs for support vector machines and comparisons to regularized likelihood methods. </w:t>
      </w:r>
      <w:r w:rsidRPr="00A02130">
        <w:rPr>
          <w:i/>
          <w:iCs/>
        </w:rPr>
        <w:t>Advances in Large Margin Classifiers</w:t>
      </w:r>
      <w:r w:rsidRPr="00A02130">
        <w:t>, 61–74. MIT Press.</w:t>
      </w:r>
    </w:p>
    <w:p w14:paraId="41931AF2" w14:textId="5F199B8F" w:rsidR="00CF6D9B" w:rsidRDefault="00CF6D9B" w:rsidP="00CF6D9B">
      <w:pPr>
        <w:spacing w:line="480" w:lineRule="auto"/>
        <w:ind w:left="709" w:hanging="709"/>
        <w:rPr>
          <w:i/>
          <w:lang w:val="en-US"/>
        </w:rPr>
      </w:pPr>
      <w:r w:rsidRPr="00CE48D3">
        <w:rPr>
          <w:lang w:val="en-US"/>
        </w:rPr>
        <w:lastRenderedPageBreak/>
        <w:t xml:space="preserve">Randall, A., K., et al.  </w:t>
      </w:r>
      <w:r w:rsidRPr="009C6358">
        <w:rPr>
          <w:lang w:val="en-US"/>
        </w:rPr>
        <w:t xml:space="preserve">(2022). Coping with global uncertainty: Perceptions of COVID-19 psychological distress, relationship quality, and dyadic coping for romantic partners across 27 Countries. </w:t>
      </w:r>
      <w:r w:rsidRPr="009C6358">
        <w:rPr>
          <w:i/>
          <w:lang w:val="en-US"/>
        </w:rPr>
        <w:t xml:space="preserve">Journal of Social and Personal Relationships, 39(1), </w:t>
      </w:r>
      <w:r w:rsidRPr="00A06509">
        <w:rPr>
          <w:iCs/>
          <w:lang w:val="en-US"/>
        </w:rPr>
        <w:t>3-33.</w:t>
      </w:r>
      <w:r w:rsidR="00A06509" w:rsidRPr="00A06509">
        <w:rPr>
          <w:iCs/>
          <w:lang w:val="en-US"/>
        </w:rPr>
        <w:t xml:space="preserve"> https://doi.org/10.1177/02654075211034236</w:t>
      </w:r>
    </w:p>
    <w:p w14:paraId="3645BAA2" w14:textId="221BDEA0" w:rsidR="002F688A" w:rsidRPr="009713E2" w:rsidRDefault="002F688A" w:rsidP="002F688A">
      <w:pPr>
        <w:spacing w:line="480" w:lineRule="auto"/>
        <w:ind w:left="709" w:hanging="709"/>
      </w:pPr>
      <w:r w:rsidRPr="009713E2">
        <w:t xml:space="preserve">Richardson, T.S., Robins, J.M., &amp; </w:t>
      </w:r>
      <w:proofErr w:type="spellStart"/>
      <w:r w:rsidRPr="009713E2">
        <w:t>Shpitser</w:t>
      </w:r>
      <w:proofErr w:type="spellEnd"/>
      <w:r w:rsidRPr="009713E2">
        <w:t xml:space="preserve">, I. (2012) Nested Markov properties for acyclic directed mixed graphs. In Proceedings of the </w:t>
      </w:r>
      <w:r w:rsidRPr="00A06509">
        <w:rPr>
          <w:i/>
          <w:iCs/>
        </w:rPr>
        <w:t>Twenty-Eighth Conference on Uncertainty in Artificial Intelligence</w:t>
      </w:r>
      <w:r>
        <w:t xml:space="preserve">, </w:t>
      </w:r>
      <w:r w:rsidRPr="009713E2">
        <w:t>AUAI Press, Arlington, Virginia, 13. https://dl.acm.org/doi/10.5555/3020652.3020656</w:t>
      </w:r>
    </w:p>
    <w:p w14:paraId="00000094" w14:textId="056767A3" w:rsidR="00A92EB8" w:rsidRPr="005F79B2" w:rsidRDefault="00411C61" w:rsidP="00E23504">
      <w:pPr>
        <w:spacing w:line="480" w:lineRule="auto"/>
        <w:ind w:left="709" w:hanging="709"/>
        <w:rPr>
          <w:lang w:val="en-US"/>
        </w:rPr>
      </w:pPr>
      <w:r w:rsidRPr="009C6358">
        <w:rPr>
          <w:lang w:val="en-US"/>
        </w:rPr>
        <w:t xml:space="preserve">Rohrer, J. (2018) Thinking clearly about correlations and causation: Graphical causal models for observational data. </w:t>
      </w:r>
      <w:r w:rsidRPr="00786C09">
        <w:rPr>
          <w:i/>
          <w:iCs/>
          <w:lang w:val="en-US"/>
        </w:rPr>
        <w:t>Advances in Methods and Practices in Psychological Science.</w:t>
      </w:r>
      <w:r w:rsidRPr="009C6358">
        <w:rPr>
          <w:lang w:val="en-US"/>
        </w:rPr>
        <w:t xml:space="preserve"> </w:t>
      </w:r>
      <w:hyperlink r:id="rId25" w:history="1">
        <w:r w:rsidR="00786C09" w:rsidRPr="005F79B2">
          <w:rPr>
            <w:rStyle w:val="Hyperlink"/>
            <w:lang w:val="en-US"/>
          </w:rPr>
          <w:t>https://doi.org/10.1177/2515245917745629</w:t>
        </w:r>
      </w:hyperlink>
      <w:r w:rsidR="00786C09" w:rsidRPr="005F79B2">
        <w:rPr>
          <w:lang w:val="en-US"/>
        </w:rPr>
        <w:t xml:space="preserve"> </w:t>
      </w:r>
    </w:p>
    <w:p w14:paraId="00000098" w14:textId="0EC7EC03" w:rsidR="00A92EB8" w:rsidRPr="00A02130" w:rsidRDefault="00411C61" w:rsidP="00CF6D9B">
      <w:pPr>
        <w:spacing w:line="480" w:lineRule="auto"/>
        <w:ind w:left="709" w:hanging="709"/>
        <w:rPr>
          <w:lang w:val="en-US"/>
        </w:rPr>
      </w:pPr>
      <w:r w:rsidRPr="00BA241B">
        <w:rPr>
          <w:lang w:val="de-CH"/>
        </w:rPr>
        <w:t>Schnitzer</w:t>
      </w:r>
      <w:r w:rsidR="00A02130" w:rsidRPr="00BA241B">
        <w:rPr>
          <w:lang w:val="de-CH"/>
        </w:rPr>
        <w:t>, M. E.</w:t>
      </w:r>
      <w:r w:rsidRPr="00BA241B">
        <w:rPr>
          <w:lang w:val="de-CH"/>
        </w:rPr>
        <w:t>, van der Laan</w:t>
      </w:r>
      <w:r w:rsidR="00A02130" w:rsidRPr="00BA241B">
        <w:rPr>
          <w:lang w:val="de-CH"/>
        </w:rPr>
        <w:t xml:space="preserve">, M. J., </w:t>
      </w:r>
      <w:proofErr w:type="spellStart"/>
      <w:r w:rsidRPr="00BA241B">
        <w:rPr>
          <w:lang w:val="de-CH"/>
        </w:rPr>
        <w:t>Moodi</w:t>
      </w:r>
      <w:r w:rsidR="00A02130" w:rsidRPr="00BA241B">
        <w:rPr>
          <w:lang w:val="de-CH"/>
        </w:rPr>
        <w:t>e</w:t>
      </w:r>
      <w:proofErr w:type="spellEnd"/>
      <w:r w:rsidR="00A02130" w:rsidRPr="00BA241B">
        <w:rPr>
          <w:lang w:val="de-CH"/>
        </w:rPr>
        <w:t>, E. E.</w:t>
      </w:r>
      <w:r w:rsidRPr="00BA241B">
        <w:rPr>
          <w:lang w:val="de-CH"/>
        </w:rPr>
        <w:t xml:space="preserve">, </w:t>
      </w:r>
      <w:r w:rsidR="00630728" w:rsidRPr="00BA241B">
        <w:rPr>
          <w:lang w:val="de-CH"/>
        </w:rPr>
        <w:t xml:space="preserve">&amp; </w:t>
      </w:r>
      <w:r w:rsidRPr="00BA241B">
        <w:rPr>
          <w:lang w:val="de-CH"/>
        </w:rPr>
        <w:t>Platt R</w:t>
      </w:r>
      <w:r w:rsidR="00A02130" w:rsidRPr="00BA241B">
        <w:rPr>
          <w:lang w:val="de-CH"/>
        </w:rPr>
        <w:t xml:space="preserve">. </w:t>
      </w:r>
      <w:r w:rsidRPr="00BA241B">
        <w:rPr>
          <w:lang w:val="de-CH"/>
        </w:rPr>
        <w:t>W</w:t>
      </w:r>
      <w:r w:rsidR="00A02130" w:rsidRPr="00BA241B">
        <w:rPr>
          <w:lang w:val="de-CH"/>
        </w:rPr>
        <w:t>.</w:t>
      </w:r>
      <w:r w:rsidR="002F688A" w:rsidRPr="00BA241B">
        <w:rPr>
          <w:lang w:val="de-CH"/>
        </w:rPr>
        <w:t xml:space="preserve"> (2014)</w:t>
      </w:r>
      <w:r w:rsidR="004F49A7" w:rsidRPr="00BA241B">
        <w:rPr>
          <w:lang w:val="de-CH"/>
        </w:rPr>
        <w:t>.</w:t>
      </w:r>
      <w:r w:rsidRPr="00BA241B">
        <w:rPr>
          <w:lang w:val="de-CH"/>
        </w:rPr>
        <w:t xml:space="preserve"> </w:t>
      </w:r>
      <w:r w:rsidR="00E23504" w:rsidRPr="00A02130">
        <w:rPr>
          <w:lang w:val="en-US"/>
        </w:rPr>
        <w:t>Effect of breastfeeding on gastrointestinal infection in infants: a targeted maximum likelihood approach for clustered longitudinal data</w:t>
      </w:r>
      <w:r w:rsidRPr="00A02130">
        <w:rPr>
          <w:lang w:val="en-US"/>
        </w:rPr>
        <w:t xml:space="preserve">. </w:t>
      </w:r>
      <w:r w:rsidR="00A02130" w:rsidRPr="00A02130">
        <w:rPr>
          <w:i/>
          <w:iCs/>
          <w:lang w:val="en-US"/>
        </w:rPr>
        <w:t>Annals of Applied Statistics,</w:t>
      </w:r>
      <w:r w:rsidRPr="00A02130">
        <w:rPr>
          <w:i/>
          <w:iCs/>
          <w:lang w:val="en-US"/>
        </w:rPr>
        <w:t xml:space="preserve"> 8</w:t>
      </w:r>
      <w:r w:rsidRPr="00A02130">
        <w:rPr>
          <w:lang w:val="en-US"/>
        </w:rPr>
        <w:t>(2)</w:t>
      </w:r>
      <w:r w:rsidR="00A02130" w:rsidRPr="00A02130">
        <w:rPr>
          <w:lang w:val="en-US"/>
        </w:rPr>
        <w:t xml:space="preserve">, </w:t>
      </w:r>
      <w:r w:rsidRPr="00A02130">
        <w:rPr>
          <w:lang w:val="en-US"/>
        </w:rPr>
        <w:t xml:space="preserve">703-725. </w:t>
      </w:r>
      <w:r w:rsidR="00A02130" w:rsidRPr="00A02130">
        <w:rPr>
          <w:lang w:val="en-US"/>
        </w:rPr>
        <w:t>https://doi.org/</w:t>
      </w:r>
      <w:r w:rsidRPr="00A02130">
        <w:rPr>
          <w:lang w:val="en-US"/>
        </w:rPr>
        <w:t xml:space="preserve">10.1214/14-aoas727. </w:t>
      </w:r>
    </w:p>
    <w:p w14:paraId="6ADE6AB0" w14:textId="69E0F184" w:rsidR="00CF6D9B" w:rsidRPr="009C6358" w:rsidRDefault="00CF6D9B" w:rsidP="00CF6D9B">
      <w:pPr>
        <w:spacing w:line="480" w:lineRule="auto"/>
        <w:ind w:left="709" w:hanging="709"/>
        <w:rPr>
          <w:lang w:val="en-US"/>
        </w:rPr>
      </w:pPr>
      <w:r w:rsidRPr="009C6358">
        <w:rPr>
          <w:lang w:val="en-US"/>
        </w:rPr>
        <w:t xml:space="preserve">Shevlin, M. </w:t>
      </w:r>
      <w:r w:rsidR="00E560FB">
        <w:rPr>
          <w:lang w:val="en-US"/>
        </w:rPr>
        <w:t xml:space="preserve">Butter, S., McBride, O., Murphy, J., Gibson-Miller, J., Hartman, T. K., </w:t>
      </w:r>
      <w:proofErr w:type="spellStart"/>
      <w:r w:rsidR="00E560FB">
        <w:rPr>
          <w:lang w:val="en-US"/>
        </w:rPr>
        <w:t>Levita</w:t>
      </w:r>
      <w:proofErr w:type="spellEnd"/>
      <w:r w:rsidR="00E560FB">
        <w:rPr>
          <w:lang w:val="en-US"/>
        </w:rPr>
        <w:t>, L., Mason, L., Martinez, A. P., McKay, R., Stocks, T. V. A., Bennett, K., Hyland, P., &amp; Bentall, R. P.</w:t>
      </w:r>
      <w:r w:rsidRPr="009C6358">
        <w:rPr>
          <w:lang w:val="en-US"/>
        </w:rPr>
        <w:t xml:space="preserve"> (2021). Refuting the myth of a ‘tsunami’ of mental ill-health in populations affected by COVID-19: evidence that response to the pandemic is heterogeneous, not homogeneous. </w:t>
      </w:r>
      <w:r w:rsidRPr="009C6358">
        <w:rPr>
          <w:i/>
          <w:lang w:val="en-US"/>
        </w:rPr>
        <w:t>Psychological Medicine</w:t>
      </w:r>
      <w:r w:rsidRPr="009C6358">
        <w:rPr>
          <w:lang w:val="en-US"/>
        </w:rPr>
        <w:t xml:space="preserve"> 1–9. https://doi.org/10.1017/S0033291721001665</w:t>
      </w:r>
    </w:p>
    <w:p w14:paraId="71AFD733" w14:textId="77777777" w:rsidR="00CF6D9B" w:rsidRPr="009C6358" w:rsidRDefault="00CF6D9B" w:rsidP="00CF6D9B">
      <w:pPr>
        <w:spacing w:line="480" w:lineRule="auto"/>
        <w:ind w:left="709" w:hanging="709"/>
        <w:rPr>
          <w:lang w:val="en-US"/>
        </w:rPr>
      </w:pPr>
      <w:proofErr w:type="spellStart"/>
      <w:r w:rsidRPr="009C6358">
        <w:rPr>
          <w:lang w:val="en-US"/>
        </w:rPr>
        <w:t>Spirtes</w:t>
      </w:r>
      <w:proofErr w:type="spellEnd"/>
      <w:r w:rsidRPr="009C6358">
        <w:rPr>
          <w:lang w:val="en-US"/>
        </w:rPr>
        <w:t xml:space="preserve">, P., </w:t>
      </w:r>
      <w:proofErr w:type="spellStart"/>
      <w:r w:rsidRPr="009C6358">
        <w:rPr>
          <w:lang w:val="en-US"/>
        </w:rPr>
        <w:t>Glymour</w:t>
      </w:r>
      <w:proofErr w:type="spellEnd"/>
      <w:r w:rsidRPr="009C6358">
        <w:rPr>
          <w:lang w:val="en-US"/>
        </w:rPr>
        <w:t xml:space="preserve">, C. &amp; </w:t>
      </w:r>
      <w:proofErr w:type="spellStart"/>
      <w:r w:rsidRPr="009C6358">
        <w:rPr>
          <w:lang w:val="en-US"/>
        </w:rPr>
        <w:t>Scheines</w:t>
      </w:r>
      <w:proofErr w:type="spellEnd"/>
      <w:r w:rsidRPr="009C6358">
        <w:rPr>
          <w:lang w:val="en-US"/>
        </w:rPr>
        <w:t xml:space="preserve">, R. (2000). </w:t>
      </w:r>
      <w:r w:rsidRPr="009C6358">
        <w:rPr>
          <w:i/>
          <w:lang w:val="en-US"/>
        </w:rPr>
        <w:t>Causation, prediction, and search</w:t>
      </w:r>
      <w:r w:rsidRPr="009C6358">
        <w:rPr>
          <w:lang w:val="en-US"/>
        </w:rPr>
        <w:t>.  MIT Press: Cambridge, Massachusetts.</w:t>
      </w:r>
    </w:p>
    <w:p w14:paraId="36260018" w14:textId="5FD37393" w:rsidR="00CF6D9B" w:rsidRDefault="00CF6D9B" w:rsidP="00CF6D9B">
      <w:pPr>
        <w:spacing w:line="480" w:lineRule="auto"/>
        <w:ind w:left="709" w:hanging="709"/>
        <w:rPr>
          <w:lang w:val="en-US"/>
        </w:rPr>
      </w:pPr>
      <w:r w:rsidRPr="00BA241B">
        <w:rPr>
          <w:highlight w:val="white"/>
          <w:lang w:val="en-US"/>
        </w:rPr>
        <w:lastRenderedPageBreak/>
        <w:t xml:space="preserve">Spitzer, R. L., Kroenke K., Williams, J. B. W., </w:t>
      </w:r>
      <w:proofErr w:type="spellStart"/>
      <w:r w:rsidRPr="00BA241B">
        <w:rPr>
          <w:highlight w:val="white"/>
          <w:lang w:val="en-US"/>
        </w:rPr>
        <w:t>Löwe</w:t>
      </w:r>
      <w:proofErr w:type="spellEnd"/>
      <w:r w:rsidRPr="00BA241B">
        <w:rPr>
          <w:highlight w:val="white"/>
          <w:lang w:val="en-US"/>
        </w:rPr>
        <w:t xml:space="preserve">, B. (2006). </w:t>
      </w:r>
      <w:r w:rsidRPr="009C6358">
        <w:rPr>
          <w:highlight w:val="white"/>
          <w:lang w:val="en-US"/>
        </w:rPr>
        <w:t xml:space="preserve">A brief measure for assessing generalized anxiety disorder: The GAD-7. </w:t>
      </w:r>
      <w:r w:rsidRPr="009C6358">
        <w:rPr>
          <w:i/>
          <w:highlight w:val="white"/>
          <w:lang w:val="en-US"/>
        </w:rPr>
        <w:t>Archives of Internal Medicine</w:t>
      </w:r>
      <w:r w:rsidRPr="009C6358">
        <w:rPr>
          <w:highlight w:val="white"/>
          <w:lang w:val="en-US"/>
        </w:rPr>
        <w:t xml:space="preserve">, </w:t>
      </w:r>
      <w:r w:rsidRPr="009C6358">
        <w:rPr>
          <w:i/>
          <w:highlight w:val="white"/>
          <w:lang w:val="en-US"/>
        </w:rPr>
        <w:t>166</w:t>
      </w:r>
      <w:r w:rsidRPr="009C6358">
        <w:rPr>
          <w:highlight w:val="white"/>
          <w:lang w:val="en-US"/>
        </w:rPr>
        <w:t xml:space="preserve">(10),1092–1097. </w:t>
      </w:r>
      <w:r w:rsidR="00786C09" w:rsidRPr="009C6358">
        <w:rPr>
          <w:lang w:val="en-US"/>
        </w:rPr>
        <w:t>https://doi.org/</w:t>
      </w:r>
      <w:r w:rsidRPr="009C6358">
        <w:rPr>
          <w:highlight w:val="white"/>
          <w:lang w:val="en-US"/>
        </w:rPr>
        <w:t>10.1001/archinte.166.10.109</w:t>
      </w:r>
    </w:p>
    <w:p w14:paraId="0000009A" w14:textId="20321372" w:rsidR="00A92EB8" w:rsidRPr="009C6358" w:rsidRDefault="00411C61" w:rsidP="00E23504">
      <w:pPr>
        <w:spacing w:line="480" w:lineRule="auto"/>
        <w:ind w:left="709" w:hanging="709"/>
        <w:rPr>
          <w:lang w:val="en-US"/>
        </w:rPr>
      </w:pPr>
      <w:proofErr w:type="spellStart"/>
      <w:r w:rsidRPr="009C6358">
        <w:rPr>
          <w:lang w:val="en-US"/>
        </w:rPr>
        <w:t>Spirtes</w:t>
      </w:r>
      <w:proofErr w:type="spellEnd"/>
      <w:r w:rsidRPr="009C6358">
        <w:rPr>
          <w:lang w:val="en-US"/>
        </w:rPr>
        <w:t xml:space="preserve">, P. and </w:t>
      </w:r>
      <w:proofErr w:type="spellStart"/>
      <w:r w:rsidRPr="009C6358">
        <w:rPr>
          <w:lang w:val="en-US"/>
        </w:rPr>
        <w:t>Glymour</w:t>
      </w:r>
      <w:proofErr w:type="spellEnd"/>
      <w:r w:rsidRPr="009C6358">
        <w:rPr>
          <w:lang w:val="en-US"/>
        </w:rPr>
        <w:t>, C.</w:t>
      </w:r>
      <w:r w:rsidR="002F688A">
        <w:rPr>
          <w:lang w:val="en-US"/>
        </w:rPr>
        <w:t>,</w:t>
      </w:r>
      <w:r w:rsidRPr="009C6358">
        <w:rPr>
          <w:lang w:val="en-US"/>
        </w:rPr>
        <w:t xml:space="preserve"> </w:t>
      </w:r>
      <w:r w:rsidR="002F688A">
        <w:rPr>
          <w:lang w:val="en-US"/>
        </w:rPr>
        <w:t>&amp;</w:t>
      </w:r>
      <w:r w:rsidR="002F688A" w:rsidRPr="009C6358">
        <w:rPr>
          <w:lang w:val="en-US"/>
        </w:rPr>
        <w:t xml:space="preserve"> </w:t>
      </w:r>
      <w:proofErr w:type="spellStart"/>
      <w:r w:rsidRPr="009C6358">
        <w:rPr>
          <w:lang w:val="en-US"/>
        </w:rPr>
        <w:t>Scheines</w:t>
      </w:r>
      <w:proofErr w:type="spellEnd"/>
      <w:r w:rsidRPr="009C6358">
        <w:rPr>
          <w:lang w:val="en-US"/>
        </w:rPr>
        <w:t>, R.</w:t>
      </w:r>
      <w:r w:rsidR="002F688A">
        <w:rPr>
          <w:lang w:val="en-US"/>
        </w:rPr>
        <w:t xml:space="preserve"> (2000)</w:t>
      </w:r>
      <w:r w:rsidR="004F49A7">
        <w:rPr>
          <w:lang w:val="en-US"/>
        </w:rPr>
        <w:t>.</w:t>
      </w:r>
      <w:r w:rsidRPr="009C6358">
        <w:rPr>
          <w:lang w:val="en-US"/>
        </w:rPr>
        <w:t xml:space="preserve"> </w:t>
      </w:r>
      <w:r w:rsidRPr="00173386">
        <w:rPr>
          <w:i/>
          <w:iCs/>
          <w:lang w:val="en-US"/>
        </w:rPr>
        <w:t>Causation, prediction, and search</w:t>
      </w:r>
      <w:r w:rsidR="002F688A">
        <w:rPr>
          <w:lang w:val="en-US"/>
        </w:rPr>
        <w:t xml:space="preserve">. </w:t>
      </w:r>
      <w:r w:rsidRPr="009C6358">
        <w:rPr>
          <w:lang w:val="en-US"/>
        </w:rPr>
        <w:t>MIT Press: Cambridge, Massachusetts.</w:t>
      </w:r>
    </w:p>
    <w:p w14:paraId="62CB17BB" w14:textId="78F00BC1" w:rsidR="00CF6D9B" w:rsidRDefault="00A02130" w:rsidP="008C63A1">
      <w:pPr>
        <w:spacing w:line="480" w:lineRule="auto"/>
        <w:ind w:left="709" w:hanging="709"/>
        <w:rPr>
          <w:lang w:val="en-US"/>
        </w:rPr>
      </w:pPr>
      <w:r w:rsidRPr="00A02130">
        <w:t>Tian, J., &amp; Pearl, J. (2002). A General Identification Condition for Causal Effects. </w:t>
      </w:r>
      <w:r w:rsidRPr="00A02130">
        <w:rPr>
          <w:i/>
          <w:iCs/>
        </w:rPr>
        <w:t>Eighteenth National Conference on Artificial Intelligence</w:t>
      </w:r>
      <w:r w:rsidRPr="00A02130">
        <w:t>, 567–573. American Association for Artificial Intelligence.</w:t>
      </w:r>
      <w:r>
        <w:t xml:space="preserve"> </w:t>
      </w:r>
      <w:r w:rsidR="00115C9E" w:rsidRPr="00115C9E">
        <w:rPr>
          <w:lang w:val="en-US"/>
        </w:rPr>
        <w:t>https://dl.acm.org/doi/10.5555/777092.777180</w:t>
      </w:r>
    </w:p>
    <w:p w14:paraId="0000009C" w14:textId="0AFB949D" w:rsidR="00A92EB8" w:rsidRPr="009C6358" w:rsidRDefault="00411C61" w:rsidP="00E23504">
      <w:pPr>
        <w:spacing w:line="480" w:lineRule="auto"/>
        <w:ind w:left="709" w:hanging="709"/>
        <w:rPr>
          <w:lang w:val="en-US"/>
        </w:rPr>
      </w:pPr>
      <w:proofErr w:type="gramStart"/>
      <w:r w:rsidRPr="00B44145">
        <w:rPr>
          <w:lang w:val="nl-NL"/>
        </w:rPr>
        <w:t>van</w:t>
      </w:r>
      <w:proofErr w:type="gramEnd"/>
      <w:r w:rsidRPr="00B44145">
        <w:rPr>
          <w:lang w:val="nl-NL"/>
        </w:rPr>
        <w:t xml:space="preserve"> der Laan, M.</w:t>
      </w:r>
      <w:r w:rsidR="004F49A7" w:rsidRPr="00B44145">
        <w:rPr>
          <w:lang w:val="nl-NL"/>
        </w:rPr>
        <w:t xml:space="preserve"> </w:t>
      </w:r>
      <w:r w:rsidRPr="00B44145">
        <w:rPr>
          <w:lang w:val="nl-NL"/>
        </w:rPr>
        <w:t xml:space="preserve">J., </w:t>
      </w:r>
      <w:proofErr w:type="spellStart"/>
      <w:r w:rsidRPr="00B44145">
        <w:rPr>
          <w:lang w:val="nl-NL"/>
        </w:rPr>
        <w:t>Polley</w:t>
      </w:r>
      <w:proofErr w:type="spellEnd"/>
      <w:r w:rsidRPr="00B44145">
        <w:rPr>
          <w:lang w:val="nl-NL"/>
        </w:rPr>
        <w:t>, E.</w:t>
      </w:r>
      <w:r w:rsidR="004F49A7" w:rsidRPr="00B44145">
        <w:rPr>
          <w:lang w:val="nl-NL"/>
        </w:rPr>
        <w:t xml:space="preserve"> </w:t>
      </w:r>
      <w:r w:rsidRPr="00B44145">
        <w:rPr>
          <w:lang w:val="nl-NL"/>
        </w:rPr>
        <w:t>C.</w:t>
      </w:r>
      <w:r w:rsidR="002F688A" w:rsidRPr="00B44145">
        <w:rPr>
          <w:lang w:val="nl-NL"/>
        </w:rPr>
        <w:t>,</w:t>
      </w:r>
      <w:r w:rsidRPr="00B44145">
        <w:rPr>
          <w:lang w:val="nl-NL"/>
        </w:rPr>
        <w:t xml:space="preserve"> </w:t>
      </w:r>
      <w:r w:rsidR="002F688A" w:rsidRPr="00B44145">
        <w:rPr>
          <w:lang w:val="nl-NL"/>
        </w:rPr>
        <w:t xml:space="preserve">&amp; </w:t>
      </w:r>
      <w:proofErr w:type="spellStart"/>
      <w:r w:rsidRPr="00B44145">
        <w:rPr>
          <w:lang w:val="nl-NL"/>
        </w:rPr>
        <w:t>Hubbard</w:t>
      </w:r>
      <w:proofErr w:type="spellEnd"/>
      <w:r w:rsidRPr="00B44145">
        <w:rPr>
          <w:lang w:val="nl-NL"/>
        </w:rPr>
        <w:t>,</w:t>
      </w:r>
      <w:r w:rsidR="004F49A7" w:rsidRPr="00B44145">
        <w:rPr>
          <w:lang w:val="nl-NL"/>
        </w:rPr>
        <w:t xml:space="preserve"> </w:t>
      </w:r>
      <w:r w:rsidRPr="00B44145">
        <w:rPr>
          <w:lang w:val="nl-NL"/>
        </w:rPr>
        <w:t>A.</w:t>
      </w:r>
      <w:r w:rsidR="004F49A7" w:rsidRPr="00B44145">
        <w:rPr>
          <w:lang w:val="nl-NL"/>
        </w:rPr>
        <w:t xml:space="preserve"> </w:t>
      </w:r>
      <w:r w:rsidRPr="00B44145">
        <w:rPr>
          <w:lang w:val="nl-NL"/>
        </w:rPr>
        <w:t>E. (2007)</w:t>
      </w:r>
      <w:r w:rsidR="004F49A7" w:rsidRPr="00B44145">
        <w:rPr>
          <w:lang w:val="nl-NL"/>
        </w:rPr>
        <w:t>.</w:t>
      </w:r>
      <w:r w:rsidRPr="00B44145">
        <w:rPr>
          <w:lang w:val="nl-NL"/>
        </w:rPr>
        <w:t xml:space="preserve"> </w:t>
      </w:r>
      <w:r w:rsidRPr="009C6358">
        <w:rPr>
          <w:lang w:val="en-US"/>
        </w:rPr>
        <w:t xml:space="preserve">Super Learner. </w:t>
      </w:r>
      <w:r w:rsidRPr="004F49A7">
        <w:rPr>
          <w:i/>
          <w:iCs/>
          <w:lang w:val="en-US"/>
        </w:rPr>
        <w:t>Statistical Applications of Genetics and Molecular Biology, 6</w:t>
      </w:r>
      <w:r w:rsidRPr="009C6358">
        <w:rPr>
          <w:lang w:val="en-US"/>
        </w:rPr>
        <w:t>(25)</w:t>
      </w:r>
      <w:r w:rsidR="004F49A7">
        <w:rPr>
          <w:lang w:val="en-US"/>
        </w:rPr>
        <w:t>.</w:t>
      </w:r>
      <w:r w:rsidRPr="009C6358">
        <w:rPr>
          <w:lang w:val="en-US"/>
        </w:rPr>
        <w:t xml:space="preserve"> </w:t>
      </w:r>
      <w:hyperlink r:id="rId26">
        <w:r w:rsidRPr="009C6358">
          <w:rPr>
            <w:u w:val="single"/>
            <w:lang w:val="en-US"/>
          </w:rPr>
          <w:t>https://doi.org/10.2202/1544-6115.1309</w:t>
        </w:r>
      </w:hyperlink>
      <w:r w:rsidRPr="009C6358">
        <w:rPr>
          <w:lang w:val="en-US"/>
        </w:rPr>
        <w:t>.</w:t>
      </w:r>
    </w:p>
    <w:p w14:paraId="74DE4DE5" w14:textId="2D3E58FA" w:rsidR="00CF6D9B" w:rsidRPr="009C6358" w:rsidRDefault="00CF6D9B" w:rsidP="00CF6D9B">
      <w:pPr>
        <w:spacing w:line="480" w:lineRule="auto"/>
        <w:ind w:left="709" w:hanging="709"/>
        <w:rPr>
          <w:lang w:val="en-US"/>
        </w:rPr>
      </w:pPr>
      <w:r w:rsidRPr="005F79B2">
        <w:rPr>
          <w:lang w:val="en-US"/>
        </w:rPr>
        <w:t xml:space="preserve">van der </w:t>
      </w:r>
      <w:proofErr w:type="spellStart"/>
      <w:r w:rsidRPr="005F79B2">
        <w:rPr>
          <w:lang w:val="en-US"/>
        </w:rPr>
        <w:t>Laan</w:t>
      </w:r>
      <w:proofErr w:type="spellEnd"/>
      <w:r w:rsidRPr="005F79B2">
        <w:rPr>
          <w:lang w:val="en-US"/>
        </w:rPr>
        <w:t xml:space="preserve">, M. J. </w:t>
      </w:r>
      <w:r w:rsidR="002F688A">
        <w:rPr>
          <w:lang w:val="en-US"/>
        </w:rPr>
        <w:t>&amp;</w:t>
      </w:r>
      <w:r w:rsidR="002F688A" w:rsidRPr="009C6358">
        <w:rPr>
          <w:lang w:val="en-US"/>
        </w:rPr>
        <w:t xml:space="preserve"> </w:t>
      </w:r>
      <w:r w:rsidRPr="009C6358">
        <w:rPr>
          <w:lang w:val="en-US"/>
        </w:rPr>
        <w:t xml:space="preserve">Rose, S. (2011). </w:t>
      </w:r>
      <w:r w:rsidRPr="009C6358">
        <w:rPr>
          <w:i/>
          <w:lang w:val="en-US"/>
        </w:rPr>
        <w:t>Targeted Learning - Causal Inference for Observational and Experimental Data</w:t>
      </w:r>
      <w:r w:rsidRPr="009C6358">
        <w:rPr>
          <w:lang w:val="en-US"/>
        </w:rPr>
        <w:t>. Springer International: New York.</w:t>
      </w:r>
    </w:p>
    <w:p w14:paraId="0F5F4C1F" w14:textId="77777777" w:rsidR="00CF6D9B" w:rsidRPr="00B44145" w:rsidRDefault="00CF6D9B" w:rsidP="00CF6D9B">
      <w:pPr>
        <w:spacing w:line="480" w:lineRule="auto"/>
        <w:ind w:left="709" w:hanging="709"/>
        <w:rPr>
          <w:lang w:val="it-IT"/>
        </w:rPr>
      </w:pPr>
      <w:proofErr w:type="spellStart"/>
      <w:r w:rsidRPr="009C6358">
        <w:rPr>
          <w:lang w:val="en-US"/>
        </w:rPr>
        <w:t>Vindegaard</w:t>
      </w:r>
      <w:proofErr w:type="spellEnd"/>
      <w:r w:rsidRPr="009C6358">
        <w:rPr>
          <w:lang w:val="en-US"/>
        </w:rPr>
        <w:t xml:space="preserve">, N., &amp; </w:t>
      </w:r>
      <w:proofErr w:type="spellStart"/>
      <w:r w:rsidRPr="009C6358">
        <w:rPr>
          <w:lang w:val="en-US"/>
        </w:rPr>
        <w:t>Benros</w:t>
      </w:r>
      <w:proofErr w:type="spellEnd"/>
      <w:r w:rsidRPr="009C6358">
        <w:rPr>
          <w:lang w:val="en-US"/>
        </w:rPr>
        <w:t xml:space="preserve">, M. E. (2020). COVID-19 pandemic and mental health consequences: Systematic review of the current evidence. In </w:t>
      </w:r>
      <w:r w:rsidRPr="009C6358">
        <w:rPr>
          <w:i/>
          <w:lang w:val="en-US"/>
        </w:rPr>
        <w:t>Brain and Behavior: A Cognitive Neuroscience Perspective, and Immunity</w:t>
      </w:r>
      <w:r w:rsidRPr="009C6358">
        <w:rPr>
          <w:lang w:val="en-US"/>
        </w:rPr>
        <w:t xml:space="preserve">. </w:t>
      </w:r>
      <w:hyperlink r:id="rId27">
        <w:r w:rsidRPr="00B44145">
          <w:rPr>
            <w:u w:val="single"/>
            <w:lang w:val="it-IT"/>
          </w:rPr>
          <w:t>https://doi.org/10.1016/j. bbi.2020.05.048</w:t>
        </w:r>
      </w:hyperlink>
      <w:r w:rsidRPr="00B44145">
        <w:rPr>
          <w:lang w:val="it-IT"/>
        </w:rPr>
        <w:t>.</w:t>
      </w:r>
    </w:p>
    <w:p w14:paraId="35346CAB" w14:textId="7BBE8427" w:rsidR="00635EF6" w:rsidRDefault="00635EF6" w:rsidP="00CF6D9B">
      <w:pPr>
        <w:spacing w:line="480" w:lineRule="auto"/>
        <w:ind w:left="709" w:hanging="709"/>
        <w:rPr>
          <w:lang w:val="fr-CH"/>
        </w:rPr>
      </w:pPr>
      <w:r w:rsidRPr="00B44145">
        <w:rPr>
          <w:lang w:val="it-IT"/>
        </w:rPr>
        <w:t xml:space="preserve">Vismara, L., Lucarelli, L., &amp; Sechi, C. (2022). </w:t>
      </w:r>
      <w:r w:rsidRPr="00635EF6">
        <w:rPr>
          <w:lang w:val="en-US"/>
        </w:rPr>
        <w:t xml:space="preserve">Attachment style and mental health during the later stages of COVID‐19 pandemic: The mediation role of loneliness and COVID-19 anxiety. </w:t>
      </w:r>
      <w:r w:rsidRPr="00635EF6">
        <w:rPr>
          <w:i/>
          <w:iCs/>
          <w:lang w:val="fr-CH"/>
        </w:rPr>
        <w:t>BMC Psychology, 10</w:t>
      </w:r>
      <w:r w:rsidRPr="00635EF6">
        <w:rPr>
          <w:lang w:val="fr-CH"/>
        </w:rPr>
        <w:t>(1), 62. https://doi.org/10.1186/s40359-022-00767-y</w:t>
      </w:r>
    </w:p>
    <w:p w14:paraId="55F7F38A" w14:textId="48DF2FAA" w:rsidR="00CF6D9B" w:rsidRPr="009C6358" w:rsidRDefault="00CF6D9B" w:rsidP="00CF6D9B">
      <w:pPr>
        <w:spacing w:line="480" w:lineRule="auto"/>
        <w:ind w:left="709" w:hanging="709"/>
        <w:rPr>
          <w:lang w:val="en-US"/>
        </w:rPr>
      </w:pPr>
      <w:r w:rsidRPr="00CF6D9B">
        <w:rPr>
          <w:lang w:val="fr-CH"/>
        </w:rPr>
        <w:t xml:space="preserve">Vowels, L. M., </w:t>
      </w:r>
      <w:proofErr w:type="spellStart"/>
      <w:r w:rsidRPr="00CF6D9B">
        <w:rPr>
          <w:lang w:val="fr-CH"/>
        </w:rPr>
        <w:t>Carnelley</w:t>
      </w:r>
      <w:proofErr w:type="spellEnd"/>
      <w:r w:rsidRPr="00CF6D9B">
        <w:rPr>
          <w:lang w:val="fr-CH"/>
        </w:rPr>
        <w:t xml:space="preserve">, K. B., &amp; Stanton, S. C. E.  </w:t>
      </w:r>
      <w:r w:rsidRPr="009C6358">
        <w:rPr>
          <w:lang w:val="en-US"/>
        </w:rPr>
        <w:t xml:space="preserve">(2022).  Attachment anxiety predicts worse mental health outcomes during COVID-19: Evidence from two longitudinal studies. </w:t>
      </w:r>
      <w:r w:rsidRPr="009C6358">
        <w:rPr>
          <w:i/>
          <w:lang w:val="en-US"/>
        </w:rPr>
        <w:t>Personality and Individual Differences,</w:t>
      </w:r>
      <w:r w:rsidRPr="009C6358">
        <w:rPr>
          <w:lang w:val="en-US"/>
        </w:rPr>
        <w:t xml:space="preserve"> </w:t>
      </w:r>
      <w:r w:rsidRPr="009C6358">
        <w:rPr>
          <w:i/>
          <w:lang w:val="en-US"/>
        </w:rPr>
        <w:t>185</w:t>
      </w:r>
      <w:r w:rsidRPr="009C6358">
        <w:rPr>
          <w:lang w:val="en-US"/>
        </w:rPr>
        <w:t xml:space="preserve">, 111256.  </w:t>
      </w:r>
      <w:hyperlink r:id="rId28">
        <w:r w:rsidRPr="009C6358">
          <w:rPr>
            <w:u w:val="single"/>
            <w:lang w:val="en-US"/>
          </w:rPr>
          <w:t>https://doi.org/10.1016/j.paid.2021.111256</w:t>
        </w:r>
      </w:hyperlink>
      <w:r w:rsidRPr="009C6358">
        <w:rPr>
          <w:lang w:val="en-US"/>
        </w:rPr>
        <w:t>.</w:t>
      </w:r>
    </w:p>
    <w:p w14:paraId="2446CA67" w14:textId="35B2306A" w:rsidR="00CF6D9B" w:rsidRPr="009C6358" w:rsidRDefault="00CF6D9B" w:rsidP="00CF6D9B">
      <w:pPr>
        <w:spacing w:line="480" w:lineRule="auto"/>
        <w:ind w:left="709" w:hanging="709"/>
        <w:rPr>
          <w:lang w:val="en-US"/>
        </w:rPr>
      </w:pPr>
      <w:r w:rsidRPr="009C6358">
        <w:rPr>
          <w:lang w:val="en-US"/>
        </w:rPr>
        <w:lastRenderedPageBreak/>
        <w:t xml:space="preserve">Vowels, M. (2021). Misspecification and unreliable interpretations in psychology and social science. </w:t>
      </w:r>
      <w:r w:rsidRPr="009C6358">
        <w:rPr>
          <w:i/>
          <w:lang w:val="en-US"/>
        </w:rPr>
        <w:t>Psychological Methods</w:t>
      </w:r>
      <w:r w:rsidRPr="009C6358">
        <w:rPr>
          <w:lang w:val="en-US"/>
        </w:rPr>
        <w:t xml:space="preserve">, </w:t>
      </w:r>
      <w:r w:rsidRPr="00A02130">
        <w:rPr>
          <w:i/>
          <w:iCs/>
          <w:lang w:val="en-US"/>
        </w:rPr>
        <w:t>Advance online publication</w:t>
      </w:r>
      <w:r w:rsidRPr="009C6358">
        <w:rPr>
          <w:lang w:val="en-US"/>
        </w:rPr>
        <w:t>.</w:t>
      </w:r>
      <w:hyperlink r:id="rId29">
        <w:r w:rsidRPr="009C6358">
          <w:rPr>
            <w:u w:val="single"/>
            <w:lang w:val="en-US"/>
          </w:rPr>
          <w:t xml:space="preserve"> </w:t>
        </w:r>
      </w:hyperlink>
      <w:hyperlink r:id="rId30">
        <w:r w:rsidRPr="009C6358">
          <w:rPr>
            <w:highlight w:val="white"/>
            <w:u w:val="single"/>
            <w:lang w:val="en-US"/>
          </w:rPr>
          <w:t>https://doi.org/10.1037/met0000429</w:t>
        </w:r>
      </w:hyperlink>
    </w:p>
    <w:p w14:paraId="4ACFA004" w14:textId="77777777" w:rsidR="00CF6D9B" w:rsidRPr="009C6358" w:rsidRDefault="00CF6D9B" w:rsidP="00CF6D9B">
      <w:pPr>
        <w:spacing w:line="480" w:lineRule="auto"/>
        <w:ind w:left="709" w:hanging="709"/>
        <w:rPr>
          <w:lang w:val="en-US"/>
        </w:rPr>
      </w:pPr>
      <w:r w:rsidRPr="009C6358">
        <w:rPr>
          <w:lang w:val="en-US"/>
        </w:rPr>
        <w:t xml:space="preserve">Vowels, M., </w:t>
      </w:r>
      <w:proofErr w:type="spellStart"/>
      <w:r w:rsidRPr="009C6358">
        <w:rPr>
          <w:lang w:val="en-US"/>
        </w:rPr>
        <w:t>Camgoz</w:t>
      </w:r>
      <w:proofErr w:type="spellEnd"/>
      <w:r w:rsidRPr="009C6358">
        <w:rPr>
          <w:lang w:val="en-US"/>
        </w:rPr>
        <w:t xml:space="preserve">, C., &amp; Bowden, R. (2022). </w:t>
      </w:r>
      <w:proofErr w:type="spellStart"/>
      <w:r w:rsidRPr="009C6358">
        <w:rPr>
          <w:lang w:val="en-US"/>
        </w:rPr>
        <w:t>D'ya</w:t>
      </w:r>
      <w:proofErr w:type="spellEnd"/>
      <w:r w:rsidRPr="009C6358">
        <w:rPr>
          <w:lang w:val="en-US"/>
        </w:rPr>
        <w:t xml:space="preserve"> like DAGs? A survey on structure learning and causal discovery. </w:t>
      </w:r>
      <w:r w:rsidRPr="00A02130">
        <w:rPr>
          <w:i/>
          <w:iCs/>
          <w:lang w:val="en-US"/>
        </w:rPr>
        <w:t>ACM Computing Surveys</w:t>
      </w:r>
      <w:r w:rsidRPr="009C6358">
        <w:rPr>
          <w:lang w:val="en-US"/>
        </w:rPr>
        <w:t>.</w:t>
      </w:r>
      <w:hyperlink r:id="rId31">
        <w:r w:rsidRPr="009C6358">
          <w:rPr>
            <w:u w:val="single"/>
            <w:lang w:val="en-US"/>
          </w:rPr>
          <w:t xml:space="preserve"> </w:t>
        </w:r>
      </w:hyperlink>
      <w:hyperlink r:id="rId32">
        <w:r w:rsidRPr="009C6358">
          <w:rPr>
            <w:highlight w:val="white"/>
            <w:u w:val="single"/>
            <w:lang w:val="en-US"/>
          </w:rPr>
          <w:t>https://doi.org/10.1145/3527154</w:t>
        </w:r>
      </w:hyperlink>
    </w:p>
    <w:p w14:paraId="1A3AA80D" w14:textId="77777777" w:rsidR="00CF6D9B" w:rsidRPr="009C6358" w:rsidRDefault="00CF6D9B" w:rsidP="00CF6D9B">
      <w:pPr>
        <w:spacing w:line="480" w:lineRule="auto"/>
        <w:ind w:left="709" w:hanging="709"/>
        <w:rPr>
          <w:lang w:val="en-US"/>
        </w:rPr>
      </w:pPr>
      <w:r w:rsidRPr="009C6358">
        <w:rPr>
          <w:lang w:val="en-US"/>
        </w:rPr>
        <w:t xml:space="preserve">Wang, C., Pan, R., Wan, X., Tan, Y., Xu, L., McIntyre, R. S., … Ho, C. (2020). A longitudinal study on the mental health of general population during the COVID- 19 epidemic in China. </w:t>
      </w:r>
      <w:r w:rsidRPr="009C6358">
        <w:rPr>
          <w:i/>
          <w:lang w:val="en-US"/>
        </w:rPr>
        <w:t>Brain, Behavior, and Immunity, 87</w:t>
      </w:r>
      <w:r w:rsidRPr="009C6358">
        <w:rPr>
          <w:lang w:val="en-US"/>
        </w:rPr>
        <w:t>, 40–48. https://doi.org/ 10.1016/j.bbi.2020.04.028.</w:t>
      </w:r>
    </w:p>
    <w:p w14:paraId="000000A3" w14:textId="29DE9091" w:rsidR="00A92EB8" w:rsidRPr="009C6358" w:rsidRDefault="00411C61" w:rsidP="009C6358">
      <w:pPr>
        <w:spacing w:line="480" w:lineRule="auto"/>
        <w:ind w:left="709" w:hanging="709"/>
        <w:rPr>
          <w:lang w:val="en-US"/>
        </w:rPr>
      </w:pPr>
      <w:r w:rsidRPr="009C6358">
        <w:rPr>
          <w:lang w:val="en-US"/>
        </w:rPr>
        <w:t xml:space="preserve">Zou, H. </w:t>
      </w:r>
      <w:r w:rsidR="00A02130">
        <w:rPr>
          <w:lang w:val="en-US"/>
        </w:rPr>
        <w:t>&amp;</w:t>
      </w:r>
      <w:r w:rsidRPr="009C6358">
        <w:rPr>
          <w:lang w:val="en-US"/>
        </w:rPr>
        <w:t xml:space="preserve"> Hastie, T. (2005) Regularization and variable selection via the Elastic Net. </w:t>
      </w:r>
      <w:r w:rsidRPr="00A02130">
        <w:rPr>
          <w:i/>
          <w:iCs/>
          <w:lang w:val="en-US"/>
        </w:rPr>
        <w:t>Journal of the Royal Statistical Society, 67</w:t>
      </w:r>
      <w:r w:rsidRPr="009C6358">
        <w:rPr>
          <w:lang w:val="en-US"/>
        </w:rPr>
        <w:t>(2), 301-320</w:t>
      </w:r>
      <w:r w:rsidR="00E23504">
        <w:rPr>
          <w:lang w:val="en-US"/>
        </w:rPr>
        <w:t xml:space="preserve">. </w:t>
      </w:r>
      <w:r w:rsidRPr="009C6358">
        <w:rPr>
          <w:highlight w:val="white"/>
          <w:lang w:val="en-US"/>
        </w:rPr>
        <w:t>http://www.jstor.org/stable/3647580.</w:t>
      </w:r>
    </w:p>
    <w:p w14:paraId="000000A4" w14:textId="77777777" w:rsidR="00A92EB8" w:rsidRPr="009C6358" w:rsidRDefault="00411C61" w:rsidP="009C6358">
      <w:pPr>
        <w:spacing w:line="480" w:lineRule="auto"/>
        <w:ind w:left="709" w:hanging="709"/>
        <w:rPr>
          <w:b/>
          <w:lang w:val="en-US"/>
        </w:rPr>
      </w:pPr>
      <w:r w:rsidRPr="009C6358">
        <w:rPr>
          <w:lang w:val="en-US"/>
        </w:rPr>
        <w:br w:type="page"/>
      </w:r>
    </w:p>
    <w:p w14:paraId="000000A5" w14:textId="77777777" w:rsidR="00A92EB8" w:rsidRPr="005869CA" w:rsidRDefault="00411C61">
      <w:pPr>
        <w:spacing w:after="160"/>
        <w:rPr>
          <w:lang w:val="en-US"/>
        </w:rPr>
      </w:pPr>
      <w:r w:rsidRPr="005869CA">
        <w:rPr>
          <w:b/>
          <w:lang w:val="en-US"/>
        </w:rPr>
        <w:lastRenderedPageBreak/>
        <w:t>Table 1</w:t>
      </w:r>
    </w:p>
    <w:p w14:paraId="000000A6" w14:textId="77777777" w:rsidR="00A92EB8" w:rsidRPr="005869CA" w:rsidRDefault="00411C61">
      <w:pPr>
        <w:spacing w:after="160"/>
        <w:rPr>
          <w:lang w:val="en-US"/>
        </w:rPr>
      </w:pPr>
      <w:r w:rsidRPr="005869CA">
        <w:rPr>
          <w:lang w:val="en-US"/>
        </w:rPr>
        <w:t>Demographic Characteristics of Participants in Cross-Sectional and Longitudinal Analyses</w:t>
      </w:r>
    </w:p>
    <w:tbl>
      <w:tblPr>
        <w:tblStyle w:val="a"/>
        <w:tblW w:w="8929"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3918"/>
        <w:gridCol w:w="2682"/>
        <w:gridCol w:w="2329"/>
      </w:tblGrid>
      <w:tr w:rsidR="00A92EB8" w:rsidRPr="005869CA" w14:paraId="5B3542D4" w14:textId="77777777">
        <w:trPr>
          <w:trHeight w:val="476"/>
        </w:trPr>
        <w:tc>
          <w:tcPr>
            <w:tcW w:w="3919" w:type="dxa"/>
            <w:tcBorders>
              <w:top w:val="single" w:sz="4" w:space="0" w:color="000000"/>
              <w:bottom w:val="single" w:sz="4" w:space="0" w:color="000000"/>
            </w:tcBorders>
            <w:vAlign w:val="center"/>
          </w:tcPr>
          <w:p w14:paraId="000000A7" w14:textId="77777777" w:rsidR="00A92EB8" w:rsidRPr="005869CA" w:rsidRDefault="00411C61">
            <w:pPr>
              <w:pBdr>
                <w:top w:val="nil"/>
                <w:left w:val="nil"/>
                <w:bottom w:val="nil"/>
                <w:right w:val="nil"/>
                <w:between w:val="nil"/>
              </w:pBdr>
              <w:rPr>
                <w:b/>
                <w:color w:val="000000"/>
                <w:sz w:val="22"/>
                <w:szCs w:val="22"/>
                <w:lang w:val="en-US"/>
              </w:rPr>
            </w:pPr>
            <w:r w:rsidRPr="005869CA">
              <w:rPr>
                <w:b/>
                <w:color w:val="000000"/>
                <w:sz w:val="22"/>
                <w:szCs w:val="22"/>
                <w:lang w:val="en-US"/>
              </w:rPr>
              <w:t>Demographic Variables</w:t>
            </w:r>
          </w:p>
        </w:tc>
        <w:tc>
          <w:tcPr>
            <w:tcW w:w="2682" w:type="dxa"/>
            <w:tcBorders>
              <w:top w:val="single" w:sz="4" w:space="0" w:color="000000"/>
              <w:bottom w:val="single" w:sz="4" w:space="0" w:color="000000"/>
            </w:tcBorders>
            <w:vAlign w:val="center"/>
          </w:tcPr>
          <w:p w14:paraId="000000A8" w14:textId="77777777" w:rsidR="00A92EB8" w:rsidRPr="005869CA" w:rsidRDefault="00411C61">
            <w:pPr>
              <w:pBdr>
                <w:top w:val="nil"/>
                <w:left w:val="nil"/>
                <w:bottom w:val="nil"/>
                <w:right w:val="nil"/>
                <w:between w:val="nil"/>
              </w:pBdr>
              <w:jc w:val="center"/>
              <w:rPr>
                <w:b/>
                <w:color w:val="000000"/>
                <w:sz w:val="22"/>
                <w:szCs w:val="22"/>
                <w:lang w:val="en-US"/>
              </w:rPr>
            </w:pPr>
            <w:r w:rsidRPr="005869CA">
              <w:rPr>
                <w:b/>
                <w:color w:val="000000"/>
                <w:sz w:val="22"/>
                <w:szCs w:val="22"/>
                <w:lang w:val="en-US"/>
              </w:rPr>
              <w:t>Cross-Sectional (n = 1325)</w:t>
            </w:r>
          </w:p>
        </w:tc>
        <w:tc>
          <w:tcPr>
            <w:tcW w:w="2329" w:type="dxa"/>
            <w:tcBorders>
              <w:top w:val="single" w:sz="4" w:space="0" w:color="000000"/>
              <w:bottom w:val="single" w:sz="4" w:space="0" w:color="000000"/>
            </w:tcBorders>
            <w:vAlign w:val="center"/>
          </w:tcPr>
          <w:p w14:paraId="000000A9" w14:textId="77777777" w:rsidR="00A92EB8" w:rsidRPr="005869CA" w:rsidRDefault="00411C61">
            <w:pPr>
              <w:pBdr>
                <w:top w:val="nil"/>
                <w:left w:val="nil"/>
                <w:bottom w:val="nil"/>
                <w:right w:val="nil"/>
                <w:between w:val="nil"/>
              </w:pBdr>
              <w:jc w:val="center"/>
              <w:rPr>
                <w:b/>
                <w:color w:val="000000"/>
                <w:sz w:val="22"/>
                <w:szCs w:val="22"/>
                <w:lang w:val="en-US"/>
              </w:rPr>
            </w:pPr>
            <w:r w:rsidRPr="005869CA">
              <w:rPr>
                <w:b/>
                <w:color w:val="000000"/>
                <w:sz w:val="22"/>
                <w:szCs w:val="22"/>
                <w:lang w:val="en-US"/>
              </w:rPr>
              <w:t>Longitudinal (n = 950)</w:t>
            </w:r>
          </w:p>
        </w:tc>
      </w:tr>
      <w:tr w:rsidR="00A92EB8" w:rsidRPr="005869CA" w14:paraId="2551AA64" w14:textId="77777777">
        <w:tc>
          <w:tcPr>
            <w:tcW w:w="3919" w:type="dxa"/>
            <w:tcBorders>
              <w:top w:val="single" w:sz="4" w:space="0" w:color="000000"/>
              <w:bottom w:val="single" w:sz="4" w:space="0" w:color="000000"/>
            </w:tcBorders>
          </w:tcPr>
          <w:p w14:paraId="000000AA" w14:textId="77777777" w:rsidR="00A92EB8" w:rsidRPr="005869CA" w:rsidRDefault="00411C61">
            <w:pPr>
              <w:pBdr>
                <w:top w:val="nil"/>
                <w:left w:val="nil"/>
                <w:bottom w:val="nil"/>
                <w:right w:val="nil"/>
                <w:between w:val="nil"/>
              </w:pBdr>
              <w:rPr>
                <w:b/>
                <w:color w:val="000000"/>
                <w:sz w:val="22"/>
                <w:szCs w:val="22"/>
                <w:lang w:val="en-US"/>
              </w:rPr>
            </w:pPr>
            <w:r w:rsidRPr="005869CA">
              <w:rPr>
                <w:b/>
                <w:color w:val="000000"/>
                <w:sz w:val="22"/>
                <w:szCs w:val="22"/>
                <w:lang w:val="en-US"/>
              </w:rPr>
              <w:t>Age</w:t>
            </w:r>
          </w:p>
          <w:p w14:paraId="000000AB" w14:textId="77777777" w:rsidR="00A92EB8" w:rsidRPr="005869CA" w:rsidRDefault="00A92EB8">
            <w:pPr>
              <w:pBdr>
                <w:top w:val="nil"/>
                <w:left w:val="nil"/>
                <w:bottom w:val="nil"/>
                <w:right w:val="nil"/>
                <w:between w:val="nil"/>
              </w:pBdr>
              <w:rPr>
                <w:color w:val="000000"/>
                <w:sz w:val="22"/>
                <w:szCs w:val="22"/>
                <w:lang w:val="en-US"/>
              </w:rPr>
            </w:pPr>
          </w:p>
          <w:p w14:paraId="000000AC" w14:textId="77777777" w:rsidR="00A92EB8" w:rsidRPr="005869CA" w:rsidRDefault="00A92EB8">
            <w:pPr>
              <w:pBdr>
                <w:top w:val="nil"/>
                <w:left w:val="nil"/>
                <w:bottom w:val="nil"/>
                <w:right w:val="nil"/>
                <w:between w:val="nil"/>
              </w:pBdr>
              <w:rPr>
                <w:b/>
                <w:color w:val="000000"/>
                <w:sz w:val="22"/>
                <w:szCs w:val="22"/>
                <w:lang w:val="en-US"/>
              </w:rPr>
            </w:pPr>
          </w:p>
        </w:tc>
        <w:tc>
          <w:tcPr>
            <w:tcW w:w="2682" w:type="dxa"/>
            <w:tcBorders>
              <w:top w:val="single" w:sz="4" w:space="0" w:color="000000"/>
              <w:bottom w:val="single" w:sz="4" w:space="0" w:color="000000"/>
            </w:tcBorders>
          </w:tcPr>
          <w:p w14:paraId="000000AD" w14:textId="77777777" w:rsidR="00A92EB8" w:rsidRPr="005869CA" w:rsidRDefault="00411C61">
            <w:pPr>
              <w:pBdr>
                <w:top w:val="nil"/>
                <w:left w:val="nil"/>
                <w:bottom w:val="nil"/>
                <w:right w:val="nil"/>
                <w:between w:val="nil"/>
              </w:pBdr>
              <w:jc w:val="center"/>
              <w:rPr>
                <w:color w:val="000000"/>
                <w:sz w:val="22"/>
                <w:szCs w:val="22"/>
                <w:lang w:val="en-US"/>
              </w:rPr>
            </w:pPr>
            <w:r w:rsidRPr="005869CA">
              <w:rPr>
                <w:color w:val="000000"/>
                <w:sz w:val="22"/>
                <w:szCs w:val="22"/>
                <w:lang w:val="en-US"/>
              </w:rPr>
              <w:t>M = 49.03</w:t>
            </w:r>
          </w:p>
          <w:p w14:paraId="000000AE" w14:textId="77777777" w:rsidR="00A92EB8" w:rsidRPr="005869CA" w:rsidRDefault="00411C61">
            <w:pPr>
              <w:pBdr>
                <w:top w:val="nil"/>
                <w:left w:val="nil"/>
                <w:bottom w:val="nil"/>
                <w:right w:val="nil"/>
                <w:between w:val="nil"/>
              </w:pBdr>
              <w:jc w:val="center"/>
              <w:rPr>
                <w:color w:val="000000"/>
                <w:sz w:val="22"/>
                <w:szCs w:val="22"/>
                <w:lang w:val="en-US"/>
              </w:rPr>
            </w:pPr>
            <w:r w:rsidRPr="005869CA">
              <w:rPr>
                <w:color w:val="000000"/>
                <w:sz w:val="22"/>
                <w:szCs w:val="22"/>
                <w:lang w:val="en-US"/>
              </w:rPr>
              <w:t>SD = 14.94</w:t>
            </w:r>
          </w:p>
          <w:p w14:paraId="000000AF" w14:textId="77777777" w:rsidR="00A92EB8" w:rsidRPr="005869CA" w:rsidRDefault="00411C61">
            <w:pPr>
              <w:pBdr>
                <w:top w:val="nil"/>
                <w:left w:val="nil"/>
                <w:bottom w:val="nil"/>
                <w:right w:val="nil"/>
                <w:between w:val="nil"/>
              </w:pBdr>
              <w:jc w:val="center"/>
              <w:rPr>
                <w:color w:val="000000"/>
                <w:sz w:val="22"/>
                <w:szCs w:val="22"/>
                <w:lang w:val="en-US"/>
              </w:rPr>
            </w:pPr>
            <w:r w:rsidRPr="005869CA">
              <w:rPr>
                <w:color w:val="000000"/>
                <w:sz w:val="22"/>
                <w:szCs w:val="22"/>
                <w:lang w:val="en-US"/>
              </w:rPr>
              <w:t>Range = 18-88</w:t>
            </w:r>
          </w:p>
        </w:tc>
        <w:tc>
          <w:tcPr>
            <w:tcW w:w="2329" w:type="dxa"/>
            <w:tcBorders>
              <w:top w:val="single" w:sz="4" w:space="0" w:color="000000"/>
              <w:bottom w:val="single" w:sz="4" w:space="0" w:color="000000"/>
            </w:tcBorders>
          </w:tcPr>
          <w:p w14:paraId="000000B0" w14:textId="77777777" w:rsidR="00A92EB8" w:rsidRPr="005869CA" w:rsidRDefault="00411C61">
            <w:pPr>
              <w:pBdr>
                <w:top w:val="nil"/>
                <w:left w:val="nil"/>
                <w:bottom w:val="nil"/>
                <w:right w:val="nil"/>
                <w:between w:val="nil"/>
              </w:pBdr>
              <w:jc w:val="center"/>
              <w:rPr>
                <w:color w:val="000000"/>
                <w:sz w:val="22"/>
                <w:szCs w:val="22"/>
                <w:lang w:val="en-US"/>
              </w:rPr>
            </w:pPr>
            <w:r w:rsidRPr="005869CA">
              <w:rPr>
                <w:color w:val="000000"/>
                <w:sz w:val="22"/>
                <w:szCs w:val="22"/>
                <w:lang w:val="en-US"/>
              </w:rPr>
              <w:t>M = 51.84</w:t>
            </w:r>
          </w:p>
          <w:p w14:paraId="000000B1" w14:textId="77777777" w:rsidR="00A92EB8" w:rsidRPr="005869CA" w:rsidRDefault="00411C61">
            <w:pPr>
              <w:pBdr>
                <w:top w:val="nil"/>
                <w:left w:val="nil"/>
                <w:bottom w:val="nil"/>
                <w:right w:val="nil"/>
                <w:between w:val="nil"/>
              </w:pBdr>
              <w:jc w:val="center"/>
              <w:rPr>
                <w:color w:val="000000"/>
                <w:sz w:val="22"/>
                <w:szCs w:val="22"/>
                <w:lang w:val="en-US"/>
              </w:rPr>
            </w:pPr>
            <w:r w:rsidRPr="005869CA">
              <w:rPr>
                <w:color w:val="000000"/>
                <w:sz w:val="22"/>
                <w:szCs w:val="22"/>
                <w:lang w:val="en-US"/>
              </w:rPr>
              <w:t>SD = 14.45</w:t>
            </w:r>
          </w:p>
          <w:p w14:paraId="000000B2" w14:textId="77777777" w:rsidR="00A92EB8" w:rsidRPr="005869CA" w:rsidRDefault="00411C61">
            <w:pPr>
              <w:pBdr>
                <w:top w:val="nil"/>
                <w:left w:val="nil"/>
                <w:bottom w:val="nil"/>
                <w:right w:val="nil"/>
                <w:between w:val="nil"/>
              </w:pBdr>
              <w:jc w:val="center"/>
              <w:rPr>
                <w:color w:val="000000"/>
                <w:sz w:val="22"/>
                <w:szCs w:val="22"/>
                <w:lang w:val="en-US"/>
              </w:rPr>
            </w:pPr>
            <w:r w:rsidRPr="005869CA">
              <w:rPr>
                <w:color w:val="000000"/>
                <w:sz w:val="22"/>
                <w:szCs w:val="22"/>
                <w:lang w:val="en-US"/>
              </w:rPr>
              <w:t>Range = 18-88</w:t>
            </w:r>
          </w:p>
        </w:tc>
      </w:tr>
      <w:tr w:rsidR="00A92EB8" w:rsidRPr="005869CA" w14:paraId="49027CF8" w14:textId="77777777">
        <w:tc>
          <w:tcPr>
            <w:tcW w:w="3919" w:type="dxa"/>
            <w:tcBorders>
              <w:top w:val="single" w:sz="4" w:space="0" w:color="000000"/>
              <w:bottom w:val="single" w:sz="4" w:space="0" w:color="000000"/>
            </w:tcBorders>
          </w:tcPr>
          <w:p w14:paraId="000000B3" w14:textId="67E1C520" w:rsidR="00A92EB8" w:rsidRPr="005869CA" w:rsidRDefault="00411C61">
            <w:pPr>
              <w:pBdr>
                <w:top w:val="nil"/>
                <w:left w:val="nil"/>
                <w:bottom w:val="nil"/>
                <w:right w:val="nil"/>
                <w:between w:val="nil"/>
              </w:pBdr>
              <w:rPr>
                <w:b/>
                <w:color w:val="000000"/>
                <w:sz w:val="22"/>
                <w:szCs w:val="22"/>
                <w:lang w:val="en-US"/>
              </w:rPr>
            </w:pPr>
            <w:r w:rsidRPr="005869CA">
              <w:rPr>
                <w:b/>
                <w:color w:val="000000"/>
                <w:sz w:val="22"/>
                <w:szCs w:val="22"/>
                <w:lang w:val="en-US"/>
              </w:rPr>
              <w:t>Change in Income</w:t>
            </w:r>
            <w:r w:rsidR="00012AD9">
              <w:rPr>
                <w:b/>
                <w:color w:val="000000"/>
                <w:sz w:val="22"/>
                <w:szCs w:val="22"/>
                <w:lang w:val="en-US"/>
              </w:rPr>
              <w:t xml:space="preserve"> from Pre-pandemic Levels</w:t>
            </w:r>
          </w:p>
        </w:tc>
        <w:tc>
          <w:tcPr>
            <w:tcW w:w="2682" w:type="dxa"/>
            <w:tcBorders>
              <w:top w:val="single" w:sz="4" w:space="0" w:color="000000"/>
              <w:bottom w:val="single" w:sz="4" w:space="0" w:color="000000"/>
            </w:tcBorders>
          </w:tcPr>
          <w:p w14:paraId="000000B4" w14:textId="77777777" w:rsidR="00A92EB8" w:rsidRPr="005869CA" w:rsidRDefault="00411C61">
            <w:pPr>
              <w:pBdr>
                <w:top w:val="nil"/>
                <w:left w:val="nil"/>
                <w:bottom w:val="nil"/>
                <w:right w:val="nil"/>
                <w:between w:val="nil"/>
              </w:pBdr>
              <w:jc w:val="center"/>
              <w:rPr>
                <w:color w:val="000000"/>
                <w:sz w:val="22"/>
                <w:szCs w:val="22"/>
                <w:lang w:val="en-US"/>
              </w:rPr>
            </w:pPr>
            <w:r w:rsidRPr="005869CA">
              <w:rPr>
                <w:color w:val="000000"/>
                <w:sz w:val="22"/>
                <w:szCs w:val="22"/>
                <w:lang w:val="en-US"/>
              </w:rPr>
              <w:t>M = -9.5</w:t>
            </w:r>
          </w:p>
          <w:p w14:paraId="000000B5" w14:textId="77777777" w:rsidR="00A92EB8" w:rsidRPr="005869CA" w:rsidRDefault="00411C61">
            <w:pPr>
              <w:pBdr>
                <w:top w:val="nil"/>
                <w:left w:val="nil"/>
                <w:bottom w:val="nil"/>
                <w:right w:val="nil"/>
                <w:between w:val="nil"/>
              </w:pBdr>
              <w:jc w:val="center"/>
              <w:rPr>
                <w:color w:val="000000"/>
                <w:sz w:val="22"/>
                <w:szCs w:val="22"/>
                <w:lang w:val="en-US"/>
              </w:rPr>
            </w:pPr>
            <w:r w:rsidRPr="005869CA">
              <w:rPr>
                <w:color w:val="000000"/>
                <w:sz w:val="22"/>
                <w:szCs w:val="22"/>
                <w:lang w:val="en-US"/>
              </w:rPr>
              <w:t>SD = 26.3</w:t>
            </w:r>
          </w:p>
          <w:p w14:paraId="000000B6" w14:textId="77777777" w:rsidR="00A92EB8" w:rsidRPr="005869CA" w:rsidRDefault="00411C61">
            <w:pPr>
              <w:pBdr>
                <w:top w:val="nil"/>
                <w:left w:val="nil"/>
                <w:bottom w:val="nil"/>
                <w:right w:val="nil"/>
                <w:between w:val="nil"/>
              </w:pBdr>
              <w:jc w:val="center"/>
              <w:rPr>
                <w:color w:val="000000"/>
                <w:sz w:val="22"/>
                <w:szCs w:val="22"/>
                <w:lang w:val="en-US"/>
              </w:rPr>
            </w:pPr>
            <w:r w:rsidRPr="005869CA">
              <w:rPr>
                <w:color w:val="000000"/>
                <w:sz w:val="22"/>
                <w:szCs w:val="22"/>
                <w:lang w:val="en-US"/>
              </w:rPr>
              <w:t>Range = -100 - 100</w:t>
            </w:r>
          </w:p>
        </w:tc>
        <w:tc>
          <w:tcPr>
            <w:tcW w:w="2329" w:type="dxa"/>
            <w:tcBorders>
              <w:top w:val="single" w:sz="4" w:space="0" w:color="000000"/>
              <w:bottom w:val="single" w:sz="4" w:space="0" w:color="000000"/>
            </w:tcBorders>
          </w:tcPr>
          <w:p w14:paraId="000000B7" w14:textId="77777777" w:rsidR="00A92EB8" w:rsidRPr="005869CA" w:rsidRDefault="00411C61">
            <w:pPr>
              <w:pBdr>
                <w:top w:val="nil"/>
                <w:left w:val="nil"/>
                <w:bottom w:val="nil"/>
                <w:right w:val="nil"/>
                <w:between w:val="nil"/>
              </w:pBdr>
              <w:jc w:val="center"/>
              <w:rPr>
                <w:color w:val="000000"/>
                <w:sz w:val="22"/>
                <w:szCs w:val="22"/>
                <w:lang w:val="en-US"/>
              </w:rPr>
            </w:pPr>
            <w:r w:rsidRPr="005869CA">
              <w:rPr>
                <w:color w:val="000000"/>
                <w:sz w:val="22"/>
                <w:szCs w:val="22"/>
                <w:lang w:val="en-US"/>
              </w:rPr>
              <w:t>M = -8.8</w:t>
            </w:r>
          </w:p>
          <w:p w14:paraId="000000B8" w14:textId="77777777" w:rsidR="00A92EB8" w:rsidRPr="005869CA" w:rsidRDefault="00411C61">
            <w:pPr>
              <w:pBdr>
                <w:top w:val="nil"/>
                <w:left w:val="nil"/>
                <w:bottom w:val="nil"/>
                <w:right w:val="nil"/>
                <w:between w:val="nil"/>
              </w:pBdr>
              <w:jc w:val="center"/>
              <w:rPr>
                <w:color w:val="000000"/>
                <w:sz w:val="22"/>
                <w:szCs w:val="22"/>
                <w:lang w:val="en-US"/>
              </w:rPr>
            </w:pPr>
            <w:r w:rsidRPr="005869CA">
              <w:rPr>
                <w:color w:val="000000"/>
                <w:sz w:val="22"/>
                <w:szCs w:val="22"/>
                <w:lang w:val="en-US"/>
              </w:rPr>
              <w:t>SD = 24.2</w:t>
            </w:r>
          </w:p>
          <w:p w14:paraId="000000B9" w14:textId="77777777" w:rsidR="00A92EB8" w:rsidRPr="005869CA" w:rsidRDefault="00411C61">
            <w:pPr>
              <w:pBdr>
                <w:top w:val="nil"/>
                <w:left w:val="nil"/>
                <w:bottom w:val="nil"/>
                <w:right w:val="nil"/>
                <w:between w:val="nil"/>
              </w:pBdr>
              <w:jc w:val="center"/>
              <w:rPr>
                <w:color w:val="000000"/>
                <w:sz w:val="22"/>
                <w:szCs w:val="22"/>
                <w:lang w:val="en-US"/>
              </w:rPr>
            </w:pPr>
            <w:r w:rsidRPr="005869CA">
              <w:rPr>
                <w:color w:val="000000"/>
                <w:sz w:val="22"/>
                <w:szCs w:val="22"/>
                <w:lang w:val="en-US"/>
              </w:rPr>
              <w:t>Range = -100 - 100</w:t>
            </w:r>
          </w:p>
        </w:tc>
      </w:tr>
      <w:tr w:rsidR="00A92EB8" w:rsidRPr="005869CA" w14:paraId="7F810A3C" w14:textId="77777777">
        <w:trPr>
          <w:trHeight w:val="313"/>
        </w:trPr>
        <w:tc>
          <w:tcPr>
            <w:tcW w:w="3919" w:type="dxa"/>
            <w:tcBorders>
              <w:top w:val="single" w:sz="4" w:space="0" w:color="000000"/>
              <w:bottom w:val="nil"/>
            </w:tcBorders>
          </w:tcPr>
          <w:p w14:paraId="000000BA" w14:textId="77777777" w:rsidR="00A92EB8" w:rsidRPr="005869CA" w:rsidRDefault="00A92EB8">
            <w:pPr>
              <w:pBdr>
                <w:top w:val="nil"/>
                <w:left w:val="nil"/>
                <w:bottom w:val="nil"/>
                <w:right w:val="nil"/>
                <w:between w:val="nil"/>
              </w:pBdr>
              <w:rPr>
                <w:b/>
                <w:color w:val="000000"/>
                <w:sz w:val="22"/>
                <w:szCs w:val="22"/>
                <w:lang w:val="en-US"/>
              </w:rPr>
            </w:pPr>
          </w:p>
        </w:tc>
        <w:tc>
          <w:tcPr>
            <w:tcW w:w="2682" w:type="dxa"/>
            <w:tcBorders>
              <w:top w:val="single" w:sz="4" w:space="0" w:color="000000"/>
              <w:bottom w:val="nil"/>
            </w:tcBorders>
          </w:tcPr>
          <w:p w14:paraId="000000BB" w14:textId="77777777" w:rsidR="00A92EB8" w:rsidRPr="005869CA" w:rsidRDefault="00411C61">
            <w:pPr>
              <w:pBdr>
                <w:top w:val="nil"/>
                <w:left w:val="nil"/>
                <w:bottom w:val="nil"/>
                <w:right w:val="nil"/>
                <w:between w:val="nil"/>
              </w:pBdr>
              <w:jc w:val="center"/>
              <w:rPr>
                <w:b/>
                <w:color w:val="000000"/>
                <w:sz w:val="22"/>
                <w:szCs w:val="22"/>
                <w:lang w:val="en-US"/>
              </w:rPr>
            </w:pPr>
            <w:r w:rsidRPr="005869CA">
              <w:rPr>
                <w:b/>
                <w:color w:val="000000"/>
                <w:sz w:val="22"/>
                <w:szCs w:val="22"/>
                <w:lang w:val="en-US"/>
              </w:rPr>
              <w:t>n (%)</w:t>
            </w:r>
          </w:p>
        </w:tc>
        <w:tc>
          <w:tcPr>
            <w:tcW w:w="2329" w:type="dxa"/>
            <w:tcBorders>
              <w:top w:val="single" w:sz="4" w:space="0" w:color="000000"/>
              <w:bottom w:val="nil"/>
            </w:tcBorders>
          </w:tcPr>
          <w:p w14:paraId="000000BC" w14:textId="77777777" w:rsidR="00A92EB8" w:rsidRPr="005869CA" w:rsidRDefault="00411C61">
            <w:pPr>
              <w:pBdr>
                <w:top w:val="nil"/>
                <w:left w:val="nil"/>
                <w:bottom w:val="nil"/>
                <w:right w:val="nil"/>
                <w:between w:val="nil"/>
              </w:pBdr>
              <w:jc w:val="center"/>
              <w:rPr>
                <w:b/>
                <w:color w:val="000000"/>
                <w:sz w:val="22"/>
                <w:szCs w:val="22"/>
                <w:lang w:val="en-US"/>
              </w:rPr>
            </w:pPr>
            <w:r w:rsidRPr="005869CA">
              <w:rPr>
                <w:b/>
                <w:color w:val="000000"/>
                <w:sz w:val="22"/>
                <w:szCs w:val="22"/>
                <w:lang w:val="en-US"/>
              </w:rPr>
              <w:t>n (%)</w:t>
            </w:r>
          </w:p>
        </w:tc>
      </w:tr>
      <w:tr w:rsidR="00A92EB8" w:rsidRPr="005869CA" w14:paraId="14729F54" w14:textId="77777777">
        <w:trPr>
          <w:trHeight w:val="1250"/>
        </w:trPr>
        <w:tc>
          <w:tcPr>
            <w:tcW w:w="3919" w:type="dxa"/>
            <w:tcBorders>
              <w:top w:val="single" w:sz="4" w:space="0" w:color="000000"/>
              <w:bottom w:val="nil"/>
            </w:tcBorders>
          </w:tcPr>
          <w:p w14:paraId="000000BD" w14:textId="77777777" w:rsidR="00A92EB8" w:rsidRPr="005869CA" w:rsidRDefault="00411C61">
            <w:pPr>
              <w:pBdr>
                <w:top w:val="nil"/>
                <w:left w:val="nil"/>
                <w:bottom w:val="nil"/>
                <w:right w:val="nil"/>
                <w:between w:val="nil"/>
              </w:pBdr>
              <w:rPr>
                <w:b/>
                <w:color w:val="000000"/>
                <w:sz w:val="22"/>
                <w:szCs w:val="22"/>
                <w:lang w:val="en-US"/>
              </w:rPr>
            </w:pPr>
            <w:r w:rsidRPr="005869CA">
              <w:rPr>
                <w:b/>
                <w:color w:val="000000"/>
                <w:sz w:val="22"/>
                <w:szCs w:val="22"/>
                <w:lang w:val="en-US"/>
              </w:rPr>
              <w:t>Gender</w:t>
            </w:r>
          </w:p>
          <w:p w14:paraId="000000BE" w14:textId="77777777" w:rsidR="00A92EB8" w:rsidRPr="005869CA" w:rsidRDefault="00411C61">
            <w:pPr>
              <w:pBdr>
                <w:top w:val="nil"/>
                <w:left w:val="nil"/>
                <w:bottom w:val="nil"/>
                <w:right w:val="nil"/>
                <w:between w:val="nil"/>
              </w:pBdr>
              <w:rPr>
                <w:color w:val="000000"/>
                <w:sz w:val="22"/>
                <w:szCs w:val="22"/>
                <w:lang w:val="en-US"/>
              </w:rPr>
            </w:pPr>
            <w:r w:rsidRPr="005869CA">
              <w:rPr>
                <w:color w:val="000000"/>
                <w:sz w:val="22"/>
                <w:szCs w:val="22"/>
                <w:lang w:val="en-US"/>
              </w:rPr>
              <w:t>Man</w:t>
            </w:r>
          </w:p>
          <w:p w14:paraId="000000BF" w14:textId="77777777" w:rsidR="00A92EB8" w:rsidRPr="005869CA" w:rsidRDefault="00411C61">
            <w:pPr>
              <w:pBdr>
                <w:top w:val="nil"/>
                <w:left w:val="nil"/>
                <w:bottom w:val="nil"/>
                <w:right w:val="nil"/>
                <w:between w:val="nil"/>
              </w:pBdr>
              <w:rPr>
                <w:color w:val="000000"/>
                <w:sz w:val="22"/>
                <w:szCs w:val="22"/>
                <w:lang w:val="en-US"/>
              </w:rPr>
            </w:pPr>
            <w:r w:rsidRPr="005869CA">
              <w:rPr>
                <w:color w:val="000000"/>
                <w:sz w:val="22"/>
                <w:szCs w:val="22"/>
                <w:lang w:val="en-US"/>
              </w:rPr>
              <w:t>Woman</w:t>
            </w:r>
          </w:p>
          <w:p w14:paraId="000000C0" w14:textId="77777777" w:rsidR="00A92EB8" w:rsidRPr="005869CA" w:rsidRDefault="00411C61">
            <w:pPr>
              <w:pBdr>
                <w:top w:val="nil"/>
                <w:left w:val="nil"/>
                <w:bottom w:val="nil"/>
                <w:right w:val="nil"/>
                <w:between w:val="nil"/>
              </w:pBdr>
              <w:rPr>
                <w:color w:val="000000"/>
                <w:sz w:val="22"/>
                <w:szCs w:val="22"/>
                <w:lang w:val="en-US"/>
              </w:rPr>
            </w:pPr>
            <w:r w:rsidRPr="005869CA">
              <w:rPr>
                <w:color w:val="000000"/>
                <w:sz w:val="22"/>
                <w:szCs w:val="22"/>
                <w:lang w:val="en-US"/>
              </w:rPr>
              <w:t>Transgender</w:t>
            </w:r>
          </w:p>
          <w:p w14:paraId="000000C1" w14:textId="77777777" w:rsidR="00A92EB8" w:rsidRPr="005869CA" w:rsidRDefault="00411C61">
            <w:pPr>
              <w:pBdr>
                <w:top w:val="nil"/>
                <w:left w:val="nil"/>
                <w:bottom w:val="nil"/>
                <w:right w:val="nil"/>
                <w:between w:val="nil"/>
              </w:pBdr>
              <w:rPr>
                <w:color w:val="000000"/>
                <w:sz w:val="22"/>
                <w:szCs w:val="22"/>
                <w:lang w:val="en-US"/>
              </w:rPr>
            </w:pPr>
            <w:r w:rsidRPr="005869CA">
              <w:rPr>
                <w:color w:val="000000"/>
                <w:sz w:val="22"/>
                <w:szCs w:val="22"/>
                <w:lang w:val="en-US"/>
              </w:rPr>
              <w:t>Other</w:t>
            </w:r>
          </w:p>
        </w:tc>
        <w:tc>
          <w:tcPr>
            <w:tcW w:w="2682" w:type="dxa"/>
            <w:tcBorders>
              <w:top w:val="single" w:sz="4" w:space="0" w:color="000000"/>
              <w:bottom w:val="nil"/>
            </w:tcBorders>
          </w:tcPr>
          <w:p w14:paraId="000000C2" w14:textId="77777777" w:rsidR="00A92EB8" w:rsidRPr="005869CA" w:rsidRDefault="00A92EB8">
            <w:pPr>
              <w:pBdr>
                <w:top w:val="nil"/>
                <w:left w:val="nil"/>
                <w:bottom w:val="nil"/>
                <w:right w:val="nil"/>
                <w:between w:val="nil"/>
              </w:pBdr>
              <w:jc w:val="center"/>
              <w:rPr>
                <w:color w:val="000000"/>
                <w:sz w:val="22"/>
                <w:szCs w:val="22"/>
                <w:lang w:val="en-US"/>
              </w:rPr>
            </w:pPr>
          </w:p>
          <w:p w14:paraId="000000C3" w14:textId="77777777" w:rsidR="00A92EB8" w:rsidRPr="005869CA" w:rsidRDefault="00411C61">
            <w:pPr>
              <w:pBdr>
                <w:top w:val="nil"/>
                <w:left w:val="nil"/>
                <w:bottom w:val="nil"/>
                <w:right w:val="nil"/>
                <w:between w:val="nil"/>
              </w:pBdr>
              <w:jc w:val="center"/>
              <w:rPr>
                <w:color w:val="000000"/>
                <w:sz w:val="22"/>
                <w:szCs w:val="22"/>
                <w:lang w:val="en-US"/>
              </w:rPr>
            </w:pPr>
            <w:r w:rsidRPr="005869CA">
              <w:rPr>
                <w:color w:val="000000"/>
                <w:sz w:val="22"/>
                <w:szCs w:val="22"/>
                <w:lang w:val="en-US"/>
              </w:rPr>
              <w:t>683 (51.5%)</w:t>
            </w:r>
          </w:p>
          <w:p w14:paraId="000000C4" w14:textId="77777777" w:rsidR="00A92EB8" w:rsidRPr="005869CA" w:rsidRDefault="00411C61">
            <w:pPr>
              <w:pBdr>
                <w:top w:val="nil"/>
                <w:left w:val="nil"/>
                <w:bottom w:val="nil"/>
                <w:right w:val="nil"/>
                <w:between w:val="nil"/>
              </w:pBdr>
              <w:jc w:val="center"/>
              <w:rPr>
                <w:color w:val="000000"/>
                <w:sz w:val="22"/>
                <w:szCs w:val="22"/>
                <w:lang w:val="en-US"/>
              </w:rPr>
            </w:pPr>
            <w:r w:rsidRPr="005869CA">
              <w:rPr>
                <w:color w:val="000000"/>
                <w:sz w:val="22"/>
                <w:szCs w:val="22"/>
                <w:lang w:val="en-US"/>
              </w:rPr>
              <w:t>639 (48.2%)</w:t>
            </w:r>
          </w:p>
          <w:p w14:paraId="000000C5" w14:textId="77777777" w:rsidR="00A92EB8" w:rsidRPr="005869CA" w:rsidRDefault="00411C61">
            <w:pPr>
              <w:pBdr>
                <w:top w:val="nil"/>
                <w:left w:val="nil"/>
                <w:bottom w:val="nil"/>
                <w:right w:val="nil"/>
                <w:between w:val="nil"/>
              </w:pBdr>
              <w:jc w:val="center"/>
              <w:rPr>
                <w:color w:val="000000"/>
                <w:sz w:val="22"/>
                <w:szCs w:val="22"/>
                <w:lang w:val="en-US"/>
              </w:rPr>
            </w:pPr>
            <w:r w:rsidRPr="005869CA">
              <w:rPr>
                <w:color w:val="000000"/>
                <w:sz w:val="22"/>
                <w:szCs w:val="22"/>
                <w:lang w:val="en-US"/>
              </w:rPr>
              <w:t>1 (0.1%)</w:t>
            </w:r>
          </w:p>
          <w:p w14:paraId="000000C6" w14:textId="77777777" w:rsidR="00A92EB8" w:rsidRPr="005869CA" w:rsidRDefault="00411C61">
            <w:pPr>
              <w:pBdr>
                <w:top w:val="nil"/>
                <w:left w:val="nil"/>
                <w:bottom w:val="nil"/>
                <w:right w:val="nil"/>
                <w:between w:val="nil"/>
              </w:pBdr>
              <w:jc w:val="center"/>
              <w:rPr>
                <w:color w:val="000000"/>
                <w:sz w:val="22"/>
                <w:szCs w:val="22"/>
                <w:lang w:val="en-US"/>
              </w:rPr>
            </w:pPr>
            <w:r w:rsidRPr="005869CA">
              <w:rPr>
                <w:color w:val="000000"/>
                <w:sz w:val="22"/>
                <w:szCs w:val="22"/>
                <w:lang w:val="en-US"/>
              </w:rPr>
              <w:t>2 (0.2%)</w:t>
            </w:r>
          </w:p>
        </w:tc>
        <w:tc>
          <w:tcPr>
            <w:tcW w:w="2329" w:type="dxa"/>
            <w:tcBorders>
              <w:top w:val="single" w:sz="4" w:space="0" w:color="000000"/>
              <w:bottom w:val="nil"/>
            </w:tcBorders>
          </w:tcPr>
          <w:p w14:paraId="000000C7" w14:textId="77777777" w:rsidR="00A92EB8" w:rsidRPr="005869CA" w:rsidRDefault="00A92EB8">
            <w:pPr>
              <w:pBdr>
                <w:top w:val="nil"/>
                <w:left w:val="nil"/>
                <w:bottom w:val="nil"/>
                <w:right w:val="nil"/>
                <w:between w:val="nil"/>
              </w:pBdr>
              <w:jc w:val="center"/>
              <w:rPr>
                <w:color w:val="000000"/>
                <w:sz w:val="22"/>
                <w:szCs w:val="22"/>
                <w:lang w:val="en-US"/>
              </w:rPr>
            </w:pPr>
          </w:p>
          <w:p w14:paraId="000000C8" w14:textId="77777777" w:rsidR="00A92EB8" w:rsidRPr="005869CA" w:rsidRDefault="00411C61">
            <w:pPr>
              <w:pBdr>
                <w:top w:val="nil"/>
                <w:left w:val="nil"/>
                <w:bottom w:val="nil"/>
                <w:right w:val="nil"/>
                <w:between w:val="nil"/>
              </w:pBdr>
              <w:jc w:val="center"/>
              <w:rPr>
                <w:color w:val="000000"/>
                <w:sz w:val="22"/>
                <w:szCs w:val="22"/>
                <w:lang w:val="en-US"/>
              </w:rPr>
            </w:pPr>
            <w:r w:rsidRPr="005869CA">
              <w:rPr>
                <w:color w:val="000000"/>
                <w:sz w:val="22"/>
                <w:szCs w:val="22"/>
                <w:lang w:val="en-US"/>
              </w:rPr>
              <w:t>521 (54.8%)</w:t>
            </w:r>
          </w:p>
          <w:p w14:paraId="000000C9" w14:textId="77777777" w:rsidR="00A92EB8" w:rsidRPr="005869CA" w:rsidRDefault="00411C61">
            <w:pPr>
              <w:pBdr>
                <w:top w:val="nil"/>
                <w:left w:val="nil"/>
                <w:bottom w:val="nil"/>
                <w:right w:val="nil"/>
                <w:between w:val="nil"/>
              </w:pBdr>
              <w:jc w:val="center"/>
              <w:rPr>
                <w:color w:val="000000"/>
                <w:sz w:val="22"/>
                <w:szCs w:val="22"/>
                <w:lang w:val="en-US"/>
              </w:rPr>
            </w:pPr>
            <w:r w:rsidRPr="005869CA">
              <w:rPr>
                <w:color w:val="000000"/>
                <w:sz w:val="22"/>
                <w:szCs w:val="22"/>
                <w:lang w:val="en-US"/>
              </w:rPr>
              <w:t>426 (44.8%)</w:t>
            </w:r>
          </w:p>
          <w:p w14:paraId="000000CA" w14:textId="77777777" w:rsidR="00A92EB8" w:rsidRPr="005869CA" w:rsidRDefault="00411C61">
            <w:pPr>
              <w:pBdr>
                <w:top w:val="nil"/>
                <w:left w:val="nil"/>
                <w:bottom w:val="nil"/>
                <w:right w:val="nil"/>
                <w:between w:val="nil"/>
              </w:pBdr>
              <w:jc w:val="center"/>
              <w:rPr>
                <w:color w:val="000000"/>
                <w:sz w:val="22"/>
                <w:szCs w:val="22"/>
                <w:lang w:val="en-US"/>
              </w:rPr>
            </w:pPr>
            <w:r w:rsidRPr="005869CA">
              <w:rPr>
                <w:color w:val="000000"/>
                <w:sz w:val="22"/>
                <w:szCs w:val="22"/>
                <w:lang w:val="en-US"/>
              </w:rPr>
              <w:t>1 (0.1%)</w:t>
            </w:r>
          </w:p>
          <w:p w14:paraId="000000CB" w14:textId="77777777" w:rsidR="00A92EB8" w:rsidRPr="005869CA" w:rsidRDefault="00411C61">
            <w:pPr>
              <w:pBdr>
                <w:top w:val="nil"/>
                <w:left w:val="nil"/>
                <w:bottom w:val="nil"/>
                <w:right w:val="nil"/>
                <w:between w:val="nil"/>
              </w:pBdr>
              <w:jc w:val="center"/>
              <w:rPr>
                <w:color w:val="000000"/>
                <w:sz w:val="22"/>
                <w:szCs w:val="22"/>
                <w:lang w:val="en-US"/>
              </w:rPr>
            </w:pPr>
            <w:r w:rsidRPr="005869CA">
              <w:rPr>
                <w:color w:val="000000"/>
                <w:sz w:val="22"/>
                <w:szCs w:val="22"/>
                <w:lang w:val="en-US"/>
              </w:rPr>
              <w:t>2 (0.2%)</w:t>
            </w:r>
          </w:p>
        </w:tc>
      </w:tr>
      <w:tr w:rsidR="00A92EB8" w:rsidRPr="005869CA" w14:paraId="0C5712FD" w14:textId="77777777">
        <w:trPr>
          <w:trHeight w:val="1519"/>
        </w:trPr>
        <w:tc>
          <w:tcPr>
            <w:tcW w:w="3919" w:type="dxa"/>
            <w:tcBorders>
              <w:top w:val="nil"/>
              <w:bottom w:val="nil"/>
            </w:tcBorders>
          </w:tcPr>
          <w:p w14:paraId="000000CC" w14:textId="77777777" w:rsidR="00A92EB8" w:rsidRPr="005869CA" w:rsidRDefault="00411C61">
            <w:pPr>
              <w:widowControl w:val="0"/>
              <w:rPr>
                <w:b/>
                <w:sz w:val="22"/>
                <w:szCs w:val="22"/>
                <w:lang w:val="en-US"/>
              </w:rPr>
            </w:pPr>
            <w:r w:rsidRPr="005869CA">
              <w:rPr>
                <w:b/>
                <w:sz w:val="22"/>
                <w:szCs w:val="22"/>
                <w:lang w:val="en-US"/>
              </w:rPr>
              <w:t>Relationship Status</w:t>
            </w:r>
          </w:p>
          <w:p w14:paraId="000000CD" w14:textId="77777777" w:rsidR="00A92EB8" w:rsidRPr="005869CA" w:rsidRDefault="00411C61">
            <w:pPr>
              <w:rPr>
                <w:sz w:val="22"/>
                <w:szCs w:val="22"/>
                <w:lang w:val="en-US"/>
              </w:rPr>
            </w:pPr>
            <w:r w:rsidRPr="005869CA">
              <w:rPr>
                <w:sz w:val="22"/>
                <w:szCs w:val="22"/>
                <w:lang w:val="en-US"/>
              </w:rPr>
              <w:t>Married</w:t>
            </w:r>
          </w:p>
          <w:p w14:paraId="000000CE" w14:textId="77777777" w:rsidR="00A92EB8" w:rsidRPr="005869CA" w:rsidRDefault="00411C61">
            <w:pPr>
              <w:rPr>
                <w:sz w:val="22"/>
                <w:szCs w:val="22"/>
                <w:lang w:val="en-US"/>
              </w:rPr>
            </w:pPr>
            <w:r w:rsidRPr="005869CA">
              <w:rPr>
                <w:sz w:val="22"/>
                <w:szCs w:val="22"/>
                <w:lang w:val="en-US"/>
              </w:rPr>
              <w:t>Single</w:t>
            </w:r>
          </w:p>
          <w:p w14:paraId="000000CF" w14:textId="77777777" w:rsidR="00A92EB8" w:rsidRPr="005869CA" w:rsidRDefault="00411C61">
            <w:pPr>
              <w:rPr>
                <w:sz w:val="22"/>
                <w:szCs w:val="22"/>
                <w:lang w:val="en-US"/>
              </w:rPr>
            </w:pPr>
            <w:r w:rsidRPr="005869CA">
              <w:rPr>
                <w:sz w:val="22"/>
                <w:szCs w:val="22"/>
                <w:lang w:val="en-US"/>
              </w:rPr>
              <w:t>Cohabiting</w:t>
            </w:r>
          </w:p>
          <w:p w14:paraId="000000D0" w14:textId="77777777" w:rsidR="00A92EB8" w:rsidRPr="005869CA" w:rsidRDefault="00411C61">
            <w:pPr>
              <w:rPr>
                <w:sz w:val="22"/>
                <w:szCs w:val="22"/>
                <w:lang w:val="en-US"/>
              </w:rPr>
            </w:pPr>
            <w:r w:rsidRPr="005869CA">
              <w:rPr>
                <w:sz w:val="22"/>
                <w:szCs w:val="22"/>
                <w:lang w:val="en-US"/>
              </w:rPr>
              <w:t>Separated</w:t>
            </w:r>
          </w:p>
          <w:p w14:paraId="000000D1" w14:textId="77777777" w:rsidR="00A92EB8" w:rsidRPr="005869CA" w:rsidRDefault="00411C61">
            <w:pPr>
              <w:rPr>
                <w:sz w:val="22"/>
                <w:szCs w:val="22"/>
                <w:lang w:val="en-US"/>
              </w:rPr>
            </w:pPr>
            <w:r w:rsidRPr="005869CA">
              <w:rPr>
                <w:sz w:val="22"/>
                <w:szCs w:val="22"/>
                <w:lang w:val="en-US"/>
              </w:rPr>
              <w:t>Divorced</w:t>
            </w:r>
          </w:p>
          <w:p w14:paraId="000000D2" w14:textId="77777777" w:rsidR="00A92EB8" w:rsidRPr="005869CA" w:rsidRDefault="00411C61">
            <w:pPr>
              <w:rPr>
                <w:sz w:val="22"/>
                <w:szCs w:val="22"/>
                <w:lang w:val="en-US"/>
              </w:rPr>
            </w:pPr>
            <w:r w:rsidRPr="005869CA">
              <w:rPr>
                <w:sz w:val="22"/>
                <w:szCs w:val="22"/>
                <w:lang w:val="en-US"/>
              </w:rPr>
              <w:t>Widowed</w:t>
            </w:r>
          </w:p>
          <w:p w14:paraId="000000D3" w14:textId="77777777" w:rsidR="00A92EB8" w:rsidRPr="005869CA" w:rsidRDefault="00411C61">
            <w:pPr>
              <w:rPr>
                <w:sz w:val="22"/>
                <w:szCs w:val="22"/>
                <w:lang w:val="en-US"/>
              </w:rPr>
            </w:pPr>
            <w:r w:rsidRPr="005869CA">
              <w:rPr>
                <w:sz w:val="22"/>
                <w:szCs w:val="22"/>
                <w:lang w:val="en-US"/>
              </w:rPr>
              <w:t>In a registered same-sex civil partnership</w:t>
            </w:r>
          </w:p>
          <w:p w14:paraId="000000D4" w14:textId="77777777" w:rsidR="00A92EB8" w:rsidRPr="005869CA" w:rsidRDefault="00411C61">
            <w:pPr>
              <w:rPr>
                <w:b/>
                <w:lang w:val="en-US"/>
              </w:rPr>
            </w:pPr>
            <w:r w:rsidRPr="005869CA">
              <w:rPr>
                <w:sz w:val="22"/>
                <w:szCs w:val="22"/>
                <w:lang w:val="en-US"/>
              </w:rPr>
              <w:t>In a relationship but not living together</w:t>
            </w:r>
          </w:p>
        </w:tc>
        <w:tc>
          <w:tcPr>
            <w:tcW w:w="2682" w:type="dxa"/>
            <w:tcBorders>
              <w:top w:val="nil"/>
              <w:bottom w:val="nil"/>
            </w:tcBorders>
          </w:tcPr>
          <w:p w14:paraId="000000D5" w14:textId="77777777" w:rsidR="00A92EB8" w:rsidRPr="005869CA" w:rsidRDefault="00A92EB8">
            <w:pPr>
              <w:pBdr>
                <w:top w:val="nil"/>
                <w:left w:val="nil"/>
                <w:bottom w:val="nil"/>
                <w:right w:val="nil"/>
                <w:between w:val="nil"/>
              </w:pBdr>
              <w:jc w:val="center"/>
              <w:rPr>
                <w:color w:val="000000"/>
                <w:sz w:val="22"/>
                <w:szCs w:val="22"/>
                <w:lang w:val="en-US"/>
              </w:rPr>
            </w:pPr>
          </w:p>
          <w:p w14:paraId="000000D6" w14:textId="77777777" w:rsidR="00A92EB8" w:rsidRPr="005869CA" w:rsidRDefault="00411C61">
            <w:pPr>
              <w:pBdr>
                <w:top w:val="nil"/>
                <w:left w:val="nil"/>
                <w:bottom w:val="nil"/>
                <w:right w:val="nil"/>
                <w:between w:val="nil"/>
              </w:pBdr>
              <w:jc w:val="center"/>
              <w:rPr>
                <w:color w:val="000000"/>
                <w:sz w:val="22"/>
                <w:szCs w:val="22"/>
                <w:lang w:val="en-US"/>
              </w:rPr>
            </w:pPr>
            <w:r w:rsidRPr="005869CA">
              <w:rPr>
                <w:color w:val="000000"/>
                <w:sz w:val="22"/>
                <w:szCs w:val="22"/>
                <w:lang w:val="en-US"/>
              </w:rPr>
              <w:t>641 (48.4%)</w:t>
            </w:r>
          </w:p>
          <w:p w14:paraId="000000D7" w14:textId="77777777" w:rsidR="00A92EB8" w:rsidRPr="005869CA" w:rsidRDefault="00411C61">
            <w:pPr>
              <w:pBdr>
                <w:top w:val="nil"/>
                <w:left w:val="nil"/>
                <w:bottom w:val="nil"/>
                <w:right w:val="nil"/>
                <w:between w:val="nil"/>
              </w:pBdr>
              <w:jc w:val="center"/>
              <w:rPr>
                <w:color w:val="000000"/>
                <w:sz w:val="22"/>
                <w:szCs w:val="22"/>
                <w:lang w:val="en-US"/>
              </w:rPr>
            </w:pPr>
            <w:r w:rsidRPr="005869CA">
              <w:rPr>
                <w:color w:val="000000"/>
                <w:sz w:val="22"/>
                <w:szCs w:val="22"/>
                <w:lang w:val="en-US"/>
              </w:rPr>
              <w:t>305 (23.0%)</w:t>
            </w:r>
          </w:p>
          <w:p w14:paraId="000000D8" w14:textId="77777777" w:rsidR="00A92EB8" w:rsidRPr="005869CA" w:rsidRDefault="00411C61">
            <w:pPr>
              <w:pBdr>
                <w:top w:val="nil"/>
                <w:left w:val="nil"/>
                <w:bottom w:val="nil"/>
                <w:right w:val="nil"/>
                <w:between w:val="nil"/>
              </w:pBdr>
              <w:jc w:val="center"/>
              <w:rPr>
                <w:color w:val="000000"/>
                <w:sz w:val="22"/>
                <w:szCs w:val="22"/>
                <w:lang w:val="en-US"/>
              </w:rPr>
            </w:pPr>
            <w:r w:rsidRPr="005869CA">
              <w:rPr>
                <w:color w:val="000000"/>
                <w:sz w:val="22"/>
                <w:szCs w:val="22"/>
                <w:lang w:val="en-US"/>
              </w:rPr>
              <w:t>159 (12.0%)</w:t>
            </w:r>
          </w:p>
          <w:p w14:paraId="000000D9" w14:textId="77777777" w:rsidR="00A92EB8" w:rsidRPr="005869CA" w:rsidRDefault="00411C61">
            <w:pPr>
              <w:pBdr>
                <w:top w:val="nil"/>
                <w:left w:val="nil"/>
                <w:bottom w:val="nil"/>
                <w:right w:val="nil"/>
                <w:between w:val="nil"/>
              </w:pBdr>
              <w:jc w:val="center"/>
              <w:rPr>
                <w:color w:val="000000"/>
                <w:sz w:val="22"/>
                <w:szCs w:val="22"/>
                <w:lang w:val="en-US"/>
              </w:rPr>
            </w:pPr>
            <w:r w:rsidRPr="005869CA">
              <w:rPr>
                <w:color w:val="000000"/>
                <w:sz w:val="22"/>
                <w:szCs w:val="22"/>
                <w:lang w:val="en-US"/>
              </w:rPr>
              <w:t>21 (1.6%)</w:t>
            </w:r>
          </w:p>
          <w:p w14:paraId="000000DA" w14:textId="77777777" w:rsidR="00A92EB8" w:rsidRPr="005869CA" w:rsidRDefault="00411C61">
            <w:pPr>
              <w:pBdr>
                <w:top w:val="nil"/>
                <w:left w:val="nil"/>
                <w:bottom w:val="nil"/>
                <w:right w:val="nil"/>
                <w:between w:val="nil"/>
              </w:pBdr>
              <w:jc w:val="center"/>
              <w:rPr>
                <w:color w:val="000000"/>
                <w:sz w:val="22"/>
                <w:szCs w:val="22"/>
                <w:lang w:val="en-US"/>
              </w:rPr>
            </w:pPr>
            <w:r w:rsidRPr="005869CA">
              <w:rPr>
                <w:color w:val="000000"/>
                <w:sz w:val="22"/>
                <w:szCs w:val="22"/>
                <w:lang w:val="en-US"/>
              </w:rPr>
              <w:t>108 (8.2%)</w:t>
            </w:r>
          </w:p>
          <w:p w14:paraId="000000DB" w14:textId="77777777" w:rsidR="00A92EB8" w:rsidRPr="005869CA" w:rsidRDefault="00411C61">
            <w:pPr>
              <w:pBdr>
                <w:top w:val="nil"/>
                <w:left w:val="nil"/>
                <w:bottom w:val="nil"/>
                <w:right w:val="nil"/>
                <w:between w:val="nil"/>
              </w:pBdr>
              <w:jc w:val="center"/>
              <w:rPr>
                <w:color w:val="000000"/>
                <w:sz w:val="22"/>
                <w:szCs w:val="22"/>
                <w:lang w:val="en-US"/>
              </w:rPr>
            </w:pPr>
            <w:r w:rsidRPr="005869CA">
              <w:rPr>
                <w:color w:val="000000"/>
                <w:sz w:val="22"/>
                <w:szCs w:val="22"/>
                <w:lang w:val="en-US"/>
              </w:rPr>
              <w:t>34 (2.6%)</w:t>
            </w:r>
          </w:p>
          <w:p w14:paraId="000000DC" w14:textId="77777777" w:rsidR="00A92EB8" w:rsidRPr="005869CA" w:rsidRDefault="00411C61">
            <w:pPr>
              <w:pBdr>
                <w:top w:val="nil"/>
                <w:left w:val="nil"/>
                <w:bottom w:val="nil"/>
                <w:right w:val="nil"/>
                <w:between w:val="nil"/>
              </w:pBdr>
              <w:jc w:val="center"/>
              <w:rPr>
                <w:color w:val="000000"/>
                <w:sz w:val="22"/>
                <w:szCs w:val="22"/>
                <w:lang w:val="en-US"/>
              </w:rPr>
            </w:pPr>
            <w:r w:rsidRPr="005869CA">
              <w:rPr>
                <w:color w:val="000000"/>
                <w:sz w:val="22"/>
                <w:szCs w:val="22"/>
                <w:lang w:val="en-US"/>
              </w:rPr>
              <w:t>6 (0.5%)</w:t>
            </w:r>
          </w:p>
          <w:p w14:paraId="000000DD" w14:textId="77777777" w:rsidR="00A92EB8" w:rsidRPr="005869CA" w:rsidRDefault="00411C61">
            <w:pPr>
              <w:pBdr>
                <w:top w:val="nil"/>
                <w:left w:val="nil"/>
                <w:bottom w:val="nil"/>
                <w:right w:val="nil"/>
                <w:between w:val="nil"/>
              </w:pBdr>
              <w:jc w:val="center"/>
              <w:rPr>
                <w:color w:val="000000"/>
                <w:sz w:val="22"/>
                <w:szCs w:val="22"/>
                <w:lang w:val="en-US"/>
              </w:rPr>
            </w:pPr>
            <w:r w:rsidRPr="005869CA">
              <w:rPr>
                <w:color w:val="000000"/>
                <w:sz w:val="22"/>
                <w:szCs w:val="22"/>
                <w:lang w:val="en-US"/>
              </w:rPr>
              <w:t>51 (3.85)</w:t>
            </w:r>
          </w:p>
        </w:tc>
        <w:tc>
          <w:tcPr>
            <w:tcW w:w="2329" w:type="dxa"/>
            <w:tcBorders>
              <w:top w:val="nil"/>
              <w:bottom w:val="nil"/>
            </w:tcBorders>
          </w:tcPr>
          <w:p w14:paraId="000000DE" w14:textId="77777777" w:rsidR="00A92EB8" w:rsidRPr="005869CA" w:rsidRDefault="00A92EB8">
            <w:pPr>
              <w:pBdr>
                <w:top w:val="nil"/>
                <w:left w:val="nil"/>
                <w:bottom w:val="nil"/>
                <w:right w:val="nil"/>
                <w:between w:val="nil"/>
              </w:pBdr>
              <w:jc w:val="center"/>
              <w:rPr>
                <w:color w:val="000000"/>
                <w:sz w:val="22"/>
                <w:szCs w:val="22"/>
                <w:lang w:val="en-US"/>
              </w:rPr>
            </w:pPr>
          </w:p>
          <w:p w14:paraId="000000DF" w14:textId="77777777" w:rsidR="00A92EB8" w:rsidRPr="005869CA" w:rsidRDefault="00411C61">
            <w:pPr>
              <w:pBdr>
                <w:top w:val="nil"/>
                <w:left w:val="nil"/>
                <w:bottom w:val="nil"/>
                <w:right w:val="nil"/>
                <w:between w:val="nil"/>
              </w:pBdr>
              <w:jc w:val="center"/>
              <w:rPr>
                <w:color w:val="000000"/>
                <w:sz w:val="22"/>
                <w:szCs w:val="22"/>
                <w:lang w:val="en-US"/>
              </w:rPr>
            </w:pPr>
            <w:r w:rsidRPr="005869CA">
              <w:rPr>
                <w:color w:val="000000"/>
                <w:sz w:val="22"/>
                <w:szCs w:val="22"/>
                <w:lang w:val="en-US"/>
              </w:rPr>
              <w:t>478 (50.3%)</w:t>
            </w:r>
          </w:p>
          <w:p w14:paraId="000000E0" w14:textId="77777777" w:rsidR="00A92EB8" w:rsidRPr="005869CA" w:rsidRDefault="00411C61">
            <w:pPr>
              <w:pBdr>
                <w:top w:val="nil"/>
                <w:left w:val="nil"/>
                <w:bottom w:val="nil"/>
                <w:right w:val="nil"/>
                <w:between w:val="nil"/>
              </w:pBdr>
              <w:jc w:val="center"/>
              <w:rPr>
                <w:color w:val="000000"/>
                <w:sz w:val="22"/>
                <w:szCs w:val="22"/>
                <w:lang w:val="en-US"/>
              </w:rPr>
            </w:pPr>
            <w:r w:rsidRPr="005869CA">
              <w:rPr>
                <w:color w:val="000000"/>
                <w:sz w:val="22"/>
                <w:szCs w:val="22"/>
                <w:lang w:val="en-US"/>
              </w:rPr>
              <w:t>208 (21.9%)</w:t>
            </w:r>
          </w:p>
          <w:p w14:paraId="000000E1" w14:textId="77777777" w:rsidR="00A92EB8" w:rsidRPr="005869CA" w:rsidRDefault="00411C61">
            <w:pPr>
              <w:pBdr>
                <w:top w:val="nil"/>
                <w:left w:val="nil"/>
                <w:bottom w:val="nil"/>
                <w:right w:val="nil"/>
                <w:between w:val="nil"/>
              </w:pBdr>
              <w:jc w:val="center"/>
              <w:rPr>
                <w:color w:val="000000"/>
                <w:sz w:val="22"/>
                <w:szCs w:val="22"/>
                <w:lang w:val="en-US"/>
              </w:rPr>
            </w:pPr>
            <w:r w:rsidRPr="005869CA">
              <w:rPr>
                <w:color w:val="000000"/>
                <w:sz w:val="22"/>
                <w:szCs w:val="22"/>
                <w:lang w:val="en-US"/>
              </w:rPr>
              <w:t>101 (10.6%)</w:t>
            </w:r>
          </w:p>
          <w:p w14:paraId="000000E2" w14:textId="77777777" w:rsidR="00A92EB8" w:rsidRPr="005869CA" w:rsidRDefault="00411C61">
            <w:pPr>
              <w:pBdr>
                <w:top w:val="nil"/>
                <w:left w:val="nil"/>
                <w:bottom w:val="nil"/>
                <w:right w:val="nil"/>
                <w:between w:val="nil"/>
              </w:pBdr>
              <w:jc w:val="center"/>
              <w:rPr>
                <w:color w:val="000000"/>
                <w:sz w:val="22"/>
                <w:szCs w:val="22"/>
                <w:lang w:val="en-US"/>
              </w:rPr>
            </w:pPr>
            <w:r w:rsidRPr="005869CA">
              <w:rPr>
                <w:color w:val="000000"/>
                <w:sz w:val="22"/>
                <w:szCs w:val="22"/>
                <w:lang w:val="en-US"/>
              </w:rPr>
              <w:t>18 (1.9%)</w:t>
            </w:r>
          </w:p>
          <w:p w14:paraId="000000E3" w14:textId="77777777" w:rsidR="00A92EB8" w:rsidRPr="005869CA" w:rsidRDefault="00411C61">
            <w:pPr>
              <w:pBdr>
                <w:top w:val="nil"/>
                <w:left w:val="nil"/>
                <w:bottom w:val="nil"/>
                <w:right w:val="nil"/>
                <w:between w:val="nil"/>
              </w:pBdr>
              <w:jc w:val="center"/>
              <w:rPr>
                <w:color w:val="000000"/>
                <w:sz w:val="22"/>
                <w:szCs w:val="22"/>
                <w:lang w:val="en-US"/>
              </w:rPr>
            </w:pPr>
            <w:r w:rsidRPr="005869CA">
              <w:rPr>
                <w:color w:val="000000"/>
                <w:sz w:val="22"/>
                <w:szCs w:val="22"/>
                <w:lang w:val="en-US"/>
              </w:rPr>
              <w:t>83 (8.7%)</w:t>
            </w:r>
          </w:p>
          <w:p w14:paraId="000000E4" w14:textId="77777777" w:rsidR="00A92EB8" w:rsidRPr="005869CA" w:rsidRDefault="00411C61">
            <w:pPr>
              <w:pBdr>
                <w:top w:val="nil"/>
                <w:left w:val="nil"/>
                <w:bottom w:val="nil"/>
                <w:right w:val="nil"/>
                <w:between w:val="nil"/>
              </w:pBdr>
              <w:jc w:val="center"/>
              <w:rPr>
                <w:color w:val="000000"/>
                <w:sz w:val="22"/>
                <w:szCs w:val="22"/>
                <w:lang w:val="en-US"/>
              </w:rPr>
            </w:pPr>
            <w:r w:rsidRPr="005869CA">
              <w:rPr>
                <w:color w:val="000000"/>
                <w:sz w:val="22"/>
                <w:szCs w:val="22"/>
                <w:lang w:val="en-US"/>
              </w:rPr>
              <w:t>27 (2.8%)</w:t>
            </w:r>
          </w:p>
          <w:p w14:paraId="000000E5" w14:textId="77777777" w:rsidR="00A92EB8" w:rsidRPr="005869CA" w:rsidRDefault="00411C61">
            <w:pPr>
              <w:pBdr>
                <w:top w:val="nil"/>
                <w:left w:val="nil"/>
                <w:bottom w:val="nil"/>
                <w:right w:val="nil"/>
                <w:between w:val="nil"/>
              </w:pBdr>
              <w:jc w:val="center"/>
              <w:rPr>
                <w:color w:val="000000"/>
                <w:sz w:val="22"/>
                <w:szCs w:val="22"/>
                <w:lang w:val="en-US"/>
              </w:rPr>
            </w:pPr>
            <w:r w:rsidRPr="005869CA">
              <w:rPr>
                <w:color w:val="000000"/>
                <w:sz w:val="22"/>
                <w:szCs w:val="22"/>
                <w:lang w:val="en-US"/>
              </w:rPr>
              <w:t>4 (0.4%)</w:t>
            </w:r>
          </w:p>
          <w:p w14:paraId="000000E6" w14:textId="77777777" w:rsidR="00A92EB8" w:rsidRPr="005869CA" w:rsidRDefault="00411C61">
            <w:pPr>
              <w:pBdr>
                <w:top w:val="nil"/>
                <w:left w:val="nil"/>
                <w:bottom w:val="nil"/>
                <w:right w:val="nil"/>
                <w:between w:val="nil"/>
              </w:pBdr>
              <w:jc w:val="center"/>
              <w:rPr>
                <w:color w:val="000000"/>
                <w:sz w:val="22"/>
                <w:szCs w:val="22"/>
                <w:lang w:val="en-US"/>
              </w:rPr>
            </w:pPr>
            <w:r w:rsidRPr="005869CA">
              <w:rPr>
                <w:color w:val="000000"/>
                <w:sz w:val="22"/>
                <w:szCs w:val="22"/>
                <w:lang w:val="en-US"/>
              </w:rPr>
              <w:t>31 (3.3%)</w:t>
            </w:r>
          </w:p>
        </w:tc>
      </w:tr>
      <w:tr w:rsidR="00A92EB8" w:rsidRPr="005869CA" w14:paraId="0380339A" w14:textId="77777777">
        <w:trPr>
          <w:trHeight w:val="726"/>
        </w:trPr>
        <w:tc>
          <w:tcPr>
            <w:tcW w:w="3919" w:type="dxa"/>
            <w:tcBorders>
              <w:top w:val="nil"/>
              <w:bottom w:val="nil"/>
            </w:tcBorders>
          </w:tcPr>
          <w:p w14:paraId="000000E7" w14:textId="77777777" w:rsidR="00A92EB8" w:rsidRPr="005869CA" w:rsidRDefault="00411C61">
            <w:pPr>
              <w:widowControl w:val="0"/>
              <w:rPr>
                <w:b/>
                <w:sz w:val="22"/>
                <w:szCs w:val="22"/>
                <w:lang w:val="en-US"/>
              </w:rPr>
            </w:pPr>
            <w:r w:rsidRPr="005869CA">
              <w:rPr>
                <w:b/>
                <w:sz w:val="22"/>
                <w:szCs w:val="22"/>
                <w:lang w:val="en-US"/>
              </w:rPr>
              <w:t>Number of Children</w:t>
            </w:r>
          </w:p>
          <w:p w14:paraId="000000E8" w14:textId="77777777" w:rsidR="00A92EB8" w:rsidRPr="005869CA" w:rsidRDefault="00411C61">
            <w:pPr>
              <w:widowControl w:val="0"/>
              <w:rPr>
                <w:sz w:val="22"/>
                <w:szCs w:val="22"/>
                <w:lang w:val="en-US"/>
              </w:rPr>
            </w:pPr>
            <w:r w:rsidRPr="005869CA">
              <w:rPr>
                <w:sz w:val="22"/>
                <w:szCs w:val="22"/>
                <w:lang w:val="en-US"/>
              </w:rPr>
              <w:t>No</w:t>
            </w:r>
          </w:p>
          <w:p w14:paraId="000000E9" w14:textId="77777777" w:rsidR="00A92EB8" w:rsidRPr="005869CA" w:rsidRDefault="00411C61">
            <w:pPr>
              <w:widowControl w:val="0"/>
              <w:rPr>
                <w:sz w:val="22"/>
                <w:szCs w:val="22"/>
                <w:lang w:val="en-US"/>
              </w:rPr>
            </w:pPr>
            <w:r w:rsidRPr="005869CA">
              <w:rPr>
                <w:sz w:val="22"/>
                <w:szCs w:val="22"/>
                <w:lang w:val="en-US"/>
              </w:rPr>
              <w:t>Yes</w:t>
            </w:r>
          </w:p>
        </w:tc>
        <w:tc>
          <w:tcPr>
            <w:tcW w:w="2682" w:type="dxa"/>
            <w:tcBorders>
              <w:top w:val="nil"/>
              <w:bottom w:val="nil"/>
            </w:tcBorders>
          </w:tcPr>
          <w:p w14:paraId="000000EA" w14:textId="77777777" w:rsidR="00A92EB8" w:rsidRPr="005869CA" w:rsidRDefault="00A92EB8">
            <w:pPr>
              <w:pBdr>
                <w:top w:val="nil"/>
                <w:left w:val="nil"/>
                <w:bottom w:val="nil"/>
                <w:right w:val="nil"/>
                <w:between w:val="nil"/>
              </w:pBdr>
              <w:jc w:val="center"/>
              <w:rPr>
                <w:color w:val="000000"/>
                <w:sz w:val="22"/>
                <w:szCs w:val="22"/>
                <w:lang w:val="en-US"/>
              </w:rPr>
            </w:pPr>
          </w:p>
          <w:p w14:paraId="000000EB" w14:textId="77777777" w:rsidR="00A92EB8" w:rsidRPr="005869CA" w:rsidRDefault="00411C61">
            <w:pPr>
              <w:pBdr>
                <w:top w:val="nil"/>
                <w:left w:val="nil"/>
                <w:bottom w:val="nil"/>
                <w:right w:val="nil"/>
                <w:between w:val="nil"/>
              </w:pBdr>
              <w:jc w:val="center"/>
              <w:rPr>
                <w:color w:val="000000"/>
                <w:sz w:val="22"/>
                <w:szCs w:val="22"/>
                <w:lang w:val="en-US"/>
              </w:rPr>
            </w:pPr>
            <w:r w:rsidRPr="005869CA">
              <w:rPr>
                <w:color w:val="000000"/>
                <w:sz w:val="22"/>
                <w:szCs w:val="22"/>
                <w:lang w:val="en-US"/>
              </w:rPr>
              <w:t>1002 (75.6%)</w:t>
            </w:r>
          </w:p>
          <w:p w14:paraId="000000EC" w14:textId="77777777" w:rsidR="00A92EB8" w:rsidRPr="005869CA" w:rsidRDefault="00411C61">
            <w:pPr>
              <w:pBdr>
                <w:top w:val="nil"/>
                <w:left w:val="nil"/>
                <w:bottom w:val="nil"/>
                <w:right w:val="nil"/>
                <w:between w:val="nil"/>
              </w:pBdr>
              <w:jc w:val="center"/>
              <w:rPr>
                <w:color w:val="000000"/>
                <w:sz w:val="22"/>
                <w:szCs w:val="22"/>
                <w:lang w:val="en-US"/>
              </w:rPr>
            </w:pPr>
            <w:r w:rsidRPr="005869CA">
              <w:rPr>
                <w:color w:val="000000"/>
                <w:sz w:val="22"/>
                <w:szCs w:val="22"/>
                <w:lang w:val="en-US"/>
              </w:rPr>
              <w:t>323 (24.4%)</w:t>
            </w:r>
          </w:p>
        </w:tc>
        <w:tc>
          <w:tcPr>
            <w:tcW w:w="2329" w:type="dxa"/>
            <w:tcBorders>
              <w:top w:val="nil"/>
              <w:bottom w:val="nil"/>
            </w:tcBorders>
          </w:tcPr>
          <w:p w14:paraId="000000ED" w14:textId="77777777" w:rsidR="00A92EB8" w:rsidRPr="005869CA" w:rsidRDefault="00A92EB8">
            <w:pPr>
              <w:pBdr>
                <w:top w:val="nil"/>
                <w:left w:val="nil"/>
                <w:bottom w:val="nil"/>
                <w:right w:val="nil"/>
                <w:between w:val="nil"/>
              </w:pBdr>
              <w:jc w:val="center"/>
              <w:rPr>
                <w:color w:val="000000"/>
                <w:sz w:val="22"/>
                <w:szCs w:val="22"/>
                <w:lang w:val="en-US"/>
              </w:rPr>
            </w:pPr>
          </w:p>
          <w:p w14:paraId="000000EE" w14:textId="77777777" w:rsidR="00A92EB8" w:rsidRPr="005869CA" w:rsidRDefault="00411C61">
            <w:pPr>
              <w:pBdr>
                <w:top w:val="nil"/>
                <w:left w:val="nil"/>
                <w:bottom w:val="nil"/>
                <w:right w:val="nil"/>
                <w:between w:val="nil"/>
              </w:pBdr>
              <w:jc w:val="center"/>
              <w:rPr>
                <w:color w:val="000000"/>
                <w:sz w:val="22"/>
                <w:szCs w:val="22"/>
                <w:lang w:val="en-US"/>
              </w:rPr>
            </w:pPr>
            <w:r w:rsidRPr="005869CA">
              <w:rPr>
                <w:color w:val="000000"/>
                <w:sz w:val="22"/>
                <w:szCs w:val="22"/>
                <w:lang w:val="en-US"/>
              </w:rPr>
              <w:t>766 (80.6%)</w:t>
            </w:r>
          </w:p>
          <w:p w14:paraId="000000EF" w14:textId="77777777" w:rsidR="00A92EB8" w:rsidRPr="005869CA" w:rsidRDefault="00411C61">
            <w:pPr>
              <w:pBdr>
                <w:top w:val="nil"/>
                <w:left w:val="nil"/>
                <w:bottom w:val="nil"/>
                <w:right w:val="nil"/>
                <w:between w:val="nil"/>
              </w:pBdr>
              <w:jc w:val="center"/>
              <w:rPr>
                <w:color w:val="000000"/>
                <w:sz w:val="22"/>
                <w:szCs w:val="22"/>
                <w:lang w:val="en-US"/>
              </w:rPr>
            </w:pPr>
            <w:r w:rsidRPr="005869CA">
              <w:rPr>
                <w:color w:val="000000"/>
                <w:sz w:val="22"/>
                <w:szCs w:val="22"/>
                <w:lang w:val="en-US"/>
              </w:rPr>
              <w:t>184 (19.4%)</w:t>
            </w:r>
          </w:p>
        </w:tc>
      </w:tr>
      <w:tr w:rsidR="00A92EB8" w:rsidRPr="005869CA" w14:paraId="68485D8E" w14:textId="77777777">
        <w:trPr>
          <w:trHeight w:val="1718"/>
        </w:trPr>
        <w:tc>
          <w:tcPr>
            <w:tcW w:w="3919" w:type="dxa"/>
            <w:tcBorders>
              <w:top w:val="nil"/>
              <w:bottom w:val="nil"/>
            </w:tcBorders>
          </w:tcPr>
          <w:p w14:paraId="000000F0" w14:textId="77777777" w:rsidR="00A92EB8" w:rsidRPr="005869CA" w:rsidRDefault="00411C61">
            <w:pPr>
              <w:widowControl w:val="0"/>
              <w:rPr>
                <w:b/>
                <w:sz w:val="22"/>
                <w:szCs w:val="22"/>
                <w:lang w:val="en-US"/>
              </w:rPr>
            </w:pPr>
            <w:r w:rsidRPr="005869CA">
              <w:rPr>
                <w:b/>
                <w:sz w:val="22"/>
                <w:szCs w:val="22"/>
                <w:lang w:val="en-US"/>
              </w:rPr>
              <w:t>Education</w:t>
            </w:r>
          </w:p>
          <w:p w14:paraId="000000F1" w14:textId="77777777" w:rsidR="00A92EB8" w:rsidRPr="005869CA" w:rsidRDefault="00411C61">
            <w:pPr>
              <w:rPr>
                <w:sz w:val="22"/>
                <w:szCs w:val="22"/>
                <w:lang w:val="en-US"/>
              </w:rPr>
            </w:pPr>
            <w:r w:rsidRPr="005869CA">
              <w:rPr>
                <w:sz w:val="22"/>
                <w:szCs w:val="22"/>
                <w:lang w:val="en-US"/>
              </w:rPr>
              <w:t>No qualifications</w:t>
            </w:r>
          </w:p>
          <w:p w14:paraId="000000F2" w14:textId="77777777" w:rsidR="00A92EB8" w:rsidRPr="005869CA" w:rsidRDefault="00411C61">
            <w:pPr>
              <w:rPr>
                <w:sz w:val="22"/>
                <w:szCs w:val="22"/>
                <w:lang w:val="en-US"/>
              </w:rPr>
            </w:pPr>
            <w:r w:rsidRPr="005869CA">
              <w:rPr>
                <w:sz w:val="22"/>
                <w:szCs w:val="22"/>
                <w:lang w:val="en-US"/>
              </w:rPr>
              <w:t>O-Level/GCSE or similar</w:t>
            </w:r>
          </w:p>
          <w:p w14:paraId="000000F3" w14:textId="77777777" w:rsidR="00A92EB8" w:rsidRPr="005869CA" w:rsidRDefault="00411C61">
            <w:pPr>
              <w:rPr>
                <w:sz w:val="22"/>
                <w:szCs w:val="22"/>
                <w:lang w:val="en-US"/>
              </w:rPr>
            </w:pPr>
            <w:r w:rsidRPr="005869CA">
              <w:rPr>
                <w:sz w:val="22"/>
                <w:szCs w:val="22"/>
                <w:lang w:val="en-US"/>
              </w:rPr>
              <w:t>A-Level or similar</w:t>
            </w:r>
          </w:p>
          <w:p w14:paraId="000000F4" w14:textId="77777777" w:rsidR="00A92EB8" w:rsidRPr="005869CA" w:rsidRDefault="00411C61">
            <w:pPr>
              <w:rPr>
                <w:sz w:val="22"/>
                <w:szCs w:val="22"/>
                <w:lang w:val="en-US"/>
              </w:rPr>
            </w:pPr>
            <w:r w:rsidRPr="005869CA">
              <w:rPr>
                <w:sz w:val="22"/>
                <w:szCs w:val="22"/>
                <w:lang w:val="en-US"/>
              </w:rPr>
              <w:t>Technical qualification</w:t>
            </w:r>
          </w:p>
          <w:p w14:paraId="000000F5" w14:textId="77777777" w:rsidR="00A92EB8" w:rsidRPr="005869CA" w:rsidRDefault="00411C61">
            <w:pPr>
              <w:rPr>
                <w:sz w:val="22"/>
                <w:szCs w:val="22"/>
                <w:lang w:val="en-US"/>
              </w:rPr>
            </w:pPr>
            <w:r w:rsidRPr="005869CA">
              <w:rPr>
                <w:sz w:val="22"/>
                <w:szCs w:val="22"/>
                <w:lang w:val="en-US"/>
              </w:rPr>
              <w:t>Undergraduate degree</w:t>
            </w:r>
          </w:p>
          <w:p w14:paraId="000000F6" w14:textId="77777777" w:rsidR="00A92EB8" w:rsidRPr="005869CA" w:rsidRDefault="00411C61">
            <w:pPr>
              <w:rPr>
                <w:sz w:val="22"/>
                <w:szCs w:val="22"/>
                <w:lang w:val="en-US"/>
              </w:rPr>
            </w:pPr>
            <w:r w:rsidRPr="005869CA">
              <w:rPr>
                <w:sz w:val="22"/>
                <w:szCs w:val="22"/>
                <w:lang w:val="en-US"/>
              </w:rPr>
              <w:t>Diploma</w:t>
            </w:r>
          </w:p>
          <w:p w14:paraId="000000F7" w14:textId="77777777" w:rsidR="00A92EB8" w:rsidRPr="005869CA" w:rsidRDefault="00411C61">
            <w:pPr>
              <w:rPr>
                <w:sz w:val="22"/>
                <w:szCs w:val="22"/>
                <w:lang w:val="en-US"/>
              </w:rPr>
            </w:pPr>
            <w:r w:rsidRPr="005869CA">
              <w:rPr>
                <w:sz w:val="22"/>
                <w:szCs w:val="22"/>
                <w:lang w:val="en-US"/>
              </w:rPr>
              <w:t>Postgraduate degree</w:t>
            </w:r>
          </w:p>
          <w:p w14:paraId="000000F8" w14:textId="77777777" w:rsidR="00A92EB8" w:rsidRPr="005869CA" w:rsidRDefault="00411C61">
            <w:pPr>
              <w:widowControl w:val="0"/>
              <w:rPr>
                <w:b/>
                <w:sz w:val="22"/>
                <w:szCs w:val="22"/>
                <w:lang w:val="en-US"/>
              </w:rPr>
            </w:pPr>
            <w:r w:rsidRPr="005869CA">
              <w:rPr>
                <w:sz w:val="22"/>
                <w:szCs w:val="22"/>
                <w:lang w:val="en-US"/>
              </w:rPr>
              <w:t>Other qualification</w:t>
            </w:r>
          </w:p>
        </w:tc>
        <w:tc>
          <w:tcPr>
            <w:tcW w:w="2682" w:type="dxa"/>
            <w:tcBorders>
              <w:top w:val="nil"/>
              <w:bottom w:val="nil"/>
            </w:tcBorders>
          </w:tcPr>
          <w:p w14:paraId="000000F9" w14:textId="77777777" w:rsidR="00A92EB8" w:rsidRPr="005869CA" w:rsidRDefault="00A92EB8">
            <w:pPr>
              <w:pBdr>
                <w:top w:val="nil"/>
                <w:left w:val="nil"/>
                <w:bottom w:val="nil"/>
                <w:right w:val="nil"/>
                <w:between w:val="nil"/>
              </w:pBdr>
              <w:jc w:val="center"/>
              <w:rPr>
                <w:color w:val="000000"/>
                <w:sz w:val="22"/>
                <w:szCs w:val="22"/>
                <w:lang w:val="en-US"/>
              </w:rPr>
            </w:pPr>
          </w:p>
          <w:p w14:paraId="000000FA" w14:textId="77777777" w:rsidR="00A92EB8" w:rsidRPr="005869CA" w:rsidRDefault="00411C61">
            <w:pPr>
              <w:pBdr>
                <w:top w:val="nil"/>
                <w:left w:val="nil"/>
                <w:bottom w:val="nil"/>
                <w:right w:val="nil"/>
                <w:between w:val="nil"/>
              </w:pBdr>
              <w:jc w:val="center"/>
              <w:rPr>
                <w:color w:val="000000"/>
                <w:sz w:val="22"/>
                <w:szCs w:val="22"/>
                <w:lang w:val="en-US"/>
              </w:rPr>
            </w:pPr>
            <w:r w:rsidRPr="005869CA">
              <w:rPr>
                <w:color w:val="000000"/>
                <w:sz w:val="22"/>
                <w:szCs w:val="22"/>
                <w:lang w:val="en-US"/>
              </w:rPr>
              <w:t>43 (3.2%)</w:t>
            </w:r>
          </w:p>
          <w:p w14:paraId="000000FB" w14:textId="77777777" w:rsidR="00A92EB8" w:rsidRPr="005869CA" w:rsidRDefault="00411C61">
            <w:pPr>
              <w:pBdr>
                <w:top w:val="nil"/>
                <w:left w:val="nil"/>
                <w:bottom w:val="nil"/>
                <w:right w:val="nil"/>
                <w:between w:val="nil"/>
              </w:pBdr>
              <w:jc w:val="center"/>
              <w:rPr>
                <w:color w:val="000000"/>
                <w:sz w:val="22"/>
                <w:szCs w:val="22"/>
                <w:lang w:val="en-US"/>
              </w:rPr>
            </w:pPr>
            <w:r w:rsidRPr="005869CA">
              <w:rPr>
                <w:color w:val="000000"/>
                <w:sz w:val="22"/>
                <w:szCs w:val="22"/>
                <w:lang w:val="en-US"/>
              </w:rPr>
              <w:t>251 (18.9%)</w:t>
            </w:r>
          </w:p>
          <w:p w14:paraId="000000FC" w14:textId="77777777" w:rsidR="00A92EB8" w:rsidRPr="005869CA" w:rsidRDefault="00411C61">
            <w:pPr>
              <w:pBdr>
                <w:top w:val="nil"/>
                <w:left w:val="nil"/>
                <w:bottom w:val="nil"/>
                <w:right w:val="nil"/>
                <w:between w:val="nil"/>
              </w:pBdr>
              <w:jc w:val="center"/>
              <w:rPr>
                <w:color w:val="000000"/>
                <w:sz w:val="22"/>
                <w:szCs w:val="22"/>
                <w:lang w:val="en-US"/>
              </w:rPr>
            </w:pPr>
            <w:r w:rsidRPr="005869CA">
              <w:rPr>
                <w:color w:val="000000"/>
                <w:sz w:val="22"/>
                <w:szCs w:val="22"/>
                <w:lang w:val="en-US"/>
              </w:rPr>
              <w:t>229 (17.3%)</w:t>
            </w:r>
          </w:p>
          <w:p w14:paraId="000000FD" w14:textId="77777777" w:rsidR="00A92EB8" w:rsidRPr="005869CA" w:rsidRDefault="00411C61">
            <w:pPr>
              <w:pBdr>
                <w:top w:val="nil"/>
                <w:left w:val="nil"/>
                <w:bottom w:val="nil"/>
                <w:right w:val="nil"/>
                <w:between w:val="nil"/>
              </w:pBdr>
              <w:jc w:val="center"/>
              <w:rPr>
                <w:color w:val="000000"/>
                <w:sz w:val="22"/>
                <w:szCs w:val="22"/>
                <w:lang w:val="en-US"/>
              </w:rPr>
            </w:pPr>
            <w:r w:rsidRPr="005869CA">
              <w:rPr>
                <w:color w:val="000000"/>
                <w:sz w:val="22"/>
                <w:szCs w:val="22"/>
                <w:lang w:val="en-US"/>
              </w:rPr>
              <w:t>129 (9.7%)</w:t>
            </w:r>
          </w:p>
          <w:p w14:paraId="000000FE" w14:textId="77777777" w:rsidR="00A92EB8" w:rsidRPr="005869CA" w:rsidRDefault="00411C61">
            <w:pPr>
              <w:pBdr>
                <w:top w:val="nil"/>
                <w:left w:val="nil"/>
                <w:bottom w:val="nil"/>
                <w:right w:val="nil"/>
                <w:between w:val="nil"/>
              </w:pBdr>
              <w:jc w:val="center"/>
              <w:rPr>
                <w:color w:val="000000"/>
                <w:sz w:val="22"/>
                <w:szCs w:val="22"/>
                <w:lang w:val="en-US"/>
              </w:rPr>
            </w:pPr>
            <w:r w:rsidRPr="005869CA">
              <w:rPr>
                <w:color w:val="000000"/>
                <w:sz w:val="22"/>
                <w:szCs w:val="22"/>
                <w:lang w:val="en-US"/>
              </w:rPr>
              <w:t>378 (28.5%)</w:t>
            </w:r>
          </w:p>
          <w:p w14:paraId="000000FF" w14:textId="77777777" w:rsidR="00A92EB8" w:rsidRPr="005869CA" w:rsidRDefault="00411C61">
            <w:pPr>
              <w:pBdr>
                <w:top w:val="nil"/>
                <w:left w:val="nil"/>
                <w:bottom w:val="nil"/>
                <w:right w:val="nil"/>
                <w:between w:val="nil"/>
              </w:pBdr>
              <w:jc w:val="center"/>
              <w:rPr>
                <w:color w:val="000000"/>
                <w:sz w:val="22"/>
                <w:szCs w:val="22"/>
                <w:lang w:val="en-US"/>
              </w:rPr>
            </w:pPr>
            <w:r w:rsidRPr="005869CA">
              <w:rPr>
                <w:color w:val="000000"/>
                <w:sz w:val="22"/>
                <w:szCs w:val="22"/>
                <w:lang w:val="en-US"/>
              </w:rPr>
              <w:t>72 (5.4%)</w:t>
            </w:r>
          </w:p>
          <w:p w14:paraId="00000100" w14:textId="77777777" w:rsidR="00A92EB8" w:rsidRPr="005869CA" w:rsidRDefault="00411C61">
            <w:pPr>
              <w:pBdr>
                <w:top w:val="nil"/>
                <w:left w:val="nil"/>
                <w:bottom w:val="nil"/>
                <w:right w:val="nil"/>
                <w:between w:val="nil"/>
              </w:pBdr>
              <w:jc w:val="center"/>
              <w:rPr>
                <w:color w:val="000000"/>
                <w:sz w:val="22"/>
                <w:szCs w:val="22"/>
                <w:lang w:val="en-US"/>
              </w:rPr>
            </w:pPr>
            <w:r w:rsidRPr="005869CA">
              <w:rPr>
                <w:color w:val="000000"/>
                <w:sz w:val="22"/>
                <w:szCs w:val="22"/>
                <w:lang w:val="en-US"/>
              </w:rPr>
              <w:t>208 15.7%)</w:t>
            </w:r>
          </w:p>
          <w:p w14:paraId="00000101" w14:textId="77777777" w:rsidR="00A92EB8" w:rsidRPr="005869CA" w:rsidRDefault="00411C61">
            <w:pPr>
              <w:pBdr>
                <w:top w:val="nil"/>
                <w:left w:val="nil"/>
                <w:bottom w:val="nil"/>
                <w:right w:val="nil"/>
                <w:between w:val="nil"/>
              </w:pBdr>
              <w:jc w:val="center"/>
              <w:rPr>
                <w:color w:val="000000"/>
                <w:sz w:val="22"/>
                <w:szCs w:val="22"/>
                <w:lang w:val="en-US"/>
              </w:rPr>
            </w:pPr>
            <w:r w:rsidRPr="005869CA">
              <w:rPr>
                <w:color w:val="000000"/>
                <w:sz w:val="22"/>
                <w:szCs w:val="22"/>
                <w:lang w:val="en-US"/>
              </w:rPr>
              <w:t>15 (1.1%)</w:t>
            </w:r>
          </w:p>
        </w:tc>
        <w:tc>
          <w:tcPr>
            <w:tcW w:w="2329" w:type="dxa"/>
            <w:tcBorders>
              <w:top w:val="nil"/>
              <w:bottom w:val="nil"/>
            </w:tcBorders>
          </w:tcPr>
          <w:p w14:paraId="00000102" w14:textId="77777777" w:rsidR="00A92EB8" w:rsidRPr="005869CA" w:rsidRDefault="00A92EB8">
            <w:pPr>
              <w:pBdr>
                <w:top w:val="nil"/>
                <w:left w:val="nil"/>
                <w:bottom w:val="nil"/>
                <w:right w:val="nil"/>
                <w:between w:val="nil"/>
              </w:pBdr>
              <w:jc w:val="center"/>
              <w:rPr>
                <w:color w:val="000000"/>
                <w:sz w:val="22"/>
                <w:szCs w:val="22"/>
                <w:lang w:val="en-US"/>
              </w:rPr>
            </w:pPr>
          </w:p>
          <w:p w14:paraId="00000103" w14:textId="77777777" w:rsidR="00A92EB8" w:rsidRPr="005869CA" w:rsidRDefault="00411C61">
            <w:pPr>
              <w:pBdr>
                <w:top w:val="nil"/>
                <w:left w:val="nil"/>
                <w:bottom w:val="nil"/>
                <w:right w:val="nil"/>
                <w:between w:val="nil"/>
              </w:pBdr>
              <w:jc w:val="center"/>
              <w:rPr>
                <w:color w:val="000000"/>
                <w:sz w:val="22"/>
                <w:szCs w:val="22"/>
                <w:lang w:val="en-US"/>
              </w:rPr>
            </w:pPr>
            <w:r w:rsidRPr="005869CA">
              <w:rPr>
                <w:color w:val="000000"/>
                <w:sz w:val="22"/>
                <w:szCs w:val="22"/>
                <w:lang w:val="en-US"/>
              </w:rPr>
              <w:t>32 (3.4%)</w:t>
            </w:r>
          </w:p>
          <w:p w14:paraId="00000104" w14:textId="77777777" w:rsidR="00A92EB8" w:rsidRPr="005869CA" w:rsidRDefault="00411C61">
            <w:pPr>
              <w:pBdr>
                <w:top w:val="nil"/>
                <w:left w:val="nil"/>
                <w:bottom w:val="nil"/>
                <w:right w:val="nil"/>
                <w:between w:val="nil"/>
              </w:pBdr>
              <w:jc w:val="center"/>
              <w:rPr>
                <w:color w:val="000000"/>
                <w:sz w:val="22"/>
                <w:szCs w:val="22"/>
                <w:lang w:val="en-US"/>
              </w:rPr>
            </w:pPr>
            <w:r w:rsidRPr="005869CA">
              <w:rPr>
                <w:color w:val="000000"/>
                <w:sz w:val="22"/>
                <w:szCs w:val="22"/>
                <w:lang w:val="en-US"/>
              </w:rPr>
              <w:t>160 (16.8%)</w:t>
            </w:r>
          </w:p>
          <w:p w14:paraId="00000105" w14:textId="77777777" w:rsidR="00A92EB8" w:rsidRPr="005869CA" w:rsidRDefault="00411C61">
            <w:pPr>
              <w:pBdr>
                <w:top w:val="nil"/>
                <w:left w:val="nil"/>
                <w:bottom w:val="nil"/>
                <w:right w:val="nil"/>
                <w:between w:val="nil"/>
              </w:pBdr>
              <w:jc w:val="center"/>
              <w:rPr>
                <w:color w:val="000000"/>
                <w:sz w:val="22"/>
                <w:szCs w:val="22"/>
                <w:lang w:val="en-US"/>
              </w:rPr>
            </w:pPr>
            <w:r w:rsidRPr="005869CA">
              <w:rPr>
                <w:color w:val="000000"/>
                <w:sz w:val="22"/>
                <w:szCs w:val="22"/>
                <w:lang w:val="en-US"/>
              </w:rPr>
              <w:t>148 (15.6%)</w:t>
            </w:r>
          </w:p>
          <w:p w14:paraId="00000106" w14:textId="77777777" w:rsidR="00A92EB8" w:rsidRPr="005869CA" w:rsidRDefault="00411C61">
            <w:pPr>
              <w:pBdr>
                <w:top w:val="nil"/>
                <w:left w:val="nil"/>
                <w:bottom w:val="nil"/>
                <w:right w:val="nil"/>
                <w:between w:val="nil"/>
              </w:pBdr>
              <w:jc w:val="center"/>
              <w:rPr>
                <w:color w:val="000000"/>
                <w:sz w:val="22"/>
                <w:szCs w:val="22"/>
                <w:lang w:val="en-US"/>
              </w:rPr>
            </w:pPr>
            <w:r w:rsidRPr="005869CA">
              <w:rPr>
                <w:color w:val="000000"/>
                <w:sz w:val="22"/>
                <w:szCs w:val="22"/>
                <w:lang w:val="en-US"/>
              </w:rPr>
              <w:t>97 (10.2%)</w:t>
            </w:r>
          </w:p>
          <w:p w14:paraId="00000107" w14:textId="77777777" w:rsidR="00A92EB8" w:rsidRPr="005869CA" w:rsidRDefault="00411C61">
            <w:pPr>
              <w:pBdr>
                <w:top w:val="nil"/>
                <w:left w:val="nil"/>
                <w:bottom w:val="nil"/>
                <w:right w:val="nil"/>
                <w:between w:val="nil"/>
              </w:pBdr>
              <w:jc w:val="center"/>
              <w:rPr>
                <w:color w:val="000000"/>
                <w:sz w:val="22"/>
                <w:szCs w:val="22"/>
                <w:lang w:val="en-US"/>
              </w:rPr>
            </w:pPr>
            <w:r w:rsidRPr="005869CA">
              <w:rPr>
                <w:color w:val="000000"/>
                <w:sz w:val="22"/>
                <w:szCs w:val="22"/>
                <w:lang w:val="en-US"/>
              </w:rPr>
              <w:t>304 (32.0%)</w:t>
            </w:r>
          </w:p>
          <w:p w14:paraId="00000108" w14:textId="77777777" w:rsidR="00A92EB8" w:rsidRPr="005869CA" w:rsidRDefault="00411C61">
            <w:pPr>
              <w:pBdr>
                <w:top w:val="nil"/>
                <w:left w:val="nil"/>
                <w:bottom w:val="nil"/>
                <w:right w:val="nil"/>
                <w:between w:val="nil"/>
              </w:pBdr>
              <w:jc w:val="center"/>
              <w:rPr>
                <w:color w:val="000000"/>
                <w:sz w:val="22"/>
                <w:szCs w:val="22"/>
                <w:lang w:val="en-US"/>
              </w:rPr>
            </w:pPr>
            <w:r w:rsidRPr="005869CA">
              <w:rPr>
                <w:color w:val="000000"/>
                <w:sz w:val="22"/>
                <w:szCs w:val="22"/>
                <w:lang w:val="en-US"/>
              </w:rPr>
              <w:t>46 (4.8%)</w:t>
            </w:r>
          </w:p>
          <w:p w14:paraId="00000109" w14:textId="77777777" w:rsidR="00A92EB8" w:rsidRPr="005869CA" w:rsidRDefault="00411C61">
            <w:pPr>
              <w:pBdr>
                <w:top w:val="nil"/>
                <w:left w:val="nil"/>
                <w:bottom w:val="nil"/>
                <w:right w:val="nil"/>
                <w:between w:val="nil"/>
              </w:pBdr>
              <w:jc w:val="center"/>
              <w:rPr>
                <w:color w:val="000000"/>
                <w:sz w:val="22"/>
                <w:szCs w:val="22"/>
                <w:lang w:val="en-US"/>
              </w:rPr>
            </w:pPr>
            <w:r w:rsidRPr="005869CA">
              <w:rPr>
                <w:color w:val="000000"/>
                <w:sz w:val="22"/>
                <w:szCs w:val="22"/>
                <w:lang w:val="en-US"/>
              </w:rPr>
              <w:t>150 (15.8%)</w:t>
            </w:r>
          </w:p>
          <w:p w14:paraId="0000010A" w14:textId="77777777" w:rsidR="00A92EB8" w:rsidRPr="005869CA" w:rsidRDefault="00411C61">
            <w:pPr>
              <w:pBdr>
                <w:top w:val="nil"/>
                <w:left w:val="nil"/>
                <w:bottom w:val="nil"/>
                <w:right w:val="nil"/>
                <w:between w:val="nil"/>
              </w:pBdr>
              <w:jc w:val="center"/>
              <w:rPr>
                <w:color w:val="000000"/>
                <w:sz w:val="22"/>
                <w:szCs w:val="22"/>
                <w:lang w:val="en-US"/>
              </w:rPr>
            </w:pPr>
            <w:r w:rsidRPr="005869CA">
              <w:rPr>
                <w:color w:val="000000"/>
                <w:sz w:val="22"/>
                <w:szCs w:val="22"/>
                <w:lang w:val="en-US"/>
              </w:rPr>
              <w:t>13 (1.4%)</w:t>
            </w:r>
          </w:p>
        </w:tc>
      </w:tr>
      <w:tr w:rsidR="00A92EB8" w:rsidRPr="005869CA" w14:paraId="3B39FCC8" w14:textId="77777777">
        <w:trPr>
          <w:trHeight w:val="1858"/>
        </w:trPr>
        <w:tc>
          <w:tcPr>
            <w:tcW w:w="3919" w:type="dxa"/>
            <w:tcBorders>
              <w:top w:val="nil"/>
              <w:bottom w:val="nil"/>
            </w:tcBorders>
          </w:tcPr>
          <w:p w14:paraId="0000010B" w14:textId="77777777" w:rsidR="00A92EB8" w:rsidRPr="005869CA" w:rsidRDefault="00411C61">
            <w:pPr>
              <w:widowControl w:val="0"/>
              <w:rPr>
                <w:b/>
                <w:sz w:val="22"/>
                <w:szCs w:val="22"/>
                <w:lang w:val="en-US"/>
              </w:rPr>
            </w:pPr>
            <w:r w:rsidRPr="005869CA">
              <w:rPr>
                <w:b/>
                <w:sz w:val="22"/>
                <w:szCs w:val="22"/>
                <w:lang w:val="en-US"/>
              </w:rPr>
              <w:t>Race/Ethnicity</w:t>
            </w:r>
          </w:p>
          <w:p w14:paraId="0000010C" w14:textId="77777777" w:rsidR="00A92EB8" w:rsidRPr="005869CA" w:rsidRDefault="00411C61">
            <w:pPr>
              <w:rPr>
                <w:sz w:val="22"/>
                <w:szCs w:val="22"/>
                <w:lang w:val="en-US"/>
              </w:rPr>
            </w:pPr>
            <w:r w:rsidRPr="005869CA">
              <w:rPr>
                <w:sz w:val="22"/>
                <w:szCs w:val="22"/>
                <w:lang w:val="en-US"/>
              </w:rPr>
              <w:t>White British/Irish</w:t>
            </w:r>
          </w:p>
          <w:p w14:paraId="0000010D" w14:textId="77777777" w:rsidR="00A92EB8" w:rsidRPr="005869CA" w:rsidRDefault="00411C61">
            <w:pPr>
              <w:rPr>
                <w:sz w:val="22"/>
                <w:szCs w:val="22"/>
                <w:lang w:val="en-US"/>
              </w:rPr>
            </w:pPr>
            <w:r w:rsidRPr="005869CA">
              <w:rPr>
                <w:sz w:val="22"/>
                <w:szCs w:val="22"/>
                <w:lang w:val="en-US"/>
              </w:rPr>
              <w:t>White non-British/Irish</w:t>
            </w:r>
          </w:p>
          <w:p w14:paraId="0000010E" w14:textId="77777777" w:rsidR="00A92EB8" w:rsidRPr="005869CA" w:rsidRDefault="00411C61">
            <w:pPr>
              <w:rPr>
                <w:sz w:val="22"/>
                <w:szCs w:val="22"/>
                <w:lang w:val="en-US"/>
              </w:rPr>
            </w:pPr>
            <w:r w:rsidRPr="005869CA">
              <w:rPr>
                <w:sz w:val="22"/>
                <w:szCs w:val="22"/>
                <w:lang w:val="en-US"/>
              </w:rPr>
              <w:t>South Asian</w:t>
            </w:r>
          </w:p>
          <w:p w14:paraId="0000010F" w14:textId="77777777" w:rsidR="00A92EB8" w:rsidRPr="005869CA" w:rsidRDefault="00411C61">
            <w:pPr>
              <w:rPr>
                <w:sz w:val="22"/>
                <w:szCs w:val="22"/>
                <w:lang w:val="en-US"/>
              </w:rPr>
            </w:pPr>
            <w:r w:rsidRPr="005869CA">
              <w:rPr>
                <w:sz w:val="22"/>
                <w:szCs w:val="22"/>
                <w:lang w:val="en-US"/>
              </w:rPr>
              <w:t>Chinese</w:t>
            </w:r>
          </w:p>
          <w:p w14:paraId="00000110" w14:textId="77777777" w:rsidR="00A92EB8" w:rsidRPr="005869CA" w:rsidRDefault="00411C61">
            <w:pPr>
              <w:rPr>
                <w:sz w:val="22"/>
                <w:szCs w:val="22"/>
                <w:lang w:val="en-US"/>
              </w:rPr>
            </w:pPr>
            <w:r w:rsidRPr="005869CA">
              <w:rPr>
                <w:sz w:val="22"/>
                <w:szCs w:val="22"/>
                <w:lang w:val="en-US"/>
              </w:rPr>
              <w:t>Caribbean or African</w:t>
            </w:r>
          </w:p>
          <w:p w14:paraId="00000111" w14:textId="77777777" w:rsidR="00A92EB8" w:rsidRPr="005869CA" w:rsidRDefault="00411C61">
            <w:pPr>
              <w:rPr>
                <w:sz w:val="22"/>
                <w:szCs w:val="22"/>
                <w:lang w:val="en-US"/>
              </w:rPr>
            </w:pPr>
            <w:r w:rsidRPr="005869CA">
              <w:rPr>
                <w:sz w:val="22"/>
                <w:szCs w:val="22"/>
                <w:lang w:val="en-US"/>
              </w:rPr>
              <w:t>Arab</w:t>
            </w:r>
          </w:p>
          <w:p w14:paraId="00000112" w14:textId="77777777" w:rsidR="00A92EB8" w:rsidRPr="005869CA" w:rsidRDefault="00411C61">
            <w:pPr>
              <w:widowControl w:val="0"/>
              <w:rPr>
                <w:b/>
                <w:sz w:val="22"/>
                <w:szCs w:val="22"/>
                <w:lang w:val="en-US"/>
              </w:rPr>
            </w:pPr>
            <w:r w:rsidRPr="005869CA">
              <w:rPr>
                <w:sz w:val="22"/>
                <w:szCs w:val="22"/>
                <w:lang w:val="en-US"/>
              </w:rPr>
              <w:t>Other</w:t>
            </w:r>
          </w:p>
        </w:tc>
        <w:tc>
          <w:tcPr>
            <w:tcW w:w="2682" w:type="dxa"/>
            <w:tcBorders>
              <w:top w:val="nil"/>
              <w:bottom w:val="nil"/>
            </w:tcBorders>
          </w:tcPr>
          <w:p w14:paraId="00000113" w14:textId="77777777" w:rsidR="00A92EB8" w:rsidRPr="005869CA" w:rsidRDefault="00A92EB8">
            <w:pPr>
              <w:pBdr>
                <w:top w:val="nil"/>
                <w:left w:val="nil"/>
                <w:bottom w:val="nil"/>
                <w:right w:val="nil"/>
                <w:between w:val="nil"/>
              </w:pBdr>
              <w:jc w:val="center"/>
              <w:rPr>
                <w:color w:val="000000"/>
                <w:sz w:val="22"/>
                <w:szCs w:val="22"/>
                <w:lang w:val="en-US"/>
              </w:rPr>
            </w:pPr>
          </w:p>
          <w:p w14:paraId="00000114" w14:textId="77777777" w:rsidR="00A92EB8" w:rsidRPr="005869CA" w:rsidRDefault="00411C61">
            <w:pPr>
              <w:pBdr>
                <w:top w:val="nil"/>
                <w:left w:val="nil"/>
                <w:bottom w:val="nil"/>
                <w:right w:val="nil"/>
                <w:between w:val="nil"/>
              </w:pBdr>
              <w:jc w:val="center"/>
              <w:rPr>
                <w:color w:val="000000"/>
                <w:sz w:val="22"/>
                <w:szCs w:val="22"/>
                <w:lang w:val="en-US"/>
              </w:rPr>
            </w:pPr>
            <w:r w:rsidRPr="005869CA">
              <w:rPr>
                <w:color w:val="000000"/>
                <w:sz w:val="22"/>
                <w:szCs w:val="22"/>
                <w:lang w:val="en-US"/>
              </w:rPr>
              <w:t>1168 (88.2%)</w:t>
            </w:r>
          </w:p>
          <w:p w14:paraId="00000115" w14:textId="77777777" w:rsidR="00A92EB8" w:rsidRPr="005869CA" w:rsidRDefault="00411C61">
            <w:pPr>
              <w:pBdr>
                <w:top w:val="nil"/>
                <w:left w:val="nil"/>
                <w:bottom w:val="nil"/>
                <w:right w:val="nil"/>
                <w:between w:val="nil"/>
              </w:pBdr>
              <w:jc w:val="center"/>
              <w:rPr>
                <w:color w:val="000000"/>
                <w:sz w:val="22"/>
                <w:szCs w:val="22"/>
                <w:lang w:val="en-US"/>
              </w:rPr>
            </w:pPr>
            <w:r w:rsidRPr="005869CA">
              <w:rPr>
                <w:color w:val="000000"/>
                <w:sz w:val="22"/>
                <w:szCs w:val="22"/>
                <w:lang w:val="en-US"/>
              </w:rPr>
              <w:t>64 (4.8%)</w:t>
            </w:r>
          </w:p>
          <w:p w14:paraId="00000116" w14:textId="77777777" w:rsidR="00A92EB8" w:rsidRPr="005869CA" w:rsidRDefault="00411C61">
            <w:pPr>
              <w:pBdr>
                <w:top w:val="nil"/>
                <w:left w:val="nil"/>
                <w:bottom w:val="nil"/>
                <w:right w:val="nil"/>
                <w:between w:val="nil"/>
              </w:pBdr>
              <w:jc w:val="center"/>
              <w:rPr>
                <w:color w:val="000000"/>
                <w:sz w:val="22"/>
                <w:szCs w:val="22"/>
                <w:lang w:val="en-US"/>
              </w:rPr>
            </w:pPr>
            <w:r w:rsidRPr="005869CA">
              <w:rPr>
                <w:color w:val="000000"/>
                <w:sz w:val="22"/>
                <w:szCs w:val="22"/>
                <w:lang w:val="en-US"/>
              </w:rPr>
              <w:t>43 (3.2%)</w:t>
            </w:r>
          </w:p>
          <w:p w14:paraId="00000117" w14:textId="77777777" w:rsidR="00A92EB8" w:rsidRPr="005869CA" w:rsidRDefault="00411C61">
            <w:pPr>
              <w:pBdr>
                <w:top w:val="nil"/>
                <w:left w:val="nil"/>
                <w:bottom w:val="nil"/>
                <w:right w:val="nil"/>
                <w:between w:val="nil"/>
              </w:pBdr>
              <w:jc w:val="center"/>
              <w:rPr>
                <w:color w:val="000000"/>
                <w:sz w:val="22"/>
                <w:szCs w:val="22"/>
                <w:lang w:val="en-US"/>
              </w:rPr>
            </w:pPr>
            <w:r w:rsidRPr="005869CA">
              <w:rPr>
                <w:color w:val="000000"/>
                <w:sz w:val="22"/>
                <w:szCs w:val="22"/>
                <w:lang w:val="en-US"/>
              </w:rPr>
              <w:t>15 (1.1%)</w:t>
            </w:r>
          </w:p>
          <w:p w14:paraId="00000118" w14:textId="77777777" w:rsidR="00A92EB8" w:rsidRPr="005869CA" w:rsidRDefault="00411C61">
            <w:pPr>
              <w:pBdr>
                <w:top w:val="nil"/>
                <w:left w:val="nil"/>
                <w:bottom w:val="nil"/>
                <w:right w:val="nil"/>
                <w:between w:val="nil"/>
              </w:pBdr>
              <w:jc w:val="center"/>
              <w:rPr>
                <w:color w:val="000000"/>
                <w:sz w:val="22"/>
                <w:szCs w:val="22"/>
                <w:lang w:val="en-US"/>
              </w:rPr>
            </w:pPr>
            <w:r w:rsidRPr="005869CA">
              <w:rPr>
                <w:color w:val="000000"/>
                <w:sz w:val="22"/>
                <w:szCs w:val="22"/>
                <w:lang w:val="en-US"/>
              </w:rPr>
              <w:t>13 (1.0%</w:t>
            </w:r>
          </w:p>
          <w:p w14:paraId="00000119" w14:textId="77777777" w:rsidR="00A92EB8" w:rsidRPr="005869CA" w:rsidRDefault="00411C61">
            <w:pPr>
              <w:pBdr>
                <w:top w:val="nil"/>
                <w:left w:val="nil"/>
                <w:bottom w:val="nil"/>
                <w:right w:val="nil"/>
                <w:between w:val="nil"/>
              </w:pBdr>
              <w:jc w:val="center"/>
              <w:rPr>
                <w:color w:val="000000"/>
                <w:sz w:val="22"/>
                <w:szCs w:val="22"/>
                <w:lang w:val="en-US"/>
              </w:rPr>
            </w:pPr>
            <w:r w:rsidRPr="005869CA">
              <w:rPr>
                <w:color w:val="000000"/>
                <w:sz w:val="22"/>
                <w:szCs w:val="22"/>
                <w:lang w:val="en-US"/>
              </w:rPr>
              <w:t>3 (0.2%)</w:t>
            </w:r>
          </w:p>
          <w:p w14:paraId="0000011A" w14:textId="77777777" w:rsidR="00A92EB8" w:rsidRPr="005869CA" w:rsidRDefault="00411C61">
            <w:pPr>
              <w:pBdr>
                <w:top w:val="nil"/>
                <w:left w:val="nil"/>
                <w:bottom w:val="nil"/>
                <w:right w:val="nil"/>
                <w:between w:val="nil"/>
              </w:pBdr>
              <w:jc w:val="center"/>
              <w:rPr>
                <w:color w:val="000000"/>
                <w:sz w:val="22"/>
                <w:szCs w:val="22"/>
                <w:lang w:val="en-US"/>
              </w:rPr>
            </w:pPr>
            <w:r w:rsidRPr="005869CA">
              <w:rPr>
                <w:color w:val="000000"/>
                <w:sz w:val="22"/>
                <w:szCs w:val="22"/>
                <w:lang w:val="en-US"/>
              </w:rPr>
              <w:t>19 (1.4%)</w:t>
            </w:r>
          </w:p>
        </w:tc>
        <w:tc>
          <w:tcPr>
            <w:tcW w:w="2329" w:type="dxa"/>
            <w:tcBorders>
              <w:top w:val="nil"/>
              <w:bottom w:val="nil"/>
            </w:tcBorders>
          </w:tcPr>
          <w:p w14:paraId="0000011B" w14:textId="77777777" w:rsidR="00A92EB8" w:rsidRPr="005869CA" w:rsidRDefault="00A92EB8">
            <w:pPr>
              <w:pBdr>
                <w:top w:val="nil"/>
                <w:left w:val="nil"/>
                <w:bottom w:val="nil"/>
                <w:right w:val="nil"/>
                <w:between w:val="nil"/>
              </w:pBdr>
              <w:jc w:val="center"/>
              <w:rPr>
                <w:color w:val="000000"/>
                <w:sz w:val="22"/>
                <w:szCs w:val="22"/>
                <w:lang w:val="en-US"/>
              </w:rPr>
            </w:pPr>
          </w:p>
          <w:p w14:paraId="0000011C" w14:textId="77777777" w:rsidR="00A92EB8" w:rsidRPr="005869CA" w:rsidRDefault="00411C61">
            <w:pPr>
              <w:pBdr>
                <w:top w:val="nil"/>
                <w:left w:val="nil"/>
                <w:bottom w:val="nil"/>
                <w:right w:val="nil"/>
                <w:between w:val="nil"/>
              </w:pBdr>
              <w:jc w:val="center"/>
              <w:rPr>
                <w:color w:val="000000"/>
                <w:sz w:val="22"/>
                <w:szCs w:val="22"/>
                <w:lang w:val="en-US"/>
              </w:rPr>
            </w:pPr>
            <w:r w:rsidRPr="005869CA">
              <w:rPr>
                <w:color w:val="000000"/>
                <w:sz w:val="22"/>
                <w:szCs w:val="22"/>
                <w:lang w:val="en-US"/>
              </w:rPr>
              <w:t>861 (90.6%)</w:t>
            </w:r>
          </w:p>
          <w:p w14:paraId="0000011D" w14:textId="77777777" w:rsidR="00A92EB8" w:rsidRPr="005869CA" w:rsidRDefault="00411C61">
            <w:pPr>
              <w:pBdr>
                <w:top w:val="nil"/>
                <w:left w:val="nil"/>
                <w:bottom w:val="nil"/>
                <w:right w:val="nil"/>
                <w:between w:val="nil"/>
              </w:pBdr>
              <w:jc w:val="center"/>
              <w:rPr>
                <w:color w:val="000000"/>
                <w:sz w:val="22"/>
                <w:szCs w:val="22"/>
                <w:lang w:val="en-US"/>
              </w:rPr>
            </w:pPr>
            <w:r w:rsidRPr="005869CA">
              <w:rPr>
                <w:color w:val="000000"/>
                <w:sz w:val="22"/>
                <w:szCs w:val="22"/>
                <w:lang w:val="en-US"/>
              </w:rPr>
              <w:t>34 (3.6%)</w:t>
            </w:r>
          </w:p>
          <w:p w14:paraId="0000011E" w14:textId="77777777" w:rsidR="00A92EB8" w:rsidRPr="005869CA" w:rsidRDefault="00411C61">
            <w:pPr>
              <w:pBdr>
                <w:top w:val="nil"/>
                <w:left w:val="nil"/>
                <w:bottom w:val="nil"/>
                <w:right w:val="nil"/>
                <w:between w:val="nil"/>
              </w:pBdr>
              <w:jc w:val="center"/>
              <w:rPr>
                <w:color w:val="000000"/>
                <w:sz w:val="22"/>
                <w:szCs w:val="22"/>
                <w:lang w:val="en-US"/>
              </w:rPr>
            </w:pPr>
            <w:r w:rsidRPr="005869CA">
              <w:rPr>
                <w:color w:val="000000"/>
                <w:sz w:val="22"/>
                <w:szCs w:val="22"/>
                <w:lang w:val="en-US"/>
              </w:rPr>
              <w:t>24 (2.5%)</w:t>
            </w:r>
          </w:p>
          <w:p w14:paraId="0000011F" w14:textId="77777777" w:rsidR="00A92EB8" w:rsidRPr="005869CA" w:rsidRDefault="00411C61">
            <w:pPr>
              <w:pBdr>
                <w:top w:val="nil"/>
                <w:left w:val="nil"/>
                <w:bottom w:val="nil"/>
                <w:right w:val="nil"/>
                <w:between w:val="nil"/>
              </w:pBdr>
              <w:jc w:val="center"/>
              <w:rPr>
                <w:color w:val="000000"/>
                <w:sz w:val="22"/>
                <w:szCs w:val="22"/>
                <w:lang w:val="en-US"/>
              </w:rPr>
            </w:pPr>
            <w:r w:rsidRPr="005869CA">
              <w:rPr>
                <w:color w:val="000000"/>
                <w:sz w:val="22"/>
                <w:szCs w:val="22"/>
                <w:lang w:val="en-US"/>
              </w:rPr>
              <w:t>9 (0.9%)</w:t>
            </w:r>
          </w:p>
          <w:p w14:paraId="00000120" w14:textId="77777777" w:rsidR="00A92EB8" w:rsidRPr="005869CA" w:rsidRDefault="00411C61">
            <w:pPr>
              <w:pBdr>
                <w:top w:val="nil"/>
                <w:left w:val="nil"/>
                <w:bottom w:val="nil"/>
                <w:right w:val="nil"/>
                <w:between w:val="nil"/>
              </w:pBdr>
              <w:jc w:val="center"/>
              <w:rPr>
                <w:color w:val="000000"/>
                <w:sz w:val="22"/>
                <w:szCs w:val="22"/>
                <w:lang w:val="en-US"/>
              </w:rPr>
            </w:pPr>
            <w:r w:rsidRPr="005869CA">
              <w:rPr>
                <w:color w:val="000000"/>
                <w:sz w:val="22"/>
                <w:szCs w:val="22"/>
                <w:lang w:val="en-US"/>
              </w:rPr>
              <w:t>9 (0.9%)</w:t>
            </w:r>
          </w:p>
          <w:p w14:paraId="00000121" w14:textId="77777777" w:rsidR="00A92EB8" w:rsidRPr="005869CA" w:rsidRDefault="00411C61">
            <w:pPr>
              <w:pBdr>
                <w:top w:val="nil"/>
                <w:left w:val="nil"/>
                <w:bottom w:val="nil"/>
                <w:right w:val="nil"/>
                <w:between w:val="nil"/>
              </w:pBdr>
              <w:jc w:val="center"/>
              <w:rPr>
                <w:color w:val="000000"/>
                <w:sz w:val="22"/>
                <w:szCs w:val="22"/>
                <w:lang w:val="en-US"/>
              </w:rPr>
            </w:pPr>
            <w:r w:rsidRPr="005869CA">
              <w:rPr>
                <w:color w:val="000000"/>
                <w:sz w:val="22"/>
                <w:szCs w:val="22"/>
                <w:lang w:val="en-US"/>
              </w:rPr>
              <w:t>1 (0.1%)</w:t>
            </w:r>
          </w:p>
          <w:p w14:paraId="00000122" w14:textId="77777777" w:rsidR="00A92EB8" w:rsidRPr="005869CA" w:rsidRDefault="00411C61">
            <w:pPr>
              <w:pBdr>
                <w:top w:val="nil"/>
                <w:left w:val="nil"/>
                <w:bottom w:val="nil"/>
                <w:right w:val="nil"/>
                <w:between w:val="nil"/>
              </w:pBdr>
              <w:jc w:val="center"/>
              <w:rPr>
                <w:color w:val="000000"/>
                <w:sz w:val="22"/>
                <w:szCs w:val="22"/>
                <w:lang w:val="en-US"/>
              </w:rPr>
            </w:pPr>
            <w:r w:rsidRPr="005869CA">
              <w:rPr>
                <w:color w:val="000000"/>
                <w:sz w:val="22"/>
                <w:szCs w:val="22"/>
                <w:lang w:val="en-US"/>
              </w:rPr>
              <w:t>11 (1.2%)</w:t>
            </w:r>
          </w:p>
        </w:tc>
      </w:tr>
      <w:tr w:rsidR="00A92EB8" w:rsidRPr="005869CA" w14:paraId="3AA36996" w14:textId="77777777">
        <w:trPr>
          <w:trHeight w:val="2334"/>
        </w:trPr>
        <w:tc>
          <w:tcPr>
            <w:tcW w:w="3919" w:type="dxa"/>
            <w:tcBorders>
              <w:top w:val="nil"/>
              <w:bottom w:val="nil"/>
            </w:tcBorders>
          </w:tcPr>
          <w:p w14:paraId="00000123" w14:textId="77777777" w:rsidR="00A92EB8" w:rsidRPr="005869CA" w:rsidRDefault="00411C61">
            <w:pPr>
              <w:widowControl w:val="0"/>
              <w:rPr>
                <w:b/>
                <w:sz w:val="22"/>
                <w:szCs w:val="22"/>
                <w:lang w:val="en-US"/>
              </w:rPr>
            </w:pPr>
            <w:r w:rsidRPr="005869CA">
              <w:rPr>
                <w:b/>
                <w:sz w:val="22"/>
                <w:szCs w:val="22"/>
                <w:lang w:val="en-US"/>
              </w:rPr>
              <w:lastRenderedPageBreak/>
              <w:t>Religion</w:t>
            </w:r>
          </w:p>
          <w:p w14:paraId="00000124" w14:textId="77777777" w:rsidR="00A92EB8" w:rsidRPr="005869CA" w:rsidRDefault="00411C61">
            <w:pPr>
              <w:rPr>
                <w:sz w:val="22"/>
                <w:szCs w:val="22"/>
                <w:lang w:val="en-US"/>
              </w:rPr>
            </w:pPr>
            <w:r w:rsidRPr="005869CA">
              <w:rPr>
                <w:sz w:val="22"/>
                <w:szCs w:val="22"/>
                <w:lang w:val="en-US"/>
              </w:rPr>
              <w:t xml:space="preserve">Christian </w:t>
            </w:r>
          </w:p>
          <w:p w14:paraId="00000125" w14:textId="77777777" w:rsidR="00A92EB8" w:rsidRPr="005869CA" w:rsidRDefault="00411C61">
            <w:pPr>
              <w:rPr>
                <w:sz w:val="22"/>
                <w:szCs w:val="22"/>
                <w:lang w:val="en-US"/>
              </w:rPr>
            </w:pPr>
            <w:r w:rsidRPr="005869CA">
              <w:rPr>
                <w:sz w:val="22"/>
                <w:szCs w:val="22"/>
                <w:lang w:val="en-US"/>
              </w:rPr>
              <w:t>Muslim</w:t>
            </w:r>
          </w:p>
          <w:p w14:paraId="00000126" w14:textId="77777777" w:rsidR="00A92EB8" w:rsidRPr="005869CA" w:rsidRDefault="00411C61">
            <w:pPr>
              <w:rPr>
                <w:sz w:val="22"/>
                <w:szCs w:val="22"/>
                <w:lang w:val="en-US"/>
              </w:rPr>
            </w:pPr>
            <w:r w:rsidRPr="005869CA">
              <w:rPr>
                <w:sz w:val="22"/>
                <w:szCs w:val="22"/>
                <w:lang w:val="en-US"/>
              </w:rPr>
              <w:t>Jewish</w:t>
            </w:r>
          </w:p>
          <w:p w14:paraId="00000127" w14:textId="77777777" w:rsidR="00A92EB8" w:rsidRPr="005869CA" w:rsidRDefault="00411C61">
            <w:pPr>
              <w:rPr>
                <w:sz w:val="22"/>
                <w:szCs w:val="22"/>
                <w:lang w:val="en-US"/>
              </w:rPr>
            </w:pPr>
            <w:r w:rsidRPr="005869CA">
              <w:rPr>
                <w:sz w:val="22"/>
                <w:szCs w:val="22"/>
                <w:lang w:val="en-US"/>
              </w:rPr>
              <w:t>Hindu</w:t>
            </w:r>
          </w:p>
          <w:p w14:paraId="00000128" w14:textId="77777777" w:rsidR="00A92EB8" w:rsidRPr="005869CA" w:rsidRDefault="00411C61">
            <w:pPr>
              <w:rPr>
                <w:sz w:val="22"/>
                <w:szCs w:val="22"/>
                <w:lang w:val="en-US"/>
              </w:rPr>
            </w:pPr>
            <w:r w:rsidRPr="005869CA">
              <w:rPr>
                <w:sz w:val="22"/>
                <w:szCs w:val="22"/>
                <w:lang w:val="en-US"/>
              </w:rPr>
              <w:t>Buddhist</w:t>
            </w:r>
          </w:p>
          <w:p w14:paraId="00000129" w14:textId="77777777" w:rsidR="00A92EB8" w:rsidRPr="005869CA" w:rsidRDefault="00411C61">
            <w:pPr>
              <w:rPr>
                <w:sz w:val="22"/>
                <w:szCs w:val="22"/>
                <w:lang w:val="en-US"/>
              </w:rPr>
            </w:pPr>
            <w:r w:rsidRPr="005869CA">
              <w:rPr>
                <w:sz w:val="22"/>
                <w:szCs w:val="22"/>
                <w:lang w:val="en-US"/>
              </w:rPr>
              <w:t>Sikh</w:t>
            </w:r>
          </w:p>
          <w:p w14:paraId="0000012A" w14:textId="77777777" w:rsidR="00A92EB8" w:rsidRPr="005869CA" w:rsidRDefault="00411C61">
            <w:pPr>
              <w:rPr>
                <w:sz w:val="22"/>
                <w:szCs w:val="22"/>
                <w:lang w:val="en-US"/>
              </w:rPr>
            </w:pPr>
            <w:r w:rsidRPr="005869CA">
              <w:rPr>
                <w:sz w:val="22"/>
                <w:szCs w:val="22"/>
                <w:lang w:val="en-US"/>
              </w:rPr>
              <w:t>Atheist</w:t>
            </w:r>
          </w:p>
          <w:p w14:paraId="0000012B" w14:textId="77777777" w:rsidR="00A92EB8" w:rsidRPr="005869CA" w:rsidRDefault="00411C61">
            <w:pPr>
              <w:rPr>
                <w:sz w:val="22"/>
                <w:szCs w:val="22"/>
                <w:lang w:val="en-US"/>
              </w:rPr>
            </w:pPr>
            <w:r w:rsidRPr="005869CA">
              <w:rPr>
                <w:sz w:val="22"/>
                <w:szCs w:val="22"/>
                <w:lang w:val="en-US"/>
              </w:rPr>
              <w:t>Agnostic</w:t>
            </w:r>
          </w:p>
          <w:p w14:paraId="0000012C" w14:textId="77777777" w:rsidR="00A92EB8" w:rsidRPr="005869CA" w:rsidRDefault="00411C61">
            <w:pPr>
              <w:widowControl w:val="0"/>
              <w:rPr>
                <w:b/>
                <w:sz w:val="22"/>
                <w:szCs w:val="22"/>
                <w:lang w:val="en-US"/>
              </w:rPr>
            </w:pPr>
            <w:r w:rsidRPr="005869CA">
              <w:rPr>
                <w:sz w:val="22"/>
                <w:szCs w:val="22"/>
                <w:lang w:val="en-US"/>
              </w:rPr>
              <w:t>Other religious conviction.</w:t>
            </w:r>
          </w:p>
        </w:tc>
        <w:tc>
          <w:tcPr>
            <w:tcW w:w="2682" w:type="dxa"/>
            <w:tcBorders>
              <w:top w:val="nil"/>
              <w:bottom w:val="nil"/>
            </w:tcBorders>
          </w:tcPr>
          <w:p w14:paraId="0000012D" w14:textId="77777777" w:rsidR="00A92EB8" w:rsidRPr="005869CA" w:rsidRDefault="00A92EB8">
            <w:pPr>
              <w:pBdr>
                <w:top w:val="nil"/>
                <w:left w:val="nil"/>
                <w:bottom w:val="nil"/>
                <w:right w:val="nil"/>
                <w:between w:val="nil"/>
              </w:pBdr>
              <w:jc w:val="center"/>
              <w:rPr>
                <w:color w:val="000000"/>
                <w:sz w:val="22"/>
                <w:szCs w:val="22"/>
                <w:lang w:val="en-US"/>
              </w:rPr>
            </w:pPr>
          </w:p>
          <w:p w14:paraId="0000012E" w14:textId="77777777" w:rsidR="00A92EB8" w:rsidRPr="005869CA" w:rsidRDefault="00411C61">
            <w:pPr>
              <w:pBdr>
                <w:top w:val="nil"/>
                <w:left w:val="nil"/>
                <w:bottom w:val="nil"/>
                <w:right w:val="nil"/>
                <w:between w:val="nil"/>
              </w:pBdr>
              <w:jc w:val="center"/>
              <w:rPr>
                <w:color w:val="000000"/>
                <w:sz w:val="22"/>
                <w:szCs w:val="22"/>
                <w:lang w:val="en-US"/>
              </w:rPr>
            </w:pPr>
            <w:r w:rsidRPr="005869CA">
              <w:rPr>
                <w:color w:val="000000"/>
                <w:sz w:val="22"/>
                <w:szCs w:val="22"/>
                <w:lang w:val="en-US"/>
              </w:rPr>
              <w:t>697 (52.6%)</w:t>
            </w:r>
          </w:p>
          <w:p w14:paraId="0000012F" w14:textId="77777777" w:rsidR="00A92EB8" w:rsidRPr="005869CA" w:rsidRDefault="00411C61">
            <w:pPr>
              <w:pBdr>
                <w:top w:val="nil"/>
                <w:left w:val="nil"/>
                <w:bottom w:val="nil"/>
                <w:right w:val="nil"/>
                <w:between w:val="nil"/>
              </w:pBdr>
              <w:jc w:val="center"/>
              <w:rPr>
                <w:color w:val="000000"/>
                <w:sz w:val="22"/>
                <w:szCs w:val="22"/>
                <w:lang w:val="en-US"/>
              </w:rPr>
            </w:pPr>
            <w:r w:rsidRPr="005869CA">
              <w:rPr>
                <w:color w:val="000000"/>
                <w:sz w:val="22"/>
                <w:szCs w:val="22"/>
                <w:lang w:val="en-US"/>
              </w:rPr>
              <w:t>34 (2.6%)</w:t>
            </w:r>
          </w:p>
          <w:p w14:paraId="00000130" w14:textId="77777777" w:rsidR="00A92EB8" w:rsidRPr="005869CA" w:rsidRDefault="00411C61">
            <w:pPr>
              <w:pBdr>
                <w:top w:val="nil"/>
                <w:left w:val="nil"/>
                <w:bottom w:val="nil"/>
                <w:right w:val="nil"/>
                <w:between w:val="nil"/>
              </w:pBdr>
              <w:jc w:val="center"/>
              <w:rPr>
                <w:color w:val="000000"/>
                <w:sz w:val="22"/>
                <w:szCs w:val="22"/>
                <w:lang w:val="en-US"/>
              </w:rPr>
            </w:pPr>
            <w:r w:rsidRPr="005869CA">
              <w:rPr>
                <w:color w:val="000000"/>
                <w:sz w:val="22"/>
                <w:szCs w:val="22"/>
                <w:lang w:val="en-US"/>
              </w:rPr>
              <w:t>10 (0.8%)</w:t>
            </w:r>
          </w:p>
          <w:p w14:paraId="00000131" w14:textId="77777777" w:rsidR="00A92EB8" w:rsidRPr="005869CA" w:rsidRDefault="00411C61">
            <w:pPr>
              <w:pBdr>
                <w:top w:val="nil"/>
                <w:left w:val="nil"/>
                <w:bottom w:val="nil"/>
                <w:right w:val="nil"/>
                <w:between w:val="nil"/>
              </w:pBdr>
              <w:jc w:val="center"/>
              <w:rPr>
                <w:color w:val="000000"/>
                <w:sz w:val="22"/>
                <w:szCs w:val="22"/>
                <w:lang w:val="en-US"/>
              </w:rPr>
            </w:pPr>
            <w:r w:rsidRPr="005869CA">
              <w:rPr>
                <w:color w:val="000000"/>
                <w:sz w:val="22"/>
                <w:szCs w:val="22"/>
                <w:lang w:val="en-US"/>
              </w:rPr>
              <w:t>7 (0.5%)</w:t>
            </w:r>
          </w:p>
          <w:p w14:paraId="00000132" w14:textId="77777777" w:rsidR="00A92EB8" w:rsidRPr="005869CA" w:rsidRDefault="00411C61">
            <w:pPr>
              <w:pBdr>
                <w:top w:val="nil"/>
                <w:left w:val="nil"/>
                <w:bottom w:val="nil"/>
                <w:right w:val="nil"/>
                <w:between w:val="nil"/>
              </w:pBdr>
              <w:jc w:val="center"/>
              <w:rPr>
                <w:color w:val="000000"/>
                <w:sz w:val="22"/>
                <w:szCs w:val="22"/>
                <w:lang w:val="en-US"/>
              </w:rPr>
            </w:pPr>
            <w:r w:rsidRPr="005869CA">
              <w:rPr>
                <w:color w:val="000000"/>
                <w:sz w:val="22"/>
                <w:szCs w:val="22"/>
                <w:lang w:val="en-US"/>
              </w:rPr>
              <w:t>11 (0.8%)</w:t>
            </w:r>
          </w:p>
          <w:p w14:paraId="00000133" w14:textId="77777777" w:rsidR="00A92EB8" w:rsidRPr="005869CA" w:rsidRDefault="00411C61">
            <w:pPr>
              <w:pBdr>
                <w:top w:val="nil"/>
                <w:left w:val="nil"/>
                <w:bottom w:val="nil"/>
                <w:right w:val="nil"/>
                <w:between w:val="nil"/>
              </w:pBdr>
              <w:jc w:val="center"/>
              <w:rPr>
                <w:color w:val="000000"/>
                <w:sz w:val="22"/>
                <w:szCs w:val="22"/>
                <w:lang w:val="en-US"/>
              </w:rPr>
            </w:pPr>
            <w:r w:rsidRPr="005869CA">
              <w:rPr>
                <w:color w:val="000000"/>
                <w:sz w:val="22"/>
                <w:szCs w:val="22"/>
                <w:lang w:val="en-US"/>
              </w:rPr>
              <w:t>7 (0.5%)</w:t>
            </w:r>
          </w:p>
          <w:p w14:paraId="00000134" w14:textId="77777777" w:rsidR="00A92EB8" w:rsidRPr="005869CA" w:rsidRDefault="00411C61">
            <w:pPr>
              <w:pBdr>
                <w:top w:val="nil"/>
                <w:left w:val="nil"/>
                <w:bottom w:val="nil"/>
                <w:right w:val="nil"/>
                <w:between w:val="nil"/>
              </w:pBdr>
              <w:jc w:val="center"/>
              <w:rPr>
                <w:color w:val="000000"/>
                <w:sz w:val="22"/>
                <w:szCs w:val="22"/>
                <w:lang w:val="en-US"/>
              </w:rPr>
            </w:pPr>
            <w:r w:rsidRPr="005869CA">
              <w:rPr>
                <w:color w:val="000000"/>
                <w:sz w:val="22"/>
                <w:szCs w:val="22"/>
                <w:lang w:val="en-US"/>
              </w:rPr>
              <w:t>318 (24.0%)</w:t>
            </w:r>
          </w:p>
          <w:p w14:paraId="00000135" w14:textId="77777777" w:rsidR="00A92EB8" w:rsidRPr="005869CA" w:rsidRDefault="00411C61">
            <w:pPr>
              <w:pBdr>
                <w:top w:val="nil"/>
                <w:left w:val="nil"/>
                <w:bottom w:val="nil"/>
                <w:right w:val="nil"/>
                <w:between w:val="nil"/>
              </w:pBdr>
              <w:jc w:val="center"/>
              <w:rPr>
                <w:color w:val="000000"/>
                <w:sz w:val="22"/>
                <w:szCs w:val="22"/>
                <w:lang w:val="en-US"/>
              </w:rPr>
            </w:pPr>
            <w:r w:rsidRPr="005869CA">
              <w:rPr>
                <w:color w:val="000000"/>
                <w:sz w:val="22"/>
                <w:szCs w:val="22"/>
                <w:lang w:val="en-US"/>
              </w:rPr>
              <w:t>163 (12.3%)</w:t>
            </w:r>
          </w:p>
          <w:p w14:paraId="00000136" w14:textId="77777777" w:rsidR="00A92EB8" w:rsidRPr="005869CA" w:rsidRDefault="00411C61">
            <w:pPr>
              <w:pBdr>
                <w:top w:val="nil"/>
                <w:left w:val="nil"/>
                <w:bottom w:val="nil"/>
                <w:right w:val="nil"/>
                <w:between w:val="nil"/>
              </w:pBdr>
              <w:jc w:val="center"/>
              <w:rPr>
                <w:color w:val="000000"/>
                <w:sz w:val="22"/>
                <w:szCs w:val="22"/>
                <w:lang w:val="en-US"/>
              </w:rPr>
            </w:pPr>
            <w:r w:rsidRPr="005869CA">
              <w:rPr>
                <w:color w:val="000000"/>
                <w:sz w:val="22"/>
                <w:szCs w:val="22"/>
                <w:lang w:val="en-US"/>
              </w:rPr>
              <w:t>78 (5.9%)</w:t>
            </w:r>
          </w:p>
        </w:tc>
        <w:tc>
          <w:tcPr>
            <w:tcW w:w="2329" w:type="dxa"/>
            <w:tcBorders>
              <w:top w:val="nil"/>
              <w:bottom w:val="nil"/>
            </w:tcBorders>
          </w:tcPr>
          <w:p w14:paraId="00000137" w14:textId="77777777" w:rsidR="00A92EB8" w:rsidRPr="005869CA" w:rsidRDefault="00A92EB8">
            <w:pPr>
              <w:pBdr>
                <w:top w:val="nil"/>
                <w:left w:val="nil"/>
                <w:bottom w:val="nil"/>
                <w:right w:val="nil"/>
                <w:between w:val="nil"/>
              </w:pBdr>
              <w:jc w:val="center"/>
              <w:rPr>
                <w:color w:val="000000"/>
                <w:sz w:val="22"/>
                <w:szCs w:val="22"/>
                <w:lang w:val="en-US"/>
              </w:rPr>
            </w:pPr>
          </w:p>
          <w:p w14:paraId="00000138" w14:textId="77777777" w:rsidR="00A92EB8" w:rsidRPr="005869CA" w:rsidRDefault="00411C61">
            <w:pPr>
              <w:pBdr>
                <w:top w:val="nil"/>
                <w:left w:val="nil"/>
                <w:bottom w:val="nil"/>
                <w:right w:val="nil"/>
                <w:between w:val="nil"/>
              </w:pBdr>
              <w:jc w:val="center"/>
              <w:rPr>
                <w:color w:val="000000"/>
                <w:sz w:val="22"/>
                <w:szCs w:val="22"/>
                <w:lang w:val="en-US"/>
              </w:rPr>
            </w:pPr>
            <w:r w:rsidRPr="005869CA">
              <w:rPr>
                <w:color w:val="000000"/>
                <w:sz w:val="22"/>
                <w:szCs w:val="22"/>
                <w:lang w:val="en-US"/>
              </w:rPr>
              <w:t>513 (54.0%)</w:t>
            </w:r>
          </w:p>
          <w:p w14:paraId="00000139" w14:textId="77777777" w:rsidR="00A92EB8" w:rsidRPr="005869CA" w:rsidRDefault="00411C61">
            <w:pPr>
              <w:pBdr>
                <w:top w:val="nil"/>
                <w:left w:val="nil"/>
                <w:bottom w:val="nil"/>
                <w:right w:val="nil"/>
                <w:between w:val="nil"/>
              </w:pBdr>
              <w:jc w:val="center"/>
              <w:rPr>
                <w:color w:val="000000"/>
                <w:sz w:val="22"/>
                <w:szCs w:val="22"/>
                <w:lang w:val="en-US"/>
              </w:rPr>
            </w:pPr>
            <w:r w:rsidRPr="005869CA">
              <w:rPr>
                <w:color w:val="000000"/>
                <w:sz w:val="22"/>
                <w:szCs w:val="22"/>
                <w:lang w:val="en-US"/>
              </w:rPr>
              <w:t>16 (1.7%)</w:t>
            </w:r>
          </w:p>
          <w:p w14:paraId="0000013A" w14:textId="77777777" w:rsidR="00A92EB8" w:rsidRPr="005869CA" w:rsidRDefault="00411C61">
            <w:pPr>
              <w:pBdr>
                <w:top w:val="nil"/>
                <w:left w:val="nil"/>
                <w:bottom w:val="nil"/>
                <w:right w:val="nil"/>
                <w:between w:val="nil"/>
              </w:pBdr>
              <w:jc w:val="center"/>
              <w:rPr>
                <w:color w:val="000000"/>
                <w:sz w:val="22"/>
                <w:szCs w:val="22"/>
                <w:lang w:val="en-US"/>
              </w:rPr>
            </w:pPr>
            <w:r w:rsidRPr="005869CA">
              <w:rPr>
                <w:color w:val="000000"/>
                <w:sz w:val="22"/>
                <w:szCs w:val="22"/>
                <w:lang w:val="en-US"/>
              </w:rPr>
              <w:t>8 (0.8%)</w:t>
            </w:r>
          </w:p>
          <w:p w14:paraId="0000013B" w14:textId="77777777" w:rsidR="00A92EB8" w:rsidRPr="005869CA" w:rsidRDefault="00411C61">
            <w:pPr>
              <w:pBdr>
                <w:top w:val="nil"/>
                <w:left w:val="nil"/>
                <w:bottom w:val="nil"/>
                <w:right w:val="nil"/>
                <w:between w:val="nil"/>
              </w:pBdr>
              <w:jc w:val="center"/>
              <w:rPr>
                <w:color w:val="000000"/>
                <w:sz w:val="22"/>
                <w:szCs w:val="22"/>
                <w:lang w:val="en-US"/>
              </w:rPr>
            </w:pPr>
            <w:r w:rsidRPr="005869CA">
              <w:rPr>
                <w:color w:val="000000"/>
                <w:sz w:val="22"/>
                <w:szCs w:val="22"/>
                <w:lang w:val="en-US"/>
              </w:rPr>
              <w:t>4 (0.4%)</w:t>
            </w:r>
          </w:p>
          <w:p w14:paraId="0000013C" w14:textId="77777777" w:rsidR="00A92EB8" w:rsidRPr="005869CA" w:rsidRDefault="00411C61">
            <w:pPr>
              <w:pBdr>
                <w:top w:val="nil"/>
                <w:left w:val="nil"/>
                <w:bottom w:val="nil"/>
                <w:right w:val="nil"/>
                <w:between w:val="nil"/>
              </w:pBdr>
              <w:jc w:val="center"/>
              <w:rPr>
                <w:color w:val="000000"/>
                <w:sz w:val="22"/>
                <w:szCs w:val="22"/>
                <w:lang w:val="en-US"/>
              </w:rPr>
            </w:pPr>
            <w:r w:rsidRPr="005869CA">
              <w:rPr>
                <w:color w:val="000000"/>
                <w:sz w:val="22"/>
                <w:szCs w:val="22"/>
                <w:lang w:val="en-US"/>
              </w:rPr>
              <w:t>7 (0.7%)</w:t>
            </w:r>
          </w:p>
          <w:p w14:paraId="0000013D" w14:textId="77777777" w:rsidR="00A92EB8" w:rsidRPr="005869CA" w:rsidRDefault="00411C61">
            <w:pPr>
              <w:pBdr>
                <w:top w:val="nil"/>
                <w:left w:val="nil"/>
                <w:bottom w:val="nil"/>
                <w:right w:val="nil"/>
                <w:between w:val="nil"/>
              </w:pBdr>
              <w:jc w:val="center"/>
              <w:rPr>
                <w:color w:val="000000"/>
                <w:sz w:val="22"/>
                <w:szCs w:val="22"/>
                <w:lang w:val="en-US"/>
              </w:rPr>
            </w:pPr>
            <w:r w:rsidRPr="005869CA">
              <w:rPr>
                <w:color w:val="000000"/>
                <w:sz w:val="22"/>
                <w:szCs w:val="22"/>
                <w:lang w:val="en-US"/>
              </w:rPr>
              <w:t>5 (0.5%)</w:t>
            </w:r>
          </w:p>
          <w:p w14:paraId="0000013E" w14:textId="77777777" w:rsidR="00A92EB8" w:rsidRPr="005869CA" w:rsidRDefault="00411C61">
            <w:pPr>
              <w:pBdr>
                <w:top w:val="nil"/>
                <w:left w:val="nil"/>
                <w:bottom w:val="nil"/>
                <w:right w:val="nil"/>
                <w:between w:val="nil"/>
              </w:pBdr>
              <w:jc w:val="center"/>
              <w:rPr>
                <w:color w:val="000000"/>
                <w:sz w:val="22"/>
                <w:szCs w:val="22"/>
                <w:lang w:val="en-US"/>
              </w:rPr>
            </w:pPr>
            <w:r w:rsidRPr="005869CA">
              <w:rPr>
                <w:color w:val="000000"/>
                <w:sz w:val="22"/>
                <w:szCs w:val="22"/>
                <w:lang w:val="en-US"/>
              </w:rPr>
              <w:t>228 (24.0%)</w:t>
            </w:r>
          </w:p>
          <w:p w14:paraId="0000013F" w14:textId="77777777" w:rsidR="00A92EB8" w:rsidRPr="005869CA" w:rsidRDefault="00411C61">
            <w:pPr>
              <w:pBdr>
                <w:top w:val="nil"/>
                <w:left w:val="nil"/>
                <w:bottom w:val="nil"/>
                <w:right w:val="nil"/>
                <w:between w:val="nil"/>
              </w:pBdr>
              <w:jc w:val="center"/>
              <w:rPr>
                <w:color w:val="000000"/>
                <w:sz w:val="22"/>
                <w:szCs w:val="22"/>
                <w:lang w:val="en-US"/>
              </w:rPr>
            </w:pPr>
            <w:r w:rsidRPr="005869CA">
              <w:rPr>
                <w:color w:val="000000"/>
                <w:sz w:val="22"/>
                <w:szCs w:val="22"/>
                <w:lang w:val="en-US"/>
              </w:rPr>
              <w:t>122 (12.8%)</w:t>
            </w:r>
          </w:p>
          <w:p w14:paraId="00000140" w14:textId="77777777" w:rsidR="00A92EB8" w:rsidRPr="005869CA" w:rsidRDefault="00411C61">
            <w:pPr>
              <w:pBdr>
                <w:top w:val="nil"/>
                <w:left w:val="nil"/>
                <w:bottom w:val="nil"/>
                <w:right w:val="nil"/>
                <w:between w:val="nil"/>
              </w:pBdr>
              <w:jc w:val="center"/>
              <w:rPr>
                <w:color w:val="000000"/>
                <w:sz w:val="22"/>
                <w:szCs w:val="22"/>
                <w:lang w:val="en-US"/>
              </w:rPr>
            </w:pPr>
            <w:r w:rsidRPr="005869CA">
              <w:rPr>
                <w:color w:val="000000"/>
                <w:sz w:val="22"/>
                <w:szCs w:val="22"/>
                <w:lang w:val="en-US"/>
              </w:rPr>
              <w:t>47 (4.9%)</w:t>
            </w:r>
          </w:p>
        </w:tc>
      </w:tr>
      <w:tr w:rsidR="00A92EB8" w:rsidRPr="005869CA" w14:paraId="2A166CAC" w14:textId="77777777">
        <w:trPr>
          <w:trHeight w:val="1984"/>
        </w:trPr>
        <w:tc>
          <w:tcPr>
            <w:tcW w:w="3919" w:type="dxa"/>
            <w:tcBorders>
              <w:top w:val="nil"/>
              <w:bottom w:val="nil"/>
            </w:tcBorders>
          </w:tcPr>
          <w:p w14:paraId="00000141" w14:textId="77777777" w:rsidR="00A92EB8" w:rsidRPr="005869CA" w:rsidRDefault="00411C61">
            <w:pPr>
              <w:rPr>
                <w:b/>
                <w:sz w:val="22"/>
                <w:szCs w:val="22"/>
                <w:lang w:val="en-US"/>
              </w:rPr>
            </w:pPr>
            <w:r w:rsidRPr="005869CA">
              <w:rPr>
                <w:b/>
                <w:sz w:val="22"/>
                <w:szCs w:val="22"/>
                <w:lang w:val="en-US"/>
              </w:rPr>
              <w:t>Employment</w:t>
            </w:r>
          </w:p>
          <w:p w14:paraId="00000142" w14:textId="77777777" w:rsidR="00A92EB8" w:rsidRPr="005869CA" w:rsidRDefault="00411C61">
            <w:pPr>
              <w:rPr>
                <w:sz w:val="22"/>
                <w:szCs w:val="22"/>
                <w:lang w:val="en-US"/>
              </w:rPr>
            </w:pPr>
            <w:r w:rsidRPr="005869CA">
              <w:rPr>
                <w:sz w:val="22"/>
                <w:szCs w:val="22"/>
                <w:lang w:val="en-US"/>
              </w:rPr>
              <w:t>Full time</w:t>
            </w:r>
          </w:p>
          <w:p w14:paraId="00000143" w14:textId="77777777" w:rsidR="00A92EB8" w:rsidRPr="005869CA" w:rsidRDefault="00411C61">
            <w:pPr>
              <w:rPr>
                <w:sz w:val="22"/>
                <w:szCs w:val="22"/>
                <w:lang w:val="en-US"/>
              </w:rPr>
            </w:pPr>
            <w:r w:rsidRPr="005869CA">
              <w:rPr>
                <w:sz w:val="22"/>
                <w:szCs w:val="22"/>
                <w:lang w:val="en-US"/>
              </w:rPr>
              <w:t>Part time (regular hours)</w:t>
            </w:r>
          </w:p>
          <w:p w14:paraId="00000144" w14:textId="77777777" w:rsidR="00A92EB8" w:rsidRPr="005869CA" w:rsidRDefault="00411C61">
            <w:pPr>
              <w:rPr>
                <w:sz w:val="22"/>
                <w:szCs w:val="22"/>
                <w:lang w:val="en-US"/>
              </w:rPr>
            </w:pPr>
            <w:r w:rsidRPr="005869CA">
              <w:rPr>
                <w:sz w:val="22"/>
                <w:szCs w:val="22"/>
                <w:lang w:val="en-US"/>
              </w:rPr>
              <w:t>Zero hours contract</w:t>
            </w:r>
          </w:p>
          <w:p w14:paraId="00000145" w14:textId="77777777" w:rsidR="00A92EB8" w:rsidRPr="005869CA" w:rsidRDefault="00411C61">
            <w:pPr>
              <w:rPr>
                <w:sz w:val="22"/>
                <w:szCs w:val="22"/>
                <w:lang w:val="en-US"/>
              </w:rPr>
            </w:pPr>
            <w:r w:rsidRPr="005869CA">
              <w:rPr>
                <w:sz w:val="22"/>
                <w:szCs w:val="22"/>
                <w:lang w:val="en-US"/>
              </w:rPr>
              <w:t>Other flexible work practice</w:t>
            </w:r>
          </w:p>
          <w:p w14:paraId="00000146" w14:textId="77777777" w:rsidR="00A92EB8" w:rsidRPr="005869CA" w:rsidRDefault="00411C61">
            <w:pPr>
              <w:rPr>
                <w:sz w:val="22"/>
                <w:szCs w:val="22"/>
                <w:lang w:val="en-US"/>
              </w:rPr>
            </w:pPr>
            <w:r w:rsidRPr="005869CA">
              <w:rPr>
                <w:sz w:val="22"/>
                <w:szCs w:val="22"/>
                <w:lang w:val="en-US"/>
              </w:rPr>
              <w:t>Unemployed (because of coronavirus)</w:t>
            </w:r>
          </w:p>
          <w:p w14:paraId="00000147" w14:textId="77777777" w:rsidR="00A92EB8" w:rsidRPr="005869CA" w:rsidRDefault="00411C61">
            <w:pPr>
              <w:rPr>
                <w:sz w:val="22"/>
                <w:szCs w:val="22"/>
                <w:lang w:val="en-US"/>
              </w:rPr>
            </w:pPr>
            <w:r w:rsidRPr="005869CA">
              <w:rPr>
                <w:sz w:val="22"/>
                <w:szCs w:val="22"/>
                <w:lang w:val="en-US"/>
              </w:rPr>
              <w:t>Unemployed (not because of coronavirus)</w:t>
            </w:r>
          </w:p>
          <w:p w14:paraId="00000148" w14:textId="77777777" w:rsidR="00A92EB8" w:rsidRPr="005869CA" w:rsidRDefault="00411C61">
            <w:pPr>
              <w:rPr>
                <w:sz w:val="22"/>
                <w:szCs w:val="22"/>
                <w:lang w:val="en-US"/>
              </w:rPr>
            </w:pPr>
            <w:r w:rsidRPr="005869CA">
              <w:rPr>
                <w:sz w:val="22"/>
                <w:szCs w:val="22"/>
                <w:lang w:val="en-US"/>
              </w:rPr>
              <w:t>Retired</w:t>
            </w:r>
          </w:p>
        </w:tc>
        <w:tc>
          <w:tcPr>
            <w:tcW w:w="2682" w:type="dxa"/>
            <w:tcBorders>
              <w:top w:val="nil"/>
              <w:bottom w:val="nil"/>
            </w:tcBorders>
          </w:tcPr>
          <w:p w14:paraId="00000149" w14:textId="77777777" w:rsidR="00A92EB8" w:rsidRPr="005869CA" w:rsidRDefault="00A92EB8">
            <w:pPr>
              <w:pBdr>
                <w:top w:val="nil"/>
                <w:left w:val="nil"/>
                <w:bottom w:val="nil"/>
                <w:right w:val="nil"/>
                <w:between w:val="nil"/>
              </w:pBdr>
              <w:jc w:val="center"/>
              <w:rPr>
                <w:color w:val="000000"/>
                <w:sz w:val="22"/>
                <w:szCs w:val="22"/>
                <w:lang w:val="en-US"/>
              </w:rPr>
            </w:pPr>
          </w:p>
          <w:p w14:paraId="0000014A" w14:textId="77777777" w:rsidR="00A92EB8" w:rsidRPr="005869CA" w:rsidRDefault="00411C61">
            <w:pPr>
              <w:pBdr>
                <w:top w:val="nil"/>
                <w:left w:val="nil"/>
                <w:bottom w:val="nil"/>
                <w:right w:val="nil"/>
                <w:between w:val="nil"/>
              </w:pBdr>
              <w:jc w:val="center"/>
              <w:rPr>
                <w:color w:val="000000"/>
                <w:sz w:val="22"/>
                <w:szCs w:val="22"/>
                <w:lang w:val="en-US"/>
              </w:rPr>
            </w:pPr>
            <w:r w:rsidRPr="005869CA">
              <w:rPr>
                <w:color w:val="000000"/>
                <w:sz w:val="22"/>
                <w:szCs w:val="22"/>
                <w:lang w:val="en-US"/>
              </w:rPr>
              <w:t>720 (54.3%)</w:t>
            </w:r>
          </w:p>
          <w:p w14:paraId="0000014B" w14:textId="77777777" w:rsidR="00A92EB8" w:rsidRPr="005869CA" w:rsidRDefault="00411C61">
            <w:pPr>
              <w:pBdr>
                <w:top w:val="nil"/>
                <w:left w:val="nil"/>
                <w:bottom w:val="nil"/>
                <w:right w:val="nil"/>
                <w:between w:val="nil"/>
              </w:pBdr>
              <w:jc w:val="center"/>
              <w:rPr>
                <w:color w:val="000000"/>
                <w:sz w:val="22"/>
                <w:szCs w:val="22"/>
                <w:lang w:val="en-US"/>
              </w:rPr>
            </w:pPr>
            <w:r w:rsidRPr="005869CA">
              <w:rPr>
                <w:color w:val="000000"/>
                <w:sz w:val="22"/>
                <w:szCs w:val="22"/>
                <w:lang w:val="en-US"/>
              </w:rPr>
              <w:t>152 (11.5%)</w:t>
            </w:r>
          </w:p>
          <w:p w14:paraId="0000014C" w14:textId="77777777" w:rsidR="00A92EB8" w:rsidRPr="005869CA" w:rsidRDefault="00411C61">
            <w:pPr>
              <w:pBdr>
                <w:top w:val="nil"/>
                <w:left w:val="nil"/>
                <w:bottom w:val="nil"/>
                <w:right w:val="nil"/>
                <w:between w:val="nil"/>
              </w:pBdr>
              <w:jc w:val="center"/>
              <w:rPr>
                <w:color w:val="000000"/>
                <w:sz w:val="22"/>
                <w:szCs w:val="22"/>
                <w:lang w:val="en-US"/>
              </w:rPr>
            </w:pPr>
            <w:r w:rsidRPr="005869CA">
              <w:rPr>
                <w:color w:val="000000"/>
                <w:sz w:val="22"/>
                <w:szCs w:val="22"/>
                <w:lang w:val="en-US"/>
              </w:rPr>
              <w:t>23 (1.7%)</w:t>
            </w:r>
          </w:p>
          <w:p w14:paraId="0000014D" w14:textId="77777777" w:rsidR="00A92EB8" w:rsidRPr="005869CA" w:rsidRDefault="00411C61">
            <w:pPr>
              <w:pBdr>
                <w:top w:val="nil"/>
                <w:left w:val="nil"/>
                <w:bottom w:val="nil"/>
                <w:right w:val="nil"/>
                <w:between w:val="nil"/>
              </w:pBdr>
              <w:jc w:val="center"/>
              <w:rPr>
                <w:color w:val="000000"/>
                <w:sz w:val="22"/>
                <w:szCs w:val="22"/>
                <w:lang w:val="en-US"/>
              </w:rPr>
            </w:pPr>
            <w:r w:rsidRPr="005869CA">
              <w:rPr>
                <w:color w:val="000000"/>
                <w:sz w:val="22"/>
                <w:szCs w:val="22"/>
                <w:lang w:val="en-US"/>
              </w:rPr>
              <w:t>29 (2.2%)</w:t>
            </w:r>
          </w:p>
          <w:p w14:paraId="0000014E" w14:textId="77777777" w:rsidR="00A92EB8" w:rsidRPr="005869CA" w:rsidRDefault="00411C61">
            <w:pPr>
              <w:pBdr>
                <w:top w:val="nil"/>
                <w:left w:val="nil"/>
                <w:bottom w:val="nil"/>
                <w:right w:val="nil"/>
                <w:between w:val="nil"/>
              </w:pBdr>
              <w:jc w:val="center"/>
              <w:rPr>
                <w:color w:val="000000"/>
                <w:sz w:val="22"/>
                <w:szCs w:val="22"/>
                <w:lang w:val="en-US"/>
              </w:rPr>
            </w:pPr>
            <w:r w:rsidRPr="005869CA">
              <w:rPr>
                <w:color w:val="000000"/>
                <w:sz w:val="22"/>
                <w:szCs w:val="22"/>
                <w:lang w:val="en-US"/>
              </w:rPr>
              <w:t>36 (2.7%)</w:t>
            </w:r>
          </w:p>
          <w:p w14:paraId="0000014F" w14:textId="77777777" w:rsidR="00A92EB8" w:rsidRPr="005869CA" w:rsidRDefault="00411C61">
            <w:pPr>
              <w:pBdr>
                <w:top w:val="nil"/>
                <w:left w:val="nil"/>
                <w:bottom w:val="nil"/>
                <w:right w:val="nil"/>
                <w:between w:val="nil"/>
              </w:pBdr>
              <w:jc w:val="center"/>
              <w:rPr>
                <w:color w:val="000000"/>
                <w:sz w:val="22"/>
                <w:szCs w:val="22"/>
                <w:lang w:val="en-US"/>
              </w:rPr>
            </w:pPr>
            <w:r w:rsidRPr="005869CA">
              <w:rPr>
                <w:color w:val="000000"/>
                <w:sz w:val="22"/>
                <w:szCs w:val="22"/>
                <w:lang w:val="en-US"/>
              </w:rPr>
              <w:t>204 (15.4%)</w:t>
            </w:r>
          </w:p>
          <w:p w14:paraId="00000150" w14:textId="77777777" w:rsidR="00A92EB8" w:rsidRPr="005869CA" w:rsidRDefault="00411C61">
            <w:pPr>
              <w:pBdr>
                <w:top w:val="nil"/>
                <w:left w:val="nil"/>
                <w:bottom w:val="nil"/>
                <w:right w:val="nil"/>
                <w:between w:val="nil"/>
              </w:pBdr>
              <w:jc w:val="center"/>
              <w:rPr>
                <w:color w:val="000000"/>
                <w:sz w:val="22"/>
                <w:szCs w:val="22"/>
                <w:lang w:val="en-US"/>
              </w:rPr>
            </w:pPr>
            <w:r w:rsidRPr="005869CA">
              <w:rPr>
                <w:color w:val="000000"/>
                <w:sz w:val="22"/>
                <w:szCs w:val="22"/>
                <w:lang w:val="en-US"/>
              </w:rPr>
              <w:t>272 (20.5%)</w:t>
            </w:r>
          </w:p>
        </w:tc>
        <w:tc>
          <w:tcPr>
            <w:tcW w:w="2329" w:type="dxa"/>
            <w:tcBorders>
              <w:top w:val="nil"/>
              <w:bottom w:val="nil"/>
            </w:tcBorders>
          </w:tcPr>
          <w:p w14:paraId="00000151" w14:textId="77777777" w:rsidR="00A92EB8" w:rsidRPr="005869CA" w:rsidRDefault="00A92EB8">
            <w:pPr>
              <w:pBdr>
                <w:top w:val="nil"/>
                <w:left w:val="nil"/>
                <w:bottom w:val="nil"/>
                <w:right w:val="nil"/>
                <w:between w:val="nil"/>
              </w:pBdr>
              <w:jc w:val="center"/>
              <w:rPr>
                <w:color w:val="000000"/>
                <w:sz w:val="22"/>
                <w:szCs w:val="22"/>
                <w:lang w:val="en-US"/>
              </w:rPr>
            </w:pPr>
          </w:p>
          <w:p w14:paraId="00000152" w14:textId="77777777" w:rsidR="00A92EB8" w:rsidRPr="005869CA" w:rsidRDefault="00411C61">
            <w:pPr>
              <w:pBdr>
                <w:top w:val="nil"/>
                <w:left w:val="nil"/>
                <w:bottom w:val="nil"/>
                <w:right w:val="nil"/>
                <w:between w:val="nil"/>
              </w:pBdr>
              <w:jc w:val="center"/>
              <w:rPr>
                <w:color w:val="000000"/>
                <w:sz w:val="22"/>
                <w:szCs w:val="22"/>
                <w:lang w:val="en-US"/>
              </w:rPr>
            </w:pPr>
            <w:r w:rsidRPr="005869CA">
              <w:rPr>
                <w:color w:val="000000"/>
                <w:sz w:val="22"/>
                <w:szCs w:val="22"/>
                <w:lang w:val="en-US"/>
              </w:rPr>
              <w:t>415 (43.7%)</w:t>
            </w:r>
          </w:p>
          <w:p w14:paraId="00000153" w14:textId="77777777" w:rsidR="00A92EB8" w:rsidRPr="005869CA" w:rsidRDefault="00411C61">
            <w:pPr>
              <w:pBdr>
                <w:top w:val="nil"/>
                <w:left w:val="nil"/>
                <w:bottom w:val="nil"/>
                <w:right w:val="nil"/>
                <w:between w:val="nil"/>
              </w:pBdr>
              <w:jc w:val="center"/>
              <w:rPr>
                <w:color w:val="000000"/>
                <w:sz w:val="22"/>
                <w:szCs w:val="22"/>
                <w:lang w:val="en-US"/>
              </w:rPr>
            </w:pPr>
            <w:r w:rsidRPr="005869CA">
              <w:rPr>
                <w:color w:val="000000"/>
                <w:sz w:val="22"/>
                <w:szCs w:val="22"/>
                <w:lang w:val="en-US"/>
              </w:rPr>
              <w:t>107 (11.3%)</w:t>
            </w:r>
          </w:p>
          <w:p w14:paraId="00000154" w14:textId="77777777" w:rsidR="00A92EB8" w:rsidRPr="005869CA" w:rsidRDefault="00411C61">
            <w:pPr>
              <w:pBdr>
                <w:top w:val="nil"/>
                <w:left w:val="nil"/>
                <w:bottom w:val="nil"/>
                <w:right w:val="nil"/>
                <w:between w:val="nil"/>
              </w:pBdr>
              <w:jc w:val="center"/>
              <w:rPr>
                <w:color w:val="000000"/>
                <w:sz w:val="22"/>
                <w:szCs w:val="22"/>
                <w:lang w:val="en-US"/>
              </w:rPr>
            </w:pPr>
            <w:r w:rsidRPr="005869CA">
              <w:rPr>
                <w:color w:val="000000"/>
                <w:sz w:val="22"/>
                <w:szCs w:val="22"/>
                <w:lang w:val="en-US"/>
              </w:rPr>
              <w:t>14 (1.5%)</w:t>
            </w:r>
          </w:p>
          <w:p w14:paraId="00000155" w14:textId="77777777" w:rsidR="00A92EB8" w:rsidRPr="005869CA" w:rsidRDefault="00411C61">
            <w:pPr>
              <w:pBdr>
                <w:top w:val="nil"/>
                <w:left w:val="nil"/>
                <w:bottom w:val="nil"/>
                <w:right w:val="nil"/>
                <w:between w:val="nil"/>
              </w:pBdr>
              <w:jc w:val="center"/>
              <w:rPr>
                <w:color w:val="000000"/>
                <w:sz w:val="22"/>
                <w:szCs w:val="22"/>
                <w:lang w:val="en-US"/>
              </w:rPr>
            </w:pPr>
            <w:r w:rsidRPr="005869CA">
              <w:rPr>
                <w:color w:val="000000"/>
                <w:sz w:val="22"/>
                <w:szCs w:val="22"/>
                <w:lang w:val="en-US"/>
              </w:rPr>
              <w:t>22 (2.3%)</w:t>
            </w:r>
          </w:p>
          <w:p w14:paraId="00000156" w14:textId="77777777" w:rsidR="00A92EB8" w:rsidRPr="005869CA" w:rsidRDefault="00411C61">
            <w:pPr>
              <w:pBdr>
                <w:top w:val="nil"/>
                <w:left w:val="nil"/>
                <w:bottom w:val="nil"/>
                <w:right w:val="nil"/>
                <w:between w:val="nil"/>
              </w:pBdr>
              <w:jc w:val="center"/>
              <w:rPr>
                <w:color w:val="000000"/>
                <w:sz w:val="22"/>
                <w:szCs w:val="22"/>
                <w:lang w:val="en-US"/>
              </w:rPr>
            </w:pPr>
            <w:r w:rsidRPr="005869CA">
              <w:rPr>
                <w:color w:val="000000"/>
                <w:sz w:val="22"/>
                <w:szCs w:val="22"/>
                <w:lang w:val="en-US"/>
              </w:rPr>
              <w:t>26 (2.7%)</w:t>
            </w:r>
          </w:p>
          <w:p w14:paraId="00000157" w14:textId="77777777" w:rsidR="00A92EB8" w:rsidRPr="005869CA" w:rsidRDefault="00411C61">
            <w:pPr>
              <w:pBdr>
                <w:top w:val="nil"/>
                <w:left w:val="nil"/>
                <w:bottom w:val="nil"/>
                <w:right w:val="nil"/>
                <w:between w:val="nil"/>
              </w:pBdr>
              <w:jc w:val="center"/>
              <w:rPr>
                <w:color w:val="000000"/>
                <w:sz w:val="22"/>
                <w:szCs w:val="22"/>
                <w:lang w:val="en-US"/>
              </w:rPr>
            </w:pPr>
            <w:r w:rsidRPr="005869CA">
              <w:rPr>
                <w:color w:val="000000"/>
                <w:sz w:val="22"/>
                <w:szCs w:val="22"/>
                <w:lang w:val="en-US"/>
              </w:rPr>
              <w:t>128 (13.5%)</w:t>
            </w:r>
          </w:p>
          <w:p w14:paraId="00000158" w14:textId="77777777" w:rsidR="00A92EB8" w:rsidRPr="005869CA" w:rsidRDefault="00411C61">
            <w:pPr>
              <w:pBdr>
                <w:top w:val="nil"/>
                <w:left w:val="nil"/>
                <w:bottom w:val="nil"/>
                <w:right w:val="nil"/>
                <w:between w:val="nil"/>
              </w:pBdr>
              <w:jc w:val="center"/>
              <w:rPr>
                <w:color w:val="000000"/>
                <w:sz w:val="22"/>
                <w:szCs w:val="22"/>
                <w:lang w:val="en-US"/>
              </w:rPr>
            </w:pPr>
            <w:r w:rsidRPr="005869CA">
              <w:rPr>
                <w:color w:val="000000"/>
                <w:sz w:val="22"/>
                <w:szCs w:val="22"/>
                <w:lang w:val="en-US"/>
              </w:rPr>
              <w:t>238 (25.1%)</w:t>
            </w:r>
          </w:p>
        </w:tc>
      </w:tr>
      <w:tr w:rsidR="00A92EB8" w:rsidRPr="005869CA" w14:paraId="3953B968" w14:textId="77777777">
        <w:trPr>
          <w:trHeight w:val="489"/>
        </w:trPr>
        <w:tc>
          <w:tcPr>
            <w:tcW w:w="3919" w:type="dxa"/>
            <w:tcBorders>
              <w:top w:val="nil"/>
              <w:bottom w:val="nil"/>
            </w:tcBorders>
          </w:tcPr>
          <w:p w14:paraId="00000159" w14:textId="77777777" w:rsidR="00A92EB8" w:rsidRPr="005869CA" w:rsidRDefault="00411C61">
            <w:pPr>
              <w:widowControl w:val="0"/>
              <w:rPr>
                <w:sz w:val="22"/>
                <w:szCs w:val="22"/>
                <w:lang w:val="en-US"/>
              </w:rPr>
            </w:pPr>
            <w:r w:rsidRPr="005869CA">
              <w:rPr>
                <w:b/>
                <w:sz w:val="22"/>
                <w:szCs w:val="22"/>
                <w:lang w:val="en-US"/>
              </w:rPr>
              <w:t>Keyworker</w:t>
            </w:r>
          </w:p>
          <w:p w14:paraId="0000015A" w14:textId="77777777" w:rsidR="00A92EB8" w:rsidRPr="005869CA" w:rsidRDefault="00411C61">
            <w:pPr>
              <w:widowControl w:val="0"/>
              <w:rPr>
                <w:sz w:val="22"/>
                <w:szCs w:val="22"/>
                <w:lang w:val="en-US"/>
              </w:rPr>
            </w:pPr>
            <w:r w:rsidRPr="005869CA">
              <w:rPr>
                <w:sz w:val="22"/>
                <w:szCs w:val="22"/>
                <w:lang w:val="en-US"/>
              </w:rPr>
              <w:t>No</w:t>
            </w:r>
          </w:p>
          <w:p w14:paraId="0000015B" w14:textId="77777777" w:rsidR="00A92EB8" w:rsidRPr="005869CA" w:rsidRDefault="00411C61">
            <w:pPr>
              <w:widowControl w:val="0"/>
              <w:rPr>
                <w:sz w:val="22"/>
                <w:szCs w:val="22"/>
                <w:lang w:val="en-US"/>
              </w:rPr>
            </w:pPr>
            <w:r w:rsidRPr="005869CA">
              <w:rPr>
                <w:sz w:val="22"/>
                <w:szCs w:val="22"/>
                <w:lang w:val="en-US"/>
              </w:rPr>
              <w:t>Yes</w:t>
            </w:r>
          </w:p>
        </w:tc>
        <w:tc>
          <w:tcPr>
            <w:tcW w:w="2682" w:type="dxa"/>
            <w:tcBorders>
              <w:top w:val="nil"/>
              <w:bottom w:val="nil"/>
            </w:tcBorders>
          </w:tcPr>
          <w:p w14:paraId="0000015C" w14:textId="77777777" w:rsidR="00A92EB8" w:rsidRPr="005869CA" w:rsidRDefault="00A92EB8">
            <w:pPr>
              <w:pBdr>
                <w:top w:val="nil"/>
                <w:left w:val="nil"/>
                <w:bottom w:val="nil"/>
                <w:right w:val="nil"/>
                <w:between w:val="nil"/>
              </w:pBdr>
              <w:jc w:val="center"/>
              <w:rPr>
                <w:color w:val="000000"/>
                <w:sz w:val="22"/>
                <w:szCs w:val="22"/>
                <w:lang w:val="en-US"/>
              </w:rPr>
            </w:pPr>
          </w:p>
          <w:p w14:paraId="0000015D" w14:textId="77777777" w:rsidR="00A92EB8" w:rsidRPr="005869CA" w:rsidRDefault="00411C61">
            <w:pPr>
              <w:pBdr>
                <w:top w:val="nil"/>
                <w:left w:val="nil"/>
                <w:bottom w:val="nil"/>
                <w:right w:val="nil"/>
                <w:between w:val="nil"/>
              </w:pBdr>
              <w:jc w:val="center"/>
              <w:rPr>
                <w:color w:val="000000"/>
                <w:sz w:val="22"/>
                <w:szCs w:val="22"/>
                <w:lang w:val="en-US"/>
              </w:rPr>
            </w:pPr>
            <w:r w:rsidRPr="005869CA">
              <w:rPr>
                <w:color w:val="000000"/>
                <w:sz w:val="22"/>
                <w:szCs w:val="22"/>
                <w:lang w:val="en-US"/>
              </w:rPr>
              <w:t>940 (70.9%)</w:t>
            </w:r>
          </w:p>
          <w:p w14:paraId="0000015E" w14:textId="77777777" w:rsidR="00A92EB8" w:rsidRPr="005869CA" w:rsidRDefault="00411C61">
            <w:pPr>
              <w:pBdr>
                <w:top w:val="nil"/>
                <w:left w:val="nil"/>
                <w:bottom w:val="nil"/>
                <w:right w:val="nil"/>
                <w:between w:val="nil"/>
              </w:pBdr>
              <w:jc w:val="center"/>
              <w:rPr>
                <w:color w:val="000000"/>
                <w:sz w:val="22"/>
                <w:szCs w:val="22"/>
                <w:lang w:val="en-US"/>
              </w:rPr>
            </w:pPr>
            <w:r w:rsidRPr="005869CA">
              <w:rPr>
                <w:color w:val="000000"/>
                <w:sz w:val="22"/>
                <w:szCs w:val="22"/>
                <w:lang w:val="en-US"/>
              </w:rPr>
              <w:t>385 (29.1%)</w:t>
            </w:r>
          </w:p>
        </w:tc>
        <w:tc>
          <w:tcPr>
            <w:tcW w:w="2329" w:type="dxa"/>
            <w:tcBorders>
              <w:top w:val="nil"/>
              <w:bottom w:val="nil"/>
            </w:tcBorders>
          </w:tcPr>
          <w:p w14:paraId="0000015F" w14:textId="77777777" w:rsidR="00A92EB8" w:rsidRPr="005869CA" w:rsidRDefault="00A92EB8">
            <w:pPr>
              <w:pBdr>
                <w:top w:val="nil"/>
                <w:left w:val="nil"/>
                <w:bottom w:val="nil"/>
                <w:right w:val="nil"/>
                <w:between w:val="nil"/>
              </w:pBdr>
              <w:rPr>
                <w:color w:val="000000"/>
                <w:sz w:val="22"/>
                <w:szCs w:val="22"/>
                <w:lang w:val="en-US"/>
              </w:rPr>
            </w:pPr>
          </w:p>
          <w:p w14:paraId="00000160" w14:textId="77777777" w:rsidR="00A92EB8" w:rsidRPr="005869CA" w:rsidRDefault="00411C61">
            <w:pPr>
              <w:pBdr>
                <w:top w:val="nil"/>
                <w:left w:val="nil"/>
                <w:bottom w:val="nil"/>
                <w:right w:val="nil"/>
                <w:between w:val="nil"/>
              </w:pBdr>
              <w:jc w:val="center"/>
              <w:rPr>
                <w:color w:val="000000"/>
                <w:sz w:val="22"/>
                <w:szCs w:val="22"/>
                <w:lang w:val="en-US"/>
              </w:rPr>
            </w:pPr>
            <w:r w:rsidRPr="005869CA">
              <w:rPr>
                <w:color w:val="000000"/>
                <w:sz w:val="22"/>
                <w:szCs w:val="22"/>
                <w:lang w:val="en-US"/>
              </w:rPr>
              <w:t>703 (74.0%)</w:t>
            </w:r>
          </w:p>
          <w:p w14:paraId="00000161" w14:textId="77777777" w:rsidR="00A92EB8" w:rsidRPr="005869CA" w:rsidRDefault="00411C61">
            <w:pPr>
              <w:pBdr>
                <w:top w:val="nil"/>
                <w:left w:val="nil"/>
                <w:bottom w:val="nil"/>
                <w:right w:val="nil"/>
                <w:between w:val="nil"/>
              </w:pBdr>
              <w:jc w:val="center"/>
              <w:rPr>
                <w:color w:val="000000"/>
                <w:sz w:val="22"/>
                <w:szCs w:val="22"/>
                <w:lang w:val="en-US"/>
              </w:rPr>
            </w:pPr>
            <w:r w:rsidRPr="005869CA">
              <w:rPr>
                <w:color w:val="000000"/>
                <w:sz w:val="22"/>
                <w:szCs w:val="22"/>
                <w:lang w:val="en-US"/>
              </w:rPr>
              <w:t>247 (26.0%)</w:t>
            </w:r>
          </w:p>
        </w:tc>
      </w:tr>
      <w:tr w:rsidR="00A92EB8" w:rsidRPr="005869CA" w14:paraId="5BFCAA17" w14:textId="77777777">
        <w:trPr>
          <w:trHeight w:val="530"/>
        </w:trPr>
        <w:tc>
          <w:tcPr>
            <w:tcW w:w="3919" w:type="dxa"/>
            <w:tcBorders>
              <w:top w:val="nil"/>
              <w:bottom w:val="nil"/>
            </w:tcBorders>
          </w:tcPr>
          <w:p w14:paraId="00000162" w14:textId="77777777" w:rsidR="00A92EB8" w:rsidRPr="005869CA" w:rsidRDefault="00411C61">
            <w:pPr>
              <w:widowControl w:val="0"/>
              <w:rPr>
                <w:b/>
                <w:sz w:val="22"/>
                <w:szCs w:val="22"/>
                <w:lang w:val="en-US"/>
              </w:rPr>
            </w:pPr>
            <w:r w:rsidRPr="005869CA">
              <w:rPr>
                <w:b/>
                <w:sz w:val="22"/>
                <w:szCs w:val="22"/>
                <w:lang w:val="en-US"/>
              </w:rPr>
              <w:t>Chronic illness</w:t>
            </w:r>
          </w:p>
          <w:p w14:paraId="00000163" w14:textId="77777777" w:rsidR="00A92EB8" w:rsidRPr="005869CA" w:rsidRDefault="00411C61">
            <w:pPr>
              <w:widowControl w:val="0"/>
              <w:rPr>
                <w:sz w:val="22"/>
                <w:szCs w:val="22"/>
                <w:lang w:val="en-US"/>
              </w:rPr>
            </w:pPr>
            <w:r w:rsidRPr="005869CA">
              <w:rPr>
                <w:sz w:val="22"/>
                <w:szCs w:val="22"/>
                <w:lang w:val="en-US"/>
              </w:rPr>
              <w:t>No</w:t>
            </w:r>
          </w:p>
          <w:p w14:paraId="00000164" w14:textId="77777777" w:rsidR="00A92EB8" w:rsidRPr="005869CA" w:rsidRDefault="00411C61">
            <w:pPr>
              <w:widowControl w:val="0"/>
              <w:rPr>
                <w:sz w:val="22"/>
                <w:szCs w:val="22"/>
                <w:lang w:val="en-US"/>
              </w:rPr>
            </w:pPr>
            <w:r w:rsidRPr="005869CA">
              <w:rPr>
                <w:sz w:val="22"/>
                <w:szCs w:val="22"/>
                <w:lang w:val="en-US"/>
              </w:rPr>
              <w:t>Yes</w:t>
            </w:r>
          </w:p>
        </w:tc>
        <w:tc>
          <w:tcPr>
            <w:tcW w:w="2682" w:type="dxa"/>
            <w:tcBorders>
              <w:top w:val="nil"/>
              <w:bottom w:val="nil"/>
            </w:tcBorders>
          </w:tcPr>
          <w:p w14:paraId="00000165" w14:textId="77777777" w:rsidR="00A92EB8" w:rsidRPr="005869CA" w:rsidRDefault="00A92EB8">
            <w:pPr>
              <w:pBdr>
                <w:top w:val="nil"/>
                <w:left w:val="nil"/>
                <w:bottom w:val="nil"/>
                <w:right w:val="nil"/>
                <w:between w:val="nil"/>
              </w:pBdr>
              <w:jc w:val="center"/>
              <w:rPr>
                <w:color w:val="000000"/>
                <w:sz w:val="22"/>
                <w:szCs w:val="22"/>
                <w:lang w:val="en-US"/>
              </w:rPr>
            </w:pPr>
          </w:p>
          <w:p w14:paraId="00000166" w14:textId="77777777" w:rsidR="00A92EB8" w:rsidRPr="005869CA" w:rsidRDefault="00411C61">
            <w:pPr>
              <w:pBdr>
                <w:top w:val="nil"/>
                <w:left w:val="nil"/>
                <w:bottom w:val="nil"/>
                <w:right w:val="nil"/>
                <w:between w:val="nil"/>
              </w:pBdr>
              <w:jc w:val="center"/>
              <w:rPr>
                <w:color w:val="000000"/>
                <w:sz w:val="22"/>
                <w:szCs w:val="22"/>
                <w:lang w:val="en-US"/>
              </w:rPr>
            </w:pPr>
            <w:r w:rsidRPr="005869CA">
              <w:rPr>
                <w:color w:val="000000"/>
                <w:sz w:val="22"/>
                <w:szCs w:val="22"/>
                <w:lang w:val="en-US"/>
              </w:rPr>
              <w:t>1004 (75.8%)</w:t>
            </w:r>
          </w:p>
          <w:p w14:paraId="00000167" w14:textId="77777777" w:rsidR="00A92EB8" w:rsidRPr="005869CA" w:rsidRDefault="00411C61">
            <w:pPr>
              <w:pBdr>
                <w:top w:val="nil"/>
                <w:left w:val="nil"/>
                <w:bottom w:val="nil"/>
                <w:right w:val="nil"/>
                <w:between w:val="nil"/>
              </w:pBdr>
              <w:jc w:val="center"/>
              <w:rPr>
                <w:color w:val="000000"/>
                <w:sz w:val="22"/>
                <w:szCs w:val="22"/>
                <w:lang w:val="en-US"/>
              </w:rPr>
            </w:pPr>
            <w:r w:rsidRPr="005869CA">
              <w:rPr>
                <w:color w:val="000000"/>
                <w:sz w:val="22"/>
                <w:szCs w:val="22"/>
                <w:lang w:val="en-US"/>
              </w:rPr>
              <w:t>321 (24.2%)</w:t>
            </w:r>
          </w:p>
        </w:tc>
        <w:tc>
          <w:tcPr>
            <w:tcW w:w="2329" w:type="dxa"/>
            <w:tcBorders>
              <w:top w:val="nil"/>
              <w:bottom w:val="nil"/>
            </w:tcBorders>
          </w:tcPr>
          <w:p w14:paraId="00000168" w14:textId="77777777" w:rsidR="00A92EB8" w:rsidRPr="005869CA" w:rsidRDefault="00A92EB8">
            <w:pPr>
              <w:pBdr>
                <w:top w:val="nil"/>
                <w:left w:val="nil"/>
                <w:bottom w:val="nil"/>
                <w:right w:val="nil"/>
                <w:between w:val="nil"/>
              </w:pBdr>
              <w:jc w:val="center"/>
              <w:rPr>
                <w:color w:val="000000"/>
                <w:sz w:val="22"/>
                <w:szCs w:val="22"/>
                <w:lang w:val="en-US"/>
              </w:rPr>
            </w:pPr>
          </w:p>
          <w:p w14:paraId="00000169" w14:textId="77777777" w:rsidR="00A92EB8" w:rsidRPr="005869CA" w:rsidRDefault="00411C61">
            <w:pPr>
              <w:pBdr>
                <w:top w:val="nil"/>
                <w:left w:val="nil"/>
                <w:bottom w:val="nil"/>
                <w:right w:val="nil"/>
                <w:between w:val="nil"/>
              </w:pBdr>
              <w:jc w:val="center"/>
              <w:rPr>
                <w:color w:val="000000"/>
                <w:sz w:val="22"/>
                <w:szCs w:val="22"/>
                <w:lang w:val="en-US"/>
              </w:rPr>
            </w:pPr>
            <w:r w:rsidRPr="005869CA">
              <w:rPr>
                <w:color w:val="000000"/>
                <w:sz w:val="22"/>
                <w:szCs w:val="22"/>
                <w:lang w:val="en-US"/>
              </w:rPr>
              <w:t>710 (74.7%)</w:t>
            </w:r>
          </w:p>
          <w:p w14:paraId="0000016A" w14:textId="77777777" w:rsidR="00A92EB8" w:rsidRPr="005869CA" w:rsidRDefault="00411C61">
            <w:pPr>
              <w:pBdr>
                <w:top w:val="nil"/>
                <w:left w:val="nil"/>
                <w:bottom w:val="nil"/>
                <w:right w:val="nil"/>
                <w:between w:val="nil"/>
              </w:pBdr>
              <w:jc w:val="center"/>
              <w:rPr>
                <w:color w:val="000000"/>
                <w:sz w:val="22"/>
                <w:szCs w:val="22"/>
                <w:lang w:val="en-US"/>
              </w:rPr>
            </w:pPr>
            <w:r w:rsidRPr="005869CA">
              <w:rPr>
                <w:color w:val="000000"/>
                <w:sz w:val="22"/>
                <w:szCs w:val="22"/>
                <w:lang w:val="en-US"/>
              </w:rPr>
              <w:t>240 (25.3%)</w:t>
            </w:r>
          </w:p>
        </w:tc>
      </w:tr>
      <w:tr w:rsidR="00A92EB8" w:rsidRPr="005869CA" w14:paraId="07160FFF" w14:textId="77777777">
        <w:trPr>
          <w:trHeight w:val="419"/>
        </w:trPr>
        <w:tc>
          <w:tcPr>
            <w:tcW w:w="3919" w:type="dxa"/>
            <w:tcBorders>
              <w:top w:val="nil"/>
              <w:bottom w:val="single" w:sz="4" w:space="0" w:color="000000"/>
            </w:tcBorders>
          </w:tcPr>
          <w:p w14:paraId="0000016B" w14:textId="77777777" w:rsidR="00A92EB8" w:rsidRPr="005869CA" w:rsidRDefault="00411C61">
            <w:pPr>
              <w:widowControl w:val="0"/>
              <w:rPr>
                <w:b/>
                <w:sz w:val="22"/>
                <w:szCs w:val="22"/>
                <w:lang w:val="en-US"/>
              </w:rPr>
            </w:pPr>
            <w:r w:rsidRPr="005869CA">
              <w:rPr>
                <w:b/>
                <w:sz w:val="22"/>
                <w:szCs w:val="22"/>
                <w:lang w:val="en-US"/>
              </w:rPr>
              <w:t>Pregnant (self or partner)</w:t>
            </w:r>
          </w:p>
          <w:p w14:paraId="0000016C" w14:textId="77777777" w:rsidR="00A92EB8" w:rsidRPr="005869CA" w:rsidRDefault="00411C61">
            <w:pPr>
              <w:widowControl w:val="0"/>
              <w:rPr>
                <w:sz w:val="22"/>
                <w:szCs w:val="22"/>
                <w:lang w:val="en-US"/>
              </w:rPr>
            </w:pPr>
            <w:r w:rsidRPr="005869CA">
              <w:rPr>
                <w:sz w:val="22"/>
                <w:szCs w:val="22"/>
                <w:lang w:val="en-US"/>
              </w:rPr>
              <w:t>No</w:t>
            </w:r>
          </w:p>
          <w:p w14:paraId="0000016D" w14:textId="77777777" w:rsidR="00A92EB8" w:rsidRPr="005869CA" w:rsidRDefault="00411C61">
            <w:pPr>
              <w:widowControl w:val="0"/>
              <w:rPr>
                <w:b/>
                <w:sz w:val="22"/>
                <w:szCs w:val="22"/>
                <w:lang w:val="en-US"/>
              </w:rPr>
            </w:pPr>
            <w:r w:rsidRPr="005869CA">
              <w:rPr>
                <w:sz w:val="22"/>
                <w:szCs w:val="22"/>
                <w:lang w:val="en-US"/>
              </w:rPr>
              <w:t>Yes</w:t>
            </w:r>
          </w:p>
        </w:tc>
        <w:tc>
          <w:tcPr>
            <w:tcW w:w="2682" w:type="dxa"/>
            <w:tcBorders>
              <w:top w:val="nil"/>
              <w:bottom w:val="single" w:sz="4" w:space="0" w:color="000000"/>
            </w:tcBorders>
          </w:tcPr>
          <w:p w14:paraId="0000016E" w14:textId="77777777" w:rsidR="00A92EB8" w:rsidRPr="005869CA" w:rsidRDefault="00A92EB8">
            <w:pPr>
              <w:pBdr>
                <w:top w:val="nil"/>
                <w:left w:val="nil"/>
                <w:bottom w:val="nil"/>
                <w:right w:val="nil"/>
                <w:between w:val="nil"/>
              </w:pBdr>
              <w:jc w:val="center"/>
              <w:rPr>
                <w:color w:val="000000"/>
                <w:sz w:val="22"/>
                <w:szCs w:val="22"/>
                <w:lang w:val="en-US"/>
              </w:rPr>
            </w:pPr>
          </w:p>
          <w:p w14:paraId="0000016F" w14:textId="77777777" w:rsidR="00A92EB8" w:rsidRPr="005869CA" w:rsidRDefault="00411C61">
            <w:pPr>
              <w:pBdr>
                <w:top w:val="nil"/>
                <w:left w:val="nil"/>
                <w:bottom w:val="nil"/>
                <w:right w:val="nil"/>
                <w:between w:val="nil"/>
              </w:pBdr>
              <w:jc w:val="center"/>
              <w:rPr>
                <w:color w:val="000000"/>
                <w:sz w:val="22"/>
                <w:szCs w:val="22"/>
                <w:lang w:val="en-US"/>
              </w:rPr>
            </w:pPr>
            <w:r w:rsidRPr="005869CA">
              <w:rPr>
                <w:color w:val="000000"/>
                <w:sz w:val="22"/>
                <w:szCs w:val="22"/>
                <w:lang w:val="en-US"/>
              </w:rPr>
              <w:t>1301 (98.2%)</w:t>
            </w:r>
          </w:p>
          <w:p w14:paraId="00000170" w14:textId="77777777" w:rsidR="00A92EB8" w:rsidRPr="005869CA" w:rsidRDefault="00411C61">
            <w:pPr>
              <w:pBdr>
                <w:top w:val="nil"/>
                <w:left w:val="nil"/>
                <w:bottom w:val="nil"/>
                <w:right w:val="nil"/>
                <w:between w:val="nil"/>
              </w:pBdr>
              <w:jc w:val="center"/>
              <w:rPr>
                <w:color w:val="000000"/>
                <w:sz w:val="22"/>
                <w:szCs w:val="22"/>
                <w:lang w:val="en-US"/>
              </w:rPr>
            </w:pPr>
            <w:r w:rsidRPr="005869CA">
              <w:rPr>
                <w:color w:val="000000"/>
                <w:sz w:val="22"/>
                <w:szCs w:val="22"/>
                <w:lang w:val="en-US"/>
              </w:rPr>
              <w:t>24 (1.8%)</w:t>
            </w:r>
          </w:p>
        </w:tc>
        <w:tc>
          <w:tcPr>
            <w:tcW w:w="2329" w:type="dxa"/>
            <w:tcBorders>
              <w:top w:val="nil"/>
              <w:bottom w:val="single" w:sz="4" w:space="0" w:color="000000"/>
            </w:tcBorders>
          </w:tcPr>
          <w:p w14:paraId="00000171" w14:textId="77777777" w:rsidR="00A92EB8" w:rsidRPr="005869CA" w:rsidRDefault="00A92EB8">
            <w:pPr>
              <w:pBdr>
                <w:top w:val="nil"/>
                <w:left w:val="nil"/>
                <w:bottom w:val="nil"/>
                <w:right w:val="nil"/>
                <w:between w:val="nil"/>
              </w:pBdr>
              <w:jc w:val="center"/>
              <w:rPr>
                <w:color w:val="000000"/>
                <w:sz w:val="22"/>
                <w:szCs w:val="22"/>
                <w:lang w:val="en-US"/>
              </w:rPr>
            </w:pPr>
          </w:p>
          <w:p w14:paraId="00000172" w14:textId="77777777" w:rsidR="00A92EB8" w:rsidRPr="005869CA" w:rsidRDefault="00411C61">
            <w:pPr>
              <w:pBdr>
                <w:top w:val="nil"/>
                <w:left w:val="nil"/>
                <w:bottom w:val="nil"/>
                <w:right w:val="nil"/>
                <w:between w:val="nil"/>
              </w:pBdr>
              <w:jc w:val="center"/>
              <w:rPr>
                <w:color w:val="000000"/>
                <w:sz w:val="22"/>
                <w:szCs w:val="22"/>
                <w:lang w:val="en-US"/>
              </w:rPr>
            </w:pPr>
            <w:r w:rsidRPr="005869CA">
              <w:rPr>
                <w:color w:val="000000"/>
                <w:sz w:val="22"/>
                <w:szCs w:val="22"/>
                <w:lang w:val="en-US"/>
              </w:rPr>
              <w:t>940 (98.9%)</w:t>
            </w:r>
          </w:p>
          <w:p w14:paraId="00000173" w14:textId="77777777" w:rsidR="00A92EB8" w:rsidRPr="005869CA" w:rsidRDefault="00411C61">
            <w:pPr>
              <w:pBdr>
                <w:top w:val="nil"/>
                <w:left w:val="nil"/>
                <w:bottom w:val="nil"/>
                <w:right w:val="nil"/>
                <w:between w:val="nil"/>
              </w:pBdr>
              <w:jc w:val="center"/>
              <w:rPr>
                <w:color w:val="000000"/>
                <w:sz w:val="22"/>
                <w:szCs w:val="22"/>
                <w:lang w:val="en-US"/>
              </w:rPr>
            </w:pPr>
            <w:r w:rsidRPr="005869CA">
              <w:rPr>
                <w:color w:val="000000"/>
                <w:sz w:val="22"/>
                <w:szCs w:val="22"/>
                <w:lang w:val="en-US"/>
              </w:rPr>
              <w:t>10 (1.1%)</w:t>
            </w:r>
          </w:p>
        </w:tc>
      </w:tr>
    </w:tbl>
    <w:p w14:paraId="00000174" w14:textId="77777777" w:rsidR="00A92EB8" w:rsidRPr="005869CA" w:rsidRDefault="00A92EB8">
      <w:pPr>
        <w:rPr>
          <w:b/>
          <w:lang w:val="en-US"/>
        </w:rPr>
        <w:sectPr w:rsidR="00A92EB8" w:rsidRPr="005869CA">
          <w:headerReference w:type="even" r:id="rId33"/>
          <w:headerReference w:type="default" r:id="rId34"/>
          <w:pgSz w:w="11906" w:h="16838"/>
          <w:pgMar w:top="1440" w:right="1440" w:bottom="1440" w:left="1440" w:header="708" w:footer="708" w:gutter="0"/>
          <w:pgNumType w:start="1"/>
          <w:cols w:space="720"/>
        </w:sectPr>
      </w:pPr>
    </w:p>
    <w:p w14:paraId="00000175" w14:textId="77777777" w:rsidR="00A92EB8" w:rsidRPr="005869CA" w:rsidRDefault="00411C61">
      <w:pPr>
        <w:widowControl w:val="0"/>
        <w:rPr>
          <w:b/>
          <w:lang w:val="en-US"/>
        </w:rPr>
      </w:pPr>
      <w:r w:rsidRPr="005869CA">
        <w:rPr>
          <w:b/>
          <w:lang w:val="en-US"/>
        </w:rPr>
        <w:lastRenderedPageBreak/>
        <w:t>Table 2</w:t>
      </w:r>
    </w:p>
    <w:p w14:paraId="00000176" w14:textId="77777777" w:rsidR="00A92EB8" w:rsidRPr="005869CA" w:rsidRDefault="00411C61">
      <w:pPr>
        <w:widowControl w:val="0"/>
        <w:rPr>
          <w:lang w:val="en-US"/>
        </w:rPr>
      </w:pPr>
      <w:r w:rsidRPr="005869CA">
        <w:rPr>
          <w:lang w:val="en-US"/>
        </w:rPr>
        <w:t xml:space="preserve"> </w:t>
      </w:r>
    </w:p>
    <w:p w14:paraId="00000177" w14:textId="4A3F9F01" w:rsidR="00A92EB8" w:rsidRDefault="00411C61">
      <w:pPr>
        <w:widowControl w:val="0"/>
        <w:rPr>
          <w:lang w:val="en-US"/>
        </w:rPr>
      </w:pPr>
      <w:r w:rsidRPr="005869CA">
        <w:rPr>
          <w:lang w:val="en-US"/>
        </w:rPr>
        <w:t>Means, Standard Deviations, and Correlations with Confidence Intervals for Wave 2</w:t>
      </w:r>
    </w:p>
    <w:tbl>
      <w:tblPr>
        <w:tblW w:w="12852" w:type="dxa"/>
        <w:tblInd w:w="100" w:type="dxa"/>
        <w:tblLayout w:type="fixed"/>
        <w:tblCellMar>
          <w:left w:w="100" w:type="dxa"/>
          <w:right w:w="100" w:type="dxa"/>
        </w:tblCellMar>
        <w:tblLook w:val="0000" w:firstRow="0" w:lastRow="0" w:firstColumn="0" w:lastColumn="0" w:noHBand="0" w:noVBand="0"/>
      </w:tblPr>
      <w:tblGrid>
        <w:gridCol w:w="2310"/>
        <w:gridCol w:w="992"/>
        <w:gridCol w:w="982"/>
        <w:gridCol w:w="1224"/>
        <w:gridCol w:w="1224"/>
        <w:gridCol w:w="1224"/>
        <w:gridCol w:w="1224"/>
        <w:gridCol w:w="1224"/>
        <w:gridCol w:w="1224"/>
        <w:gridCol w:w="1224"/>
      </w:tblGrid>
      <w:tr w:rsidR="00054AF4" w14:paraId="3AD2CA5F" w14:textId="77777777" w:rsidTr="00054AF4">
        <w:tc>
          <w:tcPr>
            <w:tcW w:w="2310" w:type="dxa"/>
            <w:tcBorders>
              <w:top w:val="single" w:sz="6" w:space="0" w:color="auto"/>
              <w:left w:val="nil"/>
              <w:bottom w:val="nil"/>
              <w:right w:val="nil"/>
            </w:tcBorders>
            <w:vAlign w:val="center"/>
          </w:tcPr>
          <w:p w14:paraId="423B7287" w14:textId="77777777" w:rsidR="00054AF4" w:rsidRDefault="00054AF4" w:rsidP="005A6C0D">
            <w:pPr>
              <w:widowControl w:val="0"/>
              <w:autoSpaceDE w:val="0"/>
              <w:autoSpaceDN w:val="0"/>
              <w:adjustRightInd w:val="0"/>
            </w:pPr>
            <w:r>
              <w:t>Variable</w:t>
            </w:r>
          </w:p>
        </w:tc>
        <w:tc>
          <w:tcPr>
            <w:tcW w:w="992" w:type="dxa"/>
            <w:tcBorders>
              <w:top w:val="single" w:sz="6" w:space="0" w:color="auto"/>
              <w:left w:val="nil"/>
              <w:bottom w:val="nil"/>
              <w:right w:val="nil"/>
            </w:tcBorders>
            <w:vAlign w:val="center"/>
          </w:tcPr>
          <w:p w14:paraId="7DA583D3" w14:textId="77777777" w:rsidR="00054AF4" w:rsidRDefault="00054AF4" w:rsidP="005A6C0D">
            <w:pPr>
              <w:widowControl w:val="0"/>
              <w:autoSpaceDE w:val="0"/>
              <w:autoSpaceDN w:val="0"/>
              <w:adjustRightInd w:val="0"/>
              <w:jc w:val="center"/>
            </w:pPr>
            <w:r>
              <w:rPr>
                <w:i/>
                <w:iCs/>
              </w:rPr>
              <w:t>M</w:t>
            </w:r>
          </w:p>
        </w:tc>
        <w:tc>
          <w:tcPr>
            <w:tcW w:w="982" w:type="dxa"/>
            <w:tcBorders>
              <w:top w:val="single" w:sz="6" w:space="0" w:color="auto"/>
              <w:left w:val="nil"/>
              <w:bottom w:val="nil"/>
              <w:right w:val="nil"/>
            </w:tcBorders>
            <w:vAlign w:val="center"/>
          </w:tcPr>
          <w:p w14:paraId="51BF2D3D" w14:textId="77777777" w:rsidR="00054AF4" w:rsidRDefault="00054AF4" w:rsidP="005A6C0D">
            <w:pPr>
              <w:widowControl w:val="0"/>
              <w:autoSpaceDE w:val="0"/>
              <w:autoSpaceDN w:val="0"/>
              <w:adjustRightInd w:val="0"/>
              <w:jc w:val="center"/>
            </w:pPr>
            <w:r>
              <w:rPr>
                <w:i/>
                <w:iCs/>
              </w:rPr>
              <w:t>SD</w:t>
            </w:r>
          </w:p>
        </w:tc>
        <w:tc>
          <w:tcPr>
            <w:tcW w:w="1224" w:type="dxa"/>
            <w:tcBorders>
              <w:top w:val="single" w:sz="6" w:space="0" w:color="auto"/>
              <w:left w:val="nil"/>
              <w:bottom w:val="nil"/>
              <w:right w:val="nil"/>
            </w:tcBorders>
            <w:vAlign w:val="center"/>
          </w:tcPr>
          <w:p w14:paraId="2E37531B" w14:textId="77777777" w:rsidR="00054AF4" w:rsidRDefault="00054AF4" w:rsidP="005A6C0D">
            <w:pPr>
              <w:widowControl w:val="0"/>
              <w:autoSpaceDE w:val="0"/>
              <w:autoSpaceDN w:val="0"/>
              <w:adjustRightInd w:val="0"/>
              <w:jc w:val="center"/>
            </w:pPr>
            <w:r>
              <w:t>1</w:t>
            </w:r>
          </w:p>
        </w:tc>
        <w:tc>
          <w:tcPr>
            <w:tcW w:w="1224" w:type="dxa"/>
            <w:tcBorders>
              <w:top w:val="single" w:sz="6" w:space="0" w:color="auto"/>
              <w:left w:val="nil"/>
              <w:bottom w:val="nil"/>
              <w:right w:val="nil"/>
            </w:tcBorders>
            <w:vAlign w:val="center"/>
          </w:tcPr>
          <w:p w14:paraId="1B7BF366" w14:textId="77777777" w:rsidR="00054AF4" w:rsidRDefault="00054AF4" w:rsidP="005A6C0D">
            <w:pPr>
              <w:widowControl w:val="0"/>
              <w:autoSpaceDE w:val="0"/>
              <w:autoSpaceDN w:val="0"/>
              <w:adjustRightInd w:val="0"/>
              <w:jc w:val="center"/>
            </w:pPr>
            <w:r>
              <w:t>2</w:t>
            </w:r>
          </w:p>
        </w:tc>
        <w:tc>
          <w:tcPr>
            <w:tcW w:w="1224" w:type="dxa"/>
            <w:tcBorders>
              <w:top w:val="single" w:sz="6" w:space="0" w:color="auto"/>
              <w:left w:val="nil"/>
              <w:bottom w:val="nil"/>
              <w:right w:val="nil"/>
            </w:tcBorders>
            <w:vAlign w:val="center"/>
          </w:tcPr>
          <w:p w14:paraId="7D35598E" w14:textId="77777777" w:rsidR="00054AF4" w:rsidRDefault="00054AF4" w:rsidP="005A6C0D">
            <w:pPr>
              <w:widowControl w:val="0"/>
              <w:autoSpaceDE w:val="0"/>
              <w:autoSpaceDN w:val="0"/>
              <w:adjustRightInd w:val="0"/>
              <w:jc w:val="center"/>
            </w:pPr>
            <w:r>
              <w:t>3</w:t>
            </w:r>
          </w:p>
        </w:tc>
        <w:tc>
          <w:tcPr>
            <w:tcW w:w="1224" w:type="dxa"/>
            <w:tcBorders>
              <w:top w:val="single" w:sz="6" w:space="0" w:color="auto"/>
              <w:left w:val="nil"/>
              <w:bottom w:val="nil"/>
              <w:right w:val="nil"/>
            </w:tcBorders>
            <w:vAlign w:val="center"/>
          </w:tcPr>
          <w:p w14:paraId="02B9A40F" w14:textId="77777777" w:rsidR="00054AF4" w:rsidRDefault="00054AF4" w:rsidP="005A6C0D">
            <w:pPr>
              <w:widowControl w:val="0"/>
              <w:autoSpaceDE w:val="0"/>
              <w:autoSpaceDN w:val="0"/>
              <w:adjustRightInd w:val="0"/>
              <w:jc w:val="center"/>
            </w:pPr>
            <w:r>
              <w:t>4</w:t>
            </w:r>
          </w:p>
        </w:tc>
        <w:tc>
          <w:tcPr>
            <w:tcW w:w="1224" w:type="dxa"/>
            <w:tcBorders>
              <w:top w:val="single" w:sz="6" w:space="0" w:color="auto"/>
              <w:left w:val="nil"/>
              <w:bottom w:val="nil"/>
              <w:right w:val="nil"/>
            </w:tcBorders>
            <w:vAlign w:val="center"/>
          </w:tcPr>
          <w:p w14:paraId="26D79683" w14:textId="77777777" w:rsidR="00054AF4" w:rsidRDefault="00054AF4" w:rsidP="005A6C0D">
            <w:pPr>
              <w:widowControl w:val="0"/>
              <w:autoSpaceDE w:val="0"/>
              <w:autoSpaceDN w:val="0"/>
              <w:adjustRightInd w:val="0"/>
              <w:jc w:val="center"/>
            </w:pPr>
            <w:r>
              <w:t>5</w:t>
            </w:r>
          </w:p>
        </w:tc>
        <w:tc>
          <w:tcPr>
            <w:tcW w:w="1224" w:type="dxa"/>
            <w:tcBorders>
              <w:top w:val="single" w:sz="6" w:space="0" w:color="auto"/>
              <w:left w:val="nil"/>
              <w:bottom w:val="nil"/>
              <w:right w:val="nil"/>
            </w:tcBorders>
            <w:vAlign w:val="center"/>
          </w:tcPr>
          <w:p w14:paraId="58B39637" w14:textId="040DDE85" w:rsidR="00054AF4" w:rsidRDefault="00054AF4" w:rsidP="005A6C0D">
            <w:pPr>
              <w:widowControl w:val="0"/>
              <w:autoSpaceDE w:val="0"/>
              <w:autoSpaceDN w:val="0"/>
              <w:adjustRightInd w:val="0"/>
              <w:jc w:val="center"/>
            </w:pPr>
            <w:r>
              <w:t>6</w:t>
            </w:r>
          </w:p>
        </w:tc>
        <w:tc>
          <w:tcPr>
            <w:tcW w:w="1224" w:type="dxa"/>
            <w:tcBorders>
              <w:top w:val="single" w:sz="6" w:space="0" w:color="auto"/>
              <w:left w:val="nil"/>
              <w:bottom w:val="nil"/>
              <w:right w:val="nil"/>
            </w:tcBorders>
            <w:vAlign w:val="center"/>
          </w:tcPr>
          <w:p w14:paraId="7C96A8B3" w14:textId="5B6A4BC7" w:rsidR="00054AF4" w:rsidRDefault="00054AF4" w:rsidP="005A6C0D">
            <w:pPr>
              <w:widowControl w:val="0"/>
              <w:autoSpaceDE w:val="0"/>
              <w:autoSpaceDN w:val="0"/>
              <w:adjustRightInd w:val="0"/>
              <w:jc w:val="center"/>
            </w:pPr>
            <w:r>
              <w:t>7</w:t>
            </w:r>
          </w:p>
        </w:tc>
      </w:tr>
      <w:tr w:rsidR="00054AF4" w14:paraId="741B2633" w14:textId="77777777" w:rsidTr="00054AF4">
        <w:tc>
          <w:tcPr>
            <w:tcW w:w="2310" w:type="dxa"/>
            <w:tcBorders>
              <w:top w:val="single" w:sz="6" w:space="0" w:color="auto"/>
              <w:left w:val="nil"/>
              <w:bottom w:val="nil"/>
              <w:right w:val="nil"/>
            </w:tcBorders>
            <w:vAlign w:val="center"/>
          </w:tcPr>
          <w:p w14:paraId="43AA755B" w14:textId="77777777" w:rsidR="00054AF4" w:rsidRPr="00054AF4" w:rsidRDefault="00054AF4" w:rsidP="005A6C0D">
            <w:pPr>
              <w:widowControl w:val="0"/>
              <w:autoSpaceDE w:val="0"/>
              <w:autoSpaceDN w:val="0"/>
              <w:adjustRightInd w:val="0"/>
              <w:rPr>
                <w:sz w:val="22"/>
                <w:szCs w:val="22"/>
              </w:rPr>
            </w:pPr>
          </w:p>
        </w:tc>
        <w:tc>
          <w:tcPr>
            <w:tcW w:w="992" w:type="dxa"/>
            <w:tcBorders>
              <w:top w:val="single" w:sz="6" w:space="0" w:color="auto"/>
              <w:left w:val="nil"/>
              <w:bottom w:val="nil"/>
              <w:right w:val="nil"/>
            </w:tcBorders>
            <w:vAlign w:val="center"/>
          </w:tcPr>
          <w:p w14:paraId="7D64EB89" w14:textId="77777777" w:rsidR="00054AF4" w:rsidRPr="00054AF4" w:rsidRDefault="00054AF4" w:rsidP="005A6C0D">
            <w:pPr>
              <w:widowControl w:val="0"/>
              <w:tabs>
                <w:tab w:val="decimal" w:leader="dot" w:pos="428"/>
              </w:tabs>
              <w:autoSpaceDE w:val="0"/>
              <w:autoSpaceDN w:val="0"/>
              <w:adjustRightInd w:val="0"/>
              <w:rPr>
                <w:sz w:val="22"/>
                <w:szCs w:val="22"/>
              </w:rPr>
            </w:pPr>
          </w:p>
        </w:tc>
        <w:tc>
          <w:tcPr>
            <w:tcW w:w="982" w:type="dxa"/>
            <w:tcBorders>
              <w:top w:val="single" w:sz="6" w:space="0" w:color="auto"/>
              <w:left w:val="nil"/>
              <w:bottom w:val="nil"/>
              <w:right w:val="nil"/>
            </w:tcBorders>
            <w:vAlign w:val="center"/>
          </w:tcPr>
          <w:p w14:paraId="23ACF1EA" w14:textId="77777777" w:rsidR="00054AF4" w:rsidRPr="00054AF4" w:rsidRDefault="00054AF4" w:rsidP="005A6C0D">
            <w:pPr>
              <w:widowControl w:val="0"/>
              <w:tabs>
                <w:tab w:val="decimal" w:leader="dot" w:pos="428"/>
              </w:tabs>
              <w:autoSpaceDE w:val="0"/>
              <w:autoSpaceDN w:val="0"/>
              <w:adjustRightInd w:val="0"/>
              <w:rPr>
                <w:sz w:val="22"/>
                <w:szCs w:val="22"/>
              </w:rPr>
            </w:pPr>
          </w:p>
        </w:tc>
        <w:tc>
          <w:tcPr>
            <w:tcW w:w="1224" w:type="dxa"/>
            <w:tcBorders>
              <w:top w:val="single" w:sz="6" w:space="0" w:color="auto"/>
              <w:left w:val="nil"/>
              <w:bottom w:val="nil"/>
              <w:right w:val="nil"/>
            </w:tcBorders>
            <w:vAlign w:val="center"/>
          </w:tcPr>
          <w:p w14:paraId="3CC95D53" w14:textId="77777777" w:rsidR="00054AF4" w:rsidRPr="00054AF4" w:rsidRDefault="00054AF4" w:rsidP="005A6C0D">
            <w:pPr>
              <w:widowControl w:val="0"/>
              <w:tabs>
                <w:tab w:val="decimal" w:leader="dot" w:pos="428"/>
              </w:tabs>
              <w:autoSpaceDE w:val="0"/>
              <w:autoSpaceDN w:val="0"/>
              <w:adjustRightInd w:val="0"/>
              <w:rPr>
                <w:sz w:val="22"/>
                <w:szCs w:val="22"/>
              </w:rPr>
            </w:pPr>
          </w:p>
        </w:tc>
        <w:tc>
          <w:tcPr>
            <w:tcW w:w="1224" w:type="dxa"/>
            <w:tcBorders>
              <w:top w:val="single" w:sz="6" w:space="0" w:color="auto"/>
              <w:left w:val="nil"/>
              <w:bottom w:val="nil"/>
              <w:right w:val="nil"/>
            </w:tcBorders>
            <w:vAlign w:val="center"/>
          </w:tcPr>
          <w:p w14:paraId="140DFF4A" w14:textId="77777777" w:rsidR="00054AF4" w:rsidRDefault="00054AF4" w:rsidP="005A6C0D">
            <w:pPr>
              <w:widowControl w:val="0"/>
              <w:tabs>
                <w:tab w:val="decimal" w:leader="dot" w:pos="428"/>
              </w:tabs>
              <w:autoSpaceDE w:val="0"/>
              <w:autoSpaceDN w:val="0"/>
              <w:adjustRightInd w:val="0"/>
            </w:pPr>
          </w:p>
        </w:tc>
        <w:tc>
          <w:tcPr>
            <w:tcW w:w="1224" w:type="dxa"/>
            <w:tcBorders>
              <w:top w:val="single" w:sz="6" w:space="0" w:color="auto"/>
              <w:left w:val="nil"/>
              <w:bottom w:val="nil"/>
              <w:right w:val="nil"/>
            </w:tcBorders>
            <w:vAlign w:val="center"/>
          </w:tcPr>
          <w:p w14:paraId="78076DF4" w14:textId="77777777" w:rsidR="00054AF4" w:rsidRDefault="00054AF4" w:rsidP="005A6C0D">
            <w:pPr>
              <w:widowControl w:val="0"/>
              <w:tabs>
                <w:tab w:val="decimal" w:leader="dot" w:pos="428"/>
              </w:tabs>
              <w:autoSpaceDE w:val="0"/>
              <w:autoSpaceDN w:val="0"/>
              <w:adjustRightInd w:val="0"/>
            </w:pPr>
          </w:p>
        </w:tc>
        <w:tc>
          <w:tcPr>
            <w:tcW w:w="1224" w:type="dxa"/>
            <w:tcBorders>
              <w:top w:val="single" w:sz="6" w:space="0" w:color="auto"/>
              <w:left w:val="nil"/>
              <w:bottom w:val="nil"/>
              <w:right w:val="nil"/>
            </w:tcBorders>
            <w:vAlign w:val="center"/>
          </w:tcPr>
          <w:p w14:paraId="5012330F" w14:textId="77777777" w:rsidR="00054AF4" w:rsidRDefault="00054AF4" w:rsidP="005A6C0D">
            <w:pPr>
              <w:widowControl w:val="0"/>
              <w:tabs>
                <w:tab w:val="decimal" w:leader="dot" w:pos="428"/>
              </w:tabs>
              <w:autoSpaceDE w:val="0"/>
              <w:autoSpaceDN w:val="0"/>
              <w:adjustRightInd w:val="0"/>
            </w:pPr>
          </w:p>
        </w:tc>
        <w:tc>
          <w:tcPr>
            <w:tcW w:w="1224" w:type="dxa"/>
            <w:tcBorders>
              <w:top w:val="single" w:sz="6" w:space="0" w:color="auto"/>
              <w:left w:val="nil"/>
              <w:bottom w:val="nil"/>
              <w:right w:val="nil"/>
            </w:tcBorders>
            <w:vAlign w:val="center"/>
          </w:tcPr>
          <w:p w14:paraId="653DA562" w14:textId="77777777" w:rsidR="00054AF4" w:rsidRDefault="00054AF4" w:rsidP="005A6C0D">
            <w:pPr>
              <w:widowControl w:val="0"/>
              <w:tabs>
                <w:tab w:val="decimal" w:leader="dot" w:pos="428"/>
              </w:tabs>
              <w:autoSpaceDE w:val="0"/>
              <w:autoSpaceDN w:val="0"/>
              <w:adjustRightInd w:val="0"/>
            </w:pPr>
          </w:p>
        </w:tc>
        <w:tc>
          <w:tcPr>
            <w:tcW w:w="1224" w:type="dxa"/>
            <w:tcBorders>
              <w:top w:val="single" w:sz="6" w:space="0" w:color="auto"/>
              <w:left w:val="nil"/>
              <w:bottom w:val="nil"/>
              <w:right w:val="nil"/>
            </w:tcBorders>
            <w:vAlign w:val="center"/>
          </w:tcPr>
          <w:p w14:paraId="2678298B" w14:textId="77777777" w:rsidR="00054AF4" w:rsidRDefault="00054AF4" w:rsidP="005A6C0D">
            <w:pPr>
              <w:widowControl w:val="0"/>
              <w:tabs>
                <w:tab w:val="decimal" w:leader="dot" w:pos="428"/>
              </w:tabs>
              <w:autoSpaceDE w:val="0"/>
              <w:autoSpaceDN w:val="0"/>
              <w:adjustRightInd w:val="0"/>
            </w:pPr>
          </w:p>
        </w:tc>
        <w:tc>
          <w:tcPr>
            <w:tcW w:w="1224" w:type="dxa"/>
            <w:tcBorders>
              <w:top w:val="single" w:sz="6" w:space="0" w:color="auto"/>
              <w:left w:val="nil"/>
              <w:bottom w:val="nil"/>
              <w:right w:val="nil"/>
            </w:tcBorders>
            <w:vAlign w:val="center"/>
          </w:tcPr>
          <w:p w14:paraId="6ADE7AD5" w14:textId="77777777" w:rsidR="00054AF4" w:rsidRDefault="00054AF4" w:rsidP="005A6C0D">
            <w:pPr>
              <w:widowControl w:val="0"/>
              <w:tabs>
                <w:tab w:val="decimal" w:leader="dot" w:pos="428"/>
              </w:tabs>
              <w:autoSpaceDE w:val="0"/>
              <w:autoSpaceDN w:val="0"/>
              <w:adjustRightInd w:val="0"/>
            </w:pPr>
          </w:p>
        </w:tc>
      </w:tr>
      <w:tr w:rsidR="00054AF4" w14:paraId="1894016C" w14:textId="77777777" w:rsidTr="00054AF4">
        <w:tc>
          <w:tcPr>
            <w:tcW w:w="2310" w:type="dxa"/>
            <w:tcBorders>
              <w:top w:val="nil"/>
              <w:left w:val="nil"/>
              <w:bottom w:val="nil"/>
              <w:right w:val="nil"/>
            </w:tcBorders>
            <w:vAlign w:val="center"/>
          </w:tcPr>
          <w:p w14:paraId="5095773A" w14:textId="2279A8CF" w:rsidR="00054AF4" w:rsidRPr="00054AF4" w:rsidRDefault="00054AF4" w:rsidP="005A6C0D">
            <w:pPr>
              <w:widowControl w:val="0"/>
              <w:autoSpaceDE w:val="0"/>
              <w:autoSpaceDN w:val="0"/>
              <w:adjustRightInd w:val="0"/>
              <w:rPr>
                <w:sz w:val="22"/>
                <w:szCs w:val="22"/>
              </w:rPr>
            </w:pPr>
            <w:r w:rsidRPr="00054AF4">
              <w:rPr>
                <w:sz w:val="22"/>
                <w:szCs w:val="22"/>
              </w:rPr>
              <w:t>1. Secure</w:t>
            </w:r>
            <w:r>
              <w:rPr>
                <w:sz w:val="22"/>
                <w:szCs w:val="22"/>
              </w:rPr>
              <w:t xml:space="preserve"> </w:t>
            </w:r>
            <w:r w:rsidRPr="00054AF4">
              <w:rPr>
                <w:sz w:val="22"/>
                <w:szCs w:val="22"/>
                <w:lang w:val="en-US"/>
              </w:rPr>
              <w:t>(</w:t>
            </w:r>
            <w:r w:rsidRPr="00054AF4">
              <w:rPr>
                <w:i/>
                <w:sz w:val="22"/>
                <w:szCs w:val="22"/>
                <w:lang w:val="en-US"/>
              </w:rPr>
              <w:t>n</w:t>
            </w:r>
            <w:r w:rsidRPr="00054AF4">
              <w:rPr>
                <w:sz w:val="22"/>
                <w:szCs w:val="22"/>
                <w:lang w:val="en-US"/>
              </w:rPr>
              <w:t xml:space="preserve"> = </w:t>
            </w:r>
            <w:r w:rsidR="00E01FE4">
              <w:rPr>
                <w:sz w:val="22"/>
                <w:szCs w:val="22"/>
                <w:lang w:val="en-US"/>
              </w:rPr>
              <w:t>441</w:t>
            </w:r>
            <w:r w:rsidRPr="00054AF4">
              <w:rPr>
                <w:sz w:val="22"/>
                <w:szCs w:val="22"/>
                <w:lang w:val="en-US"/>
              </w:rPr>
              <w:t>)</w:t>
            </w:r>
          </w:p>
        </w:tc>
        <w:tc>
          <w:tcPr>
            <w:tcW w:w="992" w:type="dxa"/>
            <w:tcBorders>
              <w:top w:val="nil"/>
              <w:left w:val="nil"/>
              <w:bottom w:val="nil"/>
              <w:right w:val="nil"/>
            </w:tcBorders>
            <w:vAlign w:val="center"/>
          </w:tcPr>
          <w:p w14:paraId="110BB9ED" w14:textId="77777777" w:rsidR="00054AF4" w:rsidRPr="00054AF4" w:rsidRDefault="00054AF4" w:rsidP="005A6C0D">
            <w:pPr>
              <w:widowControl w:val="0"/>
              <w:tabs>
                <w:tab w:val="decimal" w:leader="dot" w:pos="428"/>
              </w:tabs>
              <w:autoSpaceDE w:val="0"/>
              <w:autoSpaceDN w:val="0"/>
              <w:adjustRightInd w:val="0"/>
              <w:rPr>
                <w:sz w:val="22"/>
                <w:szCs w:val="22"/>
              </w:rPr>
            </w:pPr>
            <w:r w:rsidRPr="00054AF4">
              <w:rPr>
                <w:sz w:val="22"/>
                <w:szCs w:val="22"/>
              </w:rPr>
              <w:t>0.33</w:t>
            </w:r>
          </w:p>
        </w:tc>
        <w:tc>
          <w:tcPr>
            <w:tcW w:w="982" w:type="dxa"/>
            <w:tcBorders>
              <w:top w:val="nil"/>
              <w:left w:val="nil"/>
              <w:bottom w:val="nil"/>
              <w:right w:val="nil"/>
            </w:tcBorders>
            <w:vAlign w:val="center"/>
          </w:tcPr>
          <w:p w14:paraId="09E86203" w14:textId="77777777" w:rsidR="00054AF4" w:rsidRPr="00054AF4" w:rsidRDefault="00054AF4" w:rsidP="005A6C0D">
            <w:pPr>
              <w:widowControl w:val="0"/>
              <w:tabs>
                <w:tab w:val="decimal" w:leader="dot" w:pos="428"/>
              </w:tabs>
              <w:autoSpaceDE w:val="0"/>
              <w:autoSpaceDN w:val="0"/>
              <w:adjustRightInd w:val="0"/>
              <w:rPr>
                <w:sz w:val="22"/>
                <w:szCs w:val="22"/>
              </w:rPr>
            </w:pPr>
            <w:r w:rsidRPr="00054AF4">
              <w:rPr>
                <w:sz w:val="22"/>
                <w:szCs w:val="22"/>
              </w:rPr>
              <w:t>0.47</w:t>
            </w:r>
          </w:p>
        </w:tc>
        <w:tc>
          <w:tcPr>
            <w:tcW w:w="1224" w:type="dxa"/>
            <w:tcBorders>
              <w:top w:val="nil"/>
              <w:left w:val="nil"/>
              <w:bottom w:val="nil"/>
              <w:right w:val="nil"/>
            </w:tcBorders>
            <w:vAlign w:val="center"/>
          </w:tcPr>
          <w:p w14:paraId="3304C74F" w14:textId="77777777" w:rsidR="00054AF4" w:rsidRPr="00054AF4" w:rsidRDefault="00054AF4" w:rsidP="005A6C0D">
            <w:pPr>
              <w:widowControl w:val="0"/>
              <w:tabs>
                <w:tab w:val="decimal" w:leader="dot" w:pos="428"/>
              </w:tabs>
              <w:autoSpaceDE w:val="0"/>
              <w:autoSpaceDN w:val="0"/>
              <w:adjustRightInd w:val="0"/>
              <w:rPr>
                <w:sz w:val="22"/>
                <w:szCs w:val="22"/>
              </w:rPr>
            </w:pPr>
            <w:r w:rsidRPr="00054AF4">
              <w:rPr>
                <w:sz w:val="22"/>
                <w:szCs w:val="22"/>
              </w:rPr>
              <w:t xml:space="preserve"> </w:t>
            </w:r>
          </w:p>
        </w:tc>
        <w:tc>
          <w:tcPr>
            <w:tcW w:w="1224" w:type="dxa"/>
            <w:tcBorders>
              <w:top w:val="nil"/>
              <w:left w:val="nil"/>
              <w:bottom w:val="nil"/>
              <w:right w:val="nil"/>
            </w:tcBorders>
            <w:vAlign w:val="center"/>
          </w:tcPr>
          <w:p w14:paraId="595F00B5" w14:textId="77777777" w:rsidR="00054AF4" w:rsidRDefault="00054AF4" w:rsidP="005A6C0D">
            <w:pPr>
              <w:widowControl w:val="0"/>
              <w:tabs>
                <w:tab w:val="decimal" w:leader="dot" w:pos="428"/>
              </w:tabs>
              <w:autoSpaceDE w:val="0"/>
              <w:autoSpaceDN w:val="0"/>
              <w:adjustRightInd w:val="0"/>
            </w:pPr>
            <w:r>
              <w:t xml:space="preserve"> </w:t>
            </w:r>
          </w:p>
        </w:tc>
        <w:tc>
          <w:tcPr>
            <w:tcW w:w="1224" w:type="dxa"/>
            <w:tcBorders>
              <w:top w:val="nil"/>
              <w:left w:val="nil"/>
              <w:bottom w:val="nil"/>
              <w:right w:val="nil"/>
            </w:tcBorders>
            <w:vAlign w:val="center"/>
          </w:tcPr>
          <w:p w14:paraId="2CAB05E2" w14:textId="77777777" w:rsidR="00054AF4" w:rsidRDefault="00054AF4" w:rsidP="005A6C0D">
            <w:pPr>
              <w:widowControl w:val="0"/>
              <w:tabs>
                <w:tab w:val="decimal" w:leader="dot" w:pos="428"/>
              </w:tabs>
              <w:autoSpaceDE w:val="0"/>
              <w:autoSpaceDN w:val="0"/>
              <w:adjustRightInd w:val="0"/>
            </w:pPr>
            <w:r>
              <w:t xml:space="preserve"> </w:t>
            </w:r>
          </w:p>
        </w:tc>
        <w:tc>
          <w:tcPr>
            <w:tcW w:w="1224" w:type="dxa"/>
            <w:tcBorders>
              <w:top w:val="nil"/>
              <w:left w:val="nil"/>
              <w:bottom w:val="nil"/>
              <w:right w:val="nil"/>
            </w:tcBorders>
            <w:vAlign w:val="center"/>
          </w:tcPr>
          <w:p w14:paraId="380D78AF" w14:textId="77777777" w:rsidR="00054AF4" w:rsidRDefault="00054AF4" w:rsidP="005A6C0D">
            <w:pPr>
              <w:widowControl w:val="0"/>
              <w:tabs>
                <w:tab w:val="decimal" w:leader="dot" w:pos="428"/>
              </w:tabs>
              <w:autoSpaceDE w:val="0"/>
              <w:autoSpaceDN w:val="0"/>
              <w:adjustRightInd w:val="0"/>
            </w:pPr>
            <w:r>
              <w:t xml:space="preserve"> </w:t>
            </w:r>
          </w:p>
        </w:tc>
        <w:tc>
          <w:tcPr>
            <w:tcW w:w="1224" w:type="dxa"/>
            <w:tcBorders>
              <w:top w:val="nil"/>
              <w:left w:val="nil"/>
              <w:bottom w:val="nil"/>
              <w:right w:val="nil"/>
            </w:tcBorders>
            <w:vAlign w:val="center"/>
          </w:tcPr>
          <w:p w14:paraId="77DB9349" w14:textId="77777777" w:rsidR="00054AF4" w:rsidRDefault="00054AF4" w:rsidP="005A6C0D">
            <w:pPr>
              <w:widowControl w:val="0"/>
              <w:tabs>
                <w:tab w:val="decimal" w:leader="dot" w:pos="428"/>
              </w:tabs>
              <w:autoSpaceDE w:val="0"/>
              <w:autoSpaceDN w:val="0"/>
              <w:adjustRightInd w:val="0"/>
            </w:pPr>
            <w:r>
              <w:t xml:space="preserve"> </w:t>
            </w:r>
          </w:p>
        </w:tc>
        <w:tc>
          <w:tcPr>
            <w:tcW w:w="1224" w:type="dxa"/>
            <w:tcBorders>
              <w:top w:val="nil"/>
              <w:left w:val="nil"/>
              <w:bottom w:val="nil"/>
              <w:right w:val="nil"/>
            </w:tcBorders>
            <w:vAlign w:val="center"/>
          </w:tcPr>
          <w:p w14:paraId="6060344E" w14:textId="77777777" w:rsidR="00054AF4" w:rsidRDefault="00054AF4" w:rsidP="005A6C0D">
            <w:pPr>
              <w:widowControl w:val="0"/>
              <w:tabs>
                <w:tab w:val="decimal" w:leader="dot" w:pos="428"/>
              </w:tabs>
              <w:autoSpaceDE w:val="0"/>
              <w:autoSpaceDN w:val="0"/>
              <w:adjustRightInd w:val="0"/>
            </w:pPr>
            <w:r>
              <w:t xml:space="preserve"> </w:t>
            </w:r>
          </w:p>
        </w:tc>
        <w:tc>
          <w:tcPr>
            <w:tcW w:w="1224" w:type="dxa"/>
            <w:tcBorders>
              <w:top w:val="nil"/>
              <w:left w:val="nil"/>
              <w:bottom w:val="nil"/>
              <w:right w:val="nil"/>
            </w:tcBorders>
            <w:vAlign w:val="center"/>
          </w:tcPr>
          <w:p w14:paraId="65C38361" w14:textId="77777777" w:rsidR="00054AF4" w:rsidRDefault="00054AF4" w:rsidP="005A6C0D">
            <w:pPr>
              <w:widowControl w:val="0"/>
              <w:tabs>
                <w:tab w:val="decimal" w:leader="dot" w:pos="428"/>
              </w:tabs>
              <w:autoSpaceDE w:val="0"/>
              <w:autoSpaceDN w:val="0"/>
              <w:adjustRightInd w:val="0"/>
            </w:pPr>
            <w:r>
              <w:t xml:space="preserve"> </w:t>
            </w:r>
          </w:p>
        </w:tc>
      </w:tr>
      <w:tr w:rsidR="00054AF4" w14:paraId="40DDF7C9" w14:textId="77777777" w:rsidTr="00054AF4">
        <w:tc>
          <w:tcPr>
            <w:tcW w:w="2310" w:type="dxa"/>
            <w:tcBorders>
              <w:top w:val="nil"/>
              <w:left w:val="nil"/>
              <w:bottom w:val="nil"/>
              <w:right w:val="nil"/>
            </w:tcBorders>
            <w:vAlign w:val="center"/>
          </w:tcPr>
          <w:p w14:paraId="01075645" w14:textId="77777777" w:rsidR="00054AF4" w:rsidRPr="00054AF4" w:rsidRDefault="00054AF4" w:rsidP="005A6C0D">
            <w:pPr>
              <w:widowControl w:val="0"/>
              <w:autoSpaceDE w:val="0"/>
              <w:autoSpaceDN w:val="0"/>
              <w:adjustRightInd w:val="0"/>
              <w:rPr>
                <w:sz w:val="22"/>
                <w:szCs w:val="22"/>
              </w:rPr>
            </w:pPr>
            <w:r w:rsidRPr="00054AF4">
              <w:rPr>
                <w:sz w:val="22"/>
                <w:szCs w:val="22"/>
              </w:rPr>
              <w:t xml:space="preserve"> </w:t>
            </w:r>
          </w:p>
        </w:tc>
        <w:tc>
          <w:tcPr>
            <w:tcW w:w="992" w:type="dxa"/>
            <w:tcBorders>
              <w:top w:val="nil"/>
              <w:left w:val="nil"/>
              <w:bottom w:val="nil"/>
              <w:right w:val="nil"/>
            </w:tcBorders>
            <w:vAlign w:val="center"/>
          </w:tcPr>
          <w:p w14:paraId="118533DD" w14:textId="77777777" w:rsidR="00054AF4" w:rsidRPr="00054AF4" w:rsidRDefault="00054AF4" w:rsidP="005A6C0D">
            <w:pPr>
              <w:widowControl w:val="0"/>
              <w:tabs>
                <w:tab w:val="decimal" w:leader="dot" w:pos="428"/>
              </w:tabs>
              <w:autoSpaceDE w:val="0"/>
              <w:autoSpaceDN w:val="0"/>
              <w:adjustRightInd w:val="0"/>
              <w:rPr>
                <w:sz w:val="22"/>
                <w:szCs w:val="22"/>
              </w:rPr>
            </w:pPr>
            <w:r w:rsidRPr="00054AF4">
              <w:rPr>
                <w:sz w:val="22"/>
                <w:szCs w:val="22"/>
              </w:rPr>
              <w:t xml:space="preserve"> </w:t>
            </w:r>
          </w:p>
        </w:tc>
        <w:tc>
          <w:tcPr>
            <w:tcW w:w="982" w:type="dxa"/>
            <w:tcBorders>
              <w:top w:val="nil"/>
              <w:left w:val="nil"/>
              <w:bottom w:val="nil"/>
              <w:right w:val="nil"/>
            </w:tcBorders>
            <w:vAlign w:val="center"/>
          </w:tcPr>
          <w:p w14:paraId="3E2371DD" w14:textId="77777777" w:rsidR="00054AF4" w:rsidRPr="00054AF4" w:rsidRDefault="00054AF4" w:rsidP="005A6C0D">
            <w:pPr>
              <w:widowControl w:val="0"/>
              <w:tabs>
                <w:tab w:val="decimal" w:leader="dot" w:pos="428"/>
              </w:tabs>
              <w:autoSpaceDE w:val="0"/>
              <w:autoSpaceDN w:val="0"/>
              <w:adjustRightInd w:val="0"/>
              <w:rPr>
                <w:sz w:val="22"/>
                <w:szCs w:val="22"/>
              </w:rPr>
            </w:pPr>
            <w:r w:rsidRPr="00054AF4">
              <w:rPr>
                <w:sz w:val="22"/>
                <w:szCs w:val="22"/>
              </w:rPr>
              <w:t xml:space="preserve"> </w:t>
            </w:r>
          </w:p>
        </w:tc>
        <w:tc>
          <w:tcPr>
            <w:tcW w:w="1224" w:type="dxa"/>
            <w:tcBorders>
              <w:top w:val="nil"/>
              <w:left w:val="nil"/>
              <w:bottom w:val="nil"/>
              <w:right w:val="nil"/>
            </w:tcBorders>
            <w:vAlign w:val="center"/>
          </w:tcPr>
          <w:p w14:paraId="70D402B0" w14:textId="77777777" w:rsidR="00054AF4" w:rsidRPr="00054AF4" w:rsidRDefault="00054AF4" w:rsidP="005A6C0D">
            <w:pPr>
              <w:widowControl w:val="0"/>
              <w:tabs>
                <w:tab w:val="decimal" w:leader="dot" w:pos="428"/>
              </w:tabs>
              <w:autoSpaceDE w:val="0"/>
              <w:autoSpaceDN w:val="0"/>
              <w:adjustRightInd w:val="0"/>
              <w:rPr>
                <w:sz w:val="22"/>
                <w:szCs w:val="22"/>
              </w:rPr>
            </w:pPr>
            <w:r w:rsidRPr="00054AF4">
              <w:rPr>
                <w:sz w:val="22"/>
                <w:szCs w:val="22"/>
              </w:rPr>
              <w:t xml:space="preserve"> </w:t>
            </w:r>
          </w:p>
        </w:tc>
        <w:tc>
          <w:tcPr>
            <w:tcW w:w="1224" w:type="dxa"/>
            <w:tcBorders>
              <w:top w:val="nil"/>
              <w:left w:val="nil"/>
              <w:bottom w:val="nil"/>
              <w:right w:val="nil"/>
            </w:tcBorders>
            <w:vAlign w:val="center"/>
          </w:tcPr>
          <w:p w14:paraId="1078028A" w14:textId="77777777" w:rsidR="00054AF4" w:rsidRDefault="00054AF4" w:rsidP="005A6C0D">
            <w:pPr>
              <w:widowControl w:val="0"/>
              <w:tabs>
                <w:tab w:val="decimal" w:leader="dot" w:pos="428"/>
              </w:tabs>
              <w:autoSpaceDE w:val="0"/>
              <w:autoSpaceDN w:val="0"/>
              <w:adjustRightInd w:val="0"/>
            </w:pPr>
            <w:r>
              <w:t xml:space="preserve"> </w:t>
            </w:r>
          </w:p>
        </w:tc>
        <w:tc>
          <w:tcPr>
            <w:tcW w:w="1224" w:type="dxa"/>
            <w:tcBorders>
              <w:top w:val="nil"/>
              <w:left w:val="nil"/>
              <w:bottom w:val="nil"/>
              <w:right w:val="nil"/>
            </w:tcBorders>
            <w:vAlign w:val="center"/>
          </w:tcPr>
          <w:p w14:paraId="6706317C" w14:textId="77777777" w:rsidR="00054AF4" w:rsidRDefault="00054AF4" w:rsidP="005A6C0D">
            <w:pPr>
              <w:widowControl w:val="0"/>
              <w:tabs>
                <w:tab w:val="decimal" w:leader="dot" w:pos="428"/>
              </w:tabs>
              <w:autoSpaceDE w:val="0"/>
              <w:autoSpaceDN w:val="0"/>
              <w:adjustRightInd w:val="0"/>
            </w:pPr>
            <w:r>
              <w:t xml:space="preserve"> </w:t>
            </w:r>
          </w:p>
        </w:tc>
        <w:tc>
          <w:tcPr>
            <w:tcW w:w="1224" w:type="dxa"/>
            <w:tcBorders>
              <w:top w:val="nil"/>
              <w:left w:val="nil"/>
              <w:bottom w:val="nil"/>
              <w:right w:val="nil"/>
            </w:tcBorders>
            <w:vAlign w:val="center"/>
          </w:tcPr>
          <w:p w14:paraId="73A55B94" w14:textId="77777777" w:rsidR="00054AF4" w:rsidRDefault="00054AF4" w:rsidP="005A6C0D">
            <w:pPr>
              <w:widowControl w:val="0"/>
              <w:tabs>
                <w:tab w:val="decimal" w:leader="dot" w:pos="428"/>
              </w:tabs>
              <w:autoSpaceDE w:val="0"/>
              <w:autoSpaceDN w:val="0"/>
              <w:adjustRightInd w:val="0"/>
            </w:pPr>
            <w:r>
              <w:t xml:space="preserve"> </w:t>
            </w:r>
          </w:p>
        </w:tc>
        <w:tc>
          <w:tcPr>
            <w:tcW w:w="1224" w:type="dxa"/>
            <w:tcBorders>
              <w:top w:val="nil"/>
              <w:left w:val="nil"/>
              <w:bottom w:val="nil"/>
              <w:right w:val="nil"/>
            </w:tcBorders>
            <w:vAlign w:val="center"/>
          </w:tcPr>
          <w:p w14:paraId="29B72E6F" w14:textId="77777777" w:rsidR="00054AF4" w:rsidRDefault="00054AF4" w:rsidP="005A6C0D">
            <w:pPr>
              <w:widowControl w:val="0"/>
              <w:tabs>
                <w:tab w:val="decimal" w:leader="dot" w:pos="428"/>
              </w:tabs>
              <w:autoSpaceDE w:val="0"/>
              <w:autoSpaceDN w:val="0"/>
              <w:adjustRightInd w:val="0"/>
            </w:pPr>
            <w:r>
              <w:t xml:space="preserve"> </w:t>
            </w:r>
          </w:p>
        </w:tc>
        <w:tc>
          <w:tcPr>
            <w:tcW w:w="1224" w:type="dxa"/>
            <w:tcBorders>
              <w:top w:val="nil"/>
              <w:left w:val="nil"/>
              <w:bottom w:val="nil"/>
              <w:right w:val="nil"/>
            </w:tcBorders>
            <w:vAlign w:val="center"/>
          </w:tcPr>
          <w:p w14:paraId="226524AD" w14:textId="77777777" w:rsidR="00054AF4" w:rsidRDefault="00054AF4" w:rsidP="005A6C0D">
            <w:pPr>
              <w:widowControl w:val="0"/>
              <w:tabs>
                <w:tab w:val="decimal" w:leader="dot" w:pos="428"/>
              </w:tabs>
              <w:autoSpaceDE w:val="0"/>
              <w:autoSpaceDN w:val="0"/>
              <w:adjustRightInd w:val="0"/>
            </w:pPr>
            <w:r>
              <w:t xml:space="preserve"> </w:t>
            </w:r>
          </w:p>
        </w:tc>
        <w:tc>
          <w:tcPr>
            <w:tcW w:w="1224" w:type="dxa"/>
            <w:tcBorders>
              <w:top w:val="nil"/>
              <w:left w:val="nil"/>
              <w:bottom w:val="nil"/>
              <w:right w:val="nil"/>
            </w:tcBorders>
            <w:vAlign w:val="center"/>
          </w:tcPr>
          <w:p w14:paraId="1D3CCF00" w14:textId="77777777" w:rsidR="00054AF4" w:rsidRDefault="00054AF4" w:rsidP="005A6C0D">
            <w:pPr>
              <w:widowControl w:val="0"/>
              <w:tabs>
                <w:tab w:val="decimal" w:leader="dot" w:pos="428"/>
              </w:tabs>
              <w:autoSpaceDE w:val="0"/>
              <w:autoSpaceDN w:val="0"/>
              <w:adjustRightInd w:val="0"/>
            </w:pPr>
            <w:r>
              <w:t xml:space="preserve"> </w:t>
            </w:r>
          </w:p>
        </w:tc>
      </w:tr>
      <w:tr w:rsidR="00054AF4" w14:paraId="74B480B3" w14:textId="77777777" w:rsidTr="00054AF4">
        <w:tc>
          <w:tcPr>
            <w:tcW w:w="2310" w:type="dxa"/>
            <w:tcBorders>
              <w:top w:val="nil"/>
              <w:left w:val="nil"/>
              <w:bottom w:val="nil"/>
              <w:right w:val="nil"/>
            </w:tcBorders>
            <w:vAlign w:val="center"/>
          </w:tcPr>
          <w:p w14:paraId="1E77AA1F" w14:textId="22A98F61" w:rsidR="00054AF4" w:rsidRPr="00054AF4" w:rsidRDefault="00054AF4" w:rsidP="00054AF4">
            <w:pPr>
              <w:widowControl w:val="0"/>
              <w:autoSpaceDE w:val="0"/>
              <w:autoSpaceDN w:val="0"/>
              <w:adjustRightInd w:val="0"/>
              <w:rPr>
                <w:sz w:val="22"/>
                <w:szCs w:val="22"/>
              </w:rPr>
            </w:pPr>
            <w:r w:rsidRPr="00054AF4">
              <w:rPr>
                <w:sz w:val="22"/>
                <w:szCs w:val="22"/>
                <w:lang w:val="en-US"/>
              </w:rPr>
              <w:t>2. Fearful (</w:t>
            </w:r>
            <w:r w:rsidRPr="00054AF4">
              <w:rPr>
                <w:i/>
                <w:sz w:val="22"/>
                <w:szCs w:val="22"/>
                <w:lang w:val="en-US"/>
              </w:rPr>
              <w:t>n</w:t>
            </w:r>
            <w:r w:rsidRPr="00054AF4">
              <w:rPr>
                <w:sz w:val="22"/>
                <w:szCs w:val="22"/>
                <w:lang w:val="en-US"/>
              </w:rPr>
              <w:t xml:space="preserve"> = 124)</w:t>
            </w:r>
          </w:p>
        </w:tc>
        <w:tc>
          <w:tcPr>
            <w:tcW w:w="992" w:type="dxa"/>
            <w:tcBorders>
              <w:top w:val="nil"/>
              <w:left w:val="nil"/>
              <w:bottom w:val="nil"/>
              <w:right w:val="nil"/>
            </w:tcBorders>
            <w:vAlign w:val="center"/>
          </w:tcPr>
          <w:p w14:paraId="6FC62167" w14:textId="77777777" w:rsidR="00054AF4" w:rsidRPr="00054AF4" w:rsidRDefault="00054AF4" w:rsidP="00054AF4">
            <w:pPr>
              <w:widowControl w:val="0"/>
              <w:tabs>
                <w:tab w:val="decimal" w:leader="dot" w:pos="428"/>
              </w:tabs>
              <w:autoSpaceDE w:val="0"/>
              <w:autoSpaceDN w:val="0"/>
              <w:adjustRightInd w:val="0"/>
              <w:rPr>
                <w:sz w:val="22"/>
                <w:szCs w:val="22"/>
              </w:rPr>
            </w:pPr>
            <w:r w:rsidRPr="00054AF4">
              <w:rPr>
                <w:sz w:val="22"/>
                <w:szCs w:val="22"/>
              </w:rPr>
              <w:t>0.28</w:t>
            </w:r>
          </w:p>
        </w:tc>
        <w:tc>
          <w:tcPr>
            <w:tcW w:w="982" w:type="dxa"/>
            <w:tcBorders>
              <w:top w:val="nil"/>
              <w:left w:val="nil"/>
              <w:bottom w:val="nil"/>
              <w:right w:val="nil"/>
            </w:tcBorders>
            <w:vAlign w:val="center"/>
          </w:tcPr>
          <w:p w14:paraId="1EFC6AD3" w14:textId="77777777" w:rsidR="00054AF4" w:rsidRPr="00054AF4" w:rsidRDefault="00054AF4" w:rsidP="00054AF4">
            <w:pPr>
              <w:widowControl w:val="0"/>
              <w:tabs>
                <w:tab w:val="decimal" w:leader="dot" w:pos="428"/>
              </w:tabs>
              <w:autoSpaceDE w:val="0"/>
              <w:autoSpaceDN w:val="0"/>
              <w:adjustRightInd w:val="0"/>
              <w:rPr>
                <w:sz w:val="22"/>
                <w:szCs w:val="22"/>
              </w:rPr>
            </w:pPr>
            <w:r w:rsidRPr="00054AF4">
              <w:rPr>
                <w:sz w:val="22"/>
                <w:szCs w:val="22"/>
              </w:rPr>
              <w:t>0.45</w:t>
            </w:r>
          </w:p>
        </w:tc>
        <w:tc>
          <w:tcPr>
            <w:tcW w:w="1224" w:type="dxa"/>
            <w:tcBorders>
              <w:top w:val="nil"/>
              <w:left w:val="nil"/>
              <w:bottom w:val="nil"/>
              <w:right w:val="nil"/>
            </w:tcBorders>
            <w:vAlign w:val="center"/>
          </w:tcPr>
          <w:p w14:paraId="549AE49D" w14:textId="77777777" w:rsidR="00054AF4" w:rsidRPr="00054AF4" w:rsidRDefault="00054AF4" w:rsidP="00054AF4">
            <w:pPr>
              <w:widowControl w:val="0"/>
              <w:tabs>
                <w:tab w:val="decimal" w:leader="dot" w:pos="428"/>
              </w:tabs>
              <w:autoSpaceDE w:val="0"/>
              <w:autoSpaceDN w:val="0"/>
              <w:adjustRightInd w:val="0"/>
              <w:rPr>
                <w:sz w:val="22"/>
                <w:szCs w:val="22"/>
              </w:rPr>
            </w:pPr>
            <w:r w:rsidRPr="00054AF4">
              <w:rPr>
                <w:sz w:val="22"/>
                <w:szCs w:val="22"/>
              </w:rPr>
              <w:t>-.44**</w:t>
            </w:r>
          </w:p>
        </w:tc>
        <w:tc>
          <w:tcPr>
            <w:tcW w:w="1224" w:type="dxa"/>
            <w:tcBorders>
              <w:top w:val="nil"/>
              <w:left w:val="nil"/>
              <w:bottom w:val="nil"/>
              <w:right w:val="nil"/>
            </w:tcBorders>
            <w:vAlign w:val="center"/>
          </w:tcPr>
          <w:p w14:paraId="55412B35" w14:textId="77777777" w:rsidR="00054AF4" w:rsidRDefault="00054AF4" w:rsidP="00054AF4">
            <w:pPr>
              <w:widowControl w:val="0"/>
              <w:tabs>
                <w:tab w:val="decimal" w:leader="dot" w:pos="428"/>
              </w:tabs>
              <w:autoSpaceDE w:val="0"/>
              <w:autoSpaceDN w:val="0"/>
              <w:adjustRightInd w:val="0"/>
            </w:pPr>
            <w:r>
              <w:t xml:space="preserve"> </w:t>
            </w:r>
          </w:p>
        </w:tc>
        <w:tc>
          <w:tcPr>
            <w:tcW w:w="1224" w:type="dxa"/>
            <w:tcBorders>
              <w:top w:val="nil"/>
              <w:left w:val="nil"/>
              <w:bottom w:val="nil"/>
              <w:right w:val="nil"/>
            </w:tcBorders>
            <w:vAlign w:val="center"/>
          </w:tcPr>
          <w:p w14:paraId="402377BB" w14:textId="77777777" w:rsidR="00054AF4" w:rsidRDefault="00054AF4" w:rsidP="00054AF4">
            <w:pPr>
              <w:widowControl w:val="0"/>
              <w:tabs>
                <w:tab w:val="decimal" w:leader="dot" w:pos="428"/>
              </w:tabs>
              <w:autoSpaceDE w:val="0"/>
              <w:autoSpaceDN w:val="0"/>
              <w:adjustRightInd w:val="0"/>
            </w:pPr>
            <w:r>
              <w:t xml:space="preserve"> </w:t>
            </w:r>
          </w:p>
        </w:tc>
        <w:tc>
          <w:tcPr>
            <w:tcW w:w="1224" w:type="dxa"/>
            <w:tcBorders>
              <w:top w:val="nil"/>
              <w:left w:val="nil"/>
              <w:bottom w:val="nil"/>
              <w:right w:val="nil"/>
            </w:tcBorders>
            <w:vAlign w:val="center"/>
          </w:tcPr>
          <w:p w14:paraId="2BB514DB" w14:textId="77777777" w:rsidR="00054AF4" w:rsidRDefault="00054AF4" w:rsidP="00054AF4">
            <w:pPr>
              <w:widowControl w:val="0"/>
              <w:tabs>
                <w:tab w:val="decimal" w:leader="dot" w:pos="428"/>
              </w:tabs>
              <w:autoSpaceDE w:val="0"/>
              <w:autoSpaceDN w:val="0"/>
              <w:adjustRightInd w:val="0"/>
            </w:pPr>
            <w:r>
              <w:t xml:space="preserve"> </w:t>
            </w:r>
          </w:p>
        </w:tc>
        <w:tc>
          <w:tcPr>
            <w:tcW w:w="1224" w:type="dxa"/>
            <w:tcBorders>
              <w:top w:val="nil"/>
              <w:left w:val="nil"/>
              <w:bottom w:val="nil"/>
              <w:right w:val="nil"/>
            </w:tcBorders>
            <w:vAlign w:val="center"/>
          </w:tcPr>
          <w:p w14:paraId="5CEDD9D1" w14:textId="77777777" w:rsidR="00054AF4" w:rsidRDefault="00054AF4" w:rsidP="00054AF4">
            <w:pPr>
              <w:widowControl w:val="0"/>
              <w:tabs>
                <w:tab w:val="decimal" w:leader="dot" w:pos="428"/>
              </w:tabs>
              <w:autoSpaceDE w:val="0"/>
              <w:autoSpaceDN w:val="0"/>
              <w:adjustRightInd w:val="0"/>
            </w:pPr>
            <w:r>
              <w:t xml:space="preserve"> </w:t>
            </w:r>
          </w:p>
        </w:tc>
        <w:tc>
          <w:tcPr>
            <w:tcW w:w="1224" w:type="dxa"/>
            <w:tcBorders>
              <w:top w:val="nil"/>
              <w:left w:val="nil"/>
              <w:bottom w:val="nil"/>
              <w:right w:val="nil"/>
            </w:tcBorders>
            <w:vAlign w:val="center"/>
          </w:tcPr>
          <w:p w14:paraId="0246B174" w14:textId="77777777" w:rsidR="00054AF4" w:rsidRDefault="00054AF4" w:rsidP="00054AF4">
            <w:pPr>
              <w:widowControl w:val="0"/>
              <w:tabs>
                <w:tab w:val="decimal" w:leader="dot" w:pos="428"/>
              </w:tabs>
              <w:autoSpaceDE w:val="0"/>
              <w:autoSpaceDN w:val="0"/>
              <w:adjustRightInd w:val="0"/>
            </w:pPr>
            <w:r>
              <w:t xml:space="preserve"> </w:t>
            </w:r>
          </w:p>
        </w:tc>
        <w:tc>
          <w:tcPr>
            <w:tcW w:w="1224" w:type="dxa"/>
            <w:tcBorders>
              <w:top w:val="nil"/>
              <w:left w:val="nil"/>
              <w:bottom w:val="nil"/>
              <w:right w:val="nil"/>
            </w:tcBorders>
            <w:vAlign w:val="center"/>
          </w:tcPr>
          <w:p w14:paraId="6D125E31" w14:textId="77777777" w:rsidR="00054AF4" w:rsidRDefault="00054AF4" w:rsidP="00054AF4">
            <w:pPr>
              <w:widowControl w:val="0"/>
              <w:tabs>
                <w:tab w:val="decimal" w:leader="dot" w:pos="428"/>
              </w:tabs>
              <w:autoSpaceDE w:val="0"/>
              <w:autoSpaceDN w:val="0"/>
              <w:adjustRightInd w:val="0"/>
            </w:pPr>
            <w:r>
              <w:t xml:space="preserve"> </w:t>
            </w:r>
          </w:p>
        </w:tc>
      </w:tr>
      <w:tr w:rsidR="00054AF4" w14:paraId="1667DF80" w14:textId="77777777" w:rsidTr="00054AF4">
        <w:tc>
          <w:tcPr>
            <w:tcW w:w="2310" w:type="dxa"/>
            <w:tcBorders>
              <w:top w:val="nil"/>
              <w:left w:val="nil"/>
              <w:bottom w:val="nil"/>
              <w:right w:val="nil"/>
            </w:tcBorders>
            <w:vAlign w:val="center"/>
          </w:tcPr>
          <w:p w14:paraId="4BBA5062" w14:textId="47D1C1F1" w:rsidR="00054AF4" w:rsidRDefault="00054AF4" w:rsidP="00054AF4">
            <w:pPr>
              <w:widowControl w:val="0"/>
              <w:autoSpaceDE w:val="0"/>
              <w:autoSpaceDN w:val="0"/>
              <w:adjustRightInd w:val="0"/>
            </w:pPr>
            <w:r w:rsidRPr="005869CA">
              <w:rPr>
                <w:sz w:val="22"/>
                <w:szCs w:val="22"/>
                <w:lang w:val="en-US"/>
              </w:rPr>
              <w:t xml:space="preserve"> </w:t>
            </w:r>
          </w:p>
        </w:tc>
        <w:tc>
          <w:tcPr>
            <w:tcW w:w="992" w:type="dxa"/>
            <w:tcBorders>
              <w:top w:val="nil"/>
              <w:left w:val="nil"/>
              <w:bottom w:val="nil"/>
              <w:right w:val="nil"/>
            </w:tcBorders>
            <w:vAlign w:val="center"/>
          </w:tcPr>
          <w:p w14:paraId="45AA9518" w14:textId="77777777" w:rsidR="00054AF4" w:rsidRDefault="00054AF4" w:rsidP="00054AF4">
            <w:pPr>
              <w:widowControl w:val="0"/>
              <w:tabs>
                <w:tab w:val="decimal" w:leader="dot" w:pos="428"/>
              </w:tabs>
              <w:autoSpaceDE w:val="0"/>
              <w:autoSpaceDN w:val="0"/>
              <w:adjustRightInd w:val="0"/>
            </w:pPr>
            <w:r>
              <w:t xml:space="preserve"> </w:t>
            </w:r>
          </w:p>
        </w:tc>
        <w:tc>
          <w:tcPr>
            <w:tcW w:w="982" w:type="dxa"/>
            <w:tcBorders>
              <w:top w:val="nil"/>
              <w:left w:val="nil"/>
              <w:bottom w:val="nil"/>
              <w:right w:val="nil"/>
            </w:tcBorders>
            <w:vAlign w:val="center"/>
          </w:tcPr>
          <w:p w14:paraId="3C269D39" w14:textId="77777777" w:rsidR="00054AF4" w:rsidRDefault="00054AF4" w:rsidP="00054AF4">
            <w:pPr>
              <w:widowControl w:val="0"/>
              <w:tabs>
                <w:tab w:val="decimal" w:leader="dot" w:pos="428"/>
              </w:tabs>
              <w:autoSpaceDE w:val="0"/>
              <w:autoSpaceDN w:val="0"/>
              <w:adjustRightInd w:val="0"/>
            </w:pPr>
            <w:r>
              <w:t xml:space="preserve"> </w:t>
            </w:r>
          </w:p>
        </w:tc>
        <w:tc>
          <w:tcPr>
            <w:tcW w:w="1224" w:type="dxa"/>
            <w:tcBorders>
              <w:top w:val="nil"/>
              <w:left w:val="nil"/>
              <w:bottom w:val="nil"/>
              <w:right w:val="nil"/>
            </w:tcBorders>
            <w:vAlign w:val="center"/>
          </w:tcPr>
          <w:p w14:paraId="306A75F0" w14:textId="77777777" w:rsidR="00054AF4" w:rsidRDefault="00054AF4" w:rsidP="00054AF4">
            <w:pPr>
              <w:widowControl w:val="0"/>
              <w:tabs>
                <w:tab w:val="decimal" w:leader="dot" w:pos="428"/>
              </w:tabs>
              <w:autoSpaceDE w:val="0"/>
              <w:autoSpaceDN w:val="0"/>
              <w:adjustRightInd w:val="0"/>
            </w:pPr>
            <w:r>
              <w:rPr>
                <w:sz w:val="20"/>
                <w:szCs w:val="20"/>
              </w:rPr>
              <w:t>[-.48, -.39]</w:t>
            </w:r>
          </w:p>
        </w:tc>
        <w:tc>
          <w:tcPr>
            <w:tcW w:w="1224" w:type="dxa"/>
            <w:tcBorders>
              <w:top w:val="nil"/>
              <w:left w:val="nil"/>
              <w:bottom w:val="nil"/>
              <w:right w:val="nil"/>
            </w:tcBorders>
            <w:vAlign w:val="center"/>
          </w:tcPr>
          <w:p w14:paraId="7F3B570B" w14:textId="77777777" w:rsidR="00054AF4" w:rsidRDefault="00054AF4" w:rsidP="00054AF4">
            <w:pPr>
              <w:widowControl w:val="0"/>
              <w:tabs>
                <w:tab w:val="decimal" w:leader="dot" w:pos="428"/>
              </w:tabs>
              <w:autoSpaceDE w:val="0"/>
              <w:autoSpaceDN w:val="0"/>
              <w:adjustRightInd w:val="0"/>
            </w:pPr>
            <w:r>
              <w:t xml:space="preserve"> </w:t>
            </w:r>
          </w:p>
        </w:tc>
        <w:tc>
          <w:tcPr>
            <w:tcW w:w="1224" w:type="dxa"/>
            <w:tcBorders>
              <w:top w:val="nil"/>
              <w:left w:val="nil"/>
              <w:bottom w:val="nil"/>
              <w:right w:val="nil"/>
            </w:tcBorders>
            <w:vAlign w:val="center"/>
          </w:tcPr>
          <w:p w14:paraId="22873F8D" w14:textId="77777777" w:rsidR="00054AF4" w:rsidRDefault="00054AF4" w:rsidP="00054AF4">
            <w:pPr>
              <w:widowControl w:val="0"/>
              <w:tabs>
                <w:tab w:val="decimal" w:leader="dot" w:pos="428"/>
              </w:tabs>
              <w:autoSpaceDE w:val="0"/>
              <w:autoSpaceDN w:val="0"/>
              <w:adjustRightInd w:val="0"/>
            </w:pPr>
            <w:r>
              <w:t xml:space="preserve"> </w:t>
            </w:r>
          </w:p>
        </w:tc>
        <w:tc>
          <w:tcPr>
            <w:tcW w:w="1224" w:type="dxa"/>
            <w:tcBorders>
              <w:top w:val="nil"/>
              <w:left w:val="nil"/>
              <w:bottom w:val="nil"/>
              <w:right w:val="nil"/>
            </w:tcBorders>
            <w:vAlign w:val="center"/>
          </w:tcPr>
          <w:p w14:paraId="399DD61F" w14:textId="77777777" w:rsidR="00054AF4" w:rsidRDefault="00054AF4" w:rsidP="00054AF4">
            <w:pPr>
              <w:widowControl w:val="0"/>
              <w:tabs>
                <w:tab w:val="decimal" w:leader="dot" w:pos="428"/>
              </w:tabs>
              <w:autoSpaceDE w:val="0"/>
              <w:autoSpaceDN w:val="0"/>
              <w:adjustRightInd w:val="0"/>
            </w:pPr>
            <w:r>
              <w:t xml:space="preserve"> </w:t>
            </w:r>
          </w:p>
        </w:tc>
        <w:tc>
          <w:tcPr>
            <w:tcW w:w="1224" w:type="dxa"/>
            <w:tcBorders>
              <w:top w:val="nil"/>
              <w:left w:val="nil"/>
              <w:bottom w:val="nil"/>
              <w:right w:val="nil"/>
            </w:tcBorders>
            <w:vAlign w:val="center"/>
          </w:tcPr>
          <w:p w14:paraId="772C2B31" w14:textId="77777777" w:rsidR="00054AF4" w:rsidRDefault="00054AF4" w:rsidP="00054AF4">
            <w:pPr>
              <w:widowControl w:val="0"/>
              <w:tabs>
                <w:tab w:val="decimal" w:leader="dot" w:pos="428"/>
              </w:tabs>
              <w:autoSpaceDE w:val="0"/>
              <w:autoSpaceDN w:val="0"/>
              <w:adjustRightInd w:val="0"/>
            </w:pPr>
            <w:r>
              <w:t xml:space="preserve"> </w:t>
            </w:r>
          </w:p>
        </w:tc>
        <w:tc>
          <w:tcPr>
            <w:tcW w:w="1224" w:type="dxa"/>
            <w:tcBorders>
              <w:top w:val="nil"/>
              <w:left w:val="nil"/>
              <w:bottom w:val="nil"/>
              <w:right w:val="nil"/>
            </w:tcBorders>
            <w:vAlign w:val="center"/>
          </w:tcPr>
          <w:p w14:paraId="3555DC7F" w14:textId="77777777" w:rsidR="00054AF4" w:rsidRDefault="00054AF4" w:rsidP="00054AF4">
            <w:pPr>
              <w:widowControl w:val="0"/>
              <w:tabs>
                <w:tab w:val="decimal" w:leader="dot" w:pos="428"/>
              </w:tabs>
              <w:autoSpaceDE w:val="0"/>
              <w:autoSpaceDN w:val="0"/>
              <w:adjustRightInd w:val="0"/>
            </w:pPr>
            <w:r>
              <w:t xml:space="preserve"> </w:t>
            </w:r>
          </w:p>
        </w:tc>
        <w:tc>
          <w:tcPr>
            <w:tcW w:w="1224" w:type="dxa"/>
            <w:tcBorders>
              <w:top w:val="nil"/>
              <w:left w:val="nil"/>
              <w:bottom w:val="nil"/>
              <w:right w:val="nil"/>
            </w:tcBorders>
            <w:vAlign w:val="center"/>
          </w:tcPr>
          <w:p w14:paraId="39F8BC98" w14:textId="77777777" w:rsidR="00054AF4" w:rsidRDefault="00054AF4" w:rsidP="00054AF4">
            <w:pPr>
              <w:widowControl w:val="0"/>
              <w:tabs>
                <w:tab w:val="decimal" w:leader="dot" w:pos="428"/>
              </w:tabs>
              <w:autoSpaceDE w:val="0"/>
              <w:autoSpaceDN w:val="0"/>
              <w:adjustRightInd w:val="0"/>
            </w:pPr>
            <w:r>
              <w:t xml:space="preserve"> </w:t>
            </w:r>
          </w:p>
        </w:tc>
      </w:tr>
      <w:tr w:rsidR="00054AF4" w14:paraId="13B7BCF8" w14:textId="77777777" w:rsidTr="00054AF4">
        <w:tc>
          <w:tcPr>
            <w:tcW w:w="2310" w:type="dxa"/>
            <w:tcBorders>
              <w:top w:val="nil"/>
              <w:left w:val="nil"/>
              <w:bottom w:val="nil"/>
              <w:right w:val="nil"/>
            </w:tcBorders>
            <w:vAlign w:val="center"/>
          </w:tcPr>
          <w:p w14:paraId="29F5E188" w14:textId="0EB8A25D" w:rsidR="00054AF4" w:rsidRDefault="00054AF4" w:rsidP="00054AF4">
            <w:pPr>
              <w:widowControl w:val="0"/>
              <w:autoSpaceDE w:val="0"/>
              <w:autoSpaceDN w:val="0"/>
              <w:adjustRightInd w:val="0"/>
            </w:pPr>
          </w:p>
        </w:tc>
        <w:tc>
          <w:tcPr>
            <w:tcW w:w="992" w:type="dxa"/>
            <w:tcBorders>
              <w:top w:val="nil"/>
              <w:left w:val="nil"/>
              <w:bottom w:val="nil"/>
              <w:right w:val="nil"/>
            </w:tcBorders>
            <w:vAlign w:val="center"/>
          </w:tcPr>
          <w:p w14:paraId="58D9E271" w14:textId="77777777" w:rsidR="00054AF4" w:rsidRDefault="00054AF4" w:rsidP="00054AF4">
            <w:pPr>
              <w:widowControl w:val="0"/>
              <w:tabs>
                <w:tab w:val="decimal" w:leader="dot" w:pos="428"/>
              </w:tabs>
              <w:autoSpaceDE w:val="0"/>
              <w:autoSpaceDN w:val="0"/>
              <w:adjustRightInd w:val="0"/>
            </w:pPr>
            <w:r>
              <w:t xml:space="preserve"> </w:t>
            </w:r>
          </w:p>
        </w:tc>
        <w:tc>
          <w:tcPr>
            <w:tcW w:w="982" w:type="dxa"/>
            <w:tcBorders>
              <w:top w:val="nil"/>
              <w:left w:val="nil"/>
              <w:bottom w:val="nil"/>
              <w:right w:val="nil"/>
            </w:tcBorders>
            <w:vAlign w:val="center"/>
          </w:tcPr>
          <w:p w14:paraId="39D0E031" w14:textId="77777777" w:rsidR="00054AF4" w:rsidRDefault="00054AF4" w:rsidP="00054AF4">
            <w:pPr>
              <w:widowControl w:val="0"/>
              <w:tabs>
                <w:tab w:val="decimal" w:leader="dot" w:pos="428"/>
              </w:tabs>
              <w:autoSpaceDE w:val="0"/>
              <w:autoSpaceDN w:val="0"/>
              <w:adjustRightInd w:val="0"/>
            </w:pPr>
            <w:r>
              <w:t xml:space="preserve"> </w:t>
            </w:r>
          </w:p>
        </w:tc>
        <w:tc>
          <w:tcPr>
            <w:tcW w:w="1224" w:type="dxa"/>
            <w:tcBorders>
              <w:top w:val="nil"/>
              <w:left w:val="nil"/>
              <w:bottom w:val="nil"/>
              <w:right w:val="nil"/>
            </w:tcBorders>
            <w:vAlign w:val="center"/>
          </w:tcPr>
          <w:p w14:paraId="1D359B28" w14:textId="77777777" w:rsidR="00054AF4" w:rsidRDefault="00054AF4" w:rsidP="00054AF4">
            <w:pPr>
              <w:widowControl w:val="0"/>
              <w:tabs>
                <w:tab w:val="decimal" w:leader="dot" w:pos="428"/>
              </w:tabs>
              <w:autoSpaceDE w:val="0"/>
              <w:autoSpaceDN w:val="0"/>
              <w:adjustRightInd w:val="0"/>
            </w:pPr>
            <w:r>
              <w:t xml:space="preserve"> </w:t>
            </w:r>
          </w:p>
        </w:tc>
        <w:tc>
          <w:tcPr>
            <w:tcW w:w="1224" w:type="dxa"/>
            <w:tcBorders>
              <w:top w:val="nil"/>
              <w:left w:val="nil"/>
              <w:bottom w:val="nil"/>
              <w:right w:val="nil"/>
            </w:tcBorders>
            <w:vAlign w:val="center"/>
          </w:tcPr>
          <w:p w14:paraId="2C8E21D4" w14:textId="77777777" w:rsidR="00054AF4" w:rsidRDefault="00054AF4" w:rsidP="00054AF4">
            <w:pPr>
              <w:widowControl w:val="0"/>
              <w:tabs>
                <w:tab w:val="decimal" w:leader="dot" w:pos="428"/>
              </w:tabs>
              <w:autoSpaceDE w:val="0"/>
              <w:autoSpaceDN w:val="0"/>
              <w:adjustRightInd w:val="0"/>
            </w:pPr>
            <w:r>
              <w:t xml:space="preserve"> </w:t>
            </w:r>
          </w:p>
        </w:tc>
        <w:tc>
          <w:tcPr>
            <w:tcW w:w="1224" w:type="dxa"/>
            <w:tcBorders>
              <w:top w:val="nil"/>
              <w:left w:val="nil"/>
              <w:bottom w:val="nil"/>
              <w:right w:val="nil"/>
            </w:tcBorders>
            <w:vAlign w:val="center"/>
          </w:tcPr>
          <w:p w14:paraId="63B482C0" w14:textId="77777777" w:rsidR="00054AF4" w:rsidRDefault="00054AF4" w:rsidP="00054AF4">
            <w:pPr>
              <w:widowControl w:val="0"/>
              <w:tabs>
                <w:tab w:val="decimal" w:leader="dot" w:pos="428"/>
              </w:tabs>
              <w:autoSpaceDE w:val="0"/>
              <w:autoSpaceDN w:val="0"/>
              <w:adjustRightInd w:val="0"/>
            </w:pPr>
            <w:r>
              <w:t xml:space="preserve"> </w:t>
            </w:r>
          </w:p>
        </w:tc>
        <w:tc>
          <w:tcPr>
            <w:tcW w:w="1224" w:type="dxa"/>
            <w:tcBorders>
              <w:top w:val="nil"/>
              <w:left w:val="nil"/>
              <w:bottom w:val="nil"/>
              <w:right w:val="nil"/>
            </w:tcBorders>
            <w:vAlign w:val="center"/>
          </w:tcPr>
          <w:p w14:paraId="1F08FD8F" w14:textId="77777777" w:rsidR="00054AF4" w:rsidRDefault="00054AF4" w:rsidP="00054AF4">
            <w:pPr>
              <w:widowControl w:val="0"/>
              <w:tabs>
                <w:tab w:val="decimal" w:leader="dot" w:pos="428"/>
              </w:tabs>
              <w:autoSpaceDE w:val="0"/>
              <w:autoSpaceDN w:val="0"/>
              <w:adjustRightInd w:val="0"/>
            </w:pPr>
            <w:r>
              <w:t xml:space="preserve"> </w:t>
            </w:r>
          </w:p>
        </w:tc>
        <w:tc>
          <w:tcPr>
            <w:tcW w:w="1224" w:type="dxa"/>
            <w:tcBorders>
              <w:top w:val="nil"/>
              <w:left w:val="nil"/>
              <w:bottom w:val="nil"/>
              <w:right w:val="nil"/>
            </w:tcBorders>
            <w:vAlign w:val="center"/>
          </w:tcPr>
          <w:p w14:paraId="36F40974" w14:textId="77777777" w:rsidR="00054AF4" w:rsidRDefault="00054AF4" w:rsidP="00054AF4">
            <w:pPr>
              <w:widowControl w:val="0"/>
              <w:tabs>
                <w:tab w:val="decimal" w:leader="dot" w:pos="428"/>
              </w:tabs>
              <w:autoSpaceDE w:val="0"/>
              <w:autoSpaceDN w:val="0"/>
              <w:adjustRightInd w:val="0"/>
            </w:pPr>
            <w:r>
              <w:t xml:space="preserve"> </w:t>
            </w:r>
          </w:p>
        </w:tc>
        <w:tc>
          <w:tcPr>
            <w:tcW w:w="1224" w:type="dxa"/>
            <w:tcBorders>
              <w:top w:val="nil"/>
              <w:left w:val="nil"/>
              <w:bottom w:val="nil"/>
              <w:right w:val="nil"/>
            </w:tcBorders>
            <w:vAlign w:val="center"/>
          </w:tcPr>
          <w:p w14:paraId="75E2D4E0" w14:textId="77777777" w:rsidR="00054AF4" w:rsidRDefault="00054AF4" w:rsidP="00054AF4">
            <w:pPr>
              <w:widowControl w:val="0"/>
              <w:tabs>
                <w:tab w:val="decimal" w:leader="dot" w:pos="428"/>
              </w:tabs>
              <w:autoSpaceDE w:val="0"/>
              <w:autoSpaceDN w:val="0"/>
              <w:adjustRightInd w:val="0"/>
            </w:pPr>
            <w:r>
              <w:t xml:space="preserve"> </w:t>
            </w:r>
          </w:p>
        </w:tc>
        <w:tc>
          <w:tcPr>
            <w:tcW w:w="1224" w:type="dxa"/>
            <w:tcBorders>
              <w:top w:val="nil"/>
              <w:left w:val="nil"/>
              <w:bottom w:val="nil"/>
              <w:right w:val="nil"/>
            </w:tcBorders>
            <w:vAlign w:val="center"/>
          </w:tcPr>
          <w:p w14:paraId="1A0D8519" w14:textId="77777777" w:rsidR="00054AF4" w:rsidRDefault="00054AF4" w:rsidP="00054AF4">
            <w:pPr>
              <w:widowControl w:val="0"/>
              <w:tabs>
                <w:tab w:val="decimal" w:leader="dot" w:pos="428"/>
              </w:tabs>
              <w:autoSpaceDE w:val="0"/>
              <w:autoSpaceDN w:val="0"/>
              <w:adjustRightInd w:val="0"/>
            </w:pPr>
            <w:r>
              <w:t xml:space="preserve"> </w:t>
            </w:r>
          </w:p>
        </w:tc>
      </w:tr>
      <w:tr w:rsidR="00054AF4" w14:paraId="5F1672AF" w14:textId="77777777" w:rsidTr="00054AF4">
        <w:tc>
          <w:tcPr>
            <w:tcW w:w="2310" w:type="dxa"/>
            <w:tcBorders>
              <w:top w:val="nil"/>
              <w:left w:val="nil"/>
              <w:bottom w:val="nil"/>
              <w:right w:val="nil"/>
            </w:tcBorders>
            <w:vAlign w:val="center"/>
          </w:tcPr>
          <w:p w14:paraId="0AD92201" w14:textId="15FBA5A3" w:rsidR="00054AF4" w:rsidRPr="00054AF4" w:rsidRDefault="00054AF4" w:rsidP="00054AF4">
            <w:pPr>
              <w:widowControl w:val="0"/>
              <w:autoSpaceDE w:val="0"/>
              <w:autoSpaceDN w:val="0"/>
              <w:adjustRightInd w:val="0"/>
              <w:rPr>
                <w:sz w:val="22"/>
                <w:szCs w:val="22"/>
              </w:rPr>
            </w:pPr>
            <w:r w:rsidRPr="00054AF4">
              <w:rPr>
                <w:sz w:val="22"/>
                <w:szCs w:val="22"/>
                <w:lang w:val="en-US"/>
              </w:rPr>
              <w:t xml:space="preserve"> 3. Anxious (</w:t>
            </w:r>
            <w:r w:rsidRPr="00054AF4">
              <w:rPr>
                <w:i/>
                <w:sz w:val="22"/>
                <w:szCs w:val="22"/>
                <w:lang w:val="en-US"/>
              </w:rPr>
              <w:t>n</w:t>
            </w:r>
            <w:r w:rsidRPr="00054AF4">
              <w:rPr>
                <w:sz w:val="22"/>
                <w:szCs w:val="22"/>
                <w:lang w:val="en-US"/>
              </w:rPr>
              <w:t xml:space="preserve"> = 367)</w:t>
            </w:r>
          </w:p>
        </w:tc>
        <w:tc>
          <w:tcPr>
            <w:tcW w:w="992" w:type="dxa"/>
            <w:tcBorders>
              <w:top w:val="nil"/>
              <w:left w:val="nil"/>
              <w:bottom w:val="nil"/>
              <w:right w:val="nil"/>
            </w:tcBorders>
            <w:vAlign w:val="center"/>
          </w:tcPr>
          <w:p w14:paraId="46FA44C6" w14:textId="77777777" w:rsidR="00054AF4" w:rsidRPr="00054AF4" w:rsidRDefault="00054AF4" w:rsidP="00054AF4">
            <w:pPr>
              <w:widowControl w:val="0"/>
              <w:tabs>
                <w:tab w:val="decimal" w:leader="dot" w:pos="428"/>
              </w:tabs>
              <w:autoSpaceDE w:val="0"/>
              <w:autoSpaceDN w:val="0"/>
              <w:adjustRightInd w:val="0"/>
              <w:rPr>
                <w:sz w:val="22"/>
                <w:szCs w:val="22"/>
              </w:rPr>
            </w:pPr>
            <w:r w:rsidRPr="00054AF4">
              <w:rPr>
                <w:sz w:val="22"/>
                <w:szCs w:val="22"/>
              </w:rPr>
              <w:t>0.09</w:t>
            </w:r>
          </w:p>
        </w:tc>
        <w:tc>
          <w:tcPr>
            <w:tcW w:w="982" w:type="dxa"/>
            <w:tcBorders>
              <w:top w:val="nil"/>
              <w:left w:val="nil"/>
              <w:bottom w:val="nil"/>
              <w:right w:val="nil"/>
            </w:tcBorders>
            <w:vAlign w:val="center"/>
          </w:tcPr>
          <w:p w14:paraId="0A2D338E" w14:textId="77777777" w:rsidR="00054AF4" w:rsidRPr="00054AF4" w:rsidRDefault="00054AF4" w:rsidP="00054AF4">
            <w:pPr>
              <w:widowControl w:val="0"/>
              <w:tabs>
                <w:tab w:val="decimal" w:leader="dot" w:pos="428"/>
              </w:tabs>
              <w:autoSpaceDE w:val="0"/>
              <w:autoSpaceDN w:val="0"/>
              <w:adjustRightInd w:val="0"/>
              <w:rPr>
                <w:sz w:val="22"/>
                <w:szCs w:val="22"/>
              </w:rPr>
            </w:pPr>
            <w:r w:rsidRPr="00054AF4">
              <w:rPr>
                <w:sz w:val="22"/>
                <w:szCs w:val="22"/>
              </w:rPr>
              <w:t>0.29</w:t>
            </w:r>
          </w:p>
        </w:tc>
        <w:tc>
          <w:tcPr>
            <w:tcW w:w="1224" w:type="dxa"/>
            <w:tcBorders>
              <w:top w:val="nil"/>
              <w:left w:val="nil"/>
              <w:bottom w:val="nil"/>
              <w:right w:val="nil"/>
            </w:tcBorders>
            <w:vAlign w:val="center"/>
          </w:tcPr>
          <w:p w14:paraId="031F76FA" w14:textId="77777777" w:rsidR="00054AF4" w:rsidRPr="00054AF4" w:rsidRDefault="00054AF4" w:rsidP="00054AF4">
            <w:pPr>
              <w:widowControl w:val="0"/>
              <w:tabs>
                <w:tab w:val="decimal" w:leader="dot" w:pos="428"/>
              </w:tabs>
              <w:autoSpaceDE w:val="0"/>
              <w:autoSpaceDN w:val="0"/>
              <w:adjustRightInd w:val="0"/>
              <w:rPr>
                <w:sz w:val="22"/>
                <w:szCs w:val="22"/>
              </w:rPr>
            </w:pPr>
            <w:r w:rsidRPr="00054AF4">
              <w:rPr>
                <w:sz w:val="22"/>
                <w:szCs w:val="22"/>
              </w:rPr>
              <w:t>-.23**</w:t>
            </w:r>
          </w:p>
        </w:tc>
        <w:tc>
          <w:tcPr>
            <w:tcW w:w="1224" w:type="dxa"/>
            <w:tcBorders>
              <w:top w:val="nil"/>
              <w:left w:val="nil"/>
              <w:bottom w:val="nil"/>
              <w:right w:val="nil"/>
            </w:tcBorders>
            <w:vAlign w:val="center"/>
          </w:tcPr>
          <w:p w14:paraId="6924049F" w14:textId="77777777" w:rsidR="00054AF4" w:rsidRPr="00054AF4" w:rsidRDefault="00054AF4" w:rsidP="00054AF4">
            <w:pPr>
              <w:widowControl w:val="0"/>
              <w:tabs>
                <w:tab w:val="decimal" w:leader="dot" w:pos="428"/>
              </w:tabs>
              <w:autoSpaceDE w:val="0"/>
              <w:autoSpaceDN w:val="0"/>
              <w:adjustRightInd w:val="0"/>
              <w:rPr>
                <w:sz w:val="22"/>
                <w:szCs w:val="22"/>
              </w:rPr>
            </w:pPr>
            <w:r w:rsidRPr="00054AF4">
              <w:rPr>
                <w:sz w:val="22"/>
                <w:szCs w:val="22"/>
              </w:rPr>
              <w:t>-.20**</w:t>
            </w:r>
          </w:p>
        </w:tc>
        <w:tc>
          <w:tcPr>
            <w:tcW w:w="1224" w:type="dxa"/>
            <w:tcBorders>
              <w:top w:val="nil"/>
              <w:left w:val="nil"/>
              <w:bottom w:val="nil"/>
              <w:right w:val="nil"/>
            </w:tcBorders>
            <w:vAlign w:val="center"/>
          </w:tcPr>
          <w:p w14:paraId="25D2439F" w14:textId="77777777" w:rsidR="00054AF4" w:rsidRDefault="00054AF4" w:rsidP="00054AF4">
            <w:pPr>
              <w:widowControl w:val="0"/>
              <w:tabs>
                <w:tab w:val="decimal" w:leader="dot" w:pos="428"/>
              </w:tabs>
              <w:autoSpaceDE w:val="0"/>
              <w:autoSpaceDN w:val="0"/>
              <w:adjustRightInd w:val="0"/>
            </w:pPr>
            <w:r>
              <w:t xml:space="preserve"> </w:t>
            </w:r>
          </w:p>
        </w:tc>
        <w:tc>
          <w:tcPr>
            <w:tcW w:w="1224" w:type="dxa"/>
            <w:tcBorders>
              <w:top w:val="nil"/>
              <w:left w:val="nil"/>
              <w:bottom w:val="nil"/>
              <w:right w:val="nil"/>
            </w:tcBorders>
            <w:vAlign w:val="center"/>
          </w:tcPr>
          <w:p w14:paraId="0E78FEE9" w14:textId="77777777" w:rsidR="00054AF4" w:rsidRDefault="00054AF4" w:rsidP="00054AF4">
            <w:pPr>
              <w:widowControl w:val="0"/>
              <w:tabs>
                <w:tab w:val="decimal" w:leader="dot" w:pos="428"/>
              </w:tabs>
              <w:autoSpaceDE w:val="0"/>
              <w:autoSpaceDN w:val="0"/>
              <w:adjustRightInd w:val="0"/>
            </w:pPr>
            <w:r>
              <w:t xml:space="preserve"> </w:t>
            </w:r>
          </w:p>
        </w:tc>
        <w:tc>
          <w:tcPr>
            <w:tcW w:w="1224" w:type="dxa"/>
            <w:tcBorders>
              <w:top w:val="nil"/>
              <w:left w:val="nil"/>
              <w:bottom w:val="nil"/>
              <w:right w:val="nil"/>
            </w:tcBorders>
            <w:vAlign w:val="center"/>
          </w:tcPr>
          <w:p w14:paraId="52D7E372" w14:textId="77777777" w:rsidR="00054AF4" w:rsidRDefault="00054AF4" w:rsidP="00054AF4">
            <w:pPr>
              <w:widowControl w:val="0"/>
              <w:tabs>
                <w:tab w:val="decimal" w:leader="dot" w:pos="428"/>
              </w:tabs>
              <w:autoSpaceDE w:val="0"/>
              <w:autoSpaceDN w:val="0"/>
              <w:adjustRightInd w:val="0"/>
            </w:pPr>
            <w:r>
              <w:t xml:space="preserve"> </w:t>
            </w:r>
          </w:p>
        </w:tc>
        <w:tc>
          <w:tcPr>
            <w:tcW w:w="1224" w:type="dxa"/>
            <w:tcBorders>
              <w:top w:val="nil"/>
              <w:left w:val="nil"/>
              <w:bottom w:val="nil"/>
              <w:right w:val="nil"/>
            </w:tcBorders>
            <w:vAlign w:val="center"/>
          </w:tcPr>
          <w:p w14:paraId="3268D333" w14:textId="77777777" w:rsidR="00054AF4" w:rsidRDefault="00054AF4" w:rsidP="00054AF4">
            <w:pPr>
              <w:widowControl w:val="0"/>
              <w:tabs>
                <w:tab w:val="decimal" w:leader="dot" w:pos="428"/>
              </w:tabs>
              <w:autoSpaceDE w:val="0"/>
              <w:autoSpaceDN w:val="0"/>
              <w:adjustRightInd w:val="0"/>
            </w:pPr>
            <w:r>
              <w:t xml:space="preserve"> </w:t>
            </w:r>
          </w:p>
        </w:tc>
        <w:tc>
          <w:tcPr>
            <w:tcW w:w="1224" w:type="dxa"/>
            <w:tcBorders>
              <w:top w:val="nil"/>
              <w:left w:val="nil"/>
              <w:bottom w:val="nil"/>
              <w:right w:val="nil"/>
            </w:tcBorders>
            <w:vAlign w:val="center"/>
          </w:tcPr>
          <w:p w14:paraId="7A7B1661" w14:textId="77777777" w:rsidR="00054AF4" w:rsidRDefault="00054AF4" w:rsidP="00054AF4">
            <w:pPr>
              <w:widowControl w:val="0"/>
              <w:tabs>
                <w:tab w:val="decimal" w:leader="dot" w:pos="428"/>
              </w:tabs>
              <w:autoSpaceDE w:val="0"/>
              <w:autoSpaceDN w:val="0"/>
              <w:adjustRightInd w:val="0"/>
            </w:pPr>
            <w:r>
              <w:t xml:space="preserve"> </w:t>
            </w:r>
          </w:p>
        </w:tc>
      </w:tr>
      <w:tr w:rsidR="00054AF4" w14:paraId="34160C31" w14:textId="77777777" w:rsidTr="00054AF4">
        <w:tc>
          <w:tcPr>
            <w:tcW w:w="2310" w:type="dxa"/>
            <w:tcBorders>
              <w:top w:val="nil"/>
              <w:left w:val="nil"/>
              <w:bottom w:val="nil"/>
              <w:right w:val="nil"/>
            </w:tcBorders>
            <w:vAlign w:val="center"/>
          </w:tcPr>
          <w:p w14:paraId="7B3A8FB1" w14:textId="532D14F8" w:rsidR="00054AF4" w:rsidRDefault="00054AF4" w:rsidP="00054AF4">
            <w:pPr>
              <w:widowControl w:val="0"/>
              <w:autoSpaceDE w:val="0"/>
              <w:autoSpaceDN w:val="0"/>
              <w:adjustRightInd w:val="0"/>
            </w:pPr>
          </w:p>
        </w:tc>
        <w:tc>
          <w:tcPr>
            <w:tcW w:w="992" w:type="dxa"/>
            <w:tcBorders>
              <w:top w:val="nil"/>
              <w:left w:val="nil"/>
              <w:bottom w:val="nil"/>
              <w:right w:val="nil"/>
            </w:tcBorders>
            <w:vAlign w:val="center"/>
          </w:tcPr>
          <w:p w14:paraId="10A77DA1" w14:textId="77777777" w:rsidR="00054AF4" w:rsidRDefault="00054AF4" w:rsidP="00054AF4">
            <w:pPr>
              <w:widowControl w:val="0"/>
              <w:tabs>
                <w:tab w:val="decimal" w:leader="dot" w:pos="428"/>
              </w:tabs>
              <w:autoSpaceDE w:val="0"/>
              <w:autoSpaceDN w:val="0"/>
              <w:adjustRightInd w:val="0"/>
            </w:pPr>
            <w:r>
              <w:t xml:space="preserve"> </w:t>
            </w:r>
          </w:p>
        </w:tc>
        <w:tc>
          <w:tcPr>
            <w:tcW w:w="982" w:type="dxa"/>
            <w:tcBorders>
              <w:top w:val="nil"/>
              <w:left w:val="nil"/>
              <w:bottom w:val="nil"/>
              <w:right w:val="nil"/>
            </w:tcBorders>
            <w:vAlign w:val="center"/>
          </w:tcPr>
          <w:p w14:paraId="048B3493" w14:textId="77777777" w:rsidR="00054AF4" w:rsidRDefault="00054AF4" w:rsidP="00054AF4">
            <w:pPr>
              <w:widowControl w:val="0"/>
              <w:tabs>
                <w:tab w:val="decimal" w:leader="dot" w:pos="428"/>
              </w:tabs>
              <w:autoSpaceDE w:val="0"/>
              <w:autoSpaceDN w:val="0"/>
              <w:adjustRightInd w:val="0"/>
            </w:pPr>
            <w:r>
              <w:t xml:space="preserve"> </w:t>
            </w:r>
          </w:p>
        </w:tc>
        <w:tc>
          <w:tcPr>
            <w:tcW w:w="1224" w:type="dxa"/>
            <w:tcBorders>
              <w:top w:val="nil"/>
              <w:left w:val="nil"/>
              <w:bottom w:val="nil"/>
              <w:right w:val="nil"/>
            </w:tcBorders>
            <w:vAlign w:val="center"/>
          </w:tcPr>
          <w:p w14:paraId="6B6CAFE2" w14:textId="77777777" w:rsidR="00054AF4" w:rsidRDefault="00054AF4" w:rsidP="00054AF4">
            <w:pPr>
              <w:widowControl w:val="0"/>
              <w:tabs>
                <w:tab w:val="decimal" w:leader="dot" w:pos="428"/>
              </w:tabs>
              <w:autoSpaceDE w:val="0"/>
              <w:autoSpaceDN w:val="0"/>
              <w:adjustRightInd w:val="0"/>
            </w:pPr>
            <w:r>
              <w:rPr>
                <w:sz w:val="20"/>
                <w:szCs w:val="20"/>
              </w:rPr>
              <w:t>[-.28, -.18]</w:t>
            </w:r>
          </w:p>
        </w:tc>
        <w:tc>
          <w:tcPr>
            <w:tcW w:w="1224" w:type="dxa"/>
            <w:tcBorders>
              <w:top w:val="nil"/>
              <w:left w:val="nil"/>
              <w:bottom w:val="nil"/>
              <w:right w:val="nil"/>
            </w:tcBorders>
            <w:vAlign w:val="center"/>
          </w:tcPr>
          <w:p w14:paraId="43A4720E" w14:textId="77777777" w:rsidR="00054AF4" w:rsidRDefault="00054AF4" w:rsidP="00054AF4">
            <w:pPr>
              <w:widowControl w:val="0"/>
              <w:tabs>
                <w:tab w:val="decimal" w:leader="dot" w:pos="428"/>
              </w:tabs>
              <w:autoSpaceDE w:val="0"/>
              <w:autoSpaceDN w:val="0"/>
              <w:adjustRightInd w:val="0"/>
            </w:pPr>
            <w:r>
              <w:rPr>
                <w:sz w:val="20"/>
                <w:szCs w:val="20"/>
              </w:rPr>
              <w:t>[-.25, -.15]</w:t>
            </w:r>
          </w:p>
        </w:tc>
        <w:tc>
          <w:tcPr>
            <w:tcW w:w="1224" w:type="dxa"/>
            <w:tcBorders>
              <w:top w:val="nil"/>
              <w:left w:val="nil"/>
              <w:bottom w:val="nil"/>
              <w:right w:val="nil"/>
            </w:tcBorders>
            <w:vAlign w:val="center"/>
          </w:tcPr>
          <w:p w14:paraId="16B84DCB" w14:textId="77777777" w:rsidR="00054AF4" w:rsidRDefault="00054AF4" w:rsidP="00054AF4">
            <w:pPr>
              <w:widowControl w:val="0"/>
              <w:tabs>
                <w:tab w:val="decimal" w:leader="dot" w:pos="428"/>
              </w:tabs>
              <w:autoSpaceDE w:val="0"/>
              <w:autoSpaceDN w:val="0"/>
              <w:adjustRightInd w:val="0"/>
            </w:pPr>
            <w:r>
              <w:t xml:space="preserve"> </w:t>
            </w:r>
          </w:p>
        </w:tc>
        <w:tc>
          <w:tcPr>
            <w:tcW w:w="1224" w:type="dxa"/>
            <w:tcBorders>
              <w:top w:val="nil"/>
              <w:left w:val="nil"/>
              <w:bottom w:val="nil"/>
              <w:right w:val="nil"/>
            </w:tcBorders>
            <w:vAlign w:val="center"/>
          </w:tcPr>
          <w:p w14:paraId="378D1BE5" w14:textId="77777777" w:rsidR="00054AF4" w:rsidRDefault="00054AF4" w:rsidP="00054AF4">
            <w:pPr>
              <w:widowControl w:val="0"/>
              <w:tabs>
                <w:tab w:val="decimal" w:leader="dot" w:pos="428"/>
              </w:tabs>
              <w:autoSpaceDE w:val="0"/>
              <w:autoSpaceDN w:val="0"/>
              <w:adjustRightInd w:val="0"/>
            </w:pPr>
            <w:r>
              <w:t xml:space="preserve"> </w:t>
            </w:r>
          </w:p>
        </w:tc>
        <w:tc>
          <w:tcPr>
            <w:tcW w:w="1224" w:type="dxa"/>
            <w:tcBorders>
              <w:top w:val="nil"/>
              <w:left w:val="nil"/>
              <w:bottom w:val="nil"/>
              <w:right w:val="nil"/>
            </w:tcBorders>
            <w:vAlign w:val="center"/>
          </w:tcPr>
          <w:p w14:paraId="3B73EE0B" w14:textId="77777777" w:rsidR="00054AF4" w:rsidRDefault="00054AF4" w:rsidP="00054AF4">
            <w:pPr>
              <w:widowControl w:val="0"/>
              <w:tabs>
                <w:tab w:val="decimal" w:leader="dot" w:pos="428"/>
              </w:tabs>
              <w:autoSpaceDE w:val="0"/>
              <w:autoSpaceDN w:val="0"/>
              <w:adjustRightInd w:val="0"/>
            </w:pPr>
            <w:r>
              <w:t xml:space="preserve"> </w:t>
            </w:r>
          </w:p>
        </w:tc>
        <w:tc>
          <w:tcPr>
            <w:tcW w:w="1224" w:type="dxa"/>
            <w:tcBorders>
              <w:top w:val="nil"/>
              <w:left w:val="nil"/>
              <w:bottom w:val="nil"/>
              <w:right w:val="nil"/>
            </w:tcBorders>
            <w:vAlign w:val="center"/>
          </w:tcPr>
          <w:p w14:paraId="6B7196A6" w14:textId="77777777" w:rsidR="00054AF4" w:rsidRDefault="00054AF4" w:rsidP="00054AF4">
            <w:pPr>
              <w:widowControl w:val="0"/>
              <w:tabs>
                <w:tab w:val="decimal" w:leader="dot" w:pos="428"/>
              </w:tabs>
              <w:autoSpaceDE w:val="0"/>
              <w:autoSpaceDN w:val="0"/>
              <w:adjustRightInd w:val="0"/>
            </w:pPr>
            <w:r>
              <w:t xml:space="preserve"> </w:t>
            </w:r>
          </w:p>
        </w:tc>
        <w:tc>
          <w:tcPr>
            <w:tcW w:w="1224" w:type="dxa"/>
            <w:tcBorders>
              <w:top w:val="nil"/>
              <w:left w:val="nil"/>
              <w:bottom w:val="nil"/>
              <w:right w:val="nil"/>
            </w:tcBorders>
            <w:vAlign w:val="center"/>
          </w:tcPr>
          <w:p w14:paraId="7FAD3D4F" w14:textId="77777777" w:rsidR="00054AF4" w:rsidRDefault="00054AF4" w:rsidP="00054AF4">
            <w:pPr>
              <w:widowControl w:val="0"/>
              <w:tabs>
                <w:tab w:val="decimal" w:leader="dot" w:pos="428"/>
              </w:tabs>
              <w:autoSpaceDE w:val="0"/>
              <w:autoSpaceDN w:val="0"/>
              <w:adjustRightInd w:val="0"/>
            </w:pPr>
            <w:r>
              <w:t xml:space="preserve"> </w:t>
            </w:r>
          </w:p>
        </w:tc>
      </w:tr>
      <w:tr w:rsidR="00054AF4" w14:paraId="30639B9A" w14:textId="77777777" w:rsidTr="00054AF4">
        <w:tc>
          <w:tcPr>
            <w:tcW w:w="2310" w:type="dxa"/>
            <w:tcBorders>
              <w:top w:val="nil"/>
              <w:left w:val="nil"/>
              <w:bottom w:val="nil"/>
              <w:right w:val="nil"/>
            </w:tcBorders>
            <w:vAlign w:val="center"/>
          </w:tcPr>
          <w:p w14:paraId="4CDE7D74" w14:textId="4CA25BA7" w:rsidR="00054AF4" w:rsidRPr="00054AF4" w:rsidRDefault="00054AF4" w:rsidP="00054AF4">
            <w:pPr>
              <w:widowControl w:val="0"/>
              <w:autoSpaceDE w:val="0"/>
              <w:autoSpaceDN w:val="0"/>
              <w:adjustRightInd w:val="0"/>
              <w:rPr>
                <w:sz w:val="22"/>
                <w:szCs w:val="22"/>
              </w:rPr>
            </w:pPr>
          </w:p>
        </w:tc>
        <w:tc>
          <w:tcPr>
            <w:tcW w:w="992" w:type="dxa"/>
            <w:tcBorders>
              <w:top w:val="nil"/>
              <w:left w:val="nil"/>
              <w:bottom w:val="nil"/>
              <w:right w:val="nil"/>
            </w:tcBorders>
            <w:vAlign w:val="center"/>
          </w:tcPr>
          <w:p w14:paraId="0E7FBA30" w14:textId="77777777" w:rsidR="00054AF4" w:rsidRPr="00054AF4" w:rsidRDefault="00054AF4" w:rsidP="00054AF4">
            <w:pPr>
              <w:widowControl w:val="0"/>
              <w:tabs>
                <w:tab w:val="decimal" w:leader="dot" w:pos="428"/>
              </w:tabs>
              <w:autoSpaceDE w:val="0"/>
              <w:autoSpaceDN w:val="0"/>
              <w:adjustRightInd w:val="0"/>
              <w:rPr>
                <w:sz w:val="22"/>
                <w:szCs w:val="22"/>
              </w:rPr>
            </w:pPr>
            <w:r w:rsidRPr="00054AF4">
              <w:rPr>
                <w:sz w:val="22"/>
                <w:szCs w:val="22"/>
              </w:rPr>
              <w:t xml:space="preserve"> </w:t>
            </w:r>
          </w:p>
        </w:tc>
        <w:tc>
          <w:tcPr>
            <w:tcW w:w="982" w:type="dxa"/>
            <w:tcBorders>
              <w:top w:val="nil"/>
              <w:left w:val="nil"/>
              <w:bottom w:val="nil"/>
              <w:right w:val="nil"/>
            </w:tcBorders>
            <w:vAlign w:val="center"/>
          </w:tcPr>
          <w:p w14:paraId="55167E41" w14:textId="77777777" w:rsidR="00054AF4" w:rsidRPr="00054AF4" w:rsidRDefault="00054AF4" w:rsidP="00054AF4">
            <w:pPr>
              <w:widowControl w:val="0"/>
              <w:tabs>
                <w:tab w:val="decimal" w:leader="dot" w:pos="428"/>
              </w:tabs>
              <w:autoSpaceDE w:val="0"/>
              <w:autoSpaceDN w:val="0"/>
              <w:adjustRightInd w:val="0"/>
              <w:rPr>
                <w:sz w:val="22"/>
                <w:szCs w:val="22"/>
              </w:rPr>
            </w:pPr>
            <w:r w:rsidRPr="00054AF4">
              <w:rPr>
                <w:sz w:val="22"/>
                <w:szCs w:val="22"/>
              </w:rPr>
              <w:t xml:space="preserve"> </w:t>
            </w:r>
          </w:p>
        </w:tc>
        <w:tc>
          <w:tcPr>
            <w:tcW w:w="1224" w:type="dxa"/>
            <w:tcBorders>
              <w:top w:val="nil"/>
              <w:left w:val="nil"/>
              <w:bottom w:val="nil"/>
              <w:right w:val="nil"/>
            </w:tcBorders>
            <w:vAlign w:val="center"/>
          </w:tcPr>
          <w:p w14:paraId="5AF67401" w14:textId="77777777" w:rsidR="00054AF4" w:rsidRPr="00054AF4" w:rsidRDefault="00054AF4" w:rsidP="00054AF4">
            <w:pPr>
              <w:widowControl w:val="0"/>
              <w:tabs>
                <w:tab w:val="decimal" w:leader="dot" w:pos="428"/>
              </w:tabs>
              <w:autoSpaceDE w:val="0"/>
              <w:autoSpaceDN w:val="0"/>
              <w:adjustRightInd w:val="0"/>
              <w:rPr>
                <w:sz w:val="22"/>
                <w:szCs w:val="22"/>
              </w:rPr>
            </w:pPr>
            <w:r w:rsidRPr="00054AF4">
              <w:rPr>
                <w:sz w:val="22"/>
                <w:szCs w:val="22"/>
              </w:rPr>
              <w:t xml:space="preserve"> </w:t>
            </w:r>
          </w:p>
        </w:tc>
        <w:tc>
          <w:tcPr>
            <w:tcW w:w="1224" w:type="dxa"/>
            <w:tcBorders>
              <w:top w:val="nil"/>
              <w:left w:val="nil"/>
              <w:bottom w:val="nil"/>
              <w:right w:val="nil"/>
            </w:tcBorders>
            <w:vAlign w:val="center"/>
          </w:tcPr>
          <w:p w14:paraId="3BCD35E3" w14:textId="77777777" w:rsidR="00054AF4" w:rsidRPr="00054AF4" w:rsidRDefault="00054AF4" w:rsidP="00054AF4">
            <w:pPr>
              <w:widowControl w:val="0"/>
              <w:tabs>
                <w:tab w:val="decimal" w:leader="dot" w:pos="428"/>
              </w:tabs>
              <w:autoSpaceDE w:val="0"/>
              <w:autoSpaceDN w:val="0"/>
              <w:adjustRightInd w:val="0"/>
              <w:rPr>
                <w:sz w:val="22"/>
                <w:szCs w:val="22"/>
              </w:rPr>
            </w:pPr>
            <w:r w:rsidRPr="00054AF4">
              <w:rPr>
                <w:sz w:val="22"/>
                <w:szCs w:val="22"/>
              </w:rPr>
              <w:t xml:space="preserve"> </w:t>
            </w:r>
          </w:p>
        </w:tc>
        <w:tc>
          <w:tcPr>
            <w:tcW w:w="1224" w:type="dxa"/>
            <w:tcBorders>
              <w:top w:val="nil"/>
              <w:left w:val="nil"/>
              <w:bottom w:val="nil"/>
              <w:right w:val="nil"/>
            </w:tcBorders>
            <w:vAlign w:val="center"/>
          </w:tcPr>
          <w:p w14:paraId="4A99120B" w14:textId="77777777" w:rsidR="00054AF4" w:rsidRPr="00054AF4" w:rsidRDefault="00054AF4" w:rsidP="00054AF4">
            <w:pPr>
              <w:widowControl w:val="0"/>
              <w:tabs>
                <w:tab w:val="decimal" w:leader="dot" w:pos="428"/>
              </w:tabs>
              <w:autoSpaceDE w:val="0"/>
              <w:autoSpaceDN w:val="0"/>
              <w:adjustRightInd w:val="0"/>
              <w:rPr>
                <w:sz w:val="22"/>
                <w:szCs w:val="22"/>
              </w:rPr>
            </w:pPr>
            <w:r w:rsidRPr="00054AF4">
              <w:rPr>
                <w:sz w:val="22"/>
                <w:szCs w:val="22"/>
              </w:rPr>
              <w:t xml:space="preserve"> </w:t>
            </w:r>
          </w:p>
        </w:tc>
        <w:tc>
          <w:tcPr>
            <w:tcW w:w="1224" w:type="dxa"/>
            <w:tcBorders>
              <w:top w:val="nil"/>
              <w:left w:val="nil"/>
              <w:bottom w:val="nil"/>
              <w:right w:val="nil"/>
            </w:tcBorders>
            <w:vAlign w:val="center"/>
          </w:tcPr>
          <w:p w14:paraId="6D55FBE5" w14:textId="77777777" w:rsidR="00054AF4" w:rsidRDefault="00054AF4" w:rsidP="00054AF4">
            <w:pPr>
              <w:widowControl w:val="0"/>
              <w:tabs>
                <w:tab w:val="decimal" w:leader="dot" w:pos="428"/>
              </w:tabs>
              <w:autoSpaceDE w:val="0"/>
              <w:autoSpaceDN w:val="0"/>
              <w:adjustRightInd w:val="0"/>
            </w:pPr>
            <w:r>
              <w:t xml:space="preserve"> </w:t>
            </w:r>
          </w:p>
        </w:tc>
        <w:tc>
          <w:tcPr>
            <w:tcW w:w="1224" w:type="dxa"/>
            <w:tcBorders>
              <w:top w:val="nil"/>
              <w:left w:val="nil"/>
              <w:bottom w:val="nil"/>
              <w:right w:val="nil"/>
            </w:tcBorders>
            <w:vAlign w:val="center"/>
          </w:tcPr>
          <w:p w14:paraId="16AD8079" w14:textId="77777777" w:rsidR="00054AF4" w:rsidRDefault="00054AF4" w:rsidP="00054AF4">
            <w:pPr>
              <w:widowControl w:val="0"/>
              <w:tabs>
                <w:tab w:val="decimal" w:leader="dot" w:pos="428"/>
              </w:tabs>
              <w:autoSpaceDE w:val="0"/>
              <w:autoSpaceDN w:val="0"/>
              <w:adjustRightInd w:val="0"/>
            </w:pPr>
            <w:r>
              <w:t xml:space="preserve"> </w:t>
            </w:r>
          </w:p>
        </w:tc>
        <w:tc>
          <w:tcPr>
            <w:tcW w:w="1224" w:type="dxa"/>
            <w:tcBorders>
              <w:top w:val="nil"/>
              <w:left w:val="nil"/>
              <w:bottom w:val="nil"/>
              <w:right w:val="nil"/>
            </w:tcBorders>
            <w:vAlign w:val="center"/>
          </w:tcPr>
          <w:p w14:paraId="6E7A5710" w14:textId="77777777" w:rsidR="00054AF4" w:rsidRDefault="00054AF4" w:rsidP="00054AF4">
            <w:pPr>
              <w:widowControl w:val="0"/>
              <w:tabs>
                <w:tab w:val="decimal" w:leader="dot" w:pos="428"/>
              </w:tabs>
              <w:autoSpaceDE w:val="0"/>
              <w:autoSpaceDN w:val="0"/>
              <w:adjustRightInd w:val="0"/>
            </w:pPr>
            <w:r>
              <w:t xml:space="preserve"> </w:t>
            </w:r>
          </w:p>
        </w:tc>
        <w:tc>
          <w:tcPr>
            <w:tcW w:w="1224" w:type="dxa"/>
            <w:tcBorders>
              <w:top w:val="nil"/>
              <w:left w:val="nil"/>
              <w:bottom w:val="nil"/>
              <w:right w:val="nil"/>
            </w:tcBorders>
            <w:vAlign w:val="center"/>
          </w:tcPr>
          <w:p w14:paraId="666AF5C6" w14:textId="77777777" w:rsidR="00054AF4" w:rsidRDefault="00054AF4" w:rsidP="00054AF4">
            <w:pPr>
              <w:widowControl w:val="0"/>
              <w:tabs>
                <w:tab w:val="decimal" w:leader="dot" w:pos="428"/>
              </w:tabs>
              <w:autoSpaceDE w:val="0"/>
              <w:autoSpaceDN w:val="0"/>
              <w:adjustRightInd w:val="0"/>
            </w:pPr>
            <w:r>
              <w:t xml:space="preserve"> </w:t>
            </w:r>
          </w:p>
        </w:tc>
      </w:tr>
      <w:tr w:rsidR="00054AF4" w14:paraId="3A4F2961" w14:textId="77777777" w:rsidTr="00054AF4">
        <w:tc>
          <w:tcPr>
            <w:tcW w:w="2310" w:type="dxa"/>
            <w:tcBorders>
              <w:top w:val="nil"/>
              <w:left w:val="nil"/>
              <w:bottom w:val="nil"/>
              <w:right w:val="nil"/>
            </w:tcBorders>
            <w:vAlign w:val="center"/>
          </w:tcPr>
          <w:p w14:paraId="78552148" w14:textId="5F166B98" w:rsidR="00054AF4" w:rsidRPr="00054AF4" w:rsidRDefault="00054AF4" w:rsidP="00054AF4">
            <w:pPr>
              <w:widowControl w:val="0"/>
              <w:autoSpaceDE w:val="0"/>
              <w:autoSpaceDN w:val="0"/>
              <w:adjustRightInd w:val="0"/>
              <w:rPr>
                <w:sz w:val="22"/>
                <w:szCs w:val="22"/>
              </w:rPr>
            </w:pPr>
            <w:r w:rsidRPr="00054AF4">
              <w:rPr>
                <w:sz w:val="22"/>
                <w:szCs w:val="22"/>
                <w:lang w:val="en-US"/>
              </w:rPr>
              <w:t xml:space="preserve"> </w:t>
            </w:r>
            <w:r>
              <w:rPr>
                <w:sz w:val="22"/>
                <w:szCs w:val="22"/>
                <w:lang w:val="en-US"/>
              </w:rPr>
              <w:t>4</w:t>
            </w:r>
            <w:r w:rsidRPr="00054AF4">
              <w:rPr>
                <w:sz w:val="22"/>
                <w:szCs w:val="22"/>
                <w:lang w:val="en-US"/>
              </w:rPr>
              <w:t>. Avoidant (</w:t>
            </w:r>
            <w:r w:rsidRPr="00054AF4">
              <w:rPr>
                <w:i/>
                <w:sz w:val="22"/>
                <w:szCs w:val="22"/>
                <w:lang w:val="en-US"/>
              </w:rPr>
              <w:t>n</w:t>
            </w:r>
            <w:r w:rsidRPr="00054AF4">
              <w:rPr>
                <w:sz w:val="22"/>
                <w:szCs w:val="22"/>
                <w:lang w:val="en-US"/>
              </w:rPr>
              <w:t xml:space="preserve"> = 392)</w:t>
            </w:r>
          </w:p>
        </w:tc>
        <w:tc>
          <w:tcPr>
            <w:tcW w:w="992" w:type="dxa"/>
            <w:tcBorders>
              <w:top w:val="nil"/>
              <w:left w:val="nil"/>
              <w:bottom w:val="nil"/>
              <w:right w:val="nil"/>
            </w:tcBorders>
            <w:vAlign w:val="center"/>
          </w:tcPr>
          <w:p w14:paraId="74EACC27" w14:textId="77777777" w:rsidR="00054AF4" w:rsidRPr="00054AF4" w:rsidRDefault="00054AF4" w:rsidP="00054AF4">
            <w:pPr>
              <w:widowControl w:val="0"/>
              <w:tabs>
                <w:tab w:val="decimal" w:leader="dot" w:pos="428"/>
              </w:tabs>
              <w:autoSpaceDE w:val="0"/>
              <w:autoSpaceDN w:val="0"/>
              <w:adjustRightInd w:val="0"/>
              <w:rPr>
                <w:sz w:val="22"/>
                <w:szCs w:val="22"/>
              </w:rPr>
            </w:pPr>
            <w:r w:rsidRPr="00054AF4">
              <w:rPr>
                <w:sz w:val="22"/>
                <w:szCs w:val="22"/>
              </w:rPr>
              <w:t>0.30</w:t>
            </w:r>
          </w:p>
        </w:tc>
        <w:tc>
          <w:tcPr>
            <w:tcW w:w="982" w:type="dxa"/>
            <w:tcBorders>
              <w:top w:val="nil"/>
              <w:left w:val="nil"/>
              <w:bottom w:val="nil"/>
              <w:right w:val="nil"/>
            </w:tcBorders>
            <w:vAlign w:val="center"/>
          </w:tcPr>
          <w:p w14:paraId="6EA6DDE4" w14:textId="77777777" w:rsidR="00054AF4" w:rsidRPr="00054AF4" w:rsidRDefault="00054AF4" w:rsidP="00054AF4">
            <w:pPr>
              <w:widowControl w:val="0"/>
              <w:tabs>
                <w:tab w:val="decimal" w:leader="dot" w:pos="428"/>
              </w:tabs>
              <w:autoSpaceDE w:val="0"/>
              <w:autoSpaceDN w:val="0"/>
              <w:adjustRightInd w:val="0"/>
              <w:rPr>
                <w:sz w:val="22"/>
                <w:szCs w:val="22"/>
              </w:rPr>
            </w:pPr>
            <w:r w:rsidRPr="00054AF4">
              <w:rPr>
                <w:sz w:val="22"/>
                <w:szCs w:val="22"/>
              </w:rPr>
              <w:t>0.46</w:t>
            </w:r>
          </w:p>
        </w:tc>
        <w:tc>
          <w:tcPr>
            <w:tcW w:w="1224" w:type="dxa"/>
            <w:tcBorders>
              <w:top w:val="nil"/>
              <w:left w:val="nil"/>
              <w:bottom w:val="nil"/>
              <w:right w:val="nil"/>
            </w:tcBorders>
            <w:vAlign w:val="center"/>
          </w:tcPr>
          <w:p w14:paraId="129B590F" w14:textId="77777777" w:rsidR="00054AF4" w:rsidRPr="00054AF4" w:rsidRDefault="00054AF4" w:rsidP="00054AF4">
            <w:pPr>
              <w:widowControl w:val="0"/>
              <w:tabs>
                <w:tab w:val="decimal" w:leader="dot" w:pos="428"/>
              </w:tabs>
              <w:autoSpaceDE w:val="0"/>
              <w:autoSpaceDN w:val="0"/>
              <w:adjustRightInd w:val="0"/>
              <w:rPr>
                <w:sz w:val="22"/>
                <w:szCs w:val="22"/>
              </w:rPr>
            </w:pPr>
            <w:r w:rsidRPr="00054AF4">
              <w:rPr>
                <w:sz w:val="22"/>
                <w:szCs w:val="22"/>
              </w:rPr>
              <w:t>-.46**</w:t>
            </w:r>
          </w:p>
        </w:tc>
        <w:tc>
          <w:tcPr>
            <w:tcW w:w="1224" w:type="dxa"/>
            <w:tcBorders>
              <w:top w:val="nil"/>
              <w:left w:val="nil"/>
              <w:bottom w:val="nil"/>
              <w:right w:val="nil"/>
            </w:tcBorders>
            <w:vAlign w:val="center"/>
          </w:tcPr>
          <w:p w14:paraId="6CB45735" w14:textId="77777777" w:rsidR="00054AF4" w:rsidRPr="00054AF4" w:rsidRDefault="00054AF4" w:rsidP="00054AF4">
            <w:pPr>
              <w:widowControl w:val="0"/>
              <w:tabs>
                <w:tab w:val="decimal" w:leader="dot" w:pos="428"/>
              </w:tabs>
              <w:autoSpaceDE w:val="0"/>
              <w:autoSpaceDN w:val="0"/>
              <w:adjustRightInd w:val="0"/>
              <w:rPr>
                <w:sz w:val="22"/>
                <w:szCs w:val="22"/>
              </w:rPr>
            </w:pPr>
            <w:r w:rsidRPr="00054AF4">
              <w:rPr>
                <w:sz w:val="22"/>
                <w:szCs w:val="22"/>
              </w:rPr>
              <w:t>-.40**</w:t>
            </w:r>
          </w:p>
        </w:tc>
        <w:tc>
          <w:tcPr>
            <w:tcW w:w="1224" w:type="dxa"/>
            <w:tcBorders>
              <w:top w:val="nil"/>
              <w:left w:val="nil"/>
              <w:bottom w:val="nil"/>
              <w:right w:val="nil"/>
            </w:tcBorders>
            <w:vAlign w:val="center"/>
          </w:tcPr>
          <w:p w14:paraId="5D828663" w14:textId="77777777" w:rsidR="00054AF4" w:rsidRPr="00054AF4" w:rsidRDefault="00054AF4" w:rsidP="00054AF4">
            <w:pPr>
              <w:widowControl w:val="0"/>
              <w:tabs>
                <w:tab w:val="decimal" w:leader="dot" w:pos="428"/>
              </w:tabs>
              <w:autoSpaceDE w:val="0"/>
              <w:autoSpaceDN w:val="0"/>
              <w:adjustRightInd w:val="0"/>
              <w:rPr>
                <w:sz w:val="22"/>
                <w:szCs w:val="22"/>
              </w:rPr>
            </w:pPr>
            <w:r w:rsidRPr="00054AF4">
              <w:rPr>
                <w:sz w:val="22"/>
                <w:szCs w:val="22"/>
              </w:rPr>
              <w:t>-.21**</w:t>
            </w:r>
          </w:p>
        </w:tc>
        <w:tc>
          <w:tcPr>
            <w:tcW w:w="1224" w:type="dxa"/>
            <w:tcBorders>
              <w:top w:val="nil"/>
              <w:left w:val="nil"/>
              <w:bottom w:val="nil"/>
              <w:right w:val="nil"/>
            </w:tcBorders>
            <w:vAlign w:val="center"/>
          </w:tcPr>
          <w:p w14:paraId="736A60CC" w14:textId="77777777" w:rsidR="00054AF4" w:rsidRDefault="00054AF4" w:rsidP="00054AF4">
            <w:pPr>
              <w:widowControl w:val="0"/>
              <w:tabs>
                <w:tab w:val="decimal" w:leader="dot" w:pos="428"/>
              </w:tabs>
              <w:autoSpaceDE w:val="0"/>
              <w:autoSpaceDN w:val="0"/>
              <w:adjustRightInd w:val="0"/>
            </w:pPr>
            <w:r>
              <w:t xml:space="preserve"> </w:t>
            </w:r>
          </w:p>
        </w:tc>
        <w:tc>
          <w:tcPr>
            <w:tcW w:w="1224" w:type="dxa"/>
            <w:tcBorders>
              <w:top w:val="nil"/>
              <w:left w:val="nil"/>
              <w:bottom w:val="nil"/>
              <w:right w:val="nil"/>
            </w:tcBorders>
            <w:vAlign w:val="center"/>
          </w:tcPr>
          <w:p w14:paraId="53107455" w14:textId="77777777" w:rsidR="00054AF4" w:rsidRDefault="00054AF4" w:rsidP="00054AF4">
            <w:pPr>
              <w:widowControl w:val="0"/>
              <w:tabs>
                <w:tab w:val="decimal" w:leader="dot" w:pos="428"/>
              </w:tabs>
              <w:autoSpaceDE w:val="0"/>
              <w:autoSpaceDN w:val="0"/>
              <w:adjustRightInd w:val="0"/>
            </w:pPr>
            <w:r>
              <w:t xml:space="preserve"> </w:t>
            </w:r>
          </w:p>
        </w:tc>
        <w:tc>
          <w:tcPr>
            <w:tcW w:w="1224" w:type="dxa"/>
            <w:tcBorders>
              <w:top w:val="nil"/>
              <w:left w:val="nil"/>
              <w:bottom w:val="nil"/>
              <w:right w:val="nil"/>
            </w:tcBorders>
            <w:vAlign w:val="center"/>
          </w:tcPr>
          <w:p w14:paraId="2D46487A" w14:textId="77777777" w:rsidR="00054AF4" w:rsidRDefault="00054AF4" w:rsidP="00054AF4">
            <w:pPr>
              <w:widowControl w:val="0"/>
              <w:tabs>
                <w:tab w:val="decimal" w:leader="dot" w:pos="428"/>
              </w:tabs>
              <w:autoSpaceDE w:val="0"/>
              <w:autoSpaceDN w:val="0"/>
              <w:adjustRightInd w:val="0"/>
            </w:pPr>
            <w:r>
              <w:t xml:space="preserve"> </w:t>
            </w:r>
          </w:p>
        </w:tc>
        <w:tc>
          <w:tcPr>
            <w:tcW w:w="1224" w:type="dxa"/>
            <w:tcBorders>
              <w:top w:val="nil"/>
              <w:left w:val="nil"/>
              <w:bottom w:val="nil"/>
              <w:right w:val="nil"/>
            </w:tcBorders>
            <w:vAlign w:val="center"/>
          </w:tcPr>
          <w:p w14:paraId="7C57406A" w14:textId="77777777" w:rsidR="00054AF4" w:rsidRDefault="00054AF4" w:rsidP="00054AF4">
            <w:pPr>
              <w:widowControl w:val="0"/>
              <w:tabs>
                <w:tab w:val="decimal" w:leader="dot" w:pos="428"/>
              </w:tabs>
              <w:autoSpaceDE w:val="0"/>
              <w:autoSpaceDN w:val="0"/>
              <w:adjustRightInd w:val="0"/>
            </w:pPr>
            <w:r>
              <w:t xml:space="preserve"> </w:t>
            </w:r>
          </w:p>
        </w:tc>
      </w:tr>
      <w:tr w:rsidR="00054AF4" w14:paraId="29B1CA55" w14:textId="77777777" w:rsidTr="00054AF4">
        <w:tc>
          <w:tcPr>
            <w:tcW w:w="2310" w:type="dxa"/>
            <w:tcBorders>
              <w:top w:val="nil"/>
              <w:left w:val="nil"/>
              <w:bottom w:val="nil"/>
              <w:right w:val="nil"/>
            </w:tcBorders>
            <w:vAlign w:val="center"/>
          </w:tcPr>
          <w:p w14:paraId="09F34648" w14:textId="63E4D6EF" w:rsidR="00054AF4" w:rsidRDefault="00054AF4" w:rsidP="00054AF4">
            <w:pPr>
              <w:widowControl w:val="0"/>
              <w:autoSpaceDE w:val="0"/>
              <w:autoSpaceDN w:val="0"/>
              <w:adjustRightInd w:val="0"/>
            </w:pPr>
            <w:r w:rsidRPr="005869CA">
              <w:rPr>
                <w:sz w:val="22"/>
                <w:szCs w:val="22"/>
                <w:lang w:val="en-US"/>
              </w:rPr>
              <w:t xml:space="preserve"> </w:t>
            </w:r>
          </w:p>
        </w:tc>
        <w:tc>
          <w:tcPr>
            <w:tcW w:w="992" w:type="dxa"/>
            <w:tcBorders>
              <w:top w:val="nil"/>
              <w:left w:val="nil"/>
              <w:bottom w:val="nil"/>
              <w:right w:val="nil"/>
            </w:tcBorders>
            <w:vAlign w:val="center"/>
          </w:tcPr>
          <w:p w14:paraId="54DBFC0A" w14:textId="77777777" w:rsidR="00054AF4" w:rsidRDefault="00054AF4" w:rsidP="00054AF4">
            <w:pPr>
              <w:widowControl w:val="0"/>
              <w:tabs>
                <w:tab w:val="decimal" w:leader="dot" w:pos="428"/>
              </w:tabs>
              <w:autoSpaceDE w:val="0"/>
              <w:autoSpaceDN w:val="0"/>
              <w:adjustRightInd w:val="0"/>
            </w:pPr>
            <w:r>
              <w:t xml:space="preserve"> </w:t>
            </w:r>
          </w:p>
        </w:tc>
        <w:tc>
          <w:tcPr>
            <w:tcW w:w="982" w:type="dxa"/>
            <w:tcBorders>
              <w:top w:val="nil"/>
              <w:left w:val="nil"/>
              <w:bottom w:val="nil"/>
              <w:right w:val="nil"/>
            </w:tcBorders>
            <w:vAlign w:val="center"/>
          </w:tcPr>
          <w:p w14:paraId="1660FB34" w14:textId="77777777" w:rsidR="00054AF4" w:rsidRDefault="00054AF4" w:rsidP="00054AF4">
            <w:pPr>
              <w:widowControl w:val="0"/>
              <w:tabs>
                <w:tab w:val="decimal" w:leader="dot" w:pos="428"/>
              </w:tabs>
              <w:autoSpaceDE w:val="0"/>
              <w:autoSpaceDN w:val="0"/>
              <w:adjustRightInd w:val="0"/>
            </w:pPr>
            <w:r>
              <w:t xml:space="preserve"> </w:t>
            </w:r>
          </w:p>
        </w:tc>
        <w:tc>
          <w:tcPr>
            <w:tcW w:w="1224" w:type="dxa"/>
            <w:tcBorders>
              <w:top w:val="nil"/>
              <w:left w:val="nil"/>
              <w:bottom w:val="nil"/>
              <w:right w:val="nil"/>
            </w:tcBorders>
            <w:vAlign w:val="center"/>
          </w:tcPr>
          <w:p w14:paraId="2191BF20" w14:textId="77777777" w:rsidR="00054AF4" w:rsidRDefault="00054AF4" w:rsidP="00054AF4">
            <w:pPr>
              <w:widowControl w:val="0"/>
              <w:tabs>
                <w:tab w:val="decimal" w:leader="dot" w:pos="428"/>
              </w:tabs>
              <w:autoSpaceDE w:val="0"/>
              <w:autoSpaceDN w:val="0"/>
              <w:adjustRightInd w:val="0"/>
            </w:pPr>
            <w:r>
              <w:rPr>
                <w:sz w:val="20"/>
                <w:szCs w:val="20"/>
              </w:rPr>
              <w:t>[-.50, -.41]</w:t>
            </w:r>
          </w:p>
        </w:tc>
        <w:tc>
          <w:tcPr>
            <w:tcW w:w="1224" w:type="dxa"/>
            <w:tcBorders>
              <w:top w:val="nil"/>
              <w:left w:val="nil"/>
              <w:bottom w:val="nil"/>
              <w:right w:val="nil"/>
            </w:tcBorders>
            <w:vAlign w:val="center"/>
          </w:tcPr>
          <w:p w14:paraId="6F5E022B" w14:textId="77777777" w:rsidR="00054AF4" w:rsidRDefault="00054AF4" w:rsidP="00054AF4">
            <w:pPr>
              <w:widowControl w:val="0"/>
              <w:tabs>
                <w:tab w:val="decimal" w:leader="dot" w:pos="428"/>
              </w:tabs>
              <w:autoSpaceDE w:val="0"/>
              <w:autoSpaceDN w:val="0"/>
              <w:adjustRightInd w:val="0"/>
            </w:pPr>
            <w:r>
              <w:rPr>
                <w:sz w:val="20"/>
                <w:szCs w:val="20"/>
              </w:rPr>
              <w:t>[-.45, -.36]</w:t>
            </w:r>
          </w:p>
        </w:tc>
        <w:tc>
          <w:tcPr>
            <w:tcW w:w="1224" w:type="dxa"/>
            <w:tcBorders>
              <w:top w:val="nil"/>
              <w:left w:val="nil"/>
              <w:bottom w:val="nil"/>
              <w:right w:val="nil"/>
            </w:tcBorders>
            <w:vAlign w:val="center"/>
          </w:tcPr>
          <w:p w14:paraId="048619C5" w14:textId="77777777" w:rsidR="00054AF4" w:rsidRDefault="00054AF4" w:rsidP="00054AF4">
            <w:pPr>
              <w:widowControl w:val="0"/>
              <w:tabs>
                <w:tab w:val="decimal" w:leader="dot" w:pos="428"/>
              </w:tabs>
              <w:autoSpaceDE w:val="0"/>
              <w:autoSpaceDN w:val="0"/>
              <w:adjustRightInd w:val="0"/>
            </w:pPr>
            <w:r>
              <w:rPr>
                <w:sz w:val="20"/>
                <w:szCs w:val="20"/>
              </w:rPr>
              <w:t>[-.26, -.16]</w:t>
            </w:r>
          </w:p>
        </w:tc>
        <w:tc>
          <w:tcPr>
            <w:tcW w:w="1224" w:type="dxa"/>
            <w:tcBorders>
              <w:top w:val="nil"/>
              <w:left w:val="nil"/>
              <w:bottom w:val="nil"/>
              <w:right w:val="nil"/>
            </w:tcBorders>
            <w:vAlign w:val="center"/>
          </w:tcPr>
          <w:p w14:paraId="27974EA5" w14:textId="77777777" w:rsidR="00054AF4" w:rsidRDefault="00054AF4" w:rsidP="00054AF4">
            <w:pPr>
              <w:widowControl w:val="0"/>
              <w:tabs>
                <w:tab w:val="decimal" w:leader="dot" w:pos="428"/>
              </w:tabs>
              <w:autoSpaceDE w:val="0"/>
              <w:autoSpaceDN w:val="0"/>
              <w:adjustRightInd w:val="0"/>
            </w:pPr>
            <w:r>
              <w:t xml:space="preserve"> </w:t>
            </w:r>
          </w:p>
        </w:tc>
        <w:tc>
          <w:tcPr>
            <w:tcW w:w="1224" w:type="dxa"/>
            <w:tcBorders>
              <w:top w:val="nil"/>
              <w:left w:val="nil"/>
              <w:bottom w:val="nil"/>
              <w:right w:val="nil"/>
            </w:tcBorders>
            <w:vAlign w:val="center"/>
          </w:tcPr>
          <w:p w14:paraId="72B0CCA1" w14:textId="77777777" w:rsidR="00054AF4" w:rsidRDefault="00054AF4" w:rsidP="00054AF4">
            <w:pPr>
              <w:widowControl w:val="0"/>
              <w:tabs>
                <w:tab w:val="decimal" w:leader="dot" w:pos="428"/>
              </w:tabs>
              <w:autoSpaceDE w:val="0"/>
              <w:autoSpaceDN w:val="0"/>
              <w:adjustRightInd w:val="0"/>
            </w:pPr>
            <w:r>
              <w:t xml:space="preserve"> </w:t>
            </w:r>
          </w:p>
        </w:tc>
        <w:tc>
          <w:tcPr>
            <w:tcW w:w="1224" w:type="dxa"/>
            <w:tcBorders>
              <w:top w:val="nil"/>
              <w:left w:val="nil"/>
              <w:bottom w:val="nil"/>
              <w:right w:val="nil"/>
            </w:tcBorders>
            <w:vAlign w:val="center"/>
          </w:tcPr>
          <w:p w14:paraId="428DDB83" w14:textId="77777777" w:rsidR="00054AF4" w:rsidRDefault="00054AF4" w:rsidP="00054AF4">
            <w:pPr>
              <w:widowControl w:val="0"/>
              <w:tabs>
                <w:tab w:val="decimal" w:leader="dot" w:pos="428"/>
              </w:tabs>
              <w:autoSpaceDE w:val="0"/>
              <w:autoSpaceDN w:val="0"/>
              <w:adjustRightInd w:val="0"/>
            </w:pPr>
            <w:r>
              <w:t xml:space="preserve"> </w:t>
            </w:r>
          </w:p>
        </w:tc>
        <w:tc>
          <w:tcPr>
            <w:tcW w:w="1224" w:type="dxa"/>
            <w:tcBorders>
              <w:top w:val="nil"/>
              <w:left w:val="nil"/>
              <w:bottom w:val="nil"/>
              <w:right w:val="nil"/>
            </w:tcBorders>
            <w:vAlign w:val="center"/>
          </w:tcPr>
          <w:p w14:paraId="572B0D80" w14:textId="77777777" w:rsidR="00054AF4" w:rsidRDefault="00054AF4" w:rsidP="00054AF4">
            <w:pPr>
              <w:widowControl w:val="0"/>
              <w:tabs>
                <w:tab w:val="decimal" w:leader="dot" w:pos="428"/>
              </w:tabs>
              <w:autoSpaceDE w:val="0"/>
              <w:autoSpaceDN w:val="0"/>
              <w:adjustRightInd w:val="0"/>
            </w:pPr>
            <w:r>
              <w:t xml:space="preserve"> </w:t>
            </w:r>
          </w:p>
        </w:tc>
      </w:tr>
      <w:tr w:rsidR="00054AF4" w14:paraId="6741BE18" w14:textId="77777777" w:rsidTr="00054AF4">
        <w:tc>
          <w:tcPr>
            <w:tcW w:w="2310" w:type="dxa"/>
            <w:tcBorders>
              <w:top w:val="nil"/>
              <w:left w:val="nil"/>
              <w:bottom w:val="nil"/>
              <w:right w:val="nil"/>
            </w:tcBorders>
            <w:vAlign w:val="center"/>
          </w:tcPr>
          <w:p w14:paraId="24ABE8C3" w14:textId="2A21B222" w:rsidR="00054AF4" w:rsidRPr="00054AF4" w:rsidRDefault="00054AF4" w:rsidP="00054AF4">
            <w:pPr>
              <w:widowControl w:val="0"/>
              <w:autoSpaceDE w:val="0"/>
              <w:autoSpaceDN w:val="0"/>
              <w:adjustRightInd w:val="0"/>
              <w:rPr>
                <w:sz w:val="22"/>
                <w:szCs w:val="22"/>
              </w:rPr>
            </w:pPr>
          </w:p>
        </w:tc>
        <w:tc>
          <w:tcPr>
            <w:tcW w:w="992" w:type="dxa"/>
            <w:tcBorders>
              <w:top w:val="nil"/>
              <w:left w:val="nil"/>
              <w:bottom w:val="nil"/>
              <w:right w:val="nil"/>
            </w:tcBorders>
            <w:vAlign w:val="center"/>
          </w:tcPr>
          <w:p w14:paraId="720D380F" w14:textId="77777777" w:rsidR="00054AF4" w:rsidRPr="00054AF4" w:rsidRDefault="00054AF4" w:rsidP="00054AF4">
            <w:pPr>
              <w:widowControl w:val="0"/>
              <w:tabs>
                <w:tab w:val="decimal" w:leader="dot" w:pos="428"/>
              </w:tabs>
              <w:autoSpaceDE w:val="0"/>
              <w:autoSpaceDN w:val="0"/>
              <w:adjustRightInd w:val="0"/>
              <w:rPr>
                <w:sz w:val="22"/>
                <w:szCs w:val="22"/>
              </w:rPr>
            </w:pPr>
            <w:r w:rsidRPr="00054AF4">
              <w:rPr>
                <w:sz w:val="22"/>
                <w:szCs w:val="22"/>
              </w:rPr>
              <w:t xml:space="preserve"> </w:t>
            </w:r>
          </w:p>
        </w:tc>
        <w:tc>
          <w:tcPr>
            <w:tcW w:w="982" w:type="dxa"/>
            <w:tcBorders>
              <w:top w:val="nil"/>
              <w:left w:val="nil"/>
              <w:bottom w:val="nil"/>
              <w:right w:val="nil"/>
            </w:tcBorders>
            <w:vAlign w:val="center"/>
          </w:tcPr>
          <w:p w14:paraId="002C92A3" w14:textId="77777777" w:rsidR="00054AF4" w:rsidRPr="00054AF4" w:rsidRDefault="00054AF4" w:rsidP="00054AF4">
            <w:pPr>
              <w:widowControl w:val="0"/>
              <w:tabs>
                <w:tab w:val="decimal" w:leader="dot" w:pos="428"/>
              </w:tabs>
              <w:autoSpaceDE w:val="0"/>
              <w:autoSpaceDN w:val="0"/>
              <w:adjustRightInd w:val="0"/>
              <w:rPr>
                <w:sz w:val="22"/>
                <w:szCs w:val="22"/>
              </w:rPr>
            </w:pPr>
            <w:r w:rsidRPr="00054AF4">
              <w:rPr>
                <w:sz w:val="22"/>
                <w:szCs w:val="22"/>
              </w:rPr>
              <w:t xml:space="preserve"> </w:t>
            </w:r>
          </w:p>
        </w:tc>
        <w:tc>
          <w:tcPr>
            <w:tcW w:w="1224" w:type="dxa"/>
            <w:tcBorders>
              <w:top w:val="nil"/>
              <w:left w:val="nil"/>
              <w:bottom w:val="nil"/>
              <w:right w:val="nil"/>
            </w:tcBorders>
            <w:vAlign w:val="center"/>
          </w:tcPr>
          <w:p w14:paraId="49021C01" w14:textId="77777777" w:rsidR="00054AF4" w:rsidRPr="00054AF4" w:rsidRDefault="00054AF4" w:rsidP="00054AF4">
            <w:pPr>
              <w:widowControl w:val="0"/>
              <w:tabs>
                <w:tab w:val="decimal" w:leader="dot" w:pos="428"/>
              </w:tabs>
              <w:autoSpaceDE w:val="0"/>
              <w:autoSpaceDN w:val="0"/>
              <w:adjustRightInd w:val="0"/>
              <w:rPr>
                <w:sz w:val="22"/>
                <w:szCs w:val="22"/>
              </w:rPr>
            </w:pPr>
            <w:r w:rsidRPr="00054AF4">
              <w:rPr>
                <w:sz w:val="22"/>
                <w:szCs w:val="22"/>
              </w:rPr>
              <w:t xml:space="preserve"> </w:t>
            </w:r>
          </w:p>
        </w:tc>
        <w:tc>
          <w:tcPr>
            <w:tcW w:w="1224" w:type="dxa"/>
            <w:tcBorders>
              <w:top w:val="nil"/>
              <w:left w:val="nil"/>
              <w:bottom w:val="nil"/>
              <w:right w:val="nil"/>
            </w:tcBorders>
            <w:vAlign w:val="center"/>
          </w:tcPr>
          <w:p w14:paraId="70F93352" w14:textId="77777777" w:rsidR="00054AF4" w:rsidRPr="00054AF4" w:rsidRDefault="00054AF4" w:rsidP="00054AF4">
            <w:pPr>
              <w:widowControl w:val="0"/>
              <w:tabs>
                <w:tab w:val="decimal" w:leader="dot" w:pos="428"/>
              </w:tabs>
              <w:autoSpaceDE w:val="0"/>
              <w:autoSpaceDN w:val="0"/>
              <w:adjustRightInd w:val="0"/>
              <w:rPr>
                <w:sz w:val="22"/>
                <w:szCs w:val="22"/>
              </w:rPr>
            </w:pPr>
            <w:r w:rsidRPr="00054AF4">
              <w:rPr>
                <w:sz w:val="22"/>
                <w:szCs w:val="22"/>
              </w:rPr>
              <w:t xml:space="preserve"> </w:t>
            </w:r>
          </w:p>
        </w:tc>
        <w:tc>
          <w:tcPr>
            <w:tcW w:w="1224" w:type="dxa"/>
            <w:tcBorders>
              <w:top w:val="nil"/>
              <w:left w:val="nil"/>
              <w:bottom w:val="nil"/>
              <w:right w:val="nil"/>
            </w:tcBorders>
            <w:vAlign w:val="center"/>
          </w:tcPr>
          <w:p w14:paraId="2332BAAA" w14:textId="77777777" w:rsidR="00054AF4" w:rsidRPr="00054AF4" w:rsidRDefault="00054AF4" w:rsidP="00054AF4">
            <w:pPr>
              <w:widowControl w:val="0"/>
              <w:tabs>
                <w:tab w:val="decimal" w:leader="dot" w:pos="428"/>
              </w:tabs>
              <w:autoSpaceDE w:val="0"/>
              <w:autoSpaceDN w:val="0"/>
              <w:adjustRightInd w:val="0"/>
              <w:rPr>
                <w:sz w:val="22"/>
                <w:szCs w:val="22"/>
              </w:rPr>
            </w:pPr>
            <w:r w:rsidRPr="00054AF4">
              <w:rPr>
                <w:sz w:val="22"/>
                <w:szCs w:val="22"/>
              </w:rPr>
              <w:t xml:space="preserve"> </w:t>
            </w:r>
          </w:p>
        </w:tc>
        <w:tc>
          <w:tcPr>
            <w:tcW w:w="1224" w:type="dxa"/>
            <w:tcBorders>
              <w:top w:val="nil"/>
              <w:left w:val="nil"/>
              <w:bottom w:val="nil"/>
              <w:right w:val="nil"/>
            </w:tcBorders>
            <w:vAlign w:val="center"/>
          </w:tcPr>
          <w:p w14:paraId="6C2FD88F" w14:textId="77777777" w:rsidR="00054AF4" w:rsidRPr="00054AF4" w:rsidRDefault="00054AF4" w:rsidP="00054AF4">
            <w:pPr>
              <w:widowControl w:val="0"/>
              <w:tabs>
                <w:tab w:val="decimal" w:leader="dot" w:pos="428"/>
              </w:tabs>
              <w:autoSpaceDE w:val="0"/>
              <w:autoSpaceDN w:val="0"/>
              <w:adjustRightInd w:val="0"/>
              <w:rPr>
                <w:sz w:val="22"/>
                <w:szCs w:val="22"/>
              </w:rPr>
            </w:pPr>
            <w:r w:rsidRPr="00054AF4">
              <w:rPr>
                <w:sz w:val="22"/>
                <w:szCs w:val="22"/>
              </w:rPr>
              <w:t xml:space="preserve"> </w:t>
            </w:r>
          </w:p>
        </w:tc>
        <w:tc>
          <w:tcPr>
            <w:tcW w:w="1224" w:type="dxa"/>
            <w:tcBorders>
              <w:top w:val="nil"/>
              <w:left w:val="nil"/>
              <w:bottom w:val="nil"/>
              <w:right w:val="nil"/>
            </w:tcBorders>
            <w:vAlign w:val="center"/>
          </w:tcPr>
          <w:p w14:paraId="0293C6C3" w14:textId="77777777" w:rsidR="00054AF4" w:rsidRDefault="00054AF4" w:rsidP="00054AF4">
            <w:pPr>
              <w:widowControl w:val="0"/>
              <w:tabs>
                <w:tab w:val="decimal" w:leader="dot" w:pos="428"/>
              </w:tabs>
              <w:autoSpaceDE w:val="0"/>
              <w:autoSpaceDN w:val="0"/>
              <w:adjustRightInd w:val="0"/>
            </w:pPr>
            <w:r>
              <w:t xml:space="preserve"> </w:t>
            </w:r>
          </w:p>
        </w:tc>
        <w:tc>
          <w:tcPr>
            <w:tcW w:w="1224" w:type="dxa"/>
            <w:tcBorders>
              <w:top w:val="nil"/>
              <w:left w:val="nil"/>
              <w:bottom w:val="nil"/>
              <w:right w:val="nil"/>
            </w:tcBorders>
            <w:vAlign w:val="center"/>
          </w:tcPr>
          <w:p w14:paraId="09B8BC50" w14:textId="77777777" w:rsidR="00054AF4" w:rsidRDefault="00054AF4" w:rsidP="00054AF4">
            <w:pPr>
              <w:widowControl w:val="0"/>
              <w:tabs>
                <w:tab w:val="decimal" w:leader="dot" w:pos="428"/>
              </w:tabs>
              <w:autoSpaceDE w:val="0"/>
              <w:autoSpaceDN w:val="0"/>
              <w:adjustRightInd w:val="0"/>
            </w:pPr>
            <w:r>
              <w:t xml:space="preserve"> </w:t>
            </w:r>
          </w:p>
        </w:tc>
        <w:tc>
          <w:tcPr>
            <w:tcW w:w="1224" w:type="dxa"/>
            <w:tcBorders>
              <w:top w:val="nil"/>
              <w:left w:val="nil"/>
              <w:bottom w:val="nil"/>
              <w:right w:val="nil"/>
            </w:tcBorders>
            <w:vAlign w:val="center"/>
          </w:tcPr>
          <w:p w14:paraId="0F1D047C" w14:textId="77777777" w:rsidR="00054AF4" w:rsidRDefault="00054AF4" w:rsidP="00054AF4">
            <w:pPr>
              <w:widowControl w:val="0"/>
              <w:tabs>
                <w:tab w:val="decimal" w:leader="dot" w:pos="428"/>
              </w:tabs>
              <w:autoSpaceDE w:val="0"/>
              <w:autoSpaceDN w:val="0"/>
              <w:adjustRightInd w:val="0"/>
            </w:pPr>
            <w:r>
              <w:t xml:space="preserve"> </w:t>
            </w:r>
          </w:p>
        </w:tc>
      </w:tr>
      <w:tr w:rsidR="00054AF4" w14:paraId="6A61EA62" w14:textId="77777777" w:rsidTr="00054AF4">
        <w:tc>
          <w:tcPr>
            <w:tcW w:w="2310" w:type="dxa"/>
            <w:tcBorders>
              <w:top w:val="nil"/>
              <w:left w:val="nil"/>
              <w:bottom w:val="nil"/>
              <w:right w:val="nil"/>
            </w:tcBorders>
            <w:vAlign w:val="center"/>
          </w:tcPr>
          <w:p w14:paraId="60268FA2" w14:textId="39B1C911" w:rsidR="00054AF4" w:rsidRPr="00054AF4" w:rsidRDefault="00054AF4" w:rsidP="00054AF4">
            <w:pPr>
              <w:widowControl w:val="0"/>
              <w:autoSpaceDE w:val="0"/>
              <w:autoSpaceDN w:val="0"/>
              <w:adjustRightInd w:val="0"/>
              <w:rPr>
                <w:sz w:val="22"/>
                <w:szCs w:val="22"/>
              </w:rPr>
            </w:pPr>
            <w:r w:rsidRPr="00054AF4">
              <w:rPr>
                <w:sz w:val="22"/>
                <w:szCs w:val="22"/>
                <w:lang w:val="en-US"/>
              </w:rPr>
              <w:t xml:space="preserve"> </w:t>
            </w:r>
            <w:r>
              <w:rPr>
                <w:sz w:val="22"/>
                <w:szCs w:val="22"/>
                <w:lang w:val="en-US"/>
              </w:rPr>
              <w:t>5</w:t>
            </w:r>
            <w:r w:rsidRPr="00054AF4">
              <w:rPr>
                <w:sz w:val="22"/>
                <w:szCs w:val="22"/>
                <w:lang w:val="en-US"/>
              </w:rPr>
              <w:t xml:space="preserve">. </w:t>
            </w:r>
            <w:r>
              <w:rPr>
                <w:sz w:val="22"/>
                <w:szCs w:val="22"/>
                <w:lang w:val="en-US"/>
              </w:rPr>
              <w:t xml:space="preserve">Social distancing </w:t>
            </w:r>
          </w:p>
        </w:tc>
        <w:tc>
          <w:tcPr>
            <w:tcW w:w="992" w:type="dxa"/>
            <w:tcBorders>
              <w:top w:val="nil"/>
              <w:left w:val="nil"/>
              <w:bottom w:val="nil"/>
              <w:right w:val="nil"/>
            </w:tcBorders>
            <w:vAlign w:val="center"/>
          </w:tcPr>
          <w:p w14:paraId="42612FCA" w14:textId="77777777" w:rsidR="00054AF4" w:rsidRPr="00054AF4" w:rsidRDefault="00054AF4" w:rsidP="00054AF4">
            <w:pPr>
              <w:widowControl w:val="0"/>
              <w:tabs>
                <w:tab w:val="decimal" w:leader="dot" w:pos="428"/>
              </w:tabs>
              <w:autoSpaceDE w:val="0"/>
              <w:autoSpaceDN w:val="0"/>
              <w:adjustRightInd w:val="0"/>
              <w:rPr>
                <w:sz w:val="22"/>
                <w:szCs w:val="22"/>
              </w:rPr>
            </w:pPr>
            <w:r w:rsidRPr="00054AF4">
              <w:rPr>
                <w:sz w:val="22"/>
                <w:szCs w:val="22"/>
              </w:rPr>
              <w:t>12.84</w:t>
            </w:r>
          </w:p>
        </w:tc>
        <w:tc>
          <w:tcPr>
            <w:tcW w:w="982" w:type="dxa"/>
            <w:tcBorders>
              <w:top w:val="nil"/>
              <w:left w:val="nil"/>
              <w:bottom w:val="nil"/>
              <w:right w:val="nil"/>
            </w:tcBorders>
            <w:vAlign w:val="center"/>
          </w:tcPr>
          <w:p w14:paraId="25732E7A" w14:textId="77777777" w:rsidR="00054AF4" w:rsidRPr="00054AF4" w:rsidRDefault="00054AF4" w:rsidP="00054AF4">
            <w:pPr>
              <w:widowControl w:val="0"/>
              <w:tabs>
                <w:tab w:val="decimal" w:leader="dot" w:pos="428"/>
              </w:tabs>
              <w:autoSpaceDE w:val="0"/>
              <w:autoSpaceDN w:val="0"/>
              <w:adjustRightInd w:val="0"/>
              <w:rPr>
                <w:sz w:val="22"/>
                <w:szCs w:val="22"/>
              </w:rPr>
            </w:pPr>
            <w:r w:rsidRPr="00054AF4">
              <w:rPr>
                <w:sz w:val="22"/>
                <w:szCs w:val="22"/>
              </w:rPr>
              <w:t>5.94</w:t>
            </w:r>
          </w:p>
        </w:tc>
        <w:tc>
          <w:tcPr>
            <w:tcW w:w="1224" w:type="dxa"/>
            <w:tcBorders>
              <w:top w:val="nil"/>
              <w:left w:val="nil"/>
              <w:bottom w:val="nil"/>
              <w:right w:val="nil"/>
            </w:tcBorders>
            <w:vAlign w:val="center"/>
          </w:tcPr>
          <w:p w14:paraId="4ECACCD8" w14:textId="77777777" w:rsidR="00054AF4" w:rsidRPr="00054AF4" w:rsidRDefault="00054AF4" w:rsidP="00054AF4">
            <w:pPr>
              <w:widowControl w:val="0"/>
              <w:tabs>
                <w:tab w:val="decimal" w:leader="dot" w:pos="428"/>
              </w:tabs>
              <w:autoSpaceDE w:val="0"/>
              <w:autoSpaceDN w:val="0"/>
              <w:adjustRightInd w:val="0"/>
              <w:rPr>
                <w:sz w:val="22"/>
                <w:szCs w:val="22"/>
              </w:rPr>
            </w:pPr>
            <w:r w:rsidRPr="00054AF4">
              <w:rPr>
                <w:sz w:val="22"/>
                <w:szCs w:val="22"/>
              </w:rPr>
              <w:t>-.03</w:t>
            </w:r>
          </w:p>
        </w:tc>
        <w:tc>
          <w:tcPr>
            <w:tcW w:w="1224" w:type="dxa"/>
            <w:tcBorders>
              <w:top w:val="nil"/>
              <w:left w:val="nil"/>
              <w:bottom w:val="nil"/>
              <w:right w:val="nil"/>
            </w:tcBorders>
            <w:vAlign w:val="center"/>
          </w:tcPr>
          <w:p w14:paraId="55216218" w14:textId="77777777" w:rsidR="00054AF4" w:rsidRPr="00054AF4" w:rsidRDefault="00054AF4" w:rsidP="00054AF4">
            <w:pPr>
              <w:widowControl w:val="0"/>
              <w:tabs>
                <w:tab w:val="decimal" w:leader="dot" w:pos="428"/>
              </w:tabs>
              <w:autoSpaceDE w:val="0"/>
              <w:autoSpaceDN w:val="0"/>
              <w:adjustRightInd w:val="0"/>
              <w:rPr>
                <w:sz w:val="22"/>
                <w:szCs w:val="22"/>
              </w:rPr>
            </w:pPr>
            <w:r w:rsidRPr="00054AF4">
              <w:rPr>
                <w:sz w:val="22"/>
                <w:szCs w:val="22"/>
              </w:rPr>
              <w:t>.13**</w:t>
            </w:r>
          </w:p>
        </w:tc>
        <w:tc>
          <w:tcPr>
            <w:tcW w:w="1224" w:type="dxa"/>
            <w:tcBorders>
              <w:top w:val="nil"/>
              <w:left w:val="nil"/>
              <w:bottom w:val="nil"/>
              <w:right w:val="nil"/>
            </w:tcBorders>
            <w:vAlign w:val="center"/>
          </w:tcPr>
          <w:p w14:paraId="7CBD1492" w14:textId="77777777" w:rsidR="00054AF4" w:rsidRPr="00054AF4" w:rsidRDefault="00054AF4" w:rsidP="00054AF4">
            <w:pPr>
              <w:widowControl w:val="0"/>
              <w:tabs>
                <w:tab w:val="decimal" w:leader="dot" w:pos="428"/>
              </w:tabs>
              <w:autoSpaceDE w:val="0"/>
              <w:autoSpaceDN w:val="0"/>
              <w:adjustRightInd w:val="0"/>
              <w:rPr>
                <w:sz w:val="22"/>
                <w:szCs w:val="22"/>
              </w:rPr>
            </w:pPr>
            <w:r w:rsidRPr="00054AF4">
              <w:rPr>
                <w:sz w:val="22"/>
                <w:szCs w:val="22"/>
              </w:rPr>
              <w:t>.09**</w:t>
            </w:r>
          </w:p>
        </w:tc>
        <w:tc>
          <w:tcPr>
            <w:tcW w:w="1224" w:type="dxa"/>
            <w:tcBorders>
              <w:top w:val="nil"/>
              <w:left w:val="nil"/>
              <w:bottom w:val="nil"/>
              <w:right w:val="nil"/>
            </w:tcBorders>
            <w:vAlign w:val="center"/>
          </w:tcPr>
          <w:p w14:paraId="7CCB2DC8" w14:textId="77777777" w:rsidR="00054AF4" w:rsidRPr="00054AF4" w:rsidRDefault="00054AF4" w:rsidP="00054AF4">
            <w:pPr>
              <w:widowControl w:val="0"/>
              <w:tabs>
                <w:tab w:val="decimal" w:leader="dot" w:pos="428"/>
              </w:tabs>
              <w:autoSpaceDE w:val="0"/>
              <w:autoSpaceDN w:val="0"/>
              <w:adjustRightInd w:val="0"/>
              <w:rPr>
                <w:sz w:val="22"/>
                <w:szCs w:val="22"/>
              </w:rPr>
            </w:pPr>
            <w:r w:rsidRPr="00054AF4">
              <w:rPr>
                <w:sz w:val="22"/>
                <w:szCs w:val="22"/>
              </w:rPr>
              <w:t>-.15**</w:t>
            </w:r>
          </w:p>
        </w:tc>
        <w:tc>
          <w:tcPr>
            <w:tcW w:w="1224" w:type="dxa"/>
            <w:tcBorders>
              <w:top w:val="nil"/>
              <w:left w:val="nil"/>
              <w:bottom w:val="nil"/>
              <w:right w:val="nil"/>
            </w:tcBorders>
            <w:vAlign w:val="center"/>
          </w:tcPr>
          <w:p w14:paraId="19A83E88" w14:textId="77777777" w:rsidR="00054AF4" w:rsidRDefault="00054AF4" w:rsidP="00054AF4">
            <w:pPr>
              <w:widowControl w:val="0"/>
              <w:tabs>
                <w:tab w:val="decimal" w:leader="dot" w:pos="428"/>
              </w:tabs>
              <w:autoSpaceDE w:val="0"/>
              <w:autoSpaceDN w:val="0"/>
              <w:adjustRightInd w:val="0"/>
            </w:pPr>
            <w:r>
              <w:t xml:space="preserve"> </w:t>
            </w:r>
          </w:p>
        </w:tc>
        <w:tc>
          <w:tcPr>
            <w:tcW w:w="1224" w:type="dxa"/>
            <w:tcBorders>
              <w:top w:val="nil"/>
              <w:left w:val="nil"/>
              <w:bottom w:val="nil"/>
              <w:right w:val="nil"/>
            </w:tcBorders>
            <w:vAlign w:val="center"/>
          </w:tcPr>
          <w:p w14:paraId="7B9C66AF" w14:textId="77777777" w:rsidR="00054AF4" w:rsidRDefault="00054AF4" w:rsidP="00054AF4">
            <w:pPr>
              <w:widowControl w:val="0"/>
              <w:tabs>
                <w:tab w:val="decimal" w:leader="dot" w:pos="428"/>
              </w:tabs>
              <w:autoSpaceDE w:val="0"/>
              <w:autoSpaceDN w:val="0"/>
              <w:adjustRightInd w:val="0"/>
            </w:pPr>
            <w:r>
              <w:t xml:space="preserve"> </w:t>
            </w:r>
          </w:p>
        </w:tc>
        <w:tc>
          <w:tcPr>
            <w:tcW w:w="1224" w:type="dxa"/>
            <w:tcBorders>
              <w:top w:val="nil"/>
              <w:left w:val="nil"/>
              <w:bottom w:val="nil"/>
              <w:right w:val="nil"/>
            </w:tcBorders>
            <w:vAlign w:val="center"/>
          </w:tcPr>
          <w:p w14:paraId="3A1C4A7A" w14:textId="77777777" w:rsidR="00054AF4" w:rsidRDefault="00054AF4" w:rsidP="00054AF4">
            <w:pPr>
              <w:widowControl w:val="0"/>
              <w:tabs>
                <w:tab w:val="decimal" w:leader="dot" w:pos="428"/>
              </w:tabs>
              <w:autoSpaceDE w:val="0"/>
              <w:autoSpaceDN w:val="0"/>
              <w:adjustRightInd w:val="0"/>
            </w:pPr>
            <w:r>
              <w:t xml:space="preserve"> </w:t>
            </w:r>
          </w:p>
        </w:tc>
      </w:tr>
      <w:tr w:rsidR="00054AF4" w14:paraId="0340CA2C" w14:textId="77777777" w:rsidTr="00054AF4">
        <w:tc>
          <w:tcPr>
            <w:tcW w:w="2310" w:type="dxa"/>
            <w:tcBorders>
              <w:top w:val="nil"/>
              <w:left w:val="nil"/>
              <w:bottom w:val="nil"/>
              <w:right w:val="nil"/>
            </w:tcBorders>
            <w:vAlign w:val="center"/>
          </w:tcPr>
          <w:p w14:paraId="4969970E" w14:textId="4A0F0E4D" w:rsidR="00054AF4" w:rsidRDefault="00054AF4" w:rsidP="00054AF4">
            <w:pPr>
              <w:widowControl w:val="0"/>
              <w:autoSpaceDE w:val="0"/>
              <w:autoSpaceDN w:val="0"/>
              <w:adjustRightInd w:val="0"/>
            </w:pPr>
            <w:r w:rsidRPr="005869CA">
              <w:rPr>
                <w:sz w:val="22"/>
                <w:szCs w:val="22"/>
                <w:lang w:val="en-US"/>
              </w:rPr>
              <w:t xml:space="preserve"> </w:t>
            </w:r>
          </w:p>
        </w:tc>
        <w:tc>
          <w:tcPr>
            <w:tcW w:w="992" w:type="dxa"/>
            <w:tcBorders>
              <w:top w:val="nil"/>
              <w:left w:val="nil"/>
              <w:bottom w:val="nil"/>
              <w:right w:val="nil"/>
            </w:tcBorders>
            <w:vAlign w:val="center"/>
          </w:tcPr>
          <w:p w14:paraId="72D4CBAD" w14:textId="77777777" w:rsidR="00054AF4" w:rsidRDefault="00054AF4" w:rsidP="00054AF4">
            <w:pPr>
              <w:widowControl w:val="0"/>
              <w:tabs>
                <w:tab w:val="decimal" w:leader="dot" w:pos="428"/>
              </w:tabs>
              <w:autoSpaceDE w:val="0"/>
              <w:autoSpaceDN w:val="0"/>
              <w:adjustRightInd w:val="0"/>
            </w:pPr>
            <w:r>
              <w:t xml:space="preserve"> </w:t>
            </w:r>
          </w:p>
        </w:tc>
        <w:tc>
          <w:tcPr>
            <w:tcW w:w="982" w:type="dxa"/>
            <w:tcBorders>
              <w:top w:val="nil"/>
              <w:left w:val="nil"/>
              <w:bottom w:val="nil"/>
              <w:right w:val="nil"/>
            </w:tcBorders>
            <w:vAlign w:val="center"/>
          </w:tcPr>
          <w:p w14:paraId="689692A6" w14:textId="77777777" w:rsidR="00054AF4" w:rsidRDefault="00054AF4" w:rsidP="00054AF4">
            <w:pPr>
              <w:widowControl w:val="0"/>
              <w:tabs>
                <w:tab w:val="decimal" w:leader="dot" w:pos="428"/>
              </w:tabs>
              <w:autoSpaceDE w:val="0"/>
              <w:autoSpaceDN w:val="0"/>
              <w:adjustRightInd w:val="0"/>
            </w:pPr>
            <w:r>
              <w:t xml:space="preserve"> </w:t>
            </w:r>
          </w:p>
        </w:tc>
        <w:tc>
          <w:tcPr>
            <w:tcW w:w="1224" w:type="dxa"/>
            <w:tcBorders>
              <w:top w:val="nil"/>
              <w:left w:val="nil"/>
              <w:bottom w:val="nil"/>
              <w:right w:val="nil"/>
            </w:tcBorders>
            <w:vAlign w:val="center"/>
          </w:tcPr>
          <w:p w14:paraId="7384CC3C" w14:textId="77777777" w:rsidR="00054AF4" w:rsidRDefault="00054AF4" w:rsidP="00054AF4">
            <w:pPr>
              <w:widowControl w:val="0"/>
              <w:tabs>
                <w:tab w:val="decimal" w:leader="dot" w:pos="428"/>
              </w:tabs>
              <w:autoSpaceDE w:val="0"/>
              <w:autoSpaceDN w:val="0"/>
              <w:adjustRightInd w:val="0"/>
            </w:pPr>
            <w:r>
              <w:rPr>
                <w:sz w:val="20"/>
                <w:szCs w:val="20"/>
              </w:rPr>
              <w:t>[-.09, .02]</w:t>
            </w:r>
          </w:p>
        </w:tc>
        <w:tc>
          <w:tcPr>
            <w:tcW w:w="1224" w:type="dxa"/>
            <w:tcBorders>
              <w:top w:val="nil"/>
              <w:left w:val="nil"/>
              <w:bottom w:val="nil"/>
              <w:right w:val="nil"/>
            </w:tcBorders>
            <w:vAlign w:val="center"/>
          </w:tcPr>
          <w:p w14:paraId="489C0325" w14:textId="77777777" w:rsidR="00054AF4" w:rsidRDefault="00054AF4" w:rsidP="00054AF4">
            <w:pPr>
              <w:widowControl w:val="0"/>
              <w:tabs>
                <w:tab w:val="decimal" w:leader="dot" w:pos="428"/>
              </w:tabs>
              <w:autoSpaceDE w:val="0"/>
              <w:autoSpaceDN w:val="0"/>
              <w:adjustRightInd w:val="0"/>
            </w:pPr>
            <w:r>
              <w:rPr>
                <w:sz w:val="20"/>
                <w:szCs w:val="20"/>
              </w:rPr>
              <w:t>[.08, .18]</w:t>
            </w:r>
          </w:p>
        </w:tc>
        <w:tc>
          <w:tcPr>
            <w:tcW w:w="1224" w:type="dxa"/>
            <w:tcBorders>
              <w:top w:val="nil"/>
              <w:left w:val="nil"/>
              <w:bottom w:val="nil"/>
              <w:right w:val="nil"/>
            </w:tcBorders>
            <w:vAlign w:val="center"/>
          </w:tcPr>
          <w:p w14:paraId="24318B45" w14:textId="77777777" w:rsidR="00054AF4" w:rsidRDefault="00054AF4" w:rsidP="00054AF4">
            <w:pPr>
              <w:widowControl w:val="0"/>
              <w:tabs>
                <w:tab w:val="decimal" w:leader="dot" w:pos="428"/>
              </w:tabs>
              <w:autoSpaceDE w:val="0"/>
              <w:autoSpaceDN w:val="0"/>
              <w:adjustRightInd w:val="0"/>
            </w:pPr>
            <w:r>
              <w:rPr>
                <w:sz w:val="20"/>
                <w:szCs w:val="20"/>
              </w:rPr>
              <w:t>[.04, .15]</w:t>
            </w:r>
          </w:p>
        </w:tc>
        <w:tc>
          <w:tcPr>
            <w:tcW w:w="1224" w:type="dxa"/>
            <w:tcBorders>
              <w:top w:val="nil"/>
              <w:left w:val="nil"/>
              <w:bottom w:val="nil"/>
              <w:right w:val="nil"/>
            </w:tcBorders>
            <w:vAlign w:val="center"/>
          </w:tcPr>
          <w:p w14:paraId="1BB88DF7" w14:textId="77777777" w:rsidR="00054AF4" w:rsidRDefault="00054AF4" w:rsidP="00054AF4">
            <w:pPr>
              <w:widowControl w:val="0"/>
              <w:tabs>
                <w:tab w:val="decimal" w:leader="dot" w:pos="428"/>
              </w:tabs>
              <w:autoSpaceDE w:val="0"/>
              <w:autoSpaceDN w:val="0"/>
              <w:adjustRightInd w:val="0"/>
            </w:pPr>
            <w:r>
              <w:rPr>
                <w:sz w:val="20"/>
                <w:szCs w:val="20"/>
              </w:rPr>
              <w:t>[-.21, -.10]</w:t>
            </w:r>
          </w:p>
        </w:tc>
        <w:tc>
          <w:tcPr>
            <w:tcW w:w="1224" w:type="dxa"/>
            <w:tcBorders>
              <w:top w:val="nil"/>
              <w:left w:val="nil"/>
              <w:bottom w:val="nil"/>
              <w:right w:val="nil"/>
            </w:tcBorders>
            <w:vAlign w:val="center"/>
          </w:tcPr>
          <w:p w14:paraId="122B038A" w14:textId="77777777" w:rsidR="00054AF4" w:rsidRDefault="00054AF4" w:rsidP="00054AF4">
            <w:pPr>
              <w:widowControl w:val="0"/>
              <w:tabs>
                <w:tab w:val="decimal" w:leader="dot" w:pos="428"/>
              </w:tabs>
              <w:autoSpaceDE w:val="0"/>
              <w:autoSpaceDN w:val="0"/>
              <w:adjustRightInd w:val="0"/>
            </w:pPr>
            <w:r>
              <w:t xml:space="preserve"> </w:t>
            </w:r>
          </w:p>
        </w:tc>
        <w:tc>
          <w:tcPr>
            <w:tcW w:w="1224" w:type="dxa"/>
            <w:tcBorders>
              <w:top w:val="nil"/>
              <w:left w:val="nil"/>
              <w:bottom w:val="nil"/>
              <w:right w:val="nil"/>
            </w:tcBorders>
            <w:vAlign w:val="center"/>
          </w:tcPr>
          <w:p w14:paraId="3063FF48" w14:textId="77777777" w:rsidR="00054AF4" w:rsidRDefault="00054AF4" w:rsidP="00054AF4">
            <w:pPr>
              <w:widowControl w:val="0"/>
              <w:tabs>
                <w:tab w:val="decimal" w:leader="dot" w:pos="428"/>
              </w:tabs>
              <w:autoSpaceDE w:val="0"/>
              <w:autoSpaceDN w:val="0"/>
              <w:adjustRightInd w:val="0"/>
            </w:pPr>
            <w:r>
              <w:t xml:space="preserve"> </w:t>
            </w:r>
          </w:p>
        </w:tc>
        <w:tc>
          <w:tcPr>
            <w:tcW w:w="1224" w:type="dxa"/>
            <w:tcBorders>
              <w:top w:val="nil"/>
              <w:left w:val="nil"/>
              <w:bottom w:val="nil"/>
              <w:right w:val="nil"/>
            </w:tcBorders>
            <w:vAlign w:val="center"/>
          </w:tcPr>
          <w:p w14:paraId="074528F4" w14:textId="77777777" w:rsidR="00054AF4" w:rsidRDefault="00054AF4" w:rsidP="00054AF4">
            <w:pPr>
              <w:widowControl w:val="0"/>
              <w:tabs>
                <w:tab w:val="decimal" w:leader="dot" w:pos="428"/>
              </w:tabs>
              <w:autoSpaceDE w:val="0"/>
              <w:autoSpaceDN w:val="0"/>
              <w:adjustRightInd w:val="0"/>
            </w:pPr>
            <w:r>
              <w:t xml:space="preserve"> </w:t>
            </w:r>
          </w:p>
        </w:tc>
      </w:tr>
      <w:tr w:rsidR="00054AF4" w14:paraId="5BC638D3" w14:textId="77777777" w:rsidTr="00054AF4">
        <w:tc>
          <w:tcPr>
            <w:tcW w:w="2310" w:type="dxa"/>
            <w:tcBorders>
              <w:top w:val="nil"/>
              <w:left w:val="nil"/>
              <w:bottom w:val="nil"/>
              <w:right w:val="nil"/>
            </w:tcBorders>
            <w:vAlign w:val="center"/>
          </w:tcPr>
          <w:p w14:paraId="6798AFEE" w14:textId="6F5DB0B6" w:rsidR="00054AF4" w:rsidRPr="00054AF4" w:rsidRDefault="00054AF4" w:rsidP="00054AF4">
            <w:pPr>
              <w:widowControl w:val="0"/>
              <w:autoSpaceDE w:val="0"/>
              <w:autoSpaceDN w:val="0"/>
              <w:adjustRightInd w:val="0"/>
              <w:rPr>
                <w:sz w:val="22"/>
                <w:szCs w:val="22"/>
              </w:rPr>
            </w:pPr>
          </w:p>
        </w:tc>
        <w:tc>
          <w:tcPr>
            <w:tcW w:w="992" w:type="dxa"/>
            <w:tcBorders>
              <w:top w:val="nil"/>
              <w:left w:val="nil"/>
              <w:bottom w:val="nil"/>
              <w:right w:val="nil"/>
            </w:tcBorders>
            <w:vAlign w:val="center"/>
          </w:tcPr>
          <w:p w14:paraId="67A23546" w14:textId="77777777" w:rsidR="00054AF4" w:rsidRPr="00054AF4" w:rsidRDefault="00054AF4" w:rsidP="00054AF4">
            <w:pPr>
              <w:widowControl w:val="0"/>
              <w:tabs>
                <w:tab w:val="decimal" w:leader="dot" w:pos="428"/>
              </w:tabs>
              <w:autoSpaceDE w:val="0"/>
              <w:autoSpaceDN w:val="0"/>
              <w:adjustRightInd w:val="0"/>
              <w:rPr>
                <w:sz w:val="22"/>
                <w:szCs w:val="22"/>
              </w:rPr>
            </w:pPr>
            <w:r w:rsidRPr="00054AF4">
              <w:rPr>
                <w:sz w:val="22"/>
                <w:szCs w:val="22"/>
              </w:rPr>
              <w:t xml:space="preserve"> </w:t>
            </w:r>
          </w:p>
        </w:tc>
        <w:tc>
          <w:tcPr>
            <w:tcW w:w="982" w:type="dxa"/>
            <w:tcBorders>
              <w:top w:val="nil"/>
              <w:left w:val="nil"/>
              <w:bottom w:val="nil"/>
              <w:right w:val="nil"/>
            </w:tcBorders>
            <w:vAlign w:val="center"/>
          </w:tcPr>
          <w:p w14:paraId="54E299EB" w14:textId="77777777" w:rsidR="00054AF4" w:rsidRPr="00054AF4" w:rsidRDefault="00054AF4" w:rsidP="00054AF4">
            <w:pPr>
              <w:widowControl w:val="0"/>
              <w:tabs>
                <w:tab w:val="decimal" w:leader="dot" w:pos="428"/>
              </w:tabs>
              <w:autoSpaceDE w:val="0"/>
              <w:autoSpaceDN w:val="0"/>
              <w:adjustRightInd w:val="0"/>
              <w:rPr>
                <w:sz w:val="22"/>
                <w:szCs w:val="22"/>
              </w:rPr>
            </w:pPr>
            <w:r w:rsidRPr="00054AF4">
              <w:rPr>
                <w:sz w:val="22"/>
                <w:szCs w:val="22"/>
              </w:rPr>
              <w:t xml:space="preserve"> </w:t>
            </w:r>
          </w:p>
        </w:tc>
        <w:tc>
          <w:tcPr>
            <w:tcW w:w="1224" w:type="dxa"/>
            <w:tcBorders>
              <w:top w:val="nil"/>
              <w:left w:val="nil"/>
              <w:bottom w:val="nil"/>
              <w:right w:val="nil"/>
            </w:tcBorders>
            <w:vAlign w:val="center"/>
          </w:tcPr>
          <w:p w14:paraId="14379DE5" w14:textId="77777777" w:rsidR="00054AF4" w:rsidRPr="00054AF4" w:rsidRDefault="00054AF4" w:rsidP="00054AF4">
            <w:pPr>
              <w:widowControl w:val="0"/>
              <w:tabs>
                <w:tab w:val="decimal" w:leader="dot" w:pos="428"/>
              </w:tabs>
              <w:autoSpaceDE w:val="0"/>
              <w:autoSpaceDN w:val="0"/>
              <w:adjustRightInd w:val="0"/>
              <w:rPr>
                <w:sz w:val="22"/>
                <w:szCs w:val="22"/>
              </w:rPr>
            </w:pPr>
            <w:r w:rsidRPr="00054AF4">
              <w:rPr>
                <w:sz w:val="22"/>
                <w:szCs w:val="22"/>
              </w:rPr>
              <w:t xml:space="preserve"> </w:t>
            </w:r>
          </w:p>
        </w:tc>
        <w:tc>
          <w:tcPr>
            <w:tcW w:w="1224" w:type="dxa"/>
            <w:tcBorders>
              <w:top w:val="nil"/>
              <w:left w:val="nil"/>
              <w:bottom w:val="nil"/>
              <w:right w:val="nil"/>
            </w:tcBorders>
            <w:vAlign w:val="center"/>
          </w:tcPr>
          <w:p w14:paraId="34B125A5" w14:textId="77777777" w:rsidR="00054AF4" w:rsidRPr="00054AF4" w:rsidRDefault="00054AF4" w:rsidP="00054AF4">
            <w:pPr>
              <w:widowControl w:val="0"/>
              <w:tabs>
                <w:tab w:val="decimal" w:leader="dot" w:pos="428"/>
              </w:tabs>
              <w:autoSpaceDE w:val="0"/>
              <w:autoSpaceDN w:val="0"/>
              <w:adjustRightInd w:val="0"/>
              <w:rPr>
                <w:sz w:val="22"/>
                <w:szCs w:val="22"/>
              </w:rPr>
            </w:pPr>
            <w:r w:rsidRPr="00054AF4">
              <w:rPr>
                <w:sz w:val="22"/>
                <w:szCs w:val="22"/>
              </w:rPr>
              <w:t xml:space="preserve"> </w:t>
            </w:r>
          </w:p>
        </w:tc>
        <w:tc>
          <w:tcPr>
            <w:tcW w:w="1224" w:type="dxa"/>
            <w:tcBorders>
              <w:top w:val="nil"/>
              <w:left w:val="nil"/>
              <w:bottom w:val="nil"/>
              <w:right w:val="nil"/>
            </w:tcBorders>
            <w:vAlign w:val="center"/>
          </w:tcPr>
          <w:p w14:paraId="0AFE016A" w14:textId="77777777" w:rsidR="00054AF4" w:rsidRPr="00054AF4" w:rsidRDefault="00054AF4" w:rsidP="00054AF4">
            <w:pPr>
              <w:widowControl w:val="0"/>
              <w:tabs>
                <w:tab w:val="decimal" w:leader="dot" w:pos="428"/>
              </w:tabs>
              <w:autoSpaceDE w:val="0"/>
              <w:autoSpaceDN w:val="0"/>
              <w:adjustRightInd w:val="0"/>
              <w:rPr>
                <w:sz w:val="22"/>
                <w:szCs w:val="22"/>
              </w:rPr>
            </w:pPr>
            <w:r w:rsidRPr="00054AF4">
              <w:rPr>
                <w:sz w:val="22"/>
                <w:szCs w:val="22"/>
              </w:rPr>
              <w:t xml:space="preserve"> </w:t>
            </w:r>
          </w:p>
        </w:tc>
        <w:tc>
          <w:tcPr>
            <w:tcW w:w="1224" w:type="dxa"/>
            <w:tcBorders>
              <w:top w:val="nil"/>
              <w:left w:val="nil"/>
              <w:bottom w:val="nil"/>
              <w:right w:val="nil"/>
            </w:tcBorders>
            <w:vAlign w:val="center"/>
          </w:tcPr>
          <w:p w14:paraId="4D88E426" w14:textId="77777777" w:rsidR="00054AF4" w:rsidRPr="00054AF4" w:rsidRDefault="00054AF4" w:rsidP="00054AF4">
            <w:pPr>
              <w:widowControl w:val="0"/>
              <w:tabs>
                <w:tab w:val="decimal" w:leader="dot" w:pos="428"/>
              </w:tabs>
              <w:autoSpaceDE w:val="0"/>
              <w:autoSpaceDN w:val="0"/>
              <w:adjustRightInd w:val="0"/>
              <w:rPr>
                <w:sz w:val="22"/>
                <w:szCs w:val="22"/>
              </w:rPr>
            </w:pPr>
            <w:r w:rsidRPr="00054AF4">
              <w:rPr>
                <w:sz w:val="22"/>
                <w:szCs w:val="22"/>
              </w:rPr>
              <w:t xml:space="preserve"> </w:t>
            </w:r>
          </w:p>
        </w:tc>
        <w:tc>
          <w:tcPr>
            <w:tcW w:w="1224" w:type="dxa"/>
            <w:tcBorders>
              <w:top w:val="nil"/>
              <w:left w:val="nil"/>
              <w:bottom w:val="nil"/>
              <w:right w:val="nil"/>
            </w:tcBorders>
            <w:vAlign w:val="center"/>
          </w:tcPr>
          <w:p w14:paraId="17A558D4" w14:textId="77777777" w:rsidR="00054AF4" w:rsidRPr="00054AF4" w:rsidRDefault="00054AF4" w:rsidP="00054AF4">
            <w:pPr>
              <w:widowControl w:val="0"/>
              <w:tabs>
                <w:tab w:val="decimal" w:leader="dot" w:pos="428"/>
              </w:tabs>
              <w:autoSpaceDE w:val="0"/>
              <w:autoSpaceDN w:val="0"/>
              <w:adjustRightInd w:val="0"/>
              <w:rPr>
                <w:sz w:val="22"/>
                <w:szCs w:val="22"/>
              </w:rPr>
            </w:pPr>
            <w:r w:rsidRPr="00054AF4">
              <w:rPr>
                <w:sz w:val="22"/>
                <w:szCs w:val="22"/>
              </w:rPr>
              <w:t xml:space="preserve"> </w:t>
            </w:r>
          </w:p>
        </w:tc>
        <w:tc>
          <w:tcPr>
            <w:tcW w:w="1224" w:type="dxa"/>
            <w:tcBorders>
              <w:top w:val="nil"/>
              <w:left w:val="nil"/>
              <w:bottom w:val="nil"/>
              <w:right w:val="nil"/>
            </w:tcBorders>
            <w:vAlign w:val="center"/>
          </w:tcPr>
          <w:p w14:paraId="605CD25F" w14:textId="77777777" w:rsidR="00054AF4" w:rsidRDefault="00054AF4" w:rsidP="00054AF4">
            <w:pPr>
              <w:widowControl w:val="0"/>
              <w:tabs>
                <w:tab w:val="decimal" w:leader="dot" w:pos="428"/>
              </w:tabs>
              <w:autoSpaceDE w:val="0"/>
              <w:autoSpaceDN w:val="0"/>
              <w:adjustRightInd w:val="0"/>
            </w:pPr>
            <w:r>
              <w:t xml:space="preserve"> </w:t>
            </w:r>
          </w:p>
        </w:tc>
        <w:tc>
          <w:tcPr>
            <w:tcW w:w="1224" w:type="dxa"/>
            <w:tcBorders>
              <w:top w:val="nil"/>
              <w:left w:val="nil"/>
              <w:bottom w:val="nil"/>
              <w:right w:val="nil"/>
            </w:tcBorders>
            <w:vAlign w:val="center"/>
          </w:tcPr>
          <w:p w14:paraId="63FF7F5F" w14:textId="77777777" w:rsidR="00054AF4" w:rsidRDefault="00054AF4" w:rsidP="00054AF4">
            <w:pPr>
              <w:widowControl w:val="0"/>
              <w:tabs>
                <w:tab w:val="decimal" w:leader="dot" w:pos="428"/>
              </w:tabs>
              <w:autoSpaceDE w:val="0"/>
              <w:autoSpaceDN w:val="0"/>
              <w:adjustRightInd w:val="0"/>
            </w:pPr>
            <w:r>
              <w:t xml:space="preserve"> </w:t>
            </w:r>
          </w:p>
        </w:tc>
      </w:tr>
      <w:tr w:rsidR="00054AF4" w14:paraId="2B462FDF" w14:textId="77777777" w:rsidTr="00054AF4">
        <w:tc>
          <w:tcPr>
            <w:tcW w:w="2310" w:type="dxa"/>
            <w:tcBorders>
              <w:top w:val="nil"/>
              <w:left w:val="nil"/>
              <w:bottom w:val="nil"/>
              <w:right w:val="nil"/>
            </w:tcBorders>
            <w:vAlign w:val="center"/>
          </w:tcPr>
          <w:p w14:paraId="1BECF458" w14:textId="17EA091B" w:rsidR="00054AF4" w:rsidRDefault="00054AF4" w:rsidP="00054AF4">
            <w:pPr>
              <w:widowControl w:val="0"/>
              <w:autoSpaceDE w:val="0"/>
              <w:autoSpaceDN w:val="0"/>
              <w:adjustRightInd w:val="0"/>
            </w:pPr>
            <w:r>
              <w:rPr>
                <w:sz w:val="22"/>
                <w:szCs w:val="22"/>
                <w:lang w:val="en-US"/>
              </w:rPr>
              <w:t>6</w:t>
            </w:r>
            <w:r w:rsidRPr="005869CA">
              <w:rPr>
                <w:sz w:val="22"/>
                <w:szCs w:val="22"/>
                <w:lang w:val="en-US"/>
              </w:rPr>
              <w:t>. Depression</w:t>
            </w:r>
          </w:p>
        </w:tc>
        <w:tc>
          <w:tcPr>
            <w:tcW w:w="992" w:type="dxa"/>
            <w:tcBorders>
              <w:top w:val="nil"/>
              <w:left w:val="nil"/>
              <w:bottom w:val="nil"/>
              <w:right w:val="nil"/>
            </w:tcBorders>
            <w:vAlign w:val="center"/>
          </w:tcPr>
          <w:p w14:paraId="6C66A1E4" w14:textId="77777777" w:rsidR="00054AF4" w:rsidRPr="00054AF4" w:rsidRDefault="00054AF4" w:rsidP="00054AF4">
            <w:pPr>
              <w:widowControl w:val="0"/>
              <w:tabs>
                <w:tab w:val="decimal" w:leader="dot" w:pos="428"/>
              </w:tabs>
              <w:autoSpaceDE w:val="0"/>
              <w:autoSpaceDN w:val="0"/>
              <w:adjustRightInd w:val="0"/>
              <w:rPr>
                <w:sz w:val="22"/>
                <w:szCs w:val="22"/>
              </w:rPr>
            </w:pPr>
            <w:r w:rsidRPr="00054AF4">
              <w:rPr>
                <w:sz w:val="22"/>
                <w:szCs w:val="22"/>
              </w:rPr>
              <w:t>5.25</w:t>
            </w:r>
          </w:p>
        </w:tc>
        <w:tc>
          <w:tcPr>
            <w:tcW w:w="982" w:type="dxa"/>
            <w:tcBorders>
              <w:top w:val="nil"/>
              <w:left w:val="nil"/>
              <w:bottom w:val="nil"/>
              <w:right w:val="nil"/>
            </w:tcBorders>
            <w:vAlign w:val="center"/>
          </w:tcPr>
          <w:p w14:paraId="385DA46F" w14:textId="77777777" w:rsidR="00054AF4" w:rsidRPr="00054AF4" w:rsidRDefault="00054AF4" w:rsidP="00054AF4">
            <w:pPr>
              <w:widowControl w:val="0"/>
              <w:tabs>
                <w:tab w:val="decimal" w:leader="dot" w:pos="428"/>
              </w:tabs>
              <w:autoSpaceDE w:val="0"/>
              <w:autoSpaceDN w:val="0"/>
              <w:adjustRightInd w:val="0"/>
              <w:rPr>
                <w:sz w:val="22"/>
                <w:szCs w:val="22"/>
              </w:rPr>
            </w:pPr>
            <w:r w:rsidRPr="00054AF4">
              <w:rPr>
                <w:sz w:val="22"/>
                <w:szCs w:val="22"/>
              </w:rPr>
              <w:t>5.94</w:t>
            </w:r>
          </w:p>
        </w:tc>
        <w:tc>
          <w:tcPr>
            <w:tcW w:w="1224" w:type="dxa"/>
            <w:tcBorders>
              <w:top w:val="nil"/>
              <w:left w:val="nil"/>
              <w:bottom w:val="nil"/>
              <w:right w:val="nil"/>
            </w:tcBorders>
            <w:vAlign w:val="center"/>
          </w:tcPr>
          <w:p w14:paraId="7B7A12DB" w14:textId="77777777" w:rsidR="00054AF4" w:rsidRPr="00054AF4" w:rsidRDefault="00054AF4" w:rsidP="00054AF4">
            <w:pPr>
              <w:widowControl w:val="0"/>
              <w:tabs>
                <w:tab w:val="decimal" w:leader="dot" w:pos="428"/>
              </w:tabs>
              <w:autoSpaceDE w:val="0"/>
              <w:autoSpaceDN w:val="0"/>
              <w:adjustRightInd w:val="0"/>
              <w:rPr>
                <w:sz w:val="22"/>
                <w:szCs w:val="22"/>
              </w:rPr>
            </w:pPr>
            <w:r w:rsidRPr="00054AF4">
              <w:rPr>
                <w:sz w:val="22"/>
                <w:szCs w:val="22"/>
              </w:rPr>
              <w:t>-.16**</w:t>
            </w:r>
          </w:p>
        </w:tc>
        <w:tc>
          <w:tcPr>
            <w:tcW w:w="1224" w:type="dxa"/>
            <w:tcBorders>
              <w:top w:val="nil"/>
              <w:left w:val="nil"/>
              <w:bottom w:val="nil"/>
              <w:right w:val="nil"/>
            </w:tcBorders>
            <w:vAlign w:val="center"/>
          </w:tcPr>
          <w:p w14:paraId="15326847" w14:textId="77777777" w:rsidR="00054AF4" w:rsidRPr="00054AF4" w:rsidRDefault="00054AF4" w:rsidP="00054AF4">
            <w:pPr>
              <w:widowControl w:val="0"/>
              <w:tabs>
                <w:tab w:val="decimal" w:leader="dot" w:pos="428"/>
              </w:tabs>
              <w:autoSpaceDE w:val="0"/>
              <w:autoSpaceDN w:val="0"/>
              <w:adjustRightInd w:val="0"/>
              <w:rPr>
                <w:sz w:val="22"/>
                <w:szCs w:val="22"/>
              </w:rPr>
            </w:pPr>
            <w:r w:rsidRPr="00054AF4">
              <w:rPr>
                <w:sz w:val="22"/>
                <w:szCs w:val="22"/>
              </w:rPr>
              <w:t>.21**</w:t>
            </w:r>
          </w:p>
        </w:tc>
        <w:tc>
          <w:tcPr>
            <w:tcW w:w="1224" w:type="dxa"/>
            <w:tcBorders>
              <w:top w:val="nil"/>
              <w:left w:val="nil"/>
              <w:bottom w:val="nil"/>
              <w:right w:val="nil"/>
            </w:tcBorders>
            <w:vAlign w:val="center"/>
          </w:tcPr>
          <w:p w14:paraId="49D72410" w14:textId="77777777" w:rsidR="00054AF4" w:rsidRPr="00054AF4" w:rsidRDefault="00054AF4" w:rsidP="00054AF4">
            <w:pPr>
              <w:widowControl w:val="0"/>
              <w:tabs>
                <w:tab w:val="decimal" w:leader="dot" w:pos="428"/>
              </w:tabs>
              <w:autoSpaceDE w:val="0"/>
              <w:autoSpaceDN w:val="0"/>
              <w:adjustRightInd w:val="0"/>
              <w:rPr>
                <w:sz w:val="22"/>
                <w:szCs w:val="22"/>
              </w:rPr>
            </w:pPr>
            <w:r w:rsidRPr="00054AF4">
              <w:rPr>
                <w:sz w:val="22"/>
                <w:szCs w:val="22"/>
              </w:rPr>
              <w:t>.10**</w:t>
            </w:r>
          </w:p>
        </w:tc>
        <w:tc>
          <w:tcPr>
            <w:tcW w:w="1224" w:type="dxa"/>
            <w:tcBorders>
              <w:top w:val="nil"/>
              <w:left w:val="nil"/>
              <w:bottom w:val="nil"/>
              <w:right w:val="nil"/>
            </w:tcBorders>
            <w:vAlign w:val="center"/>
          </w:tcPr>
          <w:p w14:paraId="5D8F6376" w14:textId="77777777" w:rsidR="00054AF4" w:rsidRPr="00054AF4" w:rsidRDefault="00054AF4" w:rsidP="00054AF4">
            <w:pPr>
              <w:widowControl w:val="0"/>
              <w:tabs>
                <w:tab w:val="decimal" w:leader="dot" w:pos="428"/>
              </w:tabs>
              <w:autoSpaceDE w:val="0"/>
              <w:autoSpaceDN w:val="0"/>
              <w:adjustRightInd w:val="0"/>
              <w:rPr>
                <w:sz w:val="22"/>
                <w:szCs w:val="22"/>
              </w:rPr>
            </w:pPr>
            <w:r w:rsidRPr="00054AF4">
              <w:rPr>
                <w:sz w:val="22"/>
                <w:szCs w:val="22"/>
              </w:rPr>
              <w:t>-.11**</w:t>
            </w:r>
          </w:p>
        </w:tc>
        <w:tc>
          <w:tcPr>
            <w:tcW w:w="1224" w:type="dxa"/>
            <w:tcBorders>
              <w:top w:val="nil"/>
              <w:left w:val="nil"/>
              <w:bottom w:val="nil"/>
              <w:right w:val="nil"/>
            </w:tcBorders>
            <w:vAlign w:val="center"/>
          </w:tcPr>
          <w:p w14:paraId="60E7840D" w14:textId="77777777" w:rsidR="00054AF4" w:rsidRPr="00054AF4" w:rsidRDefault="00054AF4" w:rsidP="00054AF4">
            <w:pPr>
              <w:widowControl w:val="0"/>
              <w:tabs>
                <w:tab w:val="decimal" w:leader="dot" w:pos="428"/>
              </w:tabs>
              <w:autoSpaceDE w:val="0"/>
              <w:autoSpaceDN w:val="0"/>
              <w:adjustRightInd w:val="0"/>
              <w:rPr>
                <w:sz w:val="22"/>
                <w:szCs w:val="22"/>
              </w:rPr>
            </w:pPr>
            <w:r w:rsidRPr="00054AF4">
              <w:rPr>
                <w:sz w:val="22"/>
                <w:szCs w:val="22"/>
              </w:rPr>
              <w:t>.31**</w:t>
            </w:r>
          </w:p>
        </w:tc>
        <w:tc>
          <w:tcPr>
            <w:tcW w:w="1224" w:type="dxa"/>
            <w:tcBorders>
              <w:top w:val="nil"/>
              <w:left w:val="nil"/>
              <w:bottom w:val="nil"/>
              <w:right w:val="nil"/>
            </w:tcBorders>
            <w:vAlign w:val="center"/>
          </w:tcPr>
          <w:p w14:paraId="21DF70A6" w14:textId="77777777" w:rsidR="00054AF4" w:rsidRDefault="00054AF4" w:rsidP="00054AF4">
            <w:pPr>
              <w:widowControl w:val="0"/>
              <w:tabs>
                <w:tab w:val="decimal" w:leader="dot" w:pos="428"/>
              </w:tabs>
              <w:autoSpaceDE w:val="0"/>
              <w:autoSpaceDN w:val="0"/>
              <w:adjustRightInd w:val="0"/>
            </w:pPr>
            <w:r>
              <w:t xml:space="preserve"> </w:t>
            </w:r>
          </w:p>
        </w:tc>
        <w:tc>
          <w:tcPr>
            <w:tcW w:w="1224" w:type="dxa"/>
            <w:tcBorders>
              <w:top w:val="nil"/>
              <w:left w:val="nil"/>
              <w:bottom w:val="nil"/>
              <w:right w:val="nil"/>
            </w:tcBorders>
            <w:vAlign w:val="center"/>
          </w:tcPr>
          <w:p w14:paraId="13F14DE6" w14:textId="77777777" w:rsidR="00054AF4" w:rsidRDefault="00054AF4" w:rsidP="00054AF4">
            <w:pPr>
              <w:widowControl w:val="0"/>
              <w:tabs>
                <w:tab w:val="decimal" w:leader="dot" w:pos="428"/>
              </w:tabs>
              <w:autoSpaceDE w:val="0"/>
              <w:autoSpaceDN w:val="0"/>
              <w:adjustRightInd w:val="0"/>
            </w:pPr>
            <w:r>
              <w:t xml:space="preserve"> </w:t>
            </w:r>
          </w:p>
        </w:tc>
      </w:tr>
      <w:tr w:rsidR="00054AF4" w14:paraId="1AEA5807" w14:textId="77777777" w:rsidTr="00054AF4">
        <w:tc>
          <w:tcPr>
            <w:tcW w:w="2310" w:type="dxa"/>
            <w:tcBorders>
              <w:top w:val="nil"/>
              <w:left w:val="nil"/>
              <w:bottom w:val="nil"/>
              <w:right w:val="nil"/>
            </w:tcBorders>
            <w:vAlign w:val="center"/>
          </w:tcPr>
          <w:p w14:paraId="3EA74425" w14:textId="1B57D368" w:rsidR="00054AF4" w:rsidRDefault="00054AF4" w:rsidP="00054AF4">
            <w:pPr>
              <w:widowControl w:val="0"/>
              <w:autoSpaceDE w:val="0"/>
              <w:autoSpaceDN w:val="0"/>
              <w:adjustRightInd w:val="0"/>
            </w:pPr>
            <w:r w:rsidRPr="005869CA">
              <w:rPr>
                <w:sz w:val="22"/>
                <w:szCs w:val="22"/>
                <w:lang w:val="en-US"/>
              </w:rPr>
              <w:t xml:space="preserve"> </w:t>
            </w:r>
          </w:p>
        </w:tc>
        <w:tc>
          <w:tcPr>
            <w:tcW w:w="992" w:type="dxa"/>
            <w:tcBorders>
              <w:top w:val="nil"/>
              <w:left w:val="nil"/>
              <w:bottom w:val="nil"/>
              <w:right w:val="nil"/>
            </w:tcBorders>
            <w:vAlign w:val="center"/>
          </w:tcPr>
          <w:p w14:paraId="31EE19E2" w14:textId="77777777" w:rsidR="00054AF4" w:rsidRDefault="00054AF4" w:rsidP="00054AF4">
            <w:pPr>
              <w:widowControl w:val="0"/>
              <w:tabs>
                <w:tab w:val="decimal" w:leader="dot" w:pos="428"/>
              </w:tabs>
              <w:autoSpaceDE w:val="0"/>
              <w:autoSpaceDN w:val="0"/>
              <w:adjustRightInd w:val="0"/>
            </w:pPr>
            <w:r>
              <w:t xml:space="preserve"> </w:t>
            </w:r>
          </w:p>
        </w:tc>
        <w:tc>
          <w:tcPr>
            <w:tcW w:w="982" w:type="dxa"/>
            <w:tcBorders>
              <w:top w:val="nil"/>
              <w:left w:val="nil"/>
              <w:bottom w:val="nil"/>
              <w:right w:val="nil"/>
            </w:tcBorders>
            <w:vAlign w:val="center"/>
          </w:tcPr>
          <w:p w14:paraId="1663AFCC" w14:textId="77777777" w:rsidR="00054AF4" w:rsidRDefault="00054AF4" w:rsidP="00054AF4">
            <w:pPr>
              <w:widowControl w:val="0"/>
              <w:tabs>
                <w:tab w:val="decimal" w:leader="dot" w:pos="428"/>
              </w:tabs>
              <w:autoSpaceDE w:val="0"/>
              <w:autoSpaceDN w:val="0"/>
              <w:adjustRightInd w:val="0"/>
            </w:pPr>
            <w:r>
              <w:t xml:space="preserve"> </w:t>
            </w:r>
          </w:p>
        </w:tc>
        <w:tc>
          <w:tcPr>
            <w:tcW w:w="1224" w:type="dxa"/>
            <w:tcBorders>
              <w:top w:val="nil"/>
              <w:left w:val="nil"/>
              <w:bottom w:val="nil"/>
              <w:right w:val="nil"/>
            </w:tcBorders>
            <w:vAlign w:val="center"/>
          </w:tcPr>
          <w:p w14:paraId="095BDD89" w14:textId="77777777" w:rsidR="00054AF4" w:rsidRDefault="00054AF4" w:rsidP="00054AF4">
            <w:pPr>
              <w:widowControl w:val="0"/>
              <w:tabs>
                <w:tab w:val="decimal" w:leader="dot" w:pos="428"/>
              </w:tabs>
              <w:autoSpaceDE w:val="0"/>
              <w:autoSpaceDN w:val="0"/>
              <w:adjustRightInd w:val="0"/>
            </w:pPr>
            <w:r>
              <w:rPr>
                <w:sz w:val="20"/>
                <w:szCs w:val="20"/>
              </w:rPr>
              <w:t>[-.21, -.11]</w:t>
            </w:r>
          </w:p>
        </w:tc>
        <w:tc>
          <w:tcPr>
            <w:tcW w:w="1224" w:type="dxa"/>
            <w:tcBorders>
              <w:top w:val="nil"/>
              <w:left w:val="nil"/>
              <w:bottom w:val="nil"/>
              <w:right w:val="nil"/>
            </w:tcBorders>
            <w:vAlign w:val="center"/>
          </w:tcPr>
          <w:p w14:paraId="244E7BA1" w14:textId="77777777" w:rsidR="00054AF4" w:rsidRDefault="00054AF4" w:rsidP="00054AF4">
            <w:pPr>
              <w:widowControl w:val="0"/>
              <w:tabs>
                <w:tab w:val="decimal" w:leader="dot" w:pos="428"/>
              </w:tabs>
              <w:autoSpaceDE w:val="0"/>
              <w:autoSpaceDN w:val="0"/>
              <w:adjustRightInd w:val="0"/>
            </w:pPr>
            <w:r>
              <w:rPr>
                <w:sz w:val="20"/>
                <w:szCs w:val="20"/>
              </w:rPr>
              <w:t>[.16, .27]</w:t>
            </w:r>
          </w:p>
        </w:tc>
        <w:tc>
          <w:tcPr>
            <w:tcW w:w="1224" w:type="dxa"/>
            <w:tcBorders>
              <w:top w:val="nil"/>
              <w:left w:val="nil"/>
              <w:bottom w:val="nil"/>
              <w:right w:val="nil"/>
            </w:tcBorders>
            <w:vAlign w:val="center"/>
          </w:tcPr>
          <w:p w14:paraId="71E9A56E" w14:textId="77777777" w:rsidR="00054AF4" w:rsidRDefault="00054AF4" w:rsidP="00054AF4">
            <w:pPr>
              <w:widowControl w:val="0"/>
              <w:tabs>
                <w:tab w:val="decimal" w:leader="dot" w:pos="428"/>
              </w:tabs>
              <w:autoSpaceDE w:val="0"/>
              <w:autoSpaceDN w:val="0"/>
              <w:adjustRightInd w:val="0"/>
            </w:pPr>
            <w:r>
              <w:rPr>
                <w:sz w:val="20"/>
                <w:szCs w:val="20"/>
              </w:rPr>
              <w:t>[.05, .15]</w:t>
            </w:r>
          </w:p>
        </w:tc>
        <w:tc>
          <w:tcPr>
            <w:tcW w:w="1224" w:type="dxa"/>
            <w:tcBorders>
              <w:top w:val="nil"/>
              <w:left w:val="nil"/>
              <w:bottom w:val="nil"/>
              <w:right w:val="nil"/>
            </w:tcBorders>
            <w:vAlign w:val="center"/>
          </w:tcPr>
          <w:p w14:paraId="2B7C53EA" w14:textId="77777777" w:rsidR="00054AF4" w:rsidRDefault="00054AF4" w:rsidP="00054AF4">
            <w:pPr>
              <w:widowControl w:val="0"/>
              <w:tabs>
                <w:tab w:val="decimal" w:leader="dot" w:pos="428"/>
              </w:tabs>
              <w:autoSpaceDE w:val="0"/>
              <w:autoSpaceDN w:val="0"/>
              <w:adjustRightInd w:val="0"/>
            </w:pPr>
            <w:r>
              <w:rPr>
                <w:sz w:val="20"/>
                <w:szCs w:val="20"/>
              </w:rPr>
              <w:t>[-.16, -.05]</w:t>
            </w:r>
          </w:p>
        </w:tc>
        <w:tc>
          <w:tcPr>
            <w:tcW w:w="1224" w:type="dxa"/>
            <w:tcBorders>
              <w:top w:val="nil"/>
              <w:left w:val="nil"/>
              <w:bottom w:val="nil"/>
              <w:right w:val="nil"/>
            </w:tcBorders>
            <w:vAlign w:val="center"/>
          </w:tcPr>
          <w:p w14:paraId="5BAC01A9" w14:textId="77777777" w:rsidR="00054AF4" w:rsidRDefault="00054AF4" w:rsidP="00054AF4">
            <w:pPr>
              <w:widowControl w:val="0"/>
              <w:tabs>
                <w:tab w:val="decimal" w:leader="dot" w:pos="428"/>
              </w:tabs>
              <w:autoSpaceDE w:val="0"/>
              <w:autoSpaceDN w:val="0"/>
              <w:adjustRightInd w:val="0"/>
            </w:pPr>
            <w:r>
              <w:rPr>
                <w:sz w:val="20"/>
                <w:szCs w:val="20"/>
              </w:rPr>
              <w:t>[.26, .36]</w:t>
            </w:r>
          </w:p>
        </w:tc>
        <w:tc>
          <w:tcPr>
            <w:tcW w:w="1224" w:type="dxa"/>
            <w:tcBorders>
              <w:top w:val="nil"/>
              <w:left w:val="nil"/>
              <w:bottom w:val="nil"/>
              <w:right w:val="nil"/>
            </w:tcBorders>
            <w:vAlign w:val="center"/>
          </w:tcPr>
          <w:p w14:paraId="5B996CDE" w14:textId="77777777" w:rsidR="00054AF4" w:rsidRDefault="00054AF4" w:rsidP="00054AF4">
            <w:pPr>
              <w:widowControl w:val="0"/>
              <w:tabs>
                <w:tab w:val="decimal" w:leader="dot" w:pos="428"/>
              </w:tabs>
              <w:autoSpaceDE w:val="0"/>
              <w:autoSpaceDN w:val="0"/>
              <w:adjustRightInd w:val="0"/>
            </w:pPr>
            <w:r>
              <w:t xml:space="preserve"> </w:t>
            </w:r>
          </w:p>
        </w:tc>
        <w:tc>
          <w:tcPr>
            <w:tcW w:w="1224" w:type="dxa"/>
            <w:tcBorders>
              <w:top w:val="nil"/>
              <w:left w:val="nil"/>
              <w:bottom w:val="nil"/>
              <w:right w:val="nil"/>
            </w:tcBorders>
            <w:vAlign w:val="center"/>
          </w:tcPr>
          <w:p w14:paraId="27F2711E" w14:textId="77777777" w:rsidR="00054AF4" w:rsidRDefault="00054AF4" w:rsidP="00054AF4">
            <w:pPr>
              <w:widowControl w:val="0"/>
              <w:tabs>
                <w:tab w:val="decimal" w:leader="dot" w:pos="428"/>
              </w:tabs>
              <w:autoSpaceDE w:val="0"/>
              <w:autoSpaceDN w:val="0"/>
              <w:adjustRightInd w:val="0"/>
            </w:pPr>
            <w:r>
              <w:t xml:space="preserve"> </w:t>
            </w:r>
          </w:p>
        </w:tc>
      </w:tr>
      <w:tr w:rsidR="00054AF4" w14:paraId="7DBE2C0F" w14:textId="77777777" w:rsidTr="00054AF4">
        <w:tc>
          <w:tcPr>
            <w:tcW w:w="2310" w:type="dxa"/>
            <w:tcBorders>
              <w:top w:val="nil"/>
              <w:left w:val="nil"/>
              <w:bottom w:val="nil"/>
              <w:right w:val="nil"/>
            </w:tcBorders>
            <w:vAlign w:val="center"/>
          </w:tcPr>
          <w:p w14:paraId="2B3FCD00" w14:textId="43CA5A7A" w:rsidR="00054AF4" w:rsidRDefault="00054AF4" w:rsidP="00054AF4">
            <w:pPr>
              <w:widowControl w:val="0"/>
              <w:autoSpaceDE w:val="0"/>
              <w:autoSpaceDN w:val="0"/>
              <w:adjustRightInd w:val="0"/>
            </w:pPr>
          </w:p>
        </w:tc>
        <w:tc>
          <w:tcPr>
            <w:tcW w:w="992" w:type="dxa"/>
            <w:tcBorders>
              <w:top w:val="nil"/>
              <w:left w:val="nil"/>
              <w:bottom w:val="nil"/>
              <w:right w:val="nil"/>
            </w:tcBorders>
            <w:vAlign w:val="center"/>
          </w:tcPr>
          <w:p w14:paraId="49A84547" w14:textId="77777777" w:rsidR="00054AF4" w:rsidRDefault="00054AF4" w:rsidP="00054AF4">
            <w:pPr>
              <w:widowControl w:val="0"/>
              <w:tabs>
                <w:tab w:val="decimal" w:leader="dot" w:pos="428"/>
              </w:tabs>
              <w:autoSpaceDE w:val="0"/>
              <w:autoSpaceDN w:val="0"/>
              <w:adjustRightInd w:val="0"/>
            </w:pPr>
            <w:r>
              <w:t xml:space="preserve"> </w:t>
            </w:r>
          </w:p>
        </w:tc>
        <w:tc>
          <w:tcPr>
            <w:tcW w:w="982" w:type="dxa"/>
            <w:tcBorders>
              <w:top w:val="nil"/>
              <w:left w:val="nil"/>
              <w:bottom w:val="nil"/>
              <w:right w:val="nil"/>
            </w:tcBorders>
            <w:vAlign w:val="center"/>
          </w:tcPr>
          <w:p w14:paraId="57768B2F" w14:textId="77777777" w:rsidR="00054AF4" w:rsidRDefault="00054AF4" w:rsidP="00054AF4">
            <w:pPr>
              <w:widowControl w:val="0"/>
              <w:tabs>
                <w:tab w:val="decimal" w:leader="dot" w:pos="428"/>
              </w:tabs>
              <w:autoSpaceDE w:val="0"/>
              <w:autoSpaceDN w:val="0"/>
              <w:adjustRightInd w:val="0"/>
            </w:pPr>
            <w:r>
              <w:t xml:space="preserve"> </w:t>
            </w:r>
          </w:p>
        </w:tc>
        <w:tc>
          <w:tcPr>
            <w:tcW w:w="1224" w:type="dxa"/>
            <w:tcBorders>
              <w:top w:val="nil"/>
              <w:left w:val="nil"/>
              <w:bottom w:val="nil"/>
              <w:right w:val="nil"/>
            </w:tcBorders>
            <w:vAlign w:val="center"/>
          </w:tcPr>
          <w:p w14:paraId="79C67478" w14:textId="77777777" w:rsidR="00054AF4" w:rsidRDefault="00054AF4" w:rsidP="00054AF4">
            <w:pPr>
              <w:widowControl w:val="0"/>
              <w:tabs>
                <w:tab w:val="decimal" w:leader="dot" w:pos="428"/>
              </w:tabs>
              <w:autoSpaceDE w:val="0"/>
              <w:autoSpaceDN w:val="0"/>
              <w:adjustRightInd w:val="0"/>
            </w:pPr>
            <w:r>
              <w:t xml:space="preserve"> </w:t>
            </w:r>
          </w:p>
        </w:tc>
        <w:tc>
          <w:tcPr>
            <w:tcW w:w="1224" w:type="dxa"/>
            <w:tcBorders>
              <w:top w:val="nil"/>
              <w:left w:val="nil"/>
              <w:bottom w:val="nil"/>
              <w:right w:val="nil"/>
            </w:tcBorders>
            <w:vAlign w:val="center"/>
          </w:tcPr>
          <w:p w14:paraId="4D6F1D19" w14:textId="77777777" w:rsidR="00054AF4" w:rsidRDefault="00054AF4" w:rsidP="00054AF4">
            <w:pPr>
              <w:widowControl w:val="0"/>
              <w:tabs>
                <w:tab w:val="decimal" w:leader="dot" w:pos="428"/>
              </w:tabs>
              <w:autoSpaceDE w:val="0"/>
              <w:autoSpaceDN w:val="0"/>
              <w:adjustRightInd w:val="0"/>
            </w:pPr>
            <w:r>
              <w:t xml:space="preserve"> </w:t>
            </w:r>
          </w:p>
        </w:tc>
        <w:tc>
          <w:tcPr>
            <w:tcW w:w="1224" w:type="dxa"/>
            <w:tcBorders>
              <w:top w:val="nil"/>
              <w:left w:val="nil"/>
              <w:bottom w:val="nil"/>
              <w:right w:val="nil"/>
            </w:tcBorders>
            <w:vAlign w:val="center"/>
          </w:tcPr>
          <w:p w14:paraId="3ABC2B83" w14:textId="77777777" w:rsidR="00054AF4" w:rsidRDefault="00054AF4" w:rsidP="00054AF4">
            <w:pPr>
              <w:widowControl w:val="0"/>
              <w:tabs>
                <w:tab w:val="decimal" w:leader="dot" w:pos="428"/>
              </w:tabs>
              <w:autoSpaceDE w:val="0"/>
              <w:autoSpaceDN w:val="0"/>
              <w:adjustRightInd w:val="0"/>
            </w:pPr>
            <w:r>
              <w:t xml:space="preserve"> </w:t>
            </w:r>
          </w:p>
        </w:tc>
        <w:tc>
          <w:tcPr>
            <w:tcW w:w="1224" w:type="dxa"/>
            <w:tcBorders>
              <w:top w:val="nil"/>
              <w:left w:val="nil"/>
              <w:bottom w:val="nil"/>
              <w:right w:val="nil"/>
            </w:tcBorders>
            <w:vAlign w:val="center"/>
          </w:tcPr>
          <w:p w14:paraId="5FDE1BDA" w14:textId="77777777" w:rsidR="00054AF4" w:rsidRDefault="00054AF4" w:rsidP="00054AF4">
            <w:pPr>
              <w:widowControl w:val="0"/>
              <w:tabs>
                <w:tab w:val="decimal" w:leader="dot" w:pos="428"/>
              </w:tabs>
              <w:autoSpaceDE w:val="0"/>
              <w:autoSpaceDN w:val="0"/>
              <w:adjustRightInd w:val="0"/>
            </w:pPr>
            <w:r>
              <w:t xml:space="preserve"> </w:t>
            </w:r>
          </w:p>
        </w:tc>
        <w:tc>
          <w:tcPr>
            <w:tcW w:w="1224" w:type="dxa"/>
            <w:tcBorders>
              <w:top w:val="nil"/>
              <w:left w:val="nil"/>
              <w:bottom w:val="nil"/>
              <w:right w:val="nil"/>
            </w:tcBorders>
            <w:vAlign w:val="center"/>
          </w:tcPr>
          <w:p w14:paraId="66DF5D2C" w14:textId="77777777" w:rsidR="00054AF4" w:rsidRDefault="00054AF4" w:rsidP="00054AF4">
            <w:pPr>
              <w:widowControl w:val="0"/>
              <w:tabs>
                <w:tab w:val="decimal" w:leader="dot" w:pos="428"/>
              </w:tabs>
              <w:autoSpaceDE w:val="0"/>
              <w:autoSpaceDN w:val="0"/>
              <w:adjustRightInd w:val="0"/>
            </w:pPr>
            <w:r>
              <w:t xml:space="preserve"> </w:t>
            </w:r>
          </w:p>
        </w:tc>
        <w:tc>
          <w:tcPr>
            <w:tcW w:w="1224" w:type="dxa"/>
            <w:tcBorders>
              <w:top w:val="nil"/>
              <w:left w:val="nil"/>
              <w:bottom w:val="nil"/>
              <w:right w:val="nil"/>
            </w:tcBorders>
            <w:vAlign w:val="center"/>
          </w:tcPr>
          <w:p w14:paraId="697DA399" w14:textId="77777777" w:rsidR="00054AF4" w:rsidRDefault="00054AF4" w:rsidP="00054AF4">
            <w:pPr>
              <w:widowControl w:val="0"/>
              <w:tabs>
                <w:tab w:val="decimal" w:leader="dot" w:pos="428"/>
              </w:tabs>
              <w:autoSpaceDE w:val="0"/>
              <w:autoSpaceDN w:val="0"/>
              <w:adjustRightInd w:val="0"/>
            </w:pPr>
            <w:r>
              <w:t xml:space="preserve"> </w:t>
            </w:r>
          </w:p>
        </w:tc>
        <w:tc>
          <w:tcPr>
            <w:tcW w:w="1224" w:type="dxa"/>
            <w:tcBorders>
              <w:top w:val="nil"/>
              <w:left w:val="nil"/>
              <w:bottom w:val="nil"/>
              <w:right w:val="nil"/>
            </w:tcBorders>
            <w:vAlign w:val="center"/>
          </w:tcPr>
          <w:p w14:paraId="13FA2084" w14:textId="77777777" w:rsidR="00054AF4" w:rsidRDefault="00054AF4" w:rsidP="00054AF4">
            <w:pPr>
              <w:widowControl w:val="0"/>
              <w:tabs>
                <w:tab w:val="decimal" w:leader="dot" w:pos="428"/>
              </w:tabs>
              <w:autoSpaceDE w:val="0"/>
              <w:autoSpaceDN w:val="0"/>
              <w:adjustRightInd w:val="0"/>
            </w:pPr>
            <w:r>
              <w:t xml:space="preserve"> </w:t>
            </w:r>
          </w:p>
        </w:tc>
      </w:tr>
      <w:tr w:rsidR="00054AF4" w14:paraId="06CF2FA7" w14:textId="77777777" w:rsidTr="00054AF4">
        <w:tc>
          <w:tcPr>
            <w:tcW w:w="2310" w:type="dxa"/>
            <w:tcBorders>
              <w:top w:val="nil"/>
              <w:left w:val="nil"/>
              <w:bottom w:val="nil"/>
              <w:right w:val="nil"/>
            </w:tcBorders>
            <w:vAlign w:val="center"/>
          </w:tcPr>
          <w:p w14:paraId="03AD3FED" w14:textId="19B4B460" w:rsidR="00054AF4" w:rsidRDefault="00054AF4" w:rsidP="00054AF4">
            <w:pPr>
              <w:widowControl w:val="0"/>
              <w:autoSpaceDE w:val="0"/>
              <w:autoSpaceDN w:val="0"/>
              <w:adjustRightInd w:val="0"/>
            </w:pPr>
            <w:r>
              <w:rPr>
                <w:sz w:val="22"/>
                <w:szCs w:val="22"/>
                <w:lang w:val="en-US"/>
              </w:rPr>
              <w:t>7</w:t>
            </w:r>
            <w:r w:rsidRPr="005869CA">
              <w:rPr>
                <w:sz w:val="22"/>
                <w:szCs w:val="22"/>
                <w:lang w:val="en-US"/>
              </w:rPr>
              <w:t>. GAD</w:t>
            </w:r>
          </w:p>
        </w:tc>
        <w:tc>
          <w:tcPr>
            <w:tcW w:w="992" w:type="dxa"/>
            <w:tcBorders>
              <w:top w:val="nil"/>
              <w:left w:val="nil"/>
              <w:bottom w:val="nil"/>
              <w:right w:val="nil"/>
            </w:tcBorders>
            <w:vAlign w:val="center"/>
          </w:tcPr>
          <w:p w14:paraId="287A1FF8" w14:textId="77777777" w:rsidR="00054AF4" w:rsidRPr="00054AF4" w:rsidRDefault="00054AF4" w:rsidP="00054AF4">
            <w:pPr>
              <w:widowControl w:val="0"/>
              <w:tabs>
                <w:tab w:val="decimal" w:leader="dot" w:pos="428"/>
              </w:tabs>
              <w:autoSpaceDE w:val="0"/>
              <w:autoSpaceDN w:val="0"/>
              <w:adjustRightInd w:val="0"/>
              <w:rPr>
                <w:sz w:val="22"/>
                <w:szCs w:val="22"/>
              </w:rPr>
            </w:pPr>
            <w:r w:rsidRPr="00054AF4">
              <w:rPr>
                <w:sz w:val="22"/>
                <w:szCs w:val="22"/>
              </w:rPr>
              <w:t>4.41</w:t>
            </w:r>
          </w:p>
        </w:tc>
        <w:tc>
          <w:tcPr>
            <w:tcW w:w="982" w:type="dxa"/>
            <w:tcBorders>
              <w:top w:val="nil"/>
              <w:left w:val="nil"/>
              <w:bottom w:val="nil"/>
              <w:right w:val="nil"/>
            </w:tcBorders>
            <w:vAlign w:val="center"/>
          </w:tcPr>
          <w:p w14:paraId="702941C3" w14:textId="77777777" w:rsidR="00054AF4" w:rsidRPr="00054AF4" w:rsidRDefault="00054AF4" w:rsidP="00054AF4">
            <w:pPr>
              <w:widowControl w:val="0"/>
              <w:tabs>
                <w:tab w:val="decimal" w:leader="dot" w:pos="428"/>
              </w:tabs>
              <w:autoSpaceDE w:val="0"/>
              <w:autoSpaceDN w:val="0"/>
              <w:adjustRightInd w:val="0"/>
              <w:rPr>
                <w:sz w:val="22"/>
                <w:szCs w:val="22"/>
              </w:rPr>
            </w:pPr>
            <w:r w:rsidRPr="00054AF4">
              <w:rPr>
                <w:sz w:val="22"/>
                <w:szCs w:val="22"/>
              </w:rPr>
              <w:t>5.38</w:t>
            </w:r>
          </w:p>
        </w:tc>
        <w:tc>
          <w:tcPr>
            <w:tcW w:w="1224" w:type="dxa"/>
            <w:tcBorders>
              <w:top w:val="nil"/>
              <w:left w:val="nil"/>
              <w:bottom w:val="nil"/>
              <w:right w:val="nil"/>
            </w:tcBorders>
            <w:vAlign w:val="center"/>
          </w:tcPr>
          <w:p w14:paraId="79CCB96B" w14:textId="77777777" w:rsidR="00054AF4" w:rsidRPr="00054AF4" w:rsidRDefault="00054AF4" w:rsidP="00054AF4">
            <w:pPr>
              <w:widowControl w:val="0"/>
              <w:tabs>
                <w:tab w:val="decimal" w:leader="dot" w:pos="428"/>
              </w:tabs>
              <w:autoSpaceDE w:val="0"/>
              <w:autoSpaceDN w:val="0"/>
              <w:adjustRightInd w:val="0"/>
              <w:rPr>
                <w:sz w:val="22"/>
                <w:szCs w:val="22"/>
              </w:rPr>
            </w:pPr>
            <w:r w:rsidRPr="00054AF4">
              <w:rPr>
                <w:sz w:val="22"/>
                <w:szCs w:val="22"/>
              </w:rPr>
              <w:t>-.15**</w:t>
            </w:r>
          </w:p>
        </w:tc>
        <w:tc>
          <w:tcPr>
            <w:tcW w:w="1224" w:type="dxa"/>
            <w:tcBorders>
              <w:top w:val="nil"/>
              <w:left w:val="nil"/>
              <w:bottom w:val="nil"/>
              <w:right w:val="nil"/>
            </w:tcBorders>
            <w:vAlign w:val="center"/>
          </w:tcPr>
          <w:p w14:paraId="3DF22725" w14:textId="77777777" w:rsidR="00054AF4" w:rsidRPr="00054AF4" w:rsidRDefault="00054AF4" w:rsidP="00054AF4">
            <w:pPr>
              <w:widowControl w:val="0"/>
              <w:tabs>
                <w:tab w:val="decimal" w:leader="dot" w:pos="428"/>
              </w:tabs>
              <w:autoSpaceDE w:val="0"/>
              <w:autoSpaceDN w:val="0"/>
              <w:adjustRightInd w:val="0"/>
              <w:rPr>
                <w:sz w:val="22"/>
                <w:szCs w:val="22"/>
              </w:rPr>
            </w:pPr>
            <w:r w:rsidRPr="00054AF4">
              <w:rPr>
                <w:sz w:val="22"/>
                <w:szCs w:val="22"/>
              </w:rPr>
              <w:t>.21**</w:t>
            </w:r>
          </w:p>
        </w:tc>
        <w:tc>
          <w:tcPr>
            <w:tcW w:w="1224" w:type="dxa"/>
            <w:tcBorders>
              <w:top w:val="nil"/>
              <w:left w:val="nil"/>
              <w:bottom w:val="nil"/>
              <w:right w:val="nil"/>
            </w:tcBorders>
            <w:vAlign w:val="center"/>
          </w:tcPr>
          <w:p w14:paraId="0DD4983A" w14:textId="77777777" w:rsidR="00054AF4" w:rsidRPr="00054AF4" w:rsidRDefault="00054AF4" w:rsidP="00054AF4">
            <w:pPr>
              <w:widowControl w:val="0"/>
              <w:tabs>
                <w:tab w:val="decimal" w:leader="dot" w:pos="428"/>
              </w:tabs>
              <w:autoSpaceDE w:val="0"/>
              <w:autoSpaceDN w:val="0"/>
              <w:adjustRightInd w:val="0"/>
              <w:rPr>
                <w:sz w:val="22"/>
                <w:szCs w:val="22"/>
              </w:rPr>
            </w:pPr>
            <w:r w:rsidRPr="00054AF4">
              <w:rPr>
                <w:sz w:val="22"/>
                <w:szCs w:val="22"/>
              </w:rPr>
              <w:t>.11**</w:t>
            </w:r>
          </w:p>
        </w:tc>
        <w:tc>
          <w:tcPr>
            <w:tcW w:w="1224" w:type="dxa"/>
            <w:tcBorders>
              <w:top w:val="nil"/>
              <w:left w:val="nil"/>
              <w:bottom w:val="nil"/>
              <w:right w:val="nil"/>
            </w:tcBorders>
            <w:vAlign w:val="center"/>
          </w:tcPr>
          <w:p w14:paraId="2FE09E1F" w14:textId="77777777" w:rsidR="00054AF4" w:rsidRPr="00054AF4" w:rsidRDefault="00054AF4" w:rsidP="00054AF4">
            <w:pPr>
              <w:widowControl w:val="0"/>
              <w:tabs>
                <w:tab w:val="decimal" w:leader="dot" w:pos="428"/>
              </w:tabs>
              <w:autoSpaceDE w:val="0"/>
              <w:autoSpaceDN w:val="0"/>
              <w:adjustRightInd w:val="0"/>
              <w:rPr>
                <w:sz w:val="22"/>
                <w:szCs w:val="22"/>
              </w:rPr>
            </w:pPr>
            <w:r w:rsidRPr="00054AF4">
              <w:rPr>
                <w:sz w:val="22"/>
                <w:szCs w:val="22"/>
              </w:rPr>
              <w:t>-.12**</w:t>
            </w:r>
          </w:p>
        </w:tc>
        <w:tc>
          <w:tcPr>
            <w:tcW w:w="1224" w:type="dxa"/>
            <w:tcBorders>
              <w:top w:val="nil"/>
              <w:left w:val="nil"/>
              <w:bottom w:val="nil"/>
              <w:right w:val="nil"/>
            </w:tcBorders>
            <w:vAlign w:val="center"/>
          </w:tcPr>
          <w:p w14:paraId="571ED5D0" w14:textId="77777777" w:rsidR="00054AF4" w:rsidRPr="00054AF4" w:rsidRDefault="00054AF4" w:rsidP="00054AF4">
            <w:pPr>
              <w:widowControl w:val="0"/>
              <w:tabs>
                <w:tab w:val="decimal" w:leader="dot" w:pos="428"/>
              </w:tabs>
              <w:autoSpaceDE w:val="0"/>
              <w:autoSpaceDN w:val="0"/>
              <w:adjustRightInd w:val="0"/>
              <w:rPr>
                <w:sz w:val="22"/>
                <w:szCs w:val="22"/>
              </w:rPr>
            </w:pPr>
            <w:r w:rsidRPr="00054AF4">
              <w:rPr>
                <w:sz w:val="22"/>
                <w:szCs w:val="22"/>
              </w:rPr>
              <w:t>.26**</w:t>
            </w:r>
          </w:p>
        </w:tc>
        <w:tc>
          <w:tcPr>
            <w:tcW w:w="1224" w:type="dxa"/>
            <w:tcBorders>
              <w:top w:val="nil"/>
              <w:left w:val="nil"/>
              <w:bottom w:val="nil"/>
              <w:right w:val="nil"/>
            </w:tcBorders>
            <w:vAlign w:val="center"/>
          </w:tcPr>
          <w:p w14:paraId="1C843E98" w14:textId="77777777" w:rsidR="00054AF4" w:rsidRPr="00054AF4" w:rsidRDefault="00054AF4" w:rsidP="00054AF4">
            <w:pPr>
              <w:widowControl w:val="0"/>
              <w:tabs>
                <w:tab w:val="decimal" w:leader="dot" w:pos="428"/>
              </w:tabs>
              <w:autoSpaceDE w:val="0"/>
              <w:autoSpaceDN w:val="0"/>
              <w:adjustRightInd w:val="0"/>
              <w:rPr>
                <w:sz w:val="22"/>
                <w:szCs w:val="22"/>
              </w:rPr>
            </w:pPr>
            <w:r w:rsidRPr="00054AF4">
              <w:rPr>
                <w:sz w:val="22"/>
                <w:szCs w:val="22"/>
              </w:rPr>
              <w:t>.85**</w:t>
            </w:r>
          </w:p>
        </w:tc>
        <w:tc>
          <w:tcPr>
            <w:tcW w:w="1224" w:type="dxa"/>
            <w:tcBorders>
              <w:top w:val="nil"/>
              <w:left w:val="nil"/>
              <w:bottom w:val="nil"/>
              <w:right w:val="nil"/>
            </w:tcBorders>
            <w:vAlign w:val="center"/>
          </w:tcPr>
          <w:p w14:paraId="18621BBF" w14:textId="77777777" w:rsidR="00054AF4" w:rsidRDefault="00054AF4" w:rsidP="00054AF4">
            <w:pPr>
              <w:widowControl w:val="0"/>
              <w:tabs>
                <w:tab w:val="decimal" w:leader="dot" w:pos="428"/>
              </w:tabs>
              <w:autoSpaceDE w:val="0"/>
              <w:autoSpaceDN w:val="0"/>
              <w:adjustRightInd w:val="0"/>
            </w:pPr>
            <w:r>
              <w:t xml:space="preserve"> </w:t>
            </w:r>
          </w:p>
        </w:tc>
      </w:tr>
      <w:tr w:rsidR="00054AF4" w14:paraId="1080D863" w14:textId="77777777" w:rsidTr="00054AF4">
        <w:tc>
          <w:tcPr>
            <w:tcW w:w="2310" w:type="dxa"/>
            <w:tcBorders>
              <w:top w:val="nil"/>
              <w:left w:val="nil"/>
              <w:bottom w:val="nil"/>
              <w:right w:val="nil"/>
            </w:tcBorders>
            <w:vAlign w:val="center"/>
          </w:tcPr>
          <w:p w14:paraId="5563D529" w14:textId="77777777" w:rsidR="00054AF4" w:rsidRDefault="00054AF4" w:rsidP="005A6C0D">
            <w:pPr>
              <w:widowControl w:val="0"/>
              <w:autoSpaceDE w:val="0"/>
              <w:autoSpaceDN w:val="0"/>
              <w:adjustRightInd w:val="0"/>
            </w:pPr>
            <w:r>
              <w:t xml:space="preserve"> </w:t>
            </w:r>
          </w:p>
        </w:tc>
        <w:tc>
          <w:tcPr>
            <w:tcW w:w="992" w:type="dxa"/>
            <w:tcBorders>
              <w:top w:val="nil"/>
              <w:left w:val="nil"/>
              <w:bottom w:val="nil"/>
              <w:right w:val="nil"/>
            </w:tcBorders>
            <w:vAlign w:val="center"/>
          </w:tcPr>
          <w:p w14:paraId="71F56846" w14:textId="77777777" w:rsidR="00054AF4" w:rsidRDefault="00054AF4" w:rsidP="005A6C0D">
            <w:pPr>
              <w:widowControl w:val="0"/>
              <w:tabs>
                <w:tab w:val="decimal" w:leader="dot" w:pos="428"/>
              </w:tabs>
              <w:autoSpaceDE w:val="0"/>
              <w:autoSpaceDN w:val="0"/>
              <w:adjustRightInd w:val="0"/>
            </w:pPr>
            <w:r>
              <w:t xml:space="preserve"> </w:t>
            </w:r>
          </w:p>
        </w:tc>
        <w:tc>
          <w:tcPr>
            <w:tcW w:w="982" w:type="dxa"/>
            <w:tcBorders>
              <w:top w:val="nil"/>
              <w:left w:val="nil"/>
              <w:bottom w:val="nil"/>
              <w:right w:val="nil"/>
            </w:tcBorders>
            <w:vAlign w:val="center"/>
          </w:tcPr>
          <w:p w14:paraId="6EAE3239" w14:textId="77777777" w:rsidR="00054AF4" w:rsidRDefault="00054AF4" w:rsidP="005A6C0D">
            <w:pPr>
              <w:widowControl w:val="0"/>
              <w:tabs>
                <w:tab w:val="decimal" w:leader="dot" w:pos="428"/>
              </w:tabs>
              <w:autoSpaceDE w:val="0"/>
              <w:autoSpaceDN w:val="0"/>
              <w:adjustRightInd w:val="0"/>
            </w:pPr>
            <w:r>
              <w:t xml:space="preserve"> </w:t>
            </w:r>
          </w:p>
        </w:tc>
        <w:tc>
          <w:tcPr>
            <w:tcW w:w="1224" w:type="dxa"/>
            <w:tcBorders>
              <w:top w:val="nil"/>
              <w:left w:val="nil"/>
              <w:bottom w:val="nil"/>
              <w:right w:val="nil"/>
            </w:tcBorders>
            <w:vAlign w:val="center"/>
          </w:tcPr>
          <w:p w14:paraId="2BC9AB05" w14:textId="77777777" w:rsidR="00054AF4" w:rsidRDefault="00054AF4" w:rsidP="005A6C0D">
            <w:pPr>
              <w:widowControl w:val="0"/>
              <w:tabs>
                <w:tab w:val="decimal" w:leader="dot" w:pos="428"/>
              </w:tabs>
              <w:autoSpaceDE w:val="0"/>
              <w:autoSpaceDN w:val="0"/>
              <w:adjustRightInd w:val="0"/>
            </w:pPr>
            <w:r>
              <w:rPr>
                <w:sz w:val="20"/>
                <w:szCs w:val="20"/>
              </w:rPr>
              <w:t>[-.21, -.10]</w:t>
            </w:r>
          </w:p>
        </w:tc>
        <w:tc>
          <w:tcPr>
            <w:tcW w:w="1224" w:type="dxa"/>
            <w:tcBorders>
              <w:top w:val="nil"/>
              <w:left w:val="nil"/>
              <w:bottom w:val="nil"/>
              <w:right w:val="nil"/>
            </w:tcBorders>
            <w:vAlign w:val="center"/>
          </w:tcPr>
          <w:p w14:paraId="72B2B176" w14:textId="77777777" w:rsidR="00054AF4" w:rsidRDefault="00054AF4" w:rsidP="005A6C0D">
            <w:pPr>
              <w:widowControl w:val="0"/>
              <w:tabs>
                <w:tab w:val="decimal" w:leader="dot" w:pos="428"/>
              </w:tabs>
              <w:autoSpaceDE w:val="0"/>
              <w:autoSpaceDN w:val="0"/>
              <w:adjustRightInd w:val="0"/>
            </w:pPr>
            <w:r>
              <w:rPr>
                <w:sz w:val="20"/>
                <w:szCs w:val="20"/>
              </w:rPr>
              <w:t>[.16, .26]</w:t>
            </w:r>
          </w:p>
        </w:tc>
        <w:tc>
          <w:tcPr>
            <w:tcW w:w="1224" w:type="dxa"/>
            <w:tcBorders>
              <w:top w:val="nil"/>
              <w:left w:val="nil"/>
              <w:bottom w:val="nil"/>
              <w:right w:val="nil"/>
            </w:tcBorders>
            <w:vAlign w:val="center"/>
          </w:tcPr>
          <w:p w14:paraId="4C4EE31E" w14:textId="77777777" w:rsidR="00054AF4" w:rsidRDefault="00054AF4" w:rsidP="005A6C0D">
            <w:pPr>
              <w:widowControl w:val="0"/>
              <w:tabs>
                <w:tab w:val="decimal" w:leader="dot" w:pos="428"/>
              </w:tabs>
              <w:autoSpaceDE w:val="0"/>
              <w:autoSpaceDN w:val="0"/>
              <w:adjustRightInd w:val="0"/>
            </w:pPr>
            <w:r>
              <w:rPr>
                <w:sz w:val="20"/>
                <w:szCs w:val="20"/>
              </w:rPr>
              <w:t>[.05, .16]</w:t>
            </w:r>
          </w:p>
        </w:tc>
        <w:tc>
          <w:tcPr>
            <w:tcW w:w="1224" w:type="dxa"/>
            <w:tcBorders>
              <w:top w:val="nil"/>
              <w:left w:val="nil"/>
              <w:bottom w:val="nil"/>
              <w:right w:val="nil"/>
            </w:tcBorders>
            <w:vAlign w:val="center"/>
          </w:tcPr>
          <w:p w14:paraId="096BDB6E" w14:textId="77777777" w:rsidR="00054AF4" w:rsidRDefault="00054AF4" w:rsidP="005A6C0D">
            <w:pPr>
              <w:widowControl w:val="0"/>
              <w:tabs>
                <w:tab w:val="decimal" w:leader="dot" w:pos="428"/>
              </w:tabs>
              <w:autoSpaceDE w:val="0"/>
              <w:autoSpaceDN w:val="0"/>
              <w:adjustRightInd w:val="0"/>
            </w:pPr>
            <w:r>
              <w:rPr>
                <w:sz w:val="20"/>
                <w:szCs w:val="20"/>
              </w:rPr>
              <w:t>[-.17, -.06]</w:t>
            </w:r>
          </w:p>
        </w:tc>
        <w:tc>
          <w:tcPr>
            <w:tcW w:w="1224" w:type="dxa"/>
            <w:tcBorders>
              <w:top w:val="nil"/>
              <w:left w:val="nil"/>
              <w:bottom w:val="nil"/>
              <w:right w:val="nil"/>
            </w:tcBorders>
            <w:vAlign w:val="center"/>
          </w:tcPr>
          <w:p w14:paraId="09CDC329" w14:textId="77777777" w:rsidR="00054AF4" w:rsidRDefault="00054AF4" w:rsidP="005A6C0D">
            <w:pPr>
              <w:widowControl w:val="0"/>
              <w:tabs>
                <w:tab w:val="decimal" w:leader="dot" w:pos="428"/>
              </w:tabs>
              <w:autoSpaceDE w:val="0"/>
              <w:autoSpaceDN w:val="0"/>
              <w:adjustRightInd w:val="0"/>
            </w:pPr>
            <w:r>
              <w:rPr>
                <w:sz w:val="20"/>
                <w:szCs w:val="20"/>
              </w:rPr>
              <w:t>[.21, .31]</w:t>
            </w:r>
          </w:p>
        </w:tc>
        <w:tc>
          <w:tcPr>
            <w:tcW w:w="1224" w:type="dxa"/>
            <w:tcBorders>
              <w:top w:val="nil"/>
              <w:left w:val="nil"/>
              <w:bottom w:val="nil"/>
              <w:right w:val="nil"/>
            </w:tcBorders>
            <w:vAlign w:val="center"/>
          </w:tcPr>
          <w:p w14:paraId="56DBD1EC" w14:textId="77777777" w:rsidR="00054AF4" w:rsidRDefault="00054AF4" w:rsidP="005A6C0D">
            <w:pPr>
              <w:widowControl w:val="0"/>
              <w:tabs>
                <w:tab w:val="decimal" w:leader="dot" w:pos="428"/>
              </w:tabs>
              <w:autoSpaceDE w:val="0"/>
              <w:autoSpaceDN w:val="0"/>
              <w:adjustRightInd w:val="0"/>
            </w:pPr>
            <w:r>
              <w:rPr>
                <w:sz w:val="20"/>
                <w:szCs w:val="20"/>
              </w:rPr>
              <w:t>[.84, .87]</w:t>
            </w:r>
          </w:p>
        </w:tc>
        <w:tc>
          <w:tcPr>
            <w:tcW w:w="1224" w:type="dxa"/>
            <w:tcBorders>
              <w:top w:val="nil"/>
              <w:left w:val="nil"/>
              <w:bottom w:val="nil"/>
              <w:right w:val="nil"/>
            </w:tcBorders>
            <w:vAlign w:val="center"/>
          </w:tcPr>
          <w:p w14:paraId="4A113090" w14:textId="77777777" w:rsidR="00054AF4" w:rsidRDefault="00054AF4" w:rsidP="005A6C0D">
            <w:pPr>
              <w:widowControl w:val="0"/>
              <w:tabs>
                <w:tab w:val="decimal" w:leader="dot" w:pos="428"/>
              </w:tabs>
              <w:autoSpaceDE w:val="0"/>
              <w:autoSpaceDN w:val="0"/>
              <w:adjustRightInd w:val="0"/>
            </w:pPr>
            <w:r>
              <w:t xml:space="preserve"> </w:t>
            </w:r>
          </w:p>
        </w:tc>
      </w:tr>
      <w:tr w:rsidR="00054AF4" w14:paraId="5000357A" w14:textId="77777777" w:rsidTr="00054AF4">
        <w:tc>
          <w:tcPr>
            <w:tcW w:w="2310" w:type="dxa"/>
            <w:tcBorders>
              <w:top w:val="nil"/>
              <w:left w:val="nil"/>
              <w:bottom w:val="nil"/>
              <w:right w:val="nil"/>
            </w:tcBorders>
            <w:vAlign w:val="center"/>
          </w:tcPr>
          <w:p w14:paraId="39F9F9CC" w14:textId="77777777" w:rsidR="00054AF4" w:rsidRPr="00054AF4" w:rsidRDefault="00054AF4" w:rsidP="005A6C0D">
            <w:pPr>
              <w:widowControl w:val="0"/>
              <w:autoSpaceDE w:val="0"/>
              <w:autoSpaceDN w:val="0"/>
              <w:adjustRightInd w:val="0"/>
              <w:rPr>
                <w:sz w:val="22"/>
                <w:szCs w:val="22"/>
              </w:rPr>
            </w:pPr>
            <w:r w:rsidRPr="00054AF4">
              <w:rPr>
                <w:sz w:val="22"/>
                <w:szCs w:val="22"/>
              </w:rPr>
              <w:t xml:space="preserve"> </w:t>
            </w:r>
          </w:p>
        </w:tc>
        <w:tc>
          <w:tcPr>
            <w:tcW w:w="992" w:type="dxa"/>
            <w:tcBorders>
              <w:top w:val="nil"/>
              <w:left w:val="nil"/>
              <w:bottom w:val="nil"/>
              <w:right w:val="nil"/>
            </w:tcBorders>
            <w:vAlign w:val="center"/>
          </w:tcPr>
          <w:p w14:paraId="45F0EAEA" w14:textId="77777777" w:rsidR="00054AF4" w:rsidRDefault="00054AF4" w:rsidP="005A6C0D">
            <w:pPr>
              <w:widowControl w:val="0"/>
              <w:tabs>
                <w:tab w:val="decimal" w:leader="dot" w:pos="428"/>
              </w:tabs>
              <w:autoSpaceDE w:val="0"/>
              <w:autoSpaceDN w:val="0"/>
              <w:adjustRightInd w:val="0"/>
            </w:pPr>
            <w:r>
              <w:t xml:space="preserve"> </w:t>
            </w:r>
          </w:p>
        </w:tc>
        <w:tc>
          <w:tcPr>
            <w:tcW w:w="982" w:type="dxa"/>
            <w:tcBorders>
              <w:top w:val="nil"/>
              <w:left w:val="nil"/>
              <w:bottom w:val="nil"/>
              <w:right w:val="nil"/>
            </w:tcBorders>
            <w:vAlign w:val="center"/>
          </w:tcPr>
          <w:p w14:paraId="4670EAC0" w14:textId="77777777" w:rsidR="00054AF4" w:rsidRDefault="00054AF4" w:rsidP="005A6C0D">
            <w:pPr>
              <w:widowControl w:val="0"/>
              <w:tabs>
                <w:tab w:val="decimal" w:leader="dot" w:pos="428"/>
              </w:tabs>
              <w:autoSpaceDE w:val="0"/>
              <w:autoSpaceDN w:val="0"/>
              <w:adjustRightInd w:val="0"/>
            </w:pPr>
            <w:r>
              <w:t xml:space="preserve"> </w:t>
            </w:r>
          </w:p>
        </w:tc>
        <w:tc>
          <w:tcPr>
            <w:tcW w:w="1224" w:type="dxa"/>
            <w:tcBorders>
              <w:top w:val="nil"/>
              <w:left w:val="nil"/>
              <w:bottom w:val="nil"/>
              <w:right w:val="nil"/>
            </w:tcBorders>
            <w:vAlign w:val="center"/>
          </w:tcPr>
          <w:p w14:paraId="74EA961F" w14:textId="77777777" w:rsidR="00054AF4" w:rsidRDefault="00054AF4" w:rsidP="005A6C0D">
            <w:pPr>
              <w:widowControl w:val="0"/>
              <w:tabs>
                <w:tab w:val="decimal" w:leader="dot" w:pos="428"/>
              </w:tabs>
              <w:autoSpaceDE w:val="0"/>
              <w:autoSpaceDN w:val="0"/>
              <w:adjustRightInd w:val="0"/>
            </w:pPr>
            <w:r>
              <w:t xml:space="preserve"> </w:t>
            </w:r>
          </w:p>
        </w:tc>
        <w:tc>
          <w:tcPr>
            <w:tcW w:w="1224" w:type="dxa"/>
            <w:tcBorders>
              <w:top w:val="nil"/>
              <w:left w:val="nil"/>
              <w:bottom w:val="nil"/>
              <w:right w:val="nil"/>
            </w:tcBorders>
            <w:vAlign w:val="center"/>
          </w:tcPr>
          <w:p w14:paraId="668E2350" w14:textId="77777777" w:rsidR="00054AF4" w:rsidRDefault="00054AF4" w:rsidP="005A6C0D">
            <w:pPr>
              <w:widowControl w:val="0"/>
              <w:tabs>
                <w:tab w:val="decimal" w:leader="dot" w:pos="428"/>
              </w:tabs>
              <w:autoSpaceDE w:val="0"/>
              <w:autoSpaceDN w:val="0"/>
              <w:adjustRightInd w:val="0"/>
            </w:pPr>
            <w:r>
              <w:t xml:space="preserve"> </w:t>
            </w:r>
          </w:p>
        </w:tc>
        <w:tc>
          <w:tcPr>
            <w:tcW w:w="1224" w:type="dxa"/>
            <w:tcBorders>
              <w:top w:val="nil"/>
              <w:left w:val="nil"/>
              <w:bottom w:val="nil"/>
              <w:right w:val="nil"/>
            </w:tcBorders>
            <w:vAlign w:val="center"/>
          </w:tcPr>
          <w:p w14:paraId="75ED9E3C" w14:textId="77777777" w:rsidR="00054AF4" w:rsidRDefault="00054AF4" w:rsidP="005A6C0D">
            <w:pPr>
              <w:widowControl w:val="0"/>
              <w:tabs>
                <w:tab w:val="decimal" w:leader="dot" w:pos="428"/>
              </w:tabs>
              <w:autoSpaceDE w:val="0"/>
              <w:autoSpaceDN w:val="0"/>
              <w:adjustRightInd w:val="0"/>
            </w:pPr>
            <w:r>
              <w:t xml:space="preserve"> </w:t>
            </w:r>
          </w:p>
        </w:tc>
        <w:tc>
          <w:tcPr>
            <w:tcW w:w="1224" w:type="dxa"/>
            <w:tcBorders>
              <w:top w:val="nil"/>
              <w:left w:val="nil"/>
              <w:bottom w:val="nil"/>
              <w:right w:val="nil"/>
            </w:tcBorders>
            <w:vAlign w:val="center"/>
          </w:tcPr>
          <w:p w14:paraId="37DC4C66" w14:textId="77777777" w:rsidR="00054AF4" w:rsidRDefault="00054AF4" w:rsidP="005A6C0D">
            <w:pPr>
              <w:widowControl w:val="0"/>
              <w:tabs>
                <w:tab w:val="decimal" w:leader="dot" w:pos="428"/>
              </w:tabs>
              <w:autoSpaceDE w:val="0"/>
              <w:autoSpaceDN w:val="0"/>
              <w:adjustRightInd w:val="0"/>
            </w:pPr>
            <w:r>
              <w:t xml:space="preserve"> </w:t>
            </w:r>
          </w:p>
        </w:tc>
        <w:tc>
          <w:tcPr>
            <w:tcW w:w="1224" w:type="dxa"/>
            <w:tcBorders>
              <w:top w:val="nil"/>
              <w:left w:val="nil"/>
              <w:bottom w:val="nil"/>
              <w:right w:val="nil"/>
            </w:tcBorders>
            <w:vAlign w:val="center"/>
          </w:tcPr>
          <w:p w14:paraId="196BAE6A" w14:textId="77777777" w:rsidR="00054AF4" w:rsidRDefault="00054AF4" w:rsidP="005A6C0D">
            <w:pPr>
              <w:widowControl w:val="0"/>
              <w:tabs>
                <w:tab w:val="decimal" w:leader="dot" w:pos="428"/>
              </w:tabs>
              <w:autoSpaceDE w:val="0"/>
              <w:autoSpaceDN w:val="0"/>
              <w:adjustRightInd w:val="0"/>
            </w:pPr>
            <w:r>
              <w:t xml:space="preserve"> </w:t>
            </w:r>
          </w:p>
        </w:tc>
        <w:tc>
          <w:tcPr>
            <w:tcW w:w="1224" w:type="dxa"/>
            <w:tcBorders>
              <w:top w:val="nil"/>
              <w:left w:val="nil"/>
              <w:bottom w:val="nil"/>
              <w:right w:val="nil"/>
            </w:tcBorders>
            <w:vAlign w:val="center"/>
          </w:tcPr>
          <w:p w14:paraId="78B47FBA" w14:textId="77777777" w:rsidR="00054AF4" w:rsidRDefault="00054AF4" w:rsidP="005A6C0D">
            <w:pPr>
              <w:widowControl w:val="0"/>
              <w:tabs>
                <w:tab w:val="decimal" w:leader="dot" w:pos="428"/>
              </w:tabs>
              <w:autoSpaceDE w:val="0"/>
              <w:autoSpaceDN w:val="0"/>
              <w:adjustRightInd w:val="0"/>
            </w:pPr>
            <w:r>
              <w:t xml:space="preserve"> </w:t>
            </w:r>
          </w:p>
        </w:tc>
        <w:tc>
          <w:tcPr>
            <w:tcW w:w="1224" w:type="dxa"/>
            <w:tcBorders>
              <w:top w:val="nil"/>
              <w:left w:val="nil"/>
              <w:bottom w:val="nil"/>
              <w:right w:val="nil"/>
            </w:tcBorders>
            <w:vAlign w:val="center"/>
          </w:tcPr>
          <w:p w14:paraId="3F94F177" w14:textId="77777777" w:rsidR="00054AF4" w:rsidRDefault="00054AF4" w:rsidP="005A6C0D">
            <w:pPr>
              <w:widowControl w:val="0"/>
              <w:tabs>
                <w:tab w:val="decimal" w:leader="dot" w:pos="428"/>
              </w:tabs>
              <w:autoSpaceDE w:val="0"/>
              <w:autoSpaceDN w:val="0"/>
              <w:adjustRightInd w:val="0"/>
            </w:pPr>
            <w:r>
              <w:t xml:space="preserve"> </w:t>
            </w:r>
          </w:p>
        </w:tc>
      </w:tr>
      <w:tr w:rsidR="00054AF4" w14:paraId="17125110" w14:textId="77777777" w:rsidTr="00054AF4">
        <w:tc>
          <w:tcPr>
            <w:tcW w:w="2310" w:type="dxa"/>
            <w:tcBorders>
              <w:top w:val="nil"/>
              <w:left w:val="nil"/>
              <w:bottom w:val="nil"/>
              <w:right w:val="nil"/>
            </w:tcBorders>
            <w:vAlign w:val="center"/>
          </w:tcPr>
          <w:p w14:paraId="33105B98" w14:textId="4B2E2670" w:rsidR="00054AF4" w:rsidRPr="00054AF4" w:rsidRDefault="00054AF4" w:rsidP="005A6C0D">
            <w:pPr>
              <w:widowControl w:val="0"/>
              <w:autoSpaceDE w:val="0"/>
              <w:autoSpaceDN w:val="0"/>
              <w:adjustRightInd w:val="0"/>
              <w:rPr>
                <w:sz w:val="22"/>
                <w:szCs w:val="22"/>
              </w:rPr>
            </w:pPr>
            <w:r>
              <w:rPr>
                <w:sz w:val="22"/>
                <w:szCs w:val="22"/>
              </w:rPr>
              <w:t xml:space="preserve">8. </w:t>
            </w:r>
            <w:r w:rsidRPr="00054AF4">
              <w:rPr>
                <w:sz w:val="22"/>
                <w:szCs w:val="22"/>
              </w:rPr>
              <w:t>Loneliness</w:t>
            </w:r>
          </w:p>
        </w:tc>
        <w:tc>
          <w:tcPr>
            <w:tcW w:w="992" w:type="dxa"/>
            <w:tcBorders>
              <w:top w:val="nil"/>
              <w:left w:val="nil"/>
              <w:bottom w:val="nil"/>
              <w:right w:val="nil"/>
            </w:tcBorders>
            <w:vAlign w:val="center"/>
          </w:tcPr>
          <w:p w14:paraId="15969AA2" w14:textId="77777777" w:rsidR="00054AF4" w:rsidRPr="00054AF4" w:rsidRDefault="00054AF4" w:rsidP="005A6C0D">
            <w:pPr>
              <w:widowControl w:val="0"/>
              <w:tabs>
                <w:tab w:val="decimal" w:leader="dot" w:pos="428"/>
              </w:tabs>
              <w:autoSpaceDE w:val="0"/>
              <w:autoSpaceDN w:val="0"/>
              <w:adjustRightInd w:val="0"/>
              <w:rPr>
                <w:sz w:val="22"/>
                <w:szCs w:val="22"/>
              </w:rPr>
            </w:pPr>
            <w:r w:rsidRPr="00054AF4">
              <w:rPr>
                <w:sz w:val="22"/>
                <w:szCs w:val="22"/>
              </w:rPr>
              <w:t>4.73</w:t>
            </w:r>
          </w:p>
        </w:tc>
        <w:tc>
          <w:tcPr>
            <w:tcW w:w="982" w:type="dxa"/>
            <w:tcBorders>
              <w:top w:val="nil"/>
              <w:left w:val="nil"/>
              <w:bottom w:val="nil"/>
              <w:right w:val="nil"/>
            </w:tcBorders>
            <w:vAlign w:val="center"/>
          </w:tcPr>
          <w:p w14:paraId="4DB6E61C" w14:textId="77777777" w:rsidR="00054AF4" w:rsidRPr="00054AF4" w:rsidRDefault="00054AF4" w:rsidP="005A6C0D">
            <w:pPr>
              <w:widowControl w:val="0"/>
              <w:tabs>
                <w:tab w:val="decimal" w:leader="dot" w:pos="428"/>
              </w:tabs>
              <w:autoSpaceDE w:val="0"/>
              <w:autoSpaceDN w:val="0"/>
              <w:adjustRightInd w:val="0"/>
              <w:rPr>
                <w:sz w:val="22"/>
                <w:szCs w:val="22"/>
              </w:rPr>
            </w:pPr>
            <w:r w:rsidRPr="00054AF4">
              <w:rPr>
                <w:sz w:val="22"/>
                <w:szCs w:val="22"/>
              </w:rPr>
              <w:t>1.81</w:t>
            </w:r>
          </w:p>
        </w:tc>
        <w:tc>
          <w:tcPr>
            <w:tcW w:w="1224" w:type="dxa"/>
            <w:tcBorders>
              <w:top w:val="nil"/>
              <w:left w:val="nil"/>
              <w:bottom w:val="nil"/>
              <w:right w:val="nil"/>
            </w:tcBorders>
            <w:vAlign w:val="center"/>
          </w:tcPr>
          <w:p w14:paraId="7CA68EEB" w14:textId="77777777" w:rsidR="00054AF4" w:rsidRPr="00054AF4" w:rsidRDefault="00054AF4" w:rsidP="005A6C0D">
            <w:pPr>
              <w:widowControl w:val="0"/>
              <w:tabs>
                <w:tab w:val="decimal" w:leader="dot" w:pos="428"/>
              </w:tabs>
              <w:autoSpaceDE w:val="0"/>
              <w:autoSpaceDN w:val="0"/>
              <w:adjustRightInd w:val="0"/>
              <w:rPr>
                <w:sz w:val="22"/>
                <w:szCs w:val="22"/>
              </w:rPr>
            </w:pPr>
            <w:r w:rsidRPr="00054AF4">
              <w:rPr>
                <w:sz w:val="22"/>
                <w:szCs w:val="22"/>
              </w:rPr>
              <w:t>-.21**</w:t>
            </w:r>
          </w:p>
        </w:tc>
        <w:tc>
          <w:tcPr>
            <w:tcW w:w="1224" w:type="dxa"/>
            <w:tcBorders>
              <w:top w:val="nil"/>
              <w:left w:val="nil"/>
              <w:bottom w:val="nil"/>
              <w:right w:val="nil"/>
            </w:tcBorders>
            <w:vAlign w:val="center"/>
          </w:tcPr>
          <w:p w14:paraId="1CC5C9E8" w14:textId="77777777" w:rsidR="00054AF4" w:rsidRPr="00054AF4" w:rsidRDefault="00054AF4" w:rsidP="005A6C0D">
            <w:pPr>
              <w:widowControl w:val="0"/>
              <w:tabs>
                <w:tab w:val="decimal" w:leader="dot" w:pos="428"/>
              </w:tabs>
              <w:autoSpaceDE w:val="0"/>
              <w:autoSpaceDN w:val="0"/>
              <w:adjustRightInd w:val="0"/>
              <w:rPr>
                <w:sz w:val="22"/>
                <w:szCs w:val="22"/>
              </w:rPr>
            </w:pPr>
            <w:r w:rsidRPr="00054AF4">
              <w:rPr>
                <w:sz w:val="22"/>
                <w:szCs w:val="22"/>
              </w:rPr>
              <w:t>.26**</w:t>
            </w:r>
          </w:p>
        </w:tc>
        <w:tc>
          <w:tcPr>
            <w:tcW w:w="1224" w:type="dxa"/>
            <w:tcBorders>
              <w:top w:val="nil"/>
              <w:left w:val="nil"/>
              <w:bottom w:val="nil"/>
              <w:right w:val="nil"/>
            </w:tcBorders>
            <w:vAlign w:val="center"/>
          </w:tcPr>
          <w:p w14:paraId="6ADF788F" w14:textId="77777777" w:rsidR="00054AF4" w:rsidRPr="00054AF4" w:rsidRDefault="00054AF4" w:rsidP="005A6C0D">
            <w:pPr>
              <w:widowControl w:val="0"/>
              <w:tabs>
                <w:tab w:val="decimal" w:leader="dot" w:pos="428"/>
              </w:tabs>
              <w:autoSpaceDE w:val="0"/>
              <w:autoSpaceDN w:val="0"/>
              <w:adjustRightInd w:val="0"/>
              <w:rPr>
                <w:sz w:val="22"/>
                <w:szCs w:val="22"/>
              </w:rPr>
            </w:pPr>
            <w:r w:rsidRPr="00054AF4">
              <w:rPr>
                <w:sz w:val="22"/>
                <w:szCs w:val="22"/>
              </w:rPr>
              <w:t>.11**</w:t>
            </w:r>
          </w:p>
        </w:tc>
        <w:tc>
          <w:tcPr>
            <w:tcW w:w="1224" w:type="dxa"/>
            <w:tcBorders>
              <w:top w:val="nil"/>
              <w:left w:val="nil"/>
              <w:bottom w:val="nil"/>
              <w:right w:val="nil"/>
            </w:tcBorders>
            <w:vAlign w:val="center"/>
          </w:tcPr>
          <w:p w14:paraId="1A20F765" w14:textId="77777777" w:rsidR="00054AF4" w:rsidRPr="00054AF4" w:rsidRDefault="00054AF4" w:rsidP="005A6C0D">
            <w:pPr>
              <w:widowControl w:val="0"/>
              <w:tabs>
                <w:tab w:val="decimal" w:leader="dot" w:pos="428"/>
              </w:tabs>
              <w:autoSpaceDE w:val="0"/>
              <w:autoSpaceDN w:val="0"/>
              <w:adjustRightInd w:val="0"/>
              <w:rPr>
                <w:sz w:val="22"/>
                <w:szCs w:val="22"/>
              </w:rPr>
            </w:pPr>
            <w:r w:rsidRPr="00054AF4">
              <w:rPr>
                <w:sz w:val="22"/>
                <w:szCs w:val="22"/>
              </w:rPr>
              <w:t>-.11**</w:t>
            </w:r>
          </w:p>
        </w:tc>
        <w:tc>
          <w:tcPr>
            <w:tcW w:w="1224" w:type="dxa"/>
            <w:tcBorders>
              <w:top w:val="nil"/>
              <w:left w:val="nil"/>
              <w:bottom w:val="nil"/>
              <w:right w:val="nil"/>
            </w:tcBorders>
            <w:vAlign w:val="center"/>
          </w:tcPr>
          <w:p w14:paraId="7DBF9177" w14:textId="77777777" w:rsidR="00054AF4" w:rsidRPr="00054AF4" w:rsidRDefault="00054AF4" w:rsidP="005A6C0D">
            <w:pPr>
              <w:widowControl w:val="0"/>
              <w:tabs>
                <w:tab w:val="decimal" w:leader="dot" w:pos="428"/>
              </w:tabs>
              <w:autoSpaceDE w:val="0"/>
              <w:autoSpaceDN w:val="0"/>
              <w:adjustRightInd w:val="0"/>
              <w:rPr>
                <w:sz w:val="22"/>
                <w:szCs w:val="22"/>
              </w:rPr>
            </w:pPr>
            <w:r w:rsidRPr="00054AF4">
              <w:rPr>
                <w:sz w:val="22"/>
                <w:szCs w:val="22"/>
              </w:rPr>
              <w:t>.17**</w:t>
            </w:r>
          </w:p>
        </w:tc>
        <w:tc>
          <w:tcPr>
            <w:tcW w:w="1224" w:type="dxa"/>
            <w:tcBorders>
              <w:top w:val="nil"/>
              <w:left w:val="nil"/>
              <w:bottom w:val="nil"/>
              <w:right w:val="nil"/>
            </w:tcBorders>
            <w:vAlign w:val="center"/>
          </w:tcPr>
          <w:p w14:paraId="5E98EE59" w14:textId="77777777" w:rsidR="00054AF4" w:rsidRPr="00054AF4" w:rsidRDefault="00054AF4" w:rsidP="005A6C0D">
            <w:pPr>
              <w:widowControl w:val="0"/>
              <w:tabs>
                <w:tab w:val="decimal" w:leader="dot" w:pos="428"/>
              </w:tabs>
              <w:autoSpaceDE w:val="0"/>
              <w:autoSpaceDN w:val="0"/>
              <w:adjustRightInd w:val="0"/>
              <w:rPr>
                <w:sz w:val="22"/>
                <w:szCs w:val="22"/>
              </w:rPr>
            </w:pPr>
            <w:r w:rsidRPr="00054AF4">
              <w:rPr>
                <w:sz w:val="22"/>
                <w:szCs w:val="22"/>
              </w:rPr>
              <w:t>.59**</w:t>
            </w:r>
          </w:p>
        </w:tc>
        <w:tc>
          <w:tcPr>
            <w:tcW w:w="1224" w:type="dxa"/>
            <w:tcBorders>
              <w:top w:val="nil"/>
              <w:left w:val="nil"/>
              <w:bottom w:val="nil"/>
              <w:right w:val="nil"/>
            </w:tcBorders>
            <w:vAlign w:val="center"/>
          </w:tcPr>
          <w:p w14:paraId="2BFCA9FE" w14:textId="77777777" w:rsidR="00054AF4" w:rsidRPr="00054AF4" w:rsidRDefault="00054AF4" w:rsidP="005A6C0D">
            <w:pPr>
              <w:widowControl w:val="0"/>
              <w:tabs>
                <w:tab w:val="decimal" w:leader="dot" w:pos="428"/>
              </w:tabs>
              <w:autoSpaceDE w:val="0"/>
              <w:autoSpaceDN w:val="0"/>
              <w:adjustRightInd w:val="0"/>
              <w:rPr>
                <w:sz w:val="22"/>
                <w:szCs w:val="22"/>
              </w:rPr>
            </w:pPr>
            <w:r w:rsidRPr="00054AF4">
              <w:rPr>
                <w:sz w:val="22"/>
                <w:szCs w:val="22"/>
              </w:rPr>
              <w:t>.53**</w:t>
            </w:r>
          </w:p>
        </w:tc>
      </w:tr>
      <w:tr w:rsidR="00054AF4" w14:paraId="1D3A1D07" w14:textId="77777777" w:rsidTr="00054AF4">
        <w:tc>
          <w:tcPr>
            <w:tcW w:w="2310" w:type="dxa"/>
            <w:tcBorders>
              <w:top w:val="nil"/>
              <w:left w:val="nil"/>
              <w:bottom w:val="nil"/>
              <w:right w:val="nil"/>
            </w:tcBorders>
            <w:vAlign w:val="center"/>
          </w:tcPr>
          <w:p w14:paraId="34BC99D8" w14:textId="77777777" w:rsidR="00054AF4" w:rsidRDefault="00054AF4" w:rsidP="005A6C0D">
            <w:pPr>
              <w:widowControl w:val="0"/>
              <w:autoSpaceDE w:val="0"/>
              <w:autoSpaceDN w:val="0"/>
              <w:adjustRightInd w:val="0"/>
            </w:pPr>
            <w:r>
              <w:t xml:space="preserve"> </w:t>
            </w:r>
          </w:p>
        </w:tc>
        <w:tc>
          <w:tcPr>
            <w:tcW w:w="992" w:type="dxa"/>
            <w:tcBorders>
              <w:top w:val="nil"/>
              <w:left w:val="nil"/>
              <w:bottom w:val="nil"/>
              <w:right w:val="nil"/>
            </w:tcBorders>
            <w:vAlign w:val="center"/>
          </w:tcPr>
          <w:p w14:paraId="4266D4CD" w14:textId="77777777" w:rsidR="00054AF4" w:rsidRDefault="00054AF4" w:rsidP="005A6C0D">
            <w:pPr>
              <w:widowControl w:val="0"/>
              <w:tabs>
                <w:tab w:val="decimal" w:leader="dot" w:pos="428"/>
              </w:tabs>
              <w:autoSpaceDE w:val="0"/>
              <w:autoSpaceDN w:val="0"/>
              <w:adjustRightInd w:val="0"/>
            </w:pPr>
            <w:r>
              <w:t xml:space="preserve"> </w:t>
            </w:r>
          </w:p>
        </w:tc>
        <w:tc>
          <w:tcPr>
            <w:tcW w:w="982" w:type="dxa"/>
            <w:tcBorders>
              <w:top w:val="nil"/>
              <w:left w:val="nil"/>
              <w:bottom w:val="nil"/>
              <w:right w:val="nil"/>
            </w:tcBorders>
            <w:vAlign w:val="center"/>
          </w:tcPr>
          <w:p w14:paraId="7DFE946F" w14:textId="77777777" w:rsidR="00054AF4" w:rsidRDefault="00054AF4" w:rsidP="005A6C0D">
            <w:pPr>
              <w:widowControl w:val="0"/>
              <w:tabs>
                <w:tab w:val="decimal" w:leader="dot" w:pos="428"/>
              </w:tabs>
              <w:autoSpaceDE w:val="0"/>
              <w:autoSpaceDN w:val="0"/>
              <w:adjustRightInd w:val="0"/>
            </w:pPr>
            <w:r>
              <w:t xml:space="preserve"> </w:t>
            </w:r>
          </w:p>
        </w:tc>
        <w:tc>
          <w:tcPr>
            <w:tcW w:w="1224" w:type="dxa"/>
            <w:tcBorders>
              <w:top w:val="nil"/>
              <w:left w:val="nil"/>
              <w:bottom w:val="nil"/>
              <w:right w:val="nil"/>
            </w:tcBorders>
            <w:vAlign w:val="center"/>
          </w:tcPr>
          <w:p w14:paraId="2A916FF8" w14:textId="77777777" w:rsidR="00054AF4" w:rsidRDefault="00054AF4" w:rsidP="005A6C0D">
            <w:pPr>
              <w:widowControl w:val="0"/>
              <w:tabs>
                <w:tab w:val="decimal" w:leader="dot" w:pos="428"/>
              </w:tabs>
              <w:autoSpaceDE w:val="0"/>
              <w:autoSpaceDN w:val="0"/>
              <w:adjustRightInd w:val="0"/>
            </w:pPr>
            <w:r>
              <w:rPr>
                <w:sz w:val="20"/>
                <w:szCs w:val="20"/>
              </w:rPr>
              <w:t>[-.26, -.15]</w:t>
            </w:r>
          </w:p>
        </w:tc>
        <w:tc>
          <w:tcPr>
            <w:tcW w:w="1224" w:type="dxa"/>
            <w:tcBorders>
              <w:top w:val="nil"/>
              <w:left w:val="nil"/>
              <w:bottom w:val="nil"/>
              <w:right w:val="nil"/>
            </w:tcBorders>
            <w:vAlign w:val="center"/>
          </w:tcPr>
          <w:p w14:paraId="28814A7F" w14:textId="77777777" w:rsidR="00054AF4" w:rsidRDefault="00054AF4" w:rsidP="005A6C0D">
            <w:pPr>
              <w:widowControl w:val="0"/>
              <w:tabs>
                <w:tab w:val="decimal" w:leader="dot" w:pos="428"/>
              </w:tabs>
              <w:autoSpaceDE w:val="0"/>
              <w:autoSpaceDN w:val="0"/>
              <w:adjustRightInd w:val="0"/>
            </w:pPr>
            <w:r>
              <w:rPr>
                <w:sz w:val="20"/>
                <w:szCs w:val="20"/>
              </w:rPr>
              <w:t>[.21, .31]</w:t>
            </w:r>
          </w:p>
        </w:tc>
        <w:tc>
          <w:tcPr>
            <w:tcW w:w="1224" w:type="dxa"/>
            <w:tcBorders>
              <w:top w:val="nil"/>
              <w:left w:val="nil"/>
              <w:bottom w:val="nil"/>
              <w:right w:val="nil"/>
            </w:tcBorders>
            <w:vAlign w:val="center"/>
          </w:tcPr>
          <w:p w14:paraId="0313B5F8" w14:textId="77777777" w:rsidR="00054AF4" w:rsidRDefault="00054AF4" w:rsidP="005A6C0D">
            <w:pPr>
              <w:widowControl w:val="0"/>
              <w:tabs>
                <w:tab w:val="decimal" w:leader="dot" w:pos="428"/>
              </w:tabs>
              <w:autoSpaceDE w:val="0"/>
              <w:autoSpaceDN w:val="0"/>
              <w:adjustRightInd w:val="0"/>
            </w:pPr>
            <w:r>
              <w:rPr>
                <w:sz w:val="20"/>
                <w:szCs w:val="20"/>
              </w:rPr>
              <w:t>[.05, .16]</w:t>
            </w:r>
          </w:p>
        </w:tc>
        <w:tc>
          <w:tcPr>
            <w:tcW w:w="1224" w:type="dxa"/>
            <w:tcBorders>
              <w:top w:val="nil"/>
              <w:left w:val="nil"/>
              <w:bottom w:val="nil"/>
              <w:right w:val="nil"/>
            </w:tcBorders>
            <w:vAlign w:val="center"/>
          </w:tcPr>
          <w:p w14:paraId="263897AE" w14:textId="77777777" w:rsidR="00054AF4" w:rsidRDefault="00054AF4" w:rsidP="005A6C0D">
            <w:pPr>
              <w:widowControl w:val="0"/>
              <w:tabs>
                <w:tab w:val="decimal" w:leader="dot" w:pos="428"/>
              </w:tabs>
              <w:autoSpaceDE w:val="0"/>
              <w:autoSpaceDN w:val="0"/>
              <w:adjustRightInd w:val="0"/>
            </w:pPr>
            <w:r>
              <w:rPr>
                <w:sz w:val="20"/>
                <w:szCs w:val="20"/>
              </w:rPr>
              <w:t>[-.16, -.05]</w:t>
            </w:r>
          </w:p>
        </w:tc>
        <w:tc>
          <w:tcPr>
            <w:tcW w:w="1224" w:type="dxa"/>
            <w:tcBorders>
              <w:top w:val="nil"/>
              <w:left w:val="nil"/>
              <w:bottom w:val="nil"/>
              <w:right w:val="nil"/>
            </w:tcBorders>
            <w:vAlign w:val="center"/>
          </w:tcPr>
          <w:p w14:paraId="641FA49C" w14:textId="77777777" w:rsidR="00054AF4" w:rsidRDefault="00054AF4" w:rsidP="005A6C0D">
            <w:pPr>
              <w:widowControl w:val="0"/>
              <w:tabs>
                <w:tab w:val="decimal" w:leader="dot" w:pos="428"/>
              </w:tabs>
              <w:autoSpaceDE w:val="0"/>
              <w:autoSpaceDN w:val="0"/>
              <w:adjustRightInd w:val="0"/>
            </w:pPr>
            <w:r>
              <w:rPr>
                <w:sz w:val="20"/>
                <w:szCs w:val="20"/>
              </w:rPr>
              <w:t>[.11, .22]</w:t>
            </w:r>
          </w:p>
        </w:tc>
        <w:tc>
          <w:tcPr>
            <w:tcW w:w="1224" w:type="dxa"/>
            <w:tcBorders>
              <w:top w:val="nil"/>
              <w:left w:val="nil"/>
              <w:bottom w:val="nil"/>
              <w:right w:val="nil"/>
            </w:tcBorders>
            <w:vAlign w:val="center"/>
          </w:tcPr>
          <w:p w14:paraId="2F860A18" w14:textId="77777777" w:rsidR="00054AF4" w:rsidRDefault="00054AF4" w:rsidP="005A6C0D">
            <w:pPr>
              <w:widowControl w:val="0"/>
              <w:tabs>
                <w:tab w:val="decimal" w:leader="dot" w:pos="428"/>
              </w:tabs>
              <w:autoSpaceDE w:val="0"/>
              <w:autoSpaceDN w:val="0"/>
              <w:adjustRightInd w:val="0"/>
            </w:pPr>
            <w:r>
              <w:rPr>
                <w:sz w:val="20"/>
                <w:szCs w:val="20"/>
              </w:rPr>
              <w:t>[.56, .63]</w:t>
            </w:r>
          </w:p>
        </w:tc>
        <w:tc>
          <w:tcPr>
            <w:tcW w:w="1224" w:type="dxa"/>
            <w:tcBorders>
              <w:top w:val="nil"/>
              <w:left w:val="nil"/>
              <w:bottom w:val="nil"/>
              <w:right w:val="nil"/>
            </w:tcBorders>
            <w:vAlign w:val="center"/>
          </w:tcPr>
          <w:p w14:paraId="443E1861" w14:textId="77777777" w:rsidR="00054AF4" w:rsidRDefault="00054AF4" w:rsidP="005A6C0D">
            <w:pPr>
              <w:widowControl w:val="0"/>
              <w:tabs>
                <w:tab w:val="decimal" w:leader="dot" w:pos="428"/>
              </w:tabs>
              <w:autoSpaceDE w:val="0"/>
              <w:autoSpaceDN w:val="0"/>
              <w:adjustRightInd w:val="0"/>
            </w:pPr>
            <w:r>
              <w:rPr>
                <w:sz w:val="20"/>
                <w:szCs w:val="20"/>
              </w:rPr>
              <w:t>[.49, .57]</w:t>
            </w:r>
          </w:p>
        </w:tc>
      </w:tr>
      <w:tr w:rsidR="00054AF4" w14:paraId="4137A662" w14:textId="77777777" w:rsidTr="00054AF4">
        <w:tc>
          <w:tcPr>
            <w:tcW w:w="2310" w:type="dxa"/>
            <w:tcBorders>
              <w:top w:val="nil"/>
              <w:left w:val="nil"/>
              <w:bottom w:val="single" w:sz="6" w:space="0" w:color="auto"/>
              <w:right w:val="nil"/>
            </w:tcBorders>
            <w:vAlign w:val="center"/>
          </w:tcPr>
          <w:p w14:paraId="59785C93" w14:textId="77777777" w:rsidR="00054AF4" w:rsidRDefault="00054AF4" w:rsidP="005A6C0D">
            <w:pPr>
              <w:widowControl w:val="0"/>
              <w:autoSpaceDE w:val="0"/>
              <w:autoSpaceDN w:val="0"/>
              <w:adjustRightInd w:val="0"/>
            </w:pPr>
            <w:r>
              <w:t xml:space="preserve"> </w:t>
            </w:r>
          </w:p>
        </w:tc>
        <w:tc>
          <w:tcPr>
            <w:tcW w:w="992" w:type="dxa"/>
            <w:tcBorders>
              <w:top w:val="nil"/>
              <w:left w:val="nil"/>
              <w:bottom w:val="single" w:sz="6" w:space="0" w:color="auto"/>
              <w:right w:val="nil"/>
            </w:tcBorders>
            <w:vAlign w:val="center"/>
          </w:tcPr>
          <w:p w14:paraId="798454BB" w14:textId="77777777" w:rsidR="00054AF4" w:rsidRDefault="00054AF4" w:rsidP="005A6C0D">
            <w:pPr>
              <w:widowControl w:val="0"/>
              <w:tabs>
                <w:tab w:val="decimal" w:leader="dot" w:pos="428"/>
              </w:tabs>
              <w:autoSpaceDE w:val="0"/>
              <w:autoSpaceDN w:val="0"/>
              <w:adjustRightInd w:val="0"/>
            </w:pPr>
            <w:r>
              <w:t xml:space="preserve"> </w:t>
            </w:r>
          </w:p>
        </w:tc>
        <w:tc>
          <w:tcPr>
            <w:tcW w:w="982" w:type="dxa"/>
            <w:tcBorders>
              <w:top w:val="nil"/>
              <w:left w:val="nil"/>
              <w:bottom w:val="single" w:sz="6" w:space="0" w:color="auto"/>
              <w:right w:val="nil"/>
            </w:tcBorders>
            <w:vAlign w:val="center"/>
          </w:tcPr>
          <w:p w14:paraId="64B38843" w14:textId="77777777" w:rsidR="00054AF4" w:rsidRDefault="00054AF4" w:rsidP="005A6C0D">
            <w:pPr>
              <w:widowControl w:val="0"/>
              <w:tabs>
                <w:tab w:val="decimal" w:leader="dot" w:pos="428"/>
              </w:tabs>
              <w:autoSpaceDE w:val="0"/>
              <w:autoSpaceDN w:val="0"/>
              <w:adjustRightInd w:val="0"/>
            </w:pPr>
            <w:r>
              <w:t xml:space="preserve"> </w:t>
            </w:r>
          </w:p>
        </w:tc>
        <w:tc>
          <w:tcPr>
            <w:tcW w:w="1224" w:type="dxa"/>
            <w:tcBorders>
              <w:top w:val="nil"/>
              <w:left w:val="nil"/>
              <w:bottom w:val="single" w:sz="6" w:space="0" w:color="auto"/>
              <w:right w:val="nil"/>
            </w:tcBorders>
            <w:vAlign w:val="center"/>
          </w:tcPr>
          <w:p w14:paraId="567F55C5" w14:textId="77777777" w:rsidR="00054AF4" w:rsidRDefault="00054AF4" w:rsidP="005A6C0D">
            <w:pPr>
              <w:widowControl w:val="0"/>
              <w:tabs>
                <w:tab w:val="decimal" w:leader="dot" w:pos="428"/>
              </w:tabs>
              <w:autoSpaceDE w:val="0"/>
              <w:autoSpaceDN w:val="0"/>
              <w:adjustRightInd w:val="0"/>
            </w:pPr>
            <w:r>
              <w:t xml:space="preserve"> </w:t>
            </w:r>
          </w:p>
        </w:tc>
        <w:tc>
          <w:tcPr>
            <w:tcW w:w="1224" w:type="dxa"/>
            <w:tcBorders>
              <w:top w:val="nil"/>
              <w:left w:val="nil"/>
              <w:bottom w:val="single" w:sz="6" w:space="0" w:color="auto"/>
              <w:right w:val="nil"/>
            </w:tcBorders>
            <w:vAlign w:val="center"/>
          </w:tcPr>
          <w:p w14:paraId="6E0A41D4" w14:textId="77777777" w:rsidR="00054AF4" w:rsidRDefault="00054AF4" w:rsidP="005A6C0D">
            <w:pPr>
              <w:widowControl w:val="0"/>
              <w:tabs>
                <w:tab w:val="decimal" w:leader="dot" w:pos="428"/>
              </w:tabs>
              <w:autoSpaceDE w:val="0"/>
              <w:autoSpaceDN w:val="0"/>
              <w:adjustRightInd w:val="0"/>
            </w:pPr>
            <w:r>
              <w:t xml:space="preserve"> </w:t>
            </w:r>
          </w:p>
        </w:tc>
        <w:tc>
          <w:tcPr>
            <w:tcW w:w="1224" w:type="dxa"/>
            <w:tcBorders>
              <w:top w:val="nil"/>
              <w:left w:val="nil"/>
              <w:bottom w:val="single" w:sz="6" w:space="0" w:color="auto"/>
              <w:right w:val="nil"/>
            </w:tcBorders>
            <w:vAlign w:val="center"/>
          </w:tcPr>
          <w:p w14:paraId="1A8C4500" w14:textId="77777777" w:rsidR="00054AF4" w:rsidRDefault="00054AF4" w:rsidP="005A6C0D">
            <w:pPr>
              <w:widowControl w:val="0"/>
              <w:tabs>
                <w:tab w:val="decimal" w:leader="dot" w:pos="428"/>
              </w:tabs>
              <w:autoSpaceDE w:val="0"/>
              <w:autoSpaceDN w:val="0"/>
              <w:adjustRightInd w:val="0"/>
            </w:pPr>
            <w:r>
              <w:t xml:space="preserve"> </w:t>
            </w:r>
          </w:p>
        </w:tc>
        <w:tc>
          <w:tcPr>
            <w:tcW w:w="1224" w:type="dxa"/>
            <w:tcBorders>
              <w:top w:val="nil"/>
              <w:left w:val="nil"/>
              <w:bottom w:val="single" w:sz="6" w:space="0" w:color="auto"/>
              <w:right w:val="nil"/>
            </w:tcBorders>
            <w:vAlign w:val="center"/>
          </w:tcPr>
          <w:p w14:paraId="123FC288" w14:textId="77777777" w:rsidR="00054AF4" w:rsidRDefault="00054AF4" w:rsidP="005A6C0D">
            <w:pPr>
              <w:widowControl w:val="0"/>
              <w:tabs>
                <w:tab w:val="decimal" w:leader="dot" w:pos="428"/>
              </w:tabs>
              <w:autoSpaceDE w:val="0"/>
              <w:autoSpaceDN w:val="0"/>
              <w:adjustRightInd w:val="0"/>
            </w:pPr>
            <w:r>
              <w:t xml:space="preserve"> </w:t>
            </w:r>
          </w:p>
        </w:tc>
        <w:tc>
          <w:tcPr>
            <w:tcW w:w="1224" w:type="dxa"/>
            <w:tcBorders>
              <w:top w:val="nil"/>
              <w:left w:val="nil"/>
              <w:bottom w:val="single" w:sz="6" w:space="0" w:color="auto"/>
              <w:right w:val="nil"/>
            </w:tcBorders>
            <w:vAlign w:val="center"/>
          </w:tcPr>
          <w:p w14:paraId="3316915B" w14:textId="77777777" w:rsidR="00054AF4" w:rsidRDefault="00054AF4" w:rsidP="005A6C0D">
            <w:pPr>
              <w:widowControl w:val="0"/>
              <w:tabs>
                <w:tab w:val="decimal" w:leader="dot" w:pos="428"/>
              </w:tabs>
              <w:autoSpaceDE w:val="0"/>
              <w:autoSpaceDN w:val="0"/>
              <w:adjustRightInd w:val="0"/>
            </w:pPr>
            <w:r>
              <w:t xml:space="preserve"> </w:t>
            </w:r>
          </w:p>
        </w:tc>
        <w:tc>
          <w:tcPr>
            <w:tcW w:w="1224" w:type="dxa"/>
            <w:tcBorders>
              <w:top w:val="nil"/>
              <w:left w:val="nil"/>
              <w:bottom w:val="single" w:sz="6" w:space="0" w:color="auto"/>
              <w:right w:val="nil"/>
            </w:tcBorders>
            <w:vAlign w:val="center"/>
          </w:tcPr>
          <w:p w14:paraId="55B93CB6" w14:textId="77777777" w:rsidR="00054AF4" w:rsidRDefault="00054AF4" w:rsidP="005A6C0D">
            <w:pPr>
              <w:widowControl w:val="0"/>
              <w:tabs>
                <w:tab w:val="decimal" w:leader="dot" w:pos="428"/>
              </w:tabs>
              <w:autoSpaceDE w:val="0"/>
              <w:autoSpaceDN w:val="0"/>
              <w:adjustRightInd w:val="0"/>
            </w:pPr>
            <w:r>
              <w:t xml:space="preserve"> </w:t>
            </w:r>
          </w:p>
        </w:tc>
        <w:tc>
          <w:tcPr>
            <w:tcW w:w="1224" w:type="dxa"/>
            <w:tcBorders>
              <w:top w:val="nil"/>
              <w:left w:val="nil"/>
              <w:bottom w:val="single" w:sz="6" w:space="0" w:color="auto"/>
              <w:right w:val="nil"/>
            </w:tcBorders>
            <w:vAlign w:val="center"/>
          </w:tcPr>
          <w:p w14:paraId="3E5AECB5" w14:textId="77777777" w:rsidR="00054AF4" w:rsidRDefault="00054AF4" w:rsidP="005A6C0D">
            <w:pPr>
              <w:widowControl w:val="0"/>
              <w:tabs>
                <w:tab w:val="decimal" w:leader="dot" w:pos="428"/>
              </w:tabs>
              <w:autoSpaceDE w:val="0"/>
              <w:autoSpaceDN w:val="0"/>
              <w:adjustRightInd w:val="0"/>
            </w:pPr>
            <w:r>
              <w:t xml:space="preserve"> </w:t>
            </w:r>
          </w:p>
        </w:tc>
      </w:tr>
    </w:tbl>
    <w:p w14:paraId="00000274" w14:textId="77777777" w:rsidR="00A92EB8" w:rsidRPr="005869CA" w:rsidRDefault="00411C61">
      <w:pPr>
        <w:widowControl w:val="0"/>
        <w:rPr>
          <w:lang w:val="en-US"/>
        </w:rPr>
      </w:pPr>
      <w:r w:rsidRPr="005869CA">
        <w:rPr>
          <w:i/>
          <w:lang w:val="en-US"/>
        </w:rPr>
        <w:t>Note.</w:t>
      </w:r>
      <w:r w:rsidRPr="005869CA">
        <w:rPr>
          <w:lang w:val="en-US"/>
        </w:rPr>
        <w:t xml:space="preserve"> </w:t>
      </w:r>
      <w:r w:rsidRPr="005869CA">
        <w:rPr>
          <w:i/>
          <w:lang w:val="en-US"/>
        </w:rPr>
        <w:t>M</w:t>
      </w:r>
      <w:r w:rsidRPr="005869CA">
        <w:rPr>
          <w:lang w:val="en-US"/>
        </w:rPr>
        <w:t xml:space="preserve"> and </w:t>
      </w:r>
      <w:r w:rsidRPr="005869CA">
        <w:rPr>
          <w:i/>
          <w:lang w:val="en-US"/>
        </w:rPr>
        <w:t>SD</w:t>
      </w:r>
      <w:r w:rsidRPr="005869CA">
        <w:rPr>
          <w:lang w:val="en-US"/>
        </w:rPr>
        <w:t xml:space="preserve"> are used to represent mean and standard deviation, respectively. Values in square brackets indicate the 95% confidence interval for each correlation. GAD = Generalized anxiety disorder.  * </w:t>
      </w:r>
      <w:proofErr w:type="gramStart"/>
      <w:r w:rsidRPr="005869CA">
        <w:rPr>
          <w:lang w:val="en-US"/>
        </w:rPr>
        <w:t>indicates</w:t>
      </w:r>
      <w:proofErr w:type="gramEnd"/>
      <w:r w:rsidRPr="005869CA">
        <w:rPr>
          <w:lang w:val="en-US"/>
        </w:rPr>
        <w:t xml:space="preserve"> </w:t>
      </w:r>
      <w:r w:rsidRPr="005869CA">
        <w:rPr>
          <w:i/>
          <w:lang w:val="en-US"/>
        </w:rPr>
        <w:t>p</w:t>
      </w:r>
      <w:r w:rsidRPr="005869CA">
        <w:rPr>
          <w:lang w:val="en-US"/>
        </w:rPr>
        <w:t xml:space="preserve"> &lt; .05. ** indicates </w:t>
      </w:r>
      <w:r w:rsidRPr="005869CA">
        <w:rPr>
          <w:i/>
          <w:lang w:val="en-US"/>
        </w:rPr>
        <w:t>p</w:t>
      </w:r>
      <w:r w:rsidRPr="005869CA">
        <w:rPr>
          <w:lang w:val="en-US"/>
        </w:rPr>
        <w:t xml:space="preserve"> &lt; .01. Secure: </w:t>
      </w:r>
      <w:r w:rsidRPr="005869CA">
        <w:rPr>
          <w:i/>
          <w:lang w:val="en-US"/>
        </w:rPr>
        <w:t>n</w:t>
      </w:r>
      <w:r w:rsidRPr="005869CA">
        <w:rPr>
          <w:lang w:val="en-US"/>
        </w:rPr>
        <w:t xml:space="preserve"> = 441.</w:t>
      </w:r>
    </w:p>
    <w:p w14:paraId="00000275" w14:textId="77777777" w:rsidR="00A92EB8" w:rsidRPr="005869CA" w:rsidRDefault="00411C61">
      <w:pPr>
        <w:rPr>
          <w:lang w:val="en-US"/>
        </w:rPr>
      </w:pPr>
      <w:r w:rsidRPr="005869CA">
        <w:rPr>
          <w:lang w:val="en-US"/>
        </w:rPr>
        <w:br w:type="page"/>
      </w:r>
    </w:p>
    <w:p w14:paraId="00000276" w14:textId="77777777" w:rsidR="00A92EB8" w:rsidRPr="005869CA" w:rsidRDefault="00A92EB8">
      <w:pPr>
        <w:widowControl w:val="0"/>
        <w:rPr>
          <w:lang w:val="en-US"/>
        </w:rPr>
      </w:pPr>
    </w:p>
    <w:p w14:paraId="00000277" w14:textId="77777777" w:rsidR="00A92EB8" w:rsidRPr="005869CA" w:rsidRDefault="00411C61">
      <w:pPr>
        <w:spacing w:line="480" w:lineRule="auto"/>
        <w:rPr>
          <w:b/>
          <w:lang w:val="en-US"/>
        </w:rPr>
      </w:pPr>
      <w:r w:rsidRPr="005869CA">
        <w:rPr>
          <w:b/>
          <w:lang w:val="en-US"/>
        </w:rPr>
        <w:t>Table 3</w:t>
      </w:r>
    </w:p>
    <w:p w14:paraId="00000278" w14:textId="77777777" w:rsidR="00A92EB8" w:rsidRPr="005869CA" w:rsidRDefault="00411C61">
      <w:pPr>
        <w:spacing w:line="480" w:lineRule="auto"/>
        <w:rPr>
          <w:lang w:val="en-US"/>
        </w:rPr>
      </w:pPr>
      <w:r w:rsidRPr="005869CA">
        <w:rPr>
          <w:lang w:val="en-US"/>
        </w:rPr>
        <w:t>The Cross-Sectional and Longitudinal Results from the Targeted Learning Analyses</w:t>
      </w:r>
    </w:p>
    <w:tbl>
      <w:tblPr>
        <w:tblStyle w:val="a1"/>
        <w:tblW w:w="11937"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2324"/>
        <w:gridCol w:w="774"/>
        <w:gridCol w:w="775"/>
        <w:gridCol w:w="775"/>
        <w:gridCol w:w="775"/>
        <w:gridCol w:w="775"/>
        <w:gridCol w:w="775"/>
        <w:gridCol w:w="775"/>
        <w:gridCol w:w="775"/>
        <w:gridCol w:w="775"/>
        <w:gridCol w:w="775"/>
        <w:gridCol w:w="775"/>
        <w:gridCol w:w="1089"/>
      </w:tblGrid>
      <w:tr w:rsidR="00A92EB8" w:rsidRPr="005869CA" w14:paraId="0B44640A" w14:textId="77777777" w:rsidTr="000C29D9">
        <w:tc>
          <w:tcPr>
            <w:tcW w:w="2324" w:type="dxa"/>
            <w:tcBorders>
              <w:top w:val="single" w:sz="4" w:space="0" w:color="000000"/>
              <w:bottom w:val="single" w:sz="4" w:space="0" w:color="000000"/>
            </w:tcBorders>
          </w:tcPr>
          <w:p w14:paraId="00000279" w14:textId="77777777" w:rsidR="00A92EB8" w:rsidRPr="005869CA" w:rsidRDefault="00A92EB8">
            <w:pPr>
              <w:jc w:val="center"/>
              <w:rPr>
                <w:b/>
                <w:sz w:val="20"/>
                <w:szCs w:val="20"/>
                <w:lang w:val="en-US"/>
              </w:rPr>
            </w:pPr>
          </w:p>
        </w:tc>
        <w:tc>
          <w:tcPr>
            <w:tcW w:w="2324" w:type="dxa"/>
            <w:gridSpan w:val="3"/>
            <w:tcBorders>
              <w:top w:val="single" w:sz="4" w:space="0" w:color="000000"/>
              <w:bottom w:val="single" w:sz="4" w:space="0" w:color="000000"/>
            </w:tcBorders>
          </w:tcPr>
          <w:p w14:paraId="0000027A" w14:textId="77777777" w:rsidR="00A92EB8" w:rsidRPr="005869CA" w:rsidRDefault="00411C61">
            <w:pPr>
              <w:jc w:val="center"/>
              <w:rPr>
                <w:b/>
                <w:sz w:val="20"/>
                <w:szCs w:val="20"/>
                <w:lang w:val="en-US"/>
              </w:rPr>
            </w:pPr>
            <w:r w:rsidRPr="005869CA">
              <w:rPr>
                <w:b/>
                <w:sz w:val="20"/>
                <w:szCs w:val="20"/>
                <w:lang w:val="en-US"/>
              </w:rPr>
              <w:t>Anxiety</w:t>
            </w:r>
          </w:p>
        </w:tc>
        <w:tc>
          <w:tcPr>
            <w:tcW w:w="2325" w:type="dxa"/>
            <w:gridSpan w:val="3"/>
            <w:tcBorders>
              <w:top w:val="single" w:sz="4" w:space="0" w:color="000000"/>
              <w:bottom w:val="single" w:sz="4" w:space="0" w:color="000000"/>
            </w:tcBorders>
          </w:tcPr>
          <w:p w14:paraId="0000027D" w14:textId="77777777" w:rsidR="00A92EB8" w:rsidRPr="005869CA" w:rsidRDefault="00411C61">
            <w:pPr>
              <w:jc w:val="center"/>
              <w:rPr>
                <w:b/>
                <w:sz w:val="20"/>
                <w:szCs w:val="20"/>
                <w:lang w:val="en-US"/>
              </w:rPr>
            </w:pPr>
            <w:r w:rsidRPr="005869CA">
              <w:rPr>
                <w:b/>
                <w:sz w:val="20"/>
                <w:szCs w:val="20"/>
                <w:lang w:val="en-US"/>
              </w:rPr>
              <w:t>Depression</w:t>
            </w:r>
          </w:p>
        </w:tc>
        <w:tc>
          <w:tcPr>
            <w:tcW w:w="2325" w:type="dxa"/>
            <w:gridSpan w:val="3"/>
            <w:tcBorders>
              <w:top w:val="single" w:sz="4" w:space="0" w:color="000000"/>
              <w:bottom w:val="single" w:sz="4" w:space="0" w:color="000000"/>
            </w:tcBorders>
          </w:tcPr>
          <w:p w14:paraId="00000280" w14:textId="77777777" w:rsidR="00A92EB8" w:rsidRPr="005869CA" w:rsidRDefault="00411C61">
            <w:pPr>
              <w:jc w:val="center"/>
              <w:rPr>
                <w:b/>
                <w:sz w:val="20"/>
                <w:szCs w:val="20"/>
                <w:lang w:val="en-US"/>
              </w:rPr>
            </w:pPr>
            <w:r w:rsidRPr="005869CA">
              <w:rPr>
                <w:b/>
                <w:sz w:val="20"/>
                <w:szCs w:val="20"/>
                <w:lang w:val="en-US"/>
              </w:rPr>
              <w:t>Loneliness</w:t>
            </w:r>
          </w:p>
        </w:tc>
        <w:tc>
          <w:tcPr>
            <w:tcW w:w="2639" w:type="dxa"/>
            <w:gridSpan w:val="3"/>
            <w:tcBorders>
              <w:top w:val="single" w:sz="4" w:space="0" w:color="000000"/>
              <w:bottom w:val="single" w:sz="4" w:space="0" w:color="000000"/>
            </w:tcBorders>
          </w:tcPr>
          <w:p w14:paraId="00000283" w14:textId="42144270" w:rsidR="00A92EB8" w:rsidRPr="005869CA" w:rsidRDefault="000C29D9">
            <w:pPr>
              <w:jc w:val="center"/>
              <w:rPr>
                <w:b/>
                <w:sz w:val="20"/>
                <w:szCs w:val="20"/>
                <w:lang w:val="en-US"/>
              </w:rPr>
            </w:pPr>
            <w:r>
              <w:rPr>
                <w:b/>
                <w:sz w:val="20"/>
                <w:szCs w:val="20"/>
                <w:lang w:val="en-US"/>
              </w:rPr>
              <w:t>Social distancing</w:t>
            </w:r>
            <w:r w:rsidRPr="005869CA">
              <w:rPr>
                <w:b/>
                <w:sz w:val="20"/>
                <w:szCs w:val="20"/>
                <w:lang w:val="en-US"/>
              </w:rPr>
              <w:t xml:space="preserve"> behaviors</w:t>
            </w:r>
          </w:p>
        </w:tc>
      </w:tr>
      <w:tr w:rsidR="00A92EB8" w:rsidRPr="005869CA" w14:paraId="59BE9C03" w14:textId="77777777" w:rsidTr="000C29D9">
        <w:tc>
          <w:tcPr>
            <w:tcW w:w="2324" w:type="dxa"/>
            <w:tcBorders>
              <w:top w:val="single" w:sz="4" w:space="0" w:color="000000"/>
              <w:bottom w:val="single" w:sz="4" w:space="0" w:color="000000"/>
            </w:tcBorders>
          </w:tcPr>
          <w:p w14:paraId="00000286" w14:textId="77777777" w:rsidR="00A92EB8" w:rsidRPr="005869CA" w:rsidRDefault="00411C61">
            <w:pPr>
              <w:rPr>
                <w:sz w:val="20"/>
                <w:szCs w:val="20"/>
                <w:lang w:val="en-US"/>
              </w:rPr>
            </w:pPr>
            <w:r w:rsidRPr="005869CA">
              <w:rPr>
                <w:sz w:val="20"/>
                <w:szCs w:val="20"/>
                <w:lang w:val="en-US"/>
              </w:rPr>
              <w:t>Group (0 = Secure)</w:t>
            </w:r>
          </w:p>
        </w:tc>
        <w:tc>
          <w:tcPr>
            <w:tcW w:w="774" w:type="dxa"/>
            <w:tcBorders>
              <w:top w:val="single" w:sz="4" w:space="0" w:color="000000"/>
              <w:bottom w:val="single" w:sz="4" w:space="0" w:color="000000"/>
            </w:tcBorders>
          </w:tcPr>
          <w:p w14:paraId="00000287" w14:textId="77777777" w:rsidR="00A92EB8" w:rsidRPr="005869CA" w:rsidRDefault="00411C61">
            <w:pPr>
              <w:jc w:val="center"/>
              <w:rPr>
                <w:sz w:val="20"/>
                <w:szCs w:val="20"/>
                <w:lang w:val="en-US"/>
              </w:rPr>
            </w:pPr>
            <w:r w:rsidRPr="005869CA">
              <w:rPr>
                <w:sz w:val="20"/>
                <w:szCs w:val="20"/>
                <w:lang w:val="en-US"/>
              </w:rPr>
              <w:t>Effect</w:t>
            </w:r>
          </w:p>
        </w:tc>
        <w:tc>
          <w:tcPr>
            <w:tcW w:w="775" w:type="dxa"/>
            <w:tcBorders>
              <w:top w:val="single" w:sz="4" w:space="0" w:color="000000"/>
              <w:bottom w:val="single" w:sz="4" w:space="0" w:color="000000"/>
            </w:tcBorders>
          </w:tcPr>
          <w:p w14:paraId="00000288" w14:textId="77777777" w:rsidR="00A92EB8" w:rsidRPr="005869CA" w:rsidRDefault="00411C61">
            <w:pPr>
              <w:jc w:val="center"/>
              <w:rPr>
                <w:i/>
                <w:sz w:val="20"/>
                <w:szCs w:val="20"/>
                <w:lang w:val="en-US"/>
              </w:rPr>
            </w:pPr>
            <w:r w:rsidRPr="005869CA">
              <w:rPr>
                <w:i/>
                <w:sz w:val="20"/>
                <w:szCs w:val="20"/>
                <w:lang w:val="en-US"/>
              </w:rPr>
              <w:t>SE</w:t>
            </w:r>
          </w:p>
        </w:tc>
        <w:tc>
          <w:tcPr>
            <w:tcW w:w="775" w:type="dxa"/>
            <w:tcBorders>
              <w:top w:val="single" w:sz="4" w:space="0" w:color="000000"/>
              <w:bottom w:val="single" w:sz="4" w:space="0" w:color="000000"/>
            </w:tcBorders>
          </w:tcPr>
          <w:p w14:paraId="00000289" w14:textId="77777777" w:rsidR="00A92EB8" w:rsidRPr="005869CA" w:rsidRDefault="00411C61">
            <w:pPr>
              <w:jc w:val="center"/>
              <w:rPr>
                <w:i/>
                <w:sz w:val="20"/>
                <w:szCs w:val="20"/>
                <w:lang w:val="en-US"/>
              </w:rPr>
            </w:pPr>
            <w:r w:rsidRPr="005869CA">
              <w:rPr>
                <w:i/>
                <w:sz w:val="20"/>
                <w:szCs w:val="20"/>
                <w:lang w:val="en-US"/>
              </w:rPr>
              <w:t>p</w:t>
            </w:r>
          </w:p>
        </w:tc>
        <w:tc>
          <w:tcPr>
            <w:tcW w:w="775" w:type="dxa"/>
            <w:tcBorders>
              <w:top w:val="single" w:sz="4" w:space="0" w:color="000000"/>
              <w:bottom w:val="single" w:sz="4" w:space="0" w:color="000000"/>
            </w:tcBorders>
          </w:tcPr>
          <w:p w14:paraId="0000028A" w14:textId="77777777" w:rsidR="00A92EB8" w:rsidRPr="005869CA" w:rsidRDefault="00411C61">
            <w:pPr>
              <w:jc w:val="center"/>
              <w:rPr>
                <w:sz w:val="20"/>
                <w:szCs w:val="20"/>
                <w:lang w:val="en-US"/>
              </w:rPr>
            </w:pPr>
            <w:r w:rsidRPr="005869CA">
              <w:rPr>
                <w:sz w:val="20"/>
                <w:szCs w:val="20"/>
                <w:lang w:val="en-US"/>
              </w:rPr>
              <w:t>Effect</w:t>
            </w:r>
          </w:p>
        </w:tc>
        <w:tc>
          <w:tcPr>
            <w:tcW w:w="775" w:type="dxa"/>
            <w:tcBorders>
              <w:top w:val="single" w:sz="4" w:space="0" w:color="000000"/>
              <w:bottom w:val="single" w:sz="4" w:space="0" w:color="000000"/>
            </w:tcBorders>
          </w:tcPr>
          <w:p w14:paraId="0000028B" w14:textId="77777777" w:rsidR="00A92EB8" w:rsidRPr="005869CA" w:rsidRDefault="00411C61">
            <w:pPr>
              <w:jc w:val="center"/>
              <w:rPr>
                <w:i/>
                <w:sz w:val="20"/>
                <w:szCs w:val="20"/>
                <w:lang w:val="en-US"/>
              </w:rPr>
            </w:pPr>
            <w:r w:rsidRPr="005869CA">
              <w:rPr>
                <w:i/>
                <w:sz w:val="20"/>
                <w:szCs w:val="20"/>
                <w:lang w:val="en-US"/>
              </w:rPr>
              <w:t>SE</w:t>
            </w:r>
          </w:p>
        </w:tc>
        <w:tc>
          <w:tcPr>
            <w:tcW w:w="775" w:type="dxa"/>
            <w:tcBorders>
              <w:top w:val="single" w:sz="4" w:space="0" w:color="000000"/>
              <w:bottom w:val="single" w:sz="4" w:space="0" w:color="000000"/>
            </w:tcBorders>
          </w:tcPr>
          <w:p w14:paraId="0000028C" w14:textId="77777777" w:rsidR="00A92EB8" w:rsidRPr="005869CA" w:rsidRDefault="00411C61">
            <w:pPr>
              <w:jc w:val="center"/>
              <w:rPr>
                <w:sz w:val="20"/>
                <w:szCs w:val="20"/>
                <w:lang w:val="en-US"/>
              </w:rPr>
            </w:pPr>
            <w:r w:rsidRPr="005869CA">
              <w:rPr>
                <w:i/>
                <w:sz w:val="20"/>
                <w:szCs w:val="20"/>
                <w:lang w:val="en-US"/>
              </w:rPr>
              <w:t>p</w:t>
            </w:r>
          </w:p>
        </w:tc>
        <w:tc>
          <w:tcPr>
            <w:tcW w:w="775" w:type="dxa"/>
            <w:tcBorders>
              <w:top w:val="single" w:sz="4" w:space="0" w:color="000000"/>
              <w:bottom w:val="single" w:sz="4" w:space="0" w:color="000000"/>
            </w:tcBorders>
          </w:tcPr>
          <w:p w14:paraId="0000028D" w14:textId="77777777" w:rsidR="00A92EB8" w:rsidRPr="005869CA" w:rsidRDefault="00411C61">
            <w:pPr>
              <w:jc w:val="center"/>
              <w:rPr>
                <w:sz w:val="20"/>
                <w:szCs w:val="20"/>
                <w:lang w:val="en-US"/>
              </w:rPr>
            </w:pPr>
            <w:r w:rsidRPr="005869CA">
              <w:rPr>
                <w:sz w:val="20"/>
                <w:szCs w:val="20"/>
                <w:lang w:val="en-US"/>
              </w:rPr>
              <w:t>Effect</w:t>
            </w:r>
          </w:p>
        </w:tc>
        <w:tc>
          <w:tcPr>
            <w:tcW w:w="775" w:type="dxa"/>
            <w:tcBorders>
              <w:top w:val="single" w:sz="4" w:space="0" w:color="000000"/>
              <w:bottom w:val="single" w:sz="4" w:space="0" w:color="000000"/>
            </w:tcBorders>
          </w:tcPr>
          <w:p w14:paraId="0000028E" w14:textId="77777777" w:rsidR="00A92EB8" w:rsidRPr="005869CA" w:rsidRDefault="00411C61">
            <w:pPr>
              <w:jc w:val="center"/>
              <w:rPr>
                <w:i/>
                <w:sz w:val="20"/>
                <w:szCs w:val="20"/>
                <w:lang w:val="en-US"/>
              </w:rPr>
            </w:pPr>
            <w:r w:rsidRPr="005869CA">
              <w:rPr>
                <w:i/>
                <w:sz w:val="20"/>
                <w:szCs w:val="20"/>
                <w:lang w:val="en-US"/>
              </w:rPr>
              <w:t>SE</w:t>
            </w:r>
          </w:p>
        </w:tc>
        <w:tc>
          <w:tcPr>
            <w:tcW w:w="775" w:type="dxa"/>
            <w:tcBorders>
              <w:top w:val="single" w:sz="4" w:space="0" w:color="000000"/>
              <w:bottom w:val="single" w:sz="4" w:space="0" w:color="000000"/>
            </w:tcBorders>
          </w:tcPr>
          <w:p w14:paraId="0000028F" w14:textId="77777777" w:rsidR="00A92EB8" w:rsidRPr="005869CA" w:rsidRDefault="00411C61">
            <w:pPr>
              <w:jc w:val="center"/>
              <w:rPr>
                <w:sz w:val="20"/>
                <w:szCs w:val="20"/>
                <w:lang w:val="en-US"/>
              </w:rPr>
            </w:pPr>
            <w:r w:rsidRPr="005869CA">
              <w:rPr>
                <w:i/>
                <w:sz w:val="20"/>
                <w:szCs w:val="20"/>
                <w:lang w:val="en-US"/>
              </w:rPr>
              <w:t>p</w:t>
            </w:r>
          </w:p>
        </w:tc>
        <w:tc>
          <w:tcPr>
            <w:tcW w:w="775" w:type="dxa"/>
            <w:tcBorders>
              <w:top w:val="single" w:sz="4" w:space="0" w:color="000000"/>
              <w:bottom w:val="single" w:sz="4" w:space="0" w:color="000000"/>
            </w:tcBorders>
          </w:tcPr>
          <w:p w14:paraId="00000290" w14:textId="77777777" w:rsidR="00A92EB8" w:rsidRPr="005869CA" w:rsidRDefault="00411C61">
            <w:pPr>
              <w:jc w:val="center"/>
              <w:rPr>
                <w:sz w:val="20"/>
                <w:szCs w:val="20"/>
                <w:lang w:val="en-US"/>
              </w:rPr>
            </w:pPr>
            <w:r w:rsidRPr="005869CA">
              <w:rPr>
                <w:sz w:val="20"/>
                <w:szCs w:val="20"/>
                <w:lang w:val="en-US"/>
              </w:rPr>
              <w:t>Effect</w:t>
            </w:r>
          </w:p>
        </w:tc>
        <w:tc>
          <w:tcPr>
            <w:tcW w:w="775" w:type="dxa"/>
            <w:tcBorders>
              <w:top w:val="single" w:sz="4" w:space="0" w:color="000000"/>
              <w:bottom w:val="single" w:sz="4" w:space="0" w:color="000000"/>
            </w:tcBorders>
          </w:tcPr>
          <w:p w14:paraId="00000291" w14:textId="77777777" w:rsidR="00A92EB8" w:rsidRPr="005869CA" w:rsidRDefault="00411C61">
            <w:pPr>
              <w:jc w:val="center"/>
              <w:rPr>
                <w:i/>
                <w:sz w:val="20"/>
                <w:szCs w:val="20"/>
                <w:lang w:val="en-US"/>
              </w:rPr>
            </w:pPr>
            <w:r w:rsidRPr="005869CA">
              <w:rPr>
                <w:i/>
                <w:sz w:val="20"/>
                <w:szCs w:val="20"/>
                <w:lang w:val="en-US"/>
              </w:rPr>
              <w:t>SE</w:t>
            </w:r>
          </w:p>
        </w:tc>
        <w:tc>
          <w:tcPr>
            <w:tcW w:w="1089" w:type="dxa"/>
            <w:tcBorders>
              <w:top w:val="single" w:sz="4" w:space="0" w:color="000000"/>
              <w:bottom w:val="single" w:sz="4" w:space="0" w:color="000000"/>
            </w:tcBorders>
          </w:tcPr>
          <w:p w14:paraId="00000292" w14:textId="77777777" w:rsidR="00A92EB8" w:rsidRPr="005869CA" w:rsidRDefault="00411C61">
            <w:pPr>
              <w:jc w:val="center"/>
              <w:rPr>
                <w:sz w:val="20"/>
                <w:szCs w:val="20"/>
                <w:lang w:val="en-US"/>
              </w:rPr>
            </w:pPr>
            <w:r w:rsidRPr="005869CA">
              <w:rPr>
                <w:i/>
                <w:sz w:val="20"/>
                <w:szCs w:val="20"/>
                <w:lang w:val="en-US"/>
              </w:rPr>
              <w:t>p</w:t>
            </w:r>
          </w:p>
        </w:tc>
      </w:tr>
      <w:tr w:rsidR="00A92EB8" w:rsidRPr="005869CA" w14:paraId="00740AC4" w14:textId="77777777" w:rsidTr="000C29D9">
        <w:tc>
          <w:tcPr>
            <w:tcW w:w="2324" w:type="dxa"/>
            <w:tcBorders>
              <w:top w:val="single" w:sz="4" w:space="0" w:color="000000"/>
            </w:tcBorders>
          </w:tcPr>
          <w:p w14:paraId="00000293" w14:textId="77777777" w:rsidR="00A92EB8" w:rsidRPr="005869CA" w:rsidRDefault="00411C61">
            <w:pPr>
              <w:rPr>
                <w:b/>
                <w:sz w:val="20"/>
                <w:szCs w:val="20"/>
                <w:lang w:val="en-US"/>
              </w:rPr>
            </w:pPr>
            <w:r w:rsidRPr="005869CA">
              <w:rPr>
                <w:b/>
                <w:sz w:val="20"/>
                <w:szCs w:val="20"/>
                <w:lang w:val="en-US"/>
              </w:rPr>
              <w:t>Cross-sectional</w:t>
            </w:r>
          </w:p>
        </w:tc>
        <w:tc>
          <w:tcPr>
            <w:tcW w:w="774" w:type="dxa"/>
            <w:tcBorders>
              <w:top w:val="single" w:sz="4" w:space="0" w:color="000000"/>
            </w:tcBorders>
          </w:tcPr>
          <w:p w14:paraId="00000294" w14:textId="77777777" w:rsidR="00A92EB8" w:rsidRPr="005869CA" w:rsidRDefault="00A92EB8">
            <w:pPr>
              <w:rPr>
                <w:sz w:val="20"/>
                <w:szCs w:val="20"/>
                <w:lang w:val="en-US"/>
              </w:rPr>
            </w:pPr>
          </w:p>
        </w:tc>
        <w:tc>
          <w:tcPr>
            <w:tcW w:w="775" w:type="dxa"/>
            <w:tcBorders>
              <w:top w:val="single" w:sz="4" w:space="0" w:color="000000"/>
            </w:tcBorders>
          </w:tcPr>
          <w:p w14:paraId="00000295" w14:textId="77777777" w:rsidR="00A92EB8" w:rsidRPr="005869CA" w:rsidRDefault="00A92EB8">
            <w:pPr>
              <w:rPr>
                <w:sz w:val="20"/>
                <w:szCs w:val="20"/>
                <w:lang w:val="en-US"/>
              </w:rPr>
            </w:pPr>
          </w:p>
        </w:tc>
        <w:tc>
          <w:tcPr>
            <w:tcW w:w="775" w:type="dxa"/>
            <w:tcBorders>
              <w:top w:val="single" w:sz="4" w:space="0" w:color="000000"/>
            </w:tcBorders>
          </w:tcPr>
          <w:p w14:paraId="00000296" w14:textId="77777777" w:rsidR="00A92EB8" w:rsidRPr="005869CA" w:rsidRDefault="00A92EB8">
            <w:pPr>
              <w:rPr>
                <w:sz w:val="20"/>
                <w:szCs w:val="20"/>
                <w:lang w:val="en-US"/>
              </w:rPr>
            </w:pPr>
          </w:p>
        </w:tc>
        <w:tc>
          <w:tcPr>
            <w:tcW w:w="775" w:type="dxa"/>
            <w:tcBorders>
              <w:top w:val="single" w:sz="4" w:space="0" w:color="000000"/>
            </w:tcBorders>
          </w:tcPr>
          <w:p w14:paraId="00000297" w14:textId="77777777" w:rsidR="00A92EB8" w:rsidRPr="005869CA" w:rsidRDefault="00A92EB8">
            <w:pPr>
              <w:rPr>
                <w:sz w:val="20"/>
                <w:szCs w:val="20"/>
                <w:lang w:val="en-US"/>
              </w:rPr>
            </w:pPr>
          </w:p>
        </w:tc>
        <w:tc>
          <w:tcPr>
            <w:tcW w:w="775" w:type="dxa"/>
            <w:tcBorders>
              <w:top w:val="single" w:sz="4" w:space="0" w:color="000000"/>
            </w:tcBorders>
          </w:tcPr>
          <w:p w14:paraId="00000298" w14:textId="77777777" w:rsidR="00A92EB8" w:rsidRPr="005869CA" w:rsidRDefault="00A92EB8">
            <w:pPr>
              <w:rPr>
                <w:sz w:val="20"/>
                <w:szCs w:val="20"/>
                <w:lang w:val="en-US"/>
              </w:rPr>
            </w:pPr>
          </w:p>
        </w:tc>
        <w:tc>
          <w:tcPr>
            <w:tcW w:w="775" w:type="dxa"/>
            <w:tcBorders>
              <w:top w:val="single" w:sz="4" w:space="0" w:color="000000"/>
            </w:tcBorders>
          </w:tcPr>
          <w:p w14:paraId="00000299" w14:textId="77777777" w:rsidR="00A92EB8" w:rsidRPr="005869CA" w:rsidRDefault="00A92EB8">
            <w:pPr>
              <w:rPr>
                <w:sz w:val="20"/>
                <w:szCs w:val="20"/>
                <w:lang w:val="en-US"/>
              </w:rPr>
            </w:pPr>
          </w:p>
        </w:tc>
        <w:tc>
          <w:tcPr>
            <w:tcW w:w="775" w:type="dxa"/>
            <w:tcBorders>
              <w:top w:val="single" w:sz="4" w:space="0" w:color="000000"/>
            </w:tcBorders>
          </w:tcPr>
          <w:p w14:paraId="0000029A" w14:textId="77777777" w:rsidR="00A92EB8" w:rsidRPr="005869CA" w:rsidRDefault="00A92EB8">
            <w:pPr>
              <w:rPr>
                <w:sz w:val="20"/>
                <w:szCs w:val="20"/>
                <w:lang w:val="en-US"/>
              </w:rPr>
            </w:pPr>
          </w:p>
        </w:tc>
        <w:tc>
          <w:tcPr>
            <w:tcW w:w="775" w:type="dxa"/>
            <w:tcBorders>
              <w:top w:val="single" w:sz="4" w:space="0" w:color="000000"/>
            </w:tcBorders>
          </w:tcPr>
          <w:p w14:paraId="0000029B" w14:textId="77777777" w:rsidR="00A92EB8" w:rsidRPr="005869CA" w:rsidRDefault="00A92EB8">
            <w:pPr>
              <w:rPr>
                <w:sz w:val="20"/>
                <w:szCs w:val="20"/>
                <w:lang w:val="en-US"/>
              </w:rPr>
            </w:pPr>
          </w:p>
        </w:tc>
        <w:tc>
          <w:tcPr>
            <w:tcW w:w="775" w:type="dxa"/>
            <w:tcBorders>
              <w:top w:val="single" w:sz="4" w:space="0" w:color="000000"/>
            </w:tcBorders>
          </w:tcPr>
          <w:p w14:paraId="0000029C" w14:textId="77777777" w:rsidR="00A92EB8" w:rsidRPr="005869CA" w:rsidRDefault="00A92EB8">
            <w:pPr>
              <w:rPr>
                <w:sz w:val="20"/>
                <w:szCs w:val="20"/>
                <w:lang w:val="en-US"/>
              </w:rPr>
            </w:pPr>
          </w:p>
        </w:tc>
        <w:tc>
          <w:tcPr>
            <w:tcW w:w="775" w:type="dxa"/>
            <w:tcBorders>
              <w:top w:val="single" w:sz="4" w:space="0" w:color="000000"/>
            </w:tcBorders>
          </w:tcPr>
          <w:p w14:paraId="0000029D" w14:textId="77777777" w:rsidR="00A92EB8" w:rsidRPr="005869CA" w:rsidRDefault="00A92EB8">
            <w:pPr>
              <w:rPr>
                <w:sz w:val="20"/>
                <w:szCs w:val="20"/>
                <w:lang w:val="en-US"/>
              </w:rPr>
            </w:pPr>
          </w:p>
        </w:tc>
        <w:tc>
          <w:tcPr>
            <w:tcW w:w="775" w:type="dxa"/>
            <w:tcBorders>
              <w:top w:val="single" w:sz="4" w:space="0" w:color="000000"/>
            </w:tcBorders>
          </w:tcPr>
          <w:p w14:paraId="0000029E" w14:textId="77777777" w:rsidR="00A92EB8" w:rsidRPr="005869CA" w:rsidRDefault="00A92EB8">
            <w:pPr>
              <w:rPr>
                <w:sz w:val="20"/>
                <w:szCs w:val="20"/>
                <w:lang w:val="en-US"/>
              </w:rPr>
            </w:pPr>
          </w:p>
        </w:tc>
        <w:tc>
          <w:tcPr>
            <w:tcW w:w="1089" w:type="dxa"/>
            <w:tcBorders>
              <w:top w:val="single" w:sz="4" w:space="0" w:color="000000"/>
            </w:tcBorders>
          </w:tcPr>
          <w:p w14:paraId="0000029F" w14:textId="77777777" w:rsidR="00A92EB8" w:rsidRPr="005869CA" w:rsidRDefault="00A92EB8">
            <w:pPr>
              <w:rPr>
                <w:sz w:val="20"/>
                <w:szCs w:val="20"/>
                <w:lang w:val="en-US"/>
              </w:rPr>
            </w:pPr>
          </w:p>
        </w:tc>
      </w:tr>
      <w:tr w:rsidR="00A92EB8" w:rsidRPr="005869CA" w14:paraId="7ECDB55A" w14:textId="77777777" w:rsidTr="000C29D9">
        <w:tc>
          <w:tcPr>
            <w:tcW w:w="2324" w:type="dxa"/>
          </w:tcPr>
          <w:p w14:paraId="000002A0" w14:textId="77777777" w:rsidR="00A92EB8" w:rsidRPr="005869CA" w:rsidRDefault="00411C61">
            <w:pPr>
              <w:rPr>
                <w:i/>
                <w:sz w:val="20"/>
                <w:szCs w:val="20"/>
                <w:lang w:val="en-US"/>
              </w:rPr>
            </w:pPr>
            <w:r w:rsidRPr="005869CA">
              <w:rPr>
                <w:i/>
                <w:sz w:val="20"/>
                <w:szCs w:val="20"/>
                <w:lang w:val="en-US"/>
              </w:rPr>
              <w:t>Naïve estimates</w:t>
            </w:r>
          </w:p>
        </w:tc>
        <w:tc>
          <w:tcPr>
            <w:tcW w:w="774" w:type="dxa"/>
          </w:tcPr>
          <w:p w14:paraId="000002A1" w14:textId="77777777" w:rsidR="00A92EB8" w:rsidRPr="005869CA" w:rsidRDefault="00A92EB8">
            <w:pPr>
              <w:rPr>
                <w:sz w:val="20"/>
                <w:szCs w:val="20"/>
                <w:lang w:val="en-US"/>
              </w:rPr>
            </w:pPr>
          </w:p>
        </w:tc>
        <w:tc>
          <w:tcPr>
            <w:tcW w:w="775" w:type="dxa"/>
          </w:tcPr>
          <w:p w14:paraId="000002A2" w14:textId="77777777" w:rsidR="00A92EB8" w:rsidRPr="005869CA" w:rsidRDefault="00A92EB8">
            <w:pPr>
              <w:rPr>
                <w:sz w:val="20"/>
                <w:szCs w:val="20"/>
                <w:lang w:val="en-US"/>
              </w:rPr>
            </w:pPr>
          </w:p>
        </w:tc>
        <w:tc>
          <w:tcPr>
            <w:tcW w:w="775" w:type="dxa"/>
          </w:tcPr>
          <w:p w14:paraId="000002A3" w14:textId="77777777" w:rsidR="00A92EB8" w:rsidRPr="005869CA" w:rsidRDefault="00A92EB8">
            <w:pPr>
              <w:rPr>
                <w:sz w:val="20"/>
                <w:szCs w:val="20"/>
                <w:lang w:val="en-US"/>
              </w:rPr>
            </w:pPr>
          </w:p>
        </w:tc>
        <w:tc>
          <w:tcPr>
            <w:tcW w:w="775" w:type="dxa"/>
          </w:tcPr>
          <w:p w14:paraId="000002A4" w14:textId="77777777" w:rsidR="00A92EB8" w:rsidRPr="005869CA" w:rsidRDefault="00A92EB8">
            <w:pPr>
              <w:rPr>
                <w:sz w:val="20"/>
                <w:szCs w:val="20"/>
                <w:lang w:val="en-US"/>
              </w:rPr>
            </w:pPr>
          </w:p>
        </w:tc>
        <w:tc>
          <w:tcPr>
            <w:tcW w:w="775" w:type="dxa"/>
          </w:tcPr>
          <w:p w14:paraId="000002A5" w14:textId="77777777" w:rsidR="00A92EB8" w:rsidRPr="005869CA" w:rsidRDefault="00A92EB8">
            <w:pPr>
              <w:rPr>
                <w:sz w:val="20"/>
                <w:szCs w:val="20"/>
                <w:lang w:val="en-US"/>
              </w:rPr>
            </w:pPr>
          </w:p>
        </w:tc>
        <w:tc>
          <w:tcPr>
            <w:tcW w:w="775" w:type="dxa"/>
          </w:tcPr>
          <w:p w14:paraId="000002A6" w14:textId="77777777" w:rsidR="00A92EB8" w:rsidRPr="005869CA" w:rsidRDefault="00A92EB8">
            <w:pPr>
              <w:rPr>
                <w:sz w:val="20"/>
                <w:szCs w:val="20"/>
                <w:lang w:val="en-US"/>
              </w:rPr>
            </w:pPr>
          </w:p>
        </w:tc>
        <w:tc>
          <w:tcPr>
            <w:tcW w:w="775" w:type="dxa"/>
          </w:tcPr>
          <w:p w14:paraId="000002A7" w14:textId="77777777" w:rsidR="00A92EB8" w:rsidRPr="005869CA" w:rsidRDefault="00A92EB8">
            <w:pPr>
              <w:rPr>
                <w:sz w:val="20"/>
                <w:szCs w:val="20"/>
                <w:lang w:val="en-US"/>
              </w:rPr>
            </w:pPr>
          </w:p>
        </w:tc>
        <w:tc>
          <w:tcPr>
            <w:tcW w:w="775" w:type="dxa"/>
          </w:tcPr>
          <w:p w14:paraId="000002A8" w14:textId="77777777" w:rsidR="00A92EB8" w:rsidRPr="005869CA" w:rsidRDefault="00A92EB8">
            <w:pPr>
              <w:rPr>
                <w:sz w:val="20"/>
                <w:szCs w:val="20"/>
                <w:lang w:val="en-US"/>
              </w:rPr>
            </w:pPr>
          </w:p>
        </w:tc>
        <w:tc>
          <w:tcPr>
            <w:tcW w:w="775" w:type="dxa"/>
          </w:tcPr>
          <w:p w14:paraId="000002A9" w14:textId="77777777" w:rsidR="00A92EB8" w:rsidRPr="005869CA" w:rsidRDefault="00A92EB8">
            <w:pPr>
              <w:rPr>
                <w:sz w:val="20"/>
                <w:szCs w:val="20"/>
                <w:lang w:val="en-US"/>
              </w:rPr>
            </w:pPr>
          </w:p>
        </w:tc>
        <w:tc>
          <w:tcPr>
            <w:tcW w:w="775" w:type="dxa"/>
          </w:tcPr>
          <w:p w14:paraId="000002AA" w14:textId="77777777" w:rsidR="00A92EB8" w:rsidRPr="005869CA" w:rsidRDefault="00A92EB8">
            <w:pPr>
              <w:rPr>
                <w:sz w:val="20"/>
                <w:szCs w:val="20"/>
                <w:lang w:val="en-US"/>
              </w:rPr>
            </w:pPr>
          </w:p>
        </w:tc>
        <w:tc>
          <w:tcPr>
            <w:tcW w:w="775" w:type="dxa"/>
          </w:tcPr>
          <w:p w14:paraId="000002AB" w14:textId="77777777" w:rsidR="00A92EB8" w:rsidRPr="005869CA" w:rsidRDefault="00A92EB8">
            <w:pPr>
              <w:rPr>
                <w:sz w:val="20"/>
                <w:szCs w:val="20"/>
                <w:lang w:val="en-US"/>
              </w:rPr>
            </w:pPr>
          </w:p>
        </w:tc>
        <w:tc>
          <w:tcPr>
            <w:tcW w:w="1089" w:type="dxa"/>
          </w:tcPr>
          <w:p w14:paraId="000002AC" w14:textId="77777777" w:rsidR="00A92EB8" w:rsidRPr="005869CA" w:rsidRDefault="00A92EB8">
            <w:pPr>
              <w:rPr>
                <w:sz w:val="20"/>
                <w:szCs w:val="20"/>
                <w:lang w:val="en-US"/>
              </w:rPr>
            </w:pPr>
          </w:p>
        </w:tc>
      </w:tr>
      <w:tr w:rsidR="00A92EB8" w:rsidRPr="005869CA" w14:paraId="34B327B9" w14:textId="77777777" w:rsidTr="000C29D9">
        <w:tc>
          <w:tcPr>
            <w:tcW w:w="2324" w:type="dxa"/>
          </w:tcPr>
          <w:p w14:paraId="000002AD" w14:textId="77777777" w:rsidR="00A92EB8" w:rsidRPr="005869CA" w:rsidRDefault="00411C61">
            <w:pPr>
              <w:rPr>
                <w:sz w:val="20"/>
                <w:szCs w:val="20"/>
                <w:lang w:val="en-US"/>
              </w:rPr>
            </w:pPr>
            <w:r w:rsidRPr="005869CA">
              <w:rPr>
                <w:sz w:val="20"/>
                <w:szCs w:val="20"/>
                <w:lang w:val="en-US"/>
              </w:rPr>
              <w:t>Fearful</w:t>
            </w:r>
          </w:p>
        </w:tc>
        <w:tc>
          <w:tcPr>
            <w:tcW w:w="774" w:type="dxa"/>
          </w:tcPr>
          <w:p w14:paraId="000002AE" w14:textId="77777777" w:rsidR="00A92EB8" w:rsidRPr="005869CA" w:rsidRDefault="00411C61">
            <w:pPr>
              <w:rPr>
                <w:sz w:val="20"/>
                <w:szCs w:val="20"/>
                <w:lang w:val="en-US"/>
              </w:rPr>
            </w:pPr>
            <w:r w:rsidRPr="005869CA">
              <w:rPr>
                <w:sz w:val="20"/>
                <w:szCs w:val="20"/>
                <w:lang w:val="en-US"/>
              </w:rPr>
              <w:t>.14</w:t>
            </w:r>
          </w:p>
        </w:tc>
        <w:tc>
          <w:tcPr>
            <w:tcW w:w="775" w:type="dxa"/>
          </w:tcPr>
          <w:p w14:paraId="000002AF" w14:textId="77777777" w:rsidR="00A92EB8" w:rsidRPr="005869CA" w:rsidRDefault="00411C61">
            <w:pPr>
              <w:rPr>
                <w:sz w:val="20"/>
                <w:szCs w:val="20"/>
                <w:lang w:val="en-US"/>
              </w:rPr>
            </w:pPr>
            <w:r w:rsidRPr="005869CA">
              <w:rPr>
                <w:sz w:val="20"/>
                <w:szCs w:val="20"/>
                <w:lang w:val="en-US"/>
              </w:rPr>
              <w:t>.02</w:t>
            </w:r>
          </w:p>
        </w:tc>
        <w:tc>
          <w:tcPr>
            <w:tcW w:w="775" w:type="dxa"/>
          </w:tcPr>
          <w:p w14:paraId="000002B0" w14:textId="77777777" w:rsidR="00A92EB8" w:rsidRPr="005869CA" w:rsidRDefault="00411C61">
            <w:pPr>
              <w:rPr>
                <w:sz w:val="20"/>
                <w:szCs w:val="20"/>
                <w:lang w:val="en-US"/>
              </w:rPr>
            </w:pPr>
            <w:r w:rsidRPr="005869CA">
              <w:rPr>
                <w:sz w:val="20"/>
                <w:szCs w:val="20"/>
                <w:lang w:val="en-US"/>
              </w:rPr>
              <w:t>&lt; .001</w:t>
            </w:r>
          </w:p>
        </w:tc>
        <w:tc>
          <w:tcPr>
            <w:tcW w:w="775" w:type="dxa"/>
          </w:tcPr>
          <w:p w14:paraId="000002B1" w14:textId="77777777" w:rsidR="00A92EB8" w:rsidRPr="005869CA" w:rsidRDefault="00411C61">
            <w:pPr>
              <w:rPr>
                <w:sz w:val="20"/>
                <w:szCs w:val="20"/>
                <w:lang w:val="en-US"/>
              </w:rPr>
            </w:pPr>
            <w:r w:rsidRPr="005869CA">
              <w:rPr>
                <w:sz w:val="20"/>
                <w:szCs w:val="20"/>
                <w:lang w:val="en-US"/>
              </w:rPr>
              <w:t>.13</w:t>
            </w:r>
          </w:p>
        </w:tc>
        <w:tc>
          <w:tcPr>
            <w:tcW w:w="775" w:type="dxa"/>
          </w:tcPr>
          <w:p w14:paraId="000002B2" w14:textId="77777777" w:rsidR="00A92EB8" w:rsidRPr="005869CA" w:rsidRDefault="00411C61">
            <w:pPr>
              <w:rPr>
                <w:sz w:val="20"/>
                <w:szCs w:val="20"/>
                <w:lang w:val="en-US"/>
              </w:rPr>
            </w:pPr>
            <w:r w:rsidRPr="005869CA">
              <w:rPr>
                <w:sz w:val="20"/>
                <w:szCs w:val="20"/>
                <w:lang w:val="en-US"/>
              </w:rPr>
              <w:t>.02</w:t>
            </w:r>
          </w:p>
        </w:tc>
        <w:tc>
          <w:tcPr>
            <w:tcW w:w="775" w:type="dxa"/>
          </w:tcPr>
          <w:p w14:paraId="000002B3" w14:textId="77777777" w:rsidR="00A92EB8" w:rsidRPr="005869CA" w:rsidRDefault="00411C61">
            <w:pPr>
              <w:rPr>
                <w:sz w:val="20"/>
                <w:szCs w:val="20"/>
                <w:lang w:val="en-US"/>
              </w:rPr>
            </w:pPr>
            <w:r w:rsidRPr="005869CA">
              <w:rPr>
                <w:sz w:val="20"/>
                <w:szCs w:val="20"/>
                <w:lang w:val="en-US"/>
              </w:rPr>
              <w:t>&lt; .001</w:t>
            </w:r>
          </w:p>
        </w:tc>
        <w:tc>
          <w:tcPr>
            <w:tcW w:w="775" w:type="dxa"/>
          </w:tcPr>
          <w:p w14:paraId="000002B4" w14:textId="77777777" w:rsidR="00A92EB8" w:rsidRPr="005869CA" w:rsidRDefault="00411C61">
            <w:pPr>
              <w:rPr>
                <w:sz w:val="20"/>
                <w:szCs w:val="20"/>
                <w:lang w:val="en-US"/>
              </w:rPr>
            </w:pPr>
            <w:r w:rsidRPr="005869CA">
              <w:rPr>
                <w:sz w:val="20"/>
                <w:szCs w:val="20"/>
                <w:lang w:val="en-US"/>
              </w:rPr>
              <w:t>.21</w:t>
            </w:r>
          </w:p>
        </w:tc>
        <w:tc>
          <w:tcPr>
            <w:tcW w:w="775" w:type="dxa"/>
          </w:tcPr>
          <w:p w14:paraId="000002B5" w14:textId="77777777" w:rsidR="00A92EB8" w:rsidRPr="005869CA" w:rsidRDefault="00411C61">
            <w:pPr>
              <w:rPr>
                <w:sz w:val="20"/>
                <w:szCs w:val="20"/>
                <w:lang w:val="en-US"/>
              </w:rPr>
            </w:pPr>
            <w:r w:rsidRPr="005869CA">
              <w:rPr>
                <w:sz w:val="20"/>
                <w:szCs w:val="20"/>
                <w:lang w:val="en-US"/>
              </w:rPr>
              <w:t>.02</w:t>
            </w:r>
          </w:p>
        </w:tc>
        <w:tc>
          <w:tcPr>
            <w:tcW w:w="775" w:type="dxa"/>
          </w:tcPr>
          <w:p w14:paraId="000002B6" w14:textId="77777777" w:rsidR="00A92EB8" w:rsidRPr="005869CA" w:rsidRDefault="00411C61">
            <w:pPr>
              <w:rPr>
                <w:sz w:val="20"/>
                <w:szCs w:val="20"/>
                <w:lang w:val="en-US"/>
              </w:rPr>
            </w:pPr>
            <w:r w:rsidRPr="005869CA">
              <w:rPr>
                <w:sz w:val="20"/>
                <w:szCs w:val="20"/>
                <w:lang w:val="en-US"/>
              </w:rPr>
              <w:t>&lt; .001</w:t>
            </w:r>
          </w:p>
        </w:tc>
        <w:tc>
          <w:tcPr>
            <w:tcW w:w="775" w:type="dxa"/>
          </w:tcPr>
          <w:p w14:paraId="000002B7" w14:textId="77777777" w:rsidR="00A92EB8" w:rsidRPr="005869CA" w:rsidRDefault="00411C61">
            <w:pPr>
              <w:rPr>
                <w:sz w:val="20"/>
                <w:szCs w:val="20"/>
                <w:lang w:val="en-US"/>
              </w:rPr>
            </w:pPr>
            <w:r w:rsidRPr="005869CA">
              <w:rPr>
                <w:sz w:val="20"/>
                <w:szCs w:val="20"/>
                <w:lang w:val="en-US"/>
              </w:rPr>
              <w:t>.04</w:t>
            </w:r>
          </w:p>
        </w:tc>
        <w:tc>
          <w:tcPr>
            <w:tcW w:w="775" w:type="dxa"/>
          </w:tcPr>
          <w:p w14:paraId="000002B8" w14:textId="77777777" w:rsidR="00A92EB8" w:rsidRPr="005869CA" w:rsidRDefault="00411C61">
            <w:pPr>
              <w:rPr>
                <w:sz w:val="20"/>
                <w:szCs w:val="20"/>
                <w:lang w:val="en-US"/>
              </w:rPr>
            </w:pPr>
            <w:r w:rsidRPr="005869CA">
              <w:rPr>
                <w:sz w:val="20"/>
                <w:szCs w:val="20"/>
                <w:lang w:val="en-US"/>
              </w:rPr>
              <w:t>.01</w:t>
            </w:r>
          </w:p>
        </w:tc>
        <w:tc>
          <w:tcPr>
            <w:tcW w:w="1089" w:type="dxa"/>
          </w:tcPr>
          <w:p w14:paraId="000002B9" w14:textId="77777777" w:rsidR="00A92EB8" w:rsidRPr="005869CA" w:rsidRDefault="00411C61">
            <w:pPr>
              <w:rPr>
                <w:sz w:val="20"/>
                <w:szCs w:val="20"/>
                <w:lang w:val="en-US"/>
              </w:rPr>
            </w:pPr>
            <w:r w:rsidRPr="005869CA">
              <w:rPr>
                <w:sz w:val="20"/>
                <w:szCs w:val="20"/>
                <w:lang w:val="en-US"/>
              </w:rPr>
              <w:t>.001</w:t>
            </w:r>
          </w:p>
        </w:tc>
      </w:tr>
      <w:tr w:rsidR="00A92EB8" w:rsidRPr="005869CA" w14:paraId="5807A41F" w14:textId="77777777" w:rsidTr="000C29D9">
        <w:tc>
          <w:tcPr>
            <w:tcW w:w="2324" w:type="dxa"/>
          </w:tcPr>
          <w:p w14:paraId="000002BA" w14:textId="77777777" w:rsidR="00A92EB8" w:rsidRPr="005869CA" w:rsidRDefault="00411C61">
            <w:pPr>
              <w:rPr>
                <w:sz w:val="20"/>
                <w:szCs w:val="20"/>
                <w:lang w:val="en-US"/>
              </w:rPr>
            </w:pPr>
            <w:r w:rsidRPr="005869CA">
              <w:rPr>
                <w:sz w:val="20"/>
                <w:szCs w:val="20"/>
                <w:lang w:val="en-US"/>
              </w:rPr>
              <w:t>Anxious</w:t>
            </w:r>
          </w:p>
        </w:tc>
        <w:tc>
          <w:tcPr>
            <w:tcW w:w="774" w:type="dxa"/>
          </w:tcPr>
          <w:p w14:paraId="000002BB" w14:textId="77777777" w:rsidR="00A92EB8" w:rsidRPr="005869CA" w:rsidRDefault="00411C61">
            <w:pPr>
              <w:rPr>
                <w:sz w:val="20"/>
                <w:szCs w:val="20"/>
                <w:lang w:val="en-US"/>
              </w:rPr>
            </w:pPr>
            <w:r w:rsidRPr="005869CA">
              <w:rPr>
                <w:sz w:val="20"/>
                <w:szCs w:val="20"/>
                <w:lang w:val="en-US"/>
              </w:rPr>
              <w:t>.14</w:t>
            </w:r>
          </w:p>
        </w:tc>
        <w:tc>
          <w:tcPr>
            <w:tcW w:w="775" w:type="dxa"/>
          </w:tcPr>
          <w:p w14:paraId="000002BC" w14:textId="77777777" w:rsidR="00A92EB8" w:rsidRPr="005869CA" w:rsidRDefault="00411C61">
            <w:pPr>
              <w:rPr>
                <w:sz w:val="20"/>
                <w:szCs w:val="20"/>
                <w:lang w:val="en-US"/>
              </w:rPr>
            </w:pPr>
            <w:r w:rsidRPr="005869CA">
              <w:rPr>
                <w:sz w:val="20"/>
                <w:szCs w:val="20"/>
                <w:lang w:val="en-US"/>
              </w:rPr>
              <w:t>.02</w:t>
            </w:r>
          </w:p>
        </w:tc>
        <w:tc>
          <w:tcPr>
            <w:tcW w:w="775" w:type="dxa"/>
          </w:tcPr>
          <w:p w14:paraId="000002BD" w14:textId="77777777" w:rsidR="00A92EB8" w:rsidRPr="005869CA" w:rsidRDefault="00411C61">
            <w:pPr>
              <w:rPr>
                <w:sz w:val="20"/>
                <w:szCs w:val="20"/>
                <w:lang w:val="en-US"/>
              </w:rPr>
            </w:pPr>
            <w:r w:rsidRPr="005869CA">
              <w:rPr>
                <w:sz w:val="20"/>
                <w:szCs w:val="20"/>
                <w:lang w:val="en-US"/>
              </w:rPr>
              <w:t>&lt; .001</w:t>
            </w:r>
          </w:p>
        </w:tc>
        <w:tc>
          <w:tcPr>
            <w:tcW w:w="775" w:type="dxa"/>
          </w:tcPr>
          <w:p w14:paraId="000002BE" w14:textId="77777777" w:rsidR="00A92EB8" w:rsidRPr="005869CA" w:rsidRDefault="00411C61">
            <w:pPr>
              <w:rPr>
                <w:sz w:val="20"/>
                <w:szCs w:val="20"/>
                <w:lang w:val="en-US"/>
              </w:rPr>
            </w:pPr>
            <w:r w:rsidRPr="005869CA">
              <w:rPr>
                <w:sz w:val="20"/>
                <w:szCs w:val="20"/>
                <w:lang w:val="en-US"/>
              </w:rPr>
              <w:t>.12</w:t>
            </w:r>
          </w:p>
        </w:tc>
        <w:tc>
          <w:tcPr>
            <w:tcW w:w="775" w:type="dxa"/>
          </w:tcPr>
          <w:p w14:paraId="000002BF" w14:textId="77777777" w:rsidR="00A92EB8" w:rsidRPr="005869CA" w:rsidRDefault="00411C61">
            <w:pPr>
              <w:rPr>
                <w:sz w:val="20"/>
                <w:szCs w:val="20"/>
                <w:lang w:val="en-US"/>
              </w:rPr>
            </w:pPr>
            <w:r w:rsidRPr="005869CA">
              <w:rPr>
                <w:sz w:val="20"/>
                <w:szCs w:val="20"/>
                <w:lang w:val="en-US"/>
              </w:rPr>
              <w:t>.02</w:t>
            </w:r>
          </w:p>
        </w:tc>
        <w:tc>
          <w:tcPr>
            <w:tcW w:w="775" w:type="dxa"/>
          </w:tcPr>
          <w:p w14:paraId="000002C0" w14:textId="77777777" w:rsidR="00A92EB8" w:rsidRPr="005869CA" w:rsidRDefault="00411C61">
            <w:pPr>
              <w:rPr>
                <w:sz w:val="20"/>
                <w:szCs w:val="20"/>
                <w:lang w:val="en-US"/>
              </w:rPr>
            </w:pPr>
            <w:r w:rsidRPr="005869CA">
              <w:rPr>
                <w:sz w:val="20"/>
                <w:szCs w:val="20"/>
                <w:lang w:val="en-US"/>
              </w:rPr>
              <w:t>&lt; .001</w:t>
            </w:r>
          </w:p>
        </w:tc>
        <w:tc>
          <w:tcPr>
            <w:tcW w:w="775" w:type="dxa"/>
          </w:tcPr>
          <w:p w14:paraId="000002C1" w14:textId="77777777" w:rsidR="00A92EB8" w:rsidRPr="005869CA" w:rsidRDefault="00411C61">
            <w:pPr>
              <w:rPr>
                <w:sz w:val="20"/>
                <w:szCs w:val="20"/>
                <w:lang w:val="en-US"/>
              </w:rPr>
            </w:pPr>
            <w:r w:rsidRPr="005869CA">
              <w:rPr>
                <w:sz w:val="20"/>
                <w:szCs w:val="20"/>
                <w:lang w:val="en-US"/>
              </w:rPr>
              <w:t>.19</w:t>
            </w:r>
          </w:p>
        </w:tc>
        <w:tc>
          <w:tcPr>
            <w:tcW w:w="775" w:type="dxa"/>
          </w:tcPr>
          <w:p w14:paraId="000002C2" w14:textId="77777777" w:rsidR="00A92EB8" w:rsidRPr="005869CA" w:rsidRDefault="00411C61">
            <w:pPr>
              <w:rPr>
                <w:sz w:val="20"/>
                <w:szCs w:val="20"/>
                <w:lang w:val="en-US"/>
              </w:rPr>
            </w:pPr>
            <w:r w:rsidRPr="005869CA">
              <w:rPr>
                <w:sz w:val="20"/>
                <w:szCs w:val="20"/>
                <w:lang w:val="en-US"/>
              </w:rPr>
              <w:t>.02</w:t>
            </w:r>
          </w:p>
        </w:tc>
        <w:tc>
          <w:tcPr>
            <w:tcW w:w="775" w:type="dxa"/>
          </w:tcPr>
          <w:p w14:paraId="000002C3" w14:textId="77777777" w:rsidR="00A92EB8" w:rsidRPr="005869CA" w:rsidRDefault="00411C61">
            <w:pPr>
              <w:rPr>
                <w:sz w:val="20"/>
                <w:szCs w:val="20"/>
                <w:lang w:val="en-US"/>
              </w:rPr>
            </w:pPr>
            <w:r w:rsidRPr="005869CA">
              <w:rPr>
                <w:sz w:val="20"/>
                <w:szCs w:val="20"/>
                <w:lang w:val="en-US"/>
              </w:rPr>
              <w:t>&lt; .001</w:t>
            </w:r>
          </w:p>
        </w:tc>
        <w:tc>
          <w:tcPr>
            <w:tcW w:w="775" w:type="dxa"/>
          </w:tcPr>
          <w:p w14:paraId="000002C4" w14:textId="77777777" w:rsidR="00A92EB8" w:rsidRPr="005869CA" w:rsidRDefault="00411C61">
            <w:pPr>
              <w:rPr>
                <w:sz w:val="20"/>
                <w:szCs w:val="20"/>
                <w:lang w:val="en-US"/>
              </w:rPr>
            </w:pPr>
            <w:r w:rsidRPr="005869CA">
              <w:rPr>
                <w:sz w:val="20"/>
                <w:szCs w:val="20"/>
                <w:lang w:val="en-US"/>
              </w:rPr>
              <w:t>.05</w:t>
            </w:r>
          </w:p>
        </w:tc>
        <w:tc>
          <w:tcPr>
            <w:tcW w:w="775" w:type="dxa"/>
          </w:tcPr>
          <w:p w14:paraId="000002C5" w14:textId="77777777" w:rsidR="00A92EB8" w:rsidRPr="005869CA" w:rsidRDefault="00411C61">
            <w:pPr>
              <w:rPr>
                <w:sz w:val="20"/>
                <w:szCs w:val="20"/>
                <w:lang w:val="en-US"/>
              </w:rPr>
            </w:pPr>
            <w:r w:rsidRPr="005869CA">
              <w:rPr>
                <w:sz w:val="20"/>
                <w:szCs w:val="20"/>
                <w:lang w:val="en-US"/>
              </w:rPr>
              <w:t>.01</w:t>
            </w:r>
          </w:p>
        </w:tc>
        <w:tc>
          <w:tcPr>
            <w:tcW w:w="1089" w:type="dxa"/>
          </w:tcPr>
          <w:p w14:paraId="000002C6" w14:textId="77777777" w:rsidR="00A92EB8" w:rsidRPr="005869CA" w:rsidRDefault="00411C61">
            <w:pPr>
              <w:rPr>
                <w:sz w:val="20"/>
                <w:szCs w:val="20"/>
                <w:lang w:val="en-US"/>
              </w:rPr>
            </w:pPr>
            <w:r w:rsidRPr="005869CA">
              <w:rPr>
                <w:sz w:val="20"/>
                <w:szCs w:val="20"/>
                <w:lang w:val="en-US"/>
              </w:rPr>
              <w:t>.005</w:t>
            </w:r>
          </w:p>
        </w:tc>
      </w:tr>
      <w:tr w:rsidR="00A92EB8" w:rsidRPr="005869CA" w14:paraId="383010C7" w14:textId="77777777" w:rsidTr="000C29D9">
        <w:tc>
          <w:tcPr>
            <w:tcW w:w="2324" w:type="dxa"/>
          </w:tcPr>
          <w:p w14:paraId="000002C7" w14:textId="77777777" w:rsidR="00A92EB8" w:rsidRPr="005869CA" w:rsidRDefault="00411C61">
            <w:pPr>
              <w:rPr>
                <w:sz w:val="20"/>
                <w:szCs w:val="20"/>
                <w:lang w:val="en-US"/>
              </w:rPr>
            </w:pPr>
            <w:r w:rsidRPr="005869CA">
              <w:rPr>
                <w:sz w:val="20"/>
                <w:szCs w:val="20"/>
                <w:lang w:val="en-US"/>
              </w:rPr>
              <w:t>Avoidant</w:t>
            </w:r>
          </w:p>
        </w:tc>
        <w:tc>
          <w:tcPr>
            <w:tcW w:w="774" w:type="dxa"/>
          </w:tcPr>
          <w:p w14:paraId="000002C8" w14:textId="77777777" w:rsidR="00A92EB8" w:rsidRPr="005869CA" w:rsidRDefault="00411C61">
            <w:pPr>
              <w:rPr>
                <w:sz w:val="20"/>
                <w:szCs w:val="20"/>
                <w:lang w:val="en-US"/>
              </w:rPr>
            </w:pPr>
            <w:r w:rsidRPr="005869CA">
              <w:rPr>
                <w:sz w:val="20"/>
                <w:szCs w:val="20"/>
                <w:lang w:val="en-US"/>
              </w:rPr>
              <w:t>.01</w:t>
            </w:r>
          </w:p>
        </w:tc>
        <w:tc>
          <w:tcPr>
            <w:tcW w:w="775" w:type="dxa"/>
          </w:tcPr>
          <w:p w14:paraId="000002C9" w14:textId="77777777" w:rsidR="00A92EB8" w:rsidRPr="005869CA" w:rsidRDefault="00411C61">
            <w:pPr>
              <w:rPr>
                <w:sz w:val="20"/>
                <w:szCs w:val="20"/>
                <w:lang w:val="en-US"/>
              </w:rPr>
            </w:pPr>
            <w:r w:rsidRPr="005869CA">
              <w:rPr>
                <w:sz w:val="20"/>
                <w:szCs w:val="20"/>
                <w:lang w:val="en-US"/>
              </w:rPr>
              <w:t>.02</w:t>
            </w:r>
          </w:p>
        </w:tc>
        <w:tc>
          <w:tcPr>
            <w:tcW w:w="775" w:type="dxa"/>
          </w:tcPr>
          <w:p w14:paraId="000002CA" w14:textId="77777777" w:rsidR="00A92EB8" w:rsidRPr="005869CA" w:rsidRDefault="00411C61">
            <w:pPr>
              <w:rPr>
                <w:sz w:val="20"/>
                <w:szCs w:val="20"/>
                <w:lang w:val="en-US"/>
              </w:rPr>
            </w:pPr>
            <w:r w:rsidRPr="005869CA">
              <w:rPr>
                <w:sz w:val="20"/>
                <w:szCs w:val="20"/>
                <w:lang w:val="en-US"/>
              </w:rPr>
              <w:t>.541</w:t>
            </w:r>
          </w:p>
        </w:tc>
        <w:tc>
          <w:tcPr>
            <w:tcW w:w="775" w:type="dxa"/>
          </w:tcPr>
          <w:p w14:paraId="000002CB" w14:textId="77777777" w:rsidR="00A92EB8" w:rsidRPr="005869CA" w:rsidRDefault="00411C61">
            <w:pPr>
              <w:rPr>
                <w:sz w:val="20"/>
                <w:szCs w:val="20"/>
                <w:lang w:val="en-US"/>
              </w:rPr>
            </w:pPr>
            <w:r w:rsidRPr="005869CA">
              <w:rPr>
                <w:sz w:val="20"/>
                <w:szCs w:val="20"/>
                <w:lang w:val="en-US"/>
              </w:rPr>
              <w:t>.01</w:t>
            </w:r>
          </w:p>
        </w:tc>
        <w:tc>
          <w:tcPr>
            <w:tcW w:w="775" w:type="dxa"/>
          </w:tcPr>
          <w:p w14:paraId="000002CC" w14:textId="77777777" w:rsidR="00A92EB8" w:rsidRPr="005869CA" w:rsidRDefault="00411C61">
            <w:pPr>
              <w:rPr>
                <w:sz w:val="20"/>
                <w:szCs w:val="20"/>
                <w:lang w:val="en-US"/>
              </w:rPr>
            </w:pPr>
            <w:r w:rsidRPr="005869CA">
              <w:rPr>
                <w:sz w:val="20"/>
                <w:szCs w:val="20"/>
                <w:lang w:val="en-US"/>
              </w:rPr>
              <w:t>.01</w:t>
            </w:r>
          </w:p>
        </w:tc>
        <w:tc>
          <w:tcPr>
            <w:tcW w:w="775" w:type="dxa"/>
          </w:tcPr>
          <w:p w14:paraId="000002CD" w14:textId="77777777" w:rsidR="00A92EB8" w:rsidRPr="005869CA" w:rsidRDefault="00411C61">
            <w:pPr>
              <w:rPr>
                <w:sz w:val="20"/>
                <w:szCs w:val="20"/>
                <w:lang w:val="en-US"/>
              </w:rPr>
            </w:pPr>
            <w:r w:rsidRPr="005869CA">
              <w:rPr>
                <w:sz w:val="20"/>
                <w:szCs w:val="20"/>
                <w:lang w:val="en-US"/>
              </w:rPr>
              <w:t>.306</w:t>
            </w:r>
          </w:p>
        </w:tc>
        <w:tc>
          <w:tcPr>
            <w:tcW w:w="775" w:type="dxa"/>
          </w:tcPr>
          <w:p w14:paraId="000002CE" w14:textId="77777777" w:rsidR="00A92EB8" w:rsidRPr="005869CA" w:rsidRDefault="00411C61">
            <w:pPr>
              <w:rPr>
                <w:sz w:val="20"/>
                <w:szCs w:val="20"/>
                <w:lang w:val="en-US"/>
              </w:rPr>
            </w:pPr>
            <w:r w:rsidRPr="005869CA">
              <w:rPr>
                <w:sz w:val="20"/>
                <w:szCs w:val="20"/>
                <w:lang w:val="en-US"/>
              </w:rPr>
              <w:t>.04</w:t>
            </w:r>
          </w:p>
        </w:tc>
        <w:tc>
          <w:tcPr>
            <w:tcW w:w="775" w:type="dxa"/>
          </w:tcPr>
          <w:p w14:paraId="000002CF" w14:textId="77777777" w:rsidR="00A92EB8" w:rsidRPr="005869CA" w:rsidRDefault="00411C61">
            <w:pPr>
              <w:rPr>
                <w:sz w:val="20"/>
                <w:szCs w:val="20"/>
                <w:lang w:val="en-US"/>
              </w:rPr>
            </w:pPr>
            <w:r w:rsidRPr="005869CA">
              <w:rPr>
                <w:sz w:val="20"/>
                <w:szCs w:val="20"/>
                <w:lang w:val="en-US"/>
              </w:rPr>
              <w:t>.02</w:t>
            </w:r>
          </w:p>
        </w:tc>
        <w:tc>
          <w:tcPr>
            <w:tcW w:w="775" w:type="dxa"/>
          </w:tcPr>
          <w:p w14:paraId="000002D0" w14:textId="77777777" w:rsidR="00A92EB8" w:rsidRPr="005869CA" w:rsidRDefault="00411C61">
            <w:pPr>
              <w:rPr>
                <w:sz w:val="20"/>
                <w:szCs w:val="20"/>
                <w:lang w:val="en-US"/>
              </w:rPr>
            </w:pPr>
            <w:r w:rsidRPr="005869CA">
              <w:rPr>
                <w:sz w:val="20"/>
                <w:szCs w:val="20"/>
                <w:lang w:val="en-US"/>
              </w:rPr>
              <w:t>.040</w:t>
            </w:r>
          </w:p>
        </w:tc>
        <w:tc>
          <w:tcPr>
            <w:tcW w:w="775" w:type="dxa"/>
          </w:tcPr>
          <w:p w14:paraId="000002D1" w14:textId="77777777" w:rsidR="00A92EB8" w:rsidRPr="005869CA" w:rsidRDefault="00411C61">
            <w:pPr>
              <w:rPr>
                <w:sz w:val="20"/>
                <w:szCs w:val="20"/>
                <w:lang w:val="en-US"/>
              </w:rPr>
            </w:pPr>
            <w:r w:rsidRPr="005869CA">
              <w:rPr>
                <w:sz w:val="20"/>
                <w:szCs w:val="20"/>
                <w:lang w:val="en-US"/>
              </w:rPr>
              <w:t>-.03</w:t>
            </w:r>
          </w:p>
        </w:tc>
        <w:tc>
          <w:tcPr>
            <w:tcW w:w="775" w:type="dxa"/>
          </w:tcPr>
          <w:p w14:paraId="000002D2" w14:textId="77777777" w:rsidR="00A92EB8" w:rsidRPr="005869CA" w:rsidRDefault="00411C61">
            <w:pPr>
              <w:rPr>
                <w:sz w:val="20"/>
                <w:szCs w:val="20"/>
                <w:lang w:val="en-US"/>
              </w:rPr>
            </w:pPr>
            <w:r w:rsidRPr="005869CA">
              <w:rPr>
                <w:sz w:val="20"/>
                <w:szCs w:val="20"/>
                <w:lang w:val="en-US"/>
              </w:rPr>
              <w:t>.01</w:t>
            </w:r>
          </w:p>
        </w:tc>
        <w:tc>
          <w:tcPr>
            <w:tcW w:w="1089" w:type="dxa"/>
          </w:tcPr>
          <w:p w14:paraId="000002D3" w14:textId="77777777" w:rsidR="00A92EB8" w:rsidRPr="005869CA" w:rsidRDefault="00411C61">
            <w:pPr>
              <w:rPr>
                <w:sz w:val="20"/>
                <w:szCs w:val="20"/>
                <w:lang w:val="en-US"/>
              </w:rPr>
            </w:pPr>
            <w:r w:rsidRPr="005869CA">
              <w:rPr>
                <w:sz w:val="20"/>
                <w:szCs w:val="20"/>
                <w:lang w:val="en-US"/>
              </w:rPr>
              <w:t>&lt; .001</w:t>
            </w:r>
          </w:p>
        </w:tc>
      </w:tr>
      <w:tr w:rsidR="00A92EB8" w:rsidRPr="005869CA" w14:paraId="27008221" w14:textId="77777777" w:rsidTr="000C29D9">
        <w:tc>
          <w:tcPr>
            <w:tcW w:w="2324" w:type="dxa"/>
          </w:tcPr>
          <w:p w14:paraId="000002D4" w14:textId="77777777" w:rsidR="00A92EB8" w:rsidRPr="005869CA" w:rsidRDefault="00411C61">
            <w:pPr>
              <w:rPr>
                <w:i/>
                <w:sz w:val="20"/>
                <w:szCs w:val="20"/>
                <w:lang w:val="en-US"/>
              </w:rPr>
            </w:pPr>
            <w:r w:rsidRPr="005869CA">
              <w:rPr>
                <w:i/>
                <w:sz w:val="20"/>
                <w:szCs w:val="20"/>
                <w:lang w:val="en-US"/>
              </w:rPr>
              <w:t>TL estimates</w:t>
            </w:r>
          </w:p>
        </w:tc>
        <w:tc>
          <w:tcPr>
            <w:tcW w:w="774" w:type="dxa"/>
          </w:tcPr>
          <w:p w14:paraId="000002D5" w14:textId="77777777" w:rsidR="00A92EB8" w:rsidRPr="005869CA" w:rsidRDefault="00A92EB8">
            <w:pPr>
              <w:rPr>
                <w:sz w:val="20"/>
                <w:szCs w:val="20"/>
                <w:lang w:val="en-US"/>
              </w:rPr>
            </w:pPr>
          </w:p>
        </w:tc>
        <w:tc>
          <w:tcPr>
            <w:tcW w:w="775" w:type="dxa"/>
          </w:tcPr>
          <w:p w14:paraId="000002D6" w14:textId="77777777" w:rsidR="00A92EB8" w:rsidRPr="005869CA" w:rsidRDefault="00A92EB8">
            <w:pPr>
              <w:rPr>
                <w:sz w:val="20"/>
                <w:szCs w:val="20"/>
                <w:lang w:val="en-US"/>
              </w:rPr>
            </w:pPr>
          </w:p>
        </w:tc>
        <w:tc>
          <w:tcPr>
            <w:tcW w:w="775" w:type="dxa"/>
          </w:tcPr>
          <w:p w14:paraId="000002D7" w14:textId="77777777" w:rsidR="00A92EB8" w:rsidRPr="005869CA" w:rsidRDefault="00A92EB8">
            <w:pPr>
              <w:rPr>
                <w:sz w:val="20"/>
                <w:szCs w:val="20"/>
                <w:lang w:val="en-US"/>
              </w:rPr>
            </w:pPr>
          </w:p>
        </w:tc>
        <w:tc>
          <w:tcPr>
            <w:tcW w:w="775" w:type="dxa"/>
          </w:tcPr>
          <w:p w14:paraId="000002D8" w14:textId="77777777" w:rsidR="00A92EB8" w:rsidRPr="005869CA" w:rsidRDefault="00A92EB8">
            <w:pPr>
              <w:rPr>
                <w:sz w:val="20"/>
                <w:szCs w:val="20"/>
                <w:lang w:val="en-US"/>
              </w:rPr>
            </w:pPr>
          </w:p>
        </w:tc>
        <w:tc>
          <w:tcPr>
            <w:tcW w:w="775" w:type="dxa"/>
          </w:tcPr>
          <w:p w14:paraId="000002D9" w14:textId="77777777" w:rsidR="00A92EB8" w:rsidRPr="005869CA" w:rsidRDefault="00A92EB8">
            <w:pPr>
              <w:rPr>
                <w:sz w:val="20"/>
                <w:szCs w:val="20"/>
                <w:lang w:val="en-US"/>
              </w:rPr>
            </w:pPr>
          </w:p>
        </w:tc>
        <w:tc>
          <w:tcPr>
            <w:tcW w:w="775" w:type="dxa"/>
          </w:tcPr>
          <w:p w14:paraId="000002DA" w14:textId="77777777" w:rsidR="00A92EB8" w:rsidRPr="005869CA" w:rsidRDefault="00A92EB8">
            <w:pPr>
              <w:rPr>
                <w:sz w:val="20"/>
                <w:szCs w:val="20"/>
                <w:lang w:val="en-US"/>
              </w:rPr>
            </w:pPr>
          </w:p>
        </w:tc>
        <w:tc>
          <w:tcPr>
            <w:tcW w:w="775" w:type="dxa"/>
          </w:tcPr>
          <w:p w14:paraId="000002DB" w14:textId="77777777" w:rsidR="00A92EB8" w:rsidRPr="005869CA" w:rsidRDefault="00A92EB8">
            <w:pPr>
              <w:rPr>
                <w:sz w:val="20"/>
                <w:szCs w:val="20"/>
                <w:lang w:val="en-US"/>
              </w:rPr>
            </w:pPr>
          </w:p>
        </w:tc>
        <w:tc>
          <w:tcPr>
            <w:tcW w:w="775" w:type="dxa"/>
          </w:tcPr>
          <w:p w14:paraId="000002DC" w14:textId="77777777" w:rsidR="00A92EB8" w:rsidRPr="005869CA" w:rsidRDefault="00A92EB8">
            <w:pPr>
              <w:rPr>
                <w:sz w:val="20"/>
                <w:szCs w:val="20"/>
                <w:lang w:val="en-US"/>
              </w:rPr>
            </w:pPr>
          </w:p>
        </w:tc>
        <w:tc>
          <w:tcPr>
            <w:tcW w:w="775" w:type="dxa"/>
          </w:tcPr>
          <w:p w14:paraId="000002DD" w14:textId="77777777" w:rsidR="00A92EB8" w:rsidRPr="005869CA" w:rsidRDefault="00A92EB8">
            <w:pPr>
              <w:rPr>
                <w:sz w:val="20"/>
                <w:szCs w:val="20"/>
                <w:lang w:val="en-US"/>
              </w:rPr>
            </w:pPr>
          </w:p>
        </w:tc>
        <w:tc>
          <w:tcPr>
            <w:tcW w:w="775" w:type="dxa"/>
          </w:tcPr>
          <w:p w14:paraId="000002DE" w14:textId="77777777" w:rsidR="00A92EB8" w:rsidRPr="005869CA" w:rsidRDefault="00A92EB8">
            <w:pPr>
              <w:rPr>
                <w:sz w:val="20"/>
                <w:szCs w:val="20"/>
                <w:lang w:val="en-US"/>
              </w:rPr>
            </w:pPr>
          </w:p>
        </w:tc>
        <w:tc>
          <w:tcPr>
            <w:tcW w:w="775" w:type="dxa"/>
          </w:tcPr>
          <w:p w14:paraId="000002DF" w14:textId="77777777" w:rsidR="00A92EB8" w:rsidRPr="005869CA" w:rsidRDefault="00A92EB8">
            <w:pPr>
              <w:rPr>
                <w:sz w:val="20"/>
                <w:szCs w:val="20"/>
                <w:lang w:val="en-US"/>
              </w:rPr>
            </w:pPr>
          </w:p>
        </w:tc>
        <w:tc>
          <w:tcPr>
            <w:tcW w:w="1089" w:type="dxa"/>
          </w:tcPr>
          <w:p w14:paraId="000002E0" w14:textId="77777777" w:rsidR="00A92EB8" w:rsidRPr="005869CA" w:rsidRDefault="00A92EB8">
            <w:pPr>
              <w:rPr>
                <w:sz w:val="20"/>
                <w:szCs w:val="20"/>
                <w:lang w:val="en-US"/>
              </w:rPr>
            </w:pPr>
          </w:p>
        </w:tc>
      </w:tr>
      <w:tr w:rsidR="00A92EB8" w:rsidRPr="005869CA" w14:paraId="598CEBAD" w14:textId="77777777" w:rsidTr="000C29D9">
        <w:tc>
          <w:tcPr>
            <w:tcW w:w="2324" w:type="dxa"/>
          </w:tcPr>
          <w:p w14:paraId="000002E1" w14:textId="77777777" w:rsidR="00A92EB8" w:rsidRPr="005869CA" w:rsidRDefault="00411C61">
            <w:pPr>
              <w:rPr>
                <w:sz w:val="20"/>
                <w:szCs w:val="20"/>
                <w:lang w:val="en-US"/>
              </w:rPr>
            </w:pPr>
            <w:r w:rsidRPr="005869CA">
              <w:rPr>
                <w:sz w:val="20"/>
                <w:szCs w:val="20"/>
                <w:lang w:val="en-US"/>
              </w:rPr>
              <w:t>Fearful</w:t>
            </w:r>
          </w:p>
        </w:tc>
        <w:tc>
          <w:tcPr>
            <w:tcW w:w="774" w:type="dxa"/>
          </w:tcPr>
          <w:p w14:paraId="000002E2" w14:textId="77777777" w:rsidR="00A92EB8" w:rsidRPr="005869CA" w:rsidRDefault="00411C61">
            <w:pPr>
              <w:rPr>
                <w:sz w:val="20"/>
                <w:szCs w:val="20"/>
                <w:lang w:val="en-US"/>
              </w:rPr>
            </w:pPr>
            <w:r w:rsidRPr="005869CA">
              <w:rPr>
                <w:sz w:val="20"/>
                <w:szCs w:val="20"/>
                <w:lang w:val="en-US"/>
              </w:rPr>
              <w:t>.06</w:t>
            </w:r>
          </w:p>
        </w:tc>
        <w:tc>
          <w:tcPr>
            <w:tcW w:w="775" w:type="dxa"/>
          </w:tcPr>
          <w:p w14:paraId="000002E3" w14:textId="77777777" w:rsidR="00A92EB8" w:rsidRPr="005869CA" w:rsidRDefault="00411C61">
            <w:pPr>
              <w:rPr>
                <w:sz w:val="20"/>
                <w:szCs w:val="20"/>
                <w:lang w:val="en-US"/>
              </w:rPr>
            </w:pPr>
            <w:r w:rsidRPr="005869CA">
              <w:rPr>
                <w:sz w:val="20"/>
                <w:szCs w:val="20"/>
                <w:lang w:val="en-US"/>
              </w:rPr>
              <w:t>.01</w:t>
            </w:r>
          </w:p>
        </w:tc>
        <w:tc>
          <w:tcPr>
            <w:tcW w:w="775" w:type="dxa"/>
          </w:tcPr>
          <w:p w14:paraId="000002E4" w14:textId="77777777" w:rsidR="00A92EB8" w:rsidRPr="005869CA" w:rsidRDefault="00411C61">
            <w:pPr>
              <w:rPr>
                <w:sz w:val="20"/>
                <w:szCs w:val="20"/>
                <w:lang w:val="en-US"/>
              </w:rPr>
            </w:pPr>
            <w:r w:rsidRPr="005869CA">
              <w:rPr>
                <w:sz w:val="20"/>
                <w:szCs w:val="20"/>
                <w:lang w:val="en-US"/>
              </w:rPr>
              <w:t>&lt; .001</w:t>
            </w:r>
          </w:p>
        </w:tc>
        <w:tc>
          <w:tcPr>
            <w:tcW w:w="775" w:type="dxa"/>
          </w:tcPr>
          <w:p w14:paraId="000002E5" w14:textId="77777777" w:rsidR="00A92EB8" w:rsidRPr="005869CA" w:rsidRDefault="00411C61">
            <w:pPr>
              <w:rPr>
                <w:sz w:val="20"/>
                <w:szCs w:val="20"/>
                <w:lang w:val="en-US"/>
              </w:rPr>
            </w:pPr>
            <w:r w:rsidRPr="005869CA">
              <w:rPr>
                <w:sz w:val="20"/>
                <w:szCs w:val="20"/>
                <w:lang w:val="en-US"/>
              </w:rPr>
              <w:t>.05</w:t>
            </w:r>
          </w:p>
        </w:tc>
        <w:tc>
          <w:tcPr>
            <w:tcW w:w="775" w:type="dxa"/>
          </w:tcPr>
          <w:p w14:paraId="000002E6" w14:textId="77777777" w:rsidR="00A92EB8" w:rsidRPr="005869CA" w:rsidRDefault="00411C61">
            <w:pPr>
              <w:rPr>
                <w:sz w:val="20"/>
                <w:szCs w:val="20"/>
                <w:lang w:val="en-US"/>
              </w:rPr>
            </w:pPr>
            <w:r w:rsidRPr="005869CA">
              <w:rPr>
                <w:sz w:val="20"/>
                <w:szCs w:val="20"/>
                <w:lang w:val="en-US"/>
              </w:rPr>
              <w:t>.01</w:t>
            </w:r>
          </w:p>
        </w:tc>
        <w:tc>
          <w:tcPr>
            <w:tcW w:w="775" w:type="dxa"/>
          </w:tcPr>
          <w:p w14:paraId="000002E7" w14:textId="77777777" w:rsidR="00A92EB8" w:rsidRPr="005869CA" w:rsidRDefault="00411C61">
            <w:pPr>
              <w:rPr>
                <w:sz w:val="20"/>
                <w:szCs w:val="20"/>
                <w:lang w:val="en-US"/>
              </w:rPr>
            </w:pPr>
            <w:r w:rsidRPr="005869CA">
              <w:rPr>
                <w:sz w:val="20"/>
                <w:szCs w:val="20"/>
                <w:lang w:val="en-US"/>
              </w:rPr>
              <w:t>&lt; .001</w:t>
            </w:r>
          </w:p>
        </w:tc>
        <w:tc>
          <w:tcPr>
            <w:tcW w:w="775" w:type="dxa"/>
          </w:tcPr>
          <w:p w14:paraId="000002E8" w14:textId="77777777" w:rsidR="00A92EB8" w:rsidRPr="005869CA" w:rsidRDefault="00411C61">
            <w:pPr>
              <w:rPr>
                <w:sz w:val="20"/>
                <w:szCs w:val="20"/>
                <w:lang w:val="en-US"/>
              </w:rPr>
            </w:pPr>
            <w:r w:rsidRPr="005869CA">
              <w:rPr>
                <w:sz w:val="20"/>
                <w:szCs w:val="20"/>
                <w:lang w:val="en-US"/>
              </w:rPr>
              <w:t>.18</w:t>
            </w:r>
          </w:p>
        </w:tc>
        <w:tc>
          <w:tcPr>
            <w:tcW w:w="775" w:type="dxa"/>
          </w:tcPr>
          <w:p w14:paraId="000002E9" w14:textId="77777777" w:rsidR="00A92EB8" w:rsidRPr="005869CA" w:rsidRDefault="00411C61">
            <w:pPr>
              <w:rPr>
                <w:sz w:val="20"/>
                <w:szCs w:val="20"/>
                <w:lang w:val="en-US"/>
              </w:rPr>
            </w:pPr>
            <w:r w:rsidRPr="005869CA">
              <w:rPr>
                <w:sz w:val="20"/>
                <w:szCs w:val="20"/>
                <w:lang w:val="en-US"/>
              </w:rPr>
              <w:t>.02</w:t>
            </w:r>
          </w:p>
        </w:tc>
        <w:tc>
          <w:tcPr>
            <w:tcW w:w="775" w:type="dxa"/>
          </w:tcPr>
          <w:p w14:paraId="000002EA" w14:textId="77777777" w:rsidR="00A92EB8" w:rsidRPr="005869CA" w:rsidRDefault="00411C61">
            <w:pPr>
              <w:rPr>
                <w:sz w:val="20"/>
                <w:szCs w:val="20"/>
                <w:lang w:val="en-US"/>
              </w:rPr>
            </w:pPr>
            <w:r w:rsidRPr="005869CA">
              <w:rPr>
                <w:sz w:val="20"/>
                <w:szCs w:val="20"/>
                <w:lang w:val="en-US"/>
              </w:rPr>
              <w:t>&lt; .001</w:t>
            </w:r>
          </w:p>
        </w:tc>
        <w:tc>
          <w:tcPr>
            <w:tcW w:w="775" w:type="dxa"/>
          </w:tcPr>
          <w:p w14:paraId="000002EB" w14:textId="77777777" w:rsidR="00A92EB8" w:rsidRPr="005869CA" w:rsidRDefault="00411C61">
            <w:pPr>
              <w:rPr>
                <w:sz w:val="20"/>
                <w:szCs w:val="20"/>
                <w:lang w:val="en-US"/>
              </w:rPr>
            </w:pPr>
            <w:r w:rsidRPr="005869CA">
              <w:rPr>
                <w:sz w:val="20"/>
                <w:szCs w:val="20"/>
                <w:lang w:val="en-US"/>
              </w:rPr>
              <w:t>.01</w:t>
            </w:r>
          </w:p>
        </w:tc>
        <w:tc>
          <w:tcPr>
            <w:tcW w:w="775" w:type="dxa"/>
          </w:tcPr>
          <w:p w14:paraId="000002EC" w14:textId="77777777" w:rsidR="00A92EB8" w:rsidRPr="005869CA" w:rsidRDefault="00411C61">
            <w:pPr>
              <w:rPr>
                <w:sz w:val="20"/>
                <w:szCs w:val="20"/>
                <w:lang w:val="en-US"/>
              </w:rPr>
            </w:pPr>
            <w:r w:rsidRPr="005869CA">
              <w:rPr>
                <w:sz w:val="20"/>
                <w:szCs w:val="20"/>
                <w:lang w:val="en-US"/>
              </w:rPr>
              <w:t>.01</w:t>
            </w:r>
          </w:p>
        </w:tc>
        <w:tc>
          <w:tcPr>
            <w:tcW w:w="1089" w:type="dxa"/>
          </w:tcPr>
          <w:p w14:paraId="000002ED" w14:textId="77777777" w:rsidR="00A92EB8" w:rsidRPr="005869CA" w:rsidRDefault="00411C61">
            <w:pPr>
              <w:rPr>
                <w:sz w:val="20"/>
                <w:szCs w:val="20"/>
                <w:lang w:val="en-US"/>
              </w:rPr>
            </w:pPr>
            <w:r w:rsidRPr="005869CA">
              <w:rPr>
                <w:sz w:val="20"/>
                <w:szCs w:val="20"/>
                <w:lang w:val="en-US"/>
              </w:rPr>
              <w:t>.386</w:t>
            </w:r>
          </w:p>
        </w:tc>
      </w:tr>
      <w:tr w:rsidR="00A92EB8" w:rsidRPr="005869CA" w14:paraId="0E3A34D3" w14:textId="77777777" w:rsidTr="000C29D9">
        <w:tc>
          <w:tcPr>
            <w:tcW w:w="2324" w:type="dxa"/>
          </w:tcPr>
          <w:p w14:paraId="000002EE" w14:textId="77777777" w:rsidR="00A92EB8" w:rsidRPr="005869CA" w:rsidRDefault="00411C61">
            <w:pPr>
              <w:rPr>
                <w:sz w:val="20"/>
                <w:szCs w:val="20"/>
                <w:lang w:val="en-US"/>
              </w:rPr>
            </w:pPr>
            <w:r w:rsidRPr="005869CA">
              <w:rPr>
                <w:sz w:val="20"/>
                <w:szCs w:val="20"/>
                <w:lang w:val="en-US"/>
              </w:rPr>
              <w:t>Anxious</w:t>
            </w:r>
          </w:p>
        </w:tc>
        <w:tc>
          <w:tcPr>
            <w:tcW w:w="774" w:type="dxa"/>
          </w:tcPr>
          <w:p w14:paraId="000002EF" w14:textId="77777777" w:rsidR="00A92EB8" w:rsidRPr="005869CA" w:rsidRDefault="00411C61">
            <w:pPr>
              <w:rPr>
                <w:sz w:val="20"/>
                <w:szCs w:val="20"/>
                <w:lang w:val="en-US"/>
              </w:rPr>
            </w:pPr>
            <w:r w:rsidRPr="005869CA">
              <w:rPr>
                <w:sz w:val="20"/>
                <w:szCs w:val="20"/>
                <w:lang w:val="en-US"/>
              </w:rPr>
              <w:t>.05</w:t>
            </w:r>
          </w:p>
        </w:tc>
        <w:tc>
          <w:tcPr>
            <w:tcW w:w="775" w:type="dxa"/>
          </w:tcPr>
          <w:p w14:paraId="000002F0" w14:textId="77777777" w:rsidR="00A92EB8" w:rsidRPr="005869CA" w:rsidRDefault="00411C61">
            <w:pPr>
              <w:rPr>
                <w:sz w:val="20"/>
                <w:szCs w:val="20"/>
                <w:lang w:val="en-US"/>
              </w:rPr>
            </w:pPr>
            <w:r w:rsidRPr="005869CA">
              <w:rPr>
                <w:sz w:val="20"/>
                <w:szCs w:val="20"/>
                <w:lang w:val="en-US"/>
              </w:rPr>
              <w:t>.03</w:t>
            </w:r>
          </w:p>
        </w:tc>
        <w:tc>
          <w:tcPr>
            <w:tcW w:w="775" w:type="dxa"/>
          </w:tcPr>
          <w:p w14:paraId="000002F1" w14:textId="77777777" w:rsidR="00A92EB8" w:rsidRPr="005869CA" w:rsidRDefault="00411C61">
            <w:pPr>
              <w:rPr>
                <w:sz w:val="20"/>
                <w:szCs w:val="20"/>
                <w:lang w:val="en-US"/>
              </w:rPr>
            </w:pPr>
            <w:r w:rsidRPr="005869CA">
              <w:rPr>
                <w:sz w:val="20"/>
                <w:szCs w:val="20"/>
                <w:lang w:val="en-US"/>
              </w:rPr>
              <w:t>.003</w:t>
            </w:r>
          </w:p>
        </w:tc>
        <w:tc>
          <w:tcPr>
            <w:tcW w:w="775" w:type="dxa"/>
          </w:tcPr>
          <w:p w14:paraId="000002F2" w14:textId="77777777" w:rsidR="00A92EB8" w:rsidRPr="005869CA" w:rsidRDefault="00411C61">
            <w:pPr>
              <w:rPr>
                <w:sz w:val="20"/>
                <w:szCs w:val="20"/>
                <w:lang w:val="en-US"/>
              </w:rPr>
            </w:pPr>
            <w:r w:rsidRPr="005869CA">
              <w:rPr>
                <w:sz w:val="20"/>
                <w:szCs w:val="20"/>
                <w:lang w:val="en-US"/>
              </w:rPr>
              <w:t>.05</w:t>
            </w:r>
          </w:p>
        </w:tc>
        <w:tc>
          <w:tcPr>
            <w:tcW w:w="775" w:type="dxa"/>
          </w:tcPr>
          <w:p w14:paraId="000002F3" w14:textId="77777777" w:rsidR="00A92EB8" w:rsidRPr="005869CA" w:rsidRDefault="00411C61">
            <w:pPr>
              <w:rPr>
                <w:sz w:val="20"/>
                <w:szCs w:val="20"/>
                <w:lang w:val="en-US"/>
              </w:rPr>
            </w:pPr>
            <w:r w:rsidRPr="005869CA">
              <w:rPr>
                <w:sz w:val="20"/>
                <w:szCs w:val="20"/>
                <w:lang w:val="en-US"/>
              </w:rPr>
              <w:t>.02</w:t>
            </w:r>
          </w:p>
        </w:tc>
        <w:tc>
          <w:tcPr>
            <w:tcW w:w="775" w:type="dxa"/>
          </w:tcPr>
          <w:p w14:paraId="000002F4" w14:textId="77777777" w:rsidR="00A92EB8" w:rsidRPr="005869CA" w:rsidRDefault="00411C61">
            <w:pPr>
              <w:rPr>
                <w:sz w:val="20"/>
                <w:szCs w:val="20"/>
                <w:lang w:val="en-US"/>
              </w:rPr>
            </w:pPr>
            <w:r w:rsidRPr="005869CA">
              <w:rPr>
                <w:sz w:val="20"/>
                <w:szCs w:val="20"/>
                <w:lang w:val="en-US"/>
              </w:rPr>
              <w:t>.010</w:t>
            </w:r>
          </w:p>
        </w:tc>
        <w:tc>
          <w:tcPr>
            <w:tcW w:w="775" w:type="dxa"/>
          </w:tcPr>
          <w:p w14:paraId="000002F5" w14:textId="77777777" w:rsidR="00A92EB8" w:rsidRPr="005869CA" w:rsidRDefault="00411C61">
            <w:pPr>
              <w:rPr>
                <w:sz w:val="20"/>
                <w:szCs w:val="20"/>
                <w:lang w:val="en-US"/>
              </w:rPr>
            </w:pPr>
            <w:r w:rsidRPr="005869CA">
              <w:rPr>
                <w:sz w:val="20"/>
                <w:szCs w:val="20"/>
                <w:lang w:val="en-US"/>
              </w:rPr>
              <w:t>.17</w:t>
            </w:r>
          </w:p>
        </w:tc>
        <w:tc>
          <w:tcPr>
            <w:tcW w:w="775" w:type="dxa"/>
          </w:tcPr>
          <w:p w14:paraId="000002F6" w14:textId="77777777" w:rsidR="00A92EB8" w:rsidRPr="005869CA" w:rsidRDefault="00411C61">
            <w:pPr>
              <w:rPr>
                <w:sz w:val="20"/>
                <w:szCs w:val="20"/>
                <w:lang w:val="en-US"/>
              </w:rPr>
            </w:pPr>
            <w:r w:rsidRPr="005869CA">
              <w:rPr>
                <w:sz w:val="20"/>
                <w:szCs w:val="20"/>
                <w:lang w:val="en-US"/>
              </w:rPr>
              <w:t>.03</w:t>
            </w:r>
          </w:p>
        </w:tc>
        <w:tc>
          <w:tcPr>
            <w:tcW w:w="775" w:type="dxa"/>
          </w:tcPr>
          <w:p w14:paraId="000002F7" w14:textId="77777777" w:rsidR="00A92EB8" w:rsidRPr="005869CA" w:rsidRDefault="00411C61">
            <w:pPr>
              <w:rPr>
                <w:sz w:val="20"/>
                <w:szCs w:val="20"/>
                <w:lang w:val="en-US"/>
              </w:rPr>
            </w:pPr>
            <w:r w:rsidRPr="005869CA">
              <w:rPr>
                <w:sz w:val="20"/>
                <w:szCs w:val="20"/>
                <w:lang w:val="en-US"/>
              </w:rPr>
              <w:t>&lt; .001</w:t>
            </w:r>
          </w:p>
        </w:tc>
        <w:tc>
          <w:tcPr>
            <w:tcW w:w="775" w:type="dxa"/>
          </w:tcPr>
          <w:p w14:paraId="000002F8" w14:textId="77777777" w:rsidR="00A92EB8" w:rsidRPr="005869CA" w:rsidRDefault="00411C61">
            <w:pPr>
              <w:rPr>
                <w:sz w:val="20"/>
                <w:szCs w:val="20"/>
                <w:lang w:val="en-US"/>
              </w:rPr>
            </w:pPr>
            <w:r w:rsidRPr="005869CA">
              <w:rPr>
                <w:sz w:val="20"/>
                <w:szCs w:val="20"/>
                <w:lang w:val="en-US"/>
              </w:rPr>
              <w:t>.00</w:t>
            </w:r>
          </w:p>
        </w:tc>
        <w:tc>
          <w:tcPr>
            <w:tcW w:w="775" w:type="dxa"/>
          </w:tcPr>
          <w:p w14:paraId="000002F9" w14:textId="77777777" w:rsidR="00A92EB8" w:rsidRPr="005869CA" w:rsidRDefault="00411C61">
            <w:pPr>
              <w:rPr>
                <w:sz w:val="20"/>
                <w:szCs w:val="20"/>
                <w:lang w:val="en-US"/>
              </w:rPr>
            </w:pPr>
            <w:r w:rsidRPr="005869CA">
              <w:rPr>
                <w:sz w:val="20"/>
                <w:szCs w:val="20"/>
                <w:lang w:val="en-US"/>
              </w:rPr>
              <w:t>.02</w:t>
            </w:r>
          </w:p>
        </w:tc>
        <w:tc>
          <w:tcPr>
            <w:tcW w:w="1089" w:type="dxa"/>
          </w:tcPr>
          <w:p w14:paraId="000002FA" w14:textId="77777777" w:rsidR="00A92EB8" w:rsidRPr="005869CA" w:rsidRDefault="00411C61">
            <w:pPr>
              <w:rPr>
                <w:sz w:val="20"/>
                <w:szCs w:val="20"/>
                <w:lang w:val="en-US"/>
              </w:rPr>
            </w:pPr>
            <w:r w:rsidRPr="005869CA">
              <w:rPr>
                <w:sz w:val="20"/>
                <w:szCs w:val="20"/>
                <w:lang w:val="en-US"/>
              </w:rPr>
              <w:t>.970</w:t>
            </w:r>
          </w:p>
        </w:tc>
      </w:tr>
      <w:tr w:rsidR="00A92EB8" w:rsidRPr="005869CA" w14:paraId="6A09487C" w14:textId="77777777" w:rsidTr="000C29D9">
        <w:tc>
          <w:tcPr>
            <w:tcW w:w="2324" w:type="dxa"/>
          </w:tcPr>
          <w:p w14:paraId="000002FB" w14:textId="77777777" w:rsidR="00A92EB8" w:rsidRPr="005869CA" w:rsidRDefault="00411C61">
            <w:pPr>
              <w:rPr>
                <w:sz w:val="20"/>
                <w:szCs w:val="20"/>
                <w:lang w:val="en-US"/>
              </w:rPr>
            </w:pPr>
            <w:r w:rsidRPr="005869CA">
              <w:rPr>
                <w:sz w:val="20"/>
                <w:szCs w:val="20"/>
                <w:lang w:val="en-US"/>
              </w:rPr>
              <w:t>Avoidant</w:t>
            </w:r>
          </w:p>
        </w:tc>
        <w:tc>
          <w:tcPr>
            <w:tcW w:w="774" w:type="dxa"/>
          </w:tcPr>
          <w:p w14:paraId="000002FC" w14:textId="77777777" w:rsidR="00A92EB8" w:rsidRPr="005869CA" w:rsidRDefault="00411C61">
            <w:pPr>
              <w:rPr>
                <w:sz w:val="20"/>
                <w:szCs w:val="20"/>
                <w:lang w:val="en-US"/>
              </w:rPr>
            </w:pPr>
            <w:r w:rsidRPr="005869CA">
              <w:rPr>
                <w:sz w:val="20"/>
                <w:szCs w:val="20"/>
                <w:lang w:val="en-US"/>
              </w:rPr>
              <w:t>.01</w:t>
            </w:r>
          </w:p>
        </w:tc>
        <w:tc>
          <w:tcPr>
            <w:tcW w:w="775" w:type="dxa"/>
          </w:tcPr>
          <w:p w14:paraId="000002FD" w14:textId="77777777" w:rsidR="00A92EB8" w:rsidRPr="005869CA" w:rsidRDefault="00411C61">
            <w:pPr>
              <w:rPr>
                <w:sz w:val="20"/>
                <w:szCs w:val="20"/>
                <w:lang w:val="en-US"/>
              </w:rPr>
            </w:pPr>
            <w:r w:rsidRPr="005869CA">
              <w:rPr>
                <w:sz w:val="20"/>
                <w:szCs w:val="20"/>
                <w:lang w:val="en-US"/>
              </w:rPr>
              <w:t>.01</w:t>
            </w:r>
          </w:p>
        </w:tc>
        <w:tc>
          <w:tcPr>
            <w:tcW w:w="775" w:type="dxa"/>
          </w:tcPr>
          <w:p w14:paraId="000002FE" w14:textId="77777777" w:rsidR="00A92EB8" w:rsidRPr="005869CA" w:rsidRDefault="00411C61">
            <w:pPr>
              <w:rPr>
                <w:sz w:val="20"/>
                <w:szCs w:val="20"/>
                <w:lang w:val="en-US"/>
              </w:rPr>
            </w:pPr>
            <w:r w:rsidRPr="005869CA">
              <w:rPr>
                <w:sz w:val="20"/>
                <w:szCs w:val="20"/>
                <w:lang w:val="en-US"/>
              </w:rPr>
              <w:t>.240</w:t>
            </w:r>
          </w:p>
        </w:tc>
        <w:tc>
          <w:tcPr>
            <w:tcW w:w="775" w:type="dxa"/>
          </w:tcPr>
          <w:p w14:paraId="000002FF" w14:textId="77777777" w:rsidR="00A92EB8" w:rsidRPr="005869CA" w:rsidRDefault="00411C61">
            <w:pPr>
              <w:rPr>
                <w:sz w:val="20"/>
                <w:szCs w:val="20"/>
                <w:lang w:val="en-US"/>
              </w:rPr>
            </w:pPr>
            <w:r w:rsidRPr="005869CA">
              <w:rPr>
                <w:sz w:val="20"/>
                <w:szCs w:val="20"/>
                <w:lang w:val="en-US"/>
              </w:rPr>
              <w:t>.01</w:t>
            </w:r>
          </w:p>
        </w:tc>
        <w:tc>
          <w:tcPr>
            <w:tcW w:w="775" w:type="dxa"/>
          </w:tcPr>
          <w:p w14:paraId="00000300" w14:textId="77777777" w:rsidR="00A92EB8" w:rsidRPr="005869CA" w:rsidRDefault="00411C61">
            <w:pPr>
              <w:rPr>
                <w:sz w:val="20"/>
                <w:szCs w:val="20"/>
                <w:lang w:val="en-US"/>
              </w:rPr>
            </w:pPr>
            <w:r w:rsidRPr="005869CA">
              <w:rPr>
                <w:sz w:val="20"/>
                <w:szCs w:val="20"/>
                <w:lang w:val="en-US"/>
              </w:rPr>
              <w:t>.01</w:t>
            </w:r>
          </w:p>
        </w:tc>
        <w:tc>
          <w:tcPr>
            <w:tcW w:w="775" w:type="dxa"/>
          </w:tcPr>
          <w:p w14:paraId="00000301" w14:textId="77777777" w:rsidR="00A92EB8" w:rsidRPr="005869CA" w:rsidRDefault="00411C61">
            <w:pPr>
              <w:rPr>
                <w:sz w:val="20"/>
                <w:szCs w:val="20"/>
                <w:lang w:val="en-US"/>
              </w:rPr>
            </w:pPr>
            <w:r w:rsidRPr="005869CA">
              <w:rPr>
                <w:sz w:val="20"/>
                <w:szCs w:val="20"/>
                <w:lang w:val="en-US"/>
              </w:rPr>
              <w:t>.248</w:t>
            </w:r>
          </w:p>
        </w:tc>
        <w:tc>
          <w:tcPr>
            <w:tcW w:w="775" w:type="dxa"/>
          </w:tcPr>
          <w:p w14:paraId="00000302" w14:textId="77777777" w:rsidR="00A92EB8" w:rsidRPr="005869CA" w:rsidRDefault="00411C61">
            <w:pPr>
              <w:rPr>
                <w:sz w:val="20"/>
                <w:szCs w:val="20"/>
                <w:lang w:val="en-US"/>
              </w:rPr>
            </w:pPr>
            <w:r w:rsidRPr="005869CA">
              <w:rPr>
                <w:sz w:val="20"/>
                <w:szCs w:val="20"/>
                <w:lang w:val="en-US"/>
              </w:rPr>
              <w:t>.05</w:t>
            </w:r>
          </w:p>
        </w:tc>
        <w:tc>
          <w:tcPr>
            <w:tcW w:w="775" w:type="dxa"/>
          </w:tcPr>
          <w:p w14:paraId="00000303" w14:textId="77777777" w:rsidR="00A92EB8" w:rsidRPr="005869CA" w:rsidRDefault="00411C61">
            <w:pPr>
              <w:rPr>
                <w:sz w:val="20"/>
                <w:szCs w:val="20"/>
                <w:lang w:val="en-US"/>
              </w:rPr>
            </w:pPr>
            <w:r w:rsidRPr="005869CA">
              <w:rPr>
                <w:sz w:val="20"/>
                <w:szCs w:val="20"/>
                <w:lang w:val="en-US"/>
              </w:rPr>
              <w:t>.02</w:t>
            </w:r>
          </w:p>
        </w:tc>
        <w:tc>
          <w:tcPr>
            <w:tcW w:w="775" w:type="dxa"/>
          </w:tcPr>
          <w:p w14:paraId="00000304" w14:textId="77777777" w:rsidR="00A92EB8" w:rsidRPr="005869CA" w:rsidRDefault="00411C61">
            <w:pPr>
              <w:rPr>
                <w:sz w:val="20"/>
                <w:szCs w:val="20"/>
                <w:lang w:val="en-US"/>
              </w:rPr>
            </w:pPr>
            <w:r w:rsidRPr="005869CA">
              <w:rPr>
                <w:sz w:val="20"/>
                <w:szCs w:val="20"/>
                <w:lang w:val="en-US"/>
              </w:rPr>
              <w:t>.009</w:t>
            </w:r>
          </w:p>
        </w:tc>
        <w:tc>
          <w:tcPr>
            <w:tcW w:w="775" w:type="dxa"/>
          </w:tcPr>
          <w:p w14:paraId="00000305" w14:textId="77777777" w:rsidR="00A92EB8" w:rsidRPr="005869CA" w:rsidRDefault="00411C61">
            <w:pPr>
              <w:rPr>
                <w:sz w:val="20"/>
                <w:szCs w:val="20"/>
                <w:lang w:val="en-US"/>
              </w:rPr>
            </w:pPr>
            <w:r w:rsidRPr="005869CA">
              <w:rPr>
                <w:sz w:val="20"/>
                <w:szCs w:val="20"/>
                <w:lang w:val="en-US"/>
              </w:rPr>
              <w:t>-.02</w:t>
            </w:r>
          </w:p>
        </w:tc>
        <w:tc>
          <w:tcPr>
            <w:tcW w:w="775" w:type="dxa"/>
          </w:tcPr>
          <w:p w14:paraId="00000306" w14:textId="77777777" w:rsidR="00A92EB8" w:rsidRPr="005869CA" w:rsidRDefault="00411C61">
            <w:pPr>
              <w:rPr>
                <w:sz w:val="20"/>
                <w:szCs w:val="20"/>
                <w:lang w:val="en-US"/>
              </w:rPr>
            </w:pPr>
            <w:r w:rsidRPr="005869CA">
              <w:rPr>
                <w:sz w:val="20"/>
                <w:szCs w:val="20"/>
                <w:lang w:val="en-US"/>
              </w:rPr>
              <w:t>.01</w:t>
            </w:r>
          </w:p>
        </w:tc>
        <w:tc>
          <w:tcPr>
            <w:tcW w:w="1089" w:type="dxa"/>
          </w:tcPr>
          <w:p w14:paraId="00000307" w14:textId="77777777" w:rsidR="00A92EB8" w:rsidRPr="005869CA" w:rsidRDefault="00411C61">
            <w:pPr>
              <w:rPr>
                <w:sz w:val="20"/>
                <w:szCs w:val="20"/>
                <w:lang w:val="en-US"/>
              </w:rPr>
            </w:pPr>
            <w:r w:rsidRPr="005869CA">
              <w:rPr>
                <w:sz w:val="20"/>
                <w:szCs w:val="20"/>
                <w:lang w:val="en-US"/>
              </w:rPr>
              <w:t>&lt; .001</w:t>
            </w:r>
          </w:p>
        </w:tc>
      </w:tr>
      <w:tr w:rsidR="00A92EB8" w:rsidRPr="005869CA" w14:paraId="012EA1FB" w14:textId="77777777" w:rsidTr="000C29D9">
        <w:tc>
          <w:tcPr>
            <w:tcW w:w="2324" w:type="dxa"/>
          </w:tcPr>
          <w:p w14:paraId="00000308" w14:textId="77777777" w:rsidR="00A92EB8" w:rsidRPr="005869CA" w:rsidRDefault="00411C61">
            <w:pPr>
              <w:rPr>
                <w:b/>
                <w:sz w:val="20"/>
                <w:szCs w:val="20"/>
                <w:lang w:val="en-US"/>
              </w:rPr>
            </w:pPr>
            <w:r w:rsidRPr="005869CA">
              <w:rPr>
                <w:b/>
                <w:sz w:val="20"/>
                <w:szCs w:val="20"/>
                <w:lang w:val="en-US"/>
              </w:rPr>
              <w:t>Longitudinal</w:t>
            </w:r>
          </w:p>
        </w:tc>
        <w:tc>
          <w:tcPr>
            <w:tcW w:w="774" w:type="dxa"/>
          </w:tcPr>
          <w:p w14:paraId="00000309" w14:textId="77777777" w:rsidR="00A92EB8" w:rsidRPr="005869CA" w:rsidRDefault="00A92EB8">
            <w:pPr>
              <w:rPr>
                <w:sz w:val="20"/>
                <w:szCs w:val="20"/>
                <w:lang w:val="en-US"/>
              </w:rPr>
            </w:pPr>
          </w:p>
        </w:tc>
        <w:tc>
          <w:tcPr>
            <w:tcW w:w="775" w:type="dxa"/>
          </w:tcPr>
          <w:p w14:paraId="0000030A" w14:textId="77777777" w:rsidR="00A92EB8" w:rsidRPr="005869CA" w:rsidRDefault="00A92EB8">
            <w:pPr>
              <w:rPr>
                <w:sz w:val="20"/>
                <w:szCs w:val="20"/>
                <w:lang w:val="en-US"/>
              </w:rPr>
            </w:pPr>
          </w:p>
        </w:tc>
        <w:tc>
          <w:tcPr>
            <w:tcW w:w="775" w:type="dxa"/>
          </w:tcPr>
          <w:p w14:paraId="0000030B" w14:textId="77777777" w:rsidR="00A92EB8" w:rsidRPr="005869CA" w:rsidRDefault="00A92EB8">
            <w:pPr>
              <w:rPr>
                <w:sz w:val="20"/>
                <w:szCs w:val="20"/>
                <w:lang w:val="en-US"/>
              </w:rPr>
            </w:pPr>
          </w:p>
        </w:tc>
        <w:tc>
          <w:tcPr>
            <w:tcW w:w="775" w:type="dxa"/>
          </w:tcPr>
          <w:p w14:paraId="0000030C" w14:textId="77777777" w:rsidR="00A92EB8" w:rsidRPr="005869CA" w:rsidRDefault="00A92EB8">
            <w:pPr>
              <w:rPr>
                <w:sz w:val="20"/>
                <w:szCs w:val="20"/>
                <w:lang w:val="en-US"/>
              </w:rPr>
            </w:pPr>
          </w:p>
        </w:tc>
        <w:tc>
          <w:tcPr>
            <w:tcW w:w="775" w:type="dxa"/>
          </w:tcPr>
          <w:p w14:paraId="0000030D" w14:textId="77777777" w:rsidR="00A92EB8" w:rsidRPr="005869CA" w:rsidRDefault="00A92EB8">
            <w:pPr>
              <w:rPr>
                <w:sz w:val="20"/>
                <w:szCs w:val="20"/>
                <w:lang w:val="en-US"/>
              </w:rPr>
            </w:pPr>
          </w:p>
        </w:tc>
        <w:tc>
          <w:tcPr>
            <w:tcW w:w="775" w:type="dxa"/>
          </w:tcPr>
          <w:p w14:paraId="0000030E" w14:textId="77777777" w:rsidR="00A92EB8" w:rsidRPr="005869CA" w:rsidRDefault="00A92EB8">
            <w:pPr>
              <w:rPr>
                <w:sz w:val="20"/>
                <w:szCs w:val="20"/>
                <w:lang w:val="en-US"/>
              </w:rPr>
            </w:pPr>
          </w:p>
        </w:tc>
        <w:tc>
          <w:tcPr>
            <w:tcW w:w="775" w:type="dxa"/>
          </w:tcPr>
          <w:p w14:paraId="0000030F" w14:textId="77777777" w:rsidR="00A92EB8" w:rsidRPr="005869CA" w:rsidRDefault="00A92EB8">
            <w:pPr>
              <w:rPr>
                <w:sz w:val="20"/>
                <w:szCs w:val="20"/>
                <w:lang w:val="en-US"/>
              </w:rPr>
            </w:pPr>
          </w:p>
        </w:tc>
        <w:tc>
          <w:tcPr>
            <w:tcW w:w="775" w:type="dxa"/>
          </w:tcPr>
          <w:p w14:paraId="00000310" w14:textId="77777777" w:rsidR="00A92EB8" w:rsidRPr="005869CA" w:rsidRDefault="00A92EB8">
            <w:pPr>
              <w:rPr>
                <w:sz w:val="20"/>
                <w:szCs w:val="20"/>
                <w:lang w:val="en-US"/>
              </w:rPr>
            </w:pPr>
          </w:p>
        </w:tc>
        <w:tc>
          <w:tcPr>
            <w:tcW w:w="775" w:type="dxa"/>
          </w:tcPr>
          <w:p w14:paraId="00000311" w14:textId="77777777" w:rsidR="00A92EB8" w:rsidRPr="005869CA" w:rsidRDefault="00A92EB8">
            <w:pPr>
              <w:rPr>
                <w:sz w:val="20"/>
                <w:szCs w:val="20"/>
                <w:lang w:val="en-US"/>
              </w:rPr>
            </w:pPr>
          </w:p>
        </w:tc>
        <w:tc>
          <w:tcPr>
            <w:tcW w:w="775" w:type="dxa"/>
          </w:tcPr>
          <w:p w14:paraId="00000312" w14:textId="77777777" w:rsidR="00A92EB8" w:rsidRPr="005869CA" w:rsidRDefault="00A92EB8">
            <w:pPr>
              <w:rPr>
                <w:sz w:val="20"/>
                <w:szCs w:val="20"/>
                <w:lang w:val="en-US"/>
              </w:rPr>
            </w:pPr>
          </w:p>
        </w:tc>
        <w:tc>
          <w:tcPr>
            <w:tcW w:w="775" w:type="dxa"/>
          </w:tcPr>
          <w:p w14:paraId="00000313" w14:textId="77777777" w:rsidR="00A92EB8" w:rsidRPr="005869CA" w:rsidRDefault="00A92EB8">
            <w:pPr>
              <w:rPr>
                <w:sz w:val="20"/>
                <w:szCs w:val="20"/>
                <w:lang w:val="en-US"/>
              </w:rPr>
            </w:pPr>
          </w:p>
        </w:tc>
        <w:tc>
          <w:tcPr>
            <w:tcW w:w="1089" w:type="dxa"/>
          </w:tcPr>
          <w:p w14:paraId="00000314" w14:textId="77777777" w:rsidR="00A92EB8" w:rsidRPr="005869CA" w:rsidRDefault="00A92EB8">
            <w:pPr>
              <w:rPr>
                <w:sz w:val="20"/>
                <w:szCs w:val="20"/>
                <w:lang w:val="en-US"/>
              </w:rPr>
            </w:pPr>
          </w:p>
        </w:tc>
      </w:tr>
      <w:tr w:rsidR="00A92EB8" w:rsidRPr="005869CA" w14:paraId="7508C0FE" w14:textId="77777777" w:rsidTr="000C29D9">
        <w:tc>
          <w:tcPr>
            <w:tcW w:w="2324" w:type="dxa"/>
          </w:tcPr>
          <w:p w14:paraId="00000315" w14:textId="77777777" w:rsidR="00A92EB8" w:rsidRPr="005869CA" w:rsidRDefault="00411C61">
            <w:pPr>
              <w:rPr>
                <w:i/>
                <w:sz w:val="20"/>
                <w:szCs w:val="20"/>
                <w:lang w:val="en-US"/>
              </w:rPr>
            </w:pPr>
            <w:r w:rsidRPr="005869CA">
              <w:rPr>
                <w:i/>
                <w:sz w:val="20"/>
                <w:szCs w:val="20"/>
                <w:lang w:val="en-US"/>
              </w:rPr>
              <w:t>Naïve estimates</w:t>
            </w:r>
          </w:p>
        </w:tc>
        <w:tc>
          <w:tcPr>
            <w:tcW w:w="774" w:type="dxa"/>
          </w:tcPr>
          <w:p w14:paraId="00000316" w14:textId="77777777" w:rsidR="00A92EB8" w:rsidRPr="005869CA" w:rsidRDefault="00A92EB8">
            <w:pPr>
              <w:rPr>
                <w:sz w:val="20"/>
                <w:szCs w:val="20"/>
                <w:lang w:val="en-US"/>
              </w:rPr>
            </w:pPr>
          </w:p>
        </w:tc>
        <w:tc>
          <w:tcPr>
            <w:tcW w:w="775" w:type="dxa"/>
          </w:tcPr>
          <w:p w14:paraId="00000317" w14:textId="77777777" w:rsidR="00A92EB8" w:rsidRPr="005869CA" w:rsidRDefault="00A92EB8">
            <w:pPr>
              <w:rPr>
                <w:sz w:val="20"/>
                <w:szCs w:val="20"/>
                <w:lang w:val="en-US"/>
              </w:rPr>
            </w:pPr>
          </w:p>
        </w:tc>
        <w:tc>
          <w:tcPr>
            <w:tcW w:w="775" w:type="dxa"/>
          </w:tcPr>
          <w:p w14:paraId="00000318" w14:textId="77777777" w:rsidR="00A92EB8" w:rsidRPr="005869CA" w:rsidRDefault="00A92EB8">
            <w:pPr>
              <w:rPr>
                <w:sz w:val="20"/>
                <w:szCs w:val="20"/>
                <w:lang w:val="en-US"/>
              </w:rPr>
            </w:pPr>
          </w:p>
        </w:tc>
        <w:tc>
          <w:tcPr>
            <w:tcW w:w="775" w:type="dxa"/>
          </w:tcPr>
          <w:p w14:paraId="00000319" w14:textId="77777777" w:rsidR="00A92EB8" w:rsidRPr="005869CA" w:rsidRDefault="00A92EB8">
            <w:pPr>
              <w:rPr>
                <w:sz w:val="20"/>
                <w:szCs w:val="20"/>
                <w:lang w:val="en-US"/>
              </w:rPr>
            </w:pPr>
          </w:p>
        </w:tc>
        <w:tc>
          <w:tcPr>
            <w:tcW w:w="775" w:type="dxa"/>
          </w:tcPr>
          <w:p w14:paraId="0000031A" w14:textId="77777777" w:rsidR="00A92EB8" w:rsidRPr="005869CA" w:rsidRDefault="00A92EB8">
            <w:pPr>
              <w:rPr>
                <w:sz w:val="20"/>
                <w:szCs w:val="20"/>
                <w:lang w:val="en-US"/>
              </w:rPr>
            </w:pPr>
          </w:p>
        </w:tc>
        <w:tc>
          <w:tcPr>
            <w:tcW w:w="775" w:type="dxa"/>
          </w:tcPr>
          <w:p w14:paraId="0000031B" w14:textId="77777777" w:rsidR="00A92EB8" w:rsidRPr="005869CA" w:rsidRDefault="00A92EB8">
            <w:pPr>
              <w:rPr>
                <w:sz w:val="20"/>
                <w:szCs w:val="20"/>
                <w:lang w:val="en-US"/>
              </w:rPr>
            </w:pPr>
          </w:p>
        </w:tc>
        <w:tc>
          <w:tcPr>
            <w:tcW w:w="775" w:type="dxa"/>
          </w:tcPr>
          <w:p w14:paraId="0000031C" w14:textId="77777777" w:rsidR="00A92EB8" w:rsidRPr="005869CA" w:rsidRDefault="00A92EB8">
            <w:pPr>
              <w:rPr>
                <w:sz w:val="20"/>
                <w:szCs w:val="20"/>
                <w:lang w:val="en-US"/>
              </w:rPr>
            </w:pPr>
          </w:p>
        </w:tc>
        <w:tc>
          <w:tcPr>
            <w:tcW w:w="775" w:type="dxa"/>
          </w:tcPr>
          <w:p w14:paraId="0000031D" w14:textId="77777777" w:rsidR="00A92EB8" w:rsidRPr="005869CA" w:rsidRDefault="00A92EB8">
            <w:pPr>
              <w:rPr>
                <w:sz w:val="20"/>
                <w:szCs w:val="20"/>
                <w:lang w:val="en-US"/>
              </w:rPr>
            </w:pPr>
          </w:p>
        </w:tc>
        <w:tc>
          <w:tcPr>
            <w:tcW w:w="775" w:type="dxa"/>
          </w:tcPr>
          <w:p w14:paraId="0000031E" w14:textId="77777777" w:rsidR="00A92EB8" w:rsidRPr="005869CA" w:rsidRDefault="00A92EB8">
            <w:pPr>
              <w:rPr>
                <w:sz w:val="20"/>
                <w:szCs w:val="20"/>
                <w:lang w:val="en-US"/>
              </w:rPr>
            </w:pPr>
          </w:p>
        </w:tc>
        <w:tc>
          <w:tcPr>
            <w:tcW w:w="775" w:type="dxa"/>
          </w:tcPr>
          <w:p w14:paraId="0000031F" w14:textId="77777777" w:rsidR="00A92EB8" w:rsidRPr="005869CA" w:rsidRDefault="00A92EB8">
            <w:pPr>
              <w:rPr>
                <w:sz w:val="20"/>
                <w:szCs w:val="20"/>
                <w:lang w:val="en-US"/>
              </w:rPr>
            </w:pPr>
          </w:p>
        </w:tc>
        <w:tc>
          <w:tcPr>
            <w:tcW w:w="775" w:type="dxa"/>
          </w:tcPr>
          <w:p w14:paraId="00000320" w14:textId="77777777" w:rsidR="00A92EB8" w:rsidRPr="005869CA" w:rsidRDefault="00A92EB8">
            <w:pPr>
              <w:rPr>
                <w:sz w:val="20"/>
                <w:szCs w:val="20"/>
                <w:lang w:val="en-US"/>
              </w:rPr>
            </w:pPr>
          </w:p>
        </w:tc>
        <w:tc>
          <w:tcPr>
            <w:tcW w:w="1089" w:type="dxa"/>
          </w:tcPr>
          <w:p w14:paraId="00000321" w14:textId="77777777" w:rsidR="00A92EB8" w:rsidRPr="005869CA" w:rsidRDefault="00A92EB8">
            <w:pPr>
              <w:rPr>
                <w:sz w:val="20"/>
                <w:szCs w:val="20"/>
                <w:lang w:val="en-US"/>
              </w:rPr>
            </w:pPr>
          </w:p>
        </w:tc>
      </w:tr>
      <w:tr w:rsidR="00A92EB8" w:rsidRPr="005869CA" w14:paraId="6BE0D3EC" w14:textId="77777777" w:rsidTr="000C29D9">
        <w:tc>
          <w:tcPr>
            <w:tcW w:w="2324" w:type="dxa"/>
          </w:tcPr>
          <w:p w14:paraId="00000322" w14:textId="77777777" w:rsidR="00A92EB8" w:rsidRPr="005869CA" w:rsidRDefault="00411C61">
            <w:pPr>
              <w:rPr>
                <w:sz w:val="20"/>
                <w:szCs w:val="20"/>
                <w:lang w:val="en-US"/>
              </w:rPr>
            </w:pPr>
            <w:r w:rsidRPr="005869CA">
              <w:rPr>
                <w:sz w:val="20"/>
                <w:szCs w:val="20"/>
                <w:lang w:val="en-US"/>
              </w:rPr>
              <w:t>Fearful</w:t>
            </w:r>
          </w:p>
        </w:tc>
        <w:tc>
          <w:tcPr>
            <w:tcW w:w="774" w:type="dxa"/>
          </w:tcPr>
          <w:p w14:paraId="00000323" w14:textId="77777777" w:rsidR="00A92EB8" w:rsidRPr="005869CA" w:rsidRDefault="00411C61">
            <w:pPr>
              <w:rPr>
                <w:sz w:val="20"/>
                <w:szCs w:val="20"/>
                <w:lang w:val="en-US"/>
              </w:rPr>
            </w:pPr>
            <w:r w:rsidRPr="005869CA">
              <w:rPr>
                <w:sz w:val="20"/>
                <w:szCs w:val="20"/>
                <w:lang w:val="en-US"/>
              </w:rPr>
              <w:t>.15</w:t>
            </w:r>
          </w:p>
        </w:tc>
        <w:tc>
          <w:tcPr>
            <w:tcW w:w="775" w:type="dxa"/>
          </w:tcPr>
          <w:p w14:paraId="00000324" w14:textId="77777777" w:rsidR="00A92EB8" w:rsidRPr="005869CA" w:rsidRDefault="00411C61">
            <w:pPr>
              <w:rPr>
                <w:sz w:val="20"/>
                <w:szCs w:val="20"/>
                <w:lang w:val="en-US"/>
              </w:rPr>
            </w:pPr>
            <w:r w:rsidRPr="005869CA">
              <w:rPr>
                <w:sz w:val="20"/>
                <w:szCs w:val="20"/>
                <w:lang w:val="en-US"/>
              </w:rPr>
              <w:t>.02</w:t>
            </w:r>
          </w:p>
        </w:tc>
        <w:tc>
          <w:tcPr>
            <w:tcW w:w="775" w:type="dxa"/>
          </w:tcPr>
          <w:p w14:paraId="00000325" w14:textId="77777777" w:rsidR="00A92EB8" w:rsidRPr="005869CA" w:rsidRDefault="00411C61">
            <w:pPr>
              <w:rPr>
                <w:sz w:val="20"/>
                <w:szCs w:val="20"/>
                <w:lang w:val="en-US"/>
              </w:rPr>
            </w:pPr>
            <w:r w:rsidRPr="005869CA">
              <w:rPr>
                <w:sz w:val="20"/>
                <w:szCs w:val="20"/>
                <w:lang w:val="en-US"/>
              </w:rPr>
              <w:t>&lt; .001</w:t>
            </w:r>
          </w:p>
        </w:tc>
        <w:tc>
          <w:tcPr>
            <w:tcW w:w="775" w:type="dxa"/>
          </w:tcPr>
          <w:p w14:paraId="00000326" w14:textId="77777777" w:rsidR="00A92EB8" w:rsidRPr="005869CA" w:rsidRDefault="00411C61">
            <w:pPr>
              <w:rPr>
                <w:sz w:val="20"/>
                <w:szCs w:val="20"/>
                <w:lang w:val="en-US"/>
              </w:rPr>
            </w:pPr>
            <w:r w:rsidRPr="005869CA">
              <w:rPr>
                <w:sz w:val="20"/>
                <w:szCs w:val="20"/>
                <w:lang w:val="en-US"/>
              </w:rPr>
              <w:t>.14</w:t>
            </w:r>
          </w:p>
        </w:tc>
        <w:tc>
          <w:tcPr>
            <w:tcW w:w="775" w:type="dxa"/>
          </w:tcPr>
          <w:p w14:paraId="00000327" w14:textId="77777777" w:rsidR="00A92EB8" w:rsidRPr="005869CA" w:rsidRDefault="00411C61">
            <w:pPr>
              <w:rPr>
                <w:sz w:val="20"/>
                <w:szCs w:val="20"/>
                <w:lang w:val="en-US"/>
              </w:rPr>
            </w:pPr>
            <w:r w:rsidRPr="005869CA">
              <w:rPr>
                <w:sz w:val="20"/>
                <w:szCs w:val="20"/>
                <w:lang w:val="en-US"/>
              </w:rPr>
              <w:t>.02</w:t>
            </w:r>
          </w:p>
        </w:tc>
        <w:tc>
          <w:tcPr>
            <w:tcW w:w="775" w:type="dxa"/>
          </w:tcPr>
          <w:p w14:paraId="00000328" w14:textId="77777777" w:rsidR="00A92EB8" w:rsidRPr="005869CA" w:rsidRDefault="00411C61">
            <w:pPr>
              <w:rPr>
                <w:sz w:val="20"/>
                <w:szCs w:val="20"/>
                <w:lang w:val="en-US"/>
              </w:rPr>
            </w:pPr>
            <w:r w:rsidRPr="005869CA">
              <w:rPr>
                <w:sz w:val="20"/>
                <w:szCs w:val="20"/>
                <w:lang w:val="en-US"/>
              </w:rPr>
              <w:t>&lt; .001</w:t>
            </w:r>
          </w:p>
        </w:tc>
        <w:tc>
          <w:tcPr>
            <w:tcW w:w="775" w:type="dxa"/>
          </w:tcPr>
          <w:p w14:paraId="00000329" w14:textId="77777777" w:rsidR="00A92EB8" w:rsidRPr="005869CA" w:rsidRDefault="00A92EB8">
            <w:pPr>
              <w:rPr>
                <w:sz w:val="20"/>
                <w:szCs w:val="20"/>
                <w:lang w:val="en-US"/>
              </w:rPr>
            </w:pPr>
          </w:p>
        </w:tc>
        <w:tc>
          <w:tcPr>
            <w:tcW w:w="775" w:type="dxa"/>
          </w:tcPr>
          <w:p w14:paraId="0000032A" w14:textId="77777777" w:rsidR="00A92EB8" w:rsidRPr="005869CA" w:rsidRDefault="00A92EB8">
            <w:pPr>
              <w:rPr>
                <w:sz w:val="20"/>
                <w:szCs w:val="20"/>
                <w:lang w:val="en-US"/>
              </w:rPr>
            </w:pPr>
          </w:p>
        </w:tc>
        <w:tc>
          <w:tcPr>
            <w:tcW w:w="775" w:type="dxa"/>
          </w:tcPr>
          <w:p w14:paraId="0000032B" w14:textId="77777777" w:rsidR="00A92EB8" w:rsidRPr="005869CA" w:rsidRDefault="00A92EB8">
            <w:pPr>
              <w:rPr>
                <w:sz w:val="20"/>
                <w:szCs w:val="20"/>
                <w:lang w:val="en-US"/>
              </w:rPr>
            </w:pPr>
          </w:p>
        </w:tc>
        <w:tc>
          <w:tcPr>
            <w:tcW w:w="775" w:type="dxa"/>
          </w:tcPr>
          <w:p w14:paraId="0000032C" w14:textId="77777777" w:rsidR="00A92EB8" w:rsidRPr="005869CA" w:rsidRDefault="00A92EB8">
            <w:pPr>
              <w:rPr>
                <w:sz w:val="20"/>
                <w:szCs w:val="20"/>
                <w:lang w:val="en-US"/>
              </w:rPr>
            </w:pPr>
          </w:p>
        </w:tc>
        <w:tc>
          <w:tcPr>
            <w:tcW w:w="775" w:type="dxa"/>
          </w:tcPr>
          <w:p w14:paraId="0000032D" w14:textId="77777777" w:rsidR="00A92EB8" w:rsidRPr="005869CA" w:rsidRDefault="00A92EB8">
            <w:pPr>
              <w:rPr>
                <w:sz w:val="20"/>
                <w:szCs w:val="20"/>
                <w:lang w:val="en-US"/>
              </w:rPr>
            </w:pPr>
          </w:p>
        </w:tc>
        <w:tc>
          <w:tcPr>
            <w:tcW w:w="1089" w:type="dxa"/>
          </w:tcPr>
          <w:p w14:paraId="0000032E" w14:textId="77777777" w:rsidR="00A92EB8" w:rsidRPr="005869CA" w:rsidRDefault="00A92EB8">
            <w:pPr>
              <w:rPr>
                <w:sz w:val="20"/>
                <w:szCs w:val="20"/>
                <w:lang w:val="en-US"/>
              </w:rPr>
            </w:pPr>
          </w:p>
        </w:tc>
      </w:tr>
      <w:tr w:rsidR="00A92EB8" w:rsidRPr="005869CA" w14:paraId="2B2EEFA9" w14:textId="77777777" w:rsidTr="000C29D9">
        <w:tc>
          <w:tcPr>
            <w:tcW w:w="2324" w:type="dxa"/>
          </w:tcPr>
          <w:p w14:paraId="0000032F" w14:textId="77777777" w:rsidR="00A92EB8" w:rsidRPr="005869CA" w:rsidRDefault="00411C61">
            <w:pPr>
              <w:rPr>
                <w:sz w:val="20"/>
                <w:szCs w:val="20"/>
                <w:lang w:val="en-US"/>
              </w:rPr>
            </w:pPr>
            <w:r w:rsidRPr="005869CA">
              <w:rPr>
                <w:sz w:val="20"/>
                <w:szCs w:val="20"/>
                <w:lang w:val="en-US"/>
              </w:rPr>
              <w:t>Anxious</w:t>
            </w:r>
          </w:p>
        </w:tc>
        <w:tc>
          <w:tcPr>
            <w:tcW w:w="774" w:type="dxa"/>
          </w:tcPr>
          <w:p w14:paraId="00000330" w14:textId="77777777" w:rsidR="00A92EB8" w:rsidRPr="005869CA" w:rsidRDefault="00411C61">
            <w:pPr>
              <w:rPr>
                <w:sz w:val="20"/>
                <w:szCs w:val="20"/>
                <w:lang w:val="en-US"/>
              </w:rPr>
            </w:pPr>
            <w:r w:rsidRPr="005869CA">
              <w:rPr>
                <w:sz w:val="20"/>
                <w:szCs w:val="20"/>
                <w:lang w:val="en-US"/>
              </w:rPr>
              <w:t>.15</w:t>
            </w:r>
          </w:p>
        </w:tc>
        <w:tc>
          <w:tcPr>
            <w:tcW w:w="775" w:type="dxa"/>
          </w:tcPr>
          <w:p w14:paraId="00000331" w14:textId="77777777" w:rsidR="00A92EB8" w:rsidRPr="005869CA" w:rsidRDefault="00411C61">
            <w:pPr>
              <w:rPr>
                <w:sz w:val="20"/>
                <w:szCs w:val="20"/>
                <w:lang w:val="en-US"/>
              </w:rPr>
            </w:pPr>
            <w:r w:rsidRPr="005869CA">
              <w:rPr>
                <w:sz w:val="20"/>
                <w:szCs w:val="20"/>
                <w:lang w:val="en-US"/>
              </w:rPr>
              <w:t>.04</w:t>
            </w:r>
          </w:p>
        </w:tc>
        <w:tc>
          <w:tcPr>
            <w:tcW w:w="775" w:type="dxa"/>
          </w:tcPr>
          <w:p w14:paraId="00000332" w14:textId="77777777" w:rsidR="00A92EB8" w:rsidRPr="005869CA" w:rsidRDefault="00411C61">
            <w:pPr>
              <w:rPr>
                <w:sz w:val="20"/>
                <w:szCs w:val="20"/>
                <w:lang w:val="en-US"/>
              </w:rPr>
            </w:pPr>
            <w:r w:rsidRPr="005869CA">
              <w:rPr>
                <w:sz w:val="20"/>
                <w:szCs w:val="20"/>
                <w:lang w:val="en-US"/>
              </w:rPr>
              <w:t>&lt; .001</w:t>
            </w:r>
          </w:p>
        </w:tc>
        <w:tc>
          <w:tcPr>
            <w:tcW w:w="775" w:type="dxa"/>
          </w:tcPr>
          <w:p w14:paraId="00000333" w14:textId="77777777" w:rsidR="00A92EB8" w:rsidRPr="005869CA" w:rsidRDefault="00411C61">
            <w:pPr>
              <w:rPr>
                <w:sz w:val="20"/>
                <w:szCs w:val="20"/>
                <w:lang w:val="en-US"/>
              </w:rPr>
            </w:pPr>
            <w:r w:rsidRPr="005869CA">
              <w:rPr>
                <w:sz w:val="20"/>
                <w:szCs w:val="20"/>
                <w:lang w:val="en-US"/>
              </w:rPr>
              <w:t>.13</w:t>
            </w:r>
          </w:p>
        </w:tc>
        <w:tc>
          <w:tcPr>
            <w:tcW w:w="775" w:type="dxa"/>
          </w:tcPr>
          <w:p w14:paraId="00000334" w14:textId="77777777" w:rsidR="00A92EB8" w:rsidRPr="005869CA" w:rsidRDefault="00411C61">
            <w:pPr>
              <w:rPr>
                <w:sz w:val="20"/>
                <w:szCs w:val="20"/>
                <w:lang w:val="en-US"/>
              </w:rPr>
            </w:pPr>
            <w:r w:rsidRPr="005869CA">
              <w:rPr>
                <w:sz w:val="20"/>
                <w:szCs w:val="20"/>
                <w:lang w:val="en-US"/>
              </w:rPr>
              <w:t>.03</w:t>
            </w:r>
          </w:p>
        </w:tc>
        <w:tc>
          <w:tcPr>
            <w:tcW w:w="775" w:type="dxa"/>
          </w:tcPr>
          <w:p w14:paraId="00000335" w14:textId="77777777" w:rsidR="00A92EB8" w:rsidRPr="005869CA" w:rsidRDefault="00411C61">
            <w:pPr>
              <w:rPr>
                <w:sz w:val="20"/>
                <w:szCs w:val="20"/>
                <w:lang w:val="en-US"/>
              </w:rPr>
            </w:pPr>
            <w:r w:rsidRPr="005869CA">
              <w:rPr>
                <w:sz w:val="20"/>
                <w:szCs w:val="20"/>
                <w:lang w:val="en-US"/>
              </w:rPr>
              <w:t>&lt; .001</w:t>
            </w:r>
          </w:p>
        </w:tc>
        <w:tc>
          <w:tcPr>
            <w:tcW w:w="775" w:type="dxa"/>
          </w:tcPr>
          <w:p w14:paraId="00000336" w14:textId="77777777" w:rsidR="00A92EB8" w:rsidRPr="005869CA" w:rsidRDefault="00A92EB8">
            <w:pPr>
              <w:rPr>
                <w:sz w:val="20"/>
                <w:szCs w:val="20"/>
                <w:lang w:val="en-US"/>
              </w:rPr>
            </w:pPr>
          </w:p>
        </w:tc>
        <w:tc>
          <w:tcPr>
            <w:tcW w:w="775" w:type="dxa"/>
          </w:tcPr>
          <w:p w14:paraId="00000337" w14:textId="77777777" w:rsidR="00A92EB8" w:rsidRPr="005869CA" w:rsidRDefault="00A92EB8">
            <w:pPr>
              <w:rPr>
                <w:sz w:val="20"/>
                <w:szCs w:val="20"/>
                <w:lang w:val="en-US"/>
              </w:rPr>
            </w:pPr>
          </w:p>
        </w:tc>
        <w:tc>
          <w:tcPr>
            <w:tcW w:w="775" w:type="dxa"/>
          </w:tcPr>
          <w:p w14:paraId="00000338" w14:textId="77777777" w:rsidR="00A92EB8" w:rsidRPr="005869CA" w:rsidRDefault="00A92EB8">
            <w:pPr>
              <w:rPr>
                <w:sz w:val="20"/>
                <w:szCs w:val="20"/>
                <w:lang w:val="en-US"/>
              </w:rPr>
            </w:pPr>
          </w:p>
        </w:tc>
        <w:tc>
          <w:tcPr>
            <w:tcW w:w="775" w:type="dxa"/>
          </w:tcPr>
          <w:p w14:paraId="00000339" w14:textId="77777777" w:rsidR="00A92EB8" w:rsidRPr="005869CA" w:rsidRDefault="00A92EB8">
            <w:pPr>
              <w:rPr>
                <w:sz w:val="20"/>
                <w:szCs w:val="20"/>
                <w:lang w:val="en-US"/>
              </w:rPr>
            </w:pPr>
          </w:p>
        </w:tc>
        <w:tc>
          <w:tcPr>
            <w:tcW w:w="775" w:type="dxa"/>
          </w:tcPr>
          <w:p w14:paraId="0000033A" w14:textId="77777777" w:rsidR="00A92EB8" w:rsidRPr="005869CA" w:rsidRDefault="00A92EB8">
            <w:pPr>
              <w:rPr>
                <w:sz w:val="20"/>
                <w:szCs w:val="20"/>
                <w:lang w:val="en-US"/>
              </w:rPr>
            </w:pPr>
          </w:p>
        </w:tc>
        <w:tc>
          <w:tcPr>
            <w:tcW w:w="1089" w:type="dxa"/>
          </w:tcPr>
          <w:p w14:paraId="0000033B" w14:textId="77777777" w:rsidR="00A92EB8" w:rsidRPr="005869CA" w:rsidRDefault="00A92EB8">
            <w:pPr>
              <w:rPr>
                <w:sz w:val="20"/>
                <w:szCs w:val="20"/>
                <w:lang w:val="en-US"/>
              </w:rPr>
            </w:pPr>
          </w:p>
        </w:tc>
      </w:tr>
      <w:tr w:rsidR="00A92EB8" w:rsidRPr="005869CA" w14:paraId="42ACE1AA" w14:textId="77777777" w:rsidTr="000C29D9">
        <w:tc>
          <w:tcPr>
            <w:tcW w:w="2324" w:type="dxa"/>
          </w:tcPr>
          <w:p w14:paraId="0000033C" w14:textId="77777777" w:rsidR="00A92EB8" w:rsidRPr="005869CA" w:rsidRDefault="00411C61">
            <w:pPr>
              <w:rPr>
                <w:sz w:val="20"/>
                <w:szCs w:val="20"/>
                <w:lang w:val="en-US"/>
              </w:rPr>
            </w:pPr>
            <w:r w:rsidRPr="005869CA">
              <w:rPr>
                <w:sz w:val="20"/>
                <w:szCs w:val="20"/>
                <w:lang w:val="en-US"/>
              </w:rPr>
              <w:t>Avoidant</w:t>
            </w:r>
          </w:p>
        </w:tc>
        <w:tc>
          <w:tcPr>
            <w:tcW w:w="774" w:type="dxa"/>
          </w:tcPr>
          <w:p w14:paraId="0000033D" w14:textId="77777777" w:rsidR="00A92EB8" w:rsidRPr="005869CA" w:rsidRDefault="00411C61">
            <w:pPr>
              <w:rPr>
                <w:sz w:val="20"/>
                <w:szCs w:val="20"/>
                <w:lang w:val="en-US"/>
              </w:rPr>
            </w:pPr>
            <w:r w:rsidRPr="005869CA">
              <w:rPr>
                <w:sz w:val="20"/>
                <w:szCs w:val="20"/>
                <w:lang w:val="en-US"/>
              </w:rPr>
              <w:t>.02</w:t>
            </w:r>
          </w:p>
        </w:tc>
        <w:tc>
          <w:tcPr>
            <w:tcW w:w="775" w:type="dxa"/>
          </w:tcPr>
          <w:p w14:paraId="0000033E" w14:textId="77777777" w:rsidR="00A92EB8" w:rsidRPr="005869CA" w:rsidRDefault="00411C61">
            <w:pPr>
              <w:rPr>
                <w:sz w:val="20"/>
                <w:szCs w:val="20"/>
                <w:lang w:val="en-US"/>
              </w:rPr>
            </w:pPr>
            <w:r w:rsidRPr="005869CA">
              <w:rPr>
                <w:sz w:val="20"/>
                <w:szCs w:val="20"/>
                <w:lang w:val="en-US"/>
              </w:rPr>
              <w:t>.02</w:t>
            </w:r>
          </w:p>
        </w:tc>
        <w:tc>
          <w:tcPr>
            <w:tcW w:w="775" w:type="dxa"/>
          </w:tcPr>
          <w:p w14:paraId="0000033F" w14:textId="77777777" w:rsidR="00A92EB8" w:rsidRPr="005869CA" w:rsidRDefault="00411C61">
            <w:pPr>
              <w:rPr>
                <w:sz w:val="20"/>
                <w:szCs w:val="20"/>
                <w:lang w:val="en-US"/>
              </w:rPr>
            </w:pPr>
            <w:r w:rsidRPr="005869CA">
              <w:rPr>
                <w:sz w:val="20"/>
                <w:szCs w:val="20"/>
                <w:lang w:val="en-US"/>
              </w:rPr>
              <w:t>.201</w:t>
            </w:r>
          </w:p>
        </w:tc>
        <w:tc>
          <w:tcPr>
            <w:tcW w:w="775" w:type="dxa"/>
          </w:tcPr>
          <w:p w14:paraId="00000340" w14:textId="77777777" w:rsidR="00A92EB8" w:rsidRPr="005869CA" w:rsidRDefault="00411C61">
            <w:pPr>
              <w:rPr>
                <w:sz w:val="20"/>
                <w:szCs w:val="20"/>
                <w:lang w:val="en-US"/>
              </w:rPr>
            </w:pPr>
            <w:r w:rsidRPr="005869CA">
              <w:rPr>
                <w:sz w:val="20"/>
                <w:szCs w:val="20"/>
                <w:lang w:val="en-US"/>
              </w:rPr>
              <w:t>.02</w:t>
            </w:r>
          </w:p>
        </w:tc>
        <w:tc>
          <w:tcPr>
            <w:tcW w:w="775" w:type="dxa"/>
          </w:tcPr>
          <w:p w14:paraId="00000341" w14:textId="77777777" w:rsidR="00A92EB8" w:rsidRPr="005869CA" w:rsidRDefault="00411C61">
            <w:pPr>
              <w:rPr>
                <w:sz w:val="20"/>
                <w:szCs w:val="20"/>
                <w:lang w:val="en-US"/>
              </w:rPr>
            </w:pPr>
            <w:r w:rsidRPr="005869CA">
              <w:rPr>
                <w:sz w:val="20"/>
                <w:szCs w:val="20"/>
                <w:lang w:val="en-US"/>
              </w:rPr>
              <w:t>.02</w:t>
            </w:r>
          </w:p>
        </w:tc>
        <w:tc>
          <w:tcPr>
            <w:tcW w:w="775" w:type="dxa"/>
          </w:tcPr>
          <w:p w14:paraId="00000342" w14:textId="77777777" w:rsidR="00A92EB8" w:rsidRPr="005869CA" w:rsidRDefault="00411C61">
            <w:pPr>
              <w:rPr>
                <w:sz w:val="20"/>
                <w:szCs w:val="20"/>
                <w:lang w:val="en-US"/>
              </w:rPr>
            </w:pPr>
            <w:r w:rsidRPr="005869CA">
              <w:rPr>
                <w:sz w:val="20"/>
                <w:szCs w:val="20"/>
                <w:lang w:val="en-US"/>
              </w:rPr>
              <w:t>.267</w:t>
            </w:r>
          </w:p>
        </w:tc>
        <w:tc>
          <w:tcPr>
            <w:tcW w:w="775" w:type="dxa"/>
          </w:tcPr>
          <w:p w14:paraId="00000343" w14:textId="77777777" w:rsidR="00A92EB8" w:rsidRPr="005869CA" w:rsidRDefault="00A92EB8">
            <w:pPr>
              <w:rPr>
                <w:sz w:val="20"/>
                <w:szCs w:val="20"/>
                <w:lang w:val="en-US"/>
              </w:rPr>
            </w:pPr>
          </w:p>
        </w:tc>
        <w:tc>
          <w:tcPr>
            <w:tcW w:w="775" w:type="dxa"/>
          </w:tcPr>
          <w:p w14:paraId="00000344" w14:textId="77777777" w:rsidR="00A92EB8" w:rsidRPr="005869CA" w:rsidRDefault="00A92EB8">
            <w:pPr>
              <w:rPr>
                <w:sz w:val="20"/>
                <w:szCs w:val="20"/>
                <w:lang w:val="en-US"/>
              </w:rPr>
            </w:pPr>
          </w:p>
        </w:tc>
        <w:tc>
          <w:tcPr>
            <w:tcW w:w="775" w:type="dxa"/>
          </w:tcPr>
          <w:p w14:paraId="00000345" w14:textId="77777777" w:rsidR="00A92EB8" w:rsidRPr="005869CA" w:rsidRDefault="00A92EB8">
            <w:pPr>
              <w:rPr>
                <w:sz w:val="20"/>
                <w:szCs w:val="20"/>
                <w:lang w:val="en-US"/>
              </w:rPr>
            </w:pPr>
          </w:p>
        </w:tc>
        <w:tc>
          <w:tcPr>
            <w:tcW w:w="775" w:type="dxa"/>
          </w:tcPr>
          <w:p w14:paraId="00000346" w14:textId="77777777" w:rsidR="00A92EB8" w:rsidRPr="005869CA" w:rsidRDefault="00A92EB8">
            <w:pPr>
              <w:rPr>
                <w:sz w:val="20"/>
                <w:szCs w:val="20"/>
                <w:lang w:val="en-US"/>
              </w:rPr>
            </w:pPr>
          </w:p>
        </w:tc>
        <w:tc>
          <w:tcPr>
            <w:tcW w:w="775" w:type="dxa"/>
          </w:tcPr>
          <w:p w14:paraId="00000347" w14:textId="77777777" w:rsidR="00A92EB8" w:rsidRPr="005869CA" w:rsidRDefault="00A92EB8">
            <w:pPr>
              <w:rPr>
                <w:sz w:val="20"/>
                <w:szCs w:val="20"/>
                <w:lang w:val="en-US"/>
              </w:rPr>
            </w:pPr>
          </w:p>
        </w:tc>
        <w:tc>
          <w:tcPr>
            <w:tcW w:w="1089" w:type="dxa"/>
          </w:tcPr>
          <w:p w14:paraId="00000348" w14:textId="77777777" w:rsidR="00A92EB8" w:rsidRPr="005869CA" w:rsidRDefault="00A92EB8">
            <w:pPr>
              <w:rPr>
                <w:sz w:val="20"/>
                <w:szCs w:val="20"/>
                <w:lang w:val="en-US"/>
              </w:rPr>
            </w:pPr>
          </w:p>
        </w:tc>
      </w:tr>
      <w:tr w:rsidR="00A92EB8" w:rsidRPr="005869CA" w14:paraId="7D5A043B" w14:textId="77777777" w:rsidTr="000C29D9">
        <w:tc>
          <w:tcPr>
            <w:tcW w:w="2324" w:type="dxa"/>
          </w:tcPr>
          <w:p w14:paraId="00000349" w14:textId="77777777" w:rsidR="00A92EB8" w:rsidRPr="005869CA" w:rsidRDefault="00411C61">
            <w:pPr>
              <w:rPr>
                <w:i/>
                <w:sz w:val="20"/>
                <w:szCs w:val="20"/>
                <w:lang w:val="en-US"/>
              </w:rPr>
            </w:pPr>
            <w:r w:rsidRPr="005869CA">
              <w:rPr>
                <w:i/>
                <w:sz w:val="20"/>
                <w:szCs w:val="20"/>
                <w:lang w:val="en-US"/>
              </w:rPr>
              <w:t>TL estimates (without W2 control)</w:t>
            </w:r>
          </w:p>
        </w:tc>
        <w:tc>
          <w:tcPr>
            <w:tcW w:w="774" w:type="dxa"/>
          </w:tcPr>
          <w:p w14:paraId="0000034A" w14:textId="77777777" w:rsidR="00A92EB8" w:rsidRPr="005869CA" w:rsidRDefault="00A92EB8">
            <w:pPr>
              <w:rPr>
                <w:sz w:val="20"/>
                <w:szCs w:val="20"/>
                <w:lang w:val="en-US"/>
              </w:rPr>
            </w:pPr>
          </w:p>
        </w:tc>
        <w:tc>
          <w:tcPr>
            <w:tcW w:w="775" w:type="dxa"/>
          </w:tcPr>
          <w:p w14:paraId="0000034B" w14:textId="77777777" w:rsidR="00A92EB8" w:rsidRPr="005869CA" w:rsidRDefault="00A92EB8">
            <w:pPr>
              <w:rPr>
                <w:sz w:val="20"/>
                <w:szCs w:val="20"/>
                <w:lang w:val="en-US"/>
              </w:rPr>
            </w:pPr>
          </w:p>
        </w:tc>
        <w:tc>
          <w:tcPr>
            <w:tcW w:w="775" w:type="dxa"/>
          </w:tcPr>
          <w:p w14:paraId="0000034C" w14:textId="77777777" w:rsidR="00A92EB8" w:rsidRPr="005869CA" w:rsidRDefault="00A92EB8">
            <w:pPr>
              <w:rPr>
                <w:sz w:val="20"/>
                <w:szCs w:val="20"/>
                <w:lang w:val="en-US"/>
              </w:rPr>
            </w:pPr>
          </w:p>
        </w:tc>
        <w:tc>
          <w:tcPr>
            <w:tcW w:w="775" w:type="dxa"/>
          </w:tcPr>
          <w:p w14:paraId="0000034D" w14:textId="77777777" w:rsidR="00A92EB8" w:rsidRPr="005869CA" w:rsidRDefault="00A92EB8">
            <w:pPr>
              <w:rPr>
                <w:sz w:val="20"/>
                <w:szCs w:val="20"/>
                <w:lang w:val="en-US"/>
              </w:rPr>
            </w:pPr>
          </w:p>
        </w:tc>
        <w:tc>
          <w:tcPr>
            <w:tcW w:w="775" w:type="dxa"/>
          </w:tcPr>
          <w:p w14:paraId="0000034E" w14:textId="77777777" w:rsidR="00A92EB8" w:rsidRPr="005869CA" w:rsidRDefault="00A92EB8">
            <w:pPr>
              <w:rPr>
                <w:sz w:val="20"/>
                <w:szCs w:val="20"/>
                <w:lang w:val="en-US"/>
              </w:rPr>
            </w:pPr>
          </w:p>
        </w:tc>
        <w:tc>
          <w:tcPr>
            <w:tcW w:w="775" w:type="dxa"/>
          </w:tcPr>
          <w:p w14:paraId="0000034F" w14:textId="77777777" w:rsidR="00A92EB8" w:rsidRPr="005869CA" w:rsidRDefault="00A92EB8">
            <w:pPr>
              <w:rPr>
                <w:sz w:val="20"/>
                <w:szCs w:val="20"/>
                <w:lang w:val="en-US"/>
              </w:rPr>
            </w:pPr>
          </w:p>
        </w:tc>
        <w:tc>
          <w:tcPr>
            <w:tcW w:w="775" w:type="dxa"/>
          </w:tcPr>
          <w:p w14:paraId="00000350" w14:textId="77777777" w:rsidR="00A92EB8" w:rsidRPr="005869CA" w:rsidRDefault="00A92EB8">
            <w:pPr>
              <w:rPr>
                <w:sz w:val="20"/>
                <w:szCs w:val="20"/>
                <w:lang w:val="en-US"/>
              </w:rPr>
            </w:pPr>
          </w:p>
        </w:tc>
        <w:tc>
          <w:tcPr>
            <w:tcW w:w="775" w:type="dxa"/>
          </w:tcPr>
          <w:p w14:paraId="00000351" w14:textId="77777777" w:rsidR="00A92EB8" w:rsidRPr="005869CA" w:rsidRDefault="00A92EB8">
            <w:pPr>
              <w:rPr>
                <w:sz w:val="20"/>
                <w:szCs w:val="20"/>
                <w:lang w:val="en-US"/>
              </w:rPr>
            </w:pPr>
          </w:p>
        </w:tc>
        <w:tc>
          <w:tcPr>
            <w:tcW w:w="775" w:type="dxa"/>
          </w:tcPr>
          <w:p w14:paraId="00000352" w14:textId="77777777" w:rsidR="00A92EB8" w:rsidRPr="005869CA" w:rsidRDefault="00A92EB8">
            <w:pPr>
              <w:rPr>
                <w:sz w:val="20"/>
                <w:szCs w:val="20"/>
                <w:lang w:val="en-US"/>
              </w:rPr>
            </w:pPr>
          </w:p>
        </w:tc>
        <w:tc>
          <w:tcPr>
            <w:tcW w:w="775" w:type="dxa"/>
          </w:tcPr>
          <w:p w14:paraId="00000353" w14:textId="77777777" w:rsidR="00A92EB8" w:rsidRPr="005869CA" w:rsidRDefault="00A92EB8">
            <w:pPr>
              <w:rPr>
                <w:sz w:val="20"/>
                <w:szCs w:val="20"/>
                <w:lang w:val="en-US"/>
              </w:rPr>
            </w:pPr>
          </w:p>
        </w:tc>
        <w:tc>
          <w:tcPr>
            <w:tcW w:w="775" w:type="dxa"/>
          </w:tcPr>
          <w:p w14:paraId="00000354" w14:textId="77777777" w:rsidR="00A92EB8" w:rsidRPr="005869CA" w:rsidRDefault="00A92EB8">
            <w:pPr>
              <w:rPr>
                <w:sz w:val="20"/>
                <w:szCs w:val="20"/>
                <w:lang w:val="en-US"/>
              </w:rPr>
            </w:pPr>
          </w:p>
        </w:tc>
        <w:tc>
          <w:tcPr>
            <w:tcW w:w="1089" w:type="dxa"/>
          </w:tcPr>
          <w:p w14:paraId="00000355" w14:textId="77777777" w:rsidR="00A92EB8" w:rsidRPr="005869CA" w:rsidRDefault="00A92EB8">
            <w:pPr>
              <w:rPr>
                <w:sz w:val="20"/>
                <w:szCs w:val="20"/>
                <w:lang w:val="en-US"/>
              </w:rPr>
            </w:pPr>
          </w:p>
        </w:tc>
      </w:tr>
      <w:tr w:rsidR="00A92EB8" w:rsidRPr="005869CA" w14:paraId="01614499" w14:textId="77777777" w:rsidTr="000C29D9">
        <w:tc>
          <w:tcPr>
            <w:tcW w:w="2324" w:type="dxa"/>
          </w:tcPr>
          <w:p w14:paraId="00000356" w14:textId="77777777" w:rsidR="00A92EB8" w:rsidRPr="005869CA" w:rsidRDefault="00411C61">
            <w:pPr>
              <w:rPr>
                <w:sz w:val="20"/>
                <w:szCs w:val="20"/>
                <w:lang w:val="en-US"/>
              </w:rPr>
            </w:pPr>
            <w:r w:rsidRPr="005869CA">
              <w:rPr>
                <w:sz w:val="20"/>
                <w:szCs w:val="20"/>
                <w:lang w:val="en-US"/>
              </w:rPr>
              <w:t>Fearful</w:t>
            </w:r>
          </w:p>
        </w:tc>
        <w:tc>
          <w:tcPr>
            <w:tcW w:w="774" w:type="dxa"/>
          </w:tcPr>
          <w:p w14:paraId="00000357" w14:textId="77777777" w:rsidR="00A92EB8" w:rsidRPr="005869CA" w:rsidRDefault="00411C61">
            <w:pPr>
              <w:rPr>
                <w:sz w:val="20"/>
                <w:szCs w:val="20"/>
                <w:lang w:val="en-US"/>
              </w:rPr>
            </w:pPr>
            <w:r w:rsidRPr="005869CA">
              <w:rPr>
                <w:sz w:val="20"/>
                <w:szCs w:val="20"/>
                <w:lang w:val="en-US"/>
              </w:rPr>
              <w:t>.07</w:t>
            </w:r>
          </w:p>
        </w:tc>
        <w:tc>
          <w:tcPr>
            <w:tcW w:w="775" w:type="dxa"/>
          </w:tcPr>
          <w:p w14:paraId="00000358" w14:textId="77777777" w:rsidR="00A92EB8" w:rsidRPr="005869CA" w:rsidRDefault="00411C61">
            <w:pPr>
              <w:rPr>
                <w:sz w:val="20"/>
                <w:szCs w:val="20"/>
                <w:lang w:val="en-US"/>
              </w:rPr>
            </w:pPr>
            <w:r w:rsidRPr="005869CA">
              <w:rPr>
                <w:sz w:val="20"/>
                <w:szCs w:val="20"/>
                <w:lang w:val="en-US"/>
              </w:rPr>
              <w:t>.02</w:t>
            </w:r>
          </w:p>
        </w:tc>
        <w:tc>
          <w:tcPr>
            <w:tcW w:w="775" w:type="dxa"/>
          </w:tcPr>
          <w:p w14:paraId="00000359" w14:textId="77777777" w:rsidR="00A92EB8" w:rsidRPr="005869CA" w:rsidRDefault="00411C61">
            <w:pPr>
              <w:rPr>
                <w:sz w:val="20"/>
                <w:szCs w:val="20"/>
                <w:lang w:val="en-US"/>
              </w:rPr>
            </w:pPr>
            <w:r w:rsidRPr="005869CA">
              <w:rPr>
                <w:sz w:val="20"/>
                <w:szCs w:val="20"/>
                <w:lang w:val="en-US"/>
              </w:rPr>
              <w:t>&lt; .001</w:t>
            </w:r>
          </w:p>
        </w:tc>
        <w:tc>
          <w:tcPr>
            <w:tcW w:w="775" w:type="dxa"/>
          </w:tcPr>
          <w:p w14:paraId="0000035A" w14:textId="77777777" w:rsidR="00A92EB8" w:rsidRPr="005869CA" w:rsidRDefault="00411C61">
            <w:pPr>
              <w:rPr>
                <w:sz w:val="20"/>
                <w:szCs w:val="20"/>
                <w:lang w:val="en-US"/>
              </w:rPr>
            </w:pPr>
            <w:r w:rsidRPr="005869CA">
              <w:rPr>
                <w:sz w:val="20"/>
                <w:szCs w:val="20"/>
                <w:lang w:val="en-US"/>
              </w:rPr>
              <w:t>.06</w:t>
            </w:r>
          </w:p>
        </w:tc>
        <w:tc>
          <w:tcPr>
            <w:tcW w:w="775" w:type="dxa"/>
          </w:tcPr>
          <w:p w14:paraId="0000035B" w14:textId="77777777" w:rsidR="00A92EB8" w:rsidRPr="005869CA" w:rsidRDefault="00411C61">
            <w:pPr>
              <w:rPr>
                <w:sz w:val="20"/>
                <w:szCs w:val="20"/>
                <w:lang w:val="en-US"/>
              </w:rPr>
            </w:pPr>
            <w:r w:rsidRPr="005869CA">
              <w:rPr>
                <w:sz w:val="20"/>
                <w:szCs w:val="20"/>
                <w:lang w:val="en-US"/>
              </w:rPr>
              <w:t>.01</w:t>
            </w:r>
          </w:p>
        </w:tc>
        <w:tc>
          <w:tcPr>
            <w:tcW w:w="775" w:type="dxa"/>
          </w:tcPr>
          <w:p w14:paraId="0000035C" w14:textId="77777777" w:rsidR="00A92EB8" w:rsidRPr="005869CA" w:rsidRDefault="00411C61">
            <w:pPr>
              <w:rPr>
                <w:sz w:val="20"/>
                <w:szCs w:val="20"/>
                <w:lang w:val="en-US"/>
              </w:rPr>
            </w:pPr>
            <w:r w:rsidRPr="005869CA">
              <w:rPr>
                <w:sz w:val="20"/>
                <w:szCs w:val="20"/>
                <w:lang w:val="en-US"/>
              </w:rPr>
              <w:t>&lt; .001</w:t>
            </w:r>
          </w:p>
        </w:tc>
        <w:tc>
          <w:tcPr>
            <w:tcW w:w="775" w:type="dxa"/>
          </w:tcPr>
          <w:p w14:paraId="0000035D" w14:textId="77777777" w:rsidR="00A92EB8" w:rsidRPr="005869CA" w:rsidRDefault="00A92EB8">
            <w:pPr>
              <w:rPr>
                <w:sz w:val="20"/>
                <w:szCs w:val="20"/>
                <w:lang w:val="en-US"/>
              </w:rPr>
            </w:pPr>
          </w:p>
        </w:tc>
        <w:tc>
          <w:tcPr>
            <w:tcW w:w="775" w:type="dxa"/>
          </w:tcPr>
          <w:p w14:paraId="0000035E" w14:textId="77777777" w:rsidR="00A92EB8" w:rsidRPr="005869CA" w:rsidRDefault="00A92EB8">
            <w:pPr>
              <w:rPr>
                <w:sz w:val="20"/>
                <w:szCs w:val="20"/>
                <w:lang w:val="en-US"/>
              </w:rPr>
            </w:pPr>
          </w:p>
        </w:tc>
        <w:tc>
          <w:tcPr>
            <w:tcW w:w="775" w:type="dxa"/>
          </w:tcPr>
          <w:p w14:paraId="0000035F" w14:textId="77777777" w:rsidR="00A92EB8" w:rsidRPr="005869CA" w:rsidRDefault="00A92EB8">
            <w:pPr>
              <w:rPr>
                <w:sz w:val="20"/>
                <w:szCs w:val="20"/>
                <w:lang w:val="en-US"/>
              </w:rPr>
            </w:pPr>
          </w:p>
        </w:tc>
        <w:tc>
          <w:tcPr>
            <w:tcW w:w="775" w:type="dxa"/>
          </w:tcPr>
          <w:p w14:paraId="00000360" w14:textId="77777777" w:rsidR="00A92EB8" w:rsidRPr="005869CA" w:rsidRDefault="00A92EB8">
            <w:pPr>
              <w:rPr>
                <w:sz w:val="20"/>
                <w:szCs w:val="20"/>
                <w:lang w:val="en-US"/>
              </w:rPr>
            </w:pPr>
          </w:p>
        </w:tc>
        <w:tc>
          <w:tcPr>
            <w:tcW w:w="775" w:type="dxa"/>
          </w:tcPr>
          <w:p w14:paraId="00000361" w14:textId="77777777" w:rsidR="00A92EB8" w:rsidRPr="005869CA" w:rsidRDefault="00A92EB8">
            <w:pPr>
              <w:rPr>
                <w:sz w:val="20"/>
                <w:szCs w:val="20"/>
                <w:lang w:val="en-US"/>
              </w:rPr>
            </w:pPr>
          </w:p>
        </w:tc>
        <w:tc>
          <w:tcPr>
            <w:tcW w:w="1089" w:type="dxa"/>
          </w:tcPr>
          <w:p w14:paraId="00000362" w14:textId="77777777" w:rsidR="00A92EB8" w:rsidRPr="005869CA" w:rsidRDefault="00A92EB8">
            <w:pPr>
              <w:rPr>
                <w:sz w:val="20"/>
                <w:szCs w:val="20"/>
                <w:lang w:val="en-US"/>
              </w:rPr>
            </w:pPr>
          </w:p>
        </w:tc>
      </w:tr>
      <w:tr w:rsidR="00A92EB8" w:rsidRPr="005869CA" w14:paraId="0B914A1F" w14:textId="77777777" w:rsidTr="000C29D9">
        <w:tc>
          <w:tcPr>
            <w:tcW w:w="2324" w:type="dxa"/>
          </w:tcPr>
          <w:p w14:paraId="00000363" w14:textId="77777777" w:rsidR="00A92EB8" w:rsidRPr="005869CA" w:rsidRDefault="00411C61">
            <w:pPr>
              <w:rPr>
                <w:sz w:val="20"/>
                <w:szCs w:val="20"/>
                <w:lang w:val="en-US"/>
              </w:rPr>
            </w:pPr>
            <w:r w:rsidRPr="005869CA">
              <w:rPr>
                <w:sz w:val="20"/>
                <w:szCs w:val="20"/>
                <w:lang w:val="en-US"/>
              </w:rPr>
              <w:t>Anxious</w:t>
            </w:r>
          </w:p>
        </w:tc>
        <w:tc>
          <w:tcPr>
            <w:tcW w:w="774" w:type="dxa"/>
          </w:tcPr>
          <w:p w14:paraId="00000364" w14:textId="77777777" w:rsidR="00A92EB8" w:rsidRPr="005869CA" w:rsidRDefault="00411C61">
            <w:pPr>
              <w:rPr>
                <w:sz w:val="20"/>
                <w:szCs w:val="20"/>
                <w:lang w:val="en-US"/>
              </w:rPr>
            </w:pPr>
            <w:r w:rsidRPr="005869CA">
              <w:rPr>
                <w:sz w:val="20"/>
                <w:szCs w:val="20"/>
                <w:lang w:val="en-US"/>
              </w:rPr>
              <w:t>.06</w:t>
            </w:r>
          </w:p>
        </w:tc>
        <w:tc>
          <w:tcPr>
            <w:tcW w:w="775" w:type="dxa"/>
          </w:tcPr>
          <w:p w14:paraId="00000365" w14:textId="77777777" w:rsidR="00A92EB8" w:rsidRPr="005869CA" w:rsidRDefault="00411C61">
            <w:pPr>
              <w:rPr>
                <w:sz w:val="20"/>
                <w:szCs w:val="20"/>
                <w:lang w:val="en-US"/>
              </w:rPr>
            </w:pPr>
            <w:r w:rsidRPr="005869CA">
              <w:rPr>
                <w:sz w:val="20"/>
                <w:szCs w:val="20"/>
                <w:lang w:val="en-US"/>
              </w:rPr>
              <w:t>.02</w:t>
            </w:r>
          </w:p>
        </w:tc>
        <w:tc>
          <w:tcPr>
            <w:tcW w:w="775" w:type="dxa"/>
          </w:tcPr>
          <w:p w14:paraId="00000366" w14:textId="77777777" w:rsidR="00A92EB8" w:rsidRPr="005869CA" w:rsidRDefault="00411C61">
            <w:pPr>
              <w:rPr>
                <w:sz w:val="20"/>
                <w:szCs w:val="20"/>
                <w:lang w:val="en-US"/>
              </w:rPr>
            </w:pPr>
            <w:r w:rsidRPr="005869CA">
              <w:rPr>
                <w:sz w:val="20"/>
                <w:szCs w:val="20"/>
                <w:lang w:val="en-US"/>
              </w:rPr>
              <w:t>.007</w:t>
            </w:r>
          </w:p>
        </w:tc>
        <w:tc>
          <w:tcPr>
            <w:tcW w:w="775" w:type="dxa"/>
          </w:tcPr>
          <w:p w14:paraId="00000367" w14:textId="77777777" w:rsidR="00A92EB8" w:rsidRPr="005869CA" w:rsidRDefault="00411C61">
            <w:pPr>
              <w:rPr>
                <w:sz w:val="20"/>
                <w:szCs w:val="20"/>
                <w:lang w:val="en-US"/>
              </w:rPr>
            </w:pPr>
            <w:r w:rsidRPr="005869CA">
              <w:rPr>
                <w:sz w:val="20"/>
                <w:szCs w:val="20"/>
                <w:lang w:val="en-US"/>
              </w:rPr>
              <w:t>.05</w:t>
            </w:r>
          </w:p>
        </w:tc>
        <w:tc>
          <w:tcPr>
            <w:tcW w:w="775" w:type="dxa"/>
          </w:tcPr>
          <w:p w14:paraId="00000368" w14:textId="77777777" w:rsidR="00A92EB8" w:rsidRPr="005869CA" w:rsidRDefault="00411C61">
            <w:pPr>
              <w:rPr>
                <w:sz w:val="20"/>
                <w:szCs w:val="20"/>
                <w:lang w:val="en-US"/>
              </w:rPr>
            </w:pPr>
            <w:r w:rsidRPr="005869CA">
              <w:rPr>
                <w:sz w:val="20"/>
                <w:szCs w:val="20"/>
                <w:lang w:val="en-US"/>
              </w:rPr>
              <w:t>.02</w:t>
            </w:r>
          </w:p>
        </w:tc>
        <w:tc>
          <w:tcPr>
            <w:tcW w:w="775" w:type="dxa"/>
          </w:tcPr>
          <w:p w14:paraId="00000369" w14:textId="77777777" w:rsidR="00A92EB8" w:rsidRPr="005869CA" w:rsidRDefault="00411C61">
            <w:pPr>
              <w:rPr>
                <w:sz w:val="20"/>
                <w:szCs w:val="20"/>
                <w:lang w:val="en-US"/>
              </w:rPr>
            </w:pPr>
            <w:r w:rsidRPr="005869CA">
              <w:rPr>
                <w:sz w:val="20"/>
                <w:szCs w:val="20"/>
                <w:lang w:val="en-US"/>
              </w:rPr>
              <w:t>.022</w:t>
            </w:r>
          </w:p>
        </w:tc>
        <w:tc>
          <w:tcPr>
            <w:tcW w:w="775" w:type="dxa"/>
          </w:tcPr>
          <w:p w14:paraId="0000036A" w14:textId="77777777" w:rsidR="00A92EB8" w:rsidRPr="005869CA" w:rsidRDefault="00A92EB8">
            <w:pPr>
              <w:rPr>
                <w:sz w:val="20"/>
                <w:szCs w:val="20"/>
                <w:lang w:val="en-US"/>
              </w:rPr>
            </w:pPr>
          </w:p>
        </w:tc>
        <w:tc>
          <w:tcPr>
            <w:tcW w:w="775" w:type="dxa"/>
          </w:tcPr>
          <w:p w14:paraId="0000036B" w14:textId="77777777" w:rsidR="00A92EB8" w:rsidRPr="005869CA" w:rsidRDefault="00A92EB8">
            <w:pPr>
              <w:rPr>
                <w:sz w:val="20"/>
                <w:szCs w:val="20"/>
                <w:lang w:val="en-US"/>
              </w:rPr>
            </w:pPr>
          </w:p>
        </w:tc>
        <w:tc>
          <w:tcPr>
            <w:tcW w:w="775" w:type="dxa"/>
          </w:tcPr>
          <w:p w14:paraId="0000036C" w14:textId="77777777" w:rsidR="00A92EB8" w:rsidRPr="005869CA" w:rsidRDefault="00A92EB8">
            <w:pPr>
              <w:rPr>
                <w:sz w:val="20"/>
                <w:szCs w:val="20"/>
                <w:lang w:val="en-US"/>
              </w:rPr>
            </w:pPr>
          </w:p>
        </w:tc>
        <w:tc>
          <w:tcPr>
            <w:tcW w:w="775" w:type="dxa"/>
          </w:tcPr>
          <w:p w14:paraId="0000036D" w14:textId="77777777" w:rsidR="00A92EB8" w:rsidRPr="005869CA" w:rsidRDefault="00A92EB8">
            <w:pPr>
              <w:rPr>
                <w:sz w:val="20"/>
                <w:szCs w:val="20"/>
                <w:lang w:val="en-US"/>
              </w:rPr>
            </w:pPr>
          </w:p>
        </w:tc>
        <w:tc>
          <w:tcPr>
            <w:tcW w:w="775" w:type="dxa"/>
          </w:tcPr>
          <w:p w14:paraId="0000036E" w14:textId="77777777" w:rsidR="00A92EB8" w:rsidRPr="005869CA" w:rsidRDefault="00A92EB8">
            <w:pPr>
              <w:rPr>
                <w:sz w:val="20"/>
                <w:szCs w:val="20"/>
                <w:lang w:val="en-US"/>
              </w:rPr>
            </w:pPr>
          </w:p>
        </w:tc>
        <w:tc>
          <w:tcPr>
            <w:tcW w:w="1089" w:type="dxa"/>
          </w:tcPr>
          <w:p w14:paraId="0000036F" w14:textId="77777777" w:rsidR="00A92EB8" w:rsidRPr="005869CA" w:rsidRDefault="00A92EB8">
            <w:pPr>
              <w:rPr>
                <w:sz w:val="20"/>
                <w:szCs w:val="20"/>
                <w:lang w:val="en-US"/>
              </w:rPr>
            </w:pPr>
          </w:p>
        </w:tc>
      </w:tr>
      <w:tr w:rsidR="00A92EB8" w:rsidRPr="005869CA" w14:paraId="5FD54501" w14:textId="77777777" w:rsidTr="000C29D9">
        <w:tc>
          <w:tcPr>
            <w:tcW w:w="2324" w:type="dxa"/>
          </w:tcPr>
          <w:p w14:paraId="00000370" w14:textId="77777777" w:rsidR="00A92EB8" w:rsidRPr="005869CA" w:rsidRDefault="00411C61">
            <w:pPr>
              <w:rPr>
                <w:sz w:val="20"/>
                <w:szCs w:val="20"/>
                <w:lang w:val="en-US"/>
              </w:rPr>
            </w:pPr>
            <w:r w:rsidRPr="005869CA">
              <w:rPr>
                <w:sz w:val="20"/>
                <w:szCs w:val="20"/>
                <w:lang w:val="en-US"/>
              </w:rPr>
              <w:t>Avoidant</w:t>
            </w:r>
          </w:p>
        </w:tc>
        <w:tc>
          <w:tcPr>
            <w:tcW w:w="774" w:type="dxa"/>
          </w:tcPr>
          <w:p w14:paraId="00000371" w14:textId="77777777" w:rsidR="00A92EB8" w:rsidRPr="005869CA" w:rsidRDefault="00411C61">
            <w:pPr>
              <w:rPr>
                <w:sz w:val="20"/>
                <w:szCs w:val="20"/>
                <w:lang w:val="en-US"/>
              </w:rPr>
            </w:pPr>
            <w:r w:rsidRPr="005869CA">
              <w:rPr>
                <w:sz w:val="20"/>
                <w:szCs w:val="20"/>
                <w:lang w:val="en-US"/>
              </w:rPr>
              <w:t>.03</w:t>
            </w:r>
          </w:p>
        </w:tc>
        <w:tc>
          <w:tcPr>
            <w:tcW w:w="775" w:type="dxa"/>
          </w:tcPr>
          <w:p w14:paraId="00000372" w14:textId="77777777" w:rsidR="00A92EB8" w:rsidRPr="005869CA" w:rsidRDefault="00411C61">
            <w:pPr>
              <w:rPr>
                <w:sz w:val="20"/>
                <w:szCs w:val="20"/>
                <w:lang w:val="en-US"/>
              </w:rPr>
            </w:pPr>
            <w:r w:rsidRPr="005869CA">
              <w:rPr>
                <w:sz w:val="20"/>
                <w:szCs w:val="20"/>
                <w:lang w:val="en-US"/>
              </w:rPr>
              <w:t>.01</w:t>
            </w:r>
          </w:p>
        </w:tc>
        <w:tc>
          <w:tcPr>
            <w:tcW w:w="775" w:type="dxa"/>
          </w:tcPr>
          <w:p w14:paraId="00000373" w14:textId="77777777" w:rsidR="00A92EB8" w:rsidRPr="005869CA" w:rsidRDefault="00411C61">
            <w:pPr>
              <w:rPr>
                <w:sz w:val="20"/>
                <w:szCs w:val="20"/>
                <w:lang w:val="en-US"/>
              </w:rPr>
            </w:pPr>
            <w:r w:rsidRPr="005869CA">
              <w:rPr>
                <w:sz w:val="20"/>
                <w:szCs w:val="20"/>
                <w:lang w:val="en-US"/>
              </w:rPr>
              <w:t>.025</w:t>
            </w:r>
          </w:p>
        </w:tc>
        <w:tc>
          <w:tcPr>
            <w:tcW w:w="775" w:type="dxa"/>
          </w:tcPr>
          <w:p w14:paraId="00000374" w14:textId="77777777" w:rsidR="00A92EB8" w:rsidRPr="005869CA" w:rsidRDefault="00411C61">
            <w:pPr>
              <w:rPr>
                <w:sz w:val="20"/>
                <w:szCs w:val="20"/>
                <w:lang w:val="en-US"/>
              </w:rPr>
            </w:pPr>
            <w:r w:rsidRPr="005869CA">
              <w:rPr>
                <w:sz w:val="20"/>
                <w:szCs w:val="20"/>
                <w:lang w:val="en-US"/>
              </w:rPr>
              <w:t>.02</w:t>
            </w:r>
          </w:p>
        </w:tc>
        <w:tc>
          <w:tcPr>
            <w:tcW w:w="775" w:type="dxa"/>
          </w:tcPr>
          <w:p w14:paraId="00000375" w14:textId="77777777" w:rsidR="00A92EB8" w:rsidRPr="005869CA" w:rsidRDefault="00411C61">
            <w:pPr>
              <w:rPr>
                <w:sz w:val="20"/>
                <w:szCs w:val="20"/>
                <w:lang w:val="en-US"/>
              </w:rPr>
            </w:pPr>
            <w:r w:rsidRPr="005869CA">
              <w:rPr>
                <w:sz w:val="20"/>
                <w:szCs w:val="20"/>
                <w:lang w:val="en-US"/>
              </w:rPr>
              <w:t>.01</w:t>
            </w:r>
          </w:p>
        </w:tc>
        <w:tc>
          <w:tcPr>
            <w:tcW w:w="775" w:type="dxa"/>
          </w:tcPr>
          <w:p w14:paraId="00000376" w14:textId="77777777" w:rsidR="00A92EB8" w:rsidRPr="005869CA" w:rsidRDefault="00411C61">
            <w:pPr>
              <w:rPr>
                <w:sz w:val="20"/>
                <w:szCs w:val="20"/>
                <w:lang w:val="en-US"/>
              </w:rPr>
            </w:pPr>
            <w:r w:rsidRPr="005869CA">
              <w:rPr>
                <w:sz w:val="20"/>
                <w:szCs w:val="20"/>
                <w:lang w:val="en-US"/>
              </w:rPr>
              <w:t>.181</w:t>
            </w:r>
          </w:p>
        </w:tc>
        <w:tc>
          <w:tcPr>
            <w:tcW w:w="775" w:type="dxa"/>
          </w:tcPr>
          <w:p w14:paraId="00000377" w14:textId="77777777" w:rsidR="00A92EB8" w:rsidRPr="005869CA" w:rsidRDefault="00A92EB8">
            <w:pPr>
              <w:rPr>
                <w:sz w:val="20"/>
                <w:szCs w:val="20"/>
                <w:lang w:val="en-US"/>
              </w:rPr>
            </w:pPr>
          </w:p>
        </w:tc>
        <w:tc>
          <w:tcPr>
            <w:tcW w:w="775" w:type="dxa"/>
          </w:tcPr>
          <w:p w14:paraId="00000378" w14:textId="77777777" w:rsidR="00A92EB8" w:rsidRPr="005869CA" w:rsidRDefault="00A92EB8">
            <w:pPr>
              <w:rPr>
                <w:sz w:val="20"/>
                <w:szCs w:val="20"/>
                <w:lang w:val="en-US"/>
              </w:rPr>
            </w:pPr>
          </w:p>
        </w:tc>
        <w:tc>
          <w:tcPr>
            <w:tcW w:w="775" w:type="dxa"/>
          </w:tcPr>
          <w:p w14:paraId="00000379" w14:textId="77777777" w:rsidR="00A92EB8" w:rsidRPr="005869CA" w:rsidRDefault="00A92EB8">
            <w:pPr>
              <w:rPr>
                <w:sz w:val="20"/>
                <w:szCs w:val="20"/>
                <w:lang w:val="en-US"/>
              </w:rPr>
            </w:pPr>
          </w:p>
        </w:tc>
        <w:tc>
          <w:tcPr>
            <w:tcW w:w="775" w:type="dxa"/>
          </w:tcPr>
          <w:p w14:paraId="0000037A" w14:textId="77777777" w:rsidR="00A92EB8" w:rsidRPr="005869CA" w:rsidRDefault="00A92EB8">
            <w:pPr>
              <w:rPr>
                <w:sz w:val="20"/>
                <w:szCs w:val="20"/>
                <w:lang w:val="en-US"/>
              </w:rPr>
            </w:pPr>
          </w:p>
        </w:tc>
        <w:tc>
          <w:tcPr>
            <w:tcW w:w="775" w:type="dxa"/>
          </w:tcPr>
          <w:p w14:paraId="0000037B" w14:textId="77777777" w:rsidR="00A92EB8" w:rsidRPr="005869CA" w:rsidRDefault="00A92EB8">
            <w:pPr>
              <w:rPr>
                <w:sz w:val="20"/>
                <w:szCs w:val="20"/>
                <w:lang w:val="en-US"/>
              </w:rPr>
            </w:pPr>
          </w:p>
        </w:tc>
        <w:tc>
          <w:tcPr>
            <w:tcW w:w="1089" w:type="dxa"/>
          </w:tcPr>
          <w:p w14:paraId="0000037C" w14:textId="77777777" w:rsidR="00A92EB8" w:rsidRPr="005869CA" w:rsidRDefault="00A92EB8">
            <w:pPr>
              <w:rPr>
                <w:sz w:val="20"/>
                <w:szCs w:val="20"/>
                <w:lang w:val="en-US"/>
              </w:rPr>
            </w:pPr>
          </w:p>
        </w:tc>
      </w:tr>
      <w:tr w:rsidR="00A92EB8" w:rsidRPr="005869CA" w14:paraId="13C5101E" w14:textId="77777777" w:rsidTr="000C29D9">
        <w:tc>
          <w:tcPr>
            <w:tcW w:w="2324" w:type="dxa"/>
          </w:tcPr>
          <w:p w14:paraId="0000037D" w14:textId="77777777" w:rsidR="00A92EB8" w:rsidRPr="005869CA" w:rsidRDefault="00411C61">
            <w:pPr>
              <w:rPr>
                <w:i/>
                <w:sz w:val="20"/>
                <w:szCs w:val="20"/>
                <w:lang w:val="en-US"/>
              </w:rPr>
            </w:pPr>
            <w:r w:rsidRPr="005869CA">
              <w:rPr>
                <w:i/>
                <w:sz w:val="20"/>
                <w:szCs w:val="20"/>
                <w:lang w:val="en-US"/>
              </w:rPr>
              <w:t>TL estimates (with W2 control)</w:t>
            </w:r>
          </w:p>
        </w:tc>
        <w:tc>
          <w:tcPr>
            <w:tcW w:w="774" w:type="dxa"/>
          </w:tcPr>
          <w:p w14:paraId="0000037E" w14:textId="77777777" w:rsidR="00A92EB8" w:rsidRPr="005869CA" w:rsidRDefault="00A92EB8">
            <w:pPr>
              <w:rPr>
                <w:sz w:val="20"/>
                <w:szCs w:val="20"/>
                <w:lang w:val="en-US"/>
              </w:rPr>
            </w:pPr>
          </w:p>
        </w:tc>
        <w:tc>
          <w:tcPr>
            <w:tcW w:w="775" w:type="dxa"/>
          </w:tcPr>
          <w:p w14:paraId="0000037F" w14:textId="77777777" w:rsidR="00A92EB8" w:rsidRPr="005869CA" w:rsidRDefault="00A92EB8">
            <w:pPr>
              <w:rPr>
                <w:sz w:val="20"/>
                <w:szCs w:val="20"/>
                <w:lang w:val="en-US"/>
              </w:rPr>
            </w:pPr>
          </w:p>
        </w:tc>
        <w:tc>
          <w:tcPr>
            <w:tcW w:w="775" w:type="dxa"/>
          </w:tcPr>
          <w:p w14:paraId="00000380" w14:textId="77777777" w:rsidR="00A92EB8" w:rsidRPr="005869CA" w:rsidRDefault="00A92EB8">
            <w:pPr>
              <w:rPr>
                <w:sz w:val="20"/>
                <w:szCs w:val="20"/>
                <w:lang w:val="en-US"/>
              </w:rPr>
            </w:pPr>
          </w:p>
        </w:tc>
        <w:tc>
          <w:tcPr>
            <w:tcW w:w="775" w:type="dxa"/>
          </w:tcPr>
          <w:p w14:paraId="00000381" w14:textId="77777777" w:rsidR="00A92EB8" w:rsidRPr="005869CA" w:rsidRDefault="00A92EB8">
            <w:pPr>
              <w:rPr>
                <w:sz w:val="20"/>
                <w:szCs w:val="20"/>
                <w:lang w:val="en-US"/>
              </w:rPr>
            </w:pPr>
          </w:p>
        </w:tc>
        <w:tc>
          <w:tcPr>
            <w:tcW w:w="775" w:type="dxa"/>
          </w:tcPr>
          <w:p w14:paraId="00000382" w14:textId="77777777" w:rsidR="00A92EB8" w:rsidRPr="005869CA" w:rsidRDefault="00A92EB8">
            <w:pPr>
              <w:rPr>
                <w:sz w:val="20"/>
                <w:szCs w:val="20"/>
                <w:lang w:val="en-US"/>
              </w:rPr>
            </w:pPr>
          </w:p>
        </w:tc>
        <w:tc>
          <w:tcPr>
            <w:tcW w:w="775" w:type="dxa"/>
          </w:tcPr>
          <w:p w14:paraId="00000383" w14:textId="77777777" w:rsidR="00A92EB8" w:rsidRPr="005869CA" w:rsidRDefault="00A92EB8">
            <w:pPr>
              <w:rPr>
                <w:sz w:val="20"/>
                <w:szCs w:val="20"/>
                <w:lang w:val="en-US"/>
              </w:rPr>
            </w:pPr>
          </w:p>
        </w:tc>
        <w:tc>
          <w:tcPr>
            <w:tcW w:w="775" w:type="dxa"/>
          </w:tcPr>
          <w:p w14:paraId="00000384" w14:textId="77777777" w:rsidR="00A92EB8" w:rsidRPr="005869CA" w:rsidRDefault="00A92EB8">
            <w:pPr>
              <w:rPr>
                <w:sz w:val="20"/>
                <w:szCs w:val="20"/>
                <w:lang w:val="en-US"/>
              </w:rPr>
            </w:pPr>
          </w:p>
        </w:tc>
        <w:tc>
          <w:tcPr>
            <w:tcW w:w="775" w:type="dxa"/>
          </w:tcPr>
          <w:p w14:paraId="00000385" w14:textId="77777777" w:rsidR="00A92EB8" w:rsidRPr="005869CA" w:rsidRDefault="00A92EB8">
            <w:pPr>
              <w:rPr>
                <w:sz w:val="20"/>
                <w:szCs w:val="20"/>
                <w:lang w:val="en-US"/>
              </w:rPr>
            </w:pPr>
          </w:p>
        </w:tc>
        <w:tc>
          <w:tcPr>
            <w:tcW w:w="775" w:type="dxa"/>
          </w:tcPr>
          <w:p w14:paraId="00000386" w14:textId="77777777" w:rsidR="00A92EB8" w:rsidRPr="005869CA" w:rsidRDefault="00A92EB8">
            <w:pPr>
              <w:rPr>
                <w:sz w:val="20"/>
                <w:szCs w:val="20"/>
                <w:lang w:val="en-US"/>
              </w:rPr>
            </w:pPr>
          </w:p>
        </w:tc>
        <w:tc>
          <w:tcPr>
            <w:tcW w:w="775" w:type="dxa"/>
          </w:tcPr>
          <w:p w14:paraId="00000387" w14:textId="77777777" w:rsidR="00A92EB8" w:rsidRPr="005869CA" w:rsidRDefault="00A92EB8">
            <w:pPr>
              <w:rPr>
                <w:sz w:val="20"/>
                <w:szCs w:val="20"/>
                <w:lang w:val="en-US"/>
              </w:rPr>
            </w:pPr>
          </w:p>
        </w:tc>
        <w:tc>
          <w:tcPr>
            <w:tcW w:w="775" w:type="dxa"/>
          </w:tcPr>
          <w:p w14:paraId="00000388" w14:textId="77777777" w:rsidR="00A92EB8" w:rsidRPr="005869CA" w:rsidRDefault="00A92EB8">
            <w:pPr>
              <w:rPr>
                <w:sz w:val="20"/>
                <w:szCs w:val="20"/>
                <w:lang w:val="en-US"/>
              </w:rPr>
            </w:pPr>
          </w:p>
        </w:tc>
        <w:tc>
          <w:tcPr>
            <w:tcW w:w="1089" w:type="dxa"/>
          </w:tcPr>
          <w:p w14:paraId="00000389" w14:textId="77777777" w:rsidR="00A92EB8" w:rsidRPr="005869CA" w:rsidRDefault="00A92EB8">
            <w:pPr>
              <w:rPr>
                <w:sz w:val="20"/>
                <w:szCs w:val="20"/>
                <w:lang w:val="en-US"/>
              </w:rPr>
            </w:pPr>
          </w:p>
        </w:tc>
      </w:tr>
      <w:tr w:rsidR="00A92EB8" w:rsidRPr="005869CA" w14:paraId="0A081B7B" w14:textId="77777777" w:rsidTr="000C29D9">
        <w:tc>
          <w:tcPr>
            <w:tcW w:w="2324" w:type="dxa"/>
          </w:tcPr>
          <w:p w14:paraId="0000038A" w14:textId="77777777" w:rsidR="00A92EB8" w:rsidRPr="005869CA" w:rsidRDefault="00411C61">
            <w:pPr>
              <w:rPr>
                <w:sz w:val="20"/>
                <w:szCs w:val="20"/>
                <w:lang w:val="en-US"/>
              </w:rPr>
            </w:pPr>
            <w:r w:rsidRPr="005869CA">
              <w:rPr>
                <w:sz w:val="20"/>
                <w:szCs w:val="20"/>
                <w:lang w:val="en-US"/>
              </w:rPr>
              <w:t>Fearful</w:t>
            </w:r>
          </w:p>
        </w:tc>
        <w:tc>
          <w:tcPr>
            <w:tcW w:w="774" w:type="dxa"/>
          </w:tcPr>
          <w:p w14:paraId="0000038B" w14:textId="77777777" w:rsidR="00A92EB8" w:rsidRPr="005869CA" w:rsidRDefault="00411C61">
            <w:pPr>
              <w:rPr>
                <w:sz w:val="20"/>
                <w:szCs w:val="20"/>
                <w:lang w:val="en-US"/>
              </w:rPr>
            </w:pPr>
            <w:r w:rsidRPr="005869CA">
              <w:rPr>
                <w:sz w:val="20"/>
                <w:szCs w:val="20"/>
                <w:lang w:val="en-US"/>
              </w:rPr>
              <w:t>.02</w:t>
            </w:r>
          </w:p>
        </w:tc>
        <w:tc>
          <w:tcPr>
            <w:tcW w:w="775" w:type="dxa"/>
          </w:tcPr>
          <w:p w14:paraId="0000038C" w14:textId="77777777" w:rsidR="00A92EB8" w:rsidRPr="005869CA" w:rsidRDefault="00411C61">
            <w:pPr>
              <w:rPr>
                <w:sz w:val="20"/>
                <w:szCs w:val="20"/>
                <w:lang w:val="en-US"/>
              </w:rPr>
            </w:pPr>
            <w:r w:rsidRPr="005869CA">
              <w:rPr>
                <w:sz w:val="20"/>
                <w:szCs w:val="20"/>
                <w:lang w:val="en-US"/>
              </w:rPr>
              <w:t>.01</w:t>
            </w:r>
          </w:p>
        </w:tc>
        <w:tc>
          <w:tcPr>
            <w:tcW w:w="775" w:type="dxa"/>
          </w:tcPr>
          <w:p w14:paraId="0000038D" w14:textId="77777777" w:rsidR="00A92EB8" w:rsidRPr="005869CA" w:rsidRDefault="00411C61">
            <w:pPr>
              <w:rPr>
                <w:sz w:val="20"/>
                <w:szCs w:val="20"/>
                <w:lang w:val="en-US"/>
              </w:rPr>
            </w:pPr>
            <w:r w:rsidRPr="005869CA">
              <w:rPr>
                <w:sz w:val="20"/>
                <w:szCs w:val="20"/>
                <w:lang w:val="en-US"/>
              </w:rPr>
              <w:t>.206</w:t>
            </w:r>
          </w:p>
        </w:tc>
        <w:tc>
          <w:tcPr>
            <w:tcW w:w="775" w:type="dxa"/>
          </w:tcPr>
          <w:p w14:paraId="0000038E" w14:textId="77777777" w:rsidR="00A92EB8" w:rsidRPr="005869CA" w:rsidRDefault="00411C61">
            <w:pPr>
              <w:rPr>
                <w:sz w:val="20"/>
                <w:szCs w:val="20"/>
                <w:lang w:val="en-US"/>
              </w:rPr>
            </w:pPr>
            <w:r w:rsidRPr="005869CA">
              <w:rPr>
                <w:sz w:val="20"/>
                <w:szCs w:val="20"/>
                <w:lang w:val="en-US"/>
              </w:rPr>
              <w:t>.01</w:t>
            </w:r>
          </w:p>
        </w:tc>
        <w:tc>
          <w:tcPr>
            <w:tcW w:w="775" w:type="dxa"/>
          </w:tcPr>
          <w:p w14:paraId="0000038F" w14:textId="77777777" w:rsidR="00A92EB8" w:rsidRPr="005869CA" w:rsidRDefault="00411C61">
            <w:pPr>
              <w:rPr>
                <w:sz w:val="20"/>
                <w:szCs w:val="20"/>
                <w:lang w:val="en-US"/>
              </w:rPr>
            </w:pPr>
            <w:r w:rsidRPr="005869CA">
              <w:rPr>
                <w:sz w:val="20"/>
                <w:szCs w:val="20"/>
                <w:lang w:val="en-US"/>
              </w:rPr>
              <w:t>.01</w:t>
            </w:r>
          </w:p>
        </w:tc>
        <w:tc>
          <w:tcPr>
            <w:tcW w:w="775" w:type="dxa"/>
          </w:tcPr>
          <w:p w14:paraId="00000390" w14:textId="77777777" w:rsidR="00A92EB8" w:rsidRPr="005869CA" w:rsidRDefault="00411C61">
            <w:pPr>
              <w:rPr>
                <w:sz w:val="20"/>
                <w:szCs w:val="20"/>
                <w:lang w:val="en-US"/>
              </w:rPr>
            </w:pPr>
            <w:r w:rsidRPr="005869CA">
              <w:rPr>
                <w:sz w:val="20"/>
                <w:szCs w:val="20"/>
                <w:lang w:val="en-US"/>
              </w:rPr>
              <w:t>.320</w:t>
            </w:r>
          </w:p>
        </w:tc>
        <w:tc>
          <w:tcPr>
            <w:tcW w:w="775" w:type="dxa"/>
          </w:tcPr>
          <w:p w14:paraId="00000391" w14:textId="77777777" w:rsidR="00A92EB8" w:rsidRPr="005869CA" w:rsidRDefault="00A92EB8">
            <w:pPr>
              <w:rPr>
                <w:sz w:val="20"/>
                <w:szCs w:val="20"/>
                <w:lang w:val="en-US"/>
              </w:rPr>
            </w:pPr>
          </w:p>
        </w:tc>
        <w:tc>
          <w:tcPr>
            <w:tcW w:w="775" w:type="dxa"/>
          </w:tcPr>
          <w:p w14:paraId="00000392" w14:textId="77777777" w:rsidR="00A92EB8" w:rsidRPr="005869CA" w:rsidRDefault="00A92EB8">
            <w:pPr>
              <w:rPr>
                <w:sz w:val="20"/>
                <w:szCs w:val="20"/>
                <w:lang w:val="en-US"/>
              </w:rPr>
            </w:pPr>
          </w:p>
        </w:tc>
        <w:tc>
          <w:tcPr>
            <w:tcW w:w="775" w:type="dxa"/>
          </w:tcPr>
          <w:p w14:paraId="00000393" w14:textId="77777777" w:rsidR="00A92EB8" w:rsidRPr="005869CA" w:rsidRDefault="00A92EB8">
            <w:pPr>
              <w:rPr>
                <w:sz w:val="20"/>
                <w:szCs w:val="20"/>
                <w:lang w:val="en-US"/>
              </w:rPr>
            </w:pPr>
          </w:p>
        </w:tc>
        <w:tc>
          <w:tcPr>
            <w:tcW w:w="775" w:type="dxa"/>
          </w:tcPr>
          <w:p w14:paraId="00000394" w14:textId="77777777" w:rsidR="00A92EB8" w:rsidRPr="005869CA" w:rsidRDefault="00A92EB8">
            <w:pPr>
              <w:rPr>
                <w:sz w:val="20"/>
                <w:szCs w:val="20"/>
                <w:lang w:val="en-US"/>
              </w:rPr>
            </w:pPr>
          </w:p>
        </w:tc>
        <w:tc>
          <w:tcPr>
            <w:tcW w:w="775" w:type="dxa"/>
          </w:tcPr>
          <w:p w14:paraId="00000395" w14:textId="77777777" w:rsidR="00A92EB8" w:rsidRPr="005869CA" w:rsidRDefault="00A92EB8">
            <w:pPr>
              <w:rPr>
                <w:sz w:val="20"/>
                <w:szCs w:val="20"/>
                <w:lang w:val="en-US"/>
              </w:rPr>
            </w:pPr>
          </w:p>
        </w:tc>
        <w:tc>
          <w:tcPr>
            <w:tcW w:w="1089" w:type="dxa"/>
          </w:tcPr>
          <w:p w14:paraId="00000396" w14:textId="77777777" w:rsidR="00A92EB8" w:rsidRPr="005869CA" w:rsidRDefault="00A92EB8">
            <w:pPr>
              <w:rPr>
                <w:sz w:val="20"/>
                <w:szCs w:val="20"/>
                <w:lang w:val="en-US"/>
              </w:rPr>
            </w:pPr>
          </w:p>
        </w:tc>
      </w:tr>
      <w:tr w:rsidR="00A92EB8" w:rsidRPr="005869CA" w14:paraId="7412E338" w14:textId="77777777" w:rsidTr="000C29D9">
        <w:tc>
          <w:tcPr>
            <w:tcW w:w="2324" w:type="dxa"/>
          </w:tcPr>
          <w:p w14:paraId="00000397" w14:textId="77777777" w:rsidR="00A92EB8" w:rsidRPr="005869CA" w:rsidRDefault="00411C61">
            <w:pPr>
              <w:rPr>
                <w:sz w:val="20"/>
                <w:szCs w:val="20"/>
                <w:lang w:val="en-US"/>
              </w:rPr>
            </w:pPr>
            <w:r w:rsidRPr="005869CA">
              <w:rPr>
                <w:sz w:val="20"/>
                <w:szCs w:val="20"/>
                <w:lang w:val="en-US"/>
              </w:rPr>
              <w:t>Anxious</w:t>
            </w:r>
          </w:p>
        </w:tc>
        <w:tc>
          <w:tcPr>
            <w:tcW w:w="774" w:type="dxa"/>
          </w:tcPr>
          <w:p w14:paraId="00000398" w14:textId="77777777" w:rsidR="00A92EB8" w:rsidRPr="005869CA" w:rsidRDefault="00411C61">
            <w:pPr>
              <w:rPr>
                <w:sz w:val="20"/>
                <w:szCs w:val="20"/>
                <w:lang w:val="en-US"/>
              </w:rPr>
            </w:pPr>
            <w:r w:rsidRPr="005869CA">
              <w:rPr>
                <w:sz w:val="20"/>
                <w:szCs w:val="20"/>
                <w:lang w:val="en-US"/>
              </w:rPr>
              <w:t>.02</w:t>
            </w:r>
          </w:p>
        </w:tc>
        <w:tc>
          <w:tcPr>
            <w:tcW w:w="775" w:type="dxa"/>
          </w:tcPr>
          <w:p w14:paraId="00000399" w14:textId="77777777" w:rsidR="00A92EB8" w:rsidRPr="005869CA" w:rsidRDefault="00411C61">
            <w:pPr>
              <w:rPr>
                <w:sz w:val="20"/>
                <w:szCs w:val="20"/>
                <w:lang w:val="en-US"/>
              </w:rPr>
            </w:pPr>
            <w:r w:rsidRPr="005869CA">
              <w:rPr>
                <w:sz w:val="20"/>
                <w:szCs w:val="20"/>
                <w:lang w:val="en-US"/>
              </w:rPr>
              <w:t>.02</w:t>
            </w:r>
          </w:p>
        </w:tc>
        <w:tc>
          <w:tcPr>
            <w:tcW w:w="775" w:type="dxa"/>
          </w:tcPr>
          <w:p w14:paraId="0000039A" w14:textId="77777777" w:rsidR="00A92EB8" w:rsidRPr="005869CA" w:rsidRDefault="00411C61">
            <w:pPr>
              <w:rPr>
                <w:sz w:val="20"/>
                <w:szCs w:val="20"/>
                <w:lang w:val="en-US"/>
              </w:rPr>
            </w:pPr>
            <w:r w:rsidRPr="005869CA">
              <w:rPr>
                <w:sz w:val="20"/>
                <w:szCs w:val="20"/>
                <w:lang w:val="en-US"/>
              </w:rPr>
              <w:t>.463</w:t>
            </w:r>
          </w:p>
        </w:tc>
        <w:tc>
          <w:tcPr>
            <w:tcW w:w="775" w:type="dxa"/>
          </w:tcPr>
          <w:p w14:paraId="0000039B" w14:textId="77777777" w:rsidR="00A92EB8" w:rsidRPr="005869CA" w:rsidRDefault="00411C61">
            <w:pPr>
              <w:rPr>
                <w:sz w:val="20"/>
                <w:szCs w:val="20"/>
                <w:lang w:val="en-US"/>
              </w:rPr>
            </w:pPr>
            <w:r w:rsidRPr="005869CA">
              <w:rPr>
                <w:sz w:val="20"/>
                <w:szCs w:val="20"/>
                <w:lang w:val="en-US"/>
              </w:rPr>
              <w:t>.00</w:t>
            </w:r>
          </w:p>
        </w:tc>
        <w:tc>
          <w:tcPr>
            <w:tcW w:w="775" w:type="dxa"/>
          </w:tcPr>
          <w:p w14:paraId="0000039C" w14:textId="77777777" w:rsidR="00A92EB8" w:rsidRPr="005869CA" w:rsidRDefault="00411C61">
            <w:pPr>
              <w:rPr>
                <w:sz w:val="20"/>
                <w:szCs w:val="20"/>
                <w:lang w:val="en-US"/>
              </w:rPr>
            </w:pPr>
            <w:r w:rsidRPr="005869CA">
              <w:rPr>
                <w:sz w:val="20"/>
                <w:szCs w:val="20"/>
                <w:lang w:val="en-US"/>
              </w:rPr>
              <w:t>.02</w:t>
            </w:r>
          </w:p>
        </w:tc>
        <w:tc>
          <w:tcPr>
            <w:tcW w:w="775" w:type="dxa"/>
          </w:tcPr>
          <w:p w14:paraId="0000039D" w14:textId="77777777" w:rsidR="00A92EB8" w:rsidRPr="005869CA" w:rsidRDefault="00411C61">
            <w:pPr>
              <w:rPr>
                <w:sz w:val="20"/>
                <w:szCs w:val="20"/>
                <w:lang w:val="en-US"/>
              </w:rPr>
            </w:pPr>
            <w:r w:rsidRPr="005869CA">
              <w:rPr>
                <w:sz w:val="20"/>
                <w:szCs w:val="20"/>
                <w:lang w:val="en-US"/>
              </w:rPr>
              <w:t>.797</w:t>
            </w:r>
          </w:p>
        </w:tc>
        <w:tc>
          <w:tcPr>
            <w:tcW w:w="775" w:type="dxa"/>
          </w:tcPr>
          <w:p w14:paraId="0000039E" w14:textId="77777777" w:rsidR="00A92EB8" w:rsidRPr="005869CA" w:rsidRDefault="00A92EB8">
            <w:pPr>
              <w:rPr>
                <w:sz w:val="20"/>
                <w:szCs w:val="20"/>
                <w:lang w:val="en-US"/>
              </w:rPr>
            </w:pPr>
          </w:p>
        </w:tc>
        <w:tc>
          <w:tcPr>
            <w:tcW w:w="775" w:type="dxa"/>
          </w:tcPr>
          <w:p w14:paraId="0000039F" w14:textId="77777777" w:rsidR="00A92EB8" w:rsidRPr="005869CA" w:rsidRDefault="00A92EB8">
            <w:pPr>
              <w:rPr>
                <w:sz w:val="20"/>
                <w:szCs w:val="20"/>
                <w:lang w:val="en-US"/>
              </w:rPr>
            </w:pPr>
          </w:p>
        </w:tc>
        <w:tc>
          <w:tcPr>
            <w:tcW w:w="775" w:type="dxa"/>
          </w:tcPr>
          <w:p w14:paraId="000003A0" w14:textId="77777777" w:rsidR="00A92EB8" w:rsidRPr="005869CA" w:rsidRDefault="00A92EB8">
            <w:pPr>
              <w:rPr>
                <w:sz w:val="20"/>
                <w:szCs w:val="20"/>
                <w:lang w:val="en-US"/>
              </w:rPr>
            </w:pPr>
          </w:p>
        </w:tc>
        <w:tc>
          <w:tcPr>
            <w:tcW w:w="775" w:type="dxa"/>
          </w:tcPr>
          <w:p w14:paraId="000003A1" w14:textId="77777777" w:rsidR="00A92EB8" w:rsidRPr="005869CA" w:rsidRDefault="00A92EB8">
            <w:pPr>
              <w:rPr>
                <w:sz w:val="20"/>
                <w:szCs w:val="20"/>
                <w:lang w:val="en-US"/>
              </w:rPr>
            </w:pPr>
          </w:p>
        </w:tc>
        <w:tc>
          <w:tcPr>
            <w:tcW w:w="775" w:type="dxa"/>
          </w:tcPr>
          <w:p w14:paraId="000003A2" w14:textId="77777777" w:rsidR="00A92EB8" w:rsidRPr="005869CA" w:rsidRDefault="00A92EB8">
            <w:pPr>
              <w:rPr>
                <w:sz w:val="20"/>
                <w:szCs w:val="20"/>
                <w:lang w:val="en-US"/>
              </w:rPr>
            </w:pPr>
          </w:p>
        </w:tc>
        <w:tc>
          <w:tcPr>
            <w:tcW w:w="1089" w:type="dxa"/>
          </w:tcPr>
          <w:p w14:paraId="000003A3" w14:textId="77777777" w:rsidR="00A92EB8" w:rsidRPr="005869CA" w:rsidRDefault="00A92EB8">
            <w:pPr>
              <w:rPr>
                <w:sz w:val="20"/>
                <w:szCs w:val="20"/>
                <w:lang w:val="en-US"/>
              </w:rPr>
            </w:pPr>
          </w:p>
        </w:tc>
      </w:tr>
      <w:tr w:rsidR="00A92EB8" w:rsidRPr="005869CA" w14:paraId="13A3DBA0" w14:textId="77777777" w:rsidTr="000C29D9">
        <w:tc>
          <w:tcPr>
            <w:tcW w:w="2324" w:type="dxa"/>
          </w:tcPr>
          <w:p w14:paraId="000003A4" w14:textId="77777777" w:rsidR="00A92EB8" w:rsidRPr="005869CA" w:rsidRDefault="00411C61">
            <w:pPr>
              <w:rPr>
                <w:sz w:val="20"/>
                <w:szCs w:val="20"/>
                <w:lang w:val="en-US"/>
              </w:rPr>
            </w:pPr>
            <w:r w:rsidRPr="005869CA">
              <w:rPr>
                <w:sz w:val="20"/>
                <w:szCs w:val="20"/>
                <w:lang w:val="en-US"/>
              </w:rPr>
              <w:t>Avoidant</w:t>
            </w:r>
          </w:p>
        </w:tc>
        <w:tc>
          <w:tcPr>
            <w:tcW w:w="774" w:type="dxa"/>
          </w:tcPr>
          <w:p w14:paraId="000003A5" w14:textId="77777777" w:rsidR="00A92EB8" w:rsidRPr="005869CA" w:rsidRDefault="00411C61">
            <w:pPr>
              <w:rPr>
                <w:sz w:val="20"/>
                <w:szCs w:val="20"/>
                <w:lang w:val="en-US"/>
              </w:rPr>
            </w:pPr>
            <w:r w:rsidRPr="005869CA">
              <w:rPr>
                <w:sz w:val="20"/>
                <w:szCs w:val="20"/>
                <w:lang w:val="en-US"/>
              </w:rPr>
              <w:t>.01</w:t>
            </w:r>
          </w:p>
        </w:tc>
        <w:tc>
          <w:tcPr>
            <w:tcW w:w="775" w:type="dxa"/>
          </w:tcPr>
          <w:p w14:paraId="000003A6" w14:textId="77777777" w:rsidR="00A92EB8" w:rsidRPr="005869CA" w:rsidRDefault="00411C61">
            <w:pPr>
              <w:rPr>
                <w:sz w:val="20"/>
                <w:szCs w:val="20"/>
                <w:lang w:val="en-US"/>
              </w:rPr>
            </w:pPr>
            <w:r w:rsidRPr="005869CA">
              <w:rPr>
                <w:sz w:val="20"/>
                <w:szCs w:val="20"/>
                <w:lang w:val="en-US"/>
              </w:rPr>
              <w:t>.01</w:t>
            </w:r>
          </w:p>
        </w:tc>
        <w:tc>
          <w:tcPr>
            <w:tcW w:w="775" w:type="dxa"/>
          </w:tcPr>
          <w:p w14:paraId="000003A7" w14:textId="77777777" w:rsidR="00A92EB8" w:rsidRPr="005869CA" w:rsidRDefault="00411C61">
            <w:pPr>
              <w:rPr>
                <w:sz w:val="20"/>
                <w:szCs w:val="20"/>
                <w:lang w:val="en-US"/>
              </w:rPr>
            </w:pPr>
            <w:r w:rsidRPr="005869CA">
              <w:rPr>
                <w:sz w:val="20"/>
                <w:szCs w:val="20"/>
                <w:lang w:val="en-US"/>
              </w:rPr>
              <w:t>.375</w:t>
            </w:r>
          </w:p>
        </w:tc>
        <w:tc>
          <w:tcPr>
            <w:tcW w:w="775" w:type="dxa"/>
          </w:tcPr>
          <w:p w14:paraId="000003A8" w14:textId="77777777" w:rsidR="00A92EB8" w:rsidRPr="005869CA" w:rsidRDefault="00411C61">
            <w:pPr>
              <w:rPr>
                <w:sz w:val="20"/>
                <w:szCs w:val="20"/>
                <w:lang w:val="en-US"/>
              </w:rPr>
            </w:pPr>
            <w:r w:rsidRPr="005869CA">
              <w:rPr>
                <w:sz w:val="20"/>
                <w:szCs w:val="20"/>
                <w:lang w:val="en-US"/>
              </w:rPr>
              <w:t>.00</w:t>
            </w:r>
          </w:p>
        </w:tc>
        <w:tc>
          <w:tcPr>
            <w:tcW w:w="775" w:type="dxa"/>
          </w:tcPr>
          <w:p w14:paraId="000003A9" w14:textId="77777777" w:rsidR="00A92EB8" w:rsidRPr="005869CA" w:rsidRDefault="00411C61">
            <w:pPr>
              <w:rPr>
                <w:sz w:val="20"/>
                <w:szCs w:val="20"/>
                <w:lang w:val="en-US"/>
              </w:rPr>
            </w:pPr>
            <w:r w:rsidRPr="005869CA">
              <w:rPr>
                <w:sz w:val="20"/>
                <w:szCs w:val="20"/>
                <w:lang w:val="en-US"/>
              </w:rPr>
              <w:t>.01</w:t>
            </w:r>
          </w:p>
        </w:tc>
        <w:tc>
          <w:tcPr>
            <w:tcW w:w="775" w:type="dxa"/>
          </w:tcPr>
          <w:p w14:paraId="000003AA" w14:textId="77777777" w:rsidR="00A92EB8" w:rsidRPr="005869CA" w:rsidRDefault="00411C61">
            <w:pPr>
              <w:rPr>
                <w:sz w:val="20"/>
                <w:szCs w:val="20"/>
                <w:lang w:val="en-US"/>
              </w:rPr>
            </w:pPr>
            <w:r w:rsidRPr="005869CA">
              <w:rPr>
                <w:sz w:val="20"/>
                <w:szCs w:val="20"/>
                <w:lang w:val="en-US"/>
              </w:rPr>
              <w:t>.650</w:t>
            </w:r>
          </w:p>
        </w:tc>
        <w:tc>
          <w:tcPr>
            <w:tcW w:w="775" w:type="dxa"/>
          </w:tcPr>
          <w:p w14:paraId="000003AB" w14:textId="77777777" w:rsidR="00A92EB8" w:rsidRPr="005869CA" w:rsidRDefault="00A92EB8">
            <w:pPr>
              <w:rPr>
                <w:sz w:val="20"/>
                <w:szCs w:val="20"/>
                <w:lang w:val="en-US"/>
              </w:rPr>
            </w:pPr>
          </w:p>
        </w:tc>
        <w:tc>
          <w:tcPr>
            <w:tcW w:w="775" w:type="dxa"/>
          </w:tcPr>
          <w:p w14:paraId="000003AC" w14:textId="77777777" w:rsidR="00A92EB8" w:rsidRPr="005869CA" w:rsidRDefault="00A92EB8">
            <w:pPr>
              <w:rPr>
                <w:sz w:val="20"/>
                <w:szCs w:val="20"/>
                <w:lang w:val="en-US"/>
              </w:rPr>
            </w:pPr>
          </w:p>
        </w:tc>
        <w:tc>
          <w:tcPr>
            <w:tcW w:w="775" w:type="dxa"/>
          </w:tcPr>
          <w:p w14:paraId="000003AD" w14:textId="77777777" w:rsidR="00A92EB8" w:rsidRPr="005869CA" w:rsidRDefault="00A92EB8">
            <w:pPr>
              <w:rPr>
                <w:sz w:val="20"/>
                <w:szCs w:val="20"/>
                <w:lang w:val="en-US"/>
              </w:rPr>
            </w:pPr>
          </w:p>
        </w:tc>
        <w:tc>
          <w:tcPr>
            <w:tcW w:w="775" w:type="dxa"/>
          </w:tcPr>
          <w:p w14:paraId="000003AE" w14:textId="77777777" w:rsidR="00A92EB8" w:rsidRPr="005869CA" w:rsidRDefault="00A92EB8">
            <w:pPr>
              <w:rPr>
                <w:sz w:val="20"/>
                <w:szCs w:val="20"/>
                <w:lang w:val="en-US"/>
              </w:rPr>
            </w:pPr>
          </w:p>
        </w:tc>
        <w:tc>
          <w:tcPr>
            <w:tcW w:w="775" w:type="dxa"/>
          </w:tcPr>
          <w:p w14:paraId="000003AF" w14:textId="77777777" w:rsidR="00A92EB8" w:rsidRPr="005869CA" w:rsidRDefault="00A92EB8">
            <w:pPr>
              <w:rPr>
                <w:sz w:val="20"/>
                <w:szCs w:val="20"/>
                <w:lang w:val="en-US"/>
              </w:rPr>
            </w:pPr>
          </w:p>
        </w:tc>
        <w:tc>
          <w:tcPr>
            <w:tcW w:w="1089" w:type="dxa"/>
          </w:tcPr>
          <w:p w14:paraId="000003B0" w14:textId="77777777" w:rsidR="00A92EB8" w:rsidRPr="005869CA" w:rsidRDefault="00A92EB8">
            <w:pPr>
              <w:rPr>
                <w:sz w:val="20"/>
                <w:szCs w:val="20"/>
                <w:lang w:val="en-US"/>
              </w:rPr>
            </w:pPr>
          </w:p>
        </w:tc>
      </w:tr>
    </w:tbl>
    <w:p w14:paraId="000003B1" w14:textId="61AD8C5C" w:rsidR="00A92EB8" w:rsidRPr="005869CA" w:rsidRDefault="00411C61">
      <w:pPr>
        <w:rPr>
          <w:lang w:val="en-US"/>
        </w:rPr>
        <w:sectPr w:rsidR="00A92EB8" w:rsidRPr="005869CA">
          <w:pgSz w:w="16838" w:h="11906" w:orient="landscape"/>
          <w:pgMar w:top="1440" w:right="1440" w:bottom="1440" w:left="1440" w:header="708" w:footer="708" w:gutter="0"/>
          <w:cols w:space="720"/>
        </w:sectPr>
      </w:pPr>
      <w:r w:rsidRPr="005869CA">
        <w:rPr>
          <w:i/>
          <w:lang w:val="en-US"/>
        </w:rPr>
        <w:t>Note.</w:t>
      </w:r>
      <w:r w:rsidRPr="005869CA">
        <w:rPr>
          <w:lang w:val="en-US"/>
        </w:rPr>
        <w:t xml:space="preserve"> TL = targeted learning.</w:t>
      </w:r>
    </w:p>
    <w:p w14:paraId="000003B2" w14:textId="12A357F8" w:rsidR="00A92EB8" w:rsidRPr="005869CA" w:rsidRDefault="00411C61" w:rsidP="00943465">
      <w:pPr>
        <w:spacing w:line="480" w:lineRule="auto"/>
        <w:rPr>
          <w:b/>
          <w:lang w:val="en-US"/>
        </w:rPr>
      </w:pPr>
      <w:r w:rsidRPr="005869CA">
        <w:rPr>
          <w:b/>
          <w:lang w:val="en-US"/>
        </w:rPr>
        <w:lastRenderedPageBreak/>
        <w:t xml:space="preserve">Figure </w:t>
      </w:r>
      <w:r w:rsidR="00943465">
        <w:rPr>
          <w:b/>
          <w:lang w:val="en-US"/>
        </w:rPr>
        <w:t>1</w:t>
      </w:r>
    </w:p>
    <w:p w14:paraId="000003B4" w14:textId="140CA739" w:rsidR="00A92EB8" w:rsidRDefault="00411C61" w:rsidP="00943465">
      <w:pPr>
        <w:spacing w:line="480" w:lineRule="auto"/>
        <w:rPr>
          <w:lang w:val="en-US"/>
        </w:rPr>
      </w:pPr>
      <w:r w:rsidRPr="00C64BD4">
        <w:rPr>
          <w:i/>
          <w:iCs/>
          <w:lang w:val="en-US"/>
        </w:rPr>
        <w:t xml:space="preserve">Cross-Sectional Causal Discovery </w:t>
      </w:r>
      <w:sdt>
        <w:sdtPr>
          <w:rPr>
            <w:i/>
            <w:iCs/>
            <w:lang w:val="en-US"/>
          </w:rPr>
          <w:tag w:val="goog_rdk_4"/>
          <w:id w:val="-383722067"/>
        </w:sdtPr>
        <w:sdtContent/>
      </w:sdt>
      <w:r w:rsidRPr="00C64BD4">
        <w:rPr>
          <w:i/>
          <w:iCs/>
          <w:lang w:val="en-US"/>
        </w:rPr>
        <w:t>Results</w:t>
      </w:r>
      <w:r w:rsidR="00A271B5">
        <w:rPr>
          <w:noProof/>
          <w:lang w:val="en-US"/>
        </w:rPr>
        <w:drawing>
          <wp:inline distT="0" distB="0" distL="0" distR="0" wp14:anchorId="4477E716" wp14:editId="30D408BD">
            <wp:extent cx="5731510" cy="2916555"/>
            <wp:effectExtent l="0" t="0" r="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35">
                      <a:extLst>
                        <a:ext uri="{28A0092B-C50C-407E-A947-70E740481C1C}">
                          <a14:useLocalDpi xmlns:a14="http://schemas.microsoft.com/office/drawing/2010/main" val="0"/>
                        </a:ext>
                      </a:extLst>
                    </a:blip>
                    <a:stretch>
                      <a:fillRect/>
                    </a:stretch>
                  </pic:blipFill>
                  <pic:spPr>
                    <a:xfrm>
                      <a:off x="0" y="0"/>
                      <a:ext cx="5731510" cy="2916555"/>
                    </a:xfrm>
                    <a:prstGeom prst="rect">
                      <a:avLst/>
                    </a:prstGeom>
                  </pic:spPr>
                </pic:pic>
              </a:graphicData>
            </a:graphic>
          </wp:inline>
        </w:drawing>
      </w:r>
    </w:p>
    <w:p w14:paraId="01B44590" w14:textId="6FBCC662" w:rsidR="00A271B5" w:rsidRPr="005869CA" w:rsidRDefault="00AD09A5" w:rsidP="00A271B5">
      <w:pPr>
        <w:spacing w:after="160" w:line="480" w:lineRule="auto"/>
        <w:ind w:firstLine="720"/>
        <w:rPr>
          <w:lang w:val="en-US"/>
        </w:rPr>
      </w:pPr>
      <w:r w:rsidRPr="00AD09A5">
        <w:rPr>
          <w:i/>
          <w:iCs/>
          <w:lang w:val="en-US"/>
        </w:rPr>
        <w:t>Note.</w:t>
      </w:r>
      <w:r>
        <w:rPr>
          <w:lang w:val="en-US"/>
        </w:rPr>
        <w:t xml:space="preserve"> </w:t>
      </w:r>
      <w:r w:rsidR="00A271B5">
        <w:rPr>
          <w:lang w:val="en-US"/>
        </w:rPr>
        <w:t>The</w:t>
      </w:r>
      <w:r w:rsidR="00A271B5" w:rsidRPr="00A271B5">
        <w:rPr>
          <w:lang w:val="en-US"/>
        </w:rPr>
        <w:t xml:space="preserve"> directed causal relationship</w:t>
      </w:r>
      <w:r w:rsidR="00A271B5">
        <w:rPr>
          <w:lang w:val="en-US"/>
        </w:rPr>
        <w:t>s</w:t>
      </w:r>
      <w:r w:rsidR="00A271B5" w:rsidRPr="00A271B5">
        <w:rPr>
          <w:lang w:val="en-US"/>
        </w:rPr>
        <w:t xml:space="preserve"> between the cause and effect with a probability of at least 0.5</w:t>
      </w:r>
      <w:r w:rsidR="00A271B5">
        <w:rPr>
          <w:lang w:val="en-US"/>
        </w:rPr>
        <w:t xml:space="preserve"> have been included in the graphs</w:t>
      </w:r>
      <w:r w:rsidR="00A271B5" w:rsidRPr="00A271B5">
        <w:rPr>
          <w:lang w:val="en-US"/>
        </w:rPr>
        <w:t xml:space="preserve">. </w:t>
      </w:r>
      <w:r w:rsidR="00A271B5">
        <w:rPr>
          <w:lang w:val="en-US"/>
        </w:rPr>
        <w:t xml:space="preserve">We have highlighted the theoretically relevant relationships in bold but have included the required </w:t>
      </w:r>
      <w:r w:rsidR="00380216">
        <w:rPr>
          <w:lang w:val="en-US"/>
        </w:rPr>
        <w:t>control</w:t>
      </w:r>
      <w:r w:rsidR="00A271B5">
        <w:rPr>
          <w:lang w:val="en-US"/>
        </w:rPr>
        <w:t xml:space="preserve"> variables in the graph. Precision variables are included in grey as they are not necessary to produce an unbiased estimate but can make the standard errors tighter because they explain variance in the outcome variables.</w:t>
      </w:r>
    </w:p>
    <w:p w14:paraId="1EB0ED0B" w14:textId="7BDD4887" w:rsidR="00AD09A5" w:rsidRPr="005869CA" w:rsidRDefault="00AD09A5">
      <w:pPr>
        <w:spacing w:after="160"/>
        <w:rPr>
          <w:lang w:val="en-US"/>
        </w:rPr>
      </w:pPr>
    </w:p>
    <w:p w14:paraId="000003B5" w14:textId="13A98ADB" w:rsidR="00A92EB8" w:rsidRPr="005869CA" w:rsidRDefault="00411C61">
      <w:pPr>
        <w:rPr>
          <w:lang w:val="en-US"/>
        </w:rPr>
      </w:pPr>
      <w:r w:rsidRPr="005869CA">
        <w:rPr>
          <w:lang w:val="en-US"/>
        </w:rPr>
        <w:br w:type="page"/>
      </w:r>
    </w:p>
    <w:p w14:paraId="000003B6" w14:textId="43D2665D" w:rsidR="00A92EB8" w:rsidRPr="005869CA" w:rsidRDefault="00411C61">
      <w:pPr>
        <w:spacing w:after="160"/>
        <w:rPr>
          <w:b/>
          <w:lang w:val="en-US"/>
        </w:rPr>
      </w:pPr>
      <w:r w:rsidRPr="005869CA">
        <w:rPr>
          <w:b/>
          <w:lang w:val="en-US"/>
        </w:rPr>
        <w:lastRenderedPageBreak/>
        <w:t xml:space="preserve">Figure </w:t>
      </w:r>
      <w:r w:rsidR="00943465">
        <w:rPr>
          <w:b/>
          <w:lang w:val="en-US"/>
        </w:rPr>
        <w:t>2</w:t>
      </w:r>
    </w:p>
    <w:p w14:paraId="000003BA" w14:textId="1685F2DE" w:rsidR="00A92EB8" w:rsidRPr="00C64BD4" w:rsidRDefault="00411C61" w:rsidP="00A271B5">
      <w:pPr>
        <w:spacing w:after="160"/>
        <w:rPr>
          <w:i/>
          <w:iCs/>
          <w:lang w:val="en-US"/>
        </w:rPr>
      </w:pPr>
      <w:r w:rsidRPr="00C64BD4">
        <w:rPr>
          <w:i/>
          <w:iCs/>
          <w:lang w:val="en-US"/>
        </w:rPr>
        <w:t>Longitudinal Causal Discovery Results</w:t>
      </w:r>
    </w:p>
    <w:p w14:paraId="000009F5" w14:textId="26EDF3A9" w:rsidR="00A92EB8" w:rsidRDefault="000334DD">
      <w:pPr>
        <w:rPr>
          <w:b/>
          <w:lang w:val="en-US"/>
        </w:rPr>
      </w:pPr>
      <w:r>
        <w:rPr>
          <w:noProof/>
          <w:lang w:val="en-US"/>
        </w:rPr>
        <w:drawing>
          <wp:inline distT="0" distB="0" distL="0" distR="0" wp14:anchorId="351299B8" wp14:editId="326A45A9">
            <wp:extent cx="5731510" cy="354965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36" cstate="print">
                      <a:extLst>
                        <a:ext uri="{28A0092B-C50C-407E-A947-70E740481C1C}">
                          <a14:useLocalDpi xmlns:a14="http://schemas.microsoft.com/office/drawing/2010/main" val="0"/>
                        </a:ext>
                      </a:extLst>
                    </a:blip>
                    <a:stretch>
                      <a:fillRect/>
                    </a:stretch>
                  </pic:blipFill>
                  <pic:spPr>
                    <a:xfrm>
                      <a:off x="0" y="0"/>
                      <a:ext cx="5731510" cy="3549650"/>
                    </a:xfrm>
                    <a:prstGeom prst="rect">
                      <a:avLst/>
                    </a:prstGeom>
                  </pic:spPr>
                </pic:pic>
              </a:graphicData>
            </a:graphic>
          </wp:inline>
        </w:drawing>
      </w:r>
    </w:p>
    <w:p w14:paraId="2B954237" w14:textId="0BB5ABAE" w:rsidR="00A271B5" w:rsidRPr="005869CA" w:rsidRDefault="00A271B5" w:rsidP="00A271B5">
      <w:pPr>
        <w:spacing w:after="160" w:line="480" w:lineRule="auto"/>
        <w:ind w:firstLine="720"/>
        <w:rPr>
          <w:lang w:val="en-US"/>
        </w:rPr>
      </w:pPr>
      <w:r w:rsidRPr="00AD09A5">
        <w:rPr>
          <w:i/>
          <w:iCs/>
          <w:lang w:val="en-US"/>
        </w:rPr>
        <w:t>Note.</w:t>
      </w:r>
      <w:r>
        <w:rPr>
          <w:lang w:val="en-US"/>
        </w:rPr>
        <w:t xml:space="preserve"> The</w:t>
      </w:r>
      <w:r w:rsidRPr="00A271B5">
        <w:rPr>
          <w:lang w:val="en-US"/>
        </w:rPr>
        <w:t xml:space="preserve"> directed causal relationship</w:t>
      </w:r>
      <w:r>
        <w:rPr>
          <w:lang w:val="en-US"/>
        </w:rPr>
        <w:t>s</w:t>
      </w:r>
      <w:r w:rsidRPr="00A271B5">
        <w:rPr>
          <w:lang w:val="en-US"/>
        </w:rPr>
        <w:t xml:space="preserve"> between the cause and effect with a probability of at least 0.5</w:t>
      </w:r>
      <w:r>
        <w:rPr>
          <w:lang w:val="en-US"/>
        </w:rPr>
        <w:t xml:space="preserve"> have been included in the graphs</w:t>
      </w:r>
      <w:r w:rsidRPr="00A271B5">
        <w:rPr>
          <w:lang w:val="en-US"/>
        </w:rPr>
        <w:t xml:space="preserve">. </w:t>
      </w:r>
      <w:r>
        <w:rPr>
          <w:lang w:val="en-US"/>
        </w:rPr>
        <w:t xml:space="preserve">We have highlighted the theoretically relevant relationships in bold but have included the required </w:t>
      </w:r>
      <w:r w:rsidR="00380216">
        <w:rPr>
          <w:lang w:val="en-US"/>
        </w:rPr>
        <w:t>control</w:t>
      </w:r>
      <w:r>
        <w:rPr>
          <w:lang w:val="en-US"/>
        </w:rPr>
        <w:t xml:space="preserve"> variables in the graph. There were no precision variables in the longitudinal model given that all the cross-sectional precision variables caused Wave 2 outcomes as well as Wave 3 outcomes meaning they introduced confounding in the data and needed to be included as</w:t>
      </w:r>
      <w:r w:rsidR="00380216">
        <w:rPr>
          <w:lang w:val="en-US"/>
        </w:rPr>
        <w:t xml:space="preserve"> controls</w:t>
      </w:r>
      <w:r>
        <w:rPr>
          <w:lang w:val="en-US"/>
        </w:rPr>
        <w:t>.</w:t>
      </w:r>
    </w:p>
    <w:p w14:paraId="53DF25B9" w14:textId="6598106A" w:rsidR="00A271B5" w:rsidRPr="008555E5" w:rsidRDefault="00A271B5">
      <w:pPr>
        <w:rPr>
          <w:b/>
          <w:lang w:val="en-US"/>
        </w:rPr>
      </w:pPr>
    </w:p>
    <w:sectPr w:rsidR="00A271B5" w:rsidRPr="008555E5">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5993E" w14:textId="77777777" w:rsidR="00CF3790" w:rsidRDefault="00CF3790" w:rsidP="00CB39EE">
      <w:r>
        <w:separator/>
      </w:r>
    </w:p>
  </w:endnote>
  <w:endnote w:type="continuationSeparator" w:id="0">
    <w:p w14:paraId="6A5CEF19" w14:textId="77777777" w:rsidR="00CF3790" w:rsidRDefault="00CF3790" w:rsidP="00CB3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Roboto">
    <w:panose1 w:val="02000000000000000000"/>
    <w:charset w:val="00"/>
    <w:family w:val="auto"/>
    <w:pitch w:val="variable"/>
    <w:sig w:usb0="E0000AFF" w:usb1="5000217F" w:usb2="00000021" w:usb3="00000000" w:csb0="000001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61BFC" w14:textId="77777777" w:rsidR="00CF3790" w:rsidRDefault="00CF3790" w:rsidP="00CB39EE">
      <w:r>
        <w:separator/>
      </w:r>
    </w:p>
  </w:footnote>
  <w:footnote w:type="continuationSeparator" w:id="0">
    <w:p w14:paraId="11841EBA" w14:textId="77777777" w:rsidR="00CF3790" w:rsidRDefault="00CF3790" w:rsidP="00CB39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05261730"/>
      <w:docPartObj>
        <w:docPartGallery w:val="Page Numbers (Top of Page)"/>
        <w:docPartUnique/>
      </w:docPartObj>
    </w:sdtPr>
    <w:sdtContent>
      <w:p w14:paraId="4EA256F3" w14:textId="388F301B" w:rsidR="00CB39EE" w:rsidRDefault="00CB39EE" w:rsidP="001B152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36</w:t>
        </w:r>
        <w:r>
          <w:rPr>
            <w:rStyle w:val="PageNumber"/>
          </w:rPr>
          <w:fldChar w:fldCharType="end"/>
        </w:r>
      </w:p>
    </w:sdtContent>
  </w:sdt>
  <w:p w14:paraId="3F062CCA" w14:textId="77777777" w:rsidR="00CB39EE" w:rsidRDefault="00CB39EE" w:rsidP="00CB39E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35216674"/>
      <w:docPartObj>
        <w:docPartGallery w:val="Page Numbers (Top of Page)"/>
        <w:docPartUnique/>
      </w:docPartObj>
    </w:sdtPr>
    <w:sdtContent>
      <w:p w14:paraId="68354F6D" w14:textId="7C696286" w:rsidR="00CB39EE" w:rsidRDefault="00CB39EE" w:rsidP="001B152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4B20932" w14:textId="5ED6D96A" w:rsidR="00CB39EE" w:rsidRPr="00CB39EE" w:rsidRDefault="00CB39EE" w:rsidP="00CB39EE">
    <w:pPr>
      <w:pStyle w:val="Header"/>
      <w:ind w:right="360"/>
    </w:pPr>
    <w:r>
      <w:t>ATTACHMENT STYLES AND MENTAL HEALTH DURING COVID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removePersonalInformation/>
  <w:removeDateAndTim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EB8"/>
    <w:rsid w:val="00001FAF"/>
    <w:rsid w:val="00012AD9"/>
    <w:rsid w:val="00012EEF"/>
    <w:rsid w:val="00014ADF"/>
    <w:rsid w:val="000334DD"/>
    <w:rsid w:val="00054AF4"/>
    <w:rsid w:val="0009109C"/>
    <w:rsid w:val="00095396"/>
    <w:rsid w:val="000A1FB6"/>
    <w:rsid w:val="000A3528"/>
    <w:rsid w:val="000A3626"/>
    <w:rsid w:val="000A7DB3"/>
    <w:rsid w:val="000B587D"/>
    <w:rsid w:val="000C188E"/>
    <w:rsid w:val="000C29D9"/>
    <w:rsid w:val="000C710E"/>
    <w:rsid w:val="000D68D1"/>
    <w:rsid w:val="000E4739"/>
    <w:rsid w:val="00115C9E"/>
    <w:rsid w:val="00134025"/>
    <w:rsid w:val="00135C75"/>
    <w:rsid w:val="00137425"/>
    <w:rsid w:val="001412EF"/>
    <w:rsid w:val="0014303D"/>
    <w:rsid w:val="00145989"/>
    <w:rsid w:val="00173386"/>
    <w:rsid w:val="0018293C"/>
    <w:rsid w:val="001A4801"/>
    <w:rsid w:val="001D1E93"/>
    <w:rsid w:val="001D6711"/>
    <w:rsid w:val="001E3D5C"/>
    <w:rsid w:val="001F1840"/>
    <w:rsid w:val="00202476"/>
    <w:rsid w:val="002155A8"/>
    <w:rsid w:val="002335BE"/>
    <w:rsid w:val="002429A0"/>
    <w:rsid w:val="002671B6"/>
    <w:rsid w:val="002672E9"/>
    <w:rsid w:val="00275661"/>
    <w:rsid w:val="00277ADF"/>
    <w:rsid w:val="002A200F"/>
    <w:rsid w:val="002B133C"/>
    <w:rsid w:val="002D5E2A"/>
    <w:rsid w:val="002E22A4"/>
    <w:rsid w:val="002E5BE1"/>
    <w:rsid w:val="002F688A"/>
    <w:rsid w:val="00302814"/>
    <w:rsid w:val="00314036"/>
    <w:rsid w:val="00316A22"/>
    <w:rsid w:val="003409C0"/>
    <w:rsid w:val="00342A04"/>
    <w:rsid w:val="0035281B"/>
    <w:rsid w:val="0035583A"/>
    <w:rsid w:val="003653B4"/>
    <w:rsid w:val="00365702"/>
    <w:rsid w:val="003717B4"/>
    <w:rsid w:val="00373C8C"/>
    <w:rsid w:val="00374315"/>
    <w:rsid w:val="0037537C"/>
    <w:rsid w:val="00375487"/>
    <w:rsid w:val="00380216"/>
    <w:rsid w:val="0039131D"/>
    <w:rsid w:val="00392242"/>
    <w:rsid w:val="003A3BD9"/>
    <w:rsid w:val="003B6957"/>
    <w:rsid w:val="003D24DD"/>
    <w:rsid w:val="003D36C4"/>
    <w:rsid w:val="00403370"/>
    <w:rsid w:val="0040395F"/>
    <w:rsid w:val="004047B1"/>
    <w:rsid w:val="00411C2C"/>
    <w:rsid w:val="00411C61"/>
    <w:rsid w:val="004211EC"/>
    <w:rsid w:val="0042791A"/>
    <w:rsid w:val="004314F2"/>
    <w:rsid w:val="00435E22"/>
    <w:rsid w:val="004364AE"/>
    <w:rsid w:val="004414D5"/>
    <w:rsid w:val="00447B5D"/>
    <w:rsid w:val="0045620B"/>
    <w:rsid w:val="00461785"/>
    <w:rsid w:val="00471207"/>
    <w:rsid w:val="00472C70"/>
    <w:rsid w:val="00480899"/>
    <w:rsid w:val="00492E44"/>
    <w:rsid w:val="00494C94"/>
    <w:rsid w:val="00495720"/>
    <w:rsid w:val="00497658"/>
    <w:rsid w:val="004A33A9"/>
    <w:rsid w:val="004A7480"/>
    <w:rsid w:val="004B08D8"/>
    <w:rsid w:val="004C032D"/>
    <w:rsid w:val="004F49A7"/>
    <w:rsid w:val="00503DFC"/>
    <w:rsid w:val="005101AA"/>
    <w:rsid w:val="005475C6"/>
    <w:rsid w:val="00552B51"/>
    <w:rsid w:val="00552F1E"/>
    <w:rsid w:val="005613DE"/>
    <w:rsid w:val="0057134E"/>
    <w:rsid w:val="005869CA"/>
    <w:rsid w:val="00586B56"/>
    <w:rsid w:val="005B1393"/>
    <w:rsid w:val="005C6336"/>
    <w:rsid w:val="005C6CE6"/>
    <w:rsid w:val="005C6FF9"/>
    <w:rsid w:val="005D2ED8"/>
    <w:rsid w:val="005E12EE"/>
    <w:rsid w:val="005E38D4"/>
    <w:rsid w:val="005F5947"/>
    <w:rsid w:val="005F79B2"/>
    <w:rsid w:val="005F7B88"/>
    <w:rsid w:val="00601B67"/>
    <w:rsid w:val="00602F04"/>
    <w:rsid w:val="00616C38"/>
    <w:rsid w:val="00630728"/>
    <w:rsid w:val="00635EF6"/>
    <w:rsid w:val="0064387A"/>
    <w:rsid w:val="00643D5F"/>
    <w:rsid w:val="0064474E"/>
    <w:rsid w:val="00670A11"/>
    <w:rsid w:val="0067584D"/>
    <w:rsid w:val="006801D2"/>
    <w:rsid w:val="006B6EF6"/>
    <w:rsid w:val="006E4BAA"/>
    <w:rsid w:val="007013BE"/>
    <w:rsid w:val="007078E8"/>
    <w:rsid w:val="007103C8"/>
    <w:rsid w:val="00711D69"/>
    <w:rsid w:val="00752D8E"/>
    <w:rsid w:val="00767E46"/>
    <w:rsid w:val="00786C09"/>
    <w:rsid w:val="007942EB"/>
    <w:rsid w:val="007A78FF"/>
    <w:rsid w:val="007B16EE"/>
    <w:rsid w:val="007C62C1"/>
    <w:rsid w:val="007F2BE9"/>
    <w:rsid w:val="007F3AB4"/>
    <w:rsid w:val="007F3C52"/>
    <w:rsid w:val="007F53DB"/>
    <w:rsid w:val="007F77E3"/>
    <w:rsid w:val="00811FF3"/>
    <w:rsid w:val="008155AA"/>
    <w:rsid w:val="008239F4"/>
    <w:rsid w:val="00832E0F"/>
    <w:rsid w:val="008413F0"/>
    <w:rsid w:val="008555E5"/>
    <w:rsid w:val="00866719"/>
    <w:rsid w:val="00873A7B"/>
    <w:rsid w:val="00891B47"/>
    <w:rsid w:val="00891FBA"/>
    <w:rsid w:val="008A49DB"/>
    <w:rsid w:val="008A693F"/>
    <w:rsid w:val="008B4110"/>
    <w:rsid w:val="008B67F1"/>
    <w:rsid w:val="008C63A1"/>
    <w:rsid w:val="008E156A"/>
    <w:rsid w:val="008E4664"/>
    <w:rsid w:val="008F7ED2"/>
    <w:rsid w:val="009006C5"/>
    <w:rsid w:val="00943465"/>
    <w:rsid w:val="00957378"/>
    <w:rsid w:val="009713E2"/>
    <w:rsid w:val="0097167E"/>
    <w:rsid w:val="00981096"/>
    <w:rsid w:val="00982AF5"/>
    <w:rsid w:val="009843AA"/>
    <w:rsid w:val="00984E1E"/>
    <w:rsid w:val="00996075"/>
    <w:rsid w:val="009A66AA"/>
    <w:rsid w:val="009B182A"/>
    <w:rsid w:val="009B2298"/>
    <w:rsid w:val="009B2AE7"/>
    <w:rsid w:val="009B5DDC"/>
    <w:rsid w:val="009C45CD"/>
    <w:rsid w:val="009C6358"/>
    <w:rsid w:val="009D0575"/>
    <w:rsid w:val="009D0BE3"/>
    <w:rsid w:val="009E7914"/>
    <w:rsid w:val="009F44EE"/>
    <w:rsid w:val="00A02130"/>
    <w:rsid w:val="00A06509"/>
    <w:rsid w:val="00A271B5"/>
    <w:rsid w:val="00A31C65"/>
    <w:rsid w:val="00A607C6"/>
    <w:rsid w:val="00A63B06"/>
    <w:rsid w:val="00A77DB4"/>
    <w:rsid w:val="00A92EB8"/>
    <w:rsid w:val="00AA4872"/>
    <w:rsid w:val="00AB20EE"/>
    <w:rsid w:val="00AC322E"/>
    <w:rsid w:val="00AD09A5"/>
    <w:rsid w:val="00AE1064"/>
    <w:rsid w:val="00AE6E34"/>
    <w:rsid w:val="00B002C8"/>
    <w:rsid w:val="00B065C8"/>
    <w:rsid w:val="00B31EC5"/>
    <w:rsid w:val="00B44145"/>
    <w:rsid w:val="00B52F71"/>
    <w:rsid w:val="00B60BD0"/>
    <w:rsid w:val="00B621DD"/>
    <w:rsid w:val="00BA241B"/>
    <w:rsid w:val="00BB4B6F"/>
    <w:rsid w:val="00BC05AF"/>
    <w:rsid w:val="00BE0A3D"/>
    <w:rsid w:val="00BE3911"/>
    <w:rsid w:val="00C26E89"/>
    <w:rsid w:val="00C43490"/>
    <w:rsid w:val="00C53D8D"/>
    <w:rsid w:val="00C56237"/>
    <w:rsid w:val="00C6323F"/>
    <w:rsid w:val="00C64BD4"/>
    <w:rsid w:val="00C80159"/>
    <w:rsid w:val="00CA02F7"/>
    <w:rsid w:val="00CB39EE"/>
    <w:rsid w:val="00CB5670"/>
    <w:rsid w:val="00CD7808"/>
    <w:rsid w:val="00CE48D3"/>
    <w:rsid w:val="00CF3790"/>
    <w:rsid w:val="00CF6D9B"/>
    <w:rsid w:val="00D2485E"/>
    <w:rsid w:val="00D26931"/>
    <w:rsid w:val="00D30591"/>
    <w:rsid w:val="00D56A62"/>
    <w:rsid w:val="00D6213F"/>
    <w:rsid w:val="00D66D04"/>
    <w:rsid w:val="00D900BE"/>
    <w:rsid w:val="00D94FC1"/>
    <w:rsid w:val="00DA605B"/>
    <w:rsid w:val="00DB3616"/>
    <w:rsid w:val="00DC1D20"/>
    <w:rsid w:val="00DE0FC9"/>
    <w:rsid w:val="00DE7171"/>
    <w:rsid w:val="00DF2932"/>
    <w:rsid w:val="00E01FE4"/>
    <w:rsid w:val="00E16079"/>
    <w:rsid w:val="00E22A59"/>
    <w:rsid w:val="00E23504"/>
    <w:rsid w:val="00E26E46"/>
    <w:rsid w:val="00E40311"/>
    <w:rsid w:val="00E5048A"/>
    <w:rsid w:val="00E560FB"/>
    <w:rsid w:val="00E77802"/>
    <w:rsid w:val="00E84035"/>
    <w:rsid w:val="00E856A0"/>
    <w:rsid w:val="00E95559"/>
    <w:rsid w:val="00EA5CCB"/>
    <w:rsid w:val="00EB54A1"/>
    <w:rsid w:val="00EB6C3E"/>
    <w:rsid w:val="00ED3783"/>
    <w:rsid w:val="00EF1865"/>
    <w:rsid w:val="00F00A6B"/>
    <w:rsid w:val="00F021C8"/>
    <w:rsid w:val="00F163C2"/>
    <w:rsid w:val="00F23847"/>
    <w:rsid w:val="00F31735"/>
    <w:rsid w:val="00F4144C"/>
    <w:rsid w:val="00F71974"/>
    <w:rsid w:val="00FC6E24"/>
    <w:rsid w:val="00FD180A"/>
    <w:rsid w:val="00FD6A7B"/>
    <w:rsid w:val="00FD6DDB"/>
    <w:rsid w:val="00FE402D"/>
    <w:rsid w:val="00FF240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FC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5396"/>
    <w:rPr>
      <w:rFonts w:ascii="Times New Roman" w:eastAsia="Times New Roman" w:hAnsi="Times New Roman" w:cs="Times New Roman"/>
    </w:rPr>
  </w:style>
  <w:style w:type="paragraph" w:styleId="Heading1">
    <w:name w:val="heading 1"/>
    <w:basedOn w:val="Normal"/>
    <w:next w:val="Normal"/>
    <w:link w:val="Heading1Char"/>
    <w:uiPriority w:val="9"/>
    <w:qFormat/>
    <w:rsid w:val="001A197F"/>
    <w:pPr>
      <w:keepNext/>
      <w:keepLines/>
      <w:spacing w:before="480" w:after="120"/>
      <w:outlineLvl w:val="0"/>
    </w:pPr>
    <w:rPr>
      <w:rFonts w:ascii="Calibri" w:eastAsia="Calibri" w:hAnsi="Calibri" w:cs="Calibri"/>
      <w:b/>
      <w:sz w:val="48"/>
      <w:szCs w:val="48"/>
    </w:rPr>
  </w:style>
  <w:style w:type="paragraph" w:styleId="Heading2">
    <w:name w:val="heading 2"/>
    <w:basedOn w:val="Normal"/>
    <w:next w:val="Normal"/>
    <w:link w:val="Heading2Char"/>
    <w:uiPriority w:val="9"/>
    <w:unhideWhenUsed/>
    <w:qFormat/>
    <w:rsid w:val="001A197F"/>
    <w:pPr>
      <w:keepNext/>
      <w:keepLines/>
      <w:spacing w:before="360" w:after="80"/>
      <w:outlineLvl w:val="1"/>
    </w:pPr>
    <w:rPr>
      <w:rFonts w:ascii="Calibri" w:eastAsia="Calibri" w:hAnsi="Calibri" w:cs="Calibri"/>
      <w:b/>
      <w:sz w:val="36"/>
      <w:szCs w:val="36"/>
    </w:rPr>
  </w:style>
  <w:style w:type="paragraph" w:styleId="Heading3">
    <w:name w:val="heading 3"/>
    <w:basedOn w:val="Normal"/>
    <w:next w:val="Normal"/>
    <w:uiPriority w:val="9"/>
    <w:semiHidden/>
    <w:unhideWhenUsed/>
    <w:qFormat/>
    <w:pPr>
      <w:keepNext/>
      <w:keepLines/>
      <w:spacing w:before="280" w:after="80"/>
      <w:outlineLvl w:val="2"/>
    </w:pPr>
    <w:rPr>
      <w:rFonts w:ascii="Calibri" w:eastAsia="Calibri" w:hAnsi="Calibri" w:cs="Calibri"/>
      <w:b/>
      <w:sz w:val="28"/>
      <w:szCs w:val="28"/>
    </w:rPr>
  </w:style>
  <w:style w:type="paragraph" w:styleId="Heading4">
    <w:name w:val="heading 4"/>
    <w:basedOn w:val="Normal"/>
    <w:next w:val="Normal"/>
    <w:uiPriority w:val="9"/>
    <w:semiHidden/>
    <w:unhideWhenUsed/>
    <w:qFormat/>
    <w:pPr>
      <w:keepNext/>
      <w:keepLines/>
      <w:spacing w:before="240" w:after="40"/>
      <w:outlineLvl w:val="3"/>
    </w:pPr>
    <w:rPr>
      <w:rFonts w:ascii="Calibri" w:eastAsia="Calibri" w:hAnsi="Calibri" w:cs="Calibri"/>
      <w:b/>
    </w:rPr>
  </w:style>
  <w:style w:type="paragraph" w:styleId="Heading5">
    <w:name w:val="heading 5"/>
    <w:basedOn w:val="Normal"/>
    <w:next w:val="Normal"/>
    <w:uiPriority w:val="9"/>
    <w:semiHidden/>
    <w:unhideWhenUsed/>
    <w:qFormat/>
    <w:pPr>
      <w:keepNext/>
      <w:keepLines/>
      <w:spacing w:before="220" w:after="40"/>
      <w:outlineLvl w:val="4"/>
    </w:pPr>
    <w:rPr>
      <w:rFonts w:ascii="Calibri" w:eastAsia="Calibri" w:hAnsi="Calibri" w:cs="Calibri"/>
      <w:b/>
      <w:sz w:val="22"/>
      <w:szCs w:val="22"/>
    </w:rPr>
  </w:style>
  <w:style w:type="paragraph" w:styleId="Heading6">
    <w:name w:val="heading 6"/>
    <w:basedOn w:val="Normal"/>
    <w:next w:val="Normal"/>
    <w:uiPriority w:val="9"/>
    <w:semiHidden/>
    <w:unhideWhenUsed/>
    <w:qFormat/>
    <w:pPr>
      <w:keepNext/>
      <w:keepLines/>
      <w:spacing w:before="200" w:after="40"/>
      <w:outlineLvl w:val="5"/>
    </w:pPr>
    <w:rPr>
      <w:rFonts w:ascii="Calibri" w:eastAsia="Calibri" w:hAnsi="Calibri" w:cs="Calibri"/>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rFonts w:ascii="Calibri" w:eastAsia="Calibri" w:hAnsi="Calibri" w:cs="Calibri"/>
      <w:b/>
      <w:sz w:val="72"/>
      <w:szCs w:val="72"/>
    </w:rPr>
  </w:style>
  <w:style w:type="paragraph" w:styleId="NormalWeb">
    <w:name w:val="Normal (Web)"/>
    <w:basedOn w:val="Normal"/>
    <w:uiPriority w:val="99"/>
    <w:semiHidden/>
    <w:unhideWhenUsed/>
    <w:rsid w:val="0055063B"/>
    <w:pPr>
      <w:spacing w:before="100" w:beforeAutospacing="1" w:after="100" w:afterAutospacing="1"/>
    </w:pPr>
  </w:style>
  <w:style w:type="paragraph" w:customStyle="1" w:styleId="msonormal0">
    <w:name w:val="msonormal"/>
    <w:basedOn w:val="Normal"/>
    <w:rsid w:val="000D3108"/>
    <w:pPr>
      <w:spacing w:before="100" w:beforeAutospacing="1" w:after="100" w:afterAutospacing="1"/>
    </w:pPr>
    <w:rPr>
      <w:rFonts w:eastAsiaTheme="minorEastAsia"/>
    </w:rPr>
  </w:style>
  <w:style w:type="character" w:customStyle="1" w:styleId="apple-tab-span">
    <w:name w:val="apple-tab-span"/>
    <w:basedOn w:val="DefaultParagraphFont"/>
    <w:rsid w:val="000F76EF"/>
  </w:style>
  <w:style w:type="character" w:styleId="Hyperlink">
    <w:name w:val="Hyperlink"/>
    <w:basedOn w:val="DefaultParagraphFont"/>
    <w:uiPriority w:val="99"/>
    <w:unhideWhenUsed/>
    <w:rsid w:val="000F76EF"/>
    <w:rPr>
      <w:color w:val="0000FF"/>
      <w:u w:val="single"/>
    </w:rPr>
  </w:style>
  <w:style w:type="table" w:styleId="TableGrid">
    <w:name w:val="Table Grid"/>
    <w:basedOn w:val="TableNormal"/>
    <w:uiPriority w:val="39"/>
    <w:rsid w:val="00667CFF"/>
    <w:rPr>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667CFF"/>
    <w:pPr>
      <w:spacing w:line="276" w:lineRule="auto"/>
    </w:pPr>
    <w:rPr>
      <w:rFonts w:ascii="Arial" w:eastAsia="Arial" w:hAnsi="Arial" w:cs="Arial"/>
      <w:color w:val="000000"/>
      <w:sz w:val="22"/>
      <w:szCs w:val="20"/>
      <w:lang w:val="en-US"/>
    </w:rPr>
  </w:style>
  <w:style w:type="character" w:customStyle="1" w:styleId="Heading1Char">
    <w:name w:val="Heading 1 Char"/>
    <w:basedOn w:val="DefaultParagraphFont"/>
    <w:link w:val="Heading1"/>
    <w:uiPriority w:val="9"/>
    <w:rsid w:val="001A197F"/>
    <w:rPr>
      <w:rFonts w:ascii="Calibri" w:eastAsia="Calibri" w:hAnsi="Calibri" w:cs="Calibri"/>
      <w:b/>
      <w:sz w:val="48"/>
      <w:szCs w:val="48"/>
      <w:lang w:val="en-GB" w:eastAsia="en-GB"/>
    </w:rPr>
  </w:style>
  <w:style w:type="character" w:customStyle="1" w:styleId="Heading2Char">
    <w:name w:val="Heading 2 Char"/>
    <w:basedOn w:val="DefaultParagraphFont"/>
    <w:link w:val="Heading2"/>
    <w:uiPriority w:val="9"/>
    <w:rsid w:val="001A197F"/>
    <w:rPr>
      <w:rFonts w:ascii="Calibri" w:eastAsia="Calibri" w:hAnsi="Calibri" w:cs="Calibri"/>
      <w:b/>
      <w:sz w:val="36"/>
      <w:szCs w:val="36"/>
      <w:lang w:val="en-GB" w:eastAsia="en-GB"/>
    </w:rPr>
  </w:style>
  <w:style w:type="character" w:styleId="CommentReference">
    <w:name w:val="annotation reference"/>
    <w:basedOn w:val="DefaultParagraphFont"/>
    <w:uiPriority w:val="99"/>
    <w:semiHidden/>
    <w:unhideWhenUsed/>
    <w:rsid w:val="001A197F"/>
    <w:rPr>
      <w:sz w:val="16"/>
      <w:szCs w:val="1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00" w:type="dxa"/>
        <w:right w:w="100" w:type="dxa"/>
      </w:tblCellMar>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CellMar>
        <w:top w:w="15" w:type="dxa"/>
        <w:left w:w="300" w:type="dxa"/>
        <w:bottom w:w="15" w:type="dxa"/>
        <w:right w:w="300" w:type="dxa"/>
      </w:tblCellMar>
    </w:tblPr>
  </w:style>
  <w:style w:type="table" w:customStyle="1" w:styleId="a3">
    <w:basedOn w:val="TableNormal"/>
    <w:tblPr>
      <w:tblStyleRowBandSize w:val="1"/>
      <w:tblStyleColBandSize w:val="1"/>
      <w:tblCellMar>
        <w:top w:w="15" w:type="dxa"/>
        <w:left w:w="300" w:type="dxa"/>
        <w:bottom w:w="15" w:type="dxa"/>
        <w:right w:w="300" w:type="dxa"/>
      </w:tblCellMar>
    </w:tblPr>
  </w:style>
  <w:style w:type="paragraph" w:styleId="CommentText">
    <w:name w:val="annotation text"/>
    <w:basedOn w:val="Normal"/>
    <w:link w:val="CommentTextChar"/>
    <w:uiPriority w:val="99"/>
    <w:unhideWhenUsed/>
    <w:rPr>
      <w:rFonts w:ascii="Calibri" w:eastAsia="Calibri" w:hAnsi="Calibri" w:cs="Calibri"/>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sid w:val="002429A0"/>
    <w:rPr>
      <w:b/>
      <w:bCs/>
    </w:rPr>
  </w:style>
  <w:style w:type="character" w:customStyle="1" w:styleId="CommentSubjectChar">
    <w:name w:val="Comment Subject Char"/>
    <w:basedOn w:val="CommentTextChar"/>
    <w:link w:val="CommentSubject"/>
    <w:uiPriority w:val="99"/>
    <w:semiHidden/>
    <w:rsid w:val="002429A0"/>
    <w:rPr>
      <w:b/>
      <w:bCs/>
      <w:sz w:val="20"/>
      <w:szCs w:val="20"/>
    </w:rPr>
  </w:style>
  <w:style w:type="character" w:styleId="UnresolvedMention">
    <w:name w:val="Unresolved Mention"/>
    <w:basedOn w:val="DefaultParagraphFont"/>
    <w:uiPriority w:val="99"/>
    <w:semiHidden/>
    <w:unhideWhenUsed/>
    <w:rsid w:val="009C6358"/>
    <w:rPr>
      <w:color w:val="605E5C"/>
      <w:shd w:val="clear" w:color="auto" w:fill="E1DFDD"/>
    </w:rPr>
  </w:style>
  <w:style w:type="paragraph" w:styleId="Header">
    <w:name w:val="header"/>
    <w:basedOn w:val="Normal"/>
    <w:link w:val="HeaderChar"/>
    <w:uiPriority w:val="99"/>
    <w:unhideWhenUsed/>
    <w:rsid w:val="00CB39EE"/>
    <w:pPr>
      <w:tabs>
        <w:tab w:val="center" w:pos="4513"/>
        <w:tab w:val="right" w:pos="9026"/>
      </w:tabs>
    </w:pPr>
  </w:style>
  <w:style w:type="character" w:customStyle="1" w:styleId="HeaderChar">
    <w:name w:val="Header Char"/>
    <w:basedOn w:val="DefaultParagraphFont"/>
    <w:link w:val="Header"/>
    <w:uiPriority w:val="99"/>
    <w:rsid w:val="00CB39EE"/>
    <w:rPr>
      <w:rFonts w:ascii="Times New Roman" w:eastAsia="Times New Roman" w:hAnsi="Times New Roman" w:cs="Times New Roman"/>
    </w:rPr>
  </w:style>
  <w:style w:type="paragraph" w:styleId="Footer">
    <w:name w:val="footer"/>
    <w:basedOn w:val="Normal"/>
    <w:link w:val="FooterChar"/>
    <w:uiPriority w:val="99"/>
    <w:unhideWhenUsed/>
    <w:rsid w:val="00CB39EE"/>
    <w:pPr>
      <w:tabs>
        <w:tab w:val="center" w:pos="4513"/>
        <w:tab w:val="right" w:pos="9026"/>
      </w:tabs>
    </w:pPr>
  </w:style>
  <w:style w:type="character" w:customStyle="1" w:styleId="FooterChar">
    <w:name w:val="Footer Char"/>
    <w:basedOn w:val="DefaultParagraphFont"/>
    <w:link w:val="Footer"/>
    <w:uiPriority w:val="99"/>
    <w:rsid w:val="00CB39EE"/>
    <w:rPr>
      <w:rFonts w:ascii="Times New Roman" w:eastAsia="Times New Roman" w:hAnsi="Times New Roman" w:cs="Times New Roman"/>
    </w:rPr>
  </w:style>
  <w:style w:type="character" w:styleId="PageNumber">
    <w:name w:val="page number"/>
    <w:basedOn w:val="DefaultParagraphFont"/>
    <w:uiPriority w:val="99"/>
    <w:semiHidden/>
    <w:unhideWhenUsed/>
    <w:rsid w:val="00CB39EE"/>
  </w:style>
  <w:style w:type="paragraph" w:styleId="Revision">
    <w:name w:val="Revision"/>
    <w:hidden/>
    <w:uiPriority w:val="99"/>
    <w:semiHidden/>
    <w:rsid w:val="000A3626"/>
    <w:rPr>
      <w:rFonts w:ascii="Times New Roman" w:eastAsia="Times New Roman" w:hAnsi="Times New Roman" w:cs="Times New Roman"/>
    </w:rPr>
  </w:style>
  <w:style w:type="character" w:customStyle="1" w:styleId="epub-sectiontitle">
    <w:name w:val="epub-section__title"/>
    <w:basedOn w:val="DefaultParagraphFont"/>
    <w:rsid w:val="00115C9E"/>
  </w:style>
  <w:style w:type="character" w:styleId="FollowedHyperlink">
    <w:name w:val="FollowedHyperlink"/>
    <w:basedOn w:val="DefaultParagraphFont"/>
    <w:uiPriority w:val="99"/>
    <w:semiHidden/>
    <w:unhideWhenUsed/>
    <w:rsid w:val="00A31C65"/>
    <w:rPr>
      <w:color w:val="954F72" w:themeColor="followedHyperlink"/>
      <w:u w:val="single"/>
    </w:rPr>
  </w:style>
  <w:style w:type="character" w:styleId="Emphasis">
    <w:name w:val="Emphasis"/>
    <w:basedOn w:val="DefaultParagraphFont"/>
    <w:uiPriority w:val="20"/>
    <w:qFormat/>
    <w:rsid w:val="009D0BE3"/>
    <w:rPr>
      <w:i/>
      <w:iCs/>
    </w:rPr>
  </w:style>
  <w:style w:type="character" w:customStyle="1" w:styleId="cf01">
    <w:name w:val="cf01"/>
    <w:basedOn w:val="DefaultParagraphFont"/>
    <w:rsid w:val="00DA605B"/>
    <w:rPr>
      <w:rFonts w:ascii="Segoe UI" w:hAnsi="Segoe UI" w:cs="Segoe UI" w:hint="default"/>
      <w:color w:val="212121"/>
      <w:sz w:val="18"/>
      <w:szCs w:val="18"/>
    </w:rPr>
  </w:style>
  <w:style w:type="paragraph" w:styleId="FootnoteText">
    <w:name w:val="footnote text"/>
    <w:basedOn w:val="Normal"/>
    <w:link w:val="FootnoteTextChar"/>
    <w:uiPriority w:val="99"/>
    <w:semiHidden/>
    <w:unhideWhenUsed/>
    <w:rsid w:val="00AE6E34"/>
    <w:rPr>
      <w:sz w:val="20"/>
      <w:szCs w:val="20"/>
    </w:rPr>
  </w:style>
  <w:style w:type="character" w:customStyle="1" w:styleId="FootnoteTextChar">
    <w:name w:val="Footnote Text Char"/>
    <w:basedOn w:val="DefaultParagraphFont"/>
    <w:link w:val="FootnoteText"/>
    <w:uiPriority w:val="99"/>
    <w:semiHidden/>
    <w:rsid w:val="00AE6E34"/>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E6E34"/>
    <w:rPr>
      <w:vertAlign w:val="superscript"/>
    </w:rPr>
  </w:style>
  <w:style w:type="character" w:styleId="PlaceholderText">
    <w:name w:val="Placeholder Text"/>
    <w:basedOn w:val="DefaultParagraphFont"/>
    <w:uiPriority w:val="99"/>
    <w:semiHidden/>
    <w:rsid w:val="00380216"/>
    <w:rPr>
      <w:color w:val="808080"/>
    </w:rPr>
  </w:style>
  <w:style w:type="character" w:styleId="Strong">
    <w:name w:val="Strong"/>
    <w:basedOn w:val="DefaultParagraphFont"/>
    <w:uiPriority w:val="22"/>
    <w:qFormat/>
    <w:rsid w:val="000C71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9744404">
      <w:bodyDiv w:val="1"/>
      <w:marLeft w:val="0"/>
      <w:marRight w:val="0"/>
      <w:marTop w:val="0"/>
      <w:marBottom w:val="0"/>
      <w:divBdr>
        <w:top w:val="none" w:sz="0" w:space="0" w:color="auto"/>
        <w:left w:val="none" w:sz="0" w:space="0" w:color="auto"/>
        <w:bottom w:val="none" w:sz="0" w:space="0" w:color="auto"/>
        <w:right w:val="none" w:sz="0" w:space="0" w:color="auto"/>
      </w:divBdr>
    </w:div>
    <w:div w:id="2091271625">
      <w:bodyDiv w:val="1"/>
      <w:marLeft w:val="0"/>
      <w:marRight w:val="0"/>
      <w:marTop w:val="0"/>
      <w:marBottom w:val="0"/>
      <w:divBdr>
        <w:top w:val="none" w:sz="0" w:space="0" w:color="auto"/>
        <w:left w:val="none" w:sz="0" w:space="0" w:color="auto"/>
        <w:bottom w:val="none" w:sz="0" w:space="0" w:color="auto"/>
        <w:right w:val="none" w:sz="0" w:space="0" w:color="auto"/>
      </w:divBdr>
    </w:div>
    <w:div w:id="21018324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papers.nips.cc/paper/2014" TargetMode="External"/><Relationship Id="rId18" Type="http://schemas.openxmlformats.org/officeDocument/2006/relationships/hyperlink" Target="https://doi.org/10.1002/sim.9348" TargetMode="External"/><Relationship Id="rId26" Type="http://schemas.openxmlformats.org/officeDocument/2006/relationships/hyperlink" Target="https://doi.org/10.2202/1544-6115.1309" TargetMode="External"/><Relationship Id="rId21" Type="http://schemas.openxmlformats.org/officeDocument/2006/relationships/hyperlink" Target="https://onlinelibrary.wiley.com/action/doSearch?ContribAuthorRaw=Rachet%2C+Bernard"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doi.org/10.3389/fgene.2019.00524" TargetMode="External"/><Relationship Id="rId17" Type="http://schemas.openxmlformats.org/officeDocument/2006/relationships/hyperlink" Target="https://psycnet.apa.org/doi/10.2307/1130395" TargetMode="External"/><Relationship Id="rId25" Type="http://schemas.openxmlformats.org/officeDocument/2006/relationships/hyperlink" Target="https://doi.org/10.1177/2515245917745629" TargetMode="External"/><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doi.org/10.2196/20185" TargetMode="External"/><Relationship Id="rId20" Type="http://schemas.openxmlformats.org/officeDocument/2006/relationships/hyperlink" Target="https://onlinelibrary.wiley.com/action/doSearch?ContribAuthorRaw=Rachet%2C+Bernard" TargetMode="External"/><Relationship Id="rId29" Type="http://schemas.openxmlformats.org/officeDocument/2006/relationships/hyperlink" Target="https://psycnet.apa.org/doi/10.1037/met000042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37/0022-3514.75.5.1198" TargetMode="External"/><Relationship Id="rId24" Type="http://schemas.openxmlformats.org/officeDocument/2006/relationships/hyperlink" Target="https://psycnet.apa.org/doi/10.1155/2005/745650" TargetMode="External"/><Relationship Id="rId32" Type="http://schemas.openxmlformats.org/officeDocument/2006/relationships/hyperlink" Target="https://doi.org/10.1145/3527154"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3389/fgene.2019.00524" TargetMode="External"/><Relationship Id="rId23" Type="http://schemas.openxmlformats.org/officeDocument/2006/relationships/hyperlink" Target="https://doi.org/10.1002/sim.7628" TargetMode="External"/><Relationship Id="rId28" Type="http://schemas.openxmlformats.org/officeDocument/2006/relationships/hyperlink" Target="https://doi.org/10.1016/j.paid.2021.111256" TargetMode="External"/><Relationship Id="rId36" Type="http://schemas.openxmlformats.org/officeDocument/2006/relationships/image" Target="media/image2.emf"/><Relationship Id="rId10" Type="http://schemas.openxmlformats.org/officeDocument/2006/relationships/hyperlink" Target="https://doi.org/10.1177/00491241221099552" TargetMode="External"/><Relationship Id="rId19" Type="http://schemas.openxmlformats.org/officeDocument/2006/relationships/hyperlink" Target="https://onlinelibrary.wiley.com/action/doSearch?ContribAuthorRaw=Schomaker%2C+Michael" TargetMode="External"/><Relationship Id="rId31" Type="http://schemas.openxmlformats.org/officeDocument/2006/relationships/hyperlink" Target="https://doi.org/10.1145/3527154" TargetMode="External"/><Relationship Id="rId4" Type="http://schemas.openxmlformats.org/officeDocument/2006/relationships/settings" Target="settings.xml"/><Relationship Id="rId9" Type="http://schemas.openxmlformats.org/officeDocument/2006/relationships/hyperlink" Target="https://doi.org/10.3390/su13074017" TargetMode="External"/><Relationship Id="rId14" Type="http://schemas.openxmlformats.org/officeDocument/2006/relationships/hyperlink" Target="https://doi.org/10.3389/fgene.2019.00524" TargetMode="External"/><Relationship Id="rId22" Type="http://schemas.openxmlformats.org/officeDocument/2006/relationships/hyperlink" Target="https://onlinelibrary.wiley.com/action/doSearch?ContribAuthorRaw=Schnitzer%2C+Mireille+E" TargetMode="External"/><Relationship Id="rId27" Type="http://schemas.openxmlformats.org/officeDocument/2006/relationships/hyperlink" Target="https://doi.org/10.1016/j.%20bbi.2020.05.048" TargetMode="External"/><Relationship Id="rId30" Type="http://schemas.openxmlformats.org/officeDocument/2006/relationships/hyperlink" Target="https://psycnet.apa.org/doi/10.1037/met0000429" TargetMode="External"/><Relationship Id="rId35" Type="http://schemas.openxmlformats.org/officeDocument/2006/relationships/image" Target="media/image1.emf"/><Relationship Id="rId8" Type="http://schemas.openxmlformats.org/officeDocument/2006/relationships/hyperlink" Target="https://doi.apa.org/doi/10.1037/0022-3514.61.2.226"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img4RNTYemwSmZCPt5VW+2gsrMQ==">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</go:docsCustomData>
</go:gDocsCustomXmlDataStorage>
</file>

<file path=customXml/itemProps1.xml><?xml version="1.0" encoding="utf-8"?>
<ds:datastoreItem xmlns:ds="http://schemas.openxmlformats.org/officeDocument/2006/customXml" ds:itemID="{F8865841-4653-4040-ABB3-1227DEF9F53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8687</Words>
  <Characters>49522</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2023-05-18T08:18:00Z</dcterms:created>
  <dcterms:modified xsi:type="dcterms:W3CDTF">2023-05-18T08:18:00Z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zotero-version="6.0.13"&gt;&lt;session id="hPVau0GX"/&gt;&lt;style id="http://www.zotero.org/styles/apa" locale="en-GB" hasBibliography="1" bibliographyStyleHasBeenSet="0"/&gt;&lt;prefs&gt;&lt;pref name="fieldType" value="Field"/&gt;&lt;pref name="automaticJourn</vt:lpwstr>
  </property>
  <property fmtid="{D5CDD505-2E9C-101B-9397-08002B2CF9AE}" pid="3" name="ZOTERO_PREF_2">
    <vt:lpwstr>alAbbreviations" value="true"/&gt;&lt;/prefs&gt;&lt;/data&gt;</vt:lpwstr>
  </property>
</Properties>
</file>