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4907" w14:textId="4F7A9A62" w:rsidR="001E4649" w:rsidRPr="009131CE" w:rsidRDefault="001E4649" w:rsidP="003753B7">
      <w:pPr>
        <w:spacing w:after="0" w:line="48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Novel Treatment Insights from Meta-analyses: The Scientific Silver Lining of Covid-19</w:t>
      </w:r>
    </w:p>
    <w:p w14:paraId="3C3480DB" w14:textId="45402627" w:rsidR="00136120" w:rsidRPr="009131CE" w:rsidRDefault="00136120" w:rsidP="00136120">
      <w:pPr>
        <w:spacing w:after="0" w:line="480" w:lineRule="auto"/>
        <w:rPr>
          <w:rFonts w:ascii="Arial" w:hAnsi="Arial" w:cs="Arial"/>
          <w:lang w:val="en-US"/>
        </w:rPr>
      </w:pPr>
    </w:p>
    <w:p w14:paraId="5B6E8714" w14:textId="2173BA60" w:rsidR="00285CAD" w:rsidRPr="009131CE" w:rsidRDefault="00136120" w:rsidP="003753B7">
      <w:pPr>
        <w:spacing w:after="0" w:line="480" w:lineRule="auto"/>
        <w:ind w:firstLine="720"/>
        <w:rPr>
          <w:rFonts w:ascii="Arial" w:hAnsi="Arial" w:cs="Arial"/>
          <w:lang w:val="en-US"/>
        </w:rPr>
      </w:pPr>
      <w:r w:rsidRPr="009131CE">
        <w:rPr>
          <w:rFonts w:ascii="Arial" w:hAnsi="Arial" w:cs="Arial"/>
          <w:lang w:val="en-US"/>
        </w:rPr>
        <w:t>Due to the impact of the Covid-19 pandemic and the measures to contain it, many investigators, including t</w:t>
      </w:r>
      <w:r w:rsidR="00CD4FCB" w:rsidRPr="009131CE">
        <w:rPr>
          <w:rFonts w:ascii="Arial" w:hAnsi="Arial" w:cs="Arial"/>
          <w:lang w:val="en-US"/>
        </w:rPr>
        <w:t>hose in</w:t>
      </w:r>
      <w:r w:rsidRPr="009131CE">
        <w:rPr>
          <w:rFonts w:ascii="Arial" w:hAnsi="Arial" w:cs="Arial"/>
          <w:lang w:val="en-US"/>
        </w:rPr>
        <w:t xml:space="preserve"> the field of child and adolescent mental health, </w:t>
      </w:r>
      <w:r w:rsidR="00CD4FCB" w:rsidRPr="009131CE">
        <w:rPr>
          <w:rFonts w:ascii="Arial" w:hAnsi="Arial" w:cs="Arial"/>
          <w:lang w:val="en-US"/>
        </w:rPr>
        <w:t>have turned to evidence synthesis and meta-research as a way</w:t>
      </w:r>
      <w:r w:rsidR="00424FC7" w:rsidRPr="009131CE">
        <w:rPr>
          <w:rFonts w:ascii="Arial" w:hAnsi="Arial" w:cs="Arial"/>
          <w:lang w:val="en-US"/>
        </w:rPr>
        <w:t>, at leas</w:t>
      </w:r>
      <w:r w:rsidR="00277BD7" w:rsidRPr="009131CE">
        <w:rPr>
          <w:rFonts w:ascii="Arial" w:hAnsi="Arial" w:cs="Arial"/>
          <w:lang w:val="en-US"/>
        </w:rPr>
        <w:t>t</w:t>
      </w:r>
      <w:r w:rsidR="00424FC7" w:rsidRPr="009131CE">
        <w:rPr>
          <w:rFonts w:ascii="Arial" w:hAnsi="Arial" w:cs="Arial"/>
          <w:lang w:val="en-US"/>
        </w:rPr>
        <w:t xml:space="preserve"> in part,</w:t>
      </w:r>
      <w:r w:rsidR="00CD4FCB" w:rsidRPr="009131CE">
        <w:rPr>
          <w:rFonts w:ascii="Arial" w:hAnsi="Arial" w:cs="Arial"/>
          <w:lang w:val="en-US"/>
        </w:rPr>
        <w:t xml:space="preserve"> to maintain their academic productivity. Rather th</w:t>
      </w:r>
      <w:r w:rsidR="00424FC7" w:rsidRPr="009131CE">
        <w:rPr>
          <w:rFonts w:ascii="Arial" w:hAnsi="Arial" w:cs="Arial"/>
          <w:lang w:val="en-US"/>
        </w:rPr>
        <w:t>a</w:t>
      </w:r>
      <w:r w:rsidR="00CD4FCB" w:rsidRPr="009131CE">
        <w:rPr>
          <w:rFonts w:ascii="Arial" w:hAnsi="Arial" w:cs="Arial"/>
          <w:lang w:val="en-US"/>
        </w:rPr>
        <w:t xml:space="preserve">n as a forced choice, we prefer to consider this as a unique opportunity to </w:t>
      </w:r>
      <w:r w:rsidR="001D1406" w:rsidRPr="009131CE">
        <w:rPr>
          <w:rFonts w:ascii="Arial" w:hAnsi="Arial" w:cs="Arial"/>
          <w:lang w:val="en-US"/>
        </w:rPr>
        <w:t xml:space="preserve">look back </w:t>
      </w:r>
      <w:r w:rsidR="00424FC7" w:rsidRPr="009131CE">
        <w:rPr>
          <w:rFonts w:ascii="Arial" w:hAnsi="Arial" w:cs="Arial"/>
          <w:lang w:val="en-US"/>
        </w:rPr>
        <w:t xml:space="preserve">and </w:t>
      </w:r>
      <w:r w:rsidR="001D1406" w:rsidRPr="009131CE">
        <w:rPr>
          <w:rFonts w:ascii="Arial" w:hAnsi="Arial" w:cs="Arial"/>
          <w:lang w:val="en-US"/>
        </w:rPr>
        <w:t>synthesize</w:t>
      </w:r>
      <w:r w:rsidR="00424FC7" w:rsidRPr="009131CE">
        <w:rPr>
          <w:rFonts w:ascii="Arial" w:hAnsi="Arial" w:cs="Arial"/>
          <w:lang w:val="en-US"/>
        </w:rPr>
        <w:t>/</w:t>
      </w:r>
      <w:r w:rsidR="001D1406" w:rsidRPr="009131CE">
        <w:rPr>
          <w:rFonts w:ascii="Arial" w:hAnsi="Arial" w:cs="Arial"/>
          <w:lang w:val="en-US"/>
        </w:rPr>
        <w:t>appraise the existing evidence to inform clinical practice and future research. Indeed, over the past year the Journal has published a number of highly valuable meta-analyses. A</w:t>
      </w:r>
      <w:r w:rsidR="00677560" w:rsidRPr="009131CE">
        <w:rPr>
          <w:rFonts w:ascii="Arial" w:hAnsi="Arial" w:cs="Arial"/>
          <w:lang w:val="en-US"/>
        </w:rPr>
        <w:t>m</w:t>
      </w:r>
      <w:r w:rsidR="001D1406" w:rsidRPr="009131CE">
        <w:rPr>
          <w:rFonts w:ascii="Arial" w:hAnsi="Arial" w:cs="Arial"/>
          <w:lang w:val="en-US"/>
        </w:rPr>
        <w:t xml:space="preserve">ong these, we have </w:t>
      </w:r>
      <w:r w:rsidR="00677560" w:rsidRPr="009131CE">
        <w:rPr>
          <w:rFonts w:ascii="Arial" w:hAnsi="Arial" w:cs="Arial"/>
          <w:lang w:val="en-US"/>
        </w:rPr>
        <w:t>selected</w:t>
      </w:r>
      <w:r w:rsidR="001D1406" w:rsidRPr="009131CE">
        <w:rPr>
          <w:rFonts w:ascii="Arial" w:hAnsi="Arial" w:cs="Arial"/>
          <w:lang w:val="en-US"/>
        </w:rPr>
        <w:t xml:space="preserve"> </w:t>
      </w:r>
      <w:r w:rsidR="00BB399D" w:rsidRPr="009131CE">
        <w:rPr>
          <w:rFonts w:ascii="Arial" w:hAnsi="Arial" w:cs="Arial"/>
          <w:lang w:val="en-US"/>
        </w:rPr>
        <w:t>three</w:t>
      </w:r>
      <w:r w:rsidR="001D1406" w:rsidRPr="009131CE">
        <w:rPr>
          <w:rFonts w:ascii="Arial" w:hAnsi="Arial" w:cs="Arial"/>
          <w:lang w:val="en-US"/>
        </w:rPr>
        <w:t xml:space="preserve"> </w:t>
      </w:r>
      <w:r w:rsidR="001E4649">
        <w:rPr>
          <w:rFonts w:ascii="Arial" w:hAnsi="Arial" w:cs="Arial"/>
          <w:lang w:val="en-US"/>
        </w:rPr>
        <w:t>focused</w:t>
      </w:r>
      <w:r w:rsidR="00677560" w:rsidRPr="009131CE">
        <w:rPr>
          <w:rFonts w:ascii="Arial" w:hAnsi="Arial" w:cs="Arial"/>
          <w:lang w:val="en-US"/>
        </w:rPr>
        <w:t xml:space="preserve"> on psychotherapeutic interventions and two related to the pharmacological treatment of mental health conditions in children and youth that, in our opinion, are particularly informative.</w:t>
      </w:r>
      <w:r w:rsidR="001F3886">
        <w:rPr>
          <w:rFonts w:ascii="Arial" w:hAnsi="Arial" w:cs="Arial"/>
          <w:lang w:val="en-US"/>
        </w:rPr>
        <w:t xml:space="preserve"> They utilize </w:t>
      </w:r>
      <w:r w:rsidR="00D00E0B">
        <w:rPr>
          <w:rFonts w:ascii="Arial" w:hAnsi="Arial" w:cs="Arial"/>
          <w:lang w:val="en-US"/>
        </w:rPr>
        <w:t xml:space="preserve">advanced </w:t>
      </w:r>
      <w:r w:rsidR="001F3886">
        <w:rPr>
          <w:rFonts w:ascii="Arial" w:hAnsi="Arial" w:cs="Arial"/>
          <w:lang w:val="en-US"/>
        </w:rPr>
        <w:t xml:space="preserve"> </w:t>
      </w:r>
      <w:r w:rsidR="00D00E0B">
        <w:rPr>
          <w:rFonts w:ascii="Arial" w:hAnsi="Arial" w:cs="Arial"/>
          <w:lang w:val="en-US"/>
        </w:rPr>
        <w:t>meta-analytic</w:t>
      </w:r>
      <w:r w:rsidR="001F3886">
        <w:rPr>
          <w:rFonts w:ascii="Arial" w:hAnsi="Arial" w:cs="Arial"/>
          <w:lang w:val="en-US"/>
        </w:rPr>
        <w:t xml:space="preserve"> techniques, including individual participant data meta-analysis</w:t>
      </w:r>
      <w:r w:rsidR="001E4649">
        <w:rPr>
          <w:rFonts w:ascii="Arial" w:hAnsi="Arial" w:cs="Arial"/>
          <w:lang w:val="en-US"/>
        </w:rPr>
        <w:t xml:space="preserve"> (IPDMA)</w:t>
      </w:r>
      <w:r w:rsidR="001F3886">
        <w:rPr>
          <w:rFonts w:ascii="Arial" w:hAnsi="Arial" w:cs="Arial"/>
          <w:lang w:val="en-US"/>
        </w:rPr>
        <w:t>,</w:t>
      </w:r>
      <w:r w:rsidR="001E4649">
        <w:rPr>
          <w:rFonts w:ascii="Arial" w:hAnsi="Arial" w:cs="Arial"/>
          <w:vertAlign w:val="superscript"/>
          <w:lang w:val="en-US"/>
        </w:rPr>
        <w:t>1</w:t>
      </w:r>
      <w:r w:rsidR="001F3886">
        <w:rPr>
          <w:rFonts w:ascii="Arial" w:hAnsi="Arial" w:cs="Arial"/>
          <w:lang w:val="en-US"/>
        </w:rPr>
        <w:t xml:space="preserve"> which allows for </w:t>
      </w:r>
      <w:r w:rsidR="001E4649">
        <w:rPr>
          <w:rFonts w:ascii="Arial" w:hAnsi="Arial" w:cs="Arial"/>
          <w:lang w:val="en-US"/>
        </w:rPr>
        <w:t>highly powered moderation analyses</w:t>
      </w:r>
      <w:r w:rsidR="009968B8">
        <w:rPr>
          <w:rFonts w:ascii="Arial" w:hAnsi="Arial" w:cs="Arial"/>
          <w:lang w:val="en-US"/>
        </w:rPr>
        <w:t xml:space="preserve"> by </w:t>
      </w:r>
      <w:r w:rsidR="001E4649">
        <w:rPr>
          <w:rFonts w:ascii="Arial" w:hAnsi="Arial" w:cs="Arial"/>
          <w:lang w:val="en-US"/>
        </w:rPr>
        <w:t>a</w:t>
      </w:r>
      <w:r w:rsidR="00D00E0B">
        <w:rPr>
          <w:rFonts w:ascii="Arial" w:hAnsi="Arial" w:cs="Arial"/>
          <w:lang w:val="en-US"/>
        </w:rPr>
        <w:t>ssessing</w:t>
      </w:r>
      <w:r w:rsidR="001E4649">
        <w:rPr>
          <w:rFonts w:ascii="Arial" w:hAnsi="Arial" w:cs="Arial"/>
          <w:lang w:val="en-US"/>
        </w:rPr>
        <w:t xml:space="preserve"> </w:t>
      </w:r>
      <w:r w:rsidR="001F3886">
        <w:rPr>
          <w:rFonts w:ascii="Arial" w:hAnsi="Arial" w:cs="Arial"/>
          <w:lang w:val="en-US"/>
        </w:rPr>
        <w:t>individual</w:t>
      </w:r>
      <w:r w:rsidR="00D00E0B">
        <w:rPr>
          <w:rFonts w:ascii="Arial" w:hAnsi="Arial" w:cs="Arial"/>
          <w:lang w:val="en-US"/>
        </w:rPr>
        <w:t>, rather than aggregate-level</w:t>
      </w:r>
      <w:r w:rsidR="001F3886">
        <w:rPr>
          <w:rFonts w:ascii="Arial" w:hAnsi="Arial" w:cs="Arial"/>
          <w:lang w:val="en-US"/>
        </w:rPr>
        <w:t xml:space="preserve"> </w:t>
      </w:r>
      <w:r w:rsidR="00D00E0B">
        <w:rPr>
          <w:rFonts w:ascii="Arial" w:hAnsi="Arial" w:cs="Arial"/>
          <w:lang w:val="en-US"/>
        </w:rPr>
        <w:t>patient data</w:t>
      </w:r>
      <w:r w:rsidR="001F3886">
        <w:rPr>
          <w:rFonts w:ascii="Arial" w:hAnsi="Arial" w:cs="Arial"/>
          <w:lang w:val="en-US"/>
        </w:rPr>
        <w:t xml:space="preserve">, </w:t>
      </w:r>
      <w:r w:rsidR="001F3886" w:rsidRPr="009131CE">
        <w:rPr>
          <w:rFonts w:ascii="Arial" w:hAnsi="Arial" w:cs="Arial"/>
        </w:rPr>
        <w:t>network meta-analysis (NMA),</w:t>
      </w:r>
      <w:r w:rsidR="00C24835">
        <w:rPr>
          <w:rFonts w:ascii="Arial" w:hAnsi="Arial" w:cs="Arial"/>
          <w:vertAlign w:val="superscript"/>
        </w:rPr>
        <w:t>2</w:t>
      </w:r>
      <w:r w:rsidR="001F3886" w:rsidRPr="009131CE">
        <w:rPr>
          <w:rFonts w:ascii="Arial" w:hAnsi="Arial" w:cs="Arial"/>
        </w:rPr>
        <w:t xml:space="preserve"> which, under certain methodological assumptions, allows one to compare two or more interventions even when they have not been compared head-to head in individual trials included in the meta-analysis</w:t>
      </w:r>
      <w:r w:rsidR="001F3886">
        <w:rPr>
          <w:rFonts w:ascii="Arial" w:hAnsi="Arial" w:cs="Arial"/>
        </w:rPr>
        <w:t>, and spatial meta-analysis</w:t>
      </w:r>
      <w:r w:rsidR="001E4649">
        <w:rPr>
          <w:rFonts w:ascii="Arial" w:hAnsi="Arial" w:cs="Arial"/>
        </w:rPr>
        <w:t>,</w:t>
      </w:r>
      <w:r w:rsidR="00C24835" w:rsidRPr="00C24835">
        <w:rPr>
          <w:rFonts w:ascii="Arial" w:hAnsi="Arial" w:cs="Arial"/>
          <w:vertAlign w:val="superscript"/>
        </w:rPr>
        <w:t>3</w:t>
      </w:r>
      <w:r w:rsidR="00C24835">
        <w:rPr>
          <w:rFonts w:ascii="Arial" w:hAnsi="Arial" w:cs="Arial"/>
        </w:rPr>
        <w:t xml:space="preserve"> </w:t>
      </w:r>
      <w:r w:rsidR="001E4649" w:rsidRPr="00C24835">
        <w:rPr>
          <w:rFonts w:ascii="Arial" w:hAnsi="Arial" w:cs="Arial"/>
        </w:rPr>
        <w:t>which</w:t>
      </w:r>
      <w:r w:rsidR="001E4649">
        <w:rPr>
          <w:rFonts w:ascii="Arial" w:hAnsi="Arial" w:cs="Arial"/>
        </w:rPr>
        <w:t xml:space="preserve"> permits evaluation of contextual moderators based on geographic dimensions.</w:t>
      </w:r>
    </w:p>
    <w:p w14:paraId="33BD1AE5" w14:textId="090BF469" w:rsidR="0065510F" w:rsidRPr="009131CE" w:rsidRDefault="00AB5839" w:rsidP="003753B7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lang w:val="en-US"/>
        </w:rPr>
      </w:pPr>
      <w:r w:rsidRPr="009131CE">
        <w:rPr>
          <w:rFonts w:ascii="Arial" w:hAnsi="Arial" w:cs="Arial"/>
        </w:rPr>
        <w:t>First</w:t>
      </w:r>
      <w:r w:rsidR="0093399F" w:rsidRPr="009131CE">
        <w:rPr>
          <w:rFonts w:ascii="Arial" w:hAnsi="Arial" w:cs="Arial"/>
        </w:rPr>
        <w:t xml:space="preserve">, we would like to highlight two complimentary meta-analytic studies focused on </w:t>
      </w:r>
      <w:r w:rsidR="00BB399D" w:rsidRPr="009131CE">
        <w:rPr>
          <w:rFonts w:ascii="Arial" w:hAnsi="Arial" w:cs="Arial"/>
        </w:rPr>
        <w:t>behavioral</w:t>
      </w:r>
      <w:r w:rsidRPr="009131CE">
        <w:rPr>
          <w:rFonts w:ascii="Arial" w:hAnsi="Arial" w:cs="Arial"/>
        </w:rPr>
        <w:t xml:space="preserve"> t</w:t>
      </w:r>
      <w:r w:rsidR="0093399F" w:rsidRPr="009131CE">
        <w:rPr>
          <w:rFonts w:ascii="Arial" w:hAnsi="Arial" w:cs="Arial"/>
        </w:rPr>
        <w:t>reatment</w:t>
      </w:r>
      <w:r w:rsidRPr="009131CE">
        <w:rPr>
          <w:rFonts w:ascii="Arial" w:hAnsi="Arial" w:cs="Arial"/>
        </w:rPr>
        <w:t xml:space="preserve">s for </w:t>
      </w:r>
      <w:r w:rsidR="0093399F" w:rsidRPr="009131CE">
        <w:rPr>
          <w:rFonts w:ascii="Arial" w:hAnsi="Arial" w:cs="Arial"/>
        </w:rPr>
        <w:t xml:space="preserve">ADHD conducted by </w:t>
      </w:r>
      <w:r w:rsidR="00BB399D" w:rsidRPr="009131CE">
        <w:rPr>
          <w:rFonts w:ascii="Arial" w:hAnsi="Arial" w:cs="Arial"/>
        </w:rPr>
        <w:t>collaborative</w:t>
      </w:r>
      <w:r w:rsidR="0093399F" w:rsidRPr="009131CE">
        <w:rPr>
          <w:rFonts w:ascii="Arial" w:hAnsi="Arial" w:cs="Arial"/>
        </w:rPr>
        <w:t xml:space="preserve"> research group</w:t>
      </w:r>
      <w:r w:rsidR="0008100C" w:rsidRPr="009131CE">
        <w:rPr>
          <w:rFonts w:ascii="Arial" w:hAnsi="Arial" w:cs="Arial"/>
        </w:rPr>
        <w:t>s</w:t>
      </w:r>
      <w:r w:rsidR="0093399F" w:rsidRPr="009131CE">
        <w:rPr>
          <w:rFonts w:ascii="Arial" w:hAnsi="Arial" w:cs="Arial"/>
        </w:rPr>
        <w:t xml:space="preserve"> from </w:t>
      </w:r>
      <w:r w:rsidR="00C24835">
        <w:rPr>
          <w:rFonts w:ascii="Arial" w:hAnsi="Arial" w:cs="Arial"/>
        </w:rPr>
        <w:t xml:space="preserve">Belgium and the </w:t>
      </w:r>
      <w:r w:rsidR="0093399F" w:rsidRPr="009131CE">
        <w:rPr>
          <w:rFonts w:ascii="Arial" w:hAnsi="Arial" w:cs="Arial"/>
        </w:rPr>
        <w:t>Netherlands and Belgium.</w:t>
      </w:r>
      <w:r w:rsidR="00C24835">
        <w:rPr>
          <w:rFonts w:ascii="Arial" w:hAnsi="Arial" w:cs="Arial"/>
          <w:vertAlign w:val="superscript"/>
        </w:rPr>
        <w:t>4,5</w:t>
      </w:r>
      <w:r w:rsidR="0093399F" w:rsidRPr="009131CE">
        <w:rPr>
          <w:rFonts w:ascii="Arial" w:hAnsi="Arial" w:cs="Arial"/>
        </w:rPr>
        <w:t xml:space="preserve"> In the first of these projects, </w:t>
      </w:r>
      <w:proofErr w:type="spellStart"/>
      <w:r w:rsidR="0093399F" w:rsidRPr="009131CE">
        <w:rPr>
          <w:rFonts w:ascii="Arial" w:hAnsi="Arial" w:cs="Arial"/>
        </w:rPr>
        <w:t>Groenman</w:t>
      </w:r>
      <w:proofErr w:type="spellEnd"/>
      <w:r w:rsidR="0093399F" w:rsidRPr="009131CE">
        <w:rPr>
          <w:rFonts w:ascii="Arial" w:hAnsi="Arial" w:cs="Arial"/>
        </w:rPr>
        <w:t xml:space="preserve"> </w:t>
      </w:r>
      <w:r w:rsidRPr="009131CE">
        <w:rPr>
          <w:rFonts w:ascii="Arial" w:hAnsi="Arial" w:cs="Arial"/>
        </w:rPr>
        <w:t>and colleagues</w:t>
      </w:r>
      <w:r w:rsidR="00C24835">
        <w:rPr>
          <w:rFonts w:ascii="Arial" w:hAnsi="Arial" w:cs="Arial"/>
          <w:vertAlign w:val="superscript"/>
        </w:rPr>
        <w:t>4</w:t>
      </w:r>
      <w:r w:rsidR="0093399F" w:rsidRPr="009131CE">
        <w:rPr>
          <w:rFonts w:ascii="Arial" w:hAnsi="Arial" w:cs="Arial"/>
        </w:rPr>
        <w:t xml:space="preserve"> stress the need to establish moderators of treatment response</w:t>
      </w:r>
      <w:r w:rsidR="00285CAD">
        <w:rPr>
          <w:rFonts w:ascii="Arial" w:hAnsi="Arial" w:cs="Arial"/>
        </w:rPr>
        <w:t>,</w:t>
      </w:r>
      <w:r w:rsidR="0093399F" w:rsidRPr="009131CE">
        <w:rPr>
          <w:rFonts w:ascii="Arial" w:hAnsi="Arial" w:cs="Arial"/>
        </w:rPr>
        <w:t xml:space="preserve"> given the diversity among youth with ADHD and </w:t>
      </w:r>
      <w:r w:rsidR="00285CAD">
        <w:rPr>
          <w:rFonts w:ascii="Arial" w:hAnsi="Arial" w:cs="Arial"/>
        </w:rPr>
        <w:t xml:space="preserve">the </w:t>
      </w:r>
      <w:r w:rsidR="0093399F" w:rsidRPr="009131CE">
        <w:rPr>
          <w:rFonts w:ascii="Arial" w:hAnsi="Arial" w:cs="Arial"/>
        </w:rPr>
        <w:t>subsequent need to tailor interventions to fit the individual youth/family.</w:t>
      </w:r>
      <w:r w:rsidR="009968B8">
        <w:rPr>
          <w:rFonts w:ascii="Arial" w:hAnsi="Arial" w:cs="Arial"/>
        </w:rPr>
        <w:t xml:space="preserve"> </w:t>
      </w:r>
      <w:r w:rsidR="0093399F" w:rsidRPr="009131CE">
        <w:rPr>
          <w:rFonts w:ascii="Arial" w:hAnsi="Arial" w:cs="Arial"/>
        </w:rPr>
        <w:t xml:space="preserve">To overcome limits of prior efforts to identify </w:t>
      </w:r>
      <w:r w:rsidR="00285CAD" w:rsidRPr="009131CE">
        <w:rPr>
          <w:rFonts w:ascii="Arial" w:hAnsi="Arial" w:cs="Arial"/>
        </w:rPr>
        <w:t xml:space="preserve">treatment response </w:t>
      </w:r>
      <w:r w:rsidR="0093399F" w:rsidRPr="009131CE">
        <w:rPr>
          <w:rFonts w:ascii="Arial" w:hAnsi="Arial" w:cs="Arial"/>
        </w:rPr>
        <w:t xml:space="preserve">moderators, they </w:t>
      </w:r>
      <w:r w:rsidR="009968B8">
        <w:rPr>
          <w:rFonts w:ascii="Arial" w:hAnsi="Arial" w:cs="Arial"/>
        </w:rPr>
        <w:t xml:space="preserve">utilized IPDMA, </w:t>
      </w:r>
      <w:r w:rsidR="00915206" w:rsidRPr="009131CE">
        <w:rPr>
          <w:rFonts w:ascii="Arial" w:hAnsi="Arial" w:cs="Arial"/>
          <w:color w:val="000000"/>
        </w:rPr>
        <w:t xml:space="preserve">allowing </w:t>
      </w:r>
      <w:r w:rsidRPr="009131CE">
        <w:rPr>
          <w:rFonts w:ascii="Arial" w:hAnsi="Arial" w:cs="Arial"/>
          <w:color w:val="000000"/>
        </w:rPr>
        <w:t>examination</w:t>
      </w:r>
      <w:r w:rsidR="00915206" w:rsidRPr="009131CE">
        <w:rPr>
          <w:rFonts w:ascii="Arial" w:hAnsi="Arial" w:cs="Arial"/>
          <w:color w:val="000000"/>
        </w:rPr>
        <w:t xml:space="preserve"> of treatment response over </w:t>
      </w:r>
      <w:r w:rsidR="0093399F" w:rsidRPr="009131CE">
        <w:rPr>
          <w:rFonts w:ascii="Arial" w:hAnsi="Arial" w:cs="Arial"/>
          <w:color w:val="000000"/>
        </w:rPr>
        <w:t>21 studies and 2233 participants.</w:t>
      </w:r>
      <w:r w:rsidR="009968B8">
        <w:rPr>
          <w:rFonts w:ascii="Arial" w:hAnsi="Arial" w:cs="Arial"/>
          <w:color w:val="000000"/>
        </w:rPr>
        <w:t xml:space="preserve"> </w:t>
      </w:r>
      <w:r w:rsidR="0065510F" w:rsidRPr="009131CE">
        <w:rPr>
          <w:rFonts w:ascii="Arial" w:hAnsi="Arial" w:cs="Arial"/>
          <w:color w:val="000000"/>
        </w:rPr>
        <w:t xml:space="preserve">Treatment was associated with small to medium improvement on symptoms of </w:t>
      </w:r>
      <w:r w:rsidR="0065510F" w:rsidRPr="009131CE">
        <w:rPr>
          <w:rFonts w:ascii="Arial" w:hAnsi="Arial" w:cs="Arial"/>
        </w:rPr>
        <w:t xml:space="preserve">ADHD, inattention, ODD, CD and overall impairment. </w:t>
      </w:r>
      <w:r w:rsidR="00906AB3" w:rsidRPr="009131CE">
        <w:rPr>
          <w:rFonts w:ascii="Arial" w:hAnsi="Arial" w:cs="Arial"/>
        </w:rPr>
        <w:t xml:space="preserve">Moreover, the data revealed that higher </w:t>
      </w:r>
      <w:r w:rsidR="00906AB3" w:rsidRPr="009131CE">
        <w:rPr>
          <w:rFonts w:ascii="Arial" w:hAnsi="Arial" w:cs="Arial"/>
          <w:lang w:val="en-US"/>
        </w:rPr>
        <w:t>CD or ADHD symptoms, a CD diagnosis, and single parenthood w</w:t>
      </w:r>
      <w:r w:rsidR="00C32AEC" w:rsidRPr="009131CE">
        <w:rPr>
          <w:rFonts w:ascii="Arial" w:hAnsi="Arial" w:cs="Arial"/>
          <w:lang w:val="en-US"/>
        </w:rPr>
        <w:t>as</w:t>
      </w:r>
      <w:r w:rsidR="00906AB3" w:rsidRPr="009131CE">
        <w:rPr>
          <w:rFonts w:ascii="Arial" w:hAnsi="Arial" w:cs="Arial"/>
          <w:lang w:val="en-US"/>
        </w:rPr>
        <w:t xml:space="preserve"> associated with </w:t>
      </w:r>
      <w:r w:rsidR="00C32AEC" w:rsidRPr="009131CE">
        <w:rPr>
          <w:rFonts w:ascii="Arial" w:hAnsi="Arial" w:cs="Arial"/>
          <w:lang w:val="en-US"/>
        </w:rPr>
        <w:lastRenderedPageBreak/>
        <w:t xml:space="preserve">poorer outcomes overall and with notable </w:t>
      </w:r>
      <w:r w:rsidR="00906AB3" w:rsidRPr="009131CE">
        <w:rPr>
          <w:rFonts w:ascii="Arial" w:hAnsi="Arial" w:cs="Arial"/>
          <w:lang w:val="en-US"/>
        </w:rPr>
        <w:t>increase</w:t>
      </w:r>
      <w:r w:rsidR="00C32AEC" w:rsidRPr="009131CE">
        <w:rPr>
          <w:rFonts w:ascii="Arial" w:hAnsi="Arial" w:cs="Arial"/>
          <w:lang w:val="en-US"/>
        </w:rPr>
        <w:t>s in</w:t>
      </w:r>
      <w:r w:rsidR="00906AB3" w:rsidRPr="009131CE">
        <w:rPr>
          <w:rFonts w:ascii="Arial" w:hAnsi="Arial" w:cs="Arial"/>
          <w:lang w:val="en-US"/>
        </w:rPr>
        <w:t xml:space="preserve"> symptoms </w:t>
      </w:r>
      <w:r w:rsidR="007B1BA0" w:rsidRPr="009131CE">
        <w:rPr>
          <w:rFonts w:ascii="Arial" w:hAnsi="Arial" w:cs="Arial"/>
          <w:lang w:val="en-US"/>
        </w:rPr>
        <w:t>among</w:t>
      </w:r>
      <w:r w:rsidR="00906AB3" w:rsidRPr="009131CE">
        <w:rPr>
          <w:rFonts w:ascii="Arial" w:hAnsi="Arial" w:cs="Arial"/>
          <w:lang w:val="en-US"/>
        </w:rPr>
        <w:t xml:space="preserve"> untreated </w:t>
      </w:r>
      <w:r w:rsidR="007B1BA0" w:rsidRPr="009131CE">
        <w:rPr>
          <w:rFonts w:ascii="Arial" w:hAnsi="Arial" w:cs="Arial"/>
          <w:lang w:val="en-US"/>
        </w:rPr>
        <w:t>youth</w:t>
      </w:r>
      <w:r w:rsidR="00285CAD">
        <w:rPr>
          <w:rFonts w:ascii="Arial" w:hAnsi="Arial" w:cs="Arial"/>
          <w:lang w:val="en-US"/>
        </w:rPr>
        <w:t>,</w:t>
      </w:r>
      <w:r w:rsidR="00906AB3" w:rsidRPr="009131CE">
        <w:rPr>
          <w:rFonts w:ascii="Arial" w:hAnsi="Arial" w:cs="Arial"/>
          <w:lang w:val="en-US"/>
        </w:rPr>
        <w:t xml:space="preserve"> leading the </w:t>
      </w:r>
      <w:r w:rsidR="007B1BA0" w:rsidRPr="009131CE">
        <w:rPr>
          <w:rFonts w:ascii="Arial" w:hAnsi="Arial" w:cs="Arial"/>
          <w:lang w:val="en-US"/>
        </w:rPr>
        <w:t>team</w:t>
      </w:r>
      <w:r w:rsidR="00906AB3" w:rsidRPr="009131CE">
        <w:rPr>
          <w:rFonts w:ascii="Arial" w:hAnsi="Arial" w:cs="Arial"/>
          <w:lang w:val="en-US"/>
        </w:rPr>
        <w:t xml:space="preserve"> to </w:t>
      </w:r>
      <w:r w:rsidR="007B1BA0" w:rsidRPr="009131CE">
        <w:rPr>
          <w:rFonts w:ascii="Arial" w:hAnsi="Arial" w:cs="Arial"/>
          <w:lang w:val="en-US"/>
        </w:rPr>
        <w:t>emphasize</w:t>
      </w:r>
      <w:r w:rsidR="00C32AEC" w:rsidRPr="009131CE">
        <w:rPr>
          <w:rFonts w:ascii="Arial" w:hAnsi="Arial" w:cs="Arial"/>
          <w:lang w:val="en-US"/>
        </w:rPr>
        <w:t xml:space="preserve"> the need to prioritize care for these high-risk youth.</w:t>
      </w:r>
      <w:r w:rsidR="009968B8">
        <w:rPr>
          <w:rFonts w:ascii="Arial" w:hAnsi="Arial" w:cs="Arial"/>
          <w:lang w:val="en-US"/>
        </w:rPr>
        <w:t xml:space="preserve"> </w:t>
      </w:r>
    </w:p>
    <w:p w14:paraId="1EE4EA4A" w14:textId="13A8AF7C" w:rsidR="0008100C" w:rsidRPr="009131CE" w:rsidRDefault="00336D5E" w:rsidP="003753B7">
      <w:pPr>
        <w:spacing w:after="0" w:line="480" w:lineRule="auto"/>
        <w:ind w:firstLine="720"/>
        <w:rPr>
          <w:rFonts w:ascii="Arial" w:hAnsi="Arial" w:cs="Arial"/>
          <w:lang w:val="en-US"/>
        </w:rPr>
      </w:pPr>
      <w:r w:rsidRPr="009131CE">
        <w:rPr>
          <w:rFonts w:ascii="Arial" w:hAnsi="Arial" w:cs="Arial"/>
          <w:lang w:val="en-US"/>
        </w:rPr>
        <w:t xml:space="preserve">In a complementary project, </w:t>
      </w:r>
      <w:proofErr w:type="spellStart"/>
      <w:r w:rsidR="00C32AEC" w:rsidRPr="009131CE">
        <w:rPr>
          <w:rFonts w:ascii="Arial" w:hAnsi="Arial" w:cs="Arial"/>
          <w:lang w:val="en-US"/>
        </w:rPr>
        <w:t>Dekkers</w:t>
      </w:r>
      <w:proofErr w:type="spellEnd"/>
      <w:r w:rsidR="00C32AEC" w:rsidRPr="009131CE">
        <w:rPr>
          <w:rFonts w:ascii="Arial" w:hAnsi="Arial" w:cs="Arial"/>
          <w:lang w:val="en-US"/>
        </w:rPr>
        <w:t xml:space="preserve"> and colleagues</w:t>
      </w:r>
      <w:r w:rsidR="00C24835">
        <w:rPr>
          <w:rFonts w:ascii="Arial" w:hAnsi="Arial" w:cs="Arial"/>
          <w:vertAlign w:val="superscript"/>
          <w:lang w:val="en-US"/>
        </w:rPr>
        <w:t>5</w:t>
      </w:r>
      <w:r w:rsidR="009968B8">
        <w:rPr>
          <w:rFonts w:ascii="Arial" w:hAnsi="Arial" w:cs="Arial"/>
          <w:vertAlign w:val="superscript"/>
          <w:lang w:val="en-US"/>
        </w:rPr>
        <w:t xml:space="preserve"> </w:t>
      </w:r>
      <w:r w:rsidR="00C32AEC" w:rsidRPr="009131CE">
        <w:rPr>
          <w:rFonts w:ascii="Arial" w:hAnsi="Arial" w:cs="Arial"/>
          <w:lang w:val="en-US"/>
        </w:rPr>
        <w:t xml:space="preserve">initiated a </w:t>
      </w:r>
      <w:r w:rsidR="00EC1484" w:rsidRPr="009131CE">
        <w:rPr>
          <w:rFonts w:ascii="Arial" w:hAnsi="Arial" w:cs="Arial"/>
          <w:lang w:val="en-US"/>
        </w:rPr>
        <w:t xml:space="preserve">meta-regression analysis </w:t>
      </w:r>
      <w:r w:rsidR="00C32AEC" w:rsidRPr="009131CE">
        <w:rPr>
          <w:rFonts w:ascii="Arial" w:hAnsi="Arial" w:cs="Arial"/>
          <w:lang w:val="en-US"/>
        </w:rPr>
        <w:t xml:space="preserve">study </w:t>
      </w:r>
      <w:r w:rsidR="00EC1484" w:rsidRPr="009131CE">
        <w:rPr>
          <w:rFonts w:ascii="Arial" w:hAnsi="Arial" w:cs="Arial"/>
          <w:lang w:val="en-US"/>
        </w:rPr>
        <w:t xml:space="preserve">designed to identify which behavioral techniques included in parent training programs </w:t>
      </w:r>
      <w:r w:rsidR="00284577">
        <w:rPr>
          <w:rFonts w:ascii="Arial" w:hAnsi="Arial" w:cs="Arial"/>
          <w:lang w:val="en-US"/>
        </w:rPr>
        <w:t xml:space="preserve">for youth with ADHD </w:t>
      </w:r>
      <w:r w:rsidR="007B1BA0" w:rsidRPr="009131CE">
        <w:rPr>
          <w:rFonts w:ascii="Arial" w:hAnsi="Arial" w:cs="Arial"/>
          <w:lang w:val="en-US"/>
        </w:rPr>
        <w:t xml:space="preserve">account for </w:t>
      </w:r>
      <w:r w:rsidR="00EC1484" w:rsidRPr="009131CE">
        <w:rPr>
          <w:rFonts w:ascii="Arial" w:hAnsi="Arial" w:cs="Arial"/>
          <w:lang w:val="en-US"/>
        </w:rPr>
        <w:t>improvement in</w:t>
      </w:r>
      <w:r w:rsidR="00EC1484" w:rsidRPr="009131CE">
        <w:rPr>
          <w:rFonts w:ascii="Arial" w:hAnsi="Arial" w:cs="Arial"/>
        </w:rPr>
        <w:t xml:space="preserve"> parent</w:t>
      </w:r>
      <w:r w:rsidR="007B1BA0" w:rsidRPr="009131CE">
        <w:rPr>
          <w:rFonts w:ascii="Arial" w:hAnsi="Arial" w:cs="Arial"/>
        </w:rPr>
        <w:t>ing</w:t>
      </w:r>
      <w:r w:rsidR="00EC1484" w:rsidRPr="009131CE">
        <w:rPr>
          <w:rFonts w:ascii="Arial" w:hAnsi="Arial" w:cs="Arial"/>
        </w:rPr>
        <w:t xml:space="preserve"> sense of competence, parent–child relationship quality, and parental mental health.</w:t>
      </w:r>
      <w:r w:rsidR="009968B8">
        <w:rPr>
          <w:rFonts w:ascii="Arial" w:hAnsi="Arial" w:cs="Arial"/>
        </w:rPr>
        <w:t xml:space="preserve"> </w:t>
      </w:r>
      <w:r w:rsidR="005D1EC4" w:rsidRPr="009131CE">
        <w:rPr>
          <w:rFonts w:ascii="Arial" w:hAnsi="Arial" w:cs="Arial"/>
        </w:rPr>
        <w:t xml:space="preserve">The </w:t>
      </w:r>
      <w:r w:rsidR="003361E2" w:rsidRPr="009131CE">
        <w:rPr>
          <w:rFonts w:ascii="Arial" w:hAnsi="Arial" w:cs="Arial"/>
        </w:rPr>
        <w:t xml:space="preserve">team scored </w:t>
      </w:r>
      <w:r w:rsidR="005D1EC4" w:rsidRPr="009131CE">
        <w:rPr>
          <w:rFonts w:ascii="Arial" w:hAnsi="Arial" w:cs="Arial"/>
        </w:rPr>
        <w:t xml:space="preserve">the </w:t>
      </w:r>
      <w:r w:rsidR="003361E2" w:rsidRPr="009131CE">
        <w:rPr>
          <w:rFonts w:ascii="Arial" w:hAnsi="Arial" w:cs="Arial"/>
        </w:rPr>
        <w:t xml:space="preserve">manuals used in each trial to establish the dosage </w:t>
      </w:r>
      <w:r w:rsidR="00BB399D" w:rsidRPr="009131CE">
        <w:rPr>
          <w:rFonts w:ascii="Arial" w:hAnsi="Arial" w:cs="Arial"/>
        </w:rPr>
        <w:t>of specific</w:t>
      </w:r>
      <w:r w:rsidR="003361E2" w:rsidRPr="009131CE">
        <w:rPr>
          <w:rFonts w:ascii="Arial" w:hAnsi="Arial" w:cs="Arial"/>
        </w:rPr>
        <w:t xml:space="preserve"> technique</w:t>
      </w:r>
      <w:r w:rsidR="0008100C" w:rsidRPr="009131CE">
        <w:rPr>
          <w:rFonts w:ascii="Arial" w:hAnsi="Arial" w:cs="Arial"/>
        </w:rPr>
        <w:t>s</w:t>
      </w:r>
      <w:r w:rsidR="003361E2" w:rsidRPr="009131CE">
        <w:rPr>
          <w:rFonts w:ascii="Arial" w:hAnsi="Arial" w:cs="Arial"/>
        </w:rPr>
        <w:t xml:space="preserve"> taught</w:t>
      </w:r>
      <w:r w:rsidR="00284577">
        <w:rPr>
          <w:rFonts w:ascii="Arial" w:hAnsi="Arial" w:cs="Arial"/>
        </w:rPr>
        <w:t>, then</w:t>
      </w:r>
      <w:r w:rsidR="005D1EC4" w:rsidRPr="009131CE">
        <w:rPr>
          <w:rFonts w:ascii="Arial" w:hAnsi="Arial" w:cs="Arial"/>
        </w:rPr>
        <w:t xml:space="preserve"> used this metric to explore outcomes, as</w:t>
      </w:r>
      <w:r w:rsidR="003361E2" w:rsidRPr="009131CE">
        <w:rPr>
          <w:rFonts w:ascii="Arial" w:hAnsi="Arial" w:cs="Arial"/>
        </w:rPr>
        <w:t xml:space="preserve"> well as </w:t>
      </w:r>
      <w:r w:rsidR="00284577">
        <w:rPr>
          <w:rFonts w:ascii="Arial" w:hAnsi="Arial" w:cs="Arial"/>
        </w:rPr>
        <w:t xml:space="preserve">to </w:t>
      </w:r>
      <w:r w:rsidR="003361E2" w:rsidRPr="009131CE">
        <w:rPr>
          <w:rFonts w:ascii="Arial" w:hAnsi="Arial" w:cs="Arial"/>
        </w:rPr>
        <w:t>evaluat</w:t>
      </w:r>
      <w:r w:rsidR="00284577">
        <w:rPr>
          <w:rFonts w:ascii="Arial" w:hAnsi="Arial" w:cs="Arial"/>
        </w:rPr>
        <w:t>e</w:t>
      </w:r>
      <w:r w:rsidR="003361E2" w:rsidRPr="009131CE">
        <w:rPr>
          <w:rFonts w:ascii="Arial" w:hAnsi="Arial" w:cs="Arial"/>
        </w:rPr>
        <w:t xml:space="preserve"> effects of factors such as delivery method, format, and medication use. </w:t>
      </w:r>
      <w:r w:rsidR="00B8365B" w:rsidRPr="009131CE">
        <w:rPr>
          <w:rFonts w:ascii="Arial" w:hAnsi="Arial" w:cs="Arial"/>
        </w:rPr>
        <w:t>Twenty-nine studies</w:t>
      </w:r>
      <w:r w:rsidR="003361E2" w:rsidRPr="009131CE">
        <w:rPr>
          <w:rFonts w:ascii="Arial" w:hAnsi="Arial" w:cs="Arial"/>
        </w:rPr>
        <w:t xml:space="preserve"> and 35 </w:t>
      </w:r>
      <w:r w:rsidR="00BB399D" w:rsidRPr="009131CE">
        <w:rPr>
          <w:rFonts w:ascii="Arial" w:hAnsi="Arial" w:cs="Arial"/>
        </w:rPr>
        <w:t>behavioral</w:t>
      </w:r>
      <w:r w:rsidR="003361E2" w:rsidRPr="009131CE">
        <w:rPr>
          <w:rFonts w:ascii="Arial" w:hAnsi="Arial" w:cs="Arial"/>
        </w:rPr>
        <w:t xml:space="preserve"> techniques were included.</w:t>
      </w:r>
      <w:r w:rsidR="009968B8">
        <w:rPr>
          <w:rFonts w:ascii="Arial" w:hAnsi="Arial" w:cs="Arial"/>
        </w:rPr>
        <w:t xml:space="preserve"> </w:t>
      </w:r>
      <w:r w:rsidR="00A13F8B" w:rsidRPr="009131CE">
        <w:rPr>
          <w:rFonts w:ascii="Arial" w:hAnsi="Arial" w:cs="Arial"/>
        </w:rPr>
        <w:t>A h</w:t>
      </w:r>
      <w:r w:rsidR="005D1EC4" w:rsidRPr="009131CE">
        <w:rPr>
          <w:rFonts w:ascii="Arial" w:hAnsi="Arial" w:cs="Arial"/>
        </w:rPr>
        <w:t>igher dosage of stimulus co</w:t>
      </w:r>
      <w:r w:rsidR="006640A3" w:rsidRPr="009131CE">
        <w:rPr>
          <w:rFonts w:ascii="Arial" w:hAnsi="Arial" w:cs="Arial"/>
        </w:rPr>
        <w:t>ntrol training</w:t>
      </w:r>
      <w:r w:rsidR="003F7736" w:rsidRPr="009131CE">
        <w:rPr>
          <w:rFonts w:ascii="Arial" w:hAnsi="Arial" w:cs="Arial"/>
        </w:rPr>
        <w:t>, such as “preparing a plan before entering a problematic situation</w:t>
      </w:r>
      <w:r w:rsidR="00284577">
        <w:rPr>
          <w:rFonts w:ascii="Arial" w:hAnsi="Arial" w:cs="Arial"/>
        </w:rPr>
        <w:t>”</w:t>
      </w:r>
      <w:r w:rsidR="003F7736" w:rsidRPr="009131CE">
        <w:rPr>
          <w:rFonts w:ascii="Arial" w:hAnsi="Arial" w:cs="Arial"/>
        </w:rPr>
        <w:t xml:space="preserve">, </w:t>
      </w:r>
      <w:r w:rsidR="006640A3" w:rsidRPr="009131CE">
        <w:rPr>
          <w:rFonts w:ascii="Arial" w:hAnsi="Arial" w:cs="Arial"/>
        </w:rPr>
        <w:t>w</w:t>
      </w:r>
      <w:r w:rsidRPr="009131CE">
        <w:rPr>
          <w:rFonts w:ascii="Arial" w:hAnsi="Arial" w:cs="Arial"/>
        </w:rPr>
        <w:t>as</w:t>
      </w:r>
      <w:r w:rsidR="006640A3" w:rsidRPr="009131CE">
        <w:rPr>
          <w:rFonts w:ascii="Arial" w:hAnsi="Arial" w:cs="Arial"/>
        </w:rPr>
        <w:t xml:space="preserve"> associ</w:t>
      </w:r>
      <w:r w:rsidR="001A1528" w:rsidRPr="009131CE">
        <w:rPr>
          <w:rFonts w:ascii="Arial" w:hAnsi="Arial" w:cs="Arial"/>
        </w:rPr>
        <w:t xml:space="preserve">ated with </w:t>
      </w:r>
      <w:r w:rsidR="003F7736" w:rsidRPr="009131CE">
        <w:rPr>
          <w:rFonts w:ascii="Arial" w:hAnsi="Arial" w:cs="Arial"/>
        </w:rPr>
        <w:t>increase</w:t>
      </w:r>
      <w:r w:rsidR="006640A3" w:rsidRPr="009131CE">
        <w:rPr>
          <w:rFonts w:ascii="Arial" w:hAnsi="Arial" w:cs="Arial"/>
        </w:rPr>
        <w:t>s</w:t>
      </w:r>
      <w:r w:rsidR="003F7736" w:rsidRPr="009131CE">
        <w:rPr>
          <w:rFonts w:ascii="Arial" w:hAnsi="Arial" w:cs="Arial"/>
        </w:rPr>
        <w:t xml:space="preserve"> in parental sense of competence a</w:t>
      </w:r>
      <w:r w:rsidR="006640A3" w:rsidRPr="009131CE">
        <w:rPr>
          <w:rFonts w:ascii="Arial" w:hAnsi="Arial" w:cs="Arial"/>
        </w:rPr>
        <w:t xml:space="preserve">nd </w:t>
      </w:r>
      <w:r w:rsidR="001A1528" w:rsidRPr="009131CE">
        <w:rPr>
          <w:rFonts w:ascii="Arial" w:hAnsi="Arial" w:cs="Arial"/>
        </w:rPr>
        <w:t>positive mental health</w:t>
      </w:r>
      <w:r w:rsidR="00284577">
        <w:rPr>
          <w:rFonts w:ascii="Arial" w:hAnsi="Arial" w:cs="Arial"/>
        </w:rPr>
        <w:t>. A</w:t>
      </w:r>
      <w:r w:rsidR="00A13F8B" w:rsidRPr="009131CE">
        <w:rPr>
          <w:rFonts w:ascii="Arial" w:hAnsi="Arial" w:cs="Arial"/>
        </w:rPr>
        <w:t xml:space="preserve"> higher dosage of reinforc</w:t>
      </w:r>
      <w:r w:rsidR="00284577">
        <w:rPr>
          <w:rFonts w:ascii="Arial" w:hAnsi="Arial" w:cs="Arial"/>
        </w:rPr>
        <w:t>ing</w:t>
      </w:r>
      <w:r w:rsidRPr="003753B7">
        <w:rPr>
          <w:rFonts w:ascii="Arial" w:hAnsi="Arial" w:cs="Arial"/>
        </w:rPr>
        <w:t xml:space="preserve"> desired </w:t>
      </w:r>
      <w:r w:rsidR="00BB399D" w:rsidRPr="003753B7">
        <w:rPr>
          <w:rFonts w:ascii="Arial" w:hAnsi="Arial" w:cs="Arial"/>
        </w:rPr>
        <w:t>behavior</w:t>
      </w:r>
      <w:r w:rsidRPr="009131CE">
        <w:rPr>
          <w:rFonts w:ascii="Arial" w:hAnsi="Arial" w:cs="Arial"/>
        </w:rPr>
        <w:t xml:space="preserve"> strategies </w:t>
      </w:r>
      <w:r w:rsidR="00A13F8B" w:rsidRPr="009131CE">
        <w:rPr>
          <w:rFonts w:ascii="Arial" w:hAnsi="Arial" w:cs="Arial"/>
        </w:rPr>
        <w:t>related to larger decreases in negative parenting</w:t>
      </w:r>
      <w:r w:rsidR="00284577">
        <w:rPr>
          <w:rFonts w:ascii="Arial" w:hAnsi="Arial" w:cs="Arial"/>
        </w:rPr>
        <w:t>,</w:t>
      </w:r>
      <w:r w:rsidRPr="009131CE">
        <w:rPr>
          <w:rFonts w:ascii="Arial" w:hAnsi="Arial" w:cs="Arial"/>
        </w:rPr>
        <w:t xml:space="preserve"> while </w:t>
      </w:r>
      <w:r w:rsidR="00284577">
        <w:rPr>
          <w:rFonts w:ascii="Arial" w:hAnsi="Arial" w:cs="Arial"/>
        </w:rPr>
        <w:t xml:space="preserve">a </w:t>
      </w:r>
      <w:r w:rsidRPr="009131CE">
        <w:rPr>
          <w:rFonts w:ascii="Arial" w:hAnsi="Arial" w:cs="Arial"/>
        </w:rPr>
        <w:t>h</w:t>
      </w:r>
      <w:r w:rsidR="00A13F8B" w:rsidRPr="009131CE">
        <w:rPr>
          <w:rFonts w:ascii="Arial" w:hAnsi="Arial" w:cs="Arial"/>
        </w:rPr>
        <w:t>igher dosage of psychoeducation w</w:t>
      </w:r>
      <w:r w:rsidR="00BB399D" w:rsidRPr="009131CE">
        <w:rPr>
          <w:rFonts w:ascii="Arial" w:hAnsi="Arial" w:cs="Arial"/>
        </w:rPr>
        <w:t>as</w:t>
      </w:r>
      <w:r w:rsidR="00A13F8B" w:rsidRPr="009131CE">
        <w:rPr>
          <w:rFonts w:ascii="Arial" w:hAnsi="Arial" w:cs="Arial"/>
        </w:rPr>
        <w:t xml:space="preserve"> negatively related to parental outcomes.</w:t>
      </w:r>
      <w:r w:rsidR="009968B8">
        <w:rPr>
          <w:rFonts w:ascii="Arial" w:hAnsi="Arial" w:cs="Arial"/>
        </w:rPr>
        <w:t xml:space="preserve"> The latter finding may reflect the lower proportion of time subsequently available for other active parent training components. </w:t>
      </w:r>
    </w:p>
    <w:p w14:paraId="52CC9FEA" w14:textId="5619E4CF" w:rsidR="00965237" w:rsidRPr="009131CE" w:rsidRDefault="004827E1" w:rsidP="003753B7">
      <w:pPr>
        <w:spacing w:after="0" w:line="480" w:lineRule="auto"/>
        <w:ind w:firstLine="720"/>
        <w:rPr>
          <w:rFonts w:ascii="Arial" w:hAnsi="Arial" w:cs="Arial"/>
        </w:rPr>
      </w:pPr>
      <w:r w:rsidRPr="009131CE">
        <w:rPr>
          <w:rFonts w:ascii="Arial" w:hAnsi="Arial" w:cs="Arial"/>
          <w:lang w:val="en-US"/>
        </w:rPr>
        <w:t xml:space="preserve">Finally, we would like to </w:t>
      </w:r>
      <w:r w:rsidR="001B10FE" w:rsidRPr="009131CE">
        <w:rPr>
          <w:rFonts w:ascii="Arial" w:hAnsi="Arial" w:cs="Arial"/>
          <w:lang w:val="en-US"/>
        </w:rPr>
        <w:t xml:space="preserve">call attention to </w:t>
      </w:r>
      <w:r w:rsidRPr="009131CE">
        <w:rPr>
          <w:rFonts w:ascii="Arial" w:hAnsi="Arial" w:cs="Arial"/>
          <w:lang w:val="en-US"/>
        </w:rPr>
        <w:t xml:space="preserve">an innovative </w:t>
      </w:r>
      <w:r w:rsidR="001B10FE" w:rsidRPr="009131CE">
        <w:rPr>
          <w:rFonts w:ascii="Arial" w:hAnsi="Arial" w:cs="Arial"/>
          <w:lang w:val="en-US"/>
        </w:rPr>
        <w:t>study</w:t>
      </w:r>
      <w:r w:rsidR="00757E66" w:rsidRPr="009131CE">
        <w:rPr>
          <w:rFonts w:ascii="Arial" w:hAnsi="Arial" w:cs="Arial"/>
          <w:lang w:val="en-US"/>
        </w:rPr>
        <w:t xml:space="preserve"> explor</w:t>
      </w:r>
      <w:r w:rsidR="00FA7BD5" w:rsidRPr="009131CE">
        <w:rPr>
          <w:rFonts w:ascii="Arial" w:hAnsi="Arial" w:cs="Arial"/>
          <w:lang w:val="en-US"/>
        </w:rPr>
        <w:t>ing</w:t>
      </w:r>
      <w:r w:rsidR="00757E66" w:rsidRPr="009131CE">
        <w:rPr>
          <w:rFonts w:ascii="Arial" w:hAnsi="Arial" w:cs="Arial"/>
          <w:lang w:val="en-US"/>
        </w:rPr>
        <w:t xml:space="preserve"> the effects of cultural racism on psychotherapy outcomes.</w:t>
      </w:r>
      <w:r w:rsidR="00C07161" w:rsidRPr="009131CE">
        <w:rPr>
          <w:rFonts w:ascii="Arial" w:hAnsi="Arial" w:cs="Arial"/>
          <w:lang w:val="en-US"/>
        </w:rPr>
        <w:t xml:space="preserve"> </w:t>
      </w:r>
      <w:r w:rsidR="00FA7BD5" w:rsidRPr="009131CE">
        <w:rPr>
          <w:rFonts w:ascii="Arial" w:hAnsi="Arial" w:cs="Arial"/>
          <w:lang w:val="en-US"/>
        </w:rPr>
        <w:t>Using public survey data (</w:t>
      </w:r>
      <w:r w:rsidR="00BB399D" w:rsidRPr="009131CE">
        <w:rPr>
          <w:rFonts w:ascii="Arial" w:hAnsi="Arial" w:cs="Arial"/>
          <w:lang w:val="en-US"/>
        </w:rPr>
        <w:t>e.g.,</w:t>
      </w:r>
      <w:r w:rsidR="00FA7BD5" w:rsidRPr="009131CE">
        <w:rPr>
          <w:rFonts w:ascii="Arial" w:hAnsi="Arial" w:cs="Arial"/>
          <w:lang w:val="en-US"/>
        </w:rPr>
        <w:t xml:space="preserve"> </w:t>
      </w:r>
      <w:r w:rsidR="00FA7BD5" w:rsidRPr="009131CE">
        <w:rPr>
          <w:rFonts w:ascii="Arial" w:hAnsi="Arial" w:cs="Arial"/>
        </w:rPr>
        <w:t xml:space="preserve">the American National Election Survey), </w:t>
      </w:r>
      <w:r w:rsidR="00BB399D" w:rsidRPr="009131CE">
        <w:rPr>
          <w:rFonts w:ascii="Arial" w:hAnsi="Arial" w:cs="Arial"/>
          <w:lang w:val="en-US"/>
        </w:rPr>
        <w:t>Price</w:t>
      </w:r>
      <w:r w:rsidR="008A681A" w:rsidRPr="009131CE">
        <w:rPr>
          <w:rFonts w:ascii="Arial" w:hAnsi="Arial" w:cs="Arial"/>
          <w:lang w:val="en-US"/>
        </w:rPr>
        <w:t xml:space="preserve"> and colleagues</w:t>
      </w:r>
      <w:r w:rsidR="00C24835">
        <w:rPr>
          <w:rFonts w:ascii="Arial" w:hAnsi="Arial" w:cs="Arial"/>
          <w:vertAlign w:val="superscript"/>
          <w:lang w:val="en-US"/>
        </w:rPr>
        <w:t>6</w:t>
      </w:r>
      <w:r w:rsidR="00842E85" w:rsidRPr="009131CE">
        <w:rPr>
          <w:rFonts w:ascii="Arial" w:hAnsi="Arial" w:cs="Arial"/>
          <w:lang w:val="en-US"/>
        </w:rPr>
        <w:t xml:space="preserve"> </w:t>
      </w:r>
      <w:r w:rsidR="0003739C" w:rsidRPr="009131CE">
        <w:rPr>
          <w:rFonts w:ascii="Arial" w:hAnsi="Arial" w:cs="Arial"/>
          <w:lang w:val="en-US"/>
        </w:rPr>
        <w:t>calculated an “anti-Black cultural racism” score for each state</w:t>
      </w:r>
      <w:r w:rsidR="00952BF2" w:rsidRPr="009131CE">
        <w:rPr>
          <w:rFonts w:ascii="Arial" w:hAnsi="Arial" w:cs="Arial"/>
          <w:lang w:val="en-US"/>
        </w:rPr>
        <w:t xml:space="preserve"> in the US</w:t>
      </w:r>
      <w:r w:rsidR="00284577">
        <w:rPr>
          <w:rFonts w:ascii="Arial" w:hAnsi="Arial" w:cs="Arial"/>
          <w:lang w:val="en-US"/>
        </w:rPr>
        <w:t>.</w:t>
      </w:r>
      <w:r w:rsidR="00952BF2" w:rsidRPr="009131CE">
        <w:rPr>
          <w:rFonts w:ascii="Arial" w:hAnsi="Arial" w:cs="Arial"/>
          <w:lang w:val="en-US"/>
        </w:rPr>
        <w:t xml:space="preserve"> </w:t>
      </w:r>
      <w:r w:rsidR="00284577">
        <w:rPr>
          <w:rFonts w:ascii="Arial" w:hAnsi="Arial" w:cs="Arial"/>
          <w:lang w:val="en-US"/>
        </w:rPr>
        <w:t>U</w:t>
      </w:r>
      <w:r w:rsidR="00952BF2" w:rsidRPr="009131CE">
        <w:rPr>
          <w:rFonts w:ascii="Arial" w:hAnsi="Arial" w:cs="Arial"/>
          <w:lang w:val="en-US"/>
        </w:rPr>
        <w:t>s</w:t>
      </w:r>
      <w:r w:rsidR="00284577">
        <w:rPr>
          <w:rFonts w:ascii="Arial" w:hAnsi="Arial" w:cs="Arial"/>
          <w:lang w:val="en-US"/>
        </w:rPr>
        <w:t>ing</w:t>
      </w:r>
      <w:r w:rsidR="00BB399D" w:rsidRPr="009131CE">
        <w:rPr>
          <w:rFonts w:ascii="Arial" w:hAnsi="Arial" w:cs="Arial"/>
          <w:lang w:val="en-US"/>
        </w:rPr>
        <w:t xml:space="preserve"> </w:t>
      </w:r>
      <w:r w:rsidR="00952BF2" w:rsidRPr="009131CE">
        <w:rPr>
          <w:rFonts w:ascii="Arial" w:hAnsi="Arial" w:cs="Arial"/>
          <w:lang w:val="en-US"/>
        </w:rPr>
        <w:t xml:space="preserve">spatial meta-analysis, </w:t>
      </w:r>
      <w:r w:rsidR="00284577">
        <w:rPr>
          <w:rFonts w:ascii="Arial" w:hAnsi="Arial" w:cs="Arial"/>
          <w:lang w:val="en-US"/>
        </w:rPr>
        <w:t xml:space="preserve">they </w:t>
      </w:r>
      <w:r w:rsidR="00952BF2" w:rsidRPr="009131CE">
        <w:rPr>
          <w:rFonts w:ascii="Arial" w:hAnsi="Arial" w:cs="Arial"/>
          <w:lang w:val="en-US"/>
        </w:rPr>
        <w:t>assessed if levels of racism were associated with treatment outcomes.</w:t>
      </w:r>
      <w:r w:rsidR="00284577">
        <w:rPr>
          <w:rFonts w:ascii="Arial" w:hAnsi="Arial" w:cs="Arial"/>
          <w:lang w:val="en-US"/>
        </w:rPr>
        <w:t xml:space="preserve"> They examined</w:t>
      </w:r>
      <w:r w:rsidR="00952BF2" w:rsidRPr="009131CE">
        <w:rPr>
          <w:rFonts w:ascii="Arial" w:hAnsi="Arial" w:cs="Arial"/>
          <w:lang w:val="en-US"/>
        </w:rPr>
        <w:t xml:space="preserve"> </w:t>
      </w:r>
      <w:r w:rsidR="00CB1EE8" w:rsidRPr="009131CE">
        <w:rPr>
          <w:rFonts w:ascii="Arial" w:hAnsi="Arial" w:cs="Arial"/>
          <w:lang w:val="en-US"/>
        </w:rPr>
        <w:t xml:space="preserve">194 studies from Weisz </w:t>
      </w:r>
      <w:r w:rsidR="00BB399D" w:rsidRPr="009131CE">
        <w:rPr>
          <w:rFonts w:ascii="Arial" w:hAnsi="Arial" w:cs="Arial"/>
          <w:lang w:val="en-US"/>
        </w:rPr>
        <w:t>and</w:t>
      </w:r>
      <w:r w:rsidR="009131CE" w:rsidRPr="009131CE">
        <w:rPr>
          <w:rFonts w:ascii="Arial" w:hAnsi="Arial" w:cs="Arial"/>
          <w:lang w:val="en-US"/>
        </w:rPr>
        <w:t xml:space="preserve"> colleagues’</w:t>
      </w:r>
      <w:r w:rsidR="00C24835">
        <w:rPr>
          <w:rFonts w:ascii="Arial" w:hAnsi="Arial" w:cs="Arial"/>
          <w:vertAlign w:val="superscript"/>
          <w:lang w:val="en-US"/>
        </w:rPr>
        <w:t>7</w:t>
      </w:r>
      <w:r w:rsidR="00CB1EE8" w:rsidRPr="009131CE">
        <w:rPr>
          <w:rFonts w:ascii="Arial" w:hAnsi="Arial" w:cs="Arial"/>
          <w:lang w:val="en-US"/>
        </w:rPr>
        <w:t xml:space="preserve"> comprehensive 2017 </w:t>
      </w:r>
      <w:r w:rsidR="009131CE" w:rsidRPr="009131CE">
        <w:rPr>
          <w:rFonts w:ascii="Arial" w:hAnsi="Arial" w:cs="Arial"/>
          <w:lang w:val="en-US"/>
        </w:rPr>
        <w:t>meta-analysis</w:t>
      </w:r>
      <w:r w:rsidR="00CB1EE8" w:rsidRPr="009131CE">
        <w:rPr>
          <w:rFonts w:ascii="Arial" w:hAnsi="Arial" w:cs="Arial"/>
          <w:lang w:val="en-US"/>
        </w:rPr>
        <w:t xml:space="preserve"> of 50 years of psychotherapy outcomes</w:t>
      </w:r>
      <w:r w:rsidR="00284577">
        <w:rPr>
          <w:rFonts w:ascii="Arial" w:hAnsi="Arial" w:cs="Arial"/>
          <w:lang w:val="en-US"/>
        </w:rPr>
        <w:t>,</w:t>
      </w:r>
      <w:r w:rsidR="00CB1EE8" w:rsidRPr="009131CE">
        <w:rPr>
          <w:rFonts w:ascii="Arial" w:hAnsi="Arial" w:cs="Arial"/>
          <w:lang w:val="en-US"/>
        </w:rPr>
        <w:t xml:space="preserve"> </w:t>
      </w:r>
      <w:r w:rsidR="00952BF2" w:rsidRPr="009131CE">
        <w:rPr>
          <w:rFonts w:ascii="Arial" w:hAnsi="Arial" w:cs="Arial"/>
          <w:lang w:val="en-US"/>
        </w:rPr>
        <w:t xml:space="preserve">based on sample make-up </w:t>
      </w:r>
      <w:r w:rsidR="002F7BCD" w:rsidRPr="009131CE">
        <w:rPr>
          <w:rFonts w:ascii="Arial" w:hAnsi="Arial" w:cs="Arial"/>
          <w:lang w:val="en-US"/>
        </w:rPr>
        <w:t>(</w:t>
      </w:r>
      <w:r w:rsidR="001F3886">
        <w:rPr>
          <w:rFonts w:ascii="Arial" w:hAnsi="Arial" w:cs="Arial"/>
          <w:lang w:val="en-US"/>
        </w:rPr>
        <w:t>≥</w:t>
      </w:r>
      <w:r w:rsidR="0003739C" w:rsidRPr="009131CE">
        <w:rPr>
          <w:rFonts w:ascii="Arial" w:hAnsi="Arial" w:cs="Arial"/>
          <w:lang w:val="en-US"/>
        </w:rPr>
        <w:t>50% Black</w:t>
      </w:r>
      <w:r w:rsidR="001F3886">
        <w:rPr>
          <w:rFonts w:ascii="Arial" w:hAnsi="Arial" w:cs="Arial"/>
          <w:lang w:val="en-US"/>
        </w:rPr>
        <w:t xml:space="preserve"> participants, n=36; ≥50% </w:t>
      </w:r>
      <w:r w:rsidR="0003739C" w:rsidRPr="009131CE">
        <w:rPr>
          <w:rFonts w:ascii="Arial" w:hAnsi="Arial" w:cs="Arial"/>
          <w:lang w:val="en-US"/>
        </w:rPr>
        <w:t>White participants</w:t>
      </w:r>
      <w:r w:rsidR="001F3886">
        <w:rPr>
          <w:rFonts w:ascii="Arial" w:hAnsi="Arial" w:cs="Arial"/>
          <w:lang w:val="en-US"/>
        </w:rPr>
        <w:t>, n=158</w:t>
      </w:r>
      <w:r w:rsidR="002F7BCD" w:rsidRPr="009131CE">
        <w:rPr>
          <w:rFonts w:ascii="Arial" w:hAnsi="Arial" w:cs="Arial"/>
          <w:lang w:val="en-US"/>
        </w:rPr>
        <w:t>)</w:t>
      </w:r>
      <w:r w:rsidR="00CB1EE8" w:rsidRPr="009131CE">
        <w:rPr>
          <w:rFonts w:ascii="Arial" w:hAnsi="Arial" w:cs="Arial"/>
          <w:lang w:val="en-US"/>
        </w:rPr>
        <w:t>.</w:t>
      </w:r>
      <w:r w:rsidR="009968B8">
        <w:rPr>
          <w:rFonts w:ascii="Arial" w:hAnsi="Arial" w:cs="Arial"/>
          <w:lang w:val="en-US"/>
        </w:rPr>
        <w:t xml:space="preserve"> </w:t>
      </w:r>
      <w:r w:rsidR="00965237" w:rsidRPr="009131CE">
        <w:rPr>
          <w:rFonts w:ascii="Arial" w:hAnsi="Arial" w:cs="Arial"/>
          <w:lang w:val="en-US"/>
        </w:rPr>
        <w:t xml:space="preserve">A higher </w:t>
      </w:r>
      <w:r w:rsidR="00CB1EE8" w:rsidRPr="009131CE">
        <w:rPr>
          <w:rFonts w:ascii="Arial" w:hAnsi="Arial" w:cs="Arial"/>
          <w:lang w:val="en-US"/>
        </w:rPr>
        <w:t xml:space="preserve">rating of </w:t>
      </w:r>
      <w:r w:rsidR="00CB1EE8" w:rsidRPr="009131CE">
        <w:rPr>
          <w:rFonts w:ascii="Arial" w:hAnsi="Arial" w:cs="Arial"/>
        </w:rPr>
        <w:t>anti-Black cultural racism w</w:t>
      </w:r>
      <w:r w:rsidR="00965237" w:rsidRPr="009131CE">
        <w:rPr>
          <w:rFonts w:ascii="Arial" w:hAnsi="Arial" w:cs="Arial"/>
        </w:rPr>
        <w:t>as</w:t>
      </w:r>
      <w:r w:rsidR="00CB1EE8" w:rsidRPr="009131CE">
        <w:rPr>
          <w:rFonts w:ascii="Arial" w:hAnsi="Arial" w:cs="Arial"/>
        </w:rPr>
        <w:t xml:space="preserve"> associated with lower</w:t>
      </w:r>
      <w:r w:rsidR="00965237" w:rsidRPr="009131CE">
        <w:rPr>
          <w:rFonts w:ascii="Arial" w:hAnsi="Arial" w:cs="Arial"/>
        </w:rPr>
        <w:t xml:space="preserve"> treatment</w:t>
      </w:r>
      <w:r w:rsidR="00CB1EE8" w:rsidRPr="009131CE">
        <w:rPr>
          <w:rFonts w:ascii="Arial" w:hAnsi="Arial" w:cs="Arial"/>
        </w:rPr>
        <w:t xml:space="preserve"> ESs</w:t>
      </w:r>
      <w:r w:rsidR="00284577">
        <w:rPr>
          <w:rFonts w:ascii="Arial" w:hAnsi="Arial" w:cs="Arial"/>
        </w:rPr>
        <w:t>,</w:t>
      </w:r>
      <w:r w:rsidR="00CB1EE8" w:rsidRPr="009131CE">
        <w:rPr>
          <w:rFonts w:ascii="Arial" w:hAnsi="Arial" w:cs="Arial"/>
        </w:rPr>
        <w:t xml:space="preserve"> </w:t>
      </w:r>
      <w:r w:rsidR="00965237" w:rsidRPr="009131CE">
        <w:rPr>
          <w:rFonts w:ascii="Arial" w:hAnsi="Arial" w:cs="Arial"/>
        </w:rPr>
        <w:t xml:space="preserve">but only in studies where the majority of participants were </w:t>
      </w:r>
      <w:r w:rsidR="00284577">
        <w:rPr>
          <w:rFonts w:ascii="Arial" w:hAnsi="Arial" w:cs="Arial"/>
        </w:rPr>
        <w:t>B</w:t>
      </w:r>
      <w:r w:rsidR="00284577" w:rsidRPr="009131CE">
        <w:rPr>
          <w:rFonts w:ascii="Arial" w:hAnsi="Arial" w:cs="Arial"/>
        </w:rPr>
        <w:t>lack</w:t>
      </w:r>
      <w:r w:rsidR="00965237" w:rsidRPr="009131CE">
        <w:rPr>
          <w:rFonts w:ascii="Arial" w:hAnsi="Arial" w:cs="Arial"/>
        </w:rPr>
        <w:t xml:space="preserve">. </w:t>
      </w:r>
    </w:p>
    <w:p w14:paraId="69CD2804" w14:textId="3AD4B943" w:rsidR="00965237" w:rsidRPr="009131CE" w:rsidRDefault="00BB399D" w:rsidP="003753B7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9131CE">
        <w:rPr>
          <w:rFonts w:ascii="Arial" w:hAnsi="Arial" w:cs="Arial"/>
        </w:rPr>
        <w:t>Each of t</w:t>
      </w:r>
      <w:r w:rsidR="00965237" w:rsidRPr="009131CE">
        <w:rPr>
          <w:rFonts w:ascii="Arial" w:hAnsi="Arial" w:cs="Arial"/>
        </w:rPr>
        <w:t xml:space="preserve">hese studies </w:t>
      </w:r>
      <w:r w:rsidR="009131CE" w:rsidRPr="009131CE">
        <w:rPr>
          <w:rFonts w:ascii="Arial" w:hAnsi="Arial" w:cs="Arial"/>
        </w:rPr>
        <w:t>identifies</w:t>
      </w:r>
      <w:r w:rsidR="00965237" w:rsidRPr="009131CE">
        <w:rPr>
          <w:rFonts w:ascii="Arial" w:hAnsi="Arial" w:cs="Arial"/>
        </w:rPr>
        <w:t xml:space="preserve"> key factors affecting treatment </w:t>
      </w:r>
      <w:r w:rsidR="009131CE" w:rsidRPr="009131CE">
        <w:rPr>
          <w:rFonts w:ascii="Arial" w:hAnsi="Arial" w:cs="Arial"/>
        </w:rPr>
        <w:t>response and</w:t>
      </w:r>
      <w:r w:rsidR="0008100C" w:rsidRPr="009131CE">
        <w:rPr>
          <w:rFonts w:ascii="Arial" w:hAnsi="Arial" w:cs="Arial"/>
        </w:rPr>
        <w:t xml:space="preserve"> </w:t>
      </w:r>
      <w:r w:rsidR="00965237" w:rsidRPr="009131CE">
        <w:rPr>
          <w:rFonts w:ascii="Arial" w:hAnsi="Arial" w:cs="Arial"/>
        </w:rPr>
        <w:t xml:space="preserve">can be used to increase the effectiveness and efficiency of our interventions by underscoring the need to increase focus on </w:t>
      </w:r>
      <w:r w:rsidR="009131CE" w:rsidRPr="009131CE">
        <w:rPr>
          <w:rFonts w:ascii="Arial" w:hAnsi="Arial" w:cs="Arial"/>
        </w:rPr>
        <w:t>high-risk</w:t>
      </w:r>
      <w:r w:rsidR="0008100C" w:rsidRPr="009131CE">
        <w:rPr>
          <w:rFonts w:ascii="Arial" w:hAnsi="Arial" w:cs="Arial"/>
        </w:rPr>
        <w:t xml:space="preserve"> youth,</w:t>
      </w:r>
      <w:r w:rsidR="00965237" w:rsidRPr="009131CE">
        <w:rPr>
          <w:rFonts w:ascii="Arial" w:hAnsi="Arial" w:cs="Arial"/>
        </w:rPr>
        <w:t xml:space="preserve"> </w:t>
      </w:r>
      <w:r w:rsidR="0008100C" w:rsidRPr="009131CE">
        <w:rPr>
          <w:rFonts w:ascii="Arial" w:hAnsi="Arial" w:cs="Arial"/>
        </w:rPr>
        <w:t xml:space="preserve">to </w:t>
      </w:r>
      <w:r w:rsidR="00965237" w:rsidRPr="009131CE">
        <w:rPr>
          <w:rFonts w:ascii="Arial" w:hAnsi="Arial" w:cs="Arial"/>
        </w:rPr>
        <w:t xml:space="preserve">focus on intervention techniques associated </w:t>
      </w:r>
      <w:r w:rsidR="00965237" w:rsidRPr="009131CE">
        <w:rPr>
          <w:rFonts w:ascii="Arial" w:hAnsi="Arial" w:cs="Arial"/>
        </w:rPr>
        <w:lastRenderedPageBreak/>
        <w:t>with greatest positive change</w:t>
      </w:r>
      <w:r w:rsidR="0008100C" w:rsidRPr="009131CE">
        <w:rPr>
          <w:rFonts w:ascii="Arial" w:hAnsi="Arial" w:cs="Arial"/>
        </w:rPr>
        <w:t xml:space="preserve">, and to attend more carefully to broader cultural factors that undermine the impact and promise of our work. </w:t>
      </w:r>
    </w:p>
    <w:p w14:paraId="6D945D37" w14:textId="13EEE9AF" w:rsidR="001D1406" w:rsidRPr="009131CE" w:rsidRDefault="00677560" w:rsidP="003753B7">
      <w:pPr>
        <w:spacing w:after="0" w:line="480" w:lineRule="auto"/>
        <w:ind w:firstLine="720"/>
        <w:rPr>
          <w:rFonts w:ascii="Arial" w:hAnsi="Arial" w:cs="Arial"/>
        </w:rPr>
      </w:pPr>
      <w:r w:rsidRPr="009131CE">
        <w:rPr>
          <w:rFonts w:ascii="Arial" w:hAnsi="Arial" w:cs="Arial"/>
          <w:lang w:val="en-US"/>
        </w:rPr>
        <w:t xml:space="preserve">In regard to pharmacological treatment, </w:t>
      </w:r>
      <w:proofErr w:type="spellStart"/>
      <w:r w:rsidRPr="009131CE">
        <w:rPr>
          <w:rFonts w:ascii="Arial" w:hAnsi="Arial" w:cs="Arial"/>
          <w:lang w:val="en-US"/>
        </w:rPr>
        <w:t>DelBello</w:t>
      </w:r>
      <w:proofErr w:type="spellEnd"/>
      <w:r w:rsidRPr="009131CE">
        <w:rPr>
          <w:rFonts w:ascii="Arial" w:hAnsi="Arial" w:cs="Arial"/>
          <w:lang w:val="en-US"/>
        </w:rPr>
        <w:t xml:space="preserve"> et al.</w:t>
      </w:r>
      <w:r w:rsidR="00C24835">
        <w:rPr>
          <w:rFonts w:ascii="Arial" w:hAnsi="Arial" w:cs="Arial"/>
          <w:vertAlign w:val="superscript"/>
          <w:lang w:val="en-US"/>
        </w:rPr>
        <w:t>8</w:t>
      </w:r>
      <w:r w:rsidRPr="009131CE">
        <w:rPr>
          <w:rFonts w:ascii="Arial" w:hAnsi="Arial" w:cs="Arial"/>
          <w:lang w:val="en-US"/>
        </w:rPr>
        <w:t xml:space="preserve"> conducted the first meta-analytic work comparing the efficacy and tolerability of </w:t>
      </w:r>
      <w:r w:rsidRPr="009131CE">
        <w:rPr>
          <w:rFonts w:ascii="Arial" w:hAnsi="Arial" w:cs="Arial"/>
        </w:rPr>
        <w:t>second-generation antipsychotics for major depressive episodes in youths with bipolar disorder.</w:t>
      </w:r>
      <w:r w:rsidR="009968B8">
        <w:rPr>
          <w:rFonts w:ascii="Arial" w:hAnsi="Arial" w:cs="Arial"/>
        </w:rPr>
        <w:t xml:space="preserve"> Using</w:t>
      </w:r>
      <w:r w:rsidRPr="009131CE">
        <w:rPr>
          <w:rFonts w:ascii="Arial" w:hAnsi="Arial" w:cs="Arial"/>
        </w:rPr>
        <w:t xml:space="preserve"> NMA</w:t>
      </w:r>
      <w:r w:rsidR="009968B8">
        <w:rPr>
          <w:rFonts w:ascii="Arial" w:hAnsi="Arial" w:cs="Arial"/>
        </w:rPr>
        <w:t>, they</w:t>
      </w:r>
      <w:r w:rsidR="0000723D" w:rsidRPr="009131CE">
        <w:rPr>
          <w:rFonts w:ascii="Arial" w:hAnsi="Arial" w:cs="Arial"/>
        </w:rPr>
        <w:t xml:space="preserve"> pool</w:t>
      </w:r>
      <w:r w:rsidR="009968B8">
        <w:rPr>
          <w:rFonts w:ascii="Arial" w:hAnsi="Arial" w:cs="Arial"/>
        </w:rPr>
        <w:t>ed</w:t>
      </w:r>
      <w:r w:rsidR="0000723D" w:rsidRPr="009131CE">
        <w:rPr>
          <w:rFonts w:ascii="Arial" w:hAnsi="Arial" w:cs="Arial"/>
        </w:rPr>
        <w:t xml:space="preserve"> data from 4 randomized controlled trials (RCTs)</w:t>
      </w:r>
      <w:r w:rsidRPr="009131CE">
        <w:rPr>
          <w:rFonts w:ascii="Arial" w:hAnsi="Arial" w:cs="Arial"/>
        </w:rPr>
        <w:t xml:space="preserve"> </w:t>
      </w:r>
      <w:r w:rsidR="009C5851">
        <w:rPr>
          <w:rFonts w:ascii="Arial" w:hAnsi="Arial" w:cs="Arial"/>
        </w:rPr>
        <w:t xml:space="preserve">and demonstrated </w:t>
      </w:r>
      <w:r w:rsidRPr="009131CE">
        <w:rPr>
          <w:rFonts w:ascii="Arial" w:hAnsi="Arial" w:cs="Arial"/>
        </w:rPr>
        <w:t xml:space="preserve">that lurasidone </w:t>
      </w:r>
      <w:r w:rsidR="0000723D" w:rsidRPr="009131CE">
        <w:rPr>
          <w:rFonts w:ascii="Arial" w:hAnsi="Arial" w:cs="Arial"/>
        </w:rPr>
        <w:t>had</w:t>
      </w:r>
      <w:r w:rsidRPr="009131CE">
        <w:rPr>
          <w:rFonts w:ascii="Arial" w:hAnsi="Arial" w:cs="Arial"/>
        </w:rPr>
        <w:t xml:space="preserve"> the highest probability of being the most efficacious treatment, </w:t>
      </w:r>
      <w:r w:rsidR="0000723D" w:rsidRPr="009131CE">
        <w:rPr>
          <w:rFonts w:ascii="Arial" w:hAnsi="Arial" w:cs="Arial"/>
        </w:rPr>
        <w:t>considering</w:t>
      </w:r>
      <w:r w:rsidRPr="009131CE">
        <w:rPr>
          <w:rFonts w:ascii="Arial" w:hAnsi="Arial" w:cs="Arial"/>
        </w:rPr>
        <w:t xml:space="preserve"> both reduc</w:t>
      </w:r>
      <w:r w:rsidR="009C5851">
        <w:rPr>
          <w:rFonts w:ascii="Arial" w:hAnsi="Arial" w:cs="Arial"/>
        </w:rPr>
        <w:t>ed depression symptom</w:t>
      </w:r>
      <w:r w:rsidRPr="009131CE">
        <w:rPr>
          <w:rFonts w:ascii="Arial" w:hAnsi="Arial" w:cs="Arial"/>
        </w:rPr>
        <w:t xml:space="preserve"> severity and response rate. Olanzapine/fluoxetine combination </w:t>
      </w:r>
      <w:r w:rsidR="0000723D" w:rsidRPr="009131CE">
        <w:rPr>
          <w:rFonts w:ascii="Arial" w:hAnsi="Arial" w:cs="Arial"/>
        </w:rPr>
        <w:t xml:space="preserve">(OFC) </w:t>
      </w:r>
      <w:r w:rsidRPr="009131CE">
        <w:rPr>
          <w:rFonts w:ascii="Arial" w:hAnsi="Arial" w:cs="Arial"/>
        </w:rPr>
        <w:t xml:space="preserve">was associated with the highest </w:t>
      </w:r>
      <w:r w:rsidR="0000723D" w:rsidRPr="009131CE">
        <w:rPr>
          <w:rFonts w:ascii="Arial" w:hAnsi="Arial" w:cs="Arial"/>
        </w:rPr>
        <w:t>chance</w:t>
      </w:r>
      <w:r w:rsidRPr="009131CE">
        <w:rPr>
          <w:rFonts w:ascii="Arial" w:hAnsi="Arial" w:cs="Arial"/>
        </w:rPr>
        <w:t xml:space="preserve"> of remission. </w:t>
      </w:r>
      <w:r w:rsidR="009C5851">
        <w:rPr>
          <w:rFonts w:ascii="Arial" w:hAnsi="Arial" w:cs="Arial"/>
        </w:rPr>
        <w:t>A</w:t>
      </w:r>
      <w:r w:rsidRPr="009131CE">
        <w:rPr>
          <w:rFonts w:ascii="Arial" w:hAnsi="Arial" w:cs="Arial"/>
        </w:rPr>
        <w:t>ll</w:t>
      </w:r>
      <w:r w:rsidR="0000723D" w:rsidRPr="009131CE">
        <w:rPr>
          <w:rFonts w:ascii="Arial" w:hAnsi="Arial" w:cs="Arial"/>
        </w:rPr>
        <w:t xml:space="preserve"> </w:t>
      </w:r>
      <w:r w:rsidRPr="009131CE">
        <w:rPr>
          <w:rFonts w:ascii="Arial" w:hAnsi="Arial" w:cs="Arial"/>
        </w:rPr>
        <w:t xml:space="preserve">cause discontinuation </w:t>
      </w:r>
      <w:r w:rsidR="009C5851">
        <w:rPr>
          <w:rFonts w:ascii="Arial" w:hAnsi="Arial" w:cs="Arial"/>
        </w:rPr>
        <w:t xml:space="preserve">was lowest for </w:t>
      </w:r>
      <w:r w:rsidRPr="009131CE">
        <w:rPr>
          <w:rFonts w:ascii="Arial" w:hAnsi="Arial" w:cs="Arial"/>
        </w:rPr>
        <w:t>quetiapine and lurasidone</w:t>
      </w:r>
      <w:r w:rsidR="009C5851">
        <w:rPr>
          <w:rFonts w:ascii="Arial" w:hAnsi="Arial" w:cs="Arial"/>
        </w:rPr>
        <w:t>.</w:t>
      </w:r>
      <w:r w:rsidRPr="009131CE">
        <w:rPr>
          <w:rFonts w:ascii="Arial" w:hAnsi="Arial" w:cs="Arial"/>
        </w:rPr>
        <w:t xml:space="preserve"> OFC </w:t>
      </w:r>
      <w:r w:rsidR="009C5851">
        <w:rPr>
          <w:rFonts w:ascii="Arial" w:hAnsi="Arial" w:cs="Arial"/>
        </w:rPr>
        <w:t xml:space="preserve">had </w:t>
      </w:r>
      <w:r w:rsidRPr="009131CE">
        <w:rPr>
          <w:rFonts w:ascii="Arial" w:hAnsi="Arial" w:cs="Arial"/>
        </w:rPr>
        <w:t>the lowest rate of discontinuation due to efficacy</w:t>
      </w:r>
      <w:r w:rsidR="009C5851">
        <w:rPr>
          <w:rFonts w:ascii="Arial" w:hAnsi="Arial" w:cs="Arial"/>
        </w:rPr>
        <w:t xml:space="preserve">, while </w:t>
      </w:r>
      <w:r w:rsidRPr="009131CE">
        <w:rPr>
          <w:rFonts w:ascii="Arial" w:hAnsi="Arial" w:cs="Arial"/>
        </w:rPr>
        <w:t xml:space="preserve">quetiapine </w:t>
      </w:r>
      <w:r w:rsidR="009C5851">
        <w:rPr>
          <w:rFonts w:ascii="Arial" w:hAnsi="Arial" w:cs="Arial"/>
        </w:rPr>
        <w:t xml:space="preserve">had the lowest rate </w:t>
      </w:r>
      <w:r w:rsidRPr="009131CE">
        <w:rPr>
          <w:rFonts w:ascii="Arial" w:hAnsi="Arial" w:cs="Arial"/>
        </w:rPr>
        <w:t xml:space="preserve">of discontinuation due to side effects. </w:t>
      </w:r>
      <w:r w:rsidR="0000723D" w:rsidRPr="009131CE">
        <w:rPr>
          <w:rFonts w:ascii="Arial" w:hAnsi="Arial" w:cs="Arial"/>
        </w:rPr>
        <w:t xml:space="preserve">Even though these findings certainly need to be replicated in larger NMAs, the study by </w:t>
      </w:r>
      <w:proofErr w:type="spellStart"/>
      <w:r w:rsidR="0000723D" w:rsidRPr="009131CE">
        <w:rPr>
          <w:rFonts w:ascii="Arial" w:hAnsi="Arial" w:cs="Arial"/>
        </w:rPr>
        <w:t>DelBello</w:t>
      </w:r>
      <w:proofErr w:type="spellEnd"/>
      <w:r w:rsidR="0000723D" w:rsidRPr="009131CE">
        <w:rPr>
          <w:rFonts w:ascii="Arial" w:hAnsi="Arial" w:cs="Arial"/>
        </w:rPr>
        <w:t xml:space="preserve"> et al</w:t>
      </w:r>
      <w:r w:rsidR="00424FC7" w:rsidRPr="009131CE">
        <w:rPr>
          <w:rFonts w:ascii="Arial" w:hAnsi="Arial" w:cs="Arial"/>
        </w:rPr>
        <w:t>.</w:t>
      </w:r>
      <w:r w:rsidR="0000723D" w:rsidRPr="009131CE">
        <w:rPr>
          <w:rFonts w:ascii="Arial" w:hAnsi="Arial" w:cs="Arial"/>
        </w:rPr>
        <w:t xml:space="preserve"> provide</w:t>
      </w:r>
      <w:r w:rsidR="00424FC7" w:rsidRPr="009131CE">
        <w:rPr>
          <w:rFonts w:ascii="Arial" w:hAnsi="Arial" w:cs="Arial"/>
        </w:rPr>
        <w:t>s</w:t>
      </w:r>
      <w:r w:rsidR="0000723D" w:rsidRPr="009131CE">
        <w:rPr>
          <w:rFonts w:ascii="Arial" w:hAnsi="Arial" w:cs="Arial"/>
        </w:rPr>
        <w:t xml:space="preserve"> a first indication to prescriber</w:t>
      </w:r>
      <w:r w:rsidR="009C5851">
        <w:rPr>
          <w:rFonts w:ascii="Arial" w:hAnsi="Arial" w:cs="Arial"/>
        </w:rPr>
        <w:t>s</w:t>
      </w:r>
      <w:r w:rsidR="0000723D" w:rsidRPr="009131CE">
        <w:rPr>
          <w:rFonts w:ascii="Arial" w:hAnsi="Arial" w:cs="Arial"/>
        </w:rPr>
        <w:t xml:space="preserve"> in the process of initial decision making </w:t>
      </w:r>
      <w:r w:rsidR="009C5851">
        <w:rPr>
          <w:rFonts w:ascii="Arial" w:hAnsi="Arial" w:cs="Arial"/>
        </w:rPr>
        <w:t xml:space="preserve">regarding </w:t>
      </w:r>
      <w:r w:rsidR="0000723D" w:rsidRPr="009131CE">
        <w:rPr>
          <w:rFonts w:ascii="Arial" w:hAnsi="Arial" w:cs="Arial"/>
        </w:rPr>
        <w:t>the best second-generation antipsychotics for major depressive episodes in youth.</w:t>
      </w:r>
    </w:p>
    <w:p w14:paraId="6267B999" w14:textId="25406318" w:rsidR="0000723D" w:rsidRPr="009131CE" w:rsidRDefault="0000723D" w:rsidP="003753B7">
      <w:pPr>
        <w:spacing w:after="0" w:line="480" w:lineRule="auto"/>
        <w:ind w:firstLine="720"/>
        <w:rPr>
          <w:rFonts w:ascii="Arial" w:hAnsi="Arial" w:cs="Arial"/>
          <w:color w:val="212121"/>
          <w:shd w:val="clear" w:color="auto" w:fill="FFFFFF"/>
        </w:rPr>
      </w:pPr>
      <w:r w:rsidRPr="009131CE">
        <w:rPr>
          <w:rFonts w:ascii="Arial" w:hAnsi="Arial" w:cs="Arial"/>
        </w:rPr>
        <w:t>In another study, Farhat and colleagues</w:t>
      </w:r>
      <w:r w:rsidR="00C24835">
        <w:rPr>
          <w:rFonts w:ascii="Arial" w:hAnsi="Arial" w:cs="Arial"/>
          <w:vertAlign w:val="superscript"/>
        </w:rPr>
        <w:t>9</w:t>
      </w:r>
      <w:r w:rsidRPr="009131CE">
        <w:rPr>
          <w:rFonts w:ascii="Arial" w:hAnsi="Arial" w:cs="Arial"/>
        </w:rPr>
        <w:t xml:space="preserve"> </w:t>
      </w:r>
      <w:r w:rsidR="001F3886">
        <w:rPr>
          <w:rFonts w:ascii="Arial" w:hAnsi="Arial" w:cs="Arial"/>
        </w:rPr>
        <w:t xml:space="preserve">utilized </w:t>
      </w:r>
      <w:r w:rsidR="009C5851">
        <w:rPr>
          <w:rFonts w:ascii="Arial" w:hAnsi="Arial" w:cs="Arial"/>
        </w:rPr>
        <w:t xml:space="preserve">IPDMA </w:t>
      </w:r>
      <w:r w:rsidRPr="009131CE">
        <w:rPr>
          <w:rFonts w:ascii="Arial" w:hAnsi="Arial" w:cs="Arial"/>
        </w:rPr>
        <w:t xml:space="preserve">to assess the discriminative ability of the </w:t>
      </w:r>
      <w:r w:rsidRPr="009131CE">
        <w:rPr>
          <w:rFonts w:ascii="Arial" w:hAnsi="Arial" w:cs="Arial"/>
          <w:color w:val="212121"/>
          <w:shd w:val="clear" w:color="auto" w:fill="FFFFFF"/>
        </w:rPr>
        <w:t xml:space="preserve">Children's Yale-Brown Obsessive-Compulsive Scale (CY-BOCS) in determining response and remission in child and adolescents with obsessive 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>compulsive</w:t>
      </w:r>
      <w:r w:rsidRPr="009131CE">
        <w:rPr>
          <w:rFonts w:ascii="Arial" w:hAnsi="Arial" w:cs="Arial"/>
          <w:color w:val="212121"/>
          <w:shd w:val="clear" w:color="auto" w:fill="FFFFFF"/>
        </w:rPr>
        <w:t xml:space="preserve"> disorder</w:t>
      </w:r>
      <w:r w:rsidR="00424FC7" w:rsidRPr="009131CE"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9131CE">
        <w:rPr>
          <w:rFonts w:ascii="Arial" w:hAnsi="Arial" w:cs="Arial"/>
          <w:color w:val="212121"/>
          <w:shd w:val="clear" w:color="auto" w:fill="FFFFFF"/>
        </w:rPr>
        <w:t>and establish</w:t>
      </w:r>
      <w:r w:rsidR="00285CAD">
        <w:rPr>
          <w:rFonts w:ascii="Arial" w:hAnsi="Arial" w:cs="Arial"/>
          <w:color w:val="212121"/>
          <w:shd w:val="clear" w:color="auto" w:fill="FFFFFF"/>
        </w:rPr>
        <w:t>ing</w:t>
      </w:r>
      <w:r w:rsidRPr="009131CE">
        <w:rPr>
          <w:rFonts w:ascii="Arial" w:hAnsi="Arial" w:cs="Arial"/>
          <w:color w:val="212121"/>
          <w:shd w:val="clear" w:color="auto" w:fill="FFFFFF"/>
        </w:rPr>
        <w:t xml:space="preserve"> evidence-based cut-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>off</w:t>
      </w:r>
      <w:r w:rsidR="00285CAD">
        <w:rPr>
          <w:rFonts w:ascii="Arial" w:hAnsi="Arial" w:cs="Arial"/>
          <w:color w:val="212121"/>
          <w:shd w:val="clear" w:color="auto" w:fill="FFFFFF"/>
        </w:rPr>
        <w:t>s for</w:t>
      </w:r>
      <w:r w:rsidRPr="009131CE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>response and remission. In doing so, Farhat et al</w:t>
      </w:r>
      <w:r w:rsidR="00424FC7" w:rsidRPr="009131CE">
        <w:rPr>
          <w:rFonts w:ascii="Arial" w:hAnsi="Arial" w:cs="Arial"/>
          <w:color w:val="212121"/>
          <w:shd w:val="clear" w:color="auto" w:fill="FFFFFF"/>
        </w:rPr>
        <w:t>.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 xml:space="preserve"> filled a crucial gap in the field. </w:t>
      </w:r>
      <w:r w:rsidR="00341EB3">
        <w:rPr>
          <w:rFonts w:ascii="Arial" w:hAnsi="Arial" w:cs="Arial"/>
          <w:color w:val="212121"/>
          <w:shd w:val="clear" w:color="auto" w:fill="FFFFFF"/>
        </w:rPr>
        <w:t xml:space="preserve">Prior to 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>this work, no established definition</w:t>
      </w:r>
      <w:r w:rsidR="00424FC7" w:rsidRPr="009131CE">
        <w:rPr>
          <w:rFonts w:ascii="Arial" w:hAnsi="Arial" w:cs="Arial"/>
          <w:color w:val="212121"/>
          <w:shd w:val="clear" w:color="auto" w:fill="FFFFFF"/>
        </w:rPr>
        <w:t>s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 xml:space="preserve"> of response and remission following treatment for OCD in youths were available. The meta-analysis found that</w:t>
      </w:r>
      <w:r w:rsidRPr="009131CE">
        <w:rPr>
          <w:rFonts w:ascii="Arial" w:hAnsi="Arial" w:cs="Arial"/>
        </w:rPr>
        <w:t xml:space="preserve"> </w:t>
      </w:r>
      <w:r w:rsidR="0007707E" w:rsidRPr="009131CE">
        <w:rPr>
          <w:rFonts w:ascii="Arial" w:hAnsi="Arial" w:cs="Arial"/>
        </w:rPr>
        <w:t xml:space="preserve">the 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>CY-BOCS had acceptable discriminative ability to determine response and remission, as shown by a pooled area under the curve (AUC) = 0.89 and</w:t>
      </w:r>
      <w:r w:rsidR="009968B8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 xml:space="preserve">= 0.92, respectively. Moreover, optimal cut-offs for response and remission were a ≥35% reduction from baseline to posttreatment </w:t>
      </w:r>
      <w:r w:rsidR="00341EB3">
        <w:rPr>
          <w:rFonts w:ascii="Arial" w:hAnsi="Arial" w:cs="Arial"/>
          <w:color w:val="212121"/>
          <w:shd w:val="clear" w:color="auto" w:fill="FFFFFF"/>
        </w:rPr>
        <w:t xml:space="preserve">and 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>a raw score of ≤12, respectively.</w:t>
      </w:r>
      <w:r w:rsidR="009968B8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>We look forward</w:t>
      </w:r>
      <w:r w:rsidR="00341EB3">
        <w:rPr>
          <w:rFonts w:ascii="Arial" w:hAnsi="Arial" w:cs="Arial"/>
          <w:color w:val="212121"/>
          <w:shd w:val="clear" w:color="auto" w:fill="FFFFFF"/>
        </w:rPr>
        <w:t xml:space="preserve"> to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 xml:space="preserve"> these cut-offs be</w:t>
      </w:r>
      <w:r w:rsidR="00424FC7" w:rsidRPr="009131CE">
        <w:rPr>
          <w:rFonts w:ascii="Arial" w:hAnsi="Arial" w:cs="Arial"/>
          <w:color w:val="212121"/>
          <w:shd w:val="clear" w:color="auto" w:fill="FFFFFF"/>
        </w:rPr>
        <w:t>ing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 xml:space="preserve"> used in clinical practice and be</w:t>
      </w:r>
      <w:r w:rsidR="00424FC7" w:rsidRPr="009131CE">
        <w:rPr>
          <w:rFonts w:ascii="Arial" w:hAnsi="Arial" w:cs="Arial"/>
          <w:color w:val="212121"/>
          <w:shd w:val="clear" w:color="auto" w:fill="FFFFFF"/>
        </w:rPr>
        <w:t>ing</w:t>
      </w:r>
      <w:r w:rsidR="0007707E" w:rsidRPr="009131CE">
        <w:rPr>
          <w:rFonts w:ascii="Arial" w:hAnsi="Arial" w:cs="Arial"/>
          <w:color w:val="212121"/>
          <w:shd w:val="clear" w:color="auto" w:fill="FFFFFF"/>
        </w:rPr>
        <w:t xml:space="preserve"> consistently implemented in future research, to allow comparability across studies.</w:t>
      </w:r>
    </w:p>
    <w:p w14:paraId="0332AD6F" w14:textId="3B7FFC3C" w:rsidR="00187E25" w:rsidRPr="009131CE" w:rsidRDefault="00187E25" w:rsidP="003753B7">
      <w:pPr>
        <w:spacing w:after="0" w:line="480" w:lineRule="auto"/>
        <w:ind w:firstLine="720"/>
        <w:rPr>
          <w:rFonts w:ascii="Arial" w:hAnsi="Arial" w:cs="Arial"/>
        </w:rPr>
      </w:pPr>
      <w:r w:rsidRPr="009131CE">
        <w:rPr>
          <w:rFonts w:ascii="Arial" w:hAnsi="Arial" w:cs="Arial"/>
          <w:color w:val="212121"/>
          <w:shd w:val="clear" w:color="auto" w:fill="FFFFFF"/>
        </w:rPr>
        <w:lastRenderedPageBreak/>
        <w:t>Overall, we think that these two meta-analyses complement nicely each other, contributing to</w:t>
      </w:r>
      <w:r w:rsidR="00285CAD">
        <w:rPr>
          <w:rFonts w:ascii="Arial" w:hAnsi="Arial" w:cs="Arial"/>
          <w:color w:val="212121"/>
          <w:shd w:val="clear" w:color="auto" w:fill="FFFFFF"/>
        </w:rPr>
        <w:t xml:space="preserve"> an increasingly</w:t>
      </w:r>
      <w:r w:rsidRPr="009131CE">
        <w:rPr>
          <w:rFonts w:ascii="Arial" w:hAnsi="Arial" w:cs="Arial"/>
          <w:color w:val="212121"/>
          <w:shd w:val="clear" w:color="auto" w:fill="FFFFFF"/>
        </w:rPr>
        <w:t xml:space="preserve"> rigorous evidence base to guide prescriber</w:t>
      </w:r>
      <w:r w:rsidR="00285CAD">
        <w:rPr>
          <w:rFonts w:ascii="Arial" w:hAnsi="Arial" w:cs="Arial"/>
          <w:color w:val="212121"/>
          <w:shd w:val="clear" w:color="auto" w:fill="FFFFFF"/>
        </w:rPr>
        <w:t>s</w:t>
      </w:r>
      <w:r w:rsidRPr="009131CE">
        <w:rPr>
          <w:rFonts w:ascii="Arial" w:hAnsi="Arial" w:cs="Arial"/>
          <w:color w:val="212121"/>
          <w:shd w:val="clear" w:color="auto" w:fill="FFFFFF"/>
        </w:rPr>
        <w:t xml:space="preserve"> in the initial phase and/or monitoring of pharmacological treatment in child and adolescent psychiatry.</w:t>
      </w:r>
    </w:p>
    <w:p w14:paraId="522BC2E9" w14:textId="77777777" w:rsidR="003753B7" w:rsidRDefault="00341EB3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0E0B">
        <w:rPr>
          <w:rFonts w:ascii="Arial" w:hAnsi="Arial" w:cs="Arial"/>
        </w:rPr>
        <w:t xml:space="preserve">Therefore, despite challenges related to the pandemic, researchers in our field </w:t>
      </w:r>
      <w:r>
        <w:rPr>
          <w:rFonts w:ascii="Arial" w:hAnsi="Arial" w:cs="Arial"/>
        </w:rPr>
        <w:t xml:space="preserve"> </w:t>
      </w:r>
      <w:r w:rsidR="00C24835">
        <w:rPr>
          <w:rFonts w:ascii="Arial" w:hAnsi="Arial" w:cs="Arial"/>
        </w:rPr>
        <w:t>contributed</w:t>
      </w:r>
      <w:r w:rsidR="00D00E0B">
        <w:rPr>
          <w:rFonts w:ascii="Arial" w:hAnsi="Arial" w:cs="Arial"/>
        </w:rPr>
        <w:t xml:space="preserve"> to the science of child and adolescent mental </w:t>
      </w:r>
      <w:r w:rsidR="00C24835">
        <w:rPr>
          <w:rFonts w:ascii="Arial" w:hAnsi="Arial" w:cs="Arial"/>
        </w:rPr>
        <w:t>health</w:t>
      </w:r>
      <w:r w:rsidR="00D00E0B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>turn</w:t>
      </w:r>
      <w:r w:rsidR="00D00E0B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 meta-analyses and other data synthesis methods, using novel analytic strategies, </w:t>
      </w:r>
      <w:r w:rsidR="00D00E0B">
        <w:rPr>
          <w:rFonts w:ascii="Arial" w:hAnsi="Arial" w:cs="Arial"/>
        </w:rPr>
        <w:t>with the goal</w:t>
      </w:r>
      <w:r w:rsidR="00C24835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develop</w:t>
      </w:r>
      <w:r w:rsidR="00C24835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 xml:space="preserve">more refined clinical assessment and treatment guidelines. We hope this compilation of the Best of 2022 provides our readers with guidance to improve </w:t>
      </w:r>
      <w:r w:rsidR="00D00E0B">
        <w:rPr>
          <w:rFonts w:ascii="Arial" w:hAnsi="Arial" w:cs="Arial"/>
        </w:rPr>
        <w:t xml:space="preserve">their evidence-based </w:t>
      </w:r>
      <w:r>
        <w:rPr>
          <w:rFonts w:ascii="Arial" w:hAnsi="Arial" w:cs="Arial"/>
        </w:rPr>
        <w:t xml:space="preserve">care for the youth </w:t>
      </w:r>
      <w:r w:rsidR="00D00E0B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treat.</w:t>
      </w:r>
    </w:p>
    <w:p w14:paraId="25BC0EFA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592862A8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0EEDFA49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67C7EDE4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60012C91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2C0CDE3F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7691C005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6A2CAF0C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0B219F5C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16496656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0C9AF682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12719886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16E54FBF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7807386D" w14:textId="77777777" w:rsidR="003753B7" w:rsidRDefault="003753B7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23927774" w14:textId="24735817" w:rsidR="00341EB3" w:rsidRPr="003753B7" w:rsidRDefault="00F6518F" w:rsidP="003753B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3753B7">
        <w:rPr>
          <w:rFonts w:ascii="Arial" w:hAnsi="Arial" w:cs="Arial"/>
          <w:b/>
          <w:bCs/>
        </w:rPr>
        <w:lastRenderedPageBreak/>
        <w:t>References</w:t>
      </w:r>
    </w:p>
    <w:p w14:paraId="78074CEA" w14:textId="77777777" w:rsidR="00C24835" w:rsidRPr="00C24835" w:rsidRDefault="00C24835" w:rsidP="003753B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C24835">
        <w:rPr>
          <w:rFonts w:ascii="Arial" w:hAnsi="Arial" w:cs="Arial"/>
          <w:lang w:val="en-US"/>
        </w:rPr>
        <w:t xml:space="preserve">Riley RD, Lambert PC, Abo-Zaid G. Meta-analysis of individual participant data: rationale, conduct, and reporting. </w:t>
      </w:r>
      <w:r w:rsidRPr="003753B7">
        <w:rPr>
          <w:rFonts w:ascii="Arial" w:hAnsi="Arial" w:cs="Arial"/>
          <w:i/>
          <w:iCs/>
          <w:lang w:val="en-US"/>
        </w:rPr>
        <w:t>BMJ (Clin Res Ed</w:t>
      </w:r>
      <w:r w:rsidRPr="00C24835">
        <w:rPr>
          <w:rFonts w:ascii="Arial" w:hAnsi="Arial" w:cs="Arial"/>
          <w:lang w:val="en-US"/>
        </w:rPr>
        <w:t>). 2010;340:c221. https://doi.org/</w:t>
      </w:r>
    </w:p>
    <w:p w14:paraId="4B1EB54D" w14:textId="77777777" w:rsidR="00C24835" w:rsidRPr="00C24835" w:rsidRDefault="00C24835" w:rsidP="003753B7">
      <w:pPr>
        <w:pStyle w:val="ListParagraph"/>
        <w:spacing w:after="0" w:line="240" w:lineRule="auto"/>
        <w:rPr>
          <w:rFonts w:ascii="Arial" w:hAnsi="Arial" w:cs="Arial"/>
          <w:lang w:val="en-US"/>
        </w:rPr>
      </w:pPr>
      <w:r w:rsidRPr="00C24835">
        <w:rPr>
          <w:rFonts w:ascii="Arial" w:hAnsi="Arial" w:cs="Arial"/>
          <w:lang w:val="en-US"/>
        </w:rPr>
        <w:t>10.1136/bmj.c221.</w:t>
      </w:r>
    </w:p>
    <w:p w14:paraId="71A4591E" w14:textId="77777777" w:rsidR="00C24835" w:rsidRPr="003753B7" w:rsidRDefault="00C24835" w:rsidP="0093399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753B7">
        <w:rPr>
          <w:rFonts w:ascii="Arial" w:hAnsi="Arial" w:cs="Arial"/>
        </w:rPr>
        <w:t xml:space="preserve">Cortese S, Tomlinson A, Cipriani A. Meta-Review: Network Meta-Analyses in Child and Adolescent Psychiatry. </w:t>
      </w:r>
      <w:r w:rsidRPr="003753B7">
        <w:rPr>
          <w:rFonts w:ascii="Arial" w:hAnsi="Arial" w:cs="Arial"/>
          <w:i/>
        </w:rPr>
        <w:t xml:space="preserve">J Am Acad Child Adolesc Psychiatry. </w:t>
      </w:r>
      <w:r w:rsidRPr="003753B7">
        <w:rPr>
          <w:rFonts w:ascii="Arial" w:hAnsi="Arial" w:cs="Arial"/>
        </w:rPr>
        <w:t>2019;58(2):167-179.</w:t>
      </w:r>
    </w:p>
    <w:p w14:paraId="1103B770" w14:textId="704AA86E" w:rsidR="00C24835" w:rsidRPr="003753B7" w:rsidRDefault="00C24835" w:rsidP="003753B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C24835">
        <w:rPr>
          <w:rFonts w:ascii="Arial" w:hAnsi="Arial" w:cs="Arial"/>
          <w:lang w:val="en-US"/>
        </w:rPr>
        <w:t xml:space="preserve">Johnson BT, </w:t>
      </w:r>
      <w:proofErr w:type="spellStart"/>
      <w:r w:rsidRPr="00C24835">
        <w:rPr>
          <w:rFonts w:ascii="Arial" w:hAnsi="Arial" w:cs="Arial"/>
          <w:lang w:val="en-US"/>
        </w:rPr>
        <w:t>Cromley</w:t>
      </w:r>
      <w:proofErr w:type="spellEnd"/>
      <w:r w:rsidRPr="00C24835">
        <w:rPr>
          <w:rFonts w:ascii="Arial" w:hAnsi="Arial" w:cs="Arial"/>
          <w:lang w:val="en-US"/>
        </w:rPr>
        <w:t xml:space="preserve"> EK, </w:t>
      </w:r>
      <w:proofErr w:type="spellStart"/>
      <w:r w:rsidRPr="00C24835">
        <w:rPr>
          <w:rFonts w:ascii="Arial" w:hAnsi="Arial" w:cs="Arial"/>
          <w:lang w:val="en-US"/>
        </w:rPr>
        <w:t>Marrouch</w:t>
      </w:r>
      <w:proofErr w:type="spellEnd"/>
      <w:r w:rsidRPr="00C24835">
        <w:rPr>
          <w:rFonts w:ascii="Arial" w:hAnsi="Arial" w:cs="Arial"/>
          <w:lang w:val="en-US"/>
        </w:rPr>
        <w:t xml:space="preserve"> N. Spatiotemporal meta-analysis: Reviewing health psychology phenomena over space and time. </w:t>
      </w:r>
      <w:r w:rsidRPr="003753B7">
        <w:rPr>
          <w:rFonts w:ascii="Arial" w:hAnsi="Arial" w:cs="Arial"/>
          <w:i/>
          <w:iCs/>
          <w:lang w:val="en-US"/>
        </w:rPr>
        <w:t>Health Psychol Rev</w:t>
      </w:r>
      <w:r w:rsidRPr="00C24835">
        <w:rPr>
          <w:rFonts w:ascii="Arial" w:hAnsi="Arial" w:cs="Arial"/>
          <w:lang w:val="en-US"/>
        </w:rPr>
        <w:t>. 2017;11:280-291.</w:t>
      </w:r>
      <w:r>
        <w:rPr>
          <w:rFonts w:ascii="Arial" w:hAnsi="Arial" w:cs="Arial"/>
          <w:lang w:val="en-US"/>
        </w:rPr>
        <w:t xml:space="preserve"> </w:t>
      </w:r>
      <w:hyperlink r:id="rId7" w:history="1">
        <w:r w:rsidRPr="00941C8F">
          <w:rPr>
            <w:rStyle w:val="Hyperlink"/>
            <w:rFonts w:ascii="Arial" w:hAnsi="Arial" w:cs="Arial"/>
            <w:lang w:val="en-US"/>
          </w:rPr>
          <w:t>https://doi.org/10.1080/17437199.2017.1343679</w:t>
        </w:r>
      </w:hyperlink>
      <w:r w:rsidRPr="003753B7">
        <w:rPr>
          <w:rFonts w:ascii="Arial" w:hAnsi="Arial" w:cs="Arial"/>
          <w:lang w:val="en-US"/>
        </w:rPr>
        <w:t>.</w:t>
      </w:r>
    </w:p>
    <w:p w14:paraId="794A7C04" w14:textId="77777777" w:rsidR="00C24835" w:rsidRPr="009131CE" w:rsidRDefault="00C24835" w:rsidP="00C2483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131CE">
        <w:rPr>
          <w:rFonts w:ascii="Arial" w:hAnsi="Arial" w:cs="Arial"/>
        </w:rPr>
        <w:t>Groenman</w:t>
      </w:r>
      <w:proofErr w:type="spellEnd"/>
      <w:r w:rsidRPr="009131CE">
        <w:rPr>
          <w:rFonts w:ascii="Arial" w:hAnsi="Arial" w:cs="Arial"/>
        </w:rPr>
        <w:t xml:space="preserve"> AP, </w:t>
      </w:r>
      <w:proofErr w:type="spellStart"/>
      <w:r w:rsidRPr="009131CE">
        <w:rPr>
          <w:rFonts w:ascii="Arial" w:hAnsi="Arial" w:cs="Arial"/>
        </w:rPr>
        <w:t>Hornstra</w:t>
      </w:r>
      <w:proofErr w:type="spellEnd"/>
      <w:r w:rsidRPr="009131CE">
        <w:rPr>
          <w:rFonts w:ascii="Arial" w:hAnsi="Arial" w:cs="Arial"/>
        </w:rPr>
        <w:t xml:space="preserve"> R, Hoekstra PJ, </w:t>
      </w:r>
      <w:proofErr w:type="spellStart"/>
      <w:r w:rsidRPr="009131CE">
        <w:rPr>
          <w:rFonts w:ascii="Arial" w:hAnsi="Arial" w:cs="Arial"/>
        </w:rPr>
        <w:t>Steenhuis</w:t>
      </w:r>
      <w:proofErr w:type="spellEnd"/>
      <w:r w:rsidRPr="009131CE">
        <w:rPr>
          <w:rFonts w:ascii="Arial" w:hAnsi="Arial" w:cs="Arial"/>
        </w:rPr>
        <w:t xml:space="preserve"> L, </w:t>
      </w:r>
      <w:proofErr w:type="spellStart"/>
      <w:r w:rsidRPr="009131CE">
        <w:rPr>
          <w:rFonts w:ascii="Arial" w:hAnsi="Arial" w:cs="Arial"/>
        </w:rPr>
        <w:t>Agebati</w:t>
      </w:r>
      <w:proofErr w:type="spellEnd"/>
      <w:r w:rsidRPr="009131CE">
        <w:rPr>
          <w:rFonts w:ascii="Arial" w:hAnsi="Arial" w:cs="Arial"/>
        </w:rPr>
        <w:t xml:space="preserve"> A, et al., An Individual Participant Data Meta-analysis: Behavioral Treatments for Children and Adolescents With Attention-Deficit/Hyperactivity Disorder. </w:t>
      </w:r>
      <w:r w:rsidRPr="003753B7">
        <w:rPr>
          <w:rFonts w:ascii="Arial" w:hAnsi="Arial" w:cs="Arial"/>
          <w:i/>
          <w:iCs/>
        </w:rPr>
        <w:t>J Am Acad Child Adolesc Psychiatry</w:t>
      </w:r>
      <w:r w:rsidRPr="009131CE">
        <w:rPr>
          <w:rFonts w:ascii="Arial" w:hAnsi="Arial" w:cs="Arial"/>
        </w:rPr>
        <w:t xml:space="preserve"> 2022;61(2):144−158. </w:t>
      </w:r>
    </w:p>
    <w:p w14:paraId="421FA7E2" w14:textId="418779A0" w:rsidR="0093399F" w:rsidRPr="009131CE" w:rsidRDefault="0093399F" w:rsidP="0093399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753B7">
        <w:rPr>
          <w:rFonts w:ascii="Arial" w:hAnsi="Arial" w:cs="Arial"/>
          <w:lang w:val="nl-NL"/>
        </w:rPr>
        <w:t>Dekkers TJ,</w:t>
      </w:r>
      <w:r w:rsidR="009968B8" w:rsidRPr="003753B7">
        <w:rPr>
          <w:rFonts w:ascii="Arial" w:hAnsi="Arial" w:cs="Arial"/>
          <w:lang w:val="nl-NL"/>
        </w:rPr>
        <w:t xml:space="preserve"> </w:t>
      </w:r>
      <w:r w:rsidRPr="003753B7">
        <w:rPr>
          <w:rFonts w:ascii="Arial" w:hAnsi="Arial" w:cs="Arial"/>
          <w:lang w:val="nl-NL"/>
        </w:rPr>
        <w:t xml:space="preserve">Hornstra R, MSc van der Oord S, Luman, M, Hoekstra PJ, Groenman AP, van den Hoofdakker BJ. </w:t>
      </w:r>
      <w:r w:rsidRPr="009131CE">
        <w:rPr>
          <w:rFonts w:ascii="Arial" w:hAnsi="Arial" w:cs="Arial"/>
        </w:rPr>
        <w:t xml:space="preserve">Meta-analysis: Which Components of Parent Training Work for Children With Attention-Deficit/Hyperactivity Disorder? </w:t>
      </w:r>
      <w:r w:rsidRPr="003753B7">
        <w:rPr>
          <w:rFonts w:ascii="Arial" w:hAnsi="Arial" w:cs="Arial"/>
          <w:i/>
          <w:iCs/>
        </w:rPr>
        <w:t>J Am Acad Child Adolesc Psychiatry</w:t>
      </w:r>
      <w:r w:rsidRPr="009131CE">
        <w:rPr>
          <w:rFonts w:ascii="Arial" w:hAnsi="Arial" w:cs="Arial"/>
        </w:rPr>
        <w:t xml:space="preserve"> 2022;61(4):478–494.</w:t>
      </w:r>
    </w:p>
    <w:p w14:paraId="117E9381" w14:textId="0551C4C6" w:rsidR="00263B87" w:rsidRPr="009131CE" w:rsidRDefault="00263B87" w:rsidP="004827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131CE">
        <w:rPr>
          <w:rFonts w:ascii="Arial" w:hAnsi="Arial" w:cs="Arial"/>
        </w:rPr>
        <w:t xml:space="preserve">Price MA, Weisz JR, </w:t>
      </w:r>
      <w:proofErr w:type="spellStart"/>
      <w:r w:rsidRPr="009131CE">
        <w:rPr>
          <w:rFonts w:ascii="Arial" w:hAnsi="Arial" w:cs="Arial"/>
        </w:rPr>
        <w:t>McKetta</w:t>
      </w:r>
      <w:proofErr w:type="spellEnd"/>
      <w:r w:rsidRPr="009131CE">
        <w:rPr>
          <w:rFonts w:ascii="Arial" w:hAnsi="Arial" w:cs="Arial"/>
        </w:rPr>
        <w:t xml:space="preserve"> S, </w:t>
      </w:r>
      <w:proofErr w:type="spellStart"/>
      <w:r w:rsidRPr="009131CE">
        <w:rPr>
          <w:rFonts w:ascii="Arial" w:hAnsi="Arial" w:cs="Arial"/>
        </w:rPr>
        <w:t>Hollinsaid</w:t>
      </w:r>
      <w:proofErr w:type="spellEnd"/>
      <w:r w:rsidRPr="009131CE">
        <w:rPr>
          <w:rFonts w:ascii="Arial" w:hAnsi="Arial" w:cs="Arial"/>
        </w:rPr>
        <w:t xml:space="preserve"> NL, </w:t>
      </w:r>
      <w:proofErr w:type="spellStart"/>
      <w:r w:rsidRPr="009131CE">
        <w:rPr>
          <w:rFonts w:ascii="Arial" w:hAnsi="Arial" w:cs="Arial"/>
        </w:rPr>
        <w:t>Lattanner</w:t>
      </w:r>
      <w:proofErr w:type="spellEnd"/>
      <w:r w:rsidRPr="009131CE">
        <w:rPr>
          <w:rFonts w:ascii="Arial" w:hAnsi="Arial" w:cs="Arial"/>
        </w:rPr>
        <w:t xml:space="preserve"> MR, Reid AE, </w:t>
      </w:r>
      <w:proofErr w:type="spellStart"/>
      <w:r w:rsidRPr="009131CE">
        <w:rPr>
          <w:rFonts w:ascii="Arial" w:hAnsi="Arial" w:cs="Arial"/>
        </w:rPr>
        <w:t>Hatzenbuehler</w:t>
      </w:r>
      <w:proofErr w:type="spellEnd"/>
      <w:r w:rsidRPr="009131CE">
        <w:rPr>
          <w:rFonts w:ascii="Arial" w:hAnsi="Arial" w:cs="Arial"/>
        </w:rPr>
        <w:t xml:space="preserve"> ML. Meta-analysis: Are Psychotherapies Less Effective for Black Youth in Communities With Higher Levels of Anti-Black Racism? Am Acad Child Adolesc Psychiatry 2022;61(6):754–763.</w:t>
      </w:r>
    </w:p>
    <w:p w14:paraId="02BE238D" w14:textId="0AE28225" w:rsidR="009131CE" w:rsidRDefault="004827E1" w:rsidP="009131C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753B7">
        <w:rPr>
          <w:rFonts w:ascii="Arial" w:hAnsi="Arial" w:cs="Arial"/>
          <w:lang w:val="nl-NL"/>
        </w:rPr>
        <w:t xml:space="preserve">Weisz JR, Kuppens S, Ng MY, et al. </w:t>
      </w:r>
      <w:r w:rsidRPr="009131CE">
        <w:rPr>
          <w:rFonts w:ascii="Arial" w:hAnsi="Arial" w:cs="Arial"/>
        </w:rPr>
        <w:t xml:space="preserve">What five decades of research tells us about the effects of youth psychological therapy: A multilevel meta-analysis and implications for science and practice. Am Psychol. 2017;72:79-117. </w:t>
      </w:r>
      <w:hyperlink r:id="rId8" w:history="1">
        <w:r w:rsidR="009131CE" w:rsidRPr="009131CE">
          <w:rPr>
            <w:rStyle w:val="Hyperlink"/>
            <w:rFonts w:ascii="Arial" w:hAnsi="Arial" w:cs="Arial"/>
          </w:rPr>
          <w:t>https://doi.org/10.1037/a0040360</w:t>
        </w:r>
      </w:hyperlink>
      <w:r w:rsidRPr="009131CE">
        <w:rPr>
          <w:rFonts w:ascii="Arial" w:hAnsi="Arial" w:cs="Arial"/>
        </w:rPr>
        <w:t>.</w:t>
      </w:r>
    </w:p>
    <w:p w14:paraId="2EA78116" w14:textId="144DE3CE" w:rsidR="00F6518F" w:rsidRDefault="00F6518F" w:rsidP="009131C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DelBello</w:t>
      </w:r>
      <w:proofErr w:type="spellEnd"/>
      <w:r>
        <w:rPr>
          <w:rFonts w:ascii="Arial" w:hAnsi="Arial" w:cs="Arial"/>
        </w:rPr>
        <w:t xml:space="preserve">, M.P., </w:t>
      </w:r>
      <w:proofErr w:type="spellStart"/>
      <w:r>
        <w:rPr>
          <w:rFonts w:ascii="Arial" w:hAnsi="Arial" w:cs="Arial"/>
        </w:rPr>
        <w:t>Kadakia</w:t>
      </w:r>
      <w:proofErr w:type="spellEnd"/>
      <w:r>
        <w:rPr>
          <w:rFonts w:ascii="Arial" w:hAnsi="Arial" w:cs="Arial"/>
        </w:rPr>
        <w:t xml:space="preserve">, A., Heller, V., Singh, R., </w:t>
      </w:r>
      <w:proofErr w:type="spellStart"/>
      <w:r>
        <w:rPr>
          <w:rFonts w:ascii="Arial" w:hAnsi="Arial" w:cs="Arial"/>
        </w:rPr>
        <w:t>Hagi</w:t>
      </w:r>
      <w:proofErr w:type="spellEnd"/>
      <w:r>
        <w:rPr>
          <w:rFonts w:ascii="Arial" w:hAnsi="Arial" w:cs="Arial"/>
        </w:rPr>
        <w:t xml:space="preserve">, K., </w:t>
      </w:r>
      <w:proofErr w:type="spellStart"/>
      <w:r>
        <w:rPr>
          <w:rFonts w:ascii="Arial" w:hAnsi="Arial" w:cs="Arial"/>
        </w:rPr>
        <w:t>Nosaka</w:t>
      </w:r>
      <w:proofErr w:type="spellEnd"/>
      <w:r>
        <w:rPr>
          <w:rFonts w:ascii="Arial" w:hAnsi="Arial" w:cs="Arial"/>
        </w:rPr>
        <w:t xml:space="preserve">, T., &amp; </w:t>
      </w:r>
      <w:proofErr w:type="spellStart"/>
      <w:r>
        <w:rPr>
          <w:rFonts w:ascii="Arial" w:hAnsi="Arial" w:cs="Arial"/>
        </w:rPr>
        <w:t>Loebel</w:t>
      </w:r>
      <w:proofErr w:type="spellEnd"/>
      <w:r>
        <w:rPr>
          <w:rFonts w:ascii="Arial" w:hAnsi="Arial" w:cs="Arial"/>
        </w:rPr>
        <w:t xml:space="preserve">, A. Systematic review and network meta-analysis: Efficacy and safety of second-generation antipsychotics in youths with bipolar depression. </w:t>
      </w:r>
      <w:r>
        <w:rPr>
          <w:rFonts w:ascii="Arial" w:hAnsi="Arial" w:cs="Arial"/>
          <w:i/>
          <w:iCs/>
        </w:rPr>
        <w:t xml:space="preserve">J Amer Acad Child </w:t>
      </w:r>
      <w:proofErr w:type="spellStart"/>
      <w:r>
        <w:rPr>
          <w:rFonts w:ascii="Arial" w:hAnsi="Arial" w:cs="Arial"/>
          <w:i/>
          <w:iCs/>
        </w:rPr>
        <w:t>Adol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Psychiatr</w:t>
      </w:r>
      <w:proofErr w:type="spellEnd"/>
      <w:r>
        <w:rPr>
          <w:rFonts w:ascii="Arial" w:hAnsi="Arial" w:cs="Arial"/>
          <w:i/>
          <w:iCs/>
        </w:rPr>
        <w:t xml:space="preserve">. </w:t>
      </w:r>
      <w:r w:rsidRPr="003753B7">
        <w:rPr>
          <w:rFonts w:ascii="Arial" w:hAnsi="Arial" w:cs="Arial"/>
        </w:rPr>
        <w:t>61(2): 243-254.</w:t>
      </w:r>
    </w:p>
    <w:p w14:paraId="0B292051" w14:textId="7E402F05" w:rsidR="00F6518F" w:rsidRPr="009131CE" w:rsidRDefault="00F6518F" w:rsidP="009131C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Farhat, L.C., </w:t>
      </w:r>
      <w:proofErr w:type="spellStart"/>
      <w:r>
        <w:rPr>
          <w:rFonts w:ascii="Arial" w:hAnsi="Arial" w:cs="Arial"/>
        </w:rPr>
        <w:t>Vattimo</w:t>
      </w:r>
      <w:proofErr w:type="spellEnd"/>
      <w:r>
        <w:rPr>
          <w:rFonts w:ascii="Arial" w:hAnsi="Arial" w:cs="Arial"/>
        </w:rPr>
        <w:t xml:space="preserve">, E.F.Q., Ramakrishnan, D., Storch, E.A., et al. Systematic review and meta-analysis: An empirical approach to defining treatment response and remission in pediatric obsessive-compulsive disorder. </w:t>
      </w:r>
      <w:r>
        <w:rPr>
          <w:rFonts w:ascii="Arial" w:hAnsi="Arial" w:cs="Arial"/>
          <w:i/>
          <w:iCs/>
        </w:rPr>
        <w:t xml:space="preserve">J Amer Acad Child </w:t>
      </w:r>
      <w:proofErr w:type="spellStart"/>
      <w:r>
        <w:rPr>
          <w:rFonts w:ascii="Arial" w:hAnsi="Arial" w:cs="Arial"/>
          <w:i/>
          <w:iCs/>
        </w:rPr>
        <w:t>Adol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Psychiatr</w:t>
      </w:r>
      <w:proofErr w:type="spellEnd"/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 xml:space="preserve">61(4): 495-507. </w:t>
      </w:r>
      <w:hyperlink r:id="rId9" w:history="1">
        <w:r w:rsidRPr="00941C8F">
          <w:rPr>
            <w:rStyle w:val="Hyperlink"/>
            <w:rFonts w:ascii="Arial" w:hAnsi="Arial" w:cs="Arial"/>
          </w:rPr>
          <w:t>https://doi.org/10.1016/j.jaac.2021.05.027</w:t>
        </w:r>
      </w:hyperlink>
      <w:r>
        <w:rPr>
          <w:rFonts w:ascii="Arial" w:hAnsi="Arial" w:cs="Arial"/>
        </w:rPr>
        <w:t xml:space="preserve"> </w:t>
      </w:r>
    </w:p>
    <w:p w14:paraId="200C27F3" w14:textId="084B87EF" w:rsidR="0000723D" w:rsidRDefault="00187E25" w:rsidP="003753B7">
      <w:pPr>
        <w:rPr>
          <w:rFonts w:ascii="Arial" w:hAnsi="Arial" w:cs="Arial"/>
          <w:lang w:val="en-US"/>
        </w:rPr>
      </w:pPr>
      <w:r w:rsidRPr="009131CE">
        <w:rPr>
          <w:rFonts w:ascii="Arial" w:hAnsi="Arial" w:cs="Arial"/>
          <w:noProof/>
        </w:rPr>
        <w:fldChar w:fldCharType="begin"/>
      </w:r>
      <w:r w:rsidRPr="009131CE">
        <w:rPr>
          <w:rFonts w:ascii="Arial" w:hAnsi="Arial" w:cs="Arial"/>
        </w:rPr>
        <w:instrText xml:space="preserve"> ADDIN EN.REFLIST </w:instrText>
      </w:r>
      <w:r w:rsidRPr="009131CE">
        <w:rPr>
          <w:rFonts w:ascii="Arial" w:hAnsi="Arial" w:cs="Arial"/>
          <w:noProof/>
        </w:rPr>
        <w:fldChar w:fldCharType="separate"/>
      </w:r>
      <w:r w:rsidRPr="009131CE">
        <w:rPr>
          <w:rFonts w:ascii="Arial" w:hAnsi="Arial" w:cs="Arial"/>
          <w:lang w:val="en-US"/>
        </w:rPr>
        <w:fldChar w:fldCharType="end"/>
      </w:r>
    </w:p>
    <w:p w14:paraId="025EDE04" w14:textId="43576926" w:rsidR="001E4649" w:rsidRPr="009131CE" w:rsidRDefault="001E4649">
      <w:pPr>
        <w:spacing w:after="0" w:line="480" w:lineRule="auto"/>
        <w:rPr>
          <w:rFonts w:ascii="Arial" w:hAnsi="Arial" w:cs="Arial"/>
          <w:lang w:val="en-US"/>
        </w:rPr>
      </w:pPr>
    </w:p>
    <w:sectPr w:rsidR="001E4649" w:rsidRPr="00913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C99B" w14:textId="77777777" w:rsidR="00BB1CD2" w:rsidRDefault="00BB1CD2" w:rsidP="003F7736">
      <w:pPr>
        <w:spacing w:after="0" w:line="240" w:lineRule="auto"/>
      </w:pPr>
      <w:r>
        <w:separator/>
      </w:r>
    </w:p>
  </w:endnote>
  <w:endnote w:type="continuationSeparator" w:id="0">
    <w:p w14:paraId="6E56A2FD" w14:textId="77777777" w:rsidR="00BB1CD2" w:rsidRDefault="00BB1CD2" w:rsidP="003F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6990" w14:textId="77777777" w:rsidR="00BB1CD2" w:rsidRDefault="00BB1CD2" w:rsidP="003F7736">
      <w:pPr>
        <w:spacing w:after="0" w:line="240" w:lineRule="auto"/>
      </w:pPr>
      <w:r>
        <w:separator/>
      </w:r>
    </w:p>
  </w:footnote>
  <w:footnote w:type="continuationSeparator" w:id="0">
    <w:p w14:paraId="0B580145" w14:textId="77777777" w:rsidR="00BB1CD2" w:rsidRDefault="00BB1CD2" w:rsidP="003F7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17A"/>
    <w:multiLevelType w:val="hybridMultilevel"/>
    <w:tmpl w:val="86C01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36120"/>
    <w:rsid w:val="0000723D"/>
    <w:rsid w:val="0003739C"/>
    <w:rsid w:val="0007707E"/>
    <w:rsid w:val="0008100C"/>
    <w:rsid w:val="000A281B"/>
    <w:rsid w:val="00136120"/>
    <w:rsid w:val="00187E25"/>
    <w:rsid w:val="001A1528"/>
    <w:rsid w:val="001B10FE"/>
    <w:rsid w:val="001D1406"/>
    <w:rsid w:val="001E4649"/>
    <w:rsid w:val="001F3886"/>
    <w:rsid w:val="00246D5C"/>
    <w:rsid w:val="00263B87"/>
    <w:rsid w:val="002661BA"/>
    <w:rsid w:val="00277BD7"/>
    <w:rsid w:val="00284577"/>
    <w:rsid w:val="00285CAD"/>
    <w:rsid w:val="002E7F83"/>
    <w:rsid w:val="002F7BCD"/>
    <w:rsid w:val="003361E2"/>
    <w:rsid w:val="00336D5E"/>
    <w:rsid w:val="00341EB3"/>
    <w:rsid w:val="00361270"/>
    <w:rsid w:val="003753B7"/>
    <w:rsid w:val="003B09A2"/>
    <w:rsid w:val="003F7736"/>
    <w:rsid w:val="00424FC7"/>
    <w:rsid w:val="004827E1"/>
    <w:rsid w:val="005D1EC4"/>
    <w:rsid w:val="006366D0"/>
    <w:rsid w:val="0065510F"/>
    <w:rsid w:val="006640A3"/>
    <w:rsid w:val="00677560"/>
    <w:rsid w:val="006A6797"/>
    <w:rsid w:val="00757E66"/>
    <w:rsid w:val="007B1BA0"/>
    <w:rsid w:val="007B63C1"/>
    <w:rsid w:val="00842E85"/>
    <w:rsid w:val="0088690B"/>
    <w:rsid w:val="008A681A"/>
    <w:rsid w:val="00906AB3"/>
    <w:rsid w:val="009131CE"/>
    <w:rsid w:val="00915206"/>
    <w:rsid w:val="0093399F"/>
    <w:rsid w:val="00952BF2"/>
    <w:rsid w:val="00965237"/>
    <w:rsid w:val="009670B7"/>
    <w:rsid w:val="009968B8"/>
    <w:rsid w:val="009C5851"/>
    <w:rsid w:val="009C73C3"/>
    <w:rsid w:val="00A13F8B"/>
    <w:rsid w:val="00AB5839"/>
    <w:rsid w:val="00B02C1A"/>
    <w:rsid w:val="00B8365B"/>
    <w:rsid w:val="00BB1CD2"/>
    <w:rsid w:val="00BB399D"/>
    <w:rsid w:val="00C07161"/>
    <w:rsid w:val="00C24835"/>
    <w:rsid w:val="00C32AEC"/>
    <w:rsid w:val="00C80FF7"/>
    <w:rsid w:val="00CB1EE8"/>
    <w:rsid w:val="00CD4FCB"/>
    <w:rsid w:val="00D00E0B"/>
    <w:rsid w:val="00EC1484"/>
    <w:rsid w:val="00F6518F"/>
    <w:rsid w:val="00FA7BD5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7835E"/>
  <w15:chartTrackingRefBased/>
  <w15:docId w15:val="{97E793BF-8BE7-4A68-882E-984B4252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187E2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7E2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87E2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87E25"/>
    <w:rPr>
      <w:rFonts w:ascii="Calibri" w:hAnsi="Calibri" w:cs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9339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8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736"/>
  </w:style>
  <w:style w:type="paragraph" w:styleId="Footer">
    <w:name w:val="footer"/>
    <w:basedOn w:val="Normal"/>
    <w:link w:val="FooterChar"/>
    <w:uiPriority w:val="99"/>
    <w:unhideWhenUsed/>
    <w:rsid w:val="003F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736"/>
  </w:style>
  <w:style w:type="character" w:styleId="Hyperlink">
    <w:name w:val="Hyperlink"/>
    <w:basedOn w:val="DefaultParagraphFont"/>
    <w:uiPriority w:val="99"/>
    <w:unhideWhenUsed/>
    <w:rsid w:val="00913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a00403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17437199.2017.13436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aac.2021.05.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Cortese</dc:creator>
  <cp:keywords/>
  <dc:description/>
  <cp:lastModifiedBy>Samuele Cortese</cp:lastModifiedBy>
  <cp:revision>2</cp:revision>
  <dcterms:created xsi:type="dcterms:W3CDTF">2022-09-16T17:08:00Z</dcterms:created>
  <dcterms:modified xsi:type="dcterms:W3CDTF">2022-09-16T17:08:00Z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2022-09-13T20:00:21Z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89c36235-f9f2-408e-bc4a-121bef960bf5</vt:lpwstr>
  </property>
  <property fmtid="{D5CDD505-2E9C-101B-9397-08002B2CF9AE}" pid="8" name="MSIP_Label_046da4d3-ba20-4986-879c-49e262eff745_ContentBits">
    <vt:lpwstr>0</vt:lpwstr>
  </property>
</Properties>
</file>