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4147A" w14:textId="280C4FF4" w:rsidR="001C0EEE" w:rsidRPr="009E6776" w:rsidRDefault="008326DF" w:rsidP="001C0EEE">
      <w:pPr>
        <w:pStyle w:val="Heading2"/>
        <w:tabs>
          <w:tab w:val="left" w:pos="460"/>
        </w:tabs>
        <w:spacing w:line="480" w:lineRule="auto"/>
        <w:ind w:left="0" w:firstLine="0"/>
        <w:contextualSpacing/>
      </w:pPr>
      <w:r w:rsidRPr="009E6776">
        <w:rPr>
          <w:sz w:val="28"/>
          <w:szCs w:val="28"/>
        </w:rPr>
        <w:t xml:space="preserve">Why is non-suicidal self-injury more </w:t>
      </w:r>
      <w:r w:rsidR="00EA0254" w:rsidRPr="009E6776">
        <w:rPr>
          <w:sz w:val="28"/>
          <w:szCs w:val="28"/>
        </w:rPr>
        <w:t xml:space="preserve">common in </w:t>
      </w:r>
      <w:r w:rsidRPr="009E6776">
        <w:rPr>
          <w:sz w:val="28"/>
          <w:szCs w:val="28"/>
        </w:rPr>
        <w:t>women? Mediation and moderation analyses of psychological distress, emotion dysregulation, and impulsivity</w:t>
      </w:r>
      <w:r w:rsidRPr="009E6776">
        <w:t xml:space="preserve"> </w:t>
      </w:r>
    </w:p>
    <w:p w14:paraId="02125DD9" w14:textId="77777777" w:rsidR="001C0EEE" w:rsidRPr="009E6776" w:rsidRDefault="001C0EEE" w:rsidP="001C0EEE">
      <w:pPr>
        <w:pStyle w:val="Heading2"/>
        <w:tabs>
          <w:tab w:val="left" w:pos="460"/>
        </w:tabs>
        <w:spacing w:line="480" w:lineRule="auto"/>
        <w:ind w:left="0" w:firstLine="0"/>
        <w:contextualSpacing/>
      </w:pPr>
    </w:p>
    <w:p w14:paraId="15A6F2ED" w14:textId="0854C788" w:rsidR="006D0DD2" w:rsidRPr="009E6776" w:rsidRDefault="003B7FA4" w:rsidP="001C0EEE">
      <w:pPr>
        <w:pStyle w:val="Heading2"/>
        <w:tabs>
          <w:tab w:val="left" w:pos="460"/>
        </w:tabs>
        <w:spacing w:line="480" w:lineRule="auto"/>
        <w:ind w:left="460" w:firstLine="0"/>
        <w:contextualSpacing/>
      </w:pPr>
      <w:r w:rsidRPr="009E6776">
        <w:t>Objective</w:t>
      </w:r>
      <w:r w:rsidR="006D0DD2" w:rsidRPr="009E6776">
        <w:rPr>
          <w:b w:val="0"/>
          <w:bCs w:val="0"/>
        </w:rPr>
        <w:t xml:space="preserve"> Non-suicidal self-injury (NSSI) appears to be more common among women than men, though the underlying reasons for this remain unclear. </w:t>
      </w:r>
      <w:r w:rsidRPr="009E6776">
        <w:rPr>
          <w:b w:val="0"/>
          <w:bCs w:val="0"/>
        </w:rPr>
        <w:t>In a community sample of young adults (</w:t>
      </w:r>
      <w:r w:rsidR="00862737">
        <w:rPr>
          <w:b w:val="0"/>
          <w:bCs w:val="0"/>
          <w:i/>
          <w:iCs/>
        </w:rPr>
        <w:t>N</w:t>
      </w:r>
      <w:r w:rsidR="00862737" w:rsidRPr="009E6776">
        <w:rPr>
          <w:b w:val="0"/>
          <w:bCs w:val="0"/>
          <w:i/>
          <w:iCs/>
        </w:rPr>
        <w:t xml:space="preserve"> </w:t>
      </w:r>
      <w:r w:rsidRPr="009E6776">
        <w:rPr>
          <w:b w:val="0"/>
          <w:bCs w:val="0"/>
        </w:rPr>
        <w:t>=</w:t>
      </w:r>
      <w:r w:rsidR="00EA0254" w:rsidRPr="009E6776">
        <w:rPr>
          <w:b w:val="0"/>
          <w:bCs w:val="0"/>
        </w:rPr>
        <w:t xml:space="preserve"> </w:t>
      </w:r>
      <w:r w:rsidRPr="009E6776">
        <w:rPr>
          <w:b w:val="0"/>
          <w:bCs w:val="0"/>
        </w:rPr>
        <w:t>996, aged 18-3</w:t>
      </w:r>
      <w:r w:rsidR="00EA0254" w:rsidRPr="009E6776">
        <w:rPr>
          <w:b w:val="0"/>
          <w:bCs w:val="0"/>
        </w:rPr>
        <w:t>3</w:t>
      </w:r>
      <w:r w:rsidRPr="009E6776">
        <w:rPr>
          <w:b w:val="0"/>
          <w:bCs w:val="0"/>
        </w:rPr>
        <w:t xml:space="preserve">) assessed during the COVID-19 pandemic, we investigated </w:t>
      </w:r>
      <w:r w:rsidR="00EA0254" w:rsidRPr="009E6776">
        <w:rPr>
          <w:b w:val="0"/>
          <w:bCs w:val="0"/>
        </w:rPr>
        <w:t>alternative explanation for the NSSI prevalence gap</w:t>
      </w:r>
      <w:r w:rsidR="00AD0895">
        <w:rPr>
          <w:b w:val="0"/>
          <w:bCs w:val="0"/>
        </w:rPr>
        <w:t>: are women more likely to experience the feelings which lead to NSSI as a coping strategy, or does this prevalence gap result from differences in how men and women respond to distress?</w:t>
      </w:r>
    </w:p>
    <w:p w14:paraId="40C21E34" w14:textId="120B0C4C" w:rsidR="006D0DD2" w:rsidRPr="009E6776" w:rsidRDefault="006D0DD2" w:rsidP="001C0EEE">
      <w:pPr>
        <w:pStyle w:val="Heading2"/>
        <w:tabs>
          <w:tab w:val="left" w:pos="460"/>
        </w:tabs>
        <w:spacing w:line="480" w:lineRule="auto"/>
        <w:ind w:left="460" w:firstLine="0"/>
        <w:contextualSpacing/>
        <w:rPr>
          <w:b w:val="0"/>
          <w:bCs w:val="0"/>
        </w:rPr>
      </w:pPr>
      <w:r w:rsidRPr="009E6776">
        <w:t>Methods</w:t>
      </w:r>
      <w:r w:rsidR="001C0EEE" w:rsidRPr="009E6776">
        <w:rPr>
          <w:b w:val="0"/>
          <w:bCs w:val="0"/>
        </w:rPr>
        <w:t xml:space="preserve"> </w:t>
      </w:r>
      <w:r w:rsidR="00865276" w:rsidRPr="009E6776">
        <w:rPr>
          <w:b w:val="0"/>
          <w:bCs w:val="0"/>
        </w:rPr>
        <w:t>Cross-sectional m</w:t>
      </w:r>
      <w:r w:rsidRPr="009E6776">
        <w:rPr>
          <w:b w:val="0"/>
          <w:bCs w:val="0"/>
        </w:rPr>
        <w:t xml:space="preserve">ediation and moderation analyses </w:t>
      </w:r>
      <w:r w:rsidR="00325AB5" w:rsidRPr="009E6776">
        <w:rPr>
          <w:b w:val="0"/>
          <w:bCs w:val="0"/>
        </w:rPr>
        <w:t>tested</w:t>
      </w:r>
      <w:r w:rsidR="00EA0254" w:rsidRPr="009E6776">
        <w:rPr>
          <w:rFonts w:eastAsia="GulimChe"/>
          <w:b w:val="0"/>
          <w:bCs w:val="0"/>
        </w:rPr>
        <w:t xml:space="preserve"> how </w:t>
      </w:r>
      <w:r w:rsidR="00865276" w:rsidRPr="009E6776">
        <w:rPr>
          <w:rFonts w:eastAsia="GulimChe"/>
          <w:b w:val="0"/>
          <w:bCs w:val="0"/>
        </w:rPr>
        <w:t xml:space="preserve">self-reported </w:t>
      </w:r>
      <w:r w:rsidR="00EA0254" w:rsidRPr="009E6776">
        <w:rPr>
          <w:rFonts w:eastAsia="GulimChe"/>
          <w:b w:val="0"/>
          <w:bCs w:val="0"/>
        </w:rPr>
        <w:t>psychological distress (K10), emotion dysregulation (DERS), and impulsivity (UPPS-P) may contribute to a higher prevalence of NSSI among women</w:t>
      </w:r>
      <w:r w:rsidR="00EA0254" w:rsidRPr="009E6776">
        <w:rPr>
          <w:b w:val="0"/>
          <w:bCs w:val="0"/>
        </w:rPr>
        <w:t>.</w:t>
      </w:r>
    </w:p>
    <w:p w14:paraId="720D92E5" w14:textId="4F358878" w:rsidR="006D0DD2" w:rsidRPr="009E6776" w:rsidRDefault="006D0DD2" w:rsidP="001C0EEE">
      <w:pPr>
        <w:pStyle w:val="Heading2"/>
        <w:tabs>
          <w:tab w:val="left" w:pos="460"/>
        </w:tabs>
        <w:spacing w:line="480" w:lineRule="auto"/>
        <w:ind w:left="460" w:firstLine="0"/>
        <w:contextualSpacing/>
        <w:rPr>
          <w:b w:val="0"/>
          <w:bCs w:val="0"/>
        </w:rPr>
      </w:pPr>
      <w:r w:rsidRPr="009E6776">
        <w:t>Results</w:t>
      </w:r>
      <w:r w:rsidRPr="009E6776">
        <w:rPr>
          <w:b w:val="0"/>
          <w:bCs w:val="0"/>
        </w:rPr>
        <w:t xml:space="preserve"> </w:t>
      </w:r>
      <w:r w:rsidR="005E5F3C" w:rsidRPr="009E6776">
        <w:rPr>
          <w:b w:val="0"/>
          <w:bCs w:val="0"/>
        </w:rPr>
        <w:t>Women were twice as likely as men to report past-year NSSI</w:t>
      </w:r>
      <w:r w:rsidRPr="009E6776">
        <w:rPr>
          <w:b w:val="0"/>
          <w:bCs w:val="0"/>
        </w:rPr>
        <w:t xml:space="preserve"> (14.</w:t>
      </w:r>
      <w:r w:rsidR="00AB088A" w:rsidRPr="009E6776">
        <w:rPr>
          <w:b w:val="0"/>
          <w:bCs w:val="0"/>
        </w:rPr>
        <w:t>47</w:t>
      </w:r>
      <w:r w:rsidRPr="009E6776">
        <w:rPr>
          <w:b w:val="0"/>
          <w:bCs w:val="0"/>
        </w:rPr>
        <w:t>% v</w:t>
      </w:r>
      <w:r w:rsidR="00D827EC" w:rsidRPr="009E6776">
        <w:rPr>
          <w:b w:val="0"/>
          <w:bCs w:val="0"/>
        </w:rPr>
        <w:t>ersu</w:t>
      </w:r>
      <w:r w:rsidRPr="009E6776">
        <w:rPr>
          <w:b w:val="0"/>
          <w:bCs w:val="0"/>
        </w:rPr>
        <w:t>s 7.</w:t>
      </w:r>
      <w:r w:rsidR="00AB088A" w:rsidRPr="009E6776">
        <w:rPr>
          <w:b w:val="0"/>
          <w:bCs w:val="0"/>
        </w:rPr>
        <w:t>7</w:t>
      </w:r>
      <w:r w:rsidRPr="009E6776">
        <w:rPr>
          <w:b w:val="0"/>
          <w:bCs w:val="0"/>
        </w:rPr>
        <w:t>8%</w:t>
      </w:r>
      <w:r w:rsidR="009E6776" w:rsidRPr="009E6776">
        <w:rPr>
          <w:b w:val="0"/>
          <w:bCs w:val="0"/>
        </w:rPr>
        <w:t>, OR = 2.00</w:t>
      </w:r>
      <w:r w:rsidR="00862737">
        <w:rPr>
          <w:b w:val="0"/>
          <w:bCs w:val="0"/>
        </w:rPr>
        <w:t>, 95% CI[</w:t>
      </w:r>
      <w:r w:rsidR="00862737" w:rsidRPr="00233C0E">
        <w:rPr>
          <w:b w:val="0"/>
          <w:bCs w:val="0"/>
          <w:lang w:val="en-GB"/>
        </w:rPr>
        <w:t>1.29, 3.13</w:t>
      </w:r>
      <w:r w:rsidR="00862737">
        <w:rPr>
          <w:b w:val="0"/>
          <w:bCs w:val="0"/>
          <w:lang w:val="en-GB"/>
        </w:rPr>
        <w:t>]</w:t>
      </w:r>
      <w:r w:rsidRPr="009E6776">
        <w:rPr>
          <w:b w:val="0"/>
          <w:bCs w:val="0"/>
        </w:rPr>
        <w:t xml:space="preserve">). Women reported significantly higher psychological distress and significantly lower sensation seeking and positive urgency than men. Psychological distress partially </w:t>
      </w:r>
      <w:r w:rsidR="00BD53D2" w:rsidRPr="009E6776">
        <w:rPr>
          <w:b w:val="0"/>
          <w:bCs w:val="0"/>
        </w:rPr>
        <w:t xml:space="preserve">statistically </w:t>
      </w:r>
      <w:r w:rsidRPr="009E6776">
        <w:rPr>
          <w:b w:val="0"/>
          <w:bCs w:val="0"/>
        </w:rPr>
        <w:t>mediated the relationship between gender and past-year NSSI.</w:t>
      </w:r>
      <w:r w:rsidR="00D37D4B" w:rsidRPr="009E6776">
        <w:rPr>
          <w:b w:val="0"/>
          <w:bCs w:val="0"/>
        </w:rPr>
        <w:t xml:space="preserve"> Gender did not significantly moderate associations between </w:t>
      </w:r>
      <w:r w:rsidR="00865276" w:rsidRPr="009E6776">
        <w:rPr>
          <w:b w:val="0"/>
          <w:bCs w:val="0"/>
        </w:rPr>
        <w:t>psychological</w:t>
      </w:r>
      <w:r w:rsidR="00D37D4B" w:rsidRPr="009E6776">
        <w:rPr>
          <w:b w:val="0"/>
          <w:bCs w:val="0"/>
        </w:rPr>
        <w:t xml:space="preserve"> distress, emotion dysregulation, or impulsivity and past-year NSSI. Past-year NSSI prevalence did not significantly decrease with age and we found no significant age by gender interaction. </w:t>
      </w:r>
    </w:p>
    <w:p w14:paraId="0DC94B83" w14:textId="3F81D951" w:rsidR="006D0DD2" w:rsidRPr="009E6776" w:rsidRDefault="006D0DD2" w:rsidP="001C0EEE">
      <w:pPr>
        <w:pStyle w:val="Heading2"/>
        <w:tabs>
          <w:tab w:val="left" w:pos="460"/>
        </w:tabs>
        <w:spacing w:line="480" w:lineRule="auto"/>
        <w:ind w:left="460" w:firstLine="0"/>
        <w:contextualSpacing/>
        <w:rPr>
          <w:b w:val="0"/>
          <w:bCs w:val="0"/>
        </w:rPr>
      </w:pPr>
      <w:r w:rsidRPr="009E6776">
        <w:t>Conclusion</w:t>
      </w:r>
      <w:r w:rsidR="0059695E" w:rsidRPr="009E6776">
        <w:t>s</w:t>
      </w:r>
      <w:r w:rsidRPr="009E6776">
        <w:rPr>
          <w:b w:val="0"/>
          <w:bCs w:val="0"/>
        </w:rPr>
        <w:t xml:space="preserve"> </w:t>
      </w:r>
      <w:r w:rsidR="00C62D5B" w:rsidRPr="009E6776">
        <w:rPr>
          <w:b w:val="0"/>
          <w:bCs w:val="0"/>
        </w:rPr>
        <w:t xml:space="preserve">Greater levels of NSSI in young women are </w:t>
      </w:r>
      <w:r w:rsidR="00EA0254" w:rsidRPr="009E6776">
        <w:rPr>
          <w:b w:val="0"/>
          <w:bCs w:val="0"/>
        </w:rPr>
        <w:t xml:space="preserve">partly </w:t>
      </w:r>
      <w:r w:rsidR="00C62D5B" w:rsidRPr="009E6776">
        <w:rPr>
          <w:b w:val="0"/>
          <w:bCs w:val="0"/>
        </w:rPr>
        <w:t xml:space="preserve">explained by their greater levels of </w:t>
      </w:r>
      <w:r w:rsidR="00EA0254" w:rsidRPr="009E6776">
        <w:rPr>
          <w:b w:val="0"/>
          <w:bCs w:val="0"/>
        </w:rPr>
        <w:t xml:space="preserve">psychological </w:t>
      </w:r>
      <w:r w:rsidR="00C62D5B" w:rsidRPr="009E6776">
        <w:rPr>
          <w:b w:val="0"/>
          <w:bCs w:val="0"/>
        </w:rPr>
        <w:t>distress</w:t>
      </w:r>
      <w:r w:rsidR="00CC50E5">
        <w:rPr>
          <w:b w:val="0"/>
          <w:bCs w:val="0"/>
        </w:rPr>
        <w:t xml:space="preserve">, but not by differences in how men and women respond to </w:t>
      </w:r>
      <w:r w:rsidR="00CC50E5">
        <w:rPr>
          <w:b w:val="0"/>
          <w:bCs w:val="0"/>
        </w:rPr>
        <w:lastRenderedPageBreak/>
        <w:t>this distress.</w:t>
      </w:r>
      <w:r w:rsidR="00CC50E5" w:rsidRPr="009E6776">
        <w:rPr>
          <w:b w:val="0"/>
          <w:bCs w:val="0"/>
        </w:rPr>
        <w:t xml:space="preserve"> </w:t>
      </w:r>
      <w:r w:rsidR="00CC50E5">
        <w:rPr>
          <w:b w:val="0"/>
          <w:bCs w:val="0"/>
        </w:rPr>
        <w:t>G</w:t>
      </w:r>
      <w:r w:rsidR="00CC50E5" w:rsidRPr="00DE3235">
        <w:rPr>
          <w:b w:val="0"/>
          <w:bCs w:val="0"/>
        </w:rPr>
        <w:t>iven</w:t>
      </w:r>
      <w:r w:rsidR="00CC50E5" w:rsidRPr="00DE3235">
        <w:rPr>
          <w:rFonts w:eastAsia="Calibri" w:cs="Times New Roman (Body CS)"/>
          <w:b w:val="0"/>
          <w:bCs w:val="0"/>
        </w:rPr>
        <w:t xml:space="preserve"> similar levels of psychological distress, emotion dysregulation, and impulsivity, women and men are similarly likely to experience NSSI.</w:t>
      </w:r>
      <w:r w:rsidR="00CC50E5">
        <w:rPr>
          <w:rFonts w:eastAsia="Calibri" w:cs="Times New Roman (Body CS)"/>
          <w:b w:val="0"/>
          <w:bCs w:val="0"/>
        </w:rPr>
        <w:t xml:space="preserve"> </w:t>
      </w:r>
    </w:p>
    <w:p w14:paraId="7E629EDA" w14:textId="77777777" w:rsidR="006D0DD2" w:rsidRPr="009E6776" w:rsidRDefault="006D0DD2" w:rsidP="001C0EEE">
      <w:pPr>
        <w:pStyle w:val="Heading2"/>
        <w:tabs>
          <w:tab w:val="left" w:pos="460"/>
        </w:tabs>
        <w:spacing w:line="480" w:lineRule="auto"/>
        <w:ind w:left="0" w:firstLine="0"/>
        <w:contextualSpacing/>
        <w:rPr>
          <w:b w:val="0"/>
          <w:bCs w:val="0"/>
        </w:rPr>
      </w:pPr>
    </w:p>
    <w:p w14:paraId="28750F3A" w14:textId="77777777" w:rsidR="006D0DD2" w:rsidRPr="009E6776" w:rsidRDefault="00B807F0" w:rsidP="001C0EEE">
      <w:pPr>
        <w:pStyle w:val="Heading2"/>
        <w:tabs>
          <w:tab w:val="left" w:pos="460"/>
        </w:tabs>
        <w:spacing w:line="480" w:lineRule="auto"/>
        <w:ind w:left="0" w:firstLine="0"/>
        <w:contextualSpacing/>
        <w:rPr>
          <w:b w:val="0"/>
          <w:bCs w:val="0"/>
        </w:rPr>
      </w:pPr>
      <w:r w:rsidRPr="009E6776">
        <w:t>Keywords:</w:t>
      </w:r>
      <w:r w:rsidRPr="009E6776">
        <w:rPr>
          <w:b w:val="0"/>
          <w:bCs w:val="0"/>
        </w:rPr>
        <w:t xml:space="preserve"> </w:t>
      </w:r>
      <w:r w:rsidR="00AD2045" w:rsidRPr="009E6776">
        <w:rPr>
          <w:b w:val="0"/>
          <w:bCs w:val="0"/>
        </w:rPr>
        <w:t>NSSI, self-harm, g</w:t>
      </w:r>
      <w:r w:rsidR="00594609" w:rsidRPr="009E6776">
        <w:rPr>
          <w:b w:val="0"/>
          <w:bCs w:val="0"/>
        </w:rPr>
        <w:t>ender, distress, impulsivity, emotion regulation</w:t>
      </w:r>
    </w:p>
    <w:p w14:paraId="2DD5EBA1" w14:textId="77777777" w:rsidR="00B807F0" w:rsidRPr="009E6776" w:rsidRDefault="00B807F0" w:rsidP="001C0EEE">
      <w:pPr>
        <w:pStyle w:val="Heading2"/>
        <w:tabs>
          <w:tab w:val="left" w:pos="460"/>
        </w:tabs>
        <w:spacing w:line="480" w:lineRule="auto"/>
        <w:ind w:left="0" w:firstLine="0"/>
        <w:contextualSpacing/>
        <w:rPr>
          <w:b w:val="0"/>
          <w:bCs w:val="0"/>
        </w:rPr>
      </w:pPr>
    </w:p>
    <w:p w14:paraId="02BD44E0" w14:textId="77777777" w:rsidR="00B807F0" w:rsidRPr="009E6776" w:rsidRDefault="00B807F0" w:rsidP="001C0EEE">
      <w:pPr>
        <w:pStyle w:val="Heading2"/>
        <w:tabs>
          <w:tab w:val="left" w:pos="460"/>
        </w:tabs>
        <w:spacing w:line="480" w:lineRule="auto"/>
        <w:ind w:left="0" w:firstLine="0"/>
        <w:contextualSpacing/>
      </w:pPr>
      <w:r w:rsidRPr="009E6776">
        <w:t>Highlights</w:t>
      </w:r>
    </w:p>
    <w:p w14:paraId="3208007F" w14:textId="0857AE7D" w:rsidR="00C852BD" w:rsidRPr="009E6776" w:rsidRDefault="00B672D1" w:rsidP="001C0EEE">
      <w:pPr>
        <w:pStyle w:val="Heading2"/>
        <w:numPr>
          <w:ilvl w:val="0"/>
          <w:numId w:val="26"/>
        </w:numPr>
        <w:tabs>
          <w:tab w:val="left" w:pos="460"/>
        </w:tabs>
        <w:spacing w:line="480" w:lineRule="auto"/>
        <w:contextualSpacing/>
        <w:rPr>
          <w:b w:val="0"/>
          <w:bCs w:val="0"/>
        </w:rPr>
      </w:pPr>
      <w:r>
        <w:rPr>
          <w:b w:val="0"/>
          <w:bCs w:val="0"/>
        </w:rPr>
        <w:t>W</w:t>
      </w:r>
      <w:r w:rsidR="00C852BD" w:rsidRPr="009E6776">
        <w:rPr>
          <w:b w:val="0"/>
          <w:bCs w:val="0"/>
        </w:rPr>
        <w:t xml:space="preserve">omen </w:t>
      </w:r>
      <w:r>
        <w:rPr>
          <w:b w:val="0"/>
          <w:bCs w:val="0"/>
        </w:rPr>
        <w:t xml:space="preserve">aged 18-33 </w:t>
      </w:r>
      <w:r w:rsidR="00DE6383" w:rsidRPr="009E6776">
        <w:rPr>
          <w:b w:val="0"/>
          <w:bCs w:val="0"/>
        </w:rPr>
        <w:t xml:space="preserve">were </w:t>
      </w:r>
      <w:r w:rsidR="00C852BD" w:rsidRPr="009E6776">
        <w:rPr>
          <w:b w:val="0"/>
          <w:bCs w:val="0"/>
        </w:rPr>
        <w:t>significantly more likely to report past-year NSSI than men</w:t>
      </w:r>
    </w:p>
    <w:p w14:paraId="5D8429E3" w14:textId="384A2083" w:rsidR="00CC50E5" w:rsidRDefault="00EA0254" w:rsidP="00CC50E5">
      <w:pPr>
        <w:pStyle w:val="Heading2"/>
        <w:numPr>
          <w:ilvl w:val="0"/>
          <w:numId w:val="26"/>
        </w:numPr>
        <w:tabs>
          <w:tab w:val="left" w:pos="460"/>
        </w:tabs>
        <w:spacing w:line="480" w:lineRule="auto"/>
        <w:contextualSpacing/>
        <w:rPr>
          <w:b w:val="0"/>
          <w:bCs w:val="0"/>
        </w:rPr>
      </w:pPr>
      <w:r w:rsidRPr="009E6776">
        <w:rPr>
          <w:b w:val="0"/>
          <w:bCs w:val="0"/>
        </w:rPr>
        <w:t xml:space="preserve">Women’s greater </w:t>
      </w:r>
      <w:r w:rsidR="00865276" w:rsidRPr="009E6776">
        <w:rPr>
          <w:b w:val="0"/>
          <w:bCs w:val="0"/>
        </w:rPr>
        <w:t xml:space="preserve">psychological </w:t>
      </w:r>
      <w:r w:rsidRPr="009E6776">
        <w:rPr>
          <w:b w:val="0"/>
          <w:bCs w:val="0"/>
        </w:rPr>
        <w:t>distress contribute</w:t>
      </w:r>
      <w:r w:rsidR="00CC50E5">
        <w:rPr>
          <w:b w:val="0"/>
          <w:bCs w:val="0"/>
        </w:rPr>
        <w:t>d</w:t>
      </w:r>
      <w:r w:rsidRPr="009E6776">
        <w:rPr>
          <w:b w:val="0"/>
          <w:bCs w:val="0"/>
        </w:rPr>
        <w:t xml:space="preserve"> to their higher </w:t>
      </w:r>
      <w:r w:rsidR="00B672D1">
        <w:rPr>
          <w:b w:val="0"/>
          <w:bCs w:val="0"/>
        </w:rPr>
        <w:t xml:space="preserve">NSSI </w:t>
      </w:r>
      <w:r w:rsidRPr="009E6776">
        <w:rPr>
          <w:b w:val="0"/>
          <w:bCs w:val="0"/>
        </w:rPr>
        <w:t>prevalence</w:t>
      </w:r>
    </w:p>
    <w:p w14:paraId="3247D4FD" w14:textId="77777777" w:rsidR="00CC50E5" w:rsidRPr="00F35F1D" w:rsidRDefault="00CC50E5" w:rsidP="00CC50E5">
      <w:pPr>
        <w:pStyle w:val="Heading2"/>
        <w:numPr>
          <w:ilvl w:val="0"/>
          <w:numId w:val="26"/>
        </w:numPr>
        <w:tabs>
          <w:tab w:val="left" w:pos="460"/>
        </w:tabs>
        <w:spacing w:line="480" w:lineRule="auto"/>
        <w:contextualSpacing/>
        <w:rPr>
          <w:b w:val="0"/>
          <w:bCs w:val="0"/>
        </w:rPr>
      </w:pPr>
      <w:r w:rsidRPr="00DE3235">
        <w:rPr>
          <w:b w:val="0"/>
          <w:bCs w:val="0"/>
        </w:rPr>
        <w:t>Variables investigated here were similarly associated with NSSI in men and women</w:t>
      </w:r>
    </w:p>
    <w:p w14:paraId="31791950" w14:textId="77777777" w:rsidR="00C852BD" w:rsidRPr="009E6776" w:rsidRDefault="00C852BD" w:rsidP="00DA5D88">
      <w:pPr>
        <w:pStyle w:val="Heading2"/>
        <w:tabs>
          <w:tab w:val="left" w:pos="460"/>
        </w:tabs>
        <w:spacing w:line="480" w:lineRule="auto"/>
        <w:ind w:left="100" w:firstLine="0"/>
        <w:contextualSpacing/>
        <w:rPr>
          <w:b w:val="0"/>
          <w:bCs w:val="0"/>
        </w:rPr>
      </w:pPr>
    </w:p>
    <w:p w14:paraId="0DCCEBFB" w14:textId="77777777" w:rsidR="008326DF" w:rsidRPr="009E6776" w:rsidRDefault="008326DF" w:rsidP="001C0EEE">
      <w:pPr>
        <w:pStyle w:val="BodyText"/>
        <w:spacing w:line="480" w:lineRule="auto"/>
        <w:ind w:right="477"/>
        <w:contextualSpacing/>
      </w:pPr>
    </w:p>
    <w:p w14:paraId="0985AE77" w14:textId="77777777" w:rsidR="000D698A" w:rsidRPr="009E6776" w:rsidRDefault="000D698A" w:rsidP="001C0EEE">
      <w:pPr>
        <w:pStyle w:val="Heading2"/>
        <w:tabs>
          <w:tab w:val="left" w:pos="460"/>
        </w:tabs>
        <w:spacing w:line="480" w:lineRule="auto"/>
        <w:ind w:left="0" w:firstLine="0"/>
        <w:contextualSpacing/>
        <w:rPr>
          <w:b w:val="0"/>
          <w:bCs w:val="0"/>
        </w:rPr>
      </w:pPr>
    </w:p>
    <w:p w14:paraId="6882BA22" w14:textId="77777777" w:rsidR="001C0EEE" w:rsidRPr="009E6776" w:rsidRDefault="001C0EEE" w:rsidP="001C0EEE">
      <w:pPr>
        <w:pStyle w:val="Heading2"/>
        <w:tabs>
          <w:tab w:val="left" w:pos="460"/>
        </w:tabs>
        <w:spacing w:line="480" w:lineRule="auto"/>
        <w:ind w:left="0" w:firstLine="0"/>
        <w:contextualSpacing/>
        <w:rPr>
          <w:b w:val="0"/>
          <w:bCs w:val="0"/>
        </w:rPr>
      </w:pPr>
    </w:p>
    <w:p w14:paraId="7A2B9F50" w14:textId="77777777" w:rsidR="001C0EEE" w:rsidRPr="009E6776" w:rsidRDefault="001C0EEE" w:rsidP="001C0EEE">
      <w:pPr>
        <w:pStyle w:val="Heading2"/>
        <w:tabs>
          <w:tab w:val="left" w:pos="460"/>
        </w:tabs>
        <w:spacing w:line="480" w:lineRule="auto"/>
        <w:ind w:left="0" w:firstLine="0"/>
        <w:contextualSpacing/>
        <w:rPr>
          <w:b w:val="0"/>
          <w:bCs w:val="0"/>
        </w:rPr>
      </w:pPr>
    </w:p>
    <w:p w14:paraId="768BAEA7" w14:textId="77777777" w:rsidR="001C0EEE" w:rsidRPr="009E6776" w:rsidRDefault="001C0EEE" w:rsidP="001C0EEE">
      <w:pPr>
        <w:pStyle w:val="Heading2"/>
        <w:tabs>
          <w:tab w:val="left" w:pos="460"/>
        </w:tabs>
        <w:spacing w:line="480" w:lineRule="auto"/>
        <w:ind w:left="0" w:firstLine="0"/>
        <w:contextualSpacing/>
        <w:rPr>
          <w:b w:val="0"/>
          <w:bCs w:val="0"/>
        </w:rPr>
      </w:pPr>
    </w:p>
    <w:p w14:paraId="67B840C4" w14:textId="77777777" w:rsidR="001C0EEE" w:rsidRPr="009E6776" w:rsidRDefault="001C0EEE" w:rsidP="001C0EEE">
      <w:pPr>
        <w:pStyle w:val="Heading2"/>
        <w:tabs>
          <w:tab w:val="left" w:pos="460"/>
        </w:tabs>
        <w:spacing w:line="480" w:lineRule="auto"/>
        <w:ind w:left="0" w:firstLine="0"/>
        <w:contextualSpacing/>
        <w:rPr>
          <w:b w:val="0"/>
          <w:bCs w:val="0"/>
        </w:rPr>
      </w:pPr>
    </w:p>
    <w:p w14:paraId="22998209" w14:textId="77777777" w:rsidR="001C0EEE" w:rsidRPr="009E6776" w:rsidRDefault="001C0EEE" w:rsidP="001C0EEE">
      <w:pPr>
        <w:pStyle w:val="Heading2"/>
        <w:tabs>
          <w:tab w:val="left" w:pos="460"/>
        </w:tabs>
        <w:spacing w:line="480" w:lineRule="auto"/>
        <w:ind w:left="0" w:firstLine="0"/>
        <w:contextualSpacing/>
        <w:rPr>
          <w:b w:val="0"/>
          <w:bCs w:val="0"/>
        </w:rPr>
      </w:pPr>
    </w:p>
    <w:p w14:paraId="761E5D25" w14:textId="77777777" w:rsidR="001C0EEE" w:rsidRPr="009E6776" w:rsidRDefault="001C0EEE" w:rsidP="001C0EEE">
      <w:pPr>
        <w:pStyle w:val="Heading2"/>
        <w:tabs>
          <w:tab w:val="left" w:pos="460"/>
        </w:tabs>
        <w:spacing w:line="480" w:lineRule="auto"/>
        <w:ind w:left="0" w:firstLine="0"/>
        <w:contextualSpacing/>
        <w:rPr>
          <w:b w:val="0"/>
          <w:bCs w:val="0"/>
        </w:rPr>
      </w:pPr>
    </w:p>
    <w:p w14:paraId="05E85865" w14:textId="77777777" w:rsidR="001C0EEE" w:rsidRPr="009E6776" w:rsidRDefault="001C0EEE" w:rsidP="001C0EEE">
      <w:pPr>
        <w:pStyle w:val="Heading2"/>
        <w:tabs>
          <w:tab w:val="left" w:pos="460"/>
        </w:tabs>
        <w:spacing w:line="480" w:lineRule="auto"/>
        <w:ind w:left="0" w:firstLine="0"/>
        <w:contextualSpacing/>
        <w:rPr>
          <w:b w:val="0"/>
          <w:bCs w:val="0"/>
        </w:rPr>
      </w:pPr>
    </w:p>
    <w:p w14:paraId="3D93C939" w14:textId="77777777" w:rsidR="001C0EEE" w:rsidRPr="009E6776" w:rsidRDefault="001C0EEE" w:rsidP="001C0EEE">
      <w:pPr>
        <w:pStyle w:val="Heading2"/>
        <w:tabs>
          <w:tab w:val="left" w:pos="460"/>
        </w:tabs>
        <w:spacing w:line="480" w:lineRule="auto"/>
        <w:ind w:left="0" w:firstLine="0"/>
        <w:contextualSpacing/>
        <w:rPr>
          <w:b w:val="0"/>
          <w:bCs w:val="0"/>
        </w:rPr>
      </w:pPr>
    </w:p>
    <w:p w14:paraId="699B61D4" w14:textId="77777777" w:rsidR="001C0EEE" w:rsidRDefault="001C0EEE" w:rsidP="001C0EEE">
      <w:pPr>
        <w:pStyle w:val="Heading2"/>
        <w:tabs>
          <w:tab w:val="left" w:pos="460"/>
        </w:tabs>
        <w:spacing w:line="480" w:lineRule="auto"/>
        <w:ind w:left="0" w:firstLine="0"/>
        <w:contextualSpacing/>
        <w:rPr>
          <w:b w:val="0"/>
          <w:bCs w:val="0"/>
        </w:rPr>
      </w:pPr>
    </w:p>
    <w:p w14:paraId="1AE62D0F" w14:textId="77777777" w:rsidR="00CC50E5" w:rsidRPr="009E6776" w:rsidRDefault="00CC50E5" w:rsidP="001C0EEE">
      <w:pPr>
        <w:pStyle w:val="Heading2"/>
        <w:tabs>
          <w:tab w:val="left" w:pos="460"/>
        </w:tabs>
        <w:spacing w:line="480" w:lineRule="auto"/>
        <w:ind w:left="0" w:firstLine="0"/>
        <w:contextualSpacing/>
        <w:rPr>
          <w:b w:val="0"/>
          <w:bCs w:val="0"/>
        </w:rPr>
      </w:pPr>
    </w:p>
    <w:p w14:paraId="0B5B6674" w14:textId="77777777" w:rsidR="001C0EEE" w:rsidRPr="009E6776" w:rsidRDefault="001C0EEE" w:rsidP="001C0EEE">
      <w:pPr>
        <w:pStyle w:val="Heading2"/>
        <w:tabs>
          <w:tab w:val="left" w:pos="460"/>
        </w:tabs>
        <w:spacing w:line="480" w:lineRule="auto"/>
        <w:ind w:left="0" w:firstLine="0"/>
        <w:contextualSpacing/>
        <w:rPr>
          <w:b w:val="0"/>
          <w:bCs w:val="0"/>
        </w:rPr>
      </w:pPr>
    </w:p>
    <w:p w14:paraId="4C7626FD" w14:textId="77777777" w:rsidR="000D698A" w:rsidRPr="009E6776" w:rsidRDefault="001C0EEE" w:rsidP="001C0EEE">
      <w:pPr>
        <w:pStyle w:val="Heading2"/>
        <w:tabs>
          <w:tab w:val="left" w:pos="460"/>
        </w:tabs>
        <w:spacing w:line="480" w:lineRule="auto"/>
        <w:ind w:left="0" w:firstLine="0"/>
        <w:contextualSpacing/>
      </w:pPr>
      <w:r w:rsidRPr="009E6776">
        <w:lastRenderedPageBreak/>
        <w:t>Introduction</w:t>
      </w:r>
    </w:p>
    <w:p w14:paraId="6BC29040" w14:textId="44E20963" w:rsidR="008C3281" w:rsidRPr="009E6776" w:rsidRDefault="008F09CC" w:rsidP="00EA0254">
      <w:pPr>
        <w:pStyle w:val="Heading2"/>
        <w:tabs>
          <w:tab w:val="left" w:pos="460"/>
        </w:tabs>
        <w:spacing w:line="480" w:lineRule="auto"/>
        <w:ind w:left="0" w:firstLine="0"/>
        <w:contextualSpacing/>
        <w:rPr>
          <w:b w:val="0"/>
          <w:bCs w:val="0"/>
          <w:kern w:val="1"/>
        </w:rPr>
      </w:pPr>
      <w:r w:rsidRPr="009E6776">
        <w:rPr>
          <w:b w:val="0"/>
          <w:bCs w:val="0"/>
        </w:rPr>
        <w:tab/>
      </w:r>
      <w:r w:rsidR="005A1414" w:rsidRPr="009E6776">
        <w:rPr>
          <w:b w:val="0"/>
          <w:bCs w:val="0"/>
        </w:rPr>
        <w:t xml:space="preserve">Non-suicidal self-injury (NSSI) is the direct and deliberate damage of the body without suicidal intent </w:t>
      </w:r>
      <w:r w:rsidR="003B7FA4" w:rsidRPr="009E6776">
        <w:rPr>
          <w:b w:val="0"/>
          <w:bCs w:val="0"/>
          <w:noProof/>
        </w:rPr>
        <w:t>(International Society for the Study of Self-Injury, 2018)</w:t>
      </w:r>
      <w:r w:rsidR="005A1414" w:rsidRPr="009E6776">
        <w:rPr>
          <w:b w:val="0"/>
          <w:bCs w:val="0"/>
        </w:rPr>
        <w:t xml:space="preserve">. </w:t>
      </w:r>
      <w:r w:rsidR="00EA0254" w:rsidRPr="00DA5D88">
        <w:rPr>
          <w:b w:val="0"/>
          <w:bCs w:val="0"/>
        </w:rPr>
        <w:t xml:space="preserve">The literature on NSSI is heavily gendered; research has focused on young women and girls, reinforcing assumptions of self-injury as a “feminine” behavior </w:t>
      </w:r>
      <w:r w:rsidR="00325AB5" w:rsidRPr="00DA5D88">
        <w:rPr>
          <w:b w:val="0"/>
          <w:bCs w:val="0"/>
          <w:noProof/>
        </w:rPr>
        <w:t>(Brickman, 2004; Chandler et al., 2011; Millard, 2013)</w:t>
      </w:r>
      <w:r w:rsidR="00EA0254" w:rsidRPr="00DA5D88">
        <w:rPr>
          <w:b w:val="0"/>
          <w:bCs w:val="0"/>
        </w:rPr>
        <w:t xml:space="preserve">. </w:t>
      </w:r>
      <w:r w:rsidR="00865276" w:rsidRPr="00DA5D88">
        <w:rPr>
          <w:b w:val="0"/>
          <w:bCs w:val="0"/>
        </w:rPr>
        <w:t xml:space="preserve">As a result, NSSI in men is poorly understood. </w:t>
      </w:r>
      <w:r w:rsidR="00EA0254" w:rsidRPr="00DA5D88">
        <w:rPr>
          <w:b w:val="0"/>
          <w:bCs w:val="0"/>
        </w:rPr>
        <w:t xml:space="preserve">Reports of gender differences in NSSI prevalence vary substantially across studies but meta-analytic findings indicate that women are significantly more likely than men to report NSSI </w:t>
      </w:r>
      <w:r w:rsidR="00EA0254" w:rsidRPr="00DA5D88">
        <w:rPr>
          <w:b w:val="0"/>
          <w:bCs w:val="0"/>
          <w:noProof/>
        </w:rPr>
        <w:t>(Bresin &amp; Schoenleber, 2015)</w:t>
      </w:r>
      <w:r w:rsidR="00EA0254" w:rsidRPr="00DA5D88">
        <w:rPr>
          <w:b w:val="0"/>
          <w:bCs w:val="0"/>
        </w:rPr>
        <w:t>. However, research has yet to investigate the underlying reasons for this.</w:t>
      </w:r>
    </w:p>
    <w:p w14:paraId="52279009" w14:textId="1E5211F0" w:rsidR="007E3EF4" w:rsidRDefault="005A1414" w:rsidP="00CC50E5">
      <w:pPr>
        <w:pStyle w:val="Heading2"/>
        <w:tabs>
          <w:tab w:val="left" w:pos="460"/>
        </w:tabs>
        <w:spacing w:line="480" w:lineRule="auto"/>
        <w:ind w:left="0" w:firstLine="0"/>
        <w:contextualSpacing/>
        <w:rPr>
          <w:b w:val="0"/>
          <w:bCs w:val="0"/>
          <w:kern w:val="1"/>
        </w:rPr>
      </w:pPr>
      <w:r w:rsidRPr="009E6776">
        <w:rPr>
          <w:b w:val="0"/>
          <w:bCs w:val="0"/>
          <w:kern w:val="1"/>
        </w:rPr>
        <w:tab/>
      </w:r>
      <w:r w:rsidR="00EA0254" w:rsidRPr="00DA5D88">
        <w:rPr>
          <w:b w:val="0"/>
          <w:bCs w:val="0"/>
          <w:kern w:val="1"/>
        </w:rPr>
        <w:t>In the present study, we explore alternative explanations for the NSSI prevalence gap. First, women may be more likely than men</w:t>
      </w:r>
      <w:r w:rsidR="00EA0254" w:rsidRPr="00CC50E5">
        <w:rPr>
          <w:b w:val="0"/>
          <w:bCs w:val="0"/>
          <w:kern w:val="1"/>
        </w:rPr>
        <w:t xml:space="preserve"> to experience</w:t>
      </w:r>
      <w:r w:rsidR="0002602E">
        <w:rPr>
          <w:b w:val="0"/>
          <w:bCs w:val="0"/>
          <w:kern w:val="1"/>
        </w:rPr>
        <w:t xml:space="preserve"> </w:t>
      </w:r>
      <w:r w:rsidR="00EA0254" w:rsidRPr="00CC50E5">
        <w:rPr>
          <w:b w:val="0"/>
          <w:bCs w:val="0"/>
          <w:kern w:val="1"/>
        </w:rPr>
        <w:t xml:space="preserve">feelings which precipitate NSSI. Though the behavior can be driven by a range of motivations, it is most often used to alleviate negative affect </w:t>
      </w:r>
      <w:r w:rsidR="00325AB5" w:rsidRPr="0033140E">
        <w:rPr>
          <w:b w:val="0"/>
          <w:bCs w:val="0"/>
          <w:noProof/>
          <w:kern w:val="1"/>
        </w:rPr>
        <w:t>(Edmondson et al., 2016; Taylor et al., 2018)</w:t>
      </w:r>
      <w:r w:rsidR="00EA0254" w:rsidRPr="00DA5D88">
        <w:rPr>
          <w:b w:val="0"/>
          <w:bCs w:val="0"/>
          <w:kern w:val="1"/>
        </w:rPr>
        <w:t>. Feelings of sadness, emptiness, hopelessness, and anxiety commonly precede NSSI and decrease after</w:t>
      </w:r>
      <w:r w:rsidR="00CC50E5">
        <w:rPr>
          <w:b w:val="0"/>
          <w:bCs w:val="0"/>
          <w:kern w:val="1"/>
        </w:rPr>
        <w:t>wards</w:t>
      </w:r>
      <w:r w:rsidR="00EA0254" w:rsidRPr="00DA5D88">
        <w:rPr>
          <w:b w:val="0"/>
          <w:bCs w:val="0"/>
          <w:kern w:val="1"/>
        </w:rPr>
        <w:t xml:space="preserve"> </w:t>
      </w:r>
      <w:r w:rsidR="00325AB5" w:rsidRPr="0033140E">
        <w:rPr>
          <w:b w:val="0"/>
          <w:bCs w:val="0"/>
          <w:noProof/>
          <w:kern w:val="1"/>
        </w:rPr>
        <w:t>(Armey et al., 2011; Klonsky, 2009)</w:t>
      </w:r>
      <w:r w:rsidR="00CC50E5">
        <w:rPr>
          <w:b w:val="0"/>
          <w:bCs w:val="0"/>
          <w:kern w:val="1"/>
        </w:rPr>
        <w:t xml:space="preserve">. Further, </w:t>
      </w:r>
      <w:r w:rsidR="00EA0254" w:rsidRPr="00DA5D88">
        <w:rPr>
          <w:b w:val="0"/>
          <w:bCs w:val="0"/>
          <w:kern w:val="1"/>
        </w:rPr>
        <w:t xml:space="preserve">internalizing symptomology is associated with NSSI in both clinical and non-clinical samples </w:t>
      </w:r>
      <w:r w:rsidR="00325AB5" w:rsidRPr="0033140E">
        <w:rPr>
          <w:b w:val="0"/>
          <w:bCs w:val="0"/>
          <w:noProof/>
          <w:kern w:val="1"/>
        </w:rPr>
        <w:t>(Cipriano et al., 2017; Valencia-Agudo et al., 2018)</w:t>
      </w:r>
      <w:r w:rsidR="00EA0254" w:rsidRPr="00957A6A">
        <w:rPr>
          <w:kern w:val="1"/>
        </w:rPr>
        <w:t xml:space="preserve">. </w:t>
      </w:r>
      <w:r w:rsidR="007E3EF4" w:rsidRPr="00DE3235">
        <w:rPr>
          <w:b w:val="0"/>
          <w:bCs w:val="0"/>
          <w:kern w:val="1"/>
        </w:rPr>
        <w:t>Women are more likely than men to experience depression and anxiety</w:t>
      </w:r>
      <w:r w:rsidR="00CC50E5" w:rsidRPr="00DE3235">
        <w:rPr>
          <w:b w:val="0"/>
          <w:bCs w:val="0"/>
          <w:kern w:val="1"/>
        </w:rPr>
        <w:t xml:space="preserve"> </w:t>
      </w:r>
      <w:r w:rsidR="00CC50E5">
        <w:rPr>
          <w:b w:val="0"/>
          <w:bCs w:val="0"/>
          <w:noProof/>
          <w:kern w:val="1"/>
        </w:rPr>
        <w:t>and t</w:t>
      </w:r>
      <w:r w:rsidR="00CC50E5" w:rsidRPr="008E2255">
        <w:rPr>
          <w:b w:val="0"/>
          <w:bCs w:val="0"/>
          <w:noProof/>
          <w:kern w:val="1"/>
          <w:lang w:val="en-GB"/>
        </w:rPr>
        <w:t>his gender difference is largest in mid-adolescence</w:t>
      </w:r>
      <w:r w:rsidR="007E3EF4" w:rsidRPr="00DE3235">
        <w:rPr>
          <w:b w:val="0"/>
          <w:bCs w:val="0"/>
          <w:kern w:val="1"/>
        </w:rPr>
        <w:t xml:space="preserve"> </w:t>
      </w:r>
      <w:r w:rsidR="007E3EF4" w:rsidRPr="007E3EF4">
        <w:rPr>
          <w:b w:val="0"/>
          <w:bCs w:val="0"/>
          <w:noProof/>
          <w:kern w:val="1"/>
        </w:rPr>
        <w:t>(Salk et al., 2017; Steel et al., 2014)</w:t>
      </w:r>
      <w:r w:rsidR="007E3EF4">
        <w:rPr>
          <w:b w:val="0"/>
          <w:bCs w:val="0"/>
          <w:noProof/>
          <w:kern w:val="1"/>
        </w:rPr>
        <w:t xml:space="preserve">. </w:t>
      </w:r>
      <w:r w:rsidR="00CC50E5">
        <w:rPr>
          <w:b w:val="0"/>
          <w:bCs w:val="0"/>
          <w:noProof/>
          <w:kern w:val="1"/>
          <w:lang w:val="en-GB"/>
        </w:rPr>
        <w:t>This</w:t>
      </w:r>
      <w:r w:rsidR="00CC50E5" w:rsidRPr="008E2255">
        <w:rPr>
          <w:b w:val="0"/>
          <w:bCs w:val="0"/>
          <w:noProof/>
          <w:kern w:val="1"/>
          <w:lang w:val="en-GB"/>
        </w:rPr>
        <w:t xml:space="preserve"> parallels </w:t>
      </w:r>
      <w:r w:rsidR="00CC50E5">
        <w:rPr>
          <w:b w:val="0"/>
          <w:bCs w:val="0"/>
          <w:noProof/>
          <w:kern w:val="1"/>
          <w:lang w:val="en-GB"/>
        </w:rPr>
        <w:t xml:space="preserve">recent </w:t>
      </w:r>
      <w:r w:rsidR="00CC50E5" w:rsidRPr="008E2255">
        <w:rPr>
          <w:b w:val="0"/>
          <w:bCs w:val="0"/>
          <w:noProof/>
          <w:kern w:val="1"/>
          <w:lang w:val="en-GB"/>
        </w:rPr>
        <w:t xml:space="preserve">findings that the NSSI gender prevalence gap is greatest </w:t>
      </w:r>
      <w:r w:rsidR="00CC50E5">
        <w:rPr>
          <w:b w:val="0"/>
          <w:bCs w:val="0"/>
          <w:noProof/>
          <w:kern w:val="1"/>
          <w:lang w:val="en-GB"/>
        </w:rPr>
        <w:t>during mid-adolescence</w:t>
      </w:r>
      <w:r w:rsidR="00CC50E5" w:rsidRPr="008E2255">
        <w:rPr>
          <w:b w:val="0"/>
          <w:bCs w:val="0"/>
          <w:noProof/>
          <w:kern w:val="1"/>
          <w:lang w:val="en-GB"/>
        </w:rPr>
        <w:t xml:space="preserve"> due, in part, to </w:t>
      </w:r>
      <w:r w:rsidR="00CC50E5">
        <w:rPr>
          <w:b w:val="0"/>
          <w:bCs w:val="0"/>
          <w:noProof/>
          <w:kern w:val="1"/>
          <w:lang w:val="en-GB"/>
        </w:rPr>
        <w:t xml:space="preserve">adolescent </w:t>
      </w:r>
      <w:r w:rsidR="00CC50E5" w:rsidRPr="008E2255">
        <w:rPr>
          <w:b w:val="0"/>
          <w:bCs w:val="0"/>
          <w:noProof/>
          <w:kern w:val="1"/>
          <w:lang w:val="en-GB"/>
        </w:rPr>
        <w:t>girls</w:t>
      </w:r>
      <w:r w:rsidR="00CC50E5">
        <w:rPr>
          <w:b w:val="0"/>
          <w:bCs w:val="0"/>
          <w:noProof/>
          <w:kern w:val="1"/>
          <w:lang w:val="en-GB"/>
        </w:rPr>
        <w:t>’</w:t>
      </w:r>
      <w:r w:rsidR="00CC50E5" w:rsidRPr="008E2255">
        <w:rPr>
          <w:b w:val="0"/>
          <w:bCs w:val="0"/>
          <w:noProof/>
          <w:kern w:val="1"/>
          <w:lang w:val="en-GB"/>
        </w:rPr>
        <w:t xml:space="preserve"> significantly higher levels of psychological distress</w:t>
      </w:r>
      <w:r w:rsidR="00CC50E5">
        <w:rPr>
          <w:b w:val="0"/>
          <w:bCs w:val="0"/>
          <w:noProof/>
          <w:kern w:val="1"/>
          <w:lang w:val="en-GB"/>
        </w:rPr>
        <w:t xml:space="preserve"> </w:t>
      </w:r>
      <w:r w:rsidR="00CC50E5" w:rsidRPr="00CC50E5">
        <w:rPr>
          <w:b w:val="0"/>
          <w:bCs w:val="0"/>
          <w:noProof/>
          <w:kern w:val="1"/>
          <w:lang w:val="en-GB"/>
        </w:rPr>
        <w:t>(Wilkinson et al., 2022)</w:t>
      </w:r>
      <w:r w:rsidR="00CC50E5">
        <w:rPr>
          <w:b w:val="0"/>
          <w:bCs w:val="0"/>
          <w:noProof/>
          <w:kern w:val="1"/>
          <w:lang w:val="en-GB"/>
        </w:rPr>
        <w:t>.</w:t>
      </w:r>
      <w:r w:rsidR="00CC50E5">
        <w:rPr>
          <w:b w:val="0"/>
          <w:bCs w:val="0"/>
          <w:noProof/>
          <w:kern w:val="1"/>
        </w:rPr>
        <w:t xml:space="preserve"> </w:t>
      </w:r>
      <w:r w:rsidR="00CC50E5" w:rsidRPr="00DE3235">
        <w:rPr>
          <w:b w:val="0"/>
          <w:bCs w:val="0"/>
          <w:kern w:val="1"/>
        </w:rPr>
        <w:t xml:space="preserve">Higher levels of depressive and anxious symptoms – </w:t>
      </w:r>
      <w:r w:rsidR="00CC50E5">
        <w:rPr>
          <w:b w:val="0"/>
          <w:bCs w:val="0"/>
          <w:kern w:val="1"/>
        </w:rPr>
        <w:t xml:space="preserve">which can be </w:t>
      </w:r>
      <w:r w:rsidR="00CC50E5" w:rsidRPr="00DE3235">
        <w:rPr>
          <w:b w:val="0"/>
          <w:bCs w:val="0"/>
          <w:kern w:val="1"/>
        </w:rPr>
        <w:t>measured as psychological distress</w:t>
      </w:r>
      <w:r w:rsidR="000A27AD">
        <w:rPr>
          <w:b w:val="0"/>
          <w:bCs w:val="0"/>
          <w:noProof/>
          <w:kern w:val="1"/>
        </w:rPr>
        <w:t xml:space="preserve"> </w:t>
      </w:r>
      <w:r w:rsidR="000A27AD" w:rsidRPr="000A27AD">
        <w:rPr>
          <w:b w:val="0"/>
          <w:bCs w:val="0"/>
          <w:noProof/>
          <w:kern w:val="1"/>
        </w:rPr>
        <w:t>(Kessler et al., 2002)</w:t>
      </w:r>
      <w:r w:rsidR="000A27AD">
        <w:rPr>
          <w:b w:val="0"/>
          <w:bCs w:val="0"/>
          <w:noProof/>
          <w:kern w:val="1"/>
        </w:rPr>
        <w:t xml:space="preserve"> </w:t>
      </w:r>
      <w:r w:rsidR="00CC50E5" w:rsidRPr="00DE3235">
        <w:rPr>
          <w:b w:val="0"/>
          <w:bCs w:val="0"/>
          <w:kern w:val="1"/>
        </w:rPr>
        <w:t>– may therefore contribute to women’s greater prevalence of NSSI.</w:t>
      </w:r>
    </w:p>
    <w:p w14:paraId="52CD8D00" w14:textId="77777777" w:rsidR="00EA0254" w:rsidRPr="009E6776" w:rsidRDefault="007E3EF4" w:rsidP="00EA0254">
      <w:pPr>
        <w:pStyle w:val="Heading2"/>
        <w:tabs>
          <w:tab w:val="left" w:pos="460"/>
        </w:tabs>
        <w:spacing w:line="480" w:lineRule="auto"/>
        <w:ind w:left="0" w:firstLine="0"/>
        <w:contextualSpacing/>
        <w:rPr>
          <w:b w:val="0"/>
          <w:bCs w:val="0"/>
        </w:rPr>
      </w:pPr>
      <w:r>
        <w:rPr>
          <w:b w:val="0"/>
          <w:bCs w:val="0"/>
          <w:kern w:val="1"/>
        </w:rPr>
        <w:lastRenderedPageBreak/>
        <w:tab/>
      </w:r>
      <w:r w:rsidR="00EA0254" w:rsidRPr="009E6776">
        <w:rPr>
          <w:b w:val="0"/>
          <w:bCs w:val="0"/>
          <w:kern w:val="1"/>
        </w:rPr>
        <w:t>S</w:t>
      </w:r>
      <w:r w:rsidR="00EA0254" w:rsidRPr="009E6776">
        <w:rPr>
          <w:b w:val="0"/>
          <w:bCs w:val="0"/>
        </w:rPr>
        <w:t xml:space="preserve">econd, the prevalence gap may be due to differences in how women and men respond to distress. </w:t>
      </w:r>
      <w:r w:rsidR="00EA0254" w:rsidRPr="009E6776">
        <w:rPr>
          <w:rFonts w:eastAsia="Calibri"/>
          <w:b w:val="0"/>
          <w:bCs w:val="0"/>
        </w:rPr>
        <w:t>Emotion regulation encompasses the automatic and purposeful processes of managing emotional responses, including initial awareness and acceptance of emotions</w:t>
      </w:r>
      <w:r>
        <w:rPr>
          <w:rFonts w:eastAsia="Calibri"/>
          <w:b w:val="0"/>
          <w:bCs w:val="0"/>
        </w:rPr>
        <w:t xml:space="preserve">, </w:t>
      </w:r>
      <w:r w:rsidR="00EA0254" w:rsidRPr="009E6776">
        <w:rPr>
          <w:rFonts w:eastAsia="Calibri"/>
          <w:b w:val="0"/>
          <w:bCs w:val="0"/>
        </w:rPr>
        <w:t>the ability to control behavior while experiencing strong emotion</w:t>
      </w:r>
      <w:r>
        <w:rPr>
          <w:rFonts w:eastAsia="Calibri"/>
          <w:b w:val="0"/>
          <w:bCs w:val="0"/>
        </w:rPr>
        <w:t>,</w:t>
      </w:r>
      <w:r w:rsidR="00EA0254" w:rsidRPr="009E6776">
        <w:rPr>
          <w:rFonts w:eastAsia="Calibri"/>
          <w:b w:val="0"/>
          <w:bCs w:val="0"/>
        </w:rPr>
        <w:t xml:space="preserve"> and the use of appropriate emotion modulation strategies </w:t>
      </w:r>
      <w:r w:rsidR="00551B6E" w:rsidRPr="00551B6E">
        <w:rPr>
          <w:rFonts w:eastAsia="Calibri"/>
          <w:b w:val="0"/>
          <w:bCs w:val="0"/>
          <w:noProof/>
        </w:rPr>
        <w:t>(Gratz &amp; Roemer, 2004)</w:t>
      </w:r>
      <w:r w:rsidR="00EA0254" w:rsidRPr="009E6776">
        <w:rPr>
          <w:rFonts w:eastAsia="Calibri"/>
          <w:b w:val="0"/>
          <w:bCs w:val="0"/>
        </w:rPr>
        <w:t xml:space="preserve">. </w:t>
      </w:r>
      <w:r w:rsidR="00325AB5" w:rsidRPr="009E6776">
        <w:rPr>
          <w:rFonts w:eastAsia="Calibri"/>
          <w:b w:val="0"/>
          <w:bCs w:val="0"/>
        </w:rPr>
        <w:t>Difficulties deploying effective emotion regulation strategies place individuals at particularly high risk of using NSSI to manage negative affect, however, each of these facets are significantly</w:t>
      </w:r>
      <w:r w:rsidR="00325AB5" w:rsidRPr="009E6776">
        <w:rPr>
          <w:b w:val="0"/>
          <w:bCs w:val="0"/>
        </w:rPr>
        <w:t xml:space="preserve"> associated with NSSI </w:t>
      </w:r>
      <w:r w:rsidR="00325AB5" w:rsidRPr="009E6776">
        <w:rPr>
          <w:rFonts w:eastAsia="Calibri"/>
          <w:b w:val="0"/>
          <w:bCs w:val="0"/>
          <w:noProof/>
        </w:rPr>
        <w:t>(Wolff et al., 2019)</w:t>
      </w:r>
      <w:r w:rsidR="00325AB5" w:rsidRPr="009E6776">
        <w:rPr>
          <w:rFonts w:eastAsia="Calibri"/>
          <w:b w:val="0"/>
          <w:bCs w:val="0"/>
        </w:rPr>
        <w:t xml:space="preserve">. </w:t>
      </w:r>
      <w:r w:rsidR="00EA0254" w:rsidRPr="009E6776">
        <w:rPr>
          <w:b w:val="0"/>
          <w:bCs w:val="0"/>
        </w:rPr>
        <w:t>Researchers have documented patterns of gender difference</w:t>
      </w:r>
      <w:r w:rsidR="00AA02C3">
        <w:rPr>
          <w:b w:val="0"/>
          <w:bCs w:val="0"/>
        </w:rPr>
        <w:t>s</w:t>
      </w:r>
      <w:r w:rsidR="00EA0254" w:rsidRPr="009E6776">
        <w:rPr>
          <w:b w:val="0"/>
          <w:bCs w:val="0"/>
        </w:rPr>
        <w:t xml:space="preserve"> in emotion regulation processes and theorized that these differences, in turn, underlie gender differences in prevalence rates of many forms of psychopathology </w:t>
      </w:r>
      <w:r w:rsidR="00EA0254" w:rsidRPr="009E6776">
        <w:rPr>
          <w:b w:val="0"/>
          <w:bCs w:val="0"/>
          <w:noProof/>
        </w:rPr>
        <w:t>(Nolen-Hoeksema, 2012)</w:t>
      </w:r>
      <w:r w:rsidR="00EA0254" w:rsidRPr="009E6776">
        <w:rPr>
          <w:b w:val="0"/>
          <w:bCs w:val="0"/>
        </w:rPr>
        <w:t xml:space="preserve">. Women tend to show more awareness and understanding of their emotions and engage in more emotion regulation strategies than men, but paradoxically, this increased attention can result in emotion </w:t>
      </w:r>
      <w:r w:rsidR="00EA0254" w:rsidRPr="009E6776">
        <w:rPr>
          <w:b w:val="0"/>
          <w:bCs w:val="0"/>
          <w:i/>
          <w:iCs/>
        </w:rPr>
        <w:t>dys</w:t>
      </w:r>
      <w:r w:rsidR="00EA0254" w:rsidRPr="009E6776">
        <w:rPr>
          <w:b w:val="0"/>
          <w:bCs w:val="0"/>
        </w:rPr>
        <w:t xml:space="preserve">regulation if their ways of responding prolong and exacerbate negative feelings (e.g. rumination) </w:t>
      </w:r>
      <w:r w:rsidR="00EA0254" w:rsidRPr="009E6776">
        <w:rPr>
          <w:b w:val="0"/>
          <w:bCs w:val="0"/>
          <w:noProof/>
        </w:rPr>
        <w:t>(Nolen-Hoeksema, 2012)</w:t>
      </w:r>
      <w:r w:rsidR="00EA0254" w:rsidRPr="009E6776">
        <w:rPr>
          <w:b w:val="0"/>
          <w:bCs w:val="0"/>
        </w:rPr>
        <w:t xml:space="preserve">. People with high levels of emotion dysregulation are likely to experience their feelings as more intense and uncontrollable and may turn to NSSI to interrupt the “emotional cascade” </w:t>
      </w:r>
      <w:r w:rsidR="00325AB5" w:rsidRPr="009E6776">
        <w:rPr>
          <w:b w:val="0"/>
          <w:bCs w:val="0"/>
          <w:noProof/>
        </w:rPr>
        <w:t>(Nolen-Hoeksema, 2012; Selby et al., 2008)</w:t>
      </w:r>
      <w:r w:rsidR="00EA0254" w:rsidRPr="009E6776">
        <w:rPr>
          <w:b w:val="0"/>
          <w:bCs w:val="0"/>
        </w:rPr>
        <w:t xml:space="preserve">. Women endorse more emotion regulation functions of NSSI than men </w:t>
      </w:r>
      <w:r w:rsidR="00EA0254" w:rsidRPr="009E6776">
        <w:rPr>
          <w:b w:val="0"/>
          <w:bCs w:val="0"/>
          <w:noProof/>
        </w:rPr>
        <w:t>(Victor et al., 2018; Whitlock et al., 2011)</w:t>
      </w:r>
      <w:r w:rsidR="00EA0254" w:rsidRPr="009E6776">
        <w:rPr>
          <w:b w:val="0"/>
          <w:bCs w:val="0"/>
        </w:rPr>
        <w:t xml:space="preserve">, suggesting that greater emotion dysregulation may contribute to women’s high prevalence of NSSI. </w:t>
      </w:r>
    </w:p>
    <w:p w14:paraId="160C05EA" w14:textId="76974625" w:rsidR="003749B1" w:rsidRPr="009E6776" w:rsidRDefault="00EA0254" w:rsidP="00EA0254">
      <w:pPr>
        <w:pStyle w:val="Heading2"/>
        <w:tabs>
          <w:tab w:val="left" w:pos="460"/>
        </w:tabs>
        <w:spacing w:line="480" w:lineRule="auto"/>
        <w:ind w:left="0" w:firstLine="0"/>
        <w:contextualSpacing/>
        <w:rPr>
          <w:b w:val="0"/>
          <w:bCs w:val="0"/>
        </w:rPr>
      </w:pPr>
      <w:r w:rsidRPr="009E6776">
        <w:rPr>
          <w:b w:val="0"/>
          <w:bCs w:val="0"/>
        </w:rPr>
        <w:tab/>
      </w:r>
      <w:r w:rsidR="000A27AD">
        <w:rPr>
          <w:b w:val="0"/>
          <w:bCs w:val="0"/>
          <w:kern w:val="1"/>
        </w:rPr>
        <w:t>Finally</w:t>
      </w:r>
      <w:r w:rsidRPr="009E6776">
        <w:rPr>
          <w:b w:val="0"/>
          <w:bCs w:val="0"/>
          <w:kern w:val="1"/>
        </w:rPr>
        <w:t xml:space="preserve">, since its earliest appearances in the literature, self-injury has been described as “impulsive” </w:t>
      </w:r>
      <w:r w:rsidRPr="009E6776">
        <w:rPr>
          <w:b w:val="0"/>
          <w:bCs w:val="0"/>
          <w:noProof/>
          <w:kern w:val="1"/>
        </w:rPr>
        <w:t>(Burnham, 1969; Favazza &amp; Conterio, 1989)</w:t>
      </w:r>
      <w:r w:rsidRPr="009E6776">
        <w:rPr>
          <w:b w:val="0"/>
          <w:bCs w:val="0"/>
          <w:kern w:val="1"/>
        </w:rPr>
        <w:t xml:space="preserve"> and impulsivity has been central to academic explanations of women’s reasons for self-harming </w:t>
      </w:r>
      <w:r w:rsidRPr="009E6776">
        <w:rPr>
          <w:b w:val="0"/>
          <w:bCs w:val="0"/>
          <w:noProof/>
          <w:kern w:val="1"/>
        </w:rPr>
        <w:t>(Chandler et al., 2011)</w:t>
      </w:r>
      <w:r w:rsidRPr="009E6776">
        <w:rPr>
          <w:b w:val="0"/>
          <w:bCs w:val="0"/>
          <w:kern w:val="1"/>
        </w:rPr>
        <w:t xml:space="preserve">. </w:t>
      </w:r>
      <w:r w:rsidR="003749B1" w:rsidRPr="009E6776">
        <w:rPr>
          <w:b w:val="0"/>
          <w:bCs w:val="0"/>
          <w:kern w:val="1"/>
        </w:rPr>
        <w:t xml:space="preserve">Impulsivity is multifaceted </w:t>
      </w:r>
      <w:r w:rsidR="001D7A90" w:rsidRPr="009E6776">
        <w:rPr>
          <w:b w:val="0"/>
          <w:bCs w:val="0"/>
          <w:noProof/>
          <w:kern w:val="1"/>
        </w:rPr>
        <w:t>(Smith et al., 2007)</w:t>
      </w:r>
      <w:r w:rsidR="001D7A90" w:rsidRPr="009E6776">
        <w:rPr>
          <w:b w:val="0"/>
          <w:bCs w:val="0"/>
          <w:kern w:val="1"/>
        </w:rPr>
        <w:t xml:space="preserve"> and e</w:t>
      </w:r>
      <w:r w:rsidR="003749B1" w:rsidRPr="009E6776">
        <w:rPr>
          <w:b w:val="0"/>
          <w:bCs w:val="0"/>
          <w:kern w:val="1"/>
        </w:rPr>
        <w:t xml:space="preserve">mpirical support for </w:t>
      </w:r>
      <w:r w:rsidRPr="009E6776">
        <w:rPr>
          <w:b w:val="0"/>
          <w:bCs w:val="0"/>
          <w:kern w:val="1"/>
        </w:rPr>
        <w:t>associations between</w:t>
      </w:r>
      <w:r w:rsidR="003749B1" w:rsidRPr="009E6776">
        <w:rPr>
          <w:b w:val="0"/>
          <w:bCs w:val="0"/>
          <w:kern w:val="1"/>
        </w:rPr>
        <w:t xml:space="preserve"> disparate dimensions </w:t>
      </w:r>
      <w:r w:rsidR="000A27AD">
        <w:rPr>
          <w:b w:val="0"/>
          <w:bCs w:val="0"/>
          <w:kern w:val="1"/>
        </w:rPr>
        <w:t xml:space="preserve">of impulsivity </w:t>
      </w:r>
      <w:r w:rsidRPr="009E6776">
        <w:rPr>
          <w:b w:val="0"/>
          <w:bCs w:val="0"/>
          <w:kern w:val="1"/>
        </w:rPr>
        <w:t xml:space="preserve">and </w:t>
      </w:r>
      <w:r w:rsidR="003749B1" w:rsidRPr="009E6776">
        <w:rPr>
          <w:b w:val="0"/>
          <w:bCs w:val="0"/>
          <w:kern w:val="1"/>
        </w:rPr>
        <w:t>NSSI is mixed</w:t>
      </w:r>
      <w:r w:rsidR="000A27AD">
        <w:rPr>
          <w:b w:val="0"/>
          <w:bCs w:val="0"/>
          <w:kern w:val="1"/>
        </w:rPr>
        <w:t>. However,</w:t>
      </w:r>
      <w:r w:rsidR="003749B1" w:rsidRPr="009E6776">
        <w:rPr>
          <w:b w:val="0"/>
          <w:bCs w:val="0"/>
          <w:kern w:val="1"/>
        </w:rPr>
        <w:t xml:space="preserve"> it appears </w:t>
      </w:r>
      <w:r w:rsidR="000A27AD">
        <w:rPr>
          <w:b w:val="0"/>
          <w:bCs w:val="0"/>
          <w:kern w:val="1"/>
        </w:rPr>
        <w:t xml:space="preserve">that </w:t>
      </w:r>
      <w:r w:rsidRPr="009E6776">
        <w:rPr>
          <w:b w:val="0"/>
          <w:bCs w:val="0"/>
          <w:kern w:val="1"/>
        </w:rPr>
        <w:t xml:space="preserve">negative urgency – a </w:t>
      </w:r>
      <w:r w:rsidRPr="009E6776">
        <w:rPr>
          <w:b w:val="0"/>
          <w:bCs w:val="0"/>
          <w:kern w:val="1"/>
        </w:rPr>
        <w:lastRenderedPageBreak/>
        <w:t xml:space="preserve">tendency to act rashly while experiencing negative emotion, </w:t>
      </w:r>
      <w:r w:rsidR="007E3EF4">
        <w:rPr>
          <w:b w:val="0"/>
          <w:bCs w:val="0"/>
          <w:kern w:val="1"/>
        </w:rPr>
        <w:t xml:space="preserve">which is </w:t>
      </w:r>
      <w:r w:rsidRPr="009E6776">
        <w:rPr>
          <w:b w:val="0"/>
          <w:bCs w:val="0"/>
          <w:kern w:val="1"/>
        </w:rPr>
        <w:t>conceptually similar to emotion dysregulation – is</w:t>
      </w:r>
      <w:r w:rsidR="003749B1" w:rsidRPr="009E6776">
        <w:rPr>
          <w:b w:val="0"/>
          <w:bCs w:val="0"/>
          <w:kern w:val="1"/>
        </w:rPr>
        <w:t xml:space="preserve"> especially relevant </w:t>
      </w:r>
      <w:r w:rsidR="000A27AD">
        <w:rPr>
          <w:b w:val="0"/>
          <w:bCs w:val="0"/>
          <w:kern w:val="1"/>
        </w:rPr>
        <w:t xml:space="preserve">to NSSI </w:t>
      </w:r>
      <w:r w:rsidR="00325AB5" w:rsidRPr="009E6776">
        <w:rPr>
          <w:b w:val="0"/>
          <w:bCs w:val="0"/>
          <w:noProof/>
          <w:kern w:val="1"/>
        </w:rPr>
        <w:t>(Lockwood et al., 2017, 2020)</w:t>
      </w:r>
      <w:r w:rsidRPr="009E6776">
        <w:rPr>
          <w:b w:val="0"/>
          <w:bCs w:val="0"/>
          <w:kern w:val="1"/>
        </w:rPr>
        <w:t xml:space="preserve">. </w:t>
      </w:r>
      <w:r w:rsidR="003B3361" w:rsidRPr="009E6776">
        <w:rPr>
          <w:b w:val="0"/>
          <w:bCs w:val="0"/>
          <w:kern w:val="1"/>
        </w:rPr>
        <w:t>Trouble</w:t>
      </w:r>
      <w:r w:rsidR="008F09CC" w:rsidRPr="009E6776">
        <w:rPr>
          <w:b w:val="0"/>
          <w:bCs w:val="0"/>
          <w:kern w:val="1"/>
        </w:rPr>
        <w:t xml:space="preserve"> sticking with difficult tasks</w:t>
      </w:r>
      <w:r w:rsidR="003749B1" w:rsidRPr="009E6776">
        <w:rPr>
          <w:b w:val="0"/>
          <w:bCs w:val="0"/>
          <w:kern w:val="1"/>
        </w:rPr>
        <w:t xml:space="preserve"> and </w:t>
      </w:r>
      <w:r w:rsidR="008F09CC" w:rsidRPr="009E6776">
        <w:rPr>
          <w:b w:val="0"/>
          <w:bCs w:val="0"/>
          <w:kern w:val="1"/>
        </w:rPr>
        <w:t xml:space="preserve">low </w:t>
      </w:r>
      <w:r w:rsidR="003749B1" w:rsidRPr="009E6776">
        <w:rPr>
          <w:b w:val="0"/>
          <w:bCs w:val="0"/>
          <w:kern w:val="1"/>
        </w:rPr>
        <w:t xml:space="preserve">planning </w:t>
      </w:r>
      <w:r w:rsidRPr="009E6776">
        <w:rPr>
          <w:b w:val="0"/>
          <w:bCs w:val="0"/>
          <w:kern w:val="1"/>
        </w:rPr>
        <w:t>may be</w:t>
      </w:r>
      <w:r w:rsidR="003E7794" w:rsidRPr="009E6776">
        <w:rPr>
          <w:b w:val="0"/>
          <w:bCs w:val="0"/>
          <w:kern w:val="1"/>
        </w:rPr>
        <w:t xml:space="preserve"> </w:t>
      </w:r>
      <w:r w:rsidR="003749B1" w:rsidRPr="009E6776">
        <w:rPr>
          <w:b w:val="0"/>
          <w:bCs w:val="0"/>
          <w:kern w:val="1"/>
        </w:rPr>
        <w:t xml:space="preserve">specifically associated with </w:t>
      </w:r>
      <w:r w:rsidR="003E7794" w:rsidRPr="009E6776">
        <w:rPr>
          <w:b w:val="0"/>
          <w:bCs w:val="0"/>
          <w:kern w:val="1"/>
        </w:rPr>
        <w:t xml:space="preserve">recurrent </w:t>
      </w:r>
      <w:r w:rsidR="003749B1" w:rsidRPr="009E6776">
        <w:rPr>
          <w:b w:val="0"/>
          <w:bCs w:val="0"/>
          <w:kern w:val="1"/>
        </w:rPr>
        <w:t>NSSI</w:t>
      </w:r>
      <w:r w:rsidR="003E7794" w:rsidRPr="009E6776">
        <w:rPr>
          <w:b w:val="0"/>
          <w:bCs w:val="0"/>
          <w:kern w:val="1"/>
        </w:rPr>
        <w:t xml:space="preserve"> in those who want to stop</w:t>
      </w:r>
      <w:r w:rsidR="003749B1" w:rsidRPr="009E6776">
        <w:rPr>
          <w:b w:val="0"/>
          <w:bCs w:val="0"/>
          <w:kern w:val="1"/>
        </w:rPr>
        <w:t xml:space="preserve"> </w:t>
      </w:r>
      <w:r w:rsidR="003749B1" w:rsidRPr="009E6776">
        <w:rPr>
          <w:b w:val="0"/>
          <w:bCs w:val="0"/>
          <w:noProof/>
          <w:kern w:val="1"/>
        </w:rPr>
        <w:t>(Lockwood et al., 2017; Riley et al., 2015)</w:t>
      </w:r>
      <w:r w:rsidR="000A27AD">
        <w:rPr>
          <w:b w:val="0"/>
          <w:bCs w:val="0"/>
          <w:kern w:val="1"/>
        </w:rPr>
        <w:t>. C</w:t>
      </w:r>
      <w:r w:rsidR="003E7794" w:rsidRPr="009E6776">
        <w:rPr>
          <w:b w:val="0"/>
          <w:bCs w:val="0"/>
          <w:kern w:val="1"/>
        </w:rPr>
        <w:t xml:space="preserve">essation as a long-term goal requires </w:t>
      </w:r>
      <w:r w:rsidR="003749B1" w:rsidRPr="009E6776">
        <w:rPr>
          <w:b w:val="0"/>
          <w:bCs w:val="0"/>
          <w:kern w:val="1"/>
        </w:rPr>
        <w:t xml:space="preserve">persevering through </w:t>
      </w:r>
      <w:r w:rsidR="008F09CC" w:rsidRPr="009E6776">
        <w:rPr>
          <w:b w:val="0"/>
          <w:bCs w:val="0"/>
          <w:kern w:val="1"/>
        </w:rPr>
        <w:t>unpleasant</w:t>
      </w:r>
      <w:r w:rsidR="003749B1" w:rsidRPr="009E6776">
        <w:rPr>
          <w:b w:val="0"/>
          <w:bCs w:val="0"/>
          <w:kern w:val="1"/>
        </w:rPr>
        <w:t xml:space="preserve"> feelings and</w:t>
      </w:r>
      <w:r w:rsidR="00702862" w:rsidRPr="009E6776">
        <w:rPr>
          <w:b w:val="0"/>
          <w:bCs w:val="0"/>
          <w:kern w:val="1"/>
        </w:rPr>
        <w:t xml:space="preserve"> urges to perform</w:t>
      </w:r>
      <w:r w:rsidR="003749B1" w:rsidRPr="009E6776">
        <w:rPr>
          <w:b w:val="0"/>
          <w:bCs w:val="0"/>
          <w:kern w:val="1"/>
        </w:rPr>
        <w:t xml:space="preserve"> NSSI </w:t>
      </w:r>
      <w:r w:rsidR="00702862" w:rsidRPr="009E6776">
        <w:rPr>
          <w:b w:val="0"/>
          <w:bCs w:val="0"/>
          <w:kern w:val="1"/>
        </w:rPr>
        <w:t>whilst</w:t>
      </w:r>
      <w:r w:rsidR="003749B1" w:rsidRPr="009E6776">
        <w:rPr>
          <w:b w:val="0"/>
          <w:bCs w:val="0"/>
          <w:kern w:val="1"/>
        </w:rPr>
        <w:t xml:space="preserve"> committing to alternative coping strategies. </w:t>
      </w:r>
      <w:r w:rsidRPr="009E6776">
        <w:rPr>
          <w:b w:val="0"/>
          <w:bCs w:val="0"/>
          <w:kern w:val="1"/>
        </w:rPr>
        <w:t xml:space="preserve">Women and men appear to exhibit similar levels of impulsivity across these NSSI-relevant domains </w:t>
      </w:r>
      <w:r w:rsidR="00325AB5" w:rsidRPr="009E6776">
        <w:rPr>
          <w:b w:val="0"/>
          <w:bCs w:val="0"/>
          <w:noProof/>
          <w:kern w:val="1"/>
        </w:rPr>
        <w:t>(Argyriou et al., 2020; Cyders, 2013)</w:t>
      </w:r>
      <w:r w:rsidRPr="009E6776">
        <w:rPr>
          <w:b w:val="0"/>
          <w:bCs w:val="0"/>
          <w:kern w:val="1"/>
        </w:rPr>
        <w:t xml:space="preserve">. However, given gendered assumptions about </w:t>
      </w:r>
      <w:r w:rsidR="000A27AD">
        <w:rPr>
          <w:b w:val="0"/>
          <w:bCs w:val="0"/>
          <w:kern w:val="1"/>
        </w:rPr>
        <w:t>the</w:t>
      </w:r>
      <w:r w:rsidRPr="009E6776">
        <w:rPr>
          <w:b w:val="0"/>
          <w:bCs w:val="0"/>
          <w:kern w:val="1"/>
        </w:rPr>
        <w:t xml:space="preserve"> role </w:t>
      </w:r>
      <w:r w:rsidR="000A27AD">
        <w:rPr>
          <w:b w:val="0"/>
          <w:bCs w:val="0"/>
          <w:kern w:val="1"/>
        </w:rPr>
        <w:t xml:space="preserve">of impulsivity </w:t>
      </w:r>
      <w:r w:rsidRPr="009E6776">
        <w:rPr>
          <w:b w:val="0"/>
          <w:bCs w:val="0"/>
          <w:kern w:val="1"/>
        </w:rPr>
        <w:t xml:space="preserve">in NSSI </w:t>
      </w:r>
      <w:r w:rsidRPr="009E6776">
        <w:rPr>
          <w:b w:val="0"/>
          <w:bCs w:val="0"/>
          <w:noProof/>
          <w:kern w:val="1"/>
        </w:rPr>
        <w:t>(Chandler et al., 2011)</w:t>
      </w:r>
      <w:r w:rsidRPr="009E6776">
        <w:rPr>
          <w:b w:val="0"/>
          <w:bCs w:val="0"/>
          <w:kern w:val="1"/>
        </w:rPr>
        <w:t>, research is needed to clarify whether impulsivity contributes to the</w:t>
      </w:r>
      <w:r w:rsidR="000A27AD">
        <w:rPr>
          <w:b w:val="0"/>
          <w:bCs w:val="0"/>
          <w:kern w:val="1"/>
        </w:rPr>
        <w:t xml:space="preserve"> NSSI</w:t>
      </w:r>
      <w:r w:rsidRPr="009E6776">
        <w:rPr>
          <w:b w:val="0"/>
          <w:bCs w:val="0"/>
          <w:kern w:val="1"/>
        </w:rPr>
        <w:t xml:space="preserve"> prevalence gap.</w:t>
      </w:r>
      <w:r w:rsidR="003749B1" w:rsidRPr="009E6776">
        <w:rPr>
          <w:b w:val="0"/>
          <w:bCs w:val="0"/>
        </w:rPr>
        <w:t xml:space="preserve"> </w:t>
      </w:r>
    </w:p>
    <w:p w14:paraId="7FA96593" w14:textId="650FDE87" w:rsidR="003749B1" w:rsidRPr="009E6776" w:rsidRDefault="003749B1" w:rsidP="00EA0254">
      <w:pPr>
        <w:pStyle w:val="Heading2"/>
        <w:tabs>
          <w:tab w:val="left" w:pos="460"/>
        </w:tabs>
        <w:spacing w:line="480" w:lineRule="auto"/>
        <w:ind w:left="0" w:firstLine="0"/>
        <w:contextualSpacing/>
        <w:rPr>
          <w:b w:val="0"/>
          <w:bCs w:val="0"/>
        </w:rPr>
      </w:pPr>
      <w:r w:rsidRPr="009E6776">
        <w:rPr>
          <w:b w:val="0"/>
          <w:bCs w:val="0"/>
        </w:rPr>
        <w:tab/>
        <w:t xml:space="preserve">In the present </w:t>
      </w:r>
      <w:r w:rsidR="001B7D4D">
        <w:rPr>
          <w:b w:val="0"/>
          <w:bCs w:val="0"/>
        </w:rPr>
        <w:t>study</w:t>
      </w:r>
      <w:r w:rsidRPr="009E6776">
        <w:rPr>
          <w:b w:val="0"/>
          <w:bCs w:val="0"/>
        </w:rPr>
        <w:t xml:space="preserve">, we </w:t>
      </w:r>
      <w:r w:rsidR="00AE76A2" w:rsidRPr="009E6776">
        <w:rPr>
          <w:b w:val="0"/>
          <w:bCs w:val="0"/>
        </w:rPr>
        <w:t>hypothesize</w:t>
      </w:r>
      <w:r w:rsidR="00AC23B5" w:rsidRPr="009E6776">
        <w:rPr>
          <w:b w:val="0"/>
          <w:bCs w:val="0"/>
        </w:rPr>
        <w:t>d</w:t>
      </w:r>
      <w:r w:rsidR="00AE76A2" w:rsidRPr="009E6776">
        <w:rPr>
          <w:b w:val="0"/>
          <w:bCs w:val="0"/>
        </w:rPr>
        <w:t xml:space="preserve"> that past-year NSSI </w:t>
      </w:r>
      <w:r w:rsidR="00AC23B5" w:rsidRPr="009E6776">
        <w:rPr>
          <w:b w:val="0"/>
          <w:bCs w:val="0"/>
        </w:rPr>
        <w:t xml:space="preserve">would </w:t>
      </w:r>
      <w:r w:rsidR="00AE76A2" w:rsidRPr="009E6776">
        <w:rPr>
          <w:b w:val="0"/>
          <w:bCs w:val="0"/>
        </w:rPr>
        <w:t>be more</w:t>
      </w:r>
      <w:r w:rsidR="00865276" w:rsidRPr="009E6776">
        <w:rPr>
          <w:b w:val="0"/>
          <w:bCs w:val="0"/>
        </w:rPr>
        <w:t xml:space="preserve"> common in</w:t>
      </w:r>
      <w:r w:rsidR="00AE76A2" w:rsidRPr="009E6776">
        <w:rPr>
          <w:b w:val="0"/>
          <w:bCs w:val="0"/>
        </w:rPr>
        <w:t xml:space="preserve"> women than men. </w:t>
      </w:r>
      <w:r w:rsidR="00EA0254" w:rsidRPr="009E6776">
        <w:rPr>
          <w:b w:val="0"/>
          <w:bCs w:val="0"/>
        </w:rPr>
        <w:t>Should this</w:t>
      </w:r>
      <w:r w:rsidR="00AE76A2" w:rsidRPr="009E6776">
        <w:rPr>
          <w:b w:val="0"/>
          <w:bCs w:val="0"/>
        </w:rPr>
        <w:t xml:space="preserve"> be the case, we then</w:t>
      </w:r>
      <w:r w:rsidRPr="009E6776">
        <w:rPr>
          <w:b w:val="0"/>
          <w:bCs w:val="0"/>
        </w:rPr>
        <w:t xml:space="preserve"> </w:t>
      </w:r>
      <w:r w:rsidR="00AC23B5" w:rsidRPr="009E6776">
        <w:rPr>
          <w:b w:val="0"/>
          <w:bCs w:val="0"/>
        </w:rPr>
        <w:t xml:space="preserve">planned to test </w:t>
      </w:r>
      <w:r w:rsidRPr="009E6776">
        <w:rPr>
          <w:b w:val="0"/>
          <w:bCs w:val="0"/>
        </w:rPr>
        <w:t>two sets of competing</w:t>
      </w:r>
      <w:r w:rsidR="00156FF9" w:rsidRPr="009E6776">
        <w:rPr>
          <w:b w:val="0"/>
          <w:bCs w:val="0"/>
        </w:rPr>
        <w:t xml:space="preserve"> (</w:t>
      </w:r>
      <w:r w:rsidRPr="009E6776">
        <w:rPr>
          <w:b w:val="0"/>
          <w:bCs w:val="0"/>
        </w:rPr>
        <w:t>though not mutually exclusive</w:t>
      </w:r>
      <w:r w:rsidR="00156FF9" w:rsidRPr="009E6776">
        <w:rPr>
          <w:b w:val="0"/>
          <w:bCs w:val="0"/>
        </w:rPr>
        <w:t>)</w:t>
      </w:r>
      <w:r w:rsidRPr="009E6776">
        <w:rPr>
          <w:b w:val="0"/>
          <w:bCs w:val="0"/>
        </w:rPr>
        <w:t xml:space="preserve"> hypotheses to explain </w:t>
      </w:r>
      <w:r w:rsidR="00AE76A2" w:rsidRPr="009E6776">
        <w:rPr>
          <w:b w:val="0"/>
          <w:bCs w:val="0"/>
        </w:rPr>
        <w:t>the gender gap</w:t>
      </w:r>
      <w:r w:rsidRPr="009E6776">
        <w:rPr>
          <w:b w:val="0"/>
          <w:bCs w:val="0"/>
        </w:rPr>
        <w:t xml:space="preserve">. </w:t>
      </w:r>
      <w:r w:rsidR="00AE76A2" w:rsidRPr="009E6776">
        <w:rPr>
          <w:b w:val="0"/>
          <w:bCs w:val="0"/>
        </w:rPr>
        <w:t>First</w:t>
      </w:r>
      <w:r w:rsidRPr="009E6776">
        <w:rPr>
          <w:b w:val="0"/>
          <w:bCs w:val="0"/>
        </w:rPr>
        <w:t xml:space="preserve">, </w:t>
      </w:r>
      <w:r w:rsidR="00156FF9" w:rsidRPr="009E6776">
        <w:rPr>
          <w:b w:val="0"/>
          <w:bCs w:val="0"/>
        </w:rPr>
        <w:t xml:space="preserve">psychological distress, </w:t>
      </w:r>
      <w:r w:rsidRPr="009E6776">
        <w:rPr>
          <w:b w:val="0"/>
          <w:bCs w:val="0"/>
        </w:rPr>
        <w:t xml:space="preserve">emotion dysregulation, or </w:t>
      </w:r>
      <w:r w:rsidR="00156FF9" w:rsidRPr="009E6776">
        <w:rPr>
          <w:b w:val="0"/>
          <w:bCs w:val="0"/>
        </w:rPr>
        <w:t>impulsivity</w:t>
      </w:r>
      <w:r w:rsidRPr="009E6776">
        <w:rPr>
          <w:b w:val="0"/>
          <w:bCs w:val="0"/>
        </w:rPr>
        <w:t xml:space="preserve"> may </w:t>
      </w:r>
      <w:r w:rsidRPr="009E6776">
        <w:rPr>
          <w:b w:val="0"/>
          <w:bCs w:val="0"/>
          <w:i/>
          <w:iCs/>
        </w:rPr>
        <w:t>mediate</w:t>
      </w:r>
      <w:r w:rsidRPr="009E6776">
        <w:rPr>
          <w:b w:val="0"/>
          <w:bCs w:val="0"/>
        </w:rPr>
        <w:t xml:space="preserve"> the relationship between gender and past-year NSSI; the NSSI gender gap </w:t>
      </w:r>
      <w:r w:rsidR="00156FF9" w:rsidRPr="009E6776">
        <w:rPr>
          <w:b w:val="0"/>
          <w:bCs w:val="0"/>
        </w:rPr>
        <w:t xml:space="preserve">may </w:t>
      </w:r>
      <w:r w:rsidRPr="009E6776">
        <w:rPr>
          <w:b w:val="0"/>
          <w:bCs w:val="0"/>
        </w:rPr>
        <w:t>be accounted for by different levels of these traits in women versus men</w:t>
      </w:r>
      <w:r w:rsidR="00156FF9" w:rsidRPr="009E6776">
        <w:rPr>
          <w:b w:val="0"/>
          <w:bCs w:val="0"/>
        </w:rPr>
        <w:t>.</w:t>
      </w:r>
      <w:r w:rsidR="00AE76A2" w:rsidRPr="009E6776">
        <w:rPr>
          <w:b w:val="0"/>
          <w:bCs w:val="0"/>
        </w:rPr>
        <w:t xml:space="preserve"> Second, gender may </w:t>
      </w:r>
      <w:r w:rsidR="00AE76A2" w:rsidRPr="009E6776">
        <w:rPr>
          <w:b w:val="0"/>
          <w:bCs w:val="0"/>
          <w:i/>
          <w:iCs/>
        </w:rPr>
        <w:t>moderate</w:t>
      </w:r>
      <w:r w:rsidR="00AE76A2" w:rsidRPr="009E6776">
        <w:rPr>
          <w:b w:val="0"/>
          <w:bCs w:val="0"/>
        </w:rPr>
        <w:t xml:space="preserve"> the effects of psychological distress, emotion dysregulation, or impulsivity on past-year NSSI; these traits may be more strongly related to NSSI in women than in men. </w:t>
      </w:r>
      <w:r w:rsidR="00EA0254" w:rsidRPr="00DA5D88">
        <w:rPr>
          <w:b w:val="0"/>
          <w:bCs w:val="0"/>
        </w:rPr>
        <w:t xml:space="preserve">Greater NSSI in women may result from a combination of these effects. </w:t>
      </w:r>
      <w:r w:rsidR="00EA0254" w:rsidRPr="009E6776">
        <w:rPr>
          <w:b w:val="0"/>
          <w:bCs w:val="0"/>
        </w:rPr>
        <w:t xml:space="preserve">Based on evidence that women experience greater levels of distress </w:t>
      </w:r>
      <w:r w:rsidR="00EA0254" w:rsidRPr="009E6776">
        <w:rPr>
          <w:b w:val="0"/>
          <w:bCs w:val="0"/>
          <w:noProof/>
        </w:rPr>
        <w:t>(Salk et al., 2017)</w:t>
      </w:r>
      <w:r w:rsidR="00EA0254" w:rsidRPr="009E6776">
        <w:rPr>
          <w:b w:val="0"/>
          <w:bCs w:val="0"/>
        </w:rPr>
        <w:t xml:space="preserve"> and NSSI is typically a response to distress </w:t>
      </w:r>
      <w:r w:rsidR="00EA0254" w:rsidRPr="009E6776">
        <w:rPr>
          <w:b w:val="0"/>
          <w:bCs w:val="0"/>
          <w:noProof/>
        </w:rPr>
        <w:t>(Edmondson et al., 2016; Lockwood et al., 2020)</w:t>
      </w:r>
      <w:r w:rsidR="00EA0254" w:rsidRPr="009E6776">
        <w:rPr>
          <w:b w:val="0"/>
          <w:bCs w:val="0"/>
        </w:rPr>
        <w:t xml:space="preserve">, </w:t>
      </w:r>
      <w:r w:rsidR="001B7D4D">
        <w:rPr>
          <w:b w:val="0"/>
          <w:bCs w:val="0"/>
        </w:rPr>
        <w:t>our primary hypothesis was</w:t>
      </w:r>
      <w:r w:rsidR="00EA0254" w:rsidRPr="009E6776">
        <w:rPr>
          <w:b w:val="0"/>
          <w:bCs w:val="0"/>
        </w:rPr>
        <w:t xml:space="preserve"> that psychological distress would significantly mediate the association between gender and NSSI</w:t>
      </w:r>
      <w:r w:rsidR="000A27AD">
        <w:rPr>
          <w:b w:val="0"/>
          <w:bCs w:val="0"/>
        </w:rPr>
        <w:t xml:space="preserve">, as recently shown in an adolescent sample </w:t>
      </w:r>
      <w:r w:rsidR="000A27AD" w:rsidRPr="000A27AD">
        <w:rPr>
          <w:b w:val="0"/>
          <w:bCs w:val="0"/>
          <w:noProof/>
        </w:rPr>
        <w:t>(Wilkinson et al., 2022)</w:t>
      </w:r>
      <w:r w:rsidR="00EA0254" w:rsidRPr="009E6776">
        <w:rPr>
          <w:b w:val="0"/>
          <w:bCs w:val="0"/>
        </w:rPr>
        <w:t xml:space="preserve">. The remaining analyses </w:t>
      </w:r>
      <w:r w:rsidR="001B7D4D">
        <w:rPr>
          <w:b w:val="0"/>
          <w:bCs w:val="0"/>
        </w:rPr>
        <w:t xml:space="preserve">in this population sample of young adults </w:t>
      </w:r>
      <w:r w:rsidR="00EA0254" w:rsidRPr="009E6776">
        <w:rPr>
          <w:b w:val="0"/>
          <w:bCs w:val="0"/>
        </w:rPr>
        <w:t xml:space="preserve">were exploratory. </w:t>
      </w:r>
      <w:r w:rsidRPr="009E6776">
        <w:rPr>
          <w:b w:val="0"/>
          <w:bCs w:val="0"/>
        </w:rPr>
        <w:t xml:space="preserve">In addition, we </w:t>
      </w:r>
      <w:r w:rsidR="00EA0254" w:rsidRPr="009E6776">
        <w:rPr>
          <w:b w:val="0"/>
          <w:bCs w:val="0"/>
        </w:rPr>
        <w:t>expected the</w:t>
      </w:r>
      <w:r w:rsidRPr="009E6776">
        <w:rPr>
          <w:b w:val="0"/>
          <w:bCs w:val="0"/>
        </w:rPr>
        <w:t xml:space="preserve"> prevalence of past-year NSSI </w:t>
      </w:r>
      <w:r w:rsidR="00EA0254" w:rsidRPr="009E6776">
        <w:rPr>
          <w:b w:val="0"/>
          <w:bCs w:val="0"/>
        </w:rPr>
        <w:t xml:space="preserve">to </w:t>
      </w:r>
      <w:r w:rsidRPr="009E6776">
        <w:rPr>
          <w:b w:val="0"/>
          <w:bCs w:val="0"/>
        </w:rPr>
        <w:t xml:space="preserve">decrease </w:t>
      </w:r>
      <w:r w:rsidR="00865276" w:rsidRPr="009E6776">
        <w:rPr>
          <w:b w:val="0"/>
          <w:bCs w:val="0"/>
        </w:rPr>
        <w:t>with age</w:t>
      </w:r>
      <w:r w:rsidRPr="009E6776">
        <w:rPr>
          <w:b w:val="0"/>
          <w:bCs w:val="0"/>
        </w:rPr>
        <w:t xml:space="preserve"> </w:t>
      </w:r>
      <w:r w:rsidRPr="009E6776">
        <w:rPr>
          <w:b w:val="0"/>
          <w:bCs w:val="0"/>
          <w:noProof/>
        </w:rPr>
        <w:t xml:space="preserve">(Daukantaitė et al., 2020; </w:t>
      </w:r>
      <w:r w:rsidRPr="009E6776">
        <w:rPr>
          <w:b w:val="0"/>
          <w:bCs w:val="0"/>
          <w:noProof/>
        </w:rPr>
        <w:lastRenderedPageBreak/>
        <w:t>Moran et al., 2012; Plener et al., 2015)</w:t>
      </w:r>
      <w:r w:rsidR="00AE76A2" w:rsidRPr="009E6776">
        <w:rPr>
          <w:b w:val="0"/>
          <w:bCs w:val="0"/>
        </w:rPr>
        <w:t xml:space="preserve">, and </w:t>
      </w:r>
      <w:r w:rsidR="00740B0C" w:rsidRPr="009E6776">
        <w:rPr>
          <w:b w:val="0"/>
          <w:bCs w:val="0"/>
        </w:rPr>
        <w:t xml:space="preserve">we </w:t>
      </w:r>
      <w:r w:rsidR="00AC23B5" w:rsidRPr="009E6776">
        <w:rPr>
          <w:b w:val="0"/>
          <w:bCs w:val="0"/>
        </w:rPr>
        <w:t xml:space="preserve">planned to </w:t>
      </w:r>
      <w:r w:rsidR="00156FF9" w:rsidRPr="009E6776">
        <w:rPr>
          <w:b w:val="0"/>
          <w:bCs w:val="0"/>
        </w:rPr>
        <w:t xml:space="preserve">ascertain whether </w:t>
      </w:r>
      <w:r w:rsidR="00C62D5B" w:rsidRPr="009E6776">
        <w:rPr>
          <w:b w:val="0"/>
          <w:bCs w:val="0"/>
        </w:rPr>
        <w:t xml:space="preserve">age moderates the gender difference in </w:t>
      </w:r>
      <w:r w:rsidR="00156FF9" w:rsidRPr="009E6776">
        <w:rPr>
          <w:b w:val="0"/>
          <w:bCs w:val="0"/>
        </w:rPr>
        <w:t>past-year NSSI prevalence</w:t>
      </w:r>
      <w:r w:rsidR="00EA0254" w:rsidRPr="009E6776">
        <w:rPr>
          <w:b w:val="0"/>
          <w:bCs w:val="0"/>
        </w:rPr>
        <w:t>.</w:t>
      </w:r>
    </w:p>
    <w:p w14:paraId="20AAAA5F" w14:textId="77777777" w:rsidR="008F09CC" w:rsidRPr="009E6776" w:rsidRDefault="008F09CC" w:rsidP="001C0EEE">
      <w:pPr>
        <w:pStyle w:val="Heading2"/>
        <w:tabs>
          <w:tab w:val="left" w:pos="460"/>
        </w:tabs>
        <w:spacing w:line="480" w:lineRule="auto"/>
        <w:ind w:left="0" w:firstLine="0"/>
        <w:contextualSpacing/>
        <w:rPr>
          <w:b w:val="0"/>
          <w:bCs w:val="0"/>
          <w:shd w:val="clear" w:color="auto" w:fill="FFFFFF"/>
        </w:rPr>
      </w:pPr>
    </w:p>
    <w:p w14:paraId="4E56BCA0" w14:textId="77777777" w:rsidR="008F09CC" w:rsidRPr="009E6776" w:rsidRDefault="008F09CC" w:rsidP="001C0EEE">
      <w:pPr>
        <w:pStyle w:val="Heading2"/>
        <w:tabs>
          <w:tab w:val="left" w:pos="460"/>
        </w:tabs>
        <w:spacing w:line="480" w:lineRule="auto"/>
        <w:ind w:left="0" w:firstLine="0"/>
        <w:contextualSpacing/>
        <w:rPr>
          <w:rFonts w:eastAsia="GulimChe"/>
        </w:rPr>
      </w:pPr>
      <w:r w:rsidRPr="009E6776">
        <w:rPr>
          <w:rFonts w:eastAsia="GulimChe"/>
        </w:rPr>
        <w:t>Methods</w:t>
      </w:r>
    </w:p>
    <w:p w14:paraId="708F3637" w14:textId="77777777" w:rsidR="00B11131" w:rsidRPr="009E6776" w:rsidRDefault="008F09CC" w:rsidP="001C0EEE">
      <w:pPr>
        <w:pStyle w:val="Heading2"/>
        <w:tabs>
          <w:tab w:val="left" w:pos="640"/>
        </w:tabs>
        <w:spacing w:before="159" w:line="480" w:lineRule="auto"/>
        <w:ind w:left="0" w:firstLine="0"/>
        <w:contextualSpacing/>
        <w:rPr>
          <w:rFonts w:eastAsia="GulimChe"/>
          <w:i/>
          <w:iCs/>
        </w:rPr>
      </w:pPr>
      <w:r w:rsidRPr="009E6776">
        <w:rPr>
          <w:rFonts w:eastAsia="GulimChe"/>
          <w:i/>
          <w:iCs/>
        </w:rPr>
        <w:t>Participants</w:t>
      </w:r>
    </w:p>
    <w:p w14:paraId="411FD1FE" w14:textId="52ED06E2" w:rsidR="00EA0254" w:rsidRPr="009E6776" w:rsidRDefault="00B11131" w:rsidP="001C0EEE">
      <w:pPr>
        <w:pStyle w:val="Heading2"/>
        <w:tabs>
          <w:tab w:val="left" w:pos="640"/>
        </w:tabs>
        <w:spacing w:before="159" w:line="480" w:lineRule="auto"/>
        <w:ind w:left="0" w:firstLine="0"/>
        <w:contextualSpacing/>
        <w:rPr>
          <w:rFonts w:eastAsia="GulimChe"/>
          <w:b w:val="0"/>
          <w:bCs w:val="0"/>
        </w:rPr>
      </w:pPr>
      <w:r w:rsidRPr="009E6776">
        <w:rPr>
          <w:rFonts w:eastAsia="GulimChe"/>
          <w:b w:val="0"/>
          <w:bCs w:val="0"/>
        </w:rPr>
        <w:tab/>
      </w:r>
      <w:r w:rsidR="00EA0254" w:rsidRPr="009E6776">
        <w:rPr>
          <w:rFonts w:eastAsia="GulimChe"/>
          <w:b w:val="0"/>
          <w:bCs w:val="0"/>
        </w:rPr>
        <w:t xml:space="preserve">Data were collected May-July 2020 as part of a study assessing mental health during the COVID-19 pandemic within the NeuroScience in Psychiatry Network (NSPN) cohort. </w:t>
      </w:r>
      <w:r w:rsidR="008F09CC" w:rsidRPr="009E6776">
        <w:rPr>
          <w:rFonts w:eastAsia="GulimChe"/>
          <w:b w:val="0"/>
          <w:bCs w:val="0"/>
        </w:rPr>
        <w:t>Participants were 996 young adults aged 18 to 33 years</w:t>
      </w:r>
      <w:r w:rsidR="006070EC" w:rsidRPr="009E6776">
        <w:rPr>
          <w:rFonts w:eastAsia="GulimChe"/>
          <w:b w:val="0"/>
          <w:bCs w:val="0"/>
        </w:rPr>
        <w:t xml:space="preserve"> (</w:t>
      </w:r>
      <w:r w:rsidR="006070EC" w:rsidRPr="009E6776">
        <w:rPr>
          <w:rFonts w:eastAsia="GulimChe"/>
          <w:b w:val="0"/>
          <w:bCs w:val="0"/>
          <w:i/>
          <w:iCs/>
        </w:rPr>
        <w:t>M</w:t>
      </w:r>
      <w:r w:rsidR="00EA0254" w:rsidRPr="009E6776">
        <w:rPr>
          <w:rFonts w:eastAsia="GulimChe"/>
          <w:b w:val="0"/>
          <w:bCs w:val="0"/>
          <w:i/>
          <w:iCs/>
        </w:rPr>
        <w:t xml:space="preserve"> </w:t>
      </w:r>
      <w:r w:rsidR="006070EC" w:rsidRPr="009E6776">
        <w:rPr>
          <w:rFonts w:eastAsia="GulimChe"/>
          <w:b w:val="0"/>
          <w:bCs w:val="0"/>
        </w:rPr>
        <w:t>=</w:t>
      </w:r>
      <w:r w:rsidR="00EA0254" w:rsidRPr="009E6776">
        <w:rPr>
          <w:rFonts w:eastAsia="GulimChe"/>
          <w:b w:val="0"/>
          <w:bCs w:val="0"/>
        </w:rPr>
        <w:t xml:space="preserve"> </w:t>
      </w:r>
      <w:r w:rsidR="006070EC" w:rsidRPr="009E6776">
        <w:rPr>
          <w:rFonts w:eastAsia="GulimChe"/>
          <w:b w:val="0"/>
          <w:bCs w:val="0"/>
        </w:rPr>
        <w:t xml:space="preserve">25.54, </w:t>
      </w:r>
      <w:r w:rsidR="006070EC" w:rsidRPr="009E6776">
        <w:rPr>
          <w:rFonts w:eastAsia="GulimChe"/>
          <w:b w:val="0"/>
          <w:bCs w:val="0"/>
          <w:i/>
          <w:iCs/>
        </w:rPr>
        <w:t>SD</w:t>
      </w:r>
      <w:r w:rsidR="00EA0254" w:rsidRPr="009E6776">
        <w:rPr>
          <w:rFonts w:eastAsia="GulimChe"/>
          <w:b w:val="0"/>
          <w:bCs w:val="0"/>
          <w:i/>
          <w:iCs/>
        </w:rPr>
        <w:t xml:space="preserve"> </w:t>
      </w:r>
      <w:r w:rsidR="006070EC" w:rsidRPr="009E6776">
        <w:rPr>
          <w:rFonts w:eastAsia="GulimChe"/>
          <w:b w:val="0"/>
          <w:bCs w:val="0"/>
        </w:rPr>
        <w:t>=</w:t>
      </w:r>
      <w:r w:rsidR="00EA0254" w:rsidRPr="009E6776">
        <w:rPr>
          <w:rFonts w:eastAsia="GulimChe"/>
          <w:b w:val="0"/>
          <w:bCs w:val="0"/>
        </w:rPr>
        <w:t xml:space="preserve"> </w:t>
      </w:r>
      <w:r w:rsidR="006070EC" w:rsidRPr="009E6776">
        <w:rPr>
          <w:rFonts w:eastAsia="GulimChe"/>
          <w:b w:val="0"/>
          <w:bCs w:val="0"/>
        </w:rPr>
        <w:t>3.10)</w:t>
      </w:r>
      <w:r w:rsidR="001B7D4D">
        <w:rPr>
          <w:rFonts w:eastAsia="GulimChe"/>
          <w:b w:val="0"/>
          <w:bCs w:val="0"/>
        </w:rPr>
        <w:t>.</w:t>
      </w:r>
      <w:r w:rsidR="00156FF9" w:rsidRPr="009E6776">
        <w:rPr>
          <w:rFonts w:eastAsia="GulimChe"/>
          <w:b w:val="0"/>
          <w:bCs w:val="0"/>
        </w:rPr>
        <w:t xml:space="preserve"> </w:t>
      </w:r>
      <w:r w:rsidR="001B7D4D">
        <w:rPr>
          <w:rFonts w:eastAsia="GulimChe"/>
          <w:b w:val="0"/>
          <w:bCs w:val="0"/>
        </w:rPr>
        <w:t>I</w:t>
      </w:r>
      <w:r w:rsidR="00EA0254" w:rsidRPr="009E6776">
        <w:rPr>
          <w:rFonts w:eastAsia="GulimChe"/>
          <w:b w:val="0"/>
          <w:bCs w:val="0"/>
        </w:rPr>
        <w:t>n response to the question “What is your gender?”</w:t>
      </w:r>
      <w:r w:rsidR="001B7D4D">
        <w:rPr>
          <w:rFonts w:eastAsia="GulimChe"/>
          <w:b w:val="0"/>
          <w:bCs w:val="0"/>
        </w:rPr>
        <w:t xml:space="preserve">, </w:t>
      </w:r>
      <w:r w:rsidR="007B7277">
        <w:rPr>
          <w:rFonts w:eastAsia="GulimChe"/>
          <w:b w:val="0"/>
          <w:bCs w:val="0"/>
        </w:rPr>
        <w:t>most participants identified as female (</w:t>
      </w:r>
      <w:r w:rsidR="007B7277" w:rsidRPr="00DA5D88">
        <w:rPr>
          <w:rFonts w:eastAsia="GulimChe"/>
          <w:b w:val="0"/>
          <w:bCs w:val="0"/>
          <w:i/>
          <w:iCs/>
        </w:rPr>
        <w:t>n</w:t>
      </w:r>
      <w:r w:rsidR="007B7277">
        <w:rPr>
          <w:rFonts w:eastAsia="GulimChe"/>
          <w:b w:val="0"/>
          <w:bCs w:val="0"/>
        </w:rPr>
        <w:t xml:space="preserve"> = </w:t>
      </w:r>
      <w:r w:rsidR="00C673D9">
        <w:rPr>
          <w:rFonts w:eastAsia="GulimChe"/>
          <w:b w:val="0"/>
          <w:bCs w:val="0"/>
        </w:rPr>
        <w:t>629</w:t>
      </w:r>
      <w:r w:rsidR="007B7277">
        <w:rPr>
          <w:rFonts w:eastAsia="GulimChe"/>
          <w:b w:val="0"/>
          <w:bCs w:val="0"/>
        </w:rPr>
        <w:t xml:space="preserve">, </w:t>
      </w:r>
      <w:r w:rsidR="001B7D4D" w:rsidRPr="009E6776">
        <w:rPr>
          <w:rFonts w:eastAsia="GulimChe"/>
          <w:b w:val="0"/>
          <w:bCs w:val="0"/>
        </w:rPr>
        <w:t>63.15%</w:t>
      </w:r>
      <w:r w:rsidR="00C673D9">
        <w:rPr>
          <w:rFonts w:eastAsia="GulimChe"/>
          <w:b w:val="0"/>
          <w:bCs w:val="0"/>
        </w:rPr>
        <w:t xml:space="preserve">) </w:t>
      </w:r>
      <w:r w:rsidR="007B7277">
        <w:rPr>
          <w:rFonts w:eastAsia="GulimChe"/>
          <w:b w:val="0"/>
          <w:bCs w:val="0"/>
        </w:rPr>
        <w:t>or male (</w:t>
      </w:r>
      <w:r w:rsidR="007B7277" w:rsidRPr="00DA5D88">
        <w:rPr>
          <w:rFonts w:eastAsia="GulimChe"/>
          <w:b w:val="0"/>
          <w:bCs w:val="0"/>
          <w:i/>
          <w:iCs/>
        </w:rPr>
        <w:t>n</w:t>
      </w:r>
      <w:r w:rsidR="007B7277">
        <w:rPr>
          <w:rFonts w:eastAsia="GulimChe"/>
          <w:b w:val="0"/>
          <w:bCs w:val="0"/>
        </w:rPr>
        <w:t xml:space="preserve"> = 360, 36.14%), hereafter referred to as </w:t>
      </w:r>
      <w:r w:rsidR="00746F2A">
        <w:rPr>
          <w:rFonts w:eastAsia="GulimChe"/>
          <w:b w:val="0"/>
          <w:bCs w:val="0"/>
        </w:rPr>
        <w:t>“</w:t>
      </w:r>
      <w:r w:rsidR="007B7277">
        <w:rPr>
          <w:rFonts w:eastAsia="GulimChe"/>
          <w:b w:val="0"/>
          <w:bCs w:val="0"/>
        </w:rPr>
        <w:t>women</w:t>
      </w:r>
      <w:r w:rsidR="00746F2A">
        <w:rPr>
          <w:rFonts w:eastAsia="GulimChe"/>
          <w:b w:val="0"/>
          <w:bCs w:val="0"/>
        </w:rPr>
        <w:t>”</w:t>
      </w:r>
      <w:r w:rsidR="007B7277">
        <w:rPr>
          <w:rFonts w:eastAsia="GulimChe"/>
          <w:b w:val="0"/>
          <w:bCs w:val="0"/>
        </w:rPr>
        <w:t xml:space="preserve"> and </w:t>
      </w:r>
      <w:r w:rsidR="00746F2A">
        <w:rPr>
          <w:rFonts w:eastAsia="GulimChe"/>
          <w:b w:val="0"/>
          <w:bCs w:val="0"/>
        </w:rPr>
        <w:t>“</w:t>
      </w:r>
      <w:r w:rsidR="007B7277">
        <w:rPr>
          <w:rFonts w:eastAsia="GulimChe"/>
          <w:b w:val="0"/>
          <w:bCs w:val="0"/>
        </w:rPr>
        <w:t>men</w:t>
      </w:r>
      <w:r w:rsidR="00746F2A">
        <w:rPr>
          <w:rFonts w:eastAsia="GulimChe"/>
          <w:b w:val="0"/>
          <w:bCs w:val="0"/>
        </w:rPr>
        <w:t>”</w:t>
      </w:r>
      <w:r w:rsidR="007B7277">
        <w:rPr>
          <w:rFonts w:eastAsia="GulimChe"/>
          <w:b w:val="0"/>
          <w:bCs w:val="0"/>
        </w:rPr>
        <w:t xml:space="preserve">. Seven participants reported their gender as “other”. </w:t>
      </w:r>
      <w:r w:rsidR="00865276" w:rsidRPr="009E6776">
        <w:rPr>
          <w:rFonts w:eastAsia="GulimChe"/>
          <w:b w:val="0"/>
          <w:bCs w:val="0"/>
        </w:rPr>
        <w:t>Most participants (71.29%) ha</w:t>
      </w:r>
      <w:r w:rsidR="00746F2A">
        <w:rPr>
          <w:rFonts w:eastAsia="GulimChe"/>
          <w:b w:val="0"/>
          <w:bCs w:val="0"/>
        </w:rPr>
        <w:t>d</w:t>
      </w:r>
      <w:r w:rsidR="00865276" w:rsidRPr="009E6776">
        <w:rPr>
          <w:rFonts w:eastAsia="GulimChe"/>
          <w:b w:val="0"/>
          <w:bCs w:val="0"/>
        </w:rPr>
        <w:t xml:space="preserve"> attained an undergraduate degree, postgraduate degree, or professional qualification. </w:t>
      </w:r>
      <w:r w:rsidR="00865276" w:rsidRPr="009E6776">
        <w:rPr>
          <w:b w:val="0"/>
          <w:bCs w:val="0"/>
        </w:rPr>
        <w:t xml:space="preserve">78.01% reported their ethnicity as white, 9.84% Asian, 3.82% Black, 6.33% mixed or multiple ethnic groups, and 1.41% another ethnicity. These rates are comparable to the baseline </w:t>
      </w:r>
      <w:r w:rsidR="00865276" w:rsidRPr="009E6776">
        <w:rPr>
          <w:rFonts w:eastAsia="GulimChe"/>
          <w:b w:val="0"/>
          <w:bCs w:val="0"/>
        </w:rPr>
        <w:t xml:space="preserve">NSPN cohort, which is broadly representative of ethnicity in the general population of England and Wales </w:t>
      </w:r>
      <w:r w:rsidR="00865276" w:rsidRPr="009E6776">
        <w:rPr>
          <w:rFonts w:eastAsia="GulimChe"/>
          <w:b w:val="0"/>
          <w:bCs w:val="0"/>
          <w:noProof/>
        </w:rPr>
        <w:t>(Kiddle et al., 2018)</w:t>
      </w:r>
      <w:r w:rsidR="00865276" w:rsidRPr="009E6776">
        <w:rPr>
          <w:rFonts w:eastAsia="GulimChe"/>
          <w:b w:val="0"/>
          <w:bCs w:val="0"/>
        </w:rPr>
        <w:t>.</w:t>
      </w:r>
    </w:p>
    <w:p w14:paraId="7CC7DA68" w14:textId="77777777" w:rsidR="00EA0254" w:rsidRPr="009E6776" w:rsidRDefault="00EA0254" w:rsidP="001C0EEE">
      <w:pPr>
        <w:pStyle w:val="Heading2"/>
        <w:tabs>
          <w:tab w:val="left" w:pos="640"/>
        </w:tabs>
        <w:spacing w:before="159" w:line="480" w:lineRule="auto"/>
        <w:ind w:left="0" w:firstLine="0"/>
        <w:contextualSpacing/>
        <w:rPr>
          <w:rFonts w:eastAsia="GulimChe"/>
          <w:b w:val="0"/>
          <w:bCs w:val="0"/>
        </w:rPr>
      </w:pPr>
    </w:p>
    <w:p w14:paraId="1A12BF85" w14:textId="77777777" w:rsidR="00EA0254" w:rsidRPr="00DA5D88" w:rsidRDefault="00EA0254" w:rsidP="001C0EEE">
      <w:pPr>
        <w:pStyle w:val="Heading2"/>
        <w:tabs>
          <w:tab w:val="left" w:pos="640"/>
        </w:tabs>
        <w:spacing w:before="159" w:line="480" w:lineRule="auto"/>
        <w:ind w:left="0" w:firstLine="0"/>
        <w:contextualSpacing/>
        <w:rPr>
          <w:rFonts w:eastAsia="GulimChe"/>
          <w:i/>
          <w:iCs/>
        </w:rPr>
      </w:pPr>
      <w:r w:rsidRPr="00DA5D88">
        <w:rPr>
          <w:rFonts w:eastAsia="GulimChe"/>
          <w:i/>
          <w:iCs/>
        </w:rPr>
        <w:t>Procedure</w:t>
      </w:r>
    </w:p>
    <w:p w14:paraId="5C4A0EFB" w14:textId="25E0E917" w:rsidR="00B11131" w:rsidRPr="009E6776" w:rsidRDefault="00EA0254" w:rsidP="001C0EEE">
      <w:pPr>
        <w:pStyle w:val="Heading2"/>
        <w:tabs>
          <w:tab w:val="left" w:pos="640"/>
        </w:tabs>
        <w:spacing w:before="159" w:line="480" w:lineRule="auto"/>
        <w:ind w:left="0" w:firstLine="0"/>
        <w:contextualSpacing/>
        <w:rPr>
          <w:b w:val="0"/>
          <w:bCs w:val="0"/>
        </w:rPr>
      </w:pPr>
      <w:r w:rsidRPr="009E6776">
        <w:rPr>
          <w:rFonts w:eastAsia="GulimChe"/>
          <w:b w:val="0"/>
          <w:bCs w:val="0"/>
        </w:rPr>
        <w:tab/>
      </w:r>
      <w:r w:rsidR="008F09CC" w:rsidRPr="009E6776">
        <w:rPr>
          <w:rFonts w:eastAsia="GulimChe"/>
          <w:b w:val="0"/>
          <w:bCs w:val="0"/>
        </w:rPr>
        <w:t>The NSPN cohort is a general population sample of 2403 individuals across Cambridgeshire and Greater London</w:t>
      </w:r>
      <w:r w:rsidR="001969B7" w:rsidRPr="009E6776">
        <w:rPr>
          <w:rFonts w:eastAsia="GulimChe"/>
          <w:b w:val="0"/>
          <w:bCs w:val="0"/>
        </w:rPr>
        <w:t xml:space="preserve">, </w:t>
      </w:r>
      <w:r w:rsidR="008F09CC" w:rsidRPr="009E6776">
        <w:rPr>
          <w:rFonts w:eastAsia="GulimChe"/>
          <w:b w:val="0"/>
          <w:bCs w:val="0"/>
        </w:rPr>
        <w:t>age</w:t>
      </w:r>
      <w:r w:rsidR="00156FF9" w:rsidRPr="009E6776">
        <w:rPr>
          <w:rFonts w:eastAsia="GulimChe"/>
          <w:b w:val="0"/>
          <w:bCs w:val="0"/>
        </w:rPr>
        <w:t>d</w:t>
      </w:r>
      <w:r w:rsidR="008F09CC" w:rsidRPr="009E6776">
        <w:rPr>
          <w:rFonts w:eastAsia="GulimChe"/>
          <w:b w:val="0"/>
          <w:bCs w:val="0"/>
        </w:rPr>
        <w:t xml:space="preserve"> 14 to 24 at baseline, established in 2012 to longitudinally investigate both healthy and psychopathological development. NSPN participants were </w:t>
      </w:r>
      <w:r w:rsidR="00444694" w:rsidRPr="009E6776">
        <w:rPr>
          <w:rFonts w:eastAsia="GulimChe"/>
          <w:b w:val="0"/>
          <w:bCs w:val="0"/>
        </w:rPr>
        <w:t xml:space="preserve">originally </w:t>
      </w:r>
      <w:r w:rsidR="008F09CC" w:rsidRPr="009E6776">
        <w:rPr>
          <w:rFonts w:eastAsia="GulimChe"/>
          <w:b w:val="0"/>
          <w:bCs w:val="0"/>
        </w:rPr>
        <w:t>recruited via invitations sent by</w:t>
      </w:r>
      <w:r w:rsidR="00BF4C36" w:rsidRPr="009E6776">
        <w:rPr>
          <w:rFonts w:eastAsia="GulimChe"/>
          <w:b w:val="0"/>
          <w:bCs w:val="0"/>
        </w:rPr>
        <w:t xml:space="preserve"> primary care physicians</w:t>
      </w:r>
      <w:r w:rsidR="008F09CC" w:rsidRPr="009E6776">
        <w:rPr>
          <w:rFonts w:eastAsia="GulimChe"/>
          <w:b w:val="0"/>
          <w:bCs w:val="0"/>
        </w:rPr>
        <w:t xml:space="preserve">, schools and Further Education colleges, and by purposive advertisement. </w:t>
      </w:r>
      <w:r w:rsidR="00444694" w:rsidRPr="009E6776">
        <w:rPr>
          <w:rFonts w:eastAsia="GulimChe"/>
          <w:b w:val="0"/>
          <w:bCs w:val="0"/>
        </w:rPr>
        <w:t>Baseline c</w:t>
      </w:r>
      <w:r w:rsidR="008F09CC" w:rsidRPr="009E6776">
        <w:rPr>
          <w:rFonts w:eastAsia="GulimChe"/>
          <w:b w:val="0"/>
          <w:bCs w:val="0"/>
        </w:rPr>
        <w:t>ohort characteristics</w:t>
      </w:r>
      <w:r w:rsidR="00444694" w:rsidRPr="009E6776">
        <w:rPr>
          <w:rFonts w:eastAsia="GulimChe"/>
          <w:b w:val="0"/>
          <w:bCs w:val="0"/>
        </w:rPr>
        <w:t>, as well as previous follow-up data,</w:t>
      </w:r>
      <w:r w:rsidR="008F09CC" w:rsidRPr="009E6776">
        <w:rPr>
          <w:rFonts w:eastAsia="GulimChe"/>
          <w:b w:val="0"/>
          <w:bCs w:val="0"/>
        </w:rPr>
        <w:t xml:space="preserve"> have been previously described elsewhere</w:t>
      </w:r>
      <w:r w:rsidR="008F09CC" w:rsidRPr="009E6776">
        <w:rPr>
          <w:b w:val="0"/>
          <w:bCs w:val="0"/>
        </w:rPr>
        <w:t xml:space="preserve"> </w:t>
      </w:r>
      <w:r w:rsidR="008F09CC" w:rsidRPr="009E6776">
        <w:rPr>
          <w:rFonts w:eastAsia="GulimChe"/>
          <w:b w:val="0"/>
          <w:bCs w:val="0"/>
          <w:noProof/>
        </w:rPr>
        <w:t>(Kiddle et al., 2018)</w:t>
      </w:r>
      <w:r w:rsidR="008F09CC" w:rsidRPr="009E6776">
        <w:rPr>
          <w:b w:val="0"/>
          <w:bCs w:val="0"/>
        </w:rPr>
        <w:t xml:space="preserve">. </w:t>
      </w:r>
    </w:p>
    <w:p w14:paraId="11597065" w14:textId="338805D4" w:rsidR="00C7425D" w:rsidRPr="009E6776" w:rsidRDefault="00B11131" w:rsidP="001C0EEE">
      <w:pPr>
        <w:pStyle w:val="Heading2"/>
        <w:tabs>
          <w:tab w:val="left" w:pos="640"/>
        </w:tabs>
        <w:spacing w:before="159" w:line="480" w:lineRule="auto"/>
        <w:ind w:left="0" w:firstLine="0"/>
        <w:contextualSpacing/>
        <w:rPr>
          <w:b w:val="0"/>
          <w:bCs w:val="0"/>
        </w:rPr>
      </w:pPr>
      <w:r w:rsidRPr="009E6776">
        <w:rPr>
          <w:b w:val="0"/>
          <w:bCs w:val="0"/>
        </w:rPr>
        <w:lastRenderedPageBreak/>
        <w:tab/>
      </w:r>
      <w:r w:rsidR="003B3361" w:rsidRPr="009E6776">
        <w:rPr>
          <w:b w:val="0"/>
          <w:bCs w:val="0"/>
        </w:rPr>
        <w:t>To recruit</w:t>
      </w:r>
      <w:r w:rsidR="008F09CC" w:rsidRPr="009E6776">
        <w:rPr>
          <w:b w:val="0"/>
          <w:bCs w:val="0"/>
        </w:rPr>
        <w:t xml:space="preserve"> the present</w:t>
      </w:r>
      <w:r w:rsidR="007C5607">
        <w:rPr>
          <w:b w:val="0"/>
          <w:bCs w:val="0"/>
        </w:rPr>
        <w:t xml:space="preserve"> 2020</w:t>
      </w:r>
      <w:r w:rsidR="008F09CC" w:rsidRPr="009E6776">
        <w:rPr>
          <w:b w:val="0"/>
          <w:bCs w:val="0"/>
        </w:rPr>
        <w:t xml:space="preserve"> sample, emails were sent to</w:t>
      </w:r>
      <w:r w:rsidR="00444694" w:rsidRPr="009E6776">
        <w:rPr>
          <w:b w:val="0"/>
          <w:bCs w:val="0"/>
        </w:rPr>
        <w:t xml:space="preserve"> all</w:t>
      </w:r>
      <w:r w:rsidR="008F09CC" w:rsidRPr="009E6776">
        <w:rPr>
          <w:b w:val="0"/>
          <w:bCs w:val="0"/>
        </w:rPr>
        <w:t xml:space="preserve"> 2036 participants who had not withdrawn from NSPN. Responses were received from 1005. An additional 22 participants from a separate NSPN depression cohort were </w:t>
      </w:r>
      <w:r w:rsidR="002638FB" w:rsidRPr="009E6776">
        <w:rPr>
          <w:b w:val="0"/>
          <w:bCs w:val="0"/>
        </w:rPr>
        <w:t>invited</w:t>
      </w:r>
      <w:r w:rsidR="008F09CC" w:rsidRPr="009E6776">
        <w:rPr>
          <w:b w:val="0"/>
          <w:bCs w:val="0"/>
        </w:rPr>
        <w:t xml:space="preserve">, for an initial sample of 1027. Of </w:t>
      </w:r>
      <w:r w:rsidR="00DE6383" w:rsidRPr="009E6776">
        <w:rPr>
          <w:b w:val="0"/>
          <w:bCs w:val="0"/>
        </w:rPr>
        <w:t>the 1027</w:t>
      </w:r>
      <w:r w:rsidR="008F09CC" w:rsidRPr="009E6776">
        <w:rPr>
          <w:b w:val="0"/>
          <w:bCs w:val="0"/>
        </w:rPr>
        <w:t xml:space="preserve">, </w:t>
      </w:r>
      <w:r w:rsidR="00EA0254" w:rsidRPr="009E6776">
        <w:rPr>
          <w:b w:val="0"/>
          <w:bCs w:val="0"/>
        </w:rPr>
        <w:t>six</w:t>
      </w:r>
      <w:r w:rsidR="008F09CC" w:rsidRPr="009E6776">
        <w:rPr>
          <w:b w:val="0"/>
          <w:bCs w:val="0"/>
        </w:rPr>
        <w:t xml:space="preserve"> returned submissions with no responses; </w:t>
      </w:r>
      <w:r w:rsidR="00EA0254" w:rsidRPr="009E6776">
        <w:rPr>
          <w:b w:val="0"/>
          <w:bCs w:val="0"/>
        </w:rPr>
        <w:t>five</w:t>
      </w:r>
      <w:r w:rsidR="008F09CC" w:rsidRPr="009E6776">
        <w:rPr>
          <w:b w:val="0"/>
          <w:bCs w:val="0"/>
        </w:rPr>
        <w:t xml:space="preserve"> </w:t>
      </w:r>
      <w:r w:rsidR="001969B7" w:rsidRPr="009E6776">
        <w:rPr>
          <w:b w:val="0"/>
          <w:bCs w:val="0"/>
        </w:rPr>
        <w:t xml:space="preserve">reported </w:t>
      </w:r>
      <w:r w:rsidR="006E4338" w:rsidRPr="009E6776">
        <w:rPr>
          <w:b w:val="0"/>
          <w:bCs w:val="0"/>
        </w:rPr>
        <w:t xml:space="preserve">an age </w:t>
      </w:r>
      <w:r w:rsidR="001969B7" w:rsidRPr="009E6776">
        <w:rPr>
          <w:b w:val="0"/>
          <w:bCs w:val="0"/>
        </w:rPr>
        <w:t xml:space="preserve">inconsistent with baseline NSPN data, suggesting the survey had been completed by a parent </w:t>
      </w:r>
      <w:r w:rsidR="008F09CC" w:rsidRPr="009E6776">
        <w:rPr>
          <w:b w:val="0"/>
          <w:bCs w:val="0"/>
        </w:rPr>
        <w:t>(</w:t>
      </w:r>
      <w:r w:rsidR="0096080B" w:rsidRPr="009E6776">
        <w:rPr>
          <w:b w:val="0"/>
          <w:bCs w:val="0"/>
        </w:rPr>
        <w:t>i.e.,</w:t>
      </w:r>
      <w:r w:rsidR="008F09CC" w:rsidRPr="009E6776">
        <w:rPr>
          <w:b w:val="0"/>
          <w:bCs w:val="0"/>
        </w:rPr>
        <w:t xml:space="preserve"> participant may have provided their parents’ contact details rather than their own); a further 19 did not respond to the NSSI measure, and </w:t>
      </w:r>
      <w:r w:rsidR="00EA0254" w:rsidRPr="009E6776">
        <w:rPr>
          <w:b w:val="0"/>
          <w:bCs w:val="0"/>
        </w:rPr>
        <w:t>one</w:t>
      </w:r>
      <w:r w:rsidR="008F09CC" w:rsidRPr="009E6776">
        <w:rPr>
          <w:b w:val="0"/>
          <w:bCs w:val="0"/>
        </w:rPr>
        <w:t xml:space="preserve"> did not report age or gender. Th</w:t>
      </w:r>
      <w:r w:rsidR="001969B7" w:rsidRPr="009E6776">
        <w:rPr>
          <w:b w:val="0"/>
          <w:bCs w:val="0"/>
        </w:rPr>
        <w:t xml:space="preserve">us, we </w:t>
      </w:r>
      <w:r w:rsidR="006E4338" w:rsidRPr="009E6776">
        <w:rPr>
          <w:b w:val="0"/>
          <w:bCs w:val="0"/>
        </w:rPr>
        <w:t xml:space="preserve">had </w:t>
      </w:r>
      <w:r w:rsidR="001969B7" w:rsidRPr="009E6776">
        <w:rPr>
          <w:b w:val="0"/>
          <w:bCs w:val="0"/>
        </w:rPr>
        <w:t>a final sample of 996</w:t>
      </w:r>
      <w:r w:rsidR="00EA0254" w:rsidRPr="009E6776">
        <w:rPr>
          <w:b w:val="0"/>
          <w:bCs w:val="0"/>
        </w:rPr>
        <w:t xml:space="preserve"> young adults</w:t>
      </w:r>
      <w:r w:rsidR="001B76FA" w:rsidRPr="009E6776">
        <w:rPr>
          <w:b w:val="0"/>
          <w:bCs w:val="0"/>
        </w:rPr>
        <w:t>, of whom 21 came from the depression cohort</w:t>
      </w:r>
      <w:r w:rsidR="001969B7" w:rsidRPr="009E6776">
        <w:rPr>
          <w:b w:val="0"/>
          <w:bCs w:val="0"/>
        </w:rPr>
        <w:t>.</w:t>
      </w:r>
      <w:r w:rsidR="008F09CC" w:rsidRPr="009E6776">
        <w:rPr>
          <w:b w:val="0"/>
          <w:bCs w:val="0"/>
        </w:rPr>
        <w:t xml:space="preserve"> </w:t>
      </w:r>
      <w:r w:rsidR="00C7425D" w:rsidRPr="009E6776">
        <w:rPr>
          <w:rFonts w:eastAsia="GulimChe"/>
          <w:b w:val="0"/>
          <w:bCs w:val="0"/>
        </w:rPr>
        <w:t xml:space="preserve"> </w:t>
      </w:r>
    </w:p>
    <w:p w14:paraId="2F398724" w14:textId="72A8D823" w:rsidR="00B11131" w:rsidRPr="009E6776" w:rsidRDefault="00B11131" w:rsidP="001C0EEE">
      <w:pPr>
        <w:pStyle w:val="Heading2"/>
        <w:tabs>
          <w:tab w:val="left" w:pos="640"/>
        </w:tabs>
        <w:spacing w:before="159" w:line="480" w:lineRule="auto"/>
        <w:ind w:left="0" w:firstLine="0"/>
        <w:contextualSpacing/>
        <w:rPr>
          <w:b w:val="0"/>
          <w:bCs w:val="0"/>
        </w:rPr>
      </w:pPr>
      <w:r w:rsidRPr="009E6776">
        <w:rPr>
          <w:b w:val="0"/>
          <w:bCs w:val="0"/>
        </w:rPr>
        <w:tab/>
      </w:r>
      <w:r w:rsidR="001969B7" w:rsidRPr="009E6776">
        <w:rPr>
          <w:b w:val="0"/>
          <w:bCs w:val="0"/>
        </w:rPr>
        <w:t xml:space="preserve">Compared to NSPN participants who did not participate in this follow-up, those who did </w:t>
      </w:r>
      <w:r w:rsidR="008F09CC" w:rsidRPr="009E6776">
        <w:rPr>
          <w:b w:val="0"/>
          <w:bCs w:val="0"/>
        </w:rPr>
        <w:t>were significantly older (</w:t>
      </w:r>
      <w:r w:rsidR="008F09CC" w:rsidRPr="009E6776">
        <w:rPr>
          <w:b w:val="0"/>
          <w:bCs w:val="0"/>
          <w:i/>
          <w:iCs/>
        </w:rPr>
        <w:t>p</w:t>
      </w:r>
      <w:r w:rsidR="00EA0254" w:rsidRPr="009E6776">
        <w:rPr>
          <w:b w:val="0"/>
          <w:bCs w:val="0"/>
          <w:i/>
          <w:iCs/>
        </w:rPr>
        <w:t xml:space="preserve"> </w:t>
      </w:r>
      <w:r w:rsidR="008F09CC" w:rsidRPr="009E6776">
        <w:rPr>
          <w:b w:val="0"/>
          <w:bCs w:val="0"/>
        </w:rPr>
        <w:t>=</w:t>
      </w:r>
      <w:r w:rsidR="00EA0254" w:rsidRPr="009E6776">
        <w:rPr>
          <w:b w:val="0"/>
          <w:bCs w:val="0"/>
        </w:rPr>
        <w:t xml:space="preserve"> </w:t>
      </w:r>
      <w:r w:rsidR="008F09CC" w:rsidRPr="009E6776">
        <w:rPr>
          <w:b w:val="0"/>
          <w:bCs w:val="0"/>
        </w:rPr>
        <w:t xml:space="preserve">0.004) and more likely to </w:t>
      </w:r>
      <w:r w:rsidR="00BF4C36" w:rsidRPr="009E6776">
        <w:rPr>
          <w:b w:val="0"/>
          <w:bCs w:val="0"/>
        </w:rPr>
        <w:t xml:space="preserve">identify as </w:t>
      </w:r>
      <w:r w:rsidR="008F09CC" w:rsidRPr="009E6776">
        <w:rPr>
          <w:b w:val="0"/>
          <w:bCs w:val="0"/>
        </w:rPr>
        <w:t>female (</w:t>
      </w:r>
      <w:r w:rsidR="008F09CC" w:rsidRPr="009E6776">
        <w:rPr>
          <w:b w:val="0"/>
          <w:bCs w:val="0"/>
          <w:i/>
          <w:iCs/>
        </w:rPr>
        <w:t>p</w:t>
      </w:r>
      <w:r w:rsidR="00EA0254" w:rsidRPr="009E6776">
        <w:rPr>
          <w:b w:val="0"/>
          <w:bCs w:val="0"/>
          <w:i/>
          <w:iCs/>
        </w:rPr>
        <w:t xml:space="preserve"> </w:t>
      </w:r>
      <w:r w:rsidR="008F09CC" w:rsidRPr="009E6776">
        <w:rPr>
          <w:b w:val="0"/>
          <w:bCs w:val="0"/>
        </w:rPr>
        <w:t>&lt;</w:t>
      </w:r>
      <w:r w:rsidR="00EA0254" w:rsidRPr="009E6776">
        <w:rPr>
          <w:b w:val="0"/>
          <w:bCs w:val="0"/>
        </w:rPr>
        <w:t xml:space="preserve"> </w:t>
      </w:r>
      <w:r w:rsidR="008F09CC" w:rsidRPr="009E6776">
        <w:rPr>
          <w:b w:val="0"/>
          <w:bCs w:val="0"/>
        </w:rPr>
        <w:t xml:space="preserve">0.001). </w:t>
      </w:r>
      <w:r w:rsidR="001969B7" w:rsidRPr="009E6776">
        <w:rPr>
          <w:b w:val="0"/>
          <w:bCs w:val="0"/>
        </w:rPr>
        <w:t>T</w:t>
      </w:r>
      <w:r w:rsidR="008F09CC" w:rsidRPr="009E6776">
        <w:rPr>
          <w:b w:val="0"/>
          <w:bCs w:val="0"/>
        </w:rPr>
        <w:t>here were no differences in ethnicity (</w:t>
      </w:r>
      <w:r w:rsidR="008F09CC" w:rsidRPr="009E6776">
        <w:rPr>
          <w:b w:val="0"/>
          <w:bCs w:val="0"/>
          <w:i/>
          <w:iCs/>
        </w:rPr>
        <w:t>p</w:t>
      </w:r>
      <w:r w:rsidR="00EA0254" w:rsidRPr="009E6776">
        <w:rPr>
          <w:b w:val="0"/>
          <w:bCs w:val="0"/>
          <w:i/>
          <w:iCs/>
        </w:rPr>
        <w:t xml:space="preserve"> </w:t>
      </w:r>
      <w:r w:rsidR="008F09CC" w:rsidRPr="009E6776">
        <w:rPr>
          <w:b w:val="0"/>
          <w:bCs w:val="0"/>
        </w:rPr>
        <w:t>=</w:t>
      </w:r>
      <w:r w:rsidR="00EA0254" w:rsidRPr="009E6776">
        <w:rPr>
          <w:b w:val="0"/>
          <w:bCs w:val="0"/>
        </w:rPr>
        <w:t xml:space="preserve"> </w:t>
      </w:r>
      <w:r w:rsidR="008F09CC" w:rsidRPr="009E6776">
        <w:rPr>
          <w:b w:val="0"/>
          <w:bCs w:val="0"/>
        </w:rPr>
        <w:t>0.53), baseline levels of psychological distress (</w:t>
      </w:r>
      <w:r w:rsidR="008F09CC" w:rsidRPr="009E6776">
        <w:rPr>
          <w:b w:val="0"/>
          <w:bCs w:val="0"/>
          <w:i/>
          <w:iCs/>
        </w:rPr>
        <w:t>p</w:t>
      </w:r>
      <w:r w:rsidR="00EA0254" w:rsidRPr="009E6776">
        <w:rPr>
          <w:b w:val="0"/>
          <w:bCs w:val="0"/>
          <w:i/>
          <w:iCs/>
        </w:rPr>
        <w:t xml:space="preserve"> </w:t>
      </w:r>
      <w:r w:rsidR="008F09CC" w:rsidRPr="009E6776">
        <w:rPr>
          <w:b w:val="0"/>
          <w:bCs w:val="0"/>
        </w:rPr>
        <w:t>=</w:t>
      </w:r>
      <w:r w:rsidR="00EA0254" w:rsidRPr="009E6776">
        <w:rPr>
          <w:b w:val="0"/>
          <w:bCs w:val="0"/>
        </w:rPr>
        <w:t xml:space="preserve"> </w:t>
      </w:r>
      <w:r w:rsidR="008F09CC" w:rsidRPr="009E6776">
        <w:rPr>
          <w:b w:val="0"/>
          <w:bCs w:val="0"/>
        </w:rPr>
        <w:t>0.56), or baseline prevalence of past-year NSSI (</w:t>
      </w:r>
      <w:r w:rsidR="008F09CC" w:rsidRPr="009E6776">
        <w:rPr>
          <w:b w:val="0"/>
          <w:bCs w:val="0"/>
          <w:i/>
          <w:iCs/>
        </w:rPr>
        <w:t>p</w:t>
      </w:r>
      <w:r w:rsidR="00EA0254" w:rsidRPr="009E6776">
        <w:rPr>
          <w:b w:val="0"/>
          <w:bCs w:val="0"/>
          <w:i/>
          <w:iCs/>
        </w:rPr>
        <w:t xml:space="preserve"> </w:t>
      </w:r>
      <w:r w:rsidR="008F09CC" w:rsidRPr="009E6776">
        <w:rPr>
          <w:b w:val="0"/>
          <w:bCs w:val="0"/>
        </w:rPr>
        <w:t>=</w:t>
      </w:r>
      <w:r w:rsidR="00EA0254" w:rsidRPr="009E6776">
        <w:rPr>
          <w:b w:val="0"/>
          <w:bCs w:val="0"/>
        </w:rPr>
        <w:t xml:space="preserve"> </w:t>
      </w:r>
      <w:r w:rsidR="008F09CC" w:rsidRPr="009E6776">
        <w:rPr>
          <w:b w:val="0"/>
          <w:bCs w:val="0"/>
        </w:rPr>
        <w:t>0.09)</w:t>
      </w:r>
      <w:r w:rsidR="001C3ECA" w:rsidRPr="009E6776">
        <w:rPr>
          <w:b w:val="0"/>
          <w:bCs w:val="0"/>
        </w:rPr>
        <w:t>.</w:t>
      </w:r>
      <w:r w:rsidR="00B14AC8" w:rsidRPr="009E6776">
        <w:rPr>
          <w:b w:val="0"/>
          <w:bCs w:val="0"/>
        </w:rPr>
        <w:t xml:space="preserve"> </w:t>
      </w:r>
    </w:p>
    <w:p w14:paraId="4D024F9C" w14:textId="5278A323" w:rsidR="008F09CC" w:rsidRPr="009E6776" w:rsidRDefault="00B11131" w:rsidP="001C0EEE">
      <w:pPr>
        <w:pStyle w:val="Heading2"/>
        <w:tabs>
          <w:tab w:val="left" w:pos="640"/>
        </w:tabs>
        <w:spacing w:before="159" w:line="480" w:lineRule="auto"/>
        <w:ind w:left="0" w:firstLine="0"/>
        <w:contextualSpacing/>
      </w:pPr>
      <w:r w:rsidRPr="009E6776">
        <w:rPr>
          <w:b w:val="0"/>
          <w:bCs w:val="0"/>
        </w:rPr>
        <w:tab/>
      </w:r>
      <w:r w:rsidR="008F09CC" w:rsidRPr="009E6776">
        <w:rPr>
          <w:rFonts w:eastAsia="GulimChe"/>
          <w:b w:val="0"/>
          <w:bCs w:val="0"/>
        </w:rPr>
        <w:t xml:space="preserve">Ethical approval </w:t>
      </w:r>
      <w:r w:rsidR="00444694" w:rsidRPr="009E6776">
        <w:rPr>
          <w:rFonts w:eastAsia="GulimChe"/>
          <w:b w:val="0"/>
          <w:bCs w:val="0"/>
        </w:rPr>
        <w:t xml:space="preserve">for the current study </w:t>
      </w:r>
      <w:r w:rsidR="008F09CC" w:rsidRPr="009E6776">
        <w:rPr>
          <w:rFonts w:eastAsia="GulimChe"/>
          <w:b w:val="0"/>
          <w:bCs w:val="0"/>
        </w:rPr>
        <w:t>was provided by the Cambridge East Research Ethics Committee (</w:t>
      </w:r>
      <w:r w:rsidR="008F09CC" w:rsidRPr="00763737">
        <w:rPr>
          <w:rFonts w:eastAsia="GulimChe"/>
          <w:b w:val="0"/>
          <w:bCs w:val="0"/>
        </w:rPr>
        <w:t>reference number 16/EE/0260</w:t>
      </w:r>
      <w:r w:rsidR="00444694" w:rsidRPr="00763737">
        <w:rPr>
          <w:rFonts w:eastAsia="GulimChe"/>
          <w:b w:val="0"/>
          <w:bCs w:val="0"/>
        </w:rPr>
        <w:t xml:space="preserve">, project: </w:t>
      </w:r>
      <w:r w:rsidR="00763737" w:rsidRPr="00DA5D88">
        <w:rPr>
          <w:b w:val="0"/>
          <w:bCs w:val="0"/>
          <w:i/>
          <w:lang w:val="en-GB"/>
        </w:rPr>
        <w:t>Neuroscience in Psychiatry Network (NSPN) Covid-19 mental wellbeing and impulsivity follow-up study</w:t>
      </w:r>
      <w:r w:rsidR="00444694" w:rsidRPr="00DA5D88">
        <w:rPr>
          <w:rFonts w:eastAsia="GulimChe"/>
          <w:b w:val="0"/>
          <w:bCs w:val="0"/>
          <w:i/>
        </w:rPr>
        <w:t>,</w:t>
      </w:r>
      <w:r w:rsidR="00444694" w:rsidRPr="00763737">
        <w:rPr>
          <w:rFonts w:eastAsia="GulimChe"/>
          <w:b w:val="0"/>
          <w:bCs w:val="0"/>
        </w:rPr>
        <w:t xml:space="preserve"> Chief Investigator SRC</w:t>
      </w:r>
      <w:r w:rsidR="008F09CC" w:rsidRPr="00763737">
        <w:rPr>
          <w:rFonts w:eastAsia="GulimChe"/>
          <w:b w:val="0"/>
          <w:bCs w:val="0"/>
        </w:rPr>
        <w:t>) following the Declaration of</w:t>
      </w:r>
      <w:r w:rsidR="008F09CC" w:rsidRPr="009E6776">
        <w:rPr>
          <w:rFonts w:eastAsia="GulimChe"/>
          <w:b w:val="0"/>
          <w:bCs w:val="0"/>
        </w:rPr>
        <w:t xml:space="preserve"> Helsinki. Participants provided electronic informed consent and were compensated £25. </w:t>
      </w:r>
    </w:p>
    <w:p w14:paraId="6CB50436" w14:textId="77777777" w:rsidR="008F09CC" w:rsidRPr="009E6776" w:rsidRDefault="008F09CC" w:rsidP="001C0EEE">
      <w:pPr>
        <w:pStyle w:val="BodyText"/>
        <w:spacing w:line="480" w:lineRule="auto"/>
        <w:ind w:right="622"/>
        <w:contextualSpacing/>
        <w:rPr>
          <w:rFonts w:eastAsia="GulimChe"/>
        </w:rPr>
      </w:pPr>
    </w:p>
    <w:p w14:paraId="776F8513" w14:textId="77777777" w:rsidR="008F09CC" w:rsidRPr="009E6776" w:rsidRDefault="008F09CC" w:rsidP="001C0EEE">
      <w:pPr>
        <w:pStyle w:val="BodyText"/>
        <w:spacing w:line="480" w:lineRule="auto"/>
        <w:ind w:right="407"/>
        <w:contextualSpacing/>
        <w:rPr>
          <w:rFonts w:eastAsia="GulimChe"/>
          <w:b/>
          <w:bCs/>
          <w:i/>
          <w:iCs/>
        </w:rPr>
      </w:pPr>
      <w:r w:rsidRPr="009E6776">
        <w:rPr>
          <w:rFonts w:eastAsia="GulimChe"/>
          <w:b/>
          <w:bCs/>
          <w:i/>
          <w:iCs/>
        </w:rPr>
        <w:t xml:space="preserve">Materials </w:t>
      </w:r>
    </w:p>
    <w:p w14:paraId="0C5114AE" w14:textId="77777777" w:rsidR="008F09CC" w:rsidRPr="009E6776" w:rsidRDefault="008F09CC" w:rsidP="001C0EEE">
      <w:pPr>
        <w:pStyle w:val="Heading2"/>
        <w:spacing w:line="480" w:lineRule="auto"/>
        <w:ind w:left="0" w:firstLine="0"/>
        <w:contextualSpacing/>
        <w:rPr>
          <w:rFonts w:eastAsia="GulimChe"/>
          <w:b w:val="0"/>
          <w:bCs w:val="0"/>
          <w:i/>
          <w:iCs/>
        </w:rPr>
      </w:pPr>
      <w:r w:rsidRPr="009E6776">
        <w:rPr>
          <w:rFonts w:eastAsia="GulimChe"/>
          <w:b w:val="0"/>
          <w:bCs w:val="0"/>
          <w:i/>
          <w:iCs/>
        </w:rPr>
        <w:t>Drugs, Alcohol and Self-Injury Questionnaire (DASI)</w:t>
      </w:r>
    </w:p>
    <w:p w14:paraId="1D93048C" w14:textId="15E48C6B" w:rsidR="008F09CC" w:rsidRPr="009E6776" w:rsidRDefault="008F09CC" w:rsidP="001C0EEE">
      <w:pPr>
        <w:pStyle w:val="Heading2"/>
        <w:spacing w:line="480" w:lineRule="auto"/>
        <w:ind w:left="0" w:firstLine="720"/>
        <w:contextualSpacing/>
        <w:rPr>
          <w:rFonts w:eastAsia="GulimChe"/>
          <w:b w:val="0"/>
          <w:bCs w:val="0"/>
        </w:rPr>
      </w:pPr>
      <w:r w:rsidRPr="009E6776">
        <w:rPr>
          <w:rFonts w:eastAsia="GulimChe"/>
          <w:b w:val="0"/>
          <w:bCs w:val="0"/>
        </w:rPr>
        <w:t xml:space="preserve">NSSI history was assessed via a yes/no question from the DASI, with established validity and reliability </w:t>
      </w:r>
      <w:r w:rsidR="007E3EF4" w:rsidRPr="007E3EF4">
        <w:rPr>
          <w:rFonts w:eastAsia="GulimChe"/>
          <w:b w:val="0"/>
          <w:bCs w:val="0"/>
          <w:noProof/>
        </w:rPr>
        <w:t>(Wilkinson et al., 2018)</w:t>
      </w:r>
      <w:r w:rsidRPr="009E6776">
        <w:rPr>
          <w:rFonts w:eastAsia="GulimChe"/>
          <w:b w:val="0"/>
          <w:bCs w:val="0"/>
        </w:rPr>
        <w:t>: “</w:t>
      </w:r>
      <w:r w:rsidRPr="009E6776">
        <w:rPr>
          <w:rFonts w:eastAsia="GulimChe"/>
          <w:b w:val="0"/>
          <w:bCs w:val="0"/>
          <w:i/>
          <w:iCs/>
        </w:rPr>
        <w:t xml:space="preserve">Have you ever tried to hurt yourself on purpose without trying to kill yourself? (for example: things like burning, cutting or scratching yourself).” </w:t>
      </w:r>
      <w:r w:rsidR="006E4338" w:rsidRPr="009E6776">
        <w:rPr>
          <w:rFonts w:eastAsia="GulimChe"/>
          <w:b w:val="0"/>
          <w:bCs w:val="0"/>
        </w:rPr>
        <w:lastRenderedPageBreak/>
        <w:t>Participants who</w:t>
      </w:r>
      <w:r w:rsidRPr="009E6776">
        <w:rPr>
          <w:rFonts w:eastAsia="GulimChe"/>
          <w:b w:val="0"/>
          <w:bCs w:val="0"/>
        </w:rPr>
        <w:t xml:space="preserve"> </w:t>
      </w:r>
      <w:r w:rsidR="00325AB5" w:rsidRPr="009E6776">
        <w:rPr>
          <w:rFonts w:eastAsia="GulimChe"/>
          <w:b w:val="0"/>
          <w:bCs w:val="0"/>
        </w:rPr>
        <w:t>responded yes</w:t>
      </w:r>
      <w:r w:rsidR="006E4338" w:rsidRPr="009E6776">
        <w:rPr>
          <w:rFonts w:eastAsia="GulimChe"/>
          <w:b w:val="0"/>
          <w:bCs w:val="0"/>
        </w:rPr>
        <w:t xml:space="preserve"> </w:t>
      </w:r>
      <w:r w:rsidRPr="009E6776">
        <w:rPr>
          <w:rFonts w:eastAsia="GulimChe"/>
          <w:b w:val="0"/>
          <w:bCs w:val="0"/>
        </w:rPr>
        <w:t xml:space="preserve">were then asked how many times they had hurt themselves in the past month, past year, since turning 18, and in their entire life. </w:t>
      </w:r>
      <w:r w:rsidR="00EA0254" w:rsidRPr="00DA5D88">
        <w:rPr>
          <w:rFonts w:eastAsia="GulimChe"/>
          <w:b w:val="0"/>
          <w:bCs w:val="0"/>
        </w:rPr>
        <w:t xml:space="preserve">The past-year NSSI group </w:t>
      </w:r>
      <w:r w:rsidR="009E6776">
        <w:rPr>
          <w:rFonts w:eastAsia="GulimChe"/>
          <w:b w:val="0"/>
          <w:bCs w:val="0"/>
        </w:rPr>
        <w:t>included</w:t>
      </w:r>
      <w:r w:rsidR="00EA0254" w:rsidRPr="00DA5D88">
        <w:rPr>
          <w:rFonts w:eastAsia="GulimChe"/>
          <w:b w:val="0"/>
          <w:bCs w:val="0"/>
        </w:rPr>
        <w:t xml:space="preserve"> participants who reported at least one instance of NSSI within the past month or past year.</w:t>
      </w:r>
    </w:p>
    <w:p w14:paraId="2C221E37" w14:textId="77777777" w:rsidR="008F09CC" w:rsidRPr="009E6776" w:rsidRDefault="008F09CC" w:rsidP="001C0EEE">
      <w:pPr>
        <w:pStyle w:val="Heading2"/>
        <w:spacing w:line="480" w:lineRule="auto"/>
        <w:ind w:left="0" w:firstLine="720"/>
        <w:contextualSpacing/>
        <w:rPr>
          <w:rFonts w:eastAsia="GulimChe"/>
          <w:b w:val="0"/>
          <w:bCs w:val="0"/>
        </w:rPr>
      </w:pPr>
    </w:p>
    <w:p w14:paraId="33EDF607" w14:textId="77777777" w:rsidR="008F09CC" w:rsidRPr="009E6776" w:rsidRDefault="008F09CC" w:rsidP="001C0EEE">
      <w:pPr>
        <w:spacing w:line="480" w:lineRule="auto"/>
        <w:rPr>
          <w:rFonts w:cs="Times New Roman"/>
          <w:i/>
          <w:iCs/>
          <w:lang w:val="en-US"/>
        </w:rPr>
      </w:pPr>
      <w:r w:rsidRPr="009E6776">
        <w:rPr>
          <w:rFonts w:cs="Times New Roman"/>
          <w:i/>
          <w:iCs/>
          <w:lang w:val="en-US"/>
        </w:rPr>
        <w:t>Kessler Psychological Distress Scale (K10)</w:t>
      </w:r>
    </w:p>
    <w:p w14:paraId="4B044069" w14:textId="5CB59253" w:rsidR="008F09CC" w:rsidRPr="009E6776" w:rsidRDefault="008F09CC" w:rsidP="001C0EEE">
      <w:pPr>
        <w:spacing w:line="480" w:lineRule="auto"/>
        <w:rPr>
          <w:rFonts w:cs="Times New Roman"/>
          <w:lang w:val="en-US"/>
        </w:rPr>
      </w:pPr>
      <w:r w:rsidRPr="009E6776">
        <w:rPr>
          <w:rFonts w:cs="Times New Roman"/>
          <w:lang w:val="en-US"/>
        </w:rPr>
        <w:tab/>
      </w:r>
      <w:r w:rsidR="001969B7" w:rsidRPr="009E6776">
        <w:rPr>
          <w:rFonts w:cs="Times New Roman"/>
          <w:lang w:val="en-US"/>
        </w:rPr>
        <w:t>The</w:t>
      </w:r>
      <w:r w:rsidRPr="009E6776">
        <w:rPr>
          <w:rFonts w:cs="Times New Roman"/>
          <w:lang w:val="en-US"/>
        </w:rPr>
        <w:t xml:space="preserve"> K10</w:t>
      </w:r>
      <w:r w:rsidR="001969B7" w:rsidRPr="009E6776">
        <w:rPr>
          <w:rFonts w:cs="Times New Roman"/>
          <w:lang w:val="en-US"/>
        </w:rPr>
        <w:t xml:space="preserve"> </w:t>
      </w:r>
      <w:r w:rsidRPr="009E6776">
        <w:rPr>
          <w:rFonts w:cs="Times New Roman"/>
          <w:lang w:val="en-US"/>
        </w:rPr>
        <w:t>includes ten questions assessing anxious and depressive symptoms (e.g. feeling nervous, hopeless, tired, restless, sad, worthless)</w:t>
      </w:r>
      <w:r w:rsidR="004C5851" w:rsidRPr="009E6776">
        <w:rPr>
          <w:rFonts w:cs="Times New Roman"/>
          <w:lang w:val="en-US"/>
        </w:rPr>
        <w:t xml:space="preserve"> </w:t>
      </w:r>
      <w:r w:rsidRPr="009E6776">
        <w:rPr>
          <w:rFonts w:cs="Times New Roman"/>
          <w:noProof/>
          <w:lang w:val="en-US"/>
        </w:rPr>
        <w:t>(Kessler et al., 2002)</w:t>
      </w:r>
      <w:r w:rsidR="004C5851" w:rsidRPr="009E6776">
        <w:rPr>
          <w:rFonts w:cs="Times New Roman"/>
          <w:lang w:val="en-US"/>
        </w:rPr>
        <w:t xml:space="preserve">. </w:t>
      </w:r>
      <w:r w:rsidR="00A454A7" w:rsidRPr="009E6776">
        <w:rPr>
          <w:rFonts w:cs="Times New Roman"/>
          <w:lang w:val="en-US"/>
        </w:rPr>
        <w:t>Participants reported “how much of the time” they felt this way in the past</w:t>
      </w:r>
      <w:r w:rsidR="004C5851" w:rsidRPr="009E6776">
        <w:rPr>
          <w:rFonts w:cs="Times New Roman"/>
          <w:lang w:val="en-US"/>
        </w:rPr>
        <w:t xml:space="preserve"> month on a five-point scale </w:t>
      </w:r>
      <w:r w:rsidR="00A454A7" w:rsidRPr="009E6776">
        <w:rPr>
          <w:rFonts w:cs="Times New Roman"/>
          <w:lang w:val="en-US"/>
        </w:rPr>
        <w:t>from “none of the time” to “all of the time”</w:t>
      </w:r>
      <w:r w:rsidR="004C5851" w:rsidRPr="009E6776">
        <w:rPr>
          <w:rFonts w:cs="Times New Roman"/>
          <w:lang w:val="en-US"/>
        </w:rPr>
        <w:t>. Higher sum score</w:t>
      </w:r>
      <w:r w:rsidR="00E35E7F">
        <w:rPr>
          <w:rFonts w:cs="Times New Roman"/>
          <w:lang w:val="en-US"/>
        </w:rPr>
        <w:t>s</w:t>
      </w:r>
      <w:r w:rsidR="004C5851" w:rsidRPr="009E6776">
        <w:rPr>
          <w:rFonts w:cs="Times New Roman"/>
          <w:lang w:val="en-US"/>
        </w:rPr>
        <w:t xml:space="preserve"> indicate greater psychological distress and can be used to screen for anxiety and mood diagnoses </w:t>
      </w:r>
      <w:r w:rsidR="004C5851" w:rsidRPr="009E6776">
        <w:rPr>
          <w:rFonts w:cs="Times New Roman"/>
          <w:noProof/>
          <w:lang w:val="en-US"/>
        </w:rPr>
        <w:t>(Kessler et al., 2002)</w:t>
      </w:r>
      <w:r w:rsidR="004C5851" w:rsidRPr="009E6776">
        <w:rPr>
          <w:rFonts w:cs="Times New Roman"/>
          <w:lang w:val="en-US"/>
        </w:rPr>
        <w:t xml:space="preserve">. The K10 </w:t>
      </w:r>
      <w:r w:rsidR="003B3361" w:rsidRPr="009E6776">
        <w:rPr>
          <w:rFonts w:cs="Times New Roman"/>
          <w:lang w:val="en-US"/>
        </w:rPr>
        <w:t>demonstrates consistent psychometric properties across women and men and can therefore be used to compare gender differences</w:t>
      </w:r>
      <w:r w:rsidR="00BA3841" w:rsidRPr="009E6776">
        <w:rPr>
          <w:rFonts w:cs="Times New Roman"/>
          <w:lang w:val="en-US"/>
        </w:rPr>
        <w:t xml:space="preserve"> </w:t>
      </w:r>
      <w:r w:rsidR="004C5851" w:rsidRPr="00DA5D88">
        <w:rPr>
          <w:noProof/>
          <w:lang w:val="en-US"/>
        </w:rPr>
        <w:t>(Baillie, 2005; Kessler et al., 2002)</w:t>
      </w:r>
      <w:r w:rsidRPr="009E6776">
        <w:rPr>
          <w:rFonts w:cs="Times New Roman"/>
          <w:lang w:val="en-US"/>
        </w:rPr>
        <w:t xml:space="preserve">. </w:t>
      </w:r>
      <w:r w:rsidR="00EA0254" w:rsidRPr="009E6776">
        <w:rPr>
          <w:rFonts w:cs="Times New Roman"/>
          <w:lang w:val="en-US"/>
        </w:rPr>
        <w:t xml:space="preserve">Internal consistency in the present sample was </w:t>
      </w:r>
      <w:r w:rsidR="00865276" w:rsidRPr="009E6776">
        <w:rPr>
          <w:rFonts w:cs="Times New Roman"/>
          <w:lang w:val="en-US"/>
        </w:rPr>
        <w:t>high</w:t>
      </w:r>
      <w:r w:rsidR="00EA0254" w:rsidRPr="009E6776">
        <w:rPr>
          <w:rFonts w:cs="Times New Roman"/>
          <w:lang w:val="en-US"/>
        </w:rPr>
        <w:t xml:space="preserve"> (Cronbach’s </w:t>
      </w:r>
      <w:r w:rsidR="00EA0254" w:rsidRPr="00DA5D88">
        <w:rPr>
          <w:rFonts w:cs="Times New Roman"/>
          <w:lang w:val="en-US"/>
        </w:rPr>
        <w:t>α = 0.91)</w:t>
      </w:r>
      <w:r w:rsidR="00EA0254" w:rsidRPr="009E6776">
        <w:rPr>
          <w:rFonts w:cs="Times New Roman"/>
          <w:lang w:val="en-US"/>
        </w:rPr>
        <w:t>.</w:t>
      </w:r>
    </w:p>
    <w:p w14:paraId="7D27DC20" w14:textId="77777777" w:rsidR="008F09CC" w:rsidRPr="009E6776" w:rsidRDefault="008F09CC" w:rsidP="001C0EEE">
      <w:pPr>
        <w:pStyle w:val="BodyText"/>
        <w:spacing w:line="480" w:lineRule="auto"/>
        <w:ind w:right="523"/>
        <w:contextualSpacing/>
        <w:rPr>
          <w:rFonts w:eastAsia="GulimChe"/>
        </w:rPr>
      </w:pPr>
    </w:p>
    <w:p w14:paraId="7D34AB9C" w14:textId="77777777" w:rsidR="008F09CC" w:rsidRPr="009E6776" w:rsidRDefault="008F09CC" w:rsidP="001C0EEE">
      <w:pPr>
        <w:spacing w:line="480" w:lineRule="auto"/>
        <w:rPr>
          <w:rFonts w:cs="Times New Roman"/>
          <w:i/>
          <w:iCs/>
          <w:lang w:val="en-US"/>
        </w:rPr>
      </w:pPr>
      <w:r w:rsidRPr="009E6776">
        <w:rPr>
          <w:rFonts w:cs="Times New Roman"/>
          <w:i/>
          <w:iCs/>
          <w:lang w:val="en-US"/>
        </w:rPr>
        <w:t>Difficulties in Emotion Regulation Scale (DERS)</w:t>
      </w:r>
    </w:p>
    <w:p w14:paraId="68A886C4" w14:textId="7A4CE089" w:rsidR="008F09CC" w:rsidRPr="009E6776" w:rsidRDefault="008F09CC" w:rsidP="001C0EEE">
      <w:pPr>
        <w:spacing w:line="480" w:lineRule="auto"/>
        <w:rPr>
          <w:rFonts w:cs="Times New Roman"/>
          <w:lang w:val="en-US"/>
        </w:rPr>
      </w:pPr>
      <w:r w:rsidRPr="009E6776">
        <w:rPr>
          <w:rFonts w:cs="Times New Roman"/>
          <w:lang w:val="en-US"/>
        </w:rPr>
        <w:tab/>
      </w:r>
      <w:r w:rsidR="00E35E7F">
        <w:rPr>
          <w:rFonts w:cs="Times New Roman"/>
          <w:lang w:val="en-US"/>
        </w:rPr>
        <w:t xml:space="preserve">Participants were presented with statements about how they respond to their emotions (e.g., </w:t>
      </w:r>
      <w:r w:rsidR="00E35E7F">
        <w:rPr>
          <w:rFonts w:cs="Times New Roman"/>
        </w:rPr>
        <w:t>“</w:t>
      </w:r>
      <w:r w:rsidR="00E35E7F">
        <w:rPr>
          <w:rFonts w:cs="Times New Roman"/>
          <w:lang w:eastAsia="en-GB"/>
        </w:rPr>
        <w:t>I am confused about how I feel”</w:t>
      </w:r>
      <w:r w:rsidR="00E35E7F">
        <w:rPr>
          <w:rFonts w:cs="Times New Roman"/>
          <w:lang w:val="en-US"/>
        </w:rPr>
        <w:t>, “</w:t>
      </w:r>
      <w:r w:rsidR="00E35E7F" w:rsidRPr="00796AA0">
        <w:rPr>
          <w:rFonts w:cs="Times New Roman"/>
        </w:rPr>
        <w:t>When I'm upset, I have difficulty concentrating</w:t>
      </w:r>
      <w:r w:rsidR="00E35E7F">
        <w:rPr>
          <w:rFonts w:cs="Times New Roman"/>
        </w:rPr>
        <w:t>”</w:t>
      </w:r>
      <w:r w:rsidR="00E35E7F">
        <w:rPr>
          <w:rFonts w:cs="Times New Roman"/>
          <w:lang w:eastAsia="en-GB"/>
        </w:rPr>
        <w:t>) and reported how much of the time they fe</w:t>
      </w:r>
      <w:r w:rsidR="00203799">
        <w:rPr>
          <w:rFonts w:cs="Times New Roman"/>
          <w:lang w:eastAsia="en-GB"/>
        </w:rPr>
        <w:t>lt</w:t>
      </w:r>
      <w:r w:rsidR="00E35E7F">
        <w:rPr>
          <w:rFonts w:cs="Times New Roman"/>
          <w:lang w:eastAsia="en-GB"/>
        </w:rPr>
        <w:t xml:space="preserve"> that way on a five-point scale from “almost never” to “almost always”.</w:t>
      </w:r>
      <w:r w:rsidR="00E35E7F">
        <w:rPr>
          <w:rFonts w:cs="Times New Roman"/>
          <w:lang w:val="en-US"/>
        </w:rPr>
        <w:t xml:space="preserve"> </w:t>
      </w:r>
      <w:r w:rsidRPr="009E6776">
        <w:rPr>
          <w:rFonts w:cs="Times New Roman"/>
          <w:lang w:val="en-US"/>
        </w:rPr>
        <w:t xml:space="preserve">The </w:t>
      </w:r>
      <w:r w:rsidR="00BA3841" w:rsidRPr="009E6776">
        <w:rPr>
          <w:rFonts w:cs="Times New Roman"/>
          <w:lang w:val="en-US"/>
        </w:rPr>
        <w:t xml:space="preserve">18-item short form </w:t>
      </w:r>
      <w:r w:rsidR="00203799">
        <w:rPr>
          <w:rFonts w:cs="Times New Roman"/>
          <w:lang w:val="en-US"/>
        </w:rPr>
        <w:t xml:space="preserve">used here </w:t>
      </w:r>
      <w:r w:rsidR="00203799" w:rsidRPr="00203799">
        <w:rPr>
          <w:rFonts w:cs="Times New Roman"/>
          <w:noProof/>
          <w:lang w:val="en-US"/>
        </w:rPr>
        <w:t>(Victor &amp; Klonsky, 2016)</w:t>
      </w:r>
      <w:r w:rsidR="00203799">
        <w:rPr>
          <w:rFonts w:cs="Times New Roman"/>
          <w:lang w:val="en-US"/>
        </w:rPr>
        <w:t xml:space="preserve"> </w:t>
      </w:r>
      <w:r w:rsidRPr="009E6776">
        <w:rPr>
          <w:rFonts w:cs="Times New Roman"/>
          <w:lang w:val="en-US"/>
        </w:rPr>
        <w:t xml:space="preserve">generates six sub-scores capturing different components of </w:t>
      </w:r>
      <w:r w:rsidR="00706BC8" w:rsidRPr="009E6776">
        <w:rPr>
          <w:rFonts w:cs="Times New Roman"/>
          <w:lang w:val="en-US"/>
        </w:rPr>
        <w:t>trait</w:t>
      </w:r>
      <w:r w:rsidR="00325AB5" w:rsidRPr="009E6776">
        <w:rPr>
          <w:rFonts w:cs="Times New Roman"/>
          <w:lang w:val="en-US"/>
        </w:rPr>
        <w:t xml:space="preserve"> </w:t>
      </w:r>
      <w:r w:rsidRPr="009E6776">
        <w:rPr>
          <w:rFonts w:cs="Times New Roman"/>
          <w:lang w:val="en-US"/>
        </w:rPr>
        <w:t>emotion dysregulation</w:t>
      </w:r>
      <w:r w:rsidR="00325AB5" w:rsidRPr="009E6776">
        <w:rPr>
          <w:rFonts w:cs="Times New Roman"/>
          <w:lang w:val="en-US"/>
        </w:rPr>
        <w:t xml:space="preserve">: </w:t>
      </w:r>
      <w:r w:rsidR="00325AB5" w:rsidRPr="00DA5D88">
        <w:rPr>
          <w:rFonts w:cs="Times New Roman"/>
          <w:lang w:val="en-US"/>
        </w:rPr>
        <w:t xml:space="preserve">awareness of emotions, clarity about emotions, acceptance of emotions, access to effective emotion regulation strategies, ability to engage in goal-directed behavior while upset, and ability to manage impulses while </w:t>
      </w:r>
      <w:r w:rsidR="00325AB5" w:rsidRPr="00DA5D88">
        <w:rPr>
          <w:rFonts w:cs="Times New Roman"/>
          <w:lang w:val="en-US"/>
        </w:rPr>
        <w:lastRenderedPageBreak/>
        <w:t>upset</w:t>
      </w:r>
      <w:r w:rsidR="003B3361" w:rsidRPr="009E6776">
        <w:rPr>
          <w:rFonts w:cs="Times New Roman"/>
          <w:lang w:val="en-US"/>
        </w:rPr>
        <w:t>.</w:t>
      </w:r>
      <w:r w:rsidR="00203799">
        <w:rPr>
          <w:rFonts w:cs="Times New Roman"/>
          <w:lang w:val="en-US"/>
        </w:rPr>
        <w:t xml:space="preserve"> Higher scores reflect more dysregulation.</w:t>
      </w:r>
      <w:r w:rsidR="003B3361" w:rsidRPr="009E6776">
        <w:rPr>
          <w:rFonts w:cs="Times New Roman"/>
          <w:lang w:val="en-US"/>
        </w:rPr>
        <w:t xml:space="preserve"> </w:t>
      </w:r>
      <w:r w:rsidR="00546B60" w:rsidRPr="009E6776">
        <w:rPr>
          <w:rFonts w:cs="Times New Roman"/>
          <w:lang w:val="en-US"/>
        </w:rPr>
        <w:t>H</w:t>
      </w:r>
      <w:r w:rsidRPr="009E6776">
        <w:rPr>
          <w:rFonts w:cs="Times New Roman"/>
          <w:lang w:val="en-US"/>
        </w:rPr>
        <w:t xml:space="preserve">ere we utilize the DERS total score since all subscales </w:t>
      </w:r>
      <w:r w:rsidR="00203799">
        <w:rPr>
          <w:rFonts w:cs="Times New Roman"/>
          <w:lang w:val="en-US"/>
        </w:rPr>
        <w:t>have been shown to be comparably</w:t>
      </w:r>
      <w:r w:rsidRPr="009E6776">
        <w:rPr>
          <w:rFonts w:cs="Times New Roman"/>
          <w:lang w:val="en-US"/>
        </w:rPr>
        <w:t xml:space="preserve"> associated with NSSI </w:t>
      </w:r>
      <w:r w:rsidRPr="009E6776">
        <w:rPr>
          <w:rFonts w:cs="Times New Roman"/>
          <w:noProof/>
          <w:lang w:val="en-US"/>
        </w:rPr>
        <w:t>(Wolff et al., 2019)</w:t>
      </w:r>
      <w:r w:rsidRPr="009E6776">
        <w:rPr>
          <w:rFonts w:cs="Times New Roman"/>
          <w:lang w:val="en-US"/>
        </w:rPr>
        <w:t xml:space="preserve">. </w:t>
      </w:r>
      <w:r w:rsidR="00BA3841" w:rsidRPr="009E6776">
        <w:rPr>
          <w:rFonts w:cs="Times New Roman"/>
          <w:lang w:val="en-US"/>
        </w:rPr>
        <w:t xml:space="preserve">The DERS demonstrates strong psychometric properties </w:t>
      </w:r>
      <w:r w:rsidR="00325AB5" w:rsidRPr="00DA5D88">
        <w:rPr>
          <w:rFonts w:cs="Times New Roman"/>
          <w:noProof/>
          <w:lang w:val="en-US"/>
        </w:rPr>
        <w:t>(Victor &amp; Klonsky, 2016)</w:t>
      </w:r>
      <w:r w:rsidR="00BA3841" w:rsidRPr="009E6776">
        <w:rPr>
          <w:rFonts w:cs="Times New Roman"/>
          <w:lang w:val="en-US"/>
        </w:rPr>
        <w:t xml:space="preserve"> and measurement invariance across men and women </w:t>
      </w:r>
      <w:r w:rsidR="00BA3841" w:rsidRPr="009E6776">
        <w:rPr>
          <w:rFonts w:cs="Times New Roman"/>
          <w:noProof/>
          <w:lang w:val="en-US"/>
        </w:rPr>
        <w:t>(Ritschel et al., 2015)</w:t>
      </w:r>
      <w:r w:rsidR="00BA3841" w:rsidRPr="009E6776">
        <w:rPr>
          <w:rFonts w:cs="Times New Roman"/>
          <w:lang w:val="en-US"/>
        </w:rPr>
        <w:t>.</w:t>
      </w:r>
      <w:r w:rsidR="00EA0254" w:rsidRPr="009E6776">
        <w:rPr>
          <w:rFonts w:cs="Times New Roman"/>
          <w:lang w:val="en-US"/>
        </w:rPr>
        <w:t xml:space="preserve"> Internal consistency of the DERS total score </w:t>
      </w:r>
      <w:r w:rsidR="00325AB5" w:rsidRPr="009E6776">
        <w:rPr>
          <w:rFonts w:cs="Times New Roman"/>
          <w:lang w:val="en-US"/>
        </w:rPr>
        <w:t xml:space="preserve">in the present sample </w:t>
      </w:r>
      <w:r w:rsidR="00EA0254" w:rsidRPr="009E6776">
        <w:rPr>
          <w:rFonts w:cs="Times New Roman"/>
          <w:lang w:val="en-US"/>
        </w:rPr>
        <w:t xml:space="preserve">was </w:t>
      </w:r>
      <w:r w:rsidR="00865276" w:rsidRPr="009E6776">
        <w:rPr>
          <w:rFonts w:cs="Times New Roman"/>
          <w:lang w:val="en-US"/>
        </w:rPr>
        <w:t>high</w:t>
      </w:r>
      <w:r w:rsidR="00EA0254" w:rsidRPr="009E6776">
        <w:rPr>
          <w:rFonts w:cs="Times New Roman"/>
          <w:lang w:val="en-US"/>
        </w:rPr>
        <w:t xml:space="preserve"> (Cronbach’s </w:t>
      </w:r>
      <w:r w:rsidR="00EA0254" w:rsidRPr="00DA5D88">
        <w:rPr>
          <w:rFonts w:cs="Times New Roman"/>
          <w:lang w:val="en-US"/>
        </w:rPr>
        <w:t>α = 0.91)</w:t>
      </w:r>
      <w:r w:rsidR="00EA0254" w:rsidRPr="009E6776">
        <w:rPr>
          <w:rFonts w:cs="Times New Roman"/>
          <w:lang w:val="en-US"/>
        </w:rPr>
        <w:t>.</w:t>
      </w:r>
    </w:p>
    <w:p w14:paraId="2446FA3A" w14:textId="77777777" w:rsidR="008F09CC" w:rsidRPr="009E6776" w:rsidRDefault="008F09CC" w:rsidP="001C0EEE">
      <w:pPr>
        <w:pStyle w:val="BodyText"/>
        <w:spacing w:line="480" w:lineRule="auto"/>
        <w:ind w:right="523"/>
        <w:contextualSpacing/>
        <w:rPr>
          <w:rFonts w:eastAsia="GulimChe"/>
        </w:rPr>
      </w:pPr>
    </w:p>
    <w:p w14:paraId="51FA418F" w14:textId="77777777" w:rsidR="008F09CC" w:rsidRPr="009E6776" w:rsidRDefault="008F09CC" w:rsidP="001C0EEE">
      <w:pPr>
        <w:pStyle w:val="BodyText"/>
        <w:spacing w:line="480" w:lineRule="auto"/>
        <w:ind w:right="523"/>
        <w:contextualSpacing/>
        <w:rPr>
          <w:rFonts w:eastAsia="GulimChe"/>
          <w:i/>
          <w:iCs/>
        </w:rPr>
      </w:pPr>
      <w:r w:rsidRPr="009E6776">
        <w:rPr>
          <w:rFonts w:eastAsia="GulimChe"/>
          <w:i/>
          <w:iCs/>
        </w:rPr>
        <w:t>UPPS-P</w:t>
      </w:r>
      <w:r w:rsidR="00203799">
        <w:rPr>
          <w:rFonts w:eastAsia="GulimChe"/>
          <w:i/>
          <w:iCs/>
        </w:rPr>
        <w:t xml:space="preserve"> Impulsive Behavior Scale</w:t>
      </w:r>
    </w:p>
    <w:p w14:paraId="08B1F786" w14:textId="582EACE4" w:rsidR="008F09CC" w:rsidRPr="009E6776" w:rsidRDefault="008F09CC" w:rsidP="001C0EEE">
      <w:pPr>
        <w:spacing w:line="480" w:lineRule="auto"/>
        <w:rPr>
          <w:rFonts w:cs="Times New Roman"/>
          <w:lang w:val="en-US"/>
        </w:rPr>
      </w:pPr>
      <w:r w:rsidRPr="009E6776">
        <w:rPr>
          <w:rFonts w:cs="Times New Roman"/>
          <w:lang w:val="en-US"/>
        </w:rPr>
        <w:tab/>
      </w:r>
      <w:r w:rsidR="00E35E7F">
        <w:rPr>
          <w:rFonts w:cs="Times New Roman"/>
          <w:lang w:val="en-US"/>
        </w:rPr>
        <w:t xml:space="preserve">Participants were presented with statements about how they act and think (e.g., “I finish what I start”, “I quite enjoy taking risks”) and indicated how much they agreed with each statement on a four-point scale from “agree strongly” to “disagree strongly” </w:t>
      </w:r>
      <w:r w:rsidR="00E35E7F" w:rsidRPr="009E6776">
        <w:rPr>
          <w:rFonts w:cs="Times New Roman"/>
          <w:noProof/>
          <w:lang w:val="en-US"/>
        </w:rPr>
        <w:t>(Cyders et al., 2014)</w:t>
      </w:r>
      <w:r w:rsidR="00E35E7F">
        <w:rPr>
          <w:rFonts w:cs="Times New Roman"/>
          <w:lang w:val="en-US"/>
        </w:rPr>
        <w:t xml:space="preserve">. </w:t>
      </w:r>
      <w:r w:rsidR="00BA3841" w:rsidRPr="009E6776">
        <w:rPr>
          <w:rFonts w:cs="Times New Roman"/>
          <w:lang w:val="en-US"/>
        </w:rPr>
        <w:t>T</w:t>
      </w:r>
      <w:r w:rsidRPr="009E6776">
        <w:rPr>
          <w:rFonts w:cs="Times New Roman"/>
          <w:lang w:val="en-US"/>
        </w:rPr>
        <w:t>he 20-item short form</w:t>
      </w:r>
      <w:r w:rsidR="00203799">
        <w:rPr>
          <w:rFonts w:cs="Times New Roman"/>
          <w:lang w:val="en-US"/>
        </w:rPr>
        <w:t xml:space="preserve"> used here</w:t>
      </w:r>
      <w:r w:rsidRPr="009E6776">
        <w:rPr>
          <w:rFonts w:cs="Times New Roman"/>
          <w:lang w:val="en-US"/>
        </w:rPr>
        <w:t xml:space="preserve"> contains five </w:t>
      </w:r>
      <w:r w:rsidR="00706BC8" w:rsidRPr="009E6776">
        <w:rPr>
          <w:rFonts w:cs="Times New Roman"/>
          <w:lang w:val="en-US"/>
        </w:rPr>
        <w:t xml:space="preserve">trait </w:t>
      </w:r>
      <w:r w:rsidR="00BA3841" w:rsidRPr="009E6776">
        <w:rPr>
          <w:rFonts w:cs="Times New Roman"/>
          <w:lang w:val="en-US"/>
        </w:rPr>
        <w:t xml:space="preserve">impulsive </w:t>
      </w:r>
      <w:r w:rsidRPr="009E6776">
        <w:rPr>
          <w:rFonts w:cs="Times New Roman"/>
          <w:lang w:val="en-US"/>
        </w:rPr>
        <w:t xml:space="preserve">subscales: </w:t>
      </w:r>
      <w:r w:rsidRPr="009E6776">
        <w:rPr>
          <w:rFonts w:cs="Times New Roman"/>
          <w:i/>
          <w:iCs/>
          <w:lang w:val="en-US"/>
        </w:rPr>
        <w:t>Negative Urgency</w:t>
      </w:r>
      <w:r w:rsidRPr="009E6776">
        <w:rPr>
          <w:rFonts w:cs="Times New Roman"/>
          <w:lang w:val="en-US"/>
        </w:rPr>
        <w:t>, the tendency to react rashly to negative emotions</w:t>
      </w:r>
      <w:r w:rsidRPr="009E6776">
        <w:rPr>
          <w:rFonts w:cs="Times New Roman"/>
          <w:i/>
          <w:iCs/>
          <w:lang w:val="en-US"/>
        </w:rPr>
        <w:t>; Lack of Perseverance</w:t>
      </w:r>
      <w:r w:rsidRPr="009E6776">
        <w:rPr>
          <w:rFonts w:cs="Times New Roman"/>
          <w:lang w:val="en-US"/>
        </w:rPr>
        <w:t>, a difficult</w:t>
      </w:r>
      <w:r w:rsidR="003B3361" w:rsidRPr="009E6776">
        <w:rPr>
          <w:rFonts w:cs="Times New Roman"/>
          <w:lang w:val="en-US"/>
        </w:rPr>
        <w:t xml:space="preserve">y </w:t>
      </w:r>
      <w:r w:rsidRPr="009E6776">
        <w:rPr>
          <w:rFonts w:cs="Times New Roman"/>
          <w:lang w:val="en-US"/>
        </w:rPr>
        <w:t xml:space="preserve">seeing thing through to the end; </w:t>
      </w:r>
      <w:r w:rsidRPr="009E6776">
        <w:rPr>
          <w:rFonts w:cs="Times New Roman"/>
          <w:i/>
          <w:iCs/>
          <w:lang w:val="en-US"/>
        </w:rPr>
        <w:t>Lack of Premeditation</w:t>
      </w:r>
      <w:r w:rsidRPr="009E6776">
        <w:rPr>
          <w:rFonts w:cs="Times New Roman"/>
          <w:lang w:val="en-US"/>
        </w:rPr>
        <w:t xml:space="preserve">, the tendency to act without thinking; </w:t>
      </w:r>
      <w:r w:rsidRPr="009E6776">
        <w:rPr>
          <w:rFonts w:cs="Times New Roman"/>
          <w:i/>
          <w:iCs/>
          <w:lang w:val="en-US"/>
        </w:rPr>
        <w:t>Sensation Seeking</w:t>
      </w:r>
      <w:r w:rsidRPr="009E6776">
        <w:rPr>
          <w:rFonts w:cs="Times New Roman"/>
          <w:lang w:val="en-US"/>
        </w:rPr>
        <w:t xml:space="preserve">, the tendency to pursue novel and thrilling experiences; and </w:t>
      </w:r>
      <w:r w:rsidRPr="009E6776">
        <w:rPr>
          <w:rFonts w:cs="Times New Roman"/>
          <w:i/>
          <w:iCs/>
          <w:lang w:val="en-US"/>
        </w:rPr>
        <w:t>Positive Urgency</w:t>
      </w:r>
      <w:r w:rsidRPr="009E6776">
        <w:rPr>
          <w:rFonts w:cs="Times New Roman"/>
          <w:lang w:val="en-US"/>
        </w:rPr>
        <w:t xml:space="preserve">, the tendency to react rashly to positive emotions. The UPPS-P demonstrates good construct validity </w:t>
      </w:r>
      <w:r w:rsidR="00E63D3D" w:rsidRPr="009E6776">
        <w:rPr>
          <w:rFonts w:cs="Times New Roman"/>
          <w:noProof/>
          <w:lang w:val="en-US"/>
        </w:rPr>
        <w:t>(Smith et al., 2007)</w:t>
      </w:r>
      <w:r w:rsidRPr="009E6776">
        <w:rPr>
          <w:rFonts w:cs="Times New Roman"/>
          <w:lang w:val="en-US"/>
        </w:rPr>
        <w:t xml:space="preserve"> </w:t>
      </w:r>
      <w:r w:rsidR="006E4338" w:rsidRPr="009E6776">
        <w:rPr>
          <w:rFonts w:cs="Times New Roman"/>
          <w:lang w:val="en-US"/>
        </w:rPr>
        <w:t>and</w:t>
      </w:r>
      <w:r w:rsidRPr="009E6776">
        <w:rPr>
          <w:rFonts w:cs="Times New Roman"/>
          <w:lang w:val="en-US"/>
        </w:rPr>
        <w:t xml:space="preserve"> measurement invariance across men and women </w:t>
      </w:r>
      <w:r w:rsidRPr="009E6776">
        <w:rPr>
          <w:rFonts w:cs="Times New Roman"/>
          <w:noProof/>
          <w:lang w:val="en-US"/>
        </w:rPr>
        <w:t>(Cyders, 2013)</w:t>
      </w:r>
      <w:r w:rsidRPr="009E6776">
        <w:rPr>
          <w:rFonts w:cs="Times New Roman"/>
          <w:lang w:val="en-US"/>
        </w:rPr>
        <w:t xml:space="preserve">. </w:t>
      </w:r>
      <w:r w:rsidR="00865276" w:rsidRPr="009E6776">
        <w:rPr>
          <w:rFonts w:cs="Times New Roman"/>
          <w:lang w:val="en-US"/>
        </w:rPr>
        <w:t>I</w:t>
      </w:r>
      <w:r w:rsidR="00EA0254" w:rsidRPr="009E6776">
        <w:rPr>
          <w:rFonts w:cs="Times New Roman"/>
          <w:lang w:val="en-US"/>
        </w:rPr>
        <w:t xml:space="preserve">nternal consistencies of the five subscales were acceptable or good (Cronbach’s </w:t>
      </w:r>
      <w:r w:rsidR="00EA0254" w:rsidRPr="00DA5D88">
        <w:rPr>
          <w:rFonts w:cs="Times New Roman"/>
          <w:lang w:val="en-US"/>
        </w:rPr>
        <w:t>α, Negative Urgency = 0.79, Lack of Perseverance = 0.68, Lack of Premeditation = 0.77, Sensation Seeking = 0.69, Positive Urgency = 0.81).</w:t>
      </w:r>
    </w:p>
    <w:p w14:paraId="2E718AB9" w14:textId="77777777" w:rsidR="008F09CC" w:rsidRPr="009E6776" w:rsidRDefault="008F09CC" w:rsidP="001C0EEE">
      <w:pPr>
        <w:pStyle w:val="BodyText"/>
        <w:spacing w:line="480" w:lineRule="auto"/>
        <w:ind w:right="523"/>
        <w:contextualSpacing/>
        <w:rPr>
          <w:rFonts w:eastAsia="GulimChe"/>
        </w:rPr>
      </w:pPr>
    </w:p>
    <w:p w14:paraId="54E3BA24" w14:textId="77777777" w:rsidR="008F09CC" w:rsidRPr="009E6776" w:rsidRDefault="008F09CC" w:rsidP="001C0EEE">
      <w:pPr>
        <w:pStyle w:val="BodyText"/>
        <w:spacing w:line="480" w:lineRule="auto"/>
        <w:ind w:right="523"/>
        <w:contextualSpacing/>
        <w:rPr>
          <w:rFonts w:eastAsia="GulimChe"/>
          <w:b/>
          <w:bCs/>
          <w:i/>
          <w:iCs/>
        </w:rPr>
      </w:pPr>
      <w:r w:rsidRPr="009E6776">
        <w:rPr>
          <w:rFonts w:eastAsia="GulimChe"/>
          <w:b/>
          <w:bCs/>
          <w:i/>
          <w:iCs/>
        </w:rPr>
        <w:t>Statistical Analysis</w:t>
      </w:r>
    </w:p>
    <w:p w14:paraId="3F68D63D" w14:textId="1587B2AF" w:rsidR="00762A75" w:rsidRPr="009E6776" w:rsidRDefault="00976668" w:rsidP="001C0EEE">
      <w:pPr>
        <w:pStyle w:val="BodyText"/>
        <w:spacing w:line="480" w:lineRule="auto"/>
        <w:ind w:right="523" w:firstLine="720"/>
        <w:contextualSpacing/>
        <w:rPr>
          <w:lang w:eastAsia="en-GB"/>
        </w:rPr>
      </w:pPr>
      <w:r w:rsidRPr="009E6776">
        <w:rPr>
          <w:rFonts w:eastAsia="GulimChe"/>
        </w:rPr>
        <w:t xml:space="preserve">All analyses were conducted in STATA 14.2. </w:t>
      </w:r>
      <w:r w:rsidR="00956EEE" w:rsidRPr="009E6776">
        <w:rPr>
          <w:rFonts w:eastAsia="GulimChe"/>
        </w:rPr>
        <w:t>Age</w:t>
      </w:r>
      <w:r w:rsidR="00AE76A2" w:rsidRPr="009E6776">
        <w:rPr>
          <w:rFonts w:eastAsia="GulimChe"/>
        </w:rPr>
        <w:t xml:space="preserve"> and </w:t>
      </w:r>
      <w:r w:rsidR="00956EEE" w:rsidRPr="009E6776">
        <w:rPr>
          <w:rFonts w:eastAsia="GulimChe"/>
        </w:rPr>
        <w:t>gender</w:t>
      </w:r>
      <w:r w:rsidR="00AE76A2" w:rsidRPr="009E6776">
        <w:rPr>
          <w:rFonts w:eastAsia="GulimChe"/>
        </w:rPr>
        <w:t xml:space="preserve"> distribution</w:t>
      </w:r>
      <w:r w:rsidR="005D7E14" w:rsidRPr="009E6776">
        <w:rPr>
          <w:rFonts w:eastAsia="GulimChe"/>
        </w:rPr>
        <w:t>s</w:t>
      </w:r>
      <w:r w:rsidR="00AE76A2" w:rsidRPr="009E6776">
        <w:rPr>
          <w:rFonts w:eastAsia="GulimChe"/>
        </w:rPr>
        <w:t xml:space="preserve"> between those with and without </w:t>
      </w:r>
      <w:r w:rsidR="007D0EC6" w:rsidRPr="009E6776">
        <w:rPr>
          <w:rFonts w:eastAsia="GulimChe"/>
        </w:rPr>
        <w:t>past-year</w:t>
      </w:r>
      <w:r w:rsidR="00AE76A2" w:rsidRPr="009E6776">
        <w:rPr>
          <w:rFonts w:eastAsia="GulimChe"/>
        </w:rPr>
        <w:t xml:space="preserve"> NSSI </w:t>
      </w:r>
      <w:r w:rsidR="007D0EC6" w:rsidRPr="009E6776">
        <w:rPr>
          <w:rFonts w:eastAsia="GulimChe"/>
        </w:rPr>
        <w:t xml:space="preserve">were compared using a </w:t>
      </w:r>
      <w:r w:rsidR="00956EEE" w:rsidRPr="009E6776">
        <w:rPr>
          <w:rFonts w:eastAsia="GulimChe"/>
        </w:rPr>
        <w:t xml:space="preserve">t-test and </w:t>
      </w:r>
      <w:r w:rsidR="007D0EC6" w:rsidRPr="009E6776">
        <w:rPr>
          <w:rFonts w:eastAsia="GulimChe"/>
        </w:rPr>
        <w:t xml:space="preserve">Fisher’s Exact </w:t>
      </w:r>
      <w:r w:rsidR="007D0EC6" w:rsidRPr="009E6776">
        <w:rPr>
          <w:rFonts w:eastAsia="GulimChe"/>
        </w:rPr>
        <w:lastRenderedPageBreak/>
        <w:t>Test.</w:t>
      </w:r>
      <w:r w:rsidR="00762A75" w:rsidRPr="009E6776">
        <w:rPr>
          <w:rFonts w:eastAsia="GulimChe"/>
        </w:rPr>
        <w:t xml:space="preserve"> Because our hypotheses focused on the prevalence gap between women and men, the seven participants who reported their gender as “other” were removed from </w:t>
      </w:r>
      <w:r w:rsidR="00865276" w:rsidRPr="009E6776">
        <w:rPr>
          <w:rFonts w:eastAsia="GulimChe"/>
        </w:rPr>
        <w:t xml:space="preserve">primary </w:t>
      </w:r>
      <w:r w:rsidR="00762A75" w:rsidRPr="009E6776">
        <w:rPr>
          <w:rFonts w:eastAsia="GulimChe"/>
        </w:rPr>
        <w:t>analys</w:t>
      </w:r>
      <w:r w:rsidR="00865276" w:rsidRPr="009E6776">
        <w:rPr>
          <w:rFonts w:eastAsia="GulimChe"/>
        </w:rPr>
        <w:t>e</w:t>
      </w:r>
      <w:r w:rsidR="00762A75" w:rsidRPr="009E6776">
        <w:rPr>
          <w:rFonts w:eastAsia="GulimChe"/>
        </w:rPr>
        <w:t>s</w:t>
      </w:r>
      <w:r w:rsidR="00203799">
        <w:rPr>
          <w:rFonts w:eastAsia="GulimChe"/>
        </w:rPr>
        <w:t xml:space="preserve"> (there was not enough statistical power to compare this group to women and men)</w:t>
      </w:r>
      <w:r w:rsidR="00762A75" w:rsidRPr="009E6776">
        <w:rPr>
          <w:rFonts w:eastAsia="GulimChe"/>
        </w:rPr>
        <w:t xml:space="preserve">. </w:t>
      </w:r>
      <w:r w:rsidR="00203799">
        <w:t xml:space="preserve">In </w:t>
      </w:r>
      <w:r w:rsidR="00AA02C3">
        <w:t xml:space="preserve">separate </w:t>
      </w:r>
      <w:r w:rsidR="00203799">
        <w:t>u</w:t>
      </w:r>
      <w:r w:rsidR="008F09CC" w:rsidRPr="009E6776">
        <w:t>nivariate binary logistic regressions</w:t>
      </w:r>
      <w:r w:rsidR="00203799">
        <w:t>,</w:t>
      </w:r>
      <w:r w:rsidR="008F09CC" w:rsidRPr="009E6776">
        <w:t xml:space="preserve"> </w:t>
      </w:r>
      <w:r w:rsidR="00AA02C3">
        <w:t xml:space="preserve">we tested whether </w:t>
      </w:r>
      <w:r w:rsidR="00762A75" w:rsidRPr="009E6776">
        <w:t>psychological distress (K10 score), emotion dysregulation (DERS total score), or impulsivity (UPPS-P subscales)</w:t>
      </w:r>
      <w:r w:rsidR="008F09CC" w:rsidRPr="009E6776">
        <w:t xml:space="preserve"> </w:t>
      </w:r>
      <w:r w:rsidR="00AA02C3">
        <w:t>were associated with</w:t>
      </w:r>
      <w:r w:rsidR="008F09CC" w:rsidRPr="009E6776">
        <w:t xml:space="preserve"> NSSI (yes v</w:t>
      </w:r>
      <w:r w:rsidR="00283349" w:rsidRPr="009E6776">
        <w:t>ersu</w:t>
      </w:r>
      <w:r w:rsidR="008F09CC" w:rsidRPr="009E6776">
        <w:t xml:space="preserve">s no past-year </w:t>
      </w:r>
      <w:r w:rsidR="00746FFE" w:rsidRPr="009E6776">
        <w:t>NSSI</w:t>
      </w:r>
      <w:r w:rsidR="008F09CC" w:rsidRPr="009E6776">
        <w:t>) and gender (female v</w:t>
      </w:r>
      <w:r w:rsidR="00283349" w:rsidRPr="009E6776">
        <w:t>ersu</w:t>
      </w:r>
      <w:r w:rsidR="008F09CC" w:rsidRPr="009E6776">
        <w:t>s male).</w:t>
      </w:r>
    </w:p>
    <w:p w14:paraId="33EFAFDD" w14:textId="77777777" w:rsidR="00BF3D82" w:rsidRPr="009E6776" w:rsidRDefault="00762A75" w:rsidP="001C0EEE">
      <w:pPr>
        <w:pStyle w:val="BodyText"/>
        <w:spacing w:line="480" w:lineRule="auto"/>
        <w:ind w:right="523" w:firstLine="720"/>
        <w:contextualSpacing/>
      </w:pPr>
      <w:r w:rsidRPr="009E6776">
        <w:t xml:space="preserve">Mediation and moderation analyses both help us understand the relationship between an independent and dependent variable: mediators explain how the two variables are related, while moderators affect the strength or direction of that association. </w:t>
      </w:r>
      <w:r w:rsidR="00CE679D" w:rsidRPr="009E6776">
        <w:t>V</w:t>
      </w:r>
      <w:r w:rsidR="00BF3D82" w:rsidRPr="009E6776">
        <w:t xml:space="preserve">ariables associated with </w:t>
      </w:r>
      <w:r w:rsidR="00CE679D" w:rsidRPr="009E6776">
        <w:t xml:space="preserve">both </w:t>
      </w:r>
      <w:r w:rsidR="001B2499" w:rsidRPr="009E6776">
        <w:t xml:space="preserve">NSSI and </w:t>
      </w:r>
      <w:r w:rsidR="00BF3D82" w:rsidRPr="009E6776">
        <w:t xml:space="preserve">gender </w:t>
      </w:r>
      <w:r w:rsidR="001B2499" w:rsidRPr="009E6776">
        <w:t>were investigated as possible</w:t>
      </w:r>
      <w:r w:rsidR="00444694" w:rsidRPr="009E6776">
        <w:t xml:space="preserve"> statistical</w:t>
      </w:r>
      <w:r w:rsidR="001B2499" w:rsidRPr="009E6776">
        <w:t xml:space="preserve"> mediators between gender and NSSI, using b</w:t>
      </w:r>
      <w:r w:rsidR="002D6450" w:rsidRPr="009E6776">
        <w:t>ootstrapped generalized structural equation models</w:t>
      </w:r>
      <w:r w:rsidR="00B807F0" w:rsidRPr="009E6776">
        <w:t>.</w:t>
      </w:r>
      <w:r w:rsidR="00976668" w:rsidRPr="009E6776">
        <w:t xml:space="preserve"> Variables significantly associated with NSSI were included in binary logistic regression moderation analyses, with an interaction term between gender and each self-report measure.</w:t>
      </w:r>
    </w:p>
    <w:p w14:paraId="0D3A72A0" w14:textId="77777777" w:rsidR="00976668" w:rsidRDefault="00976668" w:rsidP="001C0EEE">
      <w:pPr>
        <w:pStyle w:val="BodyText"/>
        <w:spacing w:line="480" w:lineRule="auto"/>
        <w:ind w:right="523" w:firstLine="720"/>
        <w:contextualSpacing/>
        <w:rPr>
          <w:rFonts w:eastAsia="GulimChe"/>
        </w:rPr>
      </w:pPr>
      <w:r w:rsidRPr="009E6776">
        <w:rPr>
          <w:rFonts w:eastAsia="GulimChe"/>
        </w:rPr>
        <w:t xml:space="preserve">Two multiple binary logistic regressions </w:t>
      </w:r>
      <w:r w:rsidR="0096080B" w:rsidRPr="009E6776">
        <w:rPr>
          <w:rFonts w:eastAsia="GulimChe"/>
        </w:rPr>
        <w:t>analyzed</w:t>
      </w:r>
      <w:r w:rsidRPr="009E6776">
        <w:rPr>
          <w:rFonts w:eastAsia="GulimChe"/>
        </w:rPr>
        <w:t xml:space="preserve"> linear and quadratic interaction effects of age and gender on past-year NSSI. For descriptive purposes</w:t>
      </w:r>
      <w:r w:rsidR="00444694" w:rsidRPr="009E6776">
        <w:rPr>
          <w:rFonts w:eastAsia="GulimChe"/>
        </w:rPr>
        <w:t>,</w:t>
      </w:r>
      <w:r w:rsidRPr="009E6776">
        <w:rPr>
          <w:rFonts w:eastAsia="GulimChe"/>
        </w:rPr>
        <w:t xml:space="preserve"> age bins are used in Figure 2</w:t>
      </w:r>
      <w:r w:rsidR="00444694" w:rsidRPr="009E6776">
        <w:rPr>
          <w:rFonts w:eastAsia="GulimChe"/>
        </w:rPr>
        <w:t>;</w:t>
      </w:r>
      <w:r w:rsidRPr="009E6776">
        <w:rPr>
          <w:rFonts w:eastAsia="GulimChe"/>
        </w:rPr>
        <w:t xml:space="preserve"> however age was a continuous variable in regression analyses.</w:t>
      </w:r>
    </w:p>
    <w:p w14:paraId="164C2697" w14:textId="147C1A50" w:rsidR="00153AFB" w:rsidRDefault="00153AFB" w:rsidP="00153AFB">
      <w:pPr>
        <w:pStyle w:val="BodyText"/>
        <w:spacing w:before="159" w:line="480" w:lineRule="auto"/>
        <w:ind w:right="462" w:firstLine="720"/>
        <w:contextualSpacing/>
        <w:rPr>
          <w:rFonts w:eastAsia="GulimChe"/>
        </w:rPr>
      </w:pPr>
      <w:r w:rsidRPr="000936CB">
        <w:rPr>
          <w:rFonts w:eastAsia="GulimChe"/>
        </w:rPr>
        <w:t xml:space="preserve">Given the timing of data collection, high NSSI rates could be related to worsening mental health during the COVID-19 pandemic </w:t>
      </w:r>
      <w:r w:rsidRPr="00153AFB">
        <w:rPr>
          <w:rFonts w:eastAsia="GulimChe"/>
          <w:noProof/>
        </w:rPr>
        <w:t>(Vindegaard &amp; Benros, 2020; Wang et al., 2020)</w:t>
      </w:r>
      <w:r>
        <w:rPr>
          <w:rFonts w:eastAsia="GulimChe"/>
        </w:rPr>
        <w:t xml:space="preserve"> </w:t>
      </w:r>
      <w:r w:rsidRPr="000936CB">
        <w:rPr>
          <w:rFonts w:eastAsia="GulimChe"/>
        </w:rPr>
        <w:t xml:space="preserve">and may not represent the population at normal times. We tested for this in a secondary analysis. </w:t>
      </w:r>
      <w:r w:rsidR="00EE7B94">
        <w:rPr>
          <w:rFonts w:eastAsia="GulimChe"/>
        </w:rPr>
        <w:t>Most</w:t>
      </w:r>
      <w:r w:rsidRPr="000936CB">
        <w:rPr>
          <w:rFonts w:eastAsia="GulimChe"/>
        </w:rPr>
        <w:t xml:space="preserve"> participants (</w:t>
      </w:r>
      <w:r w:rsidRPr="000936CB">
        <w:rPr>
          <w:rFonts w:eastAsia="GulimChe"/>
          <w:i/>
          <w:iCs/>
        </w:rPr>
        <w:t xml:space="preserve">n </w:t>
      </w:r>
      <w:r w:rsidRPr="000936CB">
        <w:rPr>
          <w:rFonts w:eastAsia="GulimChe"/>
        </w:rPr>
        <w:t xml:space="preserve">= 548) </w:t>
      </w:r>
      <w:r>
        <w:rPr>
          <w:rFonts w:eastAsia="GulimChe"/>
        </w:rPr>
        <w:t xml:space="preserve">were </w:t>
      </w:r>
      <w:r w:rsidRPr="000936CB">
        <w:rPr>
          <w:rFonts w:eastAsia="GulimChe"/>
        </w:rPr>
        <w:t>included in a previous follow-up study of the NSPN cohort in 2017-2018</w:t>
      </w:r>
      <w:r>
        <w:rPr>
          <w:rFonts w:eastAsia="GulimChe"/>
          <w:noProof/>
        </w:rPr>
        <w:t xml:space="preserve"> </w:t>
      </w:r>
      <w:r w:rsidRPr="00153AFB">
        <w:rPr>
          <w:rFonts w:eastAsia="GulimChe"/>
          <w:noProof/>
        </w:rPr>
        <w:t>(Chamberlain et al., 2019)</w:t>
      </w:r>
      <w:r w:rsidRPr="000936CB">
        <w:rPr>
          <w:rFonts w:eastAsia="GulimChe"/>
        </w:rPr>
        <w:t xml:space="preserve">. Those data were collected </w:t>
      </w:r>
      <w:r w:rsidRPr="000936CB">
        <w:rPr>
          <w:rFonts w:eastAsia="GulimChe"/>
        </w:rPr>
        <w:lastRenderedPageBreak/>
        <w:t>when participants were aged 17-31 (</w:t>
      </w:r>
      <w:r w:rsidRPr="000936CB">
        <w:rPr>
          <w:rFonts w:eastAsia="GulimChe"/>
          <w:i/>
          <w:iCs/>
        </w:rPr>
        <w:t xml:space="preserve">M </w:t>
      </w:r>
      <w:r w:rsidRPr="000936CB">
        <w:rPr>
          <w:rFonts w:eastAsia="GulimChe"/>
        </w:rPr>
        <w:t>= 23.42 years), an average of 28.81 months prior to the data presented here.</w:t>
      </w:r>
    </w:p>
    <w:p w14:paraId="027126C2" w14:textId="77777777" w:rsidR="00153AFB" w:rsidRPr="009E6776" w:rsidRDefault="00153AFB" w:rsidP="001C0EEE">
      <w:pPr>
        <w:pStyle w:val="BodyText"/>
        <w:spacing w:line="480" w:lineRule="auto"/>
        <w:ind w:right="523" w:firstLine="720"/>
        <w:contextualSpacing/>
      </w:pPr>
    </w:p>
    <w:p w14:paraId="49E880EC" w14:textId="77777777" w:rsidR="008F09CC" w:rsidRPr="009E6776" w:rsidRDefault="008F09CC" w:rsidP="001C0EEE">
      <w:pPr>
        <w:pStyle w:val="BodyText"/>
        <w:spacing w:before="159" w:line="480" w:lineRule="auto"/>
        <w:ind w:right="462"/>
        <w:contextualSpacing/>
        <w:rPr>
          <w:rFonts w:eastAsia="GulimChe"/>
        </w:rPr>
      </w:pPr>
    </w:p>
    <w:p w14:paraId="77A6AA29" w14:textId="77777777" w:rsidR="008F09CC" w:rsidRPr="009E6776" w:rsidRDefault="008F09CC" w:rsidP="001C0EEE">
      <w:pPr>
        <w:pStyle w:val="BodyText"/>
        <w:spacing w:before="159" w:line="480" w:lineRule="auto"/>
        <w:ind w:right="462"/>
        <w:contextualSpacing/>
        <w:rPr>
          <w:rFonts w:eastAsia="GulimChe"/>
          <w:b/>
          <w:bCs/>
        </w:rPr>
      </w:pPr>
      <w:r w:rsidRPr="009E6776">
        <w:rPr>
          <w:rFonts w:eastAsia="GulimChe"/>
          <w:b/>
          <w:bCs/>
        </w:rPr>
        <w:t>Results</w:t>
      </w:r>
    </w:p>
    <w:p w14:paraId="4FDAE23A" w14:textId="11DE94A8" w:rsidR="008F09CC" w:rsidRPr="009E6776" w:rsidRDefault="00762A75" w:rsidP="001C0EEE">
      <w:pPr>
        <w:pStyle w:val="BodyText"/>
        <w:spacing w:before="159" w:line="480" w:lineRule="auto"/>
        <w:ind w:right="462"/>
        <w:contextualSpacing/>
        <w:rPr>
          <w:rFonts w:eastAsia="GulimChe"/>
          <w:b/>
          <w:bCs/>
          <w:i/>
          <w:iCs/>
        </w:rPr>
      </w:pPr>
      <w:r w:rsidRPr="009E6776">
        <w:rPr>
          <w:rFonts w:eastAsia="GulimChe"/>
          <w:b/>
          <w:bCs/>
          <w:i/>
          <w:iCs/>
        </w:rPr>
        <w:t>Prevalence of NSSI</w:t>
      </w:r>
    </w:p>
    <w:p w14:paraId="1B25A450" w14:textId="3B59F6EF" w:rsidR="00762A75" w:rsidRPr="009E6776" w:rsidRDefault="008F09CC" w:rsidP="00BB0200">
      <w:pPr>
        <w:spacing w:line="480" w:lineRule="auto"/>
        <w:ind w:firstLine="720"/>
        <w:rPr>
          <w:rFonts w:cs="Times New Roman"/>
          <w:lang w:val="en-US"/>
        </w:rPr>
      </w:pPr>
      <w:r w:rsidRPr="009E6776">
        <w:rPr>
          <w:rFonts w:eastAsia="GulimChe"/>
          <w:lang w:val="en-US"/>
        </w:rPr>
        <w:t xml:space="preserve">Overall, </w:t>
      </w:r>
      <w:r w:rsidR="0015132C">
        <w:rPr>
          <w:rFonts w:eastAsia="GulimChe"/>
          <w:lang w:val="en-US"/>
        </w:rPr>
        <w:t>331 participants (</w:t>
      </w:r>
      <w:r w:rsidR="00F87605" w:rsidRPr="009E6776">
        <w:rPr>
          <w:rFonts w:eastAsia="GulimChe"/>
          <w:lang w:val="en-US"/>
        </w:rPr>
        <w:t>31.12% of the sample</w:t>
      </w:r>
      <w:r w:rsidR="0015132C">
        <w:rPr>
          <w:rFonts w:eastAsia="GulimChe"/>
          <w:lang w:val="en-US"/>
        </w:rPr>
        <w:t>)</w:t>
      </w:r>
      <w:r w:rsidR="00F87605" w:rsidRPr="009E6776">
        <w:rPr>
          <w:rFonts w:eastAsia="GulimChe"/>
          <w:lang w:val="en-US"/>
        </w:rPr>
        <w:t xml:space="preserve"> reported lifetime NSSI</w:t>
      </w:r>
      <w:r w:rsidR="00762A75" w:rsidRPr="009E6776">
        <w:rPr>
          <w:rFonts w:eastAsia="GulimChe"/>
          <w:lang w:val="en-US"/>
        </w:rPr>
        <w:t>, of whom 125</w:t>
      </w:r>
      <w:r w:rsidR="00F87605" w:rsidRPr="009E6776">
        <w:rPr>
          <w:rFonts w:eastAsia="GulimChe"/>
          <w:lang w:val="en-US"/>
        </w:rPr>
        <w:t xml:space="preserve"> </w:t>
      </w:r>
      <w:r w:rsidR="00762A75" w:rsidRPr="009E6776">
        <w:rPr>
          <w:rFonts w:eastAsia="GulimChe"/>
          <w:lang w:val="en-US"/>
        </w:rPr>
        <w:t>(</w:t>
      </w:r>
      <w:r w:rsidR="0066660B" w:rsidRPr="009E6776">
        <w:rPr>
          <w:rFonts w:eastAsia="GulimChe"/>
          <w:lang w:val="en-US"/>
        </w:rPr>
        <w:t>12.5</w:t>
      </w:r>
      <w:r w:rsidR="00956EEE" w:rsidRPr="009E6776">
        <w:rPr>
          <w:rFonts w:eastAsia="GulimChe"/>
          <w:lang w:val="en-US"/>
        </w:rPr>
        <w:t>5</w:t>
      </w:r>
      <w:r w:rsidR="0066660B" w:rsidRPr="009E6776">
        <w:rPr>
          <w:rFonts w:eastAsia="GulimChe"/>
          <w:lang w:val="en-US"/>
        </w:rPr>
        <w:t>%</w:t>
      </w:r>
      <w:r w:rsidR="00762A75" w:rsidRPr="009E6776">
        <w:rPr>
          <w:rFonts w:eastAsia="GulimChe"/>
          <w:lang w:val="en-US"/>
        </w:rPr>
        <w:t xml:space="preserve"> of the sample)</w:t>
      </w:r>
      <w:r w:rsidR="0066660B" w:rsidRPr="009E6776">
        <w:rPr>
          <w:rFonts w:eastAsia="GulimChe"/>
          <w:lang w:val="en-US"/>
        </w:rPr>
        <w:t xml:space="preserve"> reported past-year NSSI</w:t>
      </w:r>
      <w:r w:rsidR="006070EC" w:rsidRPr="009E6776">
        <w:rPr>
          <w:rFonts w:eastAsia="GulimChe"/>
          <w:lang w:val="en-US"/>
        </w:rPr>
        <w:t>.</w:t>
      </w:r>
      <w:r w:rsidRPr="009E6776">
        <w:rPr>
          <w:rFonts w:eastAsia="GulimChe"/>
          <w:lang w:val="en-US"/>
        </w:rPr>
        <w:t xml:space="preserve"> Participants</w:t>
      </w:r>
      <w:r w:rsidR="001B2499" w:rsidRPr="009E6776">
        <w:rPr>
          <w:rFonts w:eastAsia="GulimChe"/>
          <w:lang w:val="en-US"/>
        </w:rPr>
        <w:t xml:space="preserve"> </w:t>
      </w:r>
      <w:r w:rsidR="00956EEE" w:rsidRPr="009E6776">
        <w:rPr>
          <w:rFonts w:eastAsia="GulimChe"/>
          <w:lang w:val="en-US"/>
        </w:rPr>
        <w:t xml:space="preserve">with or without </w:t>
      </w:r>
      <w:r w:rsidR="0066660B" w:rsidRPr="009E6776">
        <w:rPr>
          <w:rFonts w:eastAsia="GulimChe"/>
          <w:lang w:val="en-US"/>
        </w:rPr>
        <w:t xml:space="preserve">past-year </w:t>
      </w:r>
      <w:r w:rsidRPr="009E6776">
        <w:rPr>
          <w:rFonts w:eastAsia="GulimChe"/>
          <w:lang w:val="en-US"/>
        </w:rPr>
        <w:t xml:space="preserve">NSSI did not differ in age </w:t>
      </w:r>
      <w:r w:rsidRPr="009E6776">
        <w:rPr>
          <w:lang w:val="en-US"/>
        </w:rPr>
        <w:t>(t(994)</w:t>
      </w:r>
      <w:r w:rsidR="00762A75" w:rsidRPr="009E6776">
        <w:rPr>
          <w:lang w:val="en-US"/>
        </w:rPr>
        <w:t xml:space="preserve"> </w:t>
      </w:r>
      <w:r w:rsidRPr="009E6776">
        <w:rPr>
          <w:lang w:val="en-US"/>
        </w:rPr>
        <w:t>=</w:t>
      </w:r>
      <w:r w:rsidR="00762A75" w:rsidRPr="009E6776">
        <w:rPr>
          <w:lang w:val="en-US"/>
        </w:rPr>
        <w:t xml:space="preserve"> </w:t>
      </w:r>
      <w:r w:rsidR="0066660B" w:rsidRPr="009E6776">
        <w:rPr>
          <w:lang w:val="en-US"/>
        </w:rPr>
        <w:t>1.17</w:t>
      </w:r>
      <w:r w:rsidRPr="009E6776">
        <w:rPr>
          <w:lang w:val="en-US"/>
        </w:rPr>
        <w:t xml:space="preserve">, </w:t>
      </w:r>
      <w:r w:rsidRPr="009E6776">
        <w:rPr>
          <w:i/>
          <w:iCs/>
          <w:lang w:val="en-US"/>
        </w:rPr>
        <w:t>p</w:t>
      </w:r>
      <w:r w:rsidR="00762A75" w:rsidRPr="009E6776">
        <w:rPr>
          <w:i/>
          <w:iCs/>
          <w:lang w:val="en-US"/>
        </w:rPr>
        <w:t xml:space="preserve"> </w:t>
      </w:r>
      <w:r w:rsidRPr="009E6776">
        <w:rPr>
          <w:lang w:val="en-US"/>
        </w:rPr>
        <w:t>=</w:t>
      </w:r>
      <w:r w:rsidR="00762A75" w:rsidRPr="009E6776">
        <w:rPr>
          <w:lang w:val="en-US"/>
        </w:rPr>
        <w:t xml:space="preserve"> </w:t>
      </w:r>
      <w:r w:rsidRPr="009E6776">
        <w:rPr>
          <w:lang w:val="en-US"/>
        </w:rPr>
        <w:t>0.</w:t>
      </w:r>
      <w:r w:rsidR="0066660B" w:rsidRPr="009E6776">
        <w:rPr>
          <w:lang w:val="en-US"/>
        </w:rPr>
        <w:t>24</w:t>
      </w:r>
      <w:r w:rsidRPr="009E6776">
        <w:rPr>
          <w:lang w:val="en-US"/>
        </w:rPr>
        <w:t xml:space="preserve">). </w:t>
      </w:r>
      <w:r w:rsidR="001B2499" w:rsidRPr="009E6776">
        <w:rPr>
          <w:lang w:val="en-US"/>
        </w:rPr>
        <w:t>G</w:t>
      </w:r>
      <w:r w:rsidRPr="009E6776">
        <w:rPr>
          <w:lang w:val="en-US"/>
        </w:rPr>
        <w:t>ender distribution significantly differ</w:t>
      </w:r>
      <w:r w:rsidR="00CE679D" w:rsidRPr="009E6776">
        <w:rPr>
          <w:lang w:val="en-US"/>
        </w:rPr>
        <w:t>ed</w:t>
      </w:r>
      <w:r w:rsidRPr="009E6776">
        <w:rPr>
          <w:lang w:val="en-US"/>
        </w:rPr>
        <w:t xml:space="preserve"> by group (</w:t>
      </w:r>
      <w:r w:rsidR="006070EC" w:rsidRPr="009E6776">
        <w:rPr>
          <w:lang w:val="en-US"/>
        </w:rPr>
        <w:t xml:space="preserve">Fisher’s Exact Test, </w:t>
      </w:r>
      <w:r w:rsidRPr="009E6776">
        <w:rPr>
          <w:i/>
          <w:iCs/>
          <w:lang w:val="en-US"/>
        </w:rPr>
        <w:t>p</w:t>
      </w:r>
      <w:r w:rsidR="00762A75" w:rsidRPr="009E6776">
        <w:rPr>
          <w:i/>
          <w:iCs/>
          <w:lang w:val="en-US"/>
        </w:rPr>
        <w:t xml:space="preserve"> </w:t>
      </w:r>
      <w:r w:rsidRPr="009E6776">
        <w:rPr>
          <w:lang w:val="en-US"/>
        </w:rPr>
        <w:t>&lt;</w:t>
      </w:r>
      <w:r w:rsidR="00762A75" w:rsidRPr="009E6776">
        <w:rPr>
          <w:lang w:val="en-US"/>
        </w:rPr>
        <w:t xml:space="preserve"> </w:t>
      </w:r>
      <w:r w:rsidRPr="009E6776">
        <w:rPr>
          <w:lang w:val="en-US"/>
        </w:rPr>
        <w:t>0.001)</w:t>
      </w:r>
      <w:r w:rsidR="00EE10BE" w:rsidRPr="009E6776">
        <w:rPr>
          <w:lang w:val="en-US"/>
        </w:rPr>
        <w:t>:</w:t>
      </w:r>
      <w:r w:rsidRPr="009E6776">
        <w:rPr>
          <w:lang w:val="en-US"/>
        </w:rPr>
        <w:t xml:space="preserve"> </w:t>
      </w:r>
      <w:r w:rsidR="00956EEE" w:rsidRPr="009E6776">
        <w:rPr>
          <w:lang w:val="en-US"/>
        </w:rPr>
        <w:t>14.47</w:t>
      </w:r>
      <w:r w:rsidRPr="009E6776">
        <w:rPr>
          <w:lang w:val="en-US"/>
        </w:rPr>
        <w:t xml:space="preserve">% of </w:t>
      </w:r>
      <w:r w:rsidR="005D7E14" w:rsidRPr="009E6776">
        <w:rPr>
          <w:lang w:val="en-US"/>
        </w:rPr>
        <w:t xml:space="preserve">women </w:t>
      </w:r>
      <w:r w:rsidRPr="009E6776">
        <w:rPr>
          <w:lang w:val="en-US"/>
        </w:rPr>
        <w:t xml:space="preserve">and </w:t>
      </w:r>
      <w:r w:rsidR="00956EEE" w:rsidRPr="009E6776">
        <w:rPr>
          <w:lang w:val="en-US"/>
        </w:rPr>
        <w:t>7.7</w:t>
      </w:r>
      <w:r w:rsidR="00A74FD5" w:rsidRPr="009E6776">
        <w:rPr>
          <w:lang w:val="en-US"/>
        </w:rPr>
        <w:t>8</w:t>
      </w:r>
      <w:r w:rsidRPr="009E6776">
        <w:rPr>
          <w:lang w:val="en-US"/>
        </w:rPr>
        <w:t xml:space="preserve">% of </w:t>
      </w:r>
      <w:r w:rsidR="005D7E14" w:rsidRPr="009E6776">
        <w:rPr>
          <w:lang w:val="en-US"/>
        </w:rPr>
        <w:t xml:space="preserve">men </w:t>
      </w:r>
      <w:r w:rsidRPr="009E6776">
        <w:rPr>
          <w:lang w:val="en-US"/>
        </w:rPr>
        <w:t>reported</w:t>
      </w:r>
      <w:r w:rsidR="00577A58" w:rsidRPr="009E6776">
        <w:rPr>
          <w:lang w:val="en-US"/>
        </w:rPr>
        <w:t xml:space="preserve"> </w:t>
      </w:r>
      <w:r w:rsidR="00956EEE" w:rsidRPr="009E6776">
        <w:rPr>
          <w:lang w:val="en-US"/>
        </w:rPr>
        <w:t>past-year</w:t>
      </w:r>
      <w:r w:rsidRPr="009E6776">
        <w:rPr>
          <w:lang w:val="en-US"/>
        </w:rPr>
        <w:t xml:space="preserve"> NSSI, as did </w:t>
      </w:r>
      <w:r w:rsidR="00956EEE" w:rsidRPr="009E6776">
        <w:rPr>
          <w:lang w:val="en-US"/>
        </w:rPr>
        <w:t xml:space="preserve">six of the </w:t>
      </w:r>
      <w:r w:rsidRPr="009E6776">
        <w:rPr>
          <w:lang w:val="en-US"/>
        </w:rPr>
        <w:t xml:space="preserve">seven participants </w:t>
      </w:r>
      <w:r w:rsidR="00956EEE" w:rsidRPr="009E6776">
        <w:rPr>
          <w:lang w:val="en-US"/>
        </w:rPr>
        <w:t xml:space="preserve">(85.71%) </w:t>
      </w:r>
      <w:r w:rsidRPr="009E6776">
        <w:rPr>
          <w:lang w:val="en-US"/>
        </w:rPr>
        <w:t>who reported their gender identity as “other”.</w:t>
      </w:r>
      <w:r w:rsidR="00BB0200">
        <w:rPr>
          <w:lang w:val="en-US"/>
        </w:rPr>
        <w:t xml:space="preserve"> </w:t>
      </w:r>
      <w:r w:rsidR="00BB0200" w:rsidRPr="00DE3235">
        <w:rPr>
          <w:rFonts w:eastAsia="GulimChe"/>
          <w:lang w:val="en-US"/>
        </w:rPr>
        <w:t xml:space="preserve">Past-year NSSI prevalence did not differ significantly between the </w:t>
      </w:r>
      <w:r w:rsidR="00BB0200">
        <w:rPr>
          <w:rFonts w:eastAsia="GulimChe"/>
          <w:lang w:val="en-US"/>
        </w:rPr>
        <w:t>2017-2018 assessment and present 2020 assessment</w:t>
      </w:r>
      <w:r w:rsidR="00BB0200" w:rsidRPr="00DE3235">
        <w:rPr>
          <w:rFonts w:eastAsia="GulimChe"/>
          <w:lang w:val="en-US"/>
        </w:rPr>
        <w:t xml:space="preserve"> (McNemar’s Test, </w:t>
      </w:r>
      <w:r w:rsidR="00BB0200" w:rsidRPr="00DE3235">
        <w:rPr>
          <w:color w:val="000000"/>
          <w:lang w:val="en-US"/>
        </w:rPr>
        <w:t>χ</w:t>
      </w:r>
      <w:r w:rsidR="00BB0200" w:rsidRPr="00DE3235">
        <w:rPr>
          <w:color w:val="000000"/>
          <w:sz w:val="14"/>
          <w:szCs w:val="14"/>
          <w:lang w:val="en-US"/>
        </w:rPr>
        <w:t>2</w:t>
      </w:r>
      <w:r w:rsidR="00BB0200" w:rsidRPr="00DE3235">
        <w:rPr>
          <w:lang w:val="en-US"/>
        </w:rPr>
        <w:t xml:space="preserve">(1, </w:t>
      </w:r>
      <w:r w:rsidR="00BB0200" w:rsidRPr="00DE3235">
        <w:rPr>
          <w:i/>
          <w:iCs/>
          <w:lang w:val="en-US"/>
        </w:rPr>
        <w:t xml:space="preserve">n </w:t>
      </w:r>
      <w:r w:rsidR="00BB0200" w:rsidRPr="00DE3235">
        <w:rPr>
          <w:lang w:val="en-US"/>
        </w:rPr>
        <w:t xml:space="preserve">= 548) = 2.85, </w:t>
      </w:r>
      <w:r w:rsidR="00BB0200" w:rsidRPr="00DE3235">
        <w:rPr>
          <w:i/>
          <w:iCs/>
          <w:lang w:val="en-US"/>
        </w:rPr>
        <w:t xml:space="preserve">p </w:t>
      </w:r>
      <w:r w:rsidR="00BB0200" w:rsidRPr="00DE3235">
        <w:rPr>
          <w:lang w:val="en-US"/>
        </w:rPr>
        <w:t xml:space="preserve">= 0.09; </w:t>
      </w:r>
      <w:r w:rsidR="00BB0200" w:rsidRPr="00DE3235">
        <w:rPr>
          <w:rFonts w:eastAsia="GulimChe"/>
          <w:lang w:val="en-US"/>
        </w:rPr>
        <w:t>13.50% pre-pandemic versus 10.77% during the pandemic</w:t>
      </w:r>
      <w:r w:rsidR="00BB0200" w:rsidRPr="00DE3235">
        <w:rPr>
          <w:lang w:val="en-US"/>
        </w:rPr>
        <w:t>).</w:t>
      </w:r>
    </w:p>
    <w:p w14:paraId="0E1D515B" w14:textId="77777777" w:rsidR="001F1900" w:rsidRPr="009E6776" w:rsidRDefault="001F1900" w:rsidP="001C0EEE">
      <w:pPr>
        <w:spacing w:line="480" w:lineRule="auto"/>
        <w:rPr>
          <w:rFonts w:cs="Times New Roman"/>
          <w:lang w:val="en-US"/>
        </w:rPr>
      </w:pPr>
    </w:p>
    <w:p w14:paraId="15C6BDB1" w14:textId="77777777" w:rsidR="008F09CC" w:rsidRPr="009E6776" w:rsidRDefault="008F09CC" w:rsidP="001C0EEE">
      <w:pPr>
        <w:spacing w:line="480" w:lineRule="auto"/>
        <w:rPr>
          <w:rFonts w:cs="Times New Roman"/>
          <w:b/>
          <w:bCs/>
          <w:i/>
          <w:iCs/>
          <w:lang w:val="en-US"/>
        </w:rPr>
      </w:pPr>
      <w:r w:rsidRPr="009E6776">
        <w:rPr>
          <w:rFonts w:cs="Times New Roman"/>
          <w:b/>
          <w:bCs/>
          <w:i/>
          <w:iCs/>
          <w:lang w:val="en-US"/>
        </w:rPr>
        <w:t xml:space="preserve">Univariate Associations </w:t>
      </w:r>
      <w:r w:rsidR="00283349" w:rsidRPr="009E6776">
        <w:rPr>
          <w:rFonts w:cs="Times New Roman"/>
          <w:b/>
          <w:bCs/>
          <w:i/>
          <w:iCs/>
          <w:lang w:val="en-US"/>
        </w:rPr>
        <w:t xml:space="preserve">of Putative Mechanistic Variables </w:t>
      </w:r>
      <w:r w:rsidRPr="009E6776">
        <w:rPr>
          <w:rFonts w:cs="Times New Roman"/>
          <w:b/>
          <w:bCs/>
          <w:i/>
          <w:iCs/>
          <w:lang w:val="en-US"/>
        </w:rPr>
        <w:t>with NSSI and Gender</w:t>
      </w:r>
    </w:p>
    <w:p w14:paraId="0467FA88" w14:textId="77777777" w:rsidR="008F09CC" w:rsidRPr="009E6776" w:rsidRDefault="008F09CC" w:rsidP="001C0EEE">
      <w:pPr>
        <w:spacing w:line="480" w:lineRule="auto"/>
        <w:ind w:firstLine="720"/>
        <w:rPr>
          <w:rFonts w:cs="Times New Roman"/>
          <w:lang w:val="en-US"/>
        </w:rPr>
      </w:pPr>
      <w:r w:rsidRPr="009E6776">
        <w:rPr>
          <w:rFonts w:cs="Times New Roman"/>
          <w:lang w:val="en-US"/>
        </w:rPr>
        <w:t>Univariate regressions</w:t>
      </w:r>
      <w:r w:rsidR="009F5D46" w:rsidRPr="009E6776">
        <w:rPr>
          <w:rFonts w:cs="Times New Roman"/>
          <w:lang w:val="en-US"/>
        </w:rPr>
        <w:t xml:space="preserve"> (Table 1)</w:t>
      </w:r>
      <w:r w:rsidRPr="009E6776">
        <w:rPr>
          <w:rFonts w:cs="Times New Roman"/>
          <w:lang w:val="en-US"/>
        </w:rPr>
        <w:t xml:space="preserve"> </w:t>
      </w:r>
      <w:r w:rsidR="003B2E0B" w:rsidRPr="009E6776">
        <w:rPr>
          <w:rFonts w:cs="Times New Roman"/>
          <w:lang w:val="en-US"/>
        </w:rPr>
        <w:t>showed</w:t>
      </w:r>
      <w:r w:rsidR="006A28E9" w:rsidRPr="009E6776">
        <w:rPr>
          <w:rFonts w:cs="Times New Roman"/>
          <w:lang w:val="en-US"/>
        </w:rPr>
        <w:t xml:space="preserve"> the following significant associations with past-year NSSI:</w:t>
      </w:r>
      <w:r w:rsidRPr="009E6776">
        <w:rPr>
          <w:rFonts w:cs="Times New Roman"/>
          <w:lang w:val="en-US"/>
        </w:rPr>
        <w:t xml:space="preserve"> greater psychological distress</w:t>
      </w:r>
      <w:r w:rsidR="006A28E9" w:rsidRPr="009E6776">
        <w:rPr>
          <w:rFonts w:cs="Times New Roman"/>
          <w:lang w:val="en-US"/>
        </w:rPr>
        <w:t xml:space="preserve">, </w:t>
      </w:r>
      <w:r w:rsidRPr="009E6776">
        <w:rPr>
          <w:rFonts w:cs="Times New Roman"/>
          <w:lang w:val="en-US"/>
        </w:rPr>
        <w:t>emotion dysregulation</w:t>
      </w:r>
      <w:r w:rsidR="006A28E9" w:rsidRPr="009E6776">
        <w:rPr>
          <w:rFonts w:cs="Times New Roman"/>
          <w:lang w:val="en-US"/>
        </w:rPr>
        <w:t xml:space="preserve">, </w:t>
      </w:r>
      <w:r w:rsidRPr="009E6776">
        <w:rPr>
          <w:rFonts w:cs="Times New Roman"/>
          <w:lang w:val="en-US"/>
        </w:rPr>
        <w:t>negative urgency</w:t>
      </w:r>
      <w:r w:rsidR="006A28E9" w:rsidRPr="009E6776">
        <w:rPr>
          <w:rFonts w:cs="Times New Roman"/>
          <w:lang w:val="en-US"/>
        </w:rPr>
        <w:t xml:space="preserve">, </w:t>
      </w:r>
      <w:r w:rsidRPr="009E6776">
        <w:rPr>
          <w:rFonts w:cs="Times New Roman"/>
          <w:lang w:val="en-US"/>
        </w:rPr>
        <w:t>lack of premeditation</w:t>
      </w:r>
      <w:r w:rsidR="005D7E14" w:rsidRPr="009E6776">
        <w:rPr>
          <w:rFonts w:cs="Times New Roman"/>
          <w:lang w:val="en-US"/>
        </w:rPr>
        <w:t>,</w:t>
      </w:r>
      <w:r w:rsidRPr="009E6776">
        <w:rPr>
          <w:rFonts w:cs="Times New Roman"/>
          <w:lang w:val="en-US"/>
        </w:rPr>
        <w:t xml:space="preserve"> and positive urgency</w:t>
      </w:r>
      <w:r w:rsidR="006A28E9" w:rsidRPr="009E6776">
        <w:rPr>
          <w:rFonts w:cs="Times New Roman"/>
          <w:lang w:val="en-US"/>
        </w:rPr>
        <w:t xml:space="preserve">, </w:t>
      </w:r>
      <w:r w:rsidR="0065034E" w:rsidRPr="009E6776">
        <w:rPr>
          <w:rFonts w:cs="Times New Roman"/>
          <w:lang w:val="en-US"/>
        </w:rPr>
        <w:t>as well as lower sensation seeking</w:t>
      </w:r>
      <w:r w:rsidRPr="009E6776">
        <w:rPr>
          <w:rFonts w:cs="Times New Roman"/>
          <w:lang w:val="en-US"/>
        </w:rPr>
        <w:t>.</w:t>
      </w:r>
      <w:r w:rsidR="009F5D46" w:rsidRPr="009E6776">
        <w:rPr>
          <w:rFonts w:cs="Times New Roman"/>
          <w:lang w:val="en-US"/>
        </w:rPr>
        <w:t xml:space="preserve"> </w:t>
      </w:r>
      <w:r w:rsidRPr="009E6776">
        <w:rPr>
          <w:rFonts w:cs="Times New Roman"/>
          <w:lang w:val="en-US"/>
        </w:rPr>
        <w:t>Female gender was significantly associated with greater psychological distress</w:t>
      </w:r>
      <w:r w:rsidR="006A28E9" w:rsidRPr="009E6776">
        <w:rPr>
          <w:rFonts w:cs="Times New Roman"/>
          <w:lang w:val="en-US"/>
        </w:rPr>
        <w:t xml:space="preserve">, </w:t>
      </w:r>
      <w:r w:rsidRPr="009E6776">
        <w:rPr>
          <w:rFonts w:cs="Times New Roman"/>
          <w:lang w:val="en-US"/>
        </w:rPr>
        <w:t>while male gender was associated with greater sensation seeking</w:t>
      </w:r>
      <w:r w:rsidR="006A28E9" w:rsidRPr="009E6776">
        <w:rPr>
          <w:rFonts w:cs="Times New Roman"/>
          <w:lang w:val="en-US"/>
        </w:rPr>
        <w:t xml:space="preserve"> </w:t>
      </w:r>
      <w:r w:rsidRPr="009E6776">
        <w:rPr>
          <w:rFonts w:cs="Times New Roman"/>
          <w:lang w:val="en-US"/>
        </w:rPr>
        <w:t xml:space="preserve">and positive urgency. These three variables, associated with both gender and NSSI, </w:t>
      </w:r>
      <w:r w:rsidR="00EE10BE" w:rsidRPr="009E6776">
        <w:rPr>
          <w:rFonts w:cs="Times New Roman"/>
          <w:lang w:val="en-US"/>
        </w:rPr>
        <w:t>we</w:t>
      </w:r>
      <w:r w:rsidRPr="009E6776">
        <w:rPr>
          <w:rFonts w:cs="Times New Roman"/>
          <w:lang w:val="en-US"/>
        </w:rPr>
        <w:t xml:space="preserve">re </w:t>
      </w:r>
      <w:r w:rsidR="00404494" w:rsidRPr="009E6776">
        <w:rPr>
          <w:rFonts w:cs="Times New Roman"/>
          <w:lang w:val="en-US"/>
        </w:rPr>
        <w:t>considered in</w:t>
      </w:r>
      <w:r w:rsidRPr="009E6776">
        <w:rPr>
          <w:rFonts w:cs="Times New Roman"/>
          <w:lang w:val="en-US"/>
        </w:rPr>
        <w:t xml:space="preserve"> the </w:t>
      </w:r>
      <w:r w:rsidR="005D2ECD" w:rsidRPr="009E6776">
        <w:rPr>
          <w:rFonts w:cs="Times New Roman"/>
          <w:lang w:val="en-US"/>
        </w:rPr>
        <w:t xml:space="preserve">following </w:t>
      </w:r>
      <w:r w:rsidRPr="009E6776">
        <w:rPr>
          <w:rFonts w:cs="Times New Roman"/>
          <w:lang w:val="en-US"/>
        </w:rPr>
        <w:t xml:space="preserve">mediation analyses. </w:t>
      </w:r>
    </w:p>
    <w:p w14:paraId="2402F4F8" w14:textId="77777777" w:rsidR="00F15AE2" w:rsidRPr="009E6776" w:rsidRDefault="00F15AE2" w:rsidP="001C0EEE">
      <w:pPr>
        <w:spacing w:line="480" w:lineRule="auto"/>
        <w:rPr>
          <w:rFonts w:cs="Times New Roman"/>
          <w:lang w:val="en-US"/>
        </w:rPr>
      </w:pPr>
    </w:p>
    <w:p w14:paraId="207CA576" w14:textId="77777777" w:rsidR="002D6450" w:rsidRPr="009E6776" w:rsidRDefault="001C0EEE" w:rsidP="001C0EEE">
      <w:pPr>
        <w:spacing w:line="480" w:lineRule="auto"/>
        <w:rPr>
          <w:rFonts w:cs="Times New Roman"/>
          <w:lang w:val="en-US"/>
        </w:rPr>
      </w:pPr>
      <w:r w:rsidRPr="009E6776">
        <w:rPr>
          <w:rFonts w:cs="Times New Roman"/>
          <w:lang w:val="en-US"/>
        </w:rPr>
        <w:lastRenderedPageBreak/>
        <w:t>[Table 1 here]</w:t>
      </w:r>
    </w:p>
    <w:p w14:paraId="68E471C3" w14:textId="77777777" w:rsidR="001C0EEE" w:rsidRPr="009E6776" w:rsidRDefault="001C0EEE" w:rsidP="001C0EEE">
      <w:pPr>
        <w:spacing w:line="480" w:lineRule="auto"/>
        <w:rPr>
          <w:rFonts w:cs="Times New Roman"/>
          <w:lang w:val="en-US"/>
        </w:rPr>
      </w:pPr>
    </w:p>
    <w:p w14:paraId="1EED3423" w14:textId="77777777" w:rsidR="008F09CC" w:rsidRPr="009E6776" w:rsidRDefault="008F09CC" w:rsidP="001C0EEE">
      <w:pPr>
        <w:spacing w:line="480" w:lineRule="auto"/>
        <w:rPr>
          <w:rFonts w:cs="Times New Roman"/>
          <w:b/>
          <w:bCs/>
          <w:i/>
          <w:iCs/>
          <w:lang w:val="en-US"/>
        </w:rPr>
      </w:pPr>
      <w:r w:rsidRPr="009E6776">
        <w:rPr>
          <w:rFonts w:cs="Times New Roman"/>
          <w:b/>
          <w:bCs/>
          <w:i/>
          <w:iCs/>
          <w:lang w:val="en-US"/>
        </w:rPr>
        <w:t>Mediation Analyses</w:t>
      </w:r>
    </w:p>
    <w:p w14:paraId="0CF5E495" w14:textId="77777777" w:rsidR="00174A31" w:rsidRPr="009E6776" w:rsidRDefault="008F09CC" w:rsidP="001C0EEE">
      <w:pPr>
        <w:spacing w:line="480" w:lineRule="auto"/>
        <w:ind w:firstLine="720"/>
        <w:rPr>
          <w:rFonts w:cs="Times New Roman"/>
          <w:lang w:val="en-US"/>
        </w:rPr>
      </w:pPr>
      <w:r w:rsidRPr="009E6776">
        <w:rPr>
          <w:rFonts w:cs="Times New Roman"/>
          <w:lang w:val="en-US"/>
        </w:rPr>
        <w:t>Psychological distress significantly mediated the relationship between gender and past-year NSSI</w:t>
      </w:r>
      <w:r w:rsidR="009F5D46" w:rsidRPr="009E6776">
        <w:rPr>
          <w:rFonts w:cs="Times New Roman"/>
          <w:lang w:val="en-US"/>
        </w:rPr>
        <w:t xml:space="preserve"> (Figure </w:t>
      </w:r>
      <w:r w:rsidR="00E877C3" w:rsidRPr="009E6776">
        <w:rPr>
          <w:rFonts w:cs="Times New Roman"/>
          <w:lang w:val="en-US"/>
        </w:rPr>
        <w:t>1</w:t>
      </w:r>
      <w:r w:rsidR="009F5D46" w:rsidRPr="009E6776">
        <w:rPr>
          <w:rFonts w:cs="Times New Roman"/>
          <w:lang w:val="en-US"/>
        </w:rPr>
        <w:t>)</w:t>
      </w:r>
      <w:r w:rsidR="00B72108" w:rsidRPr="009E6776">
        <w:rPr>
          <w:rFonts w:cs="Times New Roman"/>
          <w:lang w:val="en-US"/>
        </w:rPr>
        <w:t xml:space="preserve">: </w:t>
      </w:r>
      <w:r w:rsidRPr="009E6776">
        <w:rPr>
          <w:rFonts w:cs="Times New Roman"/>
          <w:lang w:val="en-US"/>
        </w:rPr>
        <w:t xml:space="preserve">37% of the effect of gender on past-year NSSI </w:t>
      </w:r>
      <w:r w:rsidR="00DE6383" w:rsidRPr="009E6776">
        <w:rPr>
          <w:rFonts w:cs="Times New Roman"/>
          <w:lang w:val="en-US"/>
        </w:rPr>
        <w:t>was</w:t>
      </w:r>
      <w:r w:rsidRPr="009E6776">
        <w:rPr>
          <w:rFonts w:cs="Times New Roman"/>
          <w:lang w:val="en-US"/>
        </w:rPr>
        <w:t xml:space="preserve"> explained via psychological distress. Sensation seeking </w:t>
      </w:r>
      <w:r w:rsidR="00404494" w:rsidRPr="009E6776">
        <w:rPr>
          <w:rFonts w:cs="Times New Roman"/>
          <w:lang w:val="en-US"/>
        </w:rPr>
        <w:t>was not a significant mediator</w:t>
      </w:r>
      <w:r w:rsidRPr="009E6776">
        <w:rPr>
          <w:rFonts w:cs="Times New Roman"/>
          <w:lang w:val="en-US"/>
        </w:rPr>
        <w:t>. Positive urgency negative</w:t>
      </w:r>
      <w:r w:rsidR="00FF2926" w:rsidRPr="009E6776">
        <w:rPr>
          <w:rFonts w:cs="Times New Roman"/>
          <w:lang w:val="en-US"/>
        </w:rPr>
        <w:t>ly</w:t>
      </w:r>
      <w:r w:rsidRPr="009E6776">
        <w:rPr>
          <w:rFonts w:cs="Times New Roman"/>
          <w:lang w:val="en-US"/>
        </w:rPr>
        <w:t xml:space="preserve"> </w:t>
      </w:r>
      <w:r w:rsidR="00FF2926" w:rsidRPr="009E6776">
        <w:rPr>
          <w:rFonts w:cs="Times New Roman"/>
          <w:lang w:val="en-US"/>
        </w:rPr>
        <w:t xml:space="preserve">mediated the </w:t>
      </w:r>
      <w:r w:rsidRPr="009E6776">
        <w:rPr>
          <w:rFonts w:cs="Times New Roman"/>
          <w:lang w:val="en-US"/>
        </w:rPr>
        <w:t>effect</w:t>
      </w:r>
      <w:r w:rsidR="00FF2926" w:rsidRPr="009E6776">
        <w:rPr>
          <w:rFonts w:cs="Times New Roman"/>
          <w:lang w:val="en-US"/>
        </w:rPr>
        <w:t xml:space="preserve"> of gender on past-year NSSI, since men </w:t>
      </w:r>
      <w:r w:rsidR="002C4BC6" w:rsidRPr="009E6776">
        <w:rPr>
          <w:rFonts w:cs="Times New Roman"/>
          <w:lang w:val="en-US"/>
        </w:rPr>
        <w:t>reported greater positive urgency than women</w:t>
      </w:r>
      <w:r w:rsidR="00FF2926" w:rsidRPr="009E6776">
        <w:rPr>
          <w:rFonts w:cs="Times New Roman"/>
          <w:lang w:val="en-US"/>
        </w:rPr>
        <w:t xml:space="preserve">, and this urgency was related to increased NSSI. </w:t>
      </w:r>
      <w:r w:rsidR="00F6022A" w:rsidRPr="009E6776">
        <w:rPr>
          <w:rFonts w:cs="Times New Roman"/>
          <w:lang w:val="en-US"/>
        </w:rPr>
        <w:t>In a joint mediation model, only psychological distress showed a significant effect.</w:t>
      </w:r>
    </w:p>
    <w:p w14:paraId="504ECEA4" w14:textId="77777777" w:rsidR="001F1900" w:rsidRPr="009E6776" w:rsidRDefault="001F1900" w:rsidP="001C0EEE">
      <w:pPr>
        <w:spacing w:line="480" w:lineRule="auto"/>
        <w:rPr>
          <w:rFonts w:cs="Times New Roman"/>
          <w:lang w:val="en-US"/>
        </w:rPr>
      </w:pPr>
    </w:p>
    <w:p w14:paraId="7A5A515A" w14:textId="77777777" w:rsidR="00B72108" w:rsidRPr="009E6776" w:rsidRDefault="001C0EEE" w:rsidP="001C0EEE">
      <w:pPr>
        <w:spacing w:line="480" w:lineRule="auto"/>
        <w:rPr>
          <w:rFonts w:cs="Times New Roman"/>
          <w:lang w:val="en-US"/>
        </w:rPr>
      </w:pPr>
      <w:r w:rsidRPr="009E6776">
        <w:rPr>
          <w:rFonts w:cs="Times New Roman"/>
          <w:lang w:val="en-US"/>
        </w:rPr>
        <w:t>[Figure 1 here]</w:t>
      </w:r>
    </w:p>
    <w:p w14:paraId="75EFD97C" w14:textId="77777777" w:rsidR="001C0EEE" w:rsidRPr="009E6776" w:rsidRDefault="001C0EEE" w:rsidP="001C0EEE">
      <w:pPr>
        <w:spacing w:line="480" w:lineRule="auto"/>
        <w:rPr>
          <w:rFonts w:cs="Times New Roman"/>
          <w:lang w:val="en-US"/>
        </w:rPr>
      </w:pPr>
    </w:p>
    <w:p w14:paraId="0D776A8D" w14:textId="77777777" w:rsidR="009F5D46" w:rsidRPr="009E6776" w:rsidRDefault="009F5D46" w:rsidP="001C0EEE">
      <w:pPr>
        <w:spacing w:line="480" w:lineRule="auto"/>
        <w:rPr>
          <w:rFonts w:cs="Times New Roman"/>
          <w:b/>
          <w:bCs/>
          <w:i/>
          <w:iCs/>
          <w:lang w:val="en-US"/>
        </w:rPr>
      </w:pPr>
      <w:r w:rsidRPr="009E6776">
        <w:rPr>
          <w:rFonts w:cs="Times New Roman"/>
          <w:b/>
          <w:bCs/>
          <w:i/>
          <w:iCs/>
          <w:lang w:val="en-US"/>
        </w:rPr>
        <w:t>Moderation Analyses</w:t>
      </w:r>
    </w:p>
    <w:p w14:paraId="393F6A7B" w14:textId="77777777" w:rsidR="009F5D46" w:rsidRPr="009E6776" w:rsidRDefault="009F5D46" w:rsidP="001C0EEE">
      <w:pPr>
        <w:spacing w:line="480" w:lineRule="auto"/>
        <w:ind w:firstLine="720"/>
        <w:rPr>
          <w:rFonts w:cs="Times New Roman"/>
          <w:lang w:val="en-US"/>
        </w:rPr>
      </w:pPr>
      <w:r w:rsidRPr="009E6776">
        <w:rPr>
          <w:rFonts w:cs="Times New Roman"/>
          <w:lang w:val="en-US"/>
        </w:rPr>
        <w:t>All analyses were non-significant</w:t>
      </w:r>
      <w:r w:rsidR="00976668" w:rsidRPr="009E6776">
        <w:rPr>
          <w:rFonts w:cs="Times New Roman"/>
          <w:lang w:val="en-US"/>
        </w:rPr>
        <w:t>: gender</w:t>
      </w:r>
      <w:r w:rsidRPr="009E6776">
        <w:rPr>
          <w:rFonts w:cs="Times New Roman"/>
          <w:lang w:val="en-US"/>
        </w:rPr>
        <w:t xml:space="preserve"> did not significantly moderate the effects of psychological distress (</w:t>
      </w:r>
      <w:r w:rsidRPr="009E6776">
        <w:rPr>
          <w:rFonts w:cs="Times New Roman"/>
          <w:i/>
          <w:iCs/>
          <w:lang w:val="en-US"/>
        </w:rPr>
        <w:t>b</w:t>
      </w:r>
      <w:r w:rsidR="00762A75" w:rsidRPr="009E6776">
        <w:rPr>
          <w:rFonts w:cs="Times New Roman"/>
          <w:i/>
          <w:iCs/>
          <w:lang w:val="en-US"/>
        </w:rPr>
        <w:t xml:space="preserve"> </w:t>
      </w:r>
      <w:r w:rsidRPr="009E6776">
        <w:rPr>
          <w:rFonts w:cs="Times New Roman"/>
          <w:lang w:val="en-US"/>
        </w:rPr>
        <w:t>=</w:t>
      </w:r>
      <w:r w:rsidR="00762A75" w:rsidRPr="009E6776">
        <w:rPr>
          <w:rFonts w:cs="Times New Roman"/>
          <w:lang w:val="en-US"/>
        </w:rPr>
        <w:t xml:space="preserve"> </w:t>
      </w:r>
      <w:r w:rsidRPr="009E6776">
        <w:rPr>
          <w:rFonts w:cs="Times New Roman"/>
          <w:lang w:val="en-US"/>
        </w:rPr>
        <w:t xml:space="preserve">0.002, 95%CI[-0.06,0.07], </w:t>
      </w:r>
      <w:r w:rsidRPr="009E6776">
        <w:rPr>
          <w:rFonts w:cs="Times New Roman"/>
          <w:i/>
          <w:iCs/>
          <w:lang w:val="en-US"/>
        </w:rPr>
        <w:t>p</w:t>
      </w:r>
      <w:r w:rsidR="00762A75" w:rsidRPr="009E6776">
        <w:rPr>
          <w:rFonts w:cs="Times New Roman"/>
          <w:i/>
          <w:iCs/>
          <w:lang w:val="en-US"/>
        </w:rPr>
        <w:t xml:space="preserve"> </w:t>
      </w:r>
      <w:r w:rsidRPr="009E6776">
        <w:rPr>
          <w:rFonts w:cs="Times New Roman"/>
          <w:lang w:val="en-US"/>
        </w:rPr>
        <w:t>=</w:t>
      </w:r>
      <w:r w:rsidR="00762A75" w:rsidRPr="009E6776">
        <w:rPr>
          <w:rFonts w:cs="Times New Roman"/>
          <w:lang w:val="en-US"/>
        </w:rPr>
        <w:t xml:space="preserve"> </w:t>
      </w:r>
      <w:r w:rsidRPr="009E6776">
        <w:rPr>
          <w:rFonts w:cs="Times New Roman"/>
          <w:lang w:val="en-US"/>
        </w:rPr>
        <w:t>0.95), emotion dysregulation (</w:t>
      </w:r>
      <w:r w:rsidRPr="009E6776">
        <w:rPr>
          <w:rFonts w:cs="Times New Roman"/>
          <w:i/>
          <w:iCs/>
          <w:lang w:val="en-US"/>
        </w:rPr>
        <w:t>b</w:t>
      </w:r>
      <w:r w:rsidR="00762A75" w:rsidRPr="009E6776">
        <w:rPr>
          <w:rFonts w:cs="Times New Roman"/>
          <w:i/>
          <w:iCs/>
          <w:lang w:val="en-US"/>
        </w:rPr>
        <w:t xml:space="preserve"> </w:t>
      </w:r>
      <w:r w:rsidRPr="009E6776">
        <w:rPr>
          <w:rFonts w:cs="Times New Roman"/>
          <w:lang w:val="en-US"/>
        </w:rPr>
        <w:t>=</w:t>
      </w:r>
      <w:r w:rsidR="00762A75" w:rsidRPr="009E6776">
        <w:rPr>
          <w:rFonts w:cs="Times New Roman"/>
          <w:lang w:val="en-US"/>
        </w:rPr>
        <w:t xml:space="preserve"> </w:t>
      </w:r>
      <w:r w:rsidRPr="009E6776">
        <w:rPr>
          <w:rFonts w:cs="Times New Roman"/>
          <w:lang w:val="en-US"/>
        </w:rPr>
        <w:t>-0.007, 95%CI[-0.05,0.03], </w:t>
      </w:r>
      <w:r w:rsidRPr="009E6776">
        <w:rPr>
          <w:rFonts w:cs="Times New Roman"/>
          <w:i/>
          <w:iCs/>
          <w:lang w:val="en-US"/>
        </w:rPr>
        <w:t>p</w:t>
      </w:r>
      <w:r w:rsidR="00762A75" w:rsidRPr="009E6776">
        <w:rPr>
          <w:rFonts w:cs="Times New Roman"/>
          <w:i/>
          <w:iCs/>
          <w:lang w:val="en-US"/>
        </w:rPr>
        <w:t xml:space="preserve"> </w:t>
      </w:r>
      <w:r w:rsidRPr="009E6776">
        <w:rPr>
          <w:rFonts w:cs="Times New Roman"/>
          <w:lang w:val="en-US"/>
        </w:rPr>
        <w:t>=</w:t>
      </w:r>
      <w:r w:rsidR="00762A75" w:rsidRPr="009E6776">
        <w:rPr>
          <w:rFonts w:cs="Times New Roman"/>
          <w:lang w:val="en-US"/>
        </w:rPr>
        <w:t xml:space="preserve"> </w:t>
      </w:r>
      <w:r w:rsidRPr="009E6776">
        <w:rPr>
          <w:rFonts w:cs="Times New Roman"/>
          <w:lang w:val="en-US"/>
        </w:rPr>
        <w:t>0.74), negative urgency (</w:t>
      </w:r>
      <w:r w:rsidRPr="009E6776">
        <w:rPr>
          <w:rFonts w:cs="Times New Roman"/>
          <w:i/>
          <w:iCs/>
          <w:lang w:val="en-US"/>
        </w:rPr>
        <w:t>b</w:t>
      </w:r>
      <w:r w:rsidR="00762A75" w:rsidRPr="009E6776">
        <w:rPr>
          <w:rFonts w:cs="Times New Roman"/>
          <w:i/>
          <w:iCs/>
          <w:lang w:val="en-US"/>
        </w:rPr>
        <w:t xml:space="preserve"> </w:t>
      </w:r>
      <w:r w:rsidRPr="009E6776">
        <w:rPr>
          <w:rFonts w:cs="Times New Roman"/>
          <w:lang w:val="en-US"/>
        </w:rPr>
        <w:t>=</w:t>
      </w:r>
      <w:r w:rsidR="00762A75" w:rsidRPr="009E6776">
        <w:rPr>
          <w:rFonts w:cs="Times New Roman"/>
          <w:lang w:val="en-US"/>
        </w:rPr>
        <w:t xml:space="preserve"> </w:t>
      </w:r>
      <w:r w:rsidRPr="009E6776">
        <w:rPr>
          <w:rFonts w:cs="Times New Roman"/>
          <w:lang w:val="en-US"/>
        </w:rPr>
        <w:t>-0.03, 95%CI[-0.21,0.16], </w:t>
      </w:r>
      <w:r w:rsidRPr="009E6776">
        <w:rPr>
          <w:rFonts w:cs="Times New Roman"/>
          <w:i/>
          <w:iCs/>
          <w:lang w:val="en-US"/>
        </w:rPr>
        <w:t>p</w:t>
      </w:r>
      <w:r w:rsidR="00762A75" w:rsidRPr="009E6776">
        <w:rPr>
          <w:rFonts w:cs="Times New Roman"/>
          <w:i/>
          <w:iCs/>
          <w:lang w:val="en-US"/>
        </w:rPr>
        <w:t xml:space="preserve"> </w:t>
      </w:r>
      <w:r w:rsidRPr="009E6776">
        <w:rPr>
          <w:rFonts w:cs="Times New Roman"/>
          <w:lang w:val="en-US"/>
        </w:rPr>
        <w:t>=</w:t>
      </w:r>
      <w:r w:rsidR="00762A75" w:rsidRPr="009E6776">
        <w:rPr>
          <w:rFonts w:cs="Times New Roman"/>
          <w:lang w:val="en-US"/>
        </w:rPr>
        <w:t xml:space="preserve"> </w:t>
      </w:r>
      <w:r w:rsidRPr="009E6776">
        <w:rPr>
          <w:rFonts w:cs="Times New Roman"/>
          <w:lang w:val="en-US"/>
        </w:rPr>
        <w:t>0.77), lack of premeditation (</w:t>
      </w:r>
      <w:r w:rsidRPr="009E6776">
        <w:rPr>
          <w:rFonts w:cs="Times New Roman"/>
          <w:i/>
          <w:iCs/>
          <w:lang w:val="en-US"/>
        </w:rPr>
        <w:t>b</w:t>
      </w:r>
      <w:r w:rsidR="00762A75" w:rsidRPr="009E6776">
        <w:rPr>
          <w:rFonts w:cs="Times New Roman"/>
          <w:i/>
          <w:iCs/>
          <w:lang w:val="en-US"/>
        </w:rPr>
        <w:t xml:space="preserve"> </w:t>
      </w:r>
      <w:r w:rsidRPr="009E6776">
        <w:rPr>
          <w:rFonts w:cs="Times New Roman"/>
          <w:lang w:val="en-US"/>
        </w:rPr>
        <w:t>=</w:t>
      </w:r>
      <w:r w:rsidR="00762A75" w:rsidRPr="009E6776">
        <w:rPr>
          <w:rFonts w:cs="Times New Roman"/>
          <w:lang w:val="en-US"/>
        </w:rPr>
        <w:t xml:space="preserve"> </w:t>
      </w:r>
      <w:r w:rsidRPr="009E6776">
        <w:rPr>
          <w:rFonts w:cs="Times New Roman"/>
          <w:lang w:val="en-US"/>
        </w:rPr>
        <w:t>-0.08, 95%CI[-0.15,0.32], </w:t>
      </w:r>
      <w:r w:rsidRPr="009E6776">
        <w:rPr>
          <w:rFonts w:cs="Times New Roman"/>
          <w:i/>
          <w:iCs/>
          <w:lang w:val="en-US"/>
        </w:rPr>
        <w:t>p</w:t>
      </w:r>
      <w:r w:rsidR="00762A75" w:rsidRPr="009E6776">
        <w:rPr>
          <w:rFonts w:cs="Times New Roman"/>
          <w:i/>
          <w:iCs/>
          <w:lang w:val="en-US"/>
        </w:rPr>
        <w:t xml:space="preserve"> </w:t>
      </w:r>
      <w:r w:rsidR="00976668" w:rsidRPr="009E6776">
        <w:rPr>
          <w:rFonts w:cs="Times New Roman"/>
          <w:lang w:val="en-US"/>
        </w:rPr>
        <w:t>=</w:t>
      </w:r>
      <w:r w:rsidR="00762A75" w:rsidRPr="009E6776">
        <w:rPr>
          <w:rFonts w:cs="Times New Roman"/>
          <w:lang w:val="en-US"/>
        </w:rPr>
        <w:t xml:space="preserve"> </w:t>
      </w:r>
      <w:r w:rsidRPr="009E6776">
        <w:rPr>
          <w:rFonts w:cs="Times New Roman"/>
          <w:lang w:val="en-US"/>
        </w:rPr>
        <w:t>0.50), sensation seeking (</w:t>
      </w:r>
      <w:r w:rsidRPr="009E6776">
        <w:rPr>
          <w:rFonts w:cs="Times New Roman"/>
          <w:i/>
          <w:iCs/>
          <w:lang w:val="en-US"/>
        </w:rPr>
        <w:t>b</w:t>
      </w:r>
      <w:r w:rsidR="00762A75" w:rsidRPr="009E6776">
        <w:rPr>
          <w:rFonts w:cs="Times New Roman"/>
          <w:i/>
          <w:iCs/>
          <w:lang w:val="en-US"/>
        </w:rPr>
        <w:t xml:space="preserve"> </w:t>
      </w:r>
      <w:r w:rsidRPr="009E6776">
        <w:rPr>
          <w:rFonts w:cs="Times New Roman"/>
          <w:lang w:val="en-US"/>
        </w:rPr>
        <w:t>=</w:t>
      </w:r>
      <w:r w:rsidR="00762A75" w:rsidRPr="009E6776">
        <w:rPr>
          <w:rFonts w:cs="Times New Roman"/>
          <w:lang w:val="en-US"/>
        </w:rPr>
        <w:t xml:space="preserve"> </w:t>
      </w:r>
      <w:r w:rsidRPr="009E6776">
        <w:rPr>
          <w:rFonts w:cs="Times New Roman"/>
          <w:lang w:val="en-US"/>
        </w:rPr>
        <w:t>0.05, 95%CI[-0.13,0.22], </w:t>
      </w:r>
      <w:r w:rsidRPr="009E6776">
        <w:rPr>
          <w:rFonts w:cs="Times New Roman"/>
          <w:i/>
          <w:iCs/>
          <w:lang w:val="en-US"/>
        </w:rPr>
        <w:t>p</w:t>
      </w:r>
      <w:r w:rsidR="00762A75" w:rsidRPr="009E6776">
        <w:rPr>
          <w:rFonts w:cs="Times New Roman"/>
          <w:i/>
          <w:iCs/>
          <w:lang w:val="en-US"/>
        </w:rPr>
        <w:t xml:space="preserve"> </w:t>
      </w:r>
      <w:r w:rsidR="00976668" w:rsidRPr="009E6776">
        <w:rPr>
          <w:rFonts w:cs="Times New Roman"/>
          <w:lang w:val="en-US"/>
        </w:rPr>
        <w:t>=</w:t>
      </w:r>
      <w:r w:rsidR="00762A75" w:rsidRPr="009E6776">
        <w:rPr>
          <w:rFonts w:cs="Times New Roman"/>
          <w:lang w:val="en-US"/>
        </w:rPr>
        <w:t xml:space="preserve"> </w:t>
      </w:r>
      <w:r w:rsidRPr="009E6776">
        <w:rPr>
          <w:rFonts w:cs="Times New Roman"/>
          <w:lang w:val="en-US"/>
        </w:rPr>
        <w:t>0.61), or positive urgency (</w:t>
      </w:r>
      <w:r w:rsidRPr="009E6776">
        <w:rPr>
          <w:rFonts w:cs="Times New Roman"/>
          <w:i/>
          <w:iCs/>
          <w:lang w:val="en-US"/>
        </w:rPr>
        <w:t>b</w:t>
      </w:r>
      <w:r w:rsidR="00762A75" w:rsidRPr="009E6776">
        <w:rPr>
          <w:rFonts w:cs="Times New Roman"/>
          <w:i/>
          <w:iCs/>
          <w:lang w:val="en-US"/>
        </w:rPr>
        <w:t xml:space="preserve"> </w:t>
      </w:r>
      <w:r w:rsidRPr="009E6776">
        <w:rPr>
          <w:rFonts w:cs="Times New Roman"/>
          <w:lang w:val="en-US"/>
        </w:rPr>
        <w:t>=</w:t>
      </w:r>
      <w:r w:rsidR="00762A75" w:rsidRPr="009E6776">
        <w:rPr>
          <w:rFonts w:cs="Times New Roman"/>
          <w:lang w:val="en-US"/>
        </w:rPr>
        <w:t xml:space="preserve"> </w:t>
      </w:r>
      <w:r w:rsidRPr="009E6776">
        <w:rPr>
          <w:rFonts w:cs="Times New Roman"/>
          <w:lang w:val="en-US"/>
        </w:rPr>
        <w:t>0.03, 95%CI[−0.15,0.21] , </w:t>
      </w:r>
      <w:r w:rsidRPr="009E6776">
        <w:rPr>
          <w:rFonts w:cs="Times New Roman"/>
          <w:i/>
          <w:iCs/>
          <w:lang w:val="en-US"/>
        </w:rPr>
        <w:t>p</w:t>
      </w:r>
      <w:r w:rsidR="00762A75" w:rsidRPr="009E6776">
        <w:rPr>
          <w:rFonts w:cs="Times New Roman"/>
          <w:i/>
          <w:iCs/>
          <w:lang w:val="en-US"/>
        </w:rPr>
        <w:t xml:space="preserve"> </w:t>
      </w:r>
      <w:r w:rsidRPr="009E6776">
        <w:rPr>
          <w:rFonts w:cs="Times New Roman"/>
          <w:lang w:val="en-US"/>
        </w:rPr>
        <w:t>=</w:t>
      </w:r>
      <w:r w:rsidR="00762A75" w:rsidRPr="009E6776">
        <w:rPr>
          <w:rFonts w:cs="Times New Roman"/>
          <w:lang w:val="en-US"/>
        </w:rPr>
        <w:t xml:space="preserve"> </w:t>
      </w:r>
      <w:r w:rsidRPr="009E6776">
        <w:rPr>
          <w:rFonts w:cs="Times New Roman"/>
          <w:lang w:val="en-US"/>
        </w:rPr>
        <w:t xml:space="preserve">0.76) on past-year NSSI. </w:t>
      </w:r>
    </w:p>
    <w:p w14:paraId="50E4C08E" w14:textId="77777777" w:rsidR="00B72108" w:rsidRPr="009E6776" w:rsidRDefault="00B72108" w:rsidP="001C0EEE">
      <w:pPr>
        <w:spacing w:line="480" w:lineRule="auto"/>
        <w:rPr>
          <w:rFonts w:cs="Times New Roman"/>
          <w:b/>
          <w:bCs/>
          <w:lang w:val="en-US"/>
        </w:rPr>
      </w:pPr>
    </w:p>
    <w:p w14:paraId="72BBF98D" w14:textId="77777777" w:rsidR="00B72108" w:rsidRPr="009E6776" w:rsidRDefault="00B72108" w:rsidP="001C0EEE">
      <w:pPr>
        <w:spacing w:line="480" w:lineRule="auto"/>
        <w:rPr>
          <w:rFonts w:cs="Times New Roman"/>
          <w:b/>
          <w:bCs/>
          <w:i/>
          <w:iCs/>
          <w:lang w:val="en-US"/>
        </w:rPr>
      </w:pPr>
      <w:r w:rsidRPr="009E6776">
        <w:rPr>
          <w:rFonts w:cs="Times New Roman"/>
          <w:b/>
          <w:bCs/>
          <w:i/>
          <w:iCs/>
          <w:lang w:val="en-US"/>
        </w:rPr>
        <w:t xml:space="preserve">Age </w:t>
      </w:r>
      <w:r w:rsidR="00283349" w:rsidRPr="009E6776">
        <w:rPr>
          <w:rFonts w:cs="Times New Roman"/>
          <w:b/>
          <w:bCs/>
          <w:i/>
          <w:iCs/>
          <w:lang w:val="en-US"/>
        </w:rPr>
        <w:t>Effects, and Their Moderation by Gender</w:t>
      </w:r>
    </w:p>
    <w:p w14:paraId="30617AA1" w14:textId="05630213" w:rsidR="00B72108" w:rsidRPr="009E6776" w:rsidRDefault="00283349" w:rsidP="001C0EEE">
      <w:pPr>
        <w:spacing w:line="480" w:lineRule="auto"/>
        <w:ind w:firstLine="720"/>
        <w:rPr>
          <w:rFonts w:cs="Times New Roman"/>
          <w:lang w:val="en-US"/>
        </w:rPr>
      </w:pPr>
      <w:r w:rsidRPr="009E6776">
        <w:rPr>
          <w:rFonts w:cs="Times New Roman"/>
          <w:color w:val="000000"/>
          <w:lang w:val="en-US"/>
        </w:rPr>
        <w:lastRenderedPageBreak/>
        <w:t xml:space="preserve">Past-year NSSI prevalence was lower at older ages, but this was not statistically significant. The </w:t>
      </w:r>
      <w:r w:rsidR="00762A75" w:rsidRPr="009E6776">
        <w:rPr>
          <w:rFonts w:cs="Times New Roman"/>
          <w:color w:val="000000"/>
          <w:lang w:val="en-US"/>
        </w:rPr>
        <w:t>prevalence gap did not vary</w:t>
      </w:r>
      <w:r w:rsidRPr="009E6776">
        <w:rPr>
          <w:rFonts w:cs="Times New Roman"/>
          <w:color w:val="000000"/>
          <w:lang w:val="en-US"/>
        </w:rPr>
        <w:t xml:space="preserve"> with age (linear and </w:t>
      </w:r>
      <w:r w:rsidR="004969BE" w:rsidRPr="009E6776">
        <w:rPr>
          <w:rFonts w:cs="Times New Roman"/>
          <w:color w:val="000000"/>
          <w:lang w:val="en-US"/>
        </w:rPr>
        <w:t>quadratic</w:t>
      </w:r>
      <w:r w:rsidRPr="009E6776">
        <w:rPr>
          <w:rFonts w:cs="Times New Roman"/>
          <w:color w:val="000000"/>
          <w:lang w:val="en-US"/>
        </w:rPr>
        <w:t xml:space="preserve"> age x gender interactions non-significant; Table 2, Figure 2).</w:t>
      </w:r>
    </w:p>
    <w:p w14:paraId="26AA3540" w14:textId="77777777" w:rsidR="00B72108" w:rsidRPr="009E6776" w:rsidRDefault="00B72108" w:rsidP="001C0EEE">
      <w:pPr>
        <w:spacing w:line="480" w:lineRule="auto"/>
        <w:rPr>
          <w:rFonts w:cs="Times New Roman"/>
          <w:lang w:val="en-US"/>
        </w:rPr>
      </w:pPr>
    </w:p>
    <w:p w14:paraId="6AC9AC04" w14:textId="77777777" w:rsidR="00B72108" w:rsidRPr="009E6776" w:rsidRDefault="001C0EEE" w:rsidP="001C0EEE">
      <w:pPr>
        <w:spacing w:line="480" w:lineRule="auto"/>
        <w:rPr>
          <w:rFonts w:cs="Times New Roman"/>
          <w:lang w:val="en-US"/>
        </w:rPr>
      </w:pPr>
      <w:r w:rsidRPr="009E6776">
        <w:rPr>
          <w:rFonts w:cs="Times New Roman"/>
          <w:lang w:val="en-US"/>
        </w:rPr>
        <w:t>[Table 2 here]</w:t>
      </w:r>
    </w:p>
    <w:p w14:paraId="55D91880" w14:textId="77777777" w:rsidR="000E30A6" w:rsidRPr="009E6776" w:rsidRDefault="000E30A6" w:rsidP="001C0EEE">
      <w:pPr>
        <w:spacing w:line="480" w:lineRule="auto"/>
        <w:rPr>
          <w:rFonts w:cs="Times New Roman"/>
          <w:lang w:val="en-US"/>
        </w:rPr>
      </w:pPr>
    </w:p>
    <w:p w14:paraId="048DDADE" w14:textId="77777777" w:rsidR="009F5D46" w:rsidRPr="009E6776" w:rsidRDefault="001C0EEE" w:rsidP="001C0EEE">
      <w:pPr>
        <w:spacing w:line="480" w:lineRule="auto"/>
        <w:rPr>
          <w:rFonts w:cs="Times New Roman"/>
          <w:lang w:val="en-US"/>
        </w:rPr>
      </w:pPr>
      <w:r w:rsidRPr="009E6776">
        <w:rPr>
          <w:rFonts w:cs="Times New Roman"/>
          <w:lang w:val="en-US"/>
        </w:rPr>
        <w:t>[Figure 2 here]</w:t>
      </w:r>
    </w:p>
    <w:p w14:paraId="693B2759" w14:textId="77777777" w:rsidR="00FB12A7" w:rsidRPr="009E6776" w:rsidRDefault="00FB12A7" w:rsidP="001C0EEE">
      <w:pPr>
        <w:spacing w:line="480" w:lineRule="auto"/>
        <w:rPr>
          <w:rFonts w:cs="Times New Roman"/>
          <w:color w:val="000000"/>
          <w:lang w:val="en-US"/>
        </w:rPr>
      </w:pPr>
    </w:p>
    <w:p w14:paraId="1D616E6E" w14:textId="77777777" w:rsidR="008F09CC" w:rsidRPr="009E6776" w:rsidRDefault="008F09CC" w:rsidP="001C0EEE">
      <w:pPr>
        <w:pStyle w:val="Heading2"/>
        <w:tabs>
          <w:tab w:val="left" w:pos="460"/>
        </w:tabs>
        <w:spacing w:line="480" w:lineRule="auto"/>
        <w:ind w:left="0" w:firstLine="0"/>
        <w:contextualSpacing/>
        <w:rPr>
          <w:shd w:val="clear" w:color="auto" w:fill="FFFFFF"/>
        </w:rPr>
      </w:pPr>
      <w:r w:rsidRPr="009E6776">
        <w:rPr>
          <w:shd w:val="clear" w:color="auto" w:fill="FFFFFF"/>
        </w:rPr>
        <w:t>Discussion</w:t>
      </w:r>
    </w:p>
    <w:p w14:paraId="3DD6376C" w14:textId="7EAB7AAD" w:rsidR="008F1C6E" w:rsidRPr="009E6776" w:rsidRDefault="008F09CC" w:rsidP="001C0EEE">
      <w:pPr>
        <w:pStyle w:val="BodyText"/>
        <w:spacing w:line="480" w:lineRule="auto"/>
        <w:ind w:right="477"/>
        <w:contextualSpacing/>
      </w:pPr>
      <w:r w:rsidRPr="009E6776">
        <w:rPr>
          <w:rFonts w:eastAsia="GulimChe"/>
        </w:rPr>
        <w:tab/>
      </w:r>
      <w:r w:rsidR="004652FE" w:rsidRPr="009E6776">
        <w:rPr>
          <w:rFonts w:eastAsia="GulimChe"/>
        </w:rPr>
        <w:t xml:space="preserve">In this community sample of young adults, we investigated how psychological distress, emotion dysregulation, and impulsivity may contribute to </w:t>
      </w:r>
      <w:r w:rsidR="00E33C2D" w:rsidRPr="009E6776">
        <w:rPr>
          <w:rFonts w:eastAsia="GulimChe"/>
        </w:rPr>
        <w:t xml:space="preserve">a </w:t>
      </w:r>
      <w:r w:rsidR="004652FE" w:rsidRPr="009E6776">
        <w:rPr>
          <w:rFonts w:eastAsia="GulimChe"/>
        </w:rPr>
        <w:t xml:space="preserve">higher prevalence of NSSI among women. </w:t>
      </w:r>
      <w:r w:rsidR="002C4BC6" w:rsidRPr="009E6776">
        <w:t xml:space="preserve">Our primary finding was that psychological distress </w:t>
      </w:r>
      <w:r w:rsidR="00712D62" w:rsidRPr="009E6776">
        <w:t xml:space="preserve">statistically </w:t>
      </w:r>
      <w:r w:rsidR="002C4BC6" w:rsidRPr="009E6776">
        <w:t>mediated the relationship between gender and NSSI</w:t>
      </w:r>
      <w:r w:rsidR="0057797F" w:rsidRPr="009E6776">
        <w:t xml:space="preserve"> - w</w:t>
      </w:r>
      <w:r w:rsidR="002C4BC6" w:rsidRPr="009E6776">
        <w:t xml:space="preserve">omen were twice as likely as men to report past-year NSSI, </w:t>
      </w:r>
      <w:r w:rsidR="008F2BCD" w:rsidRPr="009E6776">
        <w:t xml:space="preserve">with over a third of the variance </w:t>
      </w:r>
      <w:r w:rsidR="002C4BC6" w:rsidRPr="009E6776">
        <w:t xml:space="preserve">explained by </w:t>
      </w:r>
      <w:r w:rsidR="00865276" w:rsidRPr="009E6776">
        <w:t xml:space="preserve">women’s </w:t>
      </w:r>
      <w:r w:rsidR="002C4BC6" w:rsidRPr="009E6776">
        <w:t xml:space="preserve">significantly higher levels of distress. </w:t>
      </w:r>
      <w:r w:rsidR="000607D7" w:rsidRPr="009E6776">
        <w:t xml:space="preserve">These findings support our first proposed explanation for the prevalence gap: NSSI is </w:t>
      </w:r>
      <w:r w:rsidR="000607D7">
        <w:t>often</w:t>
      </w:r>
      <w:r w:rsidR="000607D7" w:rsidRPr="009E6776">
        <w:t xml:space="preserve"> used to cope with </w:t>
      </w:r>
      <w:r w:rsidR="000607D7">
        <w:t>negative feelings associated with depression and anxiety (e.g. sadness, nervousness, worthlessness),</w:t>
      </w:r>
      <w:r w:rsidR="000607D7" w:rsidRPr="009E6776">
        <w:t xml:space="preserve"> and women are at higher risk of NSSI because they experience greater levels of </w:t>
      </w:r>
      <w:r w:rsidR="000607D7">
        <w:t>these symptoms</w:t>
      </w:r>
      <w:r w:rsidR="000607D7" w:rsidRPr="009E6776">
        <w:t xml:space="preserve"> than men.</w:t>
      </w:r>
    </w:p>
    <w:p w14:paraId="7D2EE791" w14:textId="4DF085B5" w:rsidR="00694D69" w:rsidRPr="009E6776" w:rsidRDefault="00865276" w:rsidP="001C0EEE">
      <w:pPr>
        <w:pStyle w:val="BodyText"/>
        <w:spacing w:line="480" w:lineRule="auto"/>
        <w:ind w:right="477" w:firstLine="720"/>
        <w:contextualSpacing/>
      </w:pPr>
      <w:r w:rsidRPr="009E6776">
        <w:t>Empirically</w:t>
      </w:r>
      <w:r w:rsidR="00E97593">
        <w:t xml:space="preserve"> </w:t>
      </w:r>
      <w:r w:rsidRPr="009E6776">
        <w:t>supported theory</w:t>
      </w:r>
      <w:r w:rsidR="00694D69" w:rsidRPr="009E6776">
        <w:t xml:space="preserve"> describes how individual (i.e., affective, biological, and cognitive predispositions), interpersonal (e.g., sexual violence), and sociocultural factors (e.g., structural gender inequality, media exposure) interact and contribute to higher levels of depressive symptoms </w:t>
      </w:r>
      <w:r w:rsidR="000607D7">
        <w:t xml:space="preserve">and distress </w:t>
      </w:r>
      <w:r w:rsidR="00694D69" w:rsidRPr="009E6776">
        <w:t xml:space="preserve">in women </w:t>
      </w:r>
      <w:r w:rsidR="00FE22BB" w:rsidRPr="00FE22BB">
        <w:rPr>
          <w:noProof/>
        </w:rPr>
        <w:t>(Hyde &amp; Mezulis, 2020)</w:t>
      </w:r>
      <w:r w:rsidR="00694D69" w:rsidRPr="009E6776">
        <w:t xml:space="preserve">. A greater tendency for rumination coupled with more adverse experiences appears to be particularly </w:t>
      </w:r>
      <w:r w:rsidR="00694D69" w:rsidRPr="009E6776">
        <w:lastRenderedPageBreak/>
        <w:t xml:space="preserve">relevant, both significantly mediating women’s higher levels of </w:t>
      </w:r>
      <w:r w:rsidR="000607D7">
        <w:t>psychological distress</w:t>
      </w:r>
      <w:r w:rsidR="00694D69" w:rsidRPr="009E6776">
        <w:t xml:space="preserve"> </w:t>
      </w:r>
      <w:r w:rsidR="00325AB5" w:rsidRPr="009E6776">
        <w:rPr>
          <w:noProof/>
        </w:rPr>
        <w:t>(Matud et al., 2015; Nolen-Hoeksema, 2012; Nurullah, 2010)</w:t>
      </w:r>
      <w:r w:rsidR="00694D69" w:rsidRPr="009E6776">
        <w:t xml:space="preserve"> and significantly contributing to NSSI risk </w:t>
      </w:r>
      <w:r w:rsidR="00325AB5" w:rsidRPr="009E6776">
        <w:rPr>
          <w:noProof/>
        </w:rPr>
        <w:t>(Voon et al., 2014)</w:t>
      </w:r>
      <w:r w:rsidR="00694D69" w:rsidRPr="009E6776">
        <w:t xml:space="preserve">. However, Hyde and Mezulis’ model emphasizes the equifinality of </w:t>
      </w:r>
      <w:r w:rsidR="000607D7">
        <w:t>this distress</w:t>
      </w:r>
      <w:r w:rsidR="00694D69" w:rsidRPr="009E6776">
        <w:t xml:space="preserve">, explaining that </w:t>
      </w:r>
      <w:r w:rsidR="000607D7">
        <w:t>it</w:t>
      </w:r>
      <w:r w:rsidR="00694D69" w:rsidRPr="009E6776">
        <w:t xml:space="preserve"> result</w:t>
      </w:r>
      <w:r w:rsidR="000607D7">
        <w:t>s</w:t>
      </w:r>
      <w:r w:rsidR="00694D69" w:rsidRPr="009E6776">
        <w:t xml:space="preserve"> from numerous combinations of vulnerability and stress, and that there is no single explanation for women’s higher levels. The underlying reasons for higher prevalence of NSSI in women are likely to be similarly complex. </w:t>
      </w:r>
    </w:p>
    <w:p w14:paraId="0B76A775" w14:textId="49A16CF6" w:rsidR="002C4BC6" w:rsidRPr="009E6776" w:rsidRDefault="00694D69" w:rsidP="001C0EEE">
      <w:pPr>
        <w:spacing w:line="480" w:lineRule="auto"/>
        <w:ind w:firstLine="720"/>
        <w:rPr>
          <w:lang w:val="en-US"/>
        </w:rPr>
      </w:pPr>
      <w:r w:rsidRPr="00DA5D88">
        <w:rPr>
          <w:lang w:val="en-US"/>
        </w:rPr>
        <w:t>In addition to psychological distress, positive urgency and sensation seeking were identified as potential mediators.</w:t>
      </w:r>
      <w:r w:rsidR="00865276" w:rsidRPr="00DA5D88">
        <w:rPr>
          <w:lang w:val="en-US"/>
        </w:rPr>
        <w:t xml:space="preserve"> We</w:t>
      </w:r>
      <w:r w:rsidR="00712D62" w:rsidRPr="009E6776">
        <w:rPr>
          <w:rFonts w:cs="Times New Roman"/>
          <w:kern w:val="1"/>
          <w:lang w:val="en-US"/>
        </w:rPr>
        <w:t xml:space="preserve"> </w:t>
      </w:r>
      <w:r w:rsidR="00865276" w:rsidRPr="009E6776">
        <w:rPr>
          <w:rFonts w:cs="Times New Roman"/>
          <w:kern w:val="1"/>
          <w:lang w:val="en-US"/>
        </w:rPr>
        <w:t>found</w:t>
      </w:r>
      <w:r w:rsidRPr="009E6776">
        <w:rPr>
          <w:rFonts w:cs="Times New Roman"/>
          <w:kern w:val="1"/>
          <w:lang w:val="en-US"/>
        </w:rPr>
        <w:t xml:space="preserve"> </w:t>
      </w:r>
      <w:r w:rsidR="002C4BC6" w:rsidRPr="009E6776">
        <w:rPr>
          <w:rFonts w:cs="Times New Roman"/>
          <w:kern w:val="1"/>
          <w:lang w:val="en-US"/>
        </w:rPr>
        <w:t xml:space="preserve">a negative </w:t>
      </w:r>
      <w:r w:rsidR="008F2BCD" w:rsidRPr="009E6776">
        <w:rPr>
          <w:rFonts w:cs="Times New Roman"/>
          <w:kern w:val="1"/>
          <w:lang w:val="en-US"/>
        </w:rPr>
        <w:t xml:space="preserve">statistically </w:t>
      </w:r>
      <w:r w:rsidR="002C4BC6" w:rsidRPr="009E6776">
        <w:rPr>
          <w:rFonts w:cs="Times New Roman"/>
          <w:kern w:val="1"/>
          <w:lang w:val="en-US"/>
        </w:rPr>
        <w:t>mediating effect of positive urgency</w:t>
      </w:r>
      <w:r w:rsidR="00712D62" w:rsidRPr="009E6776">
        <w:rPr>
          <w:rFonts w:cs="Times New Roman"/>
          <w:kern w:val="1"/>
          <w:lang w:val="en-US"/>
        </w:rPr>
        <w:t xml:space="preserve"> on NSSI</w:t>
      </w:r>
      <w:r w:rsidR="002C4BC6" w:rsidRPr="009E6776">
        <w:rPr>
          <w:rFonts w:cs="Times New Roman"/>
          <w:kern w:val="1"/>
          <w:lang w:val="en-US"/>
        </w:rPr>
        <w:t>. Positive urgency likely weakened the overall association between gender and NSSI because men displayed higher positive urgency, which was associated with NSSI</w:t>
      </w:r>
      <w:r w:rsidRPr="009E6776">
        <w:rPr>
          <w:rFonts w:cs="Times New Roman"/>
          <w:kern w:val="1"/>
          <w:lang w:val="en-US"/>
        </w:rPr>
        <w:t>,</w:t>
      </w:r>
      <w:r w:rsidR="002C4BC6" w:rsidRPr="009E6776">
        <w:rPr>
          <w:rFonts w:cs="Times New Roman"/>
          <w:kern w:val="1"/>
          <w:lang w:val="en-US"/>
        </w:rPr>
        <w:t xml:space="preserve"> yet women were more likely to report NSSI.</w:t>
      </w:r>
      <w:r w:rsidR="002C4BC6" w:rsidRPr="009E6776">
        <w:rPr>
          <w:rFonts w:cs="Times New Roman"/>
          <w:lang w:val="en-US"/>
        </w:rPr>
        <w:t xml:space="preserve"> </w:t>
      </w:r>
      <w:r w:rsidRPr="009E6776">
        <w:rPr>
          <w:rFonts w:cs="Times New Roman"/>
          <w:lang w:val="en-US"/>
        </w:rPr>
        <w:t>Researchers have</w:t>
      </w:r>
      <w:r w:rsidR="002C4BC6" w:rsidRPr="009E6776">
        <w:rPr>
          <w:rFonts w:cs="Times New Roman"/>
          <w:lang w:val="en-US"/>
        </w:rPr>
        <w:t xml:space="preserve"> begun to investigate the relationship between gender, positive urgency, and NSSI </w:t>
      </w:r>
      <w:r w:rsidR="008F700E" w:rsidRPr="009E6776">
        <w:rPr>
          <w:rFonts w:cs="Times New Roman"/>
          <w:noProof/>
          <w:lang w:val="en-US"/>
        </w:rPr>
        <w:t>(Peckham et al., 2020)</w:t>
      </w:r>
      <w:r w:rsidR="008F700E" w:rsidRPr="009E6776">
        <w:rPr>
          <w:rFonts w:cs="Times New Roman"/>
          <w:lang w:val="en-US"/>
        </w:rPr>
        <w:t xml:space="preserve"> </w:t>
      </w:r>
      <w:r w:rsidR="002C4BC6" w:rsidRPr="009E6776">
        <w:rPr>
          <w:rFonts w:cs="Times New Roman"/>
          <w:lang w:val="en-US"/>
        </w:rPr>
        <w:t xml:space="preserve">based on evidence that men report higher positive urgency than women </w:t>
      </w:r>
      <w:r w:rsidR="002C4BC6" w:rsidRPr="009E6776">
        <w:rPr>
          <w:rFonts w:cs="Times New Roman"/>
          <w:noProof/>
          <w:lang w:val="en-US"/>
        </w:rPr>
        <w:t>(Cyders, 2013)</w:t>
      </w:r>
      <w:r w:rsidR="002C4BC6" w:rsidRPr="009E6776">
        <w:rPr>
          <w:rFonts w:cs="Times New Roman"/>
          <w:lang w:val="en-US"/>
        </w:rPr>
        <w:t xml:space="preserve"> and more risky </w:t>
      </w:r>
      <w:r w:rsidR="0096080B" w:rsidRPr="009E6776">
        <w:rPr>
          <w:rFonts w:cs="Times New Roman"/>
          <w:lang w:val="en-US"/>
        </w:rPr>
        <w:t>behaviors</w:t>
      </w:r>
      <w:r w:rsidR="002C4BC6" w:rsidRPr="009E6776">
        <w:rPr>
          <w:rFonts w:cs="Times New Roman"/>
          <w:lang w:val="en-US"/>
        </w:rPr>
        <w:t xml:space="preserve"> while experiencing positive affect </w:t>
      </w:r>
      <w:r w:rsidR="002C4BC6" w:rsidRPr="009E6776">
        <w:rPr>
          <w:rFonts w:cs="Times New Roman"/>
          <w:noProof/>
          <w:lang w:val="en-US"/>
        </w:rPr>
        <w:t>(Cyders &amp; Smith, 2010)</w:t>
      </w:r>
      <w:r w:rsidR="002C4BC6" w:rsidRPr="009E6776">
        <w:rPr>
          <w:rFonts w:cs="Times New Roman"/>
          <w:lang w:val="en-US"/>
        </w:rPr>
        <w:t xml:space="preserve">. </w:t>
      </w:r>
      <w:r w:rsidRPr="009E6776">
        <w:rPr>
          <w:lang w:val="en-US"/>
        </w:rPr>
        <w:t xml:space="preserve">However, most </w:t>
      </w:r>
      <w:r w:rsidR="00865276" w:rsidRPr="009E6776">
        <w:rPr>
          <w:lang w:val="en-US"/>
        </w:rPr>
        <w:t>literature</w:t>
      </w:r>
      <w:r w:rsidRPr="009E6776">
        <w:rPr>
          <w:lang w:val="en-US"/>
        </w:rPr>
        <w:t xml:space="preserve"> has focused on NSSI in the context of negative emotions. Future research should elucidate whether impulsivity while experiencing positive </w:t>
      </w:r>
      <w:r w:rsidR="0015132C">
        <w:rPr>
          <w:lang w:val="en-US"/>
        </w:rPr>
        <w:t>affect</w:t>
      </w:r>
      <w:r w:rsidRPr="009E6776">
        <w:rPr>
          <w:lang w:val="en-US"/>
        </w:rPr>
        <w:t xml:space="preserve"> directly contributes to NSSI engagement, and whether this is particularly relevant to NSSI among men.</w:t>
      </w:r>
    </w:p>
    <w:p w14:paraId="6202D7B1" w14:textId="77777777" w:rsidR="00694D69" w:rsidRPr="009E6776" w:rsidRDefault="00694D69" w:rsidP="001C0EEE">
      <w:pPr>
        <w:pStyle w:val="BodyText"/>
        <w:spacing w:line="480" w:lineRule="auto"/>
        <w:ind w:right="477" w:firstLine="720"/>
        <w:contextualSpacing/>
      </w:pPr>
      <w:r w:rsidRPr="009E6776">
        <w:t xml:space="preserve">The relationship between sensation seeking and NSSI is also ambiguous. Men reported significantly higher levels than women, consistent with past work identifying sensation seeking as one of the few psychological traits to show meaningful gender differences </w:t>
      </w:r>
      <w:r w:rsidR="00FE22BB" w:rsidRPr="00FE22BB">
        <w:rPr>
          <w:noProof/>
        </w:rPr>
        <w:t>(Argyriou et al., 2020; Hyde, 2014)</w:t>
      </w:r>
      <w:r w:rsidRPr="009E6776">
        <w:t xml:space="preserve">. However, in contrast with previous studies </w:t>
      </w:r>
      <w:r w:rsidRPr="009E6776">
        <w:rPr>
          <w:noProof/>
        </w:rPr>
        <w:t>(Lockwood et al., 2017)</w:t>
      </w:r>
      <w:r w:rsidRPr="009E6776">
        <w:t xml:space="preserve">, we found that NSSI was significantly associated with lower, rather </w:t>
      </w:r>
      <w:r w:rsidRPr="009E6776">
        <w:lastRenderedPageBreak/>
        <w:t xml:space="preserve">than higher, sensation seeking. We might therefore expect lower levels of sensation seeking in women to contribute to their higher rates of NSSI in this sample, yet the mediation analysis was non-significant. Many people describe self-injuring to generate exhilaration or excitement </w:t>
      </w:r>
      <w:r w:rsidRPr="009E6776">
        <w:rPr>
          <w:noProof/>
        </w:rPr>
        <w:t>(Edmondson et al., 2016)</w:t>
      </w:r>
      <w:r w:rsidRPr="009E6776">
        <w:t xml:space="preserve">, suggesting a direct connection between sensation seeking and NSSI. </w:t>
      </w:r>
      <w:r w:rsidR="00865276" w:rsidRPr="009E6776">
        <w:t>A</w:t>
      </w:r>
      <w:r w:rsidRPr="009E6776">
        <w:t>dditional research clarifying the relationship is needed.</w:t>
      </w:r>
    </w:p>
    <w:p w14:paraId="2219973D" w14:textId="1CB9340B" w:rsidR="008F1C6E" w:rsidRPr="009E6776" w:rsidRDefault="00D54C72" w:rsidP="001C0EEE">
      <w:pPr>
        <w:pStyle w:val="BodyText"/>
        <w:spacing w:line="480" w:lineRule="auto"/>
        <w:ind w:right="477" w:firstLine="720"/>
        <w:contextualSpacing/>
      </w:pPr>
      <w:r w:rsidRPr="009E6776">
        <w:t>W</w:t>
      </w:r>
      <w:r w:rsidR="002C4BC6" w:rsidRPr="009E6776">
        <w:t xml:space="preserve">e found no evidence </w:t>
      </w:r>
      <w:r w:rsidR="00694D69" w:rsidRPr="009E6776">
        <w:t xml:space="preserve">for our second explanation of the prevalence gap; women are not more likely to </w:t>
      </w:r>
      <w:r w:rsidR="000607D7">
        <w:t>engage in</w:t>
      </w:r>
      <w:r w:rsidR="00694D69" w:rsidRPr="009E6776">
        <w:t xml:space="preserve"> NSSI due to differences in their response to distress. Levels of emotion dysregulation and negative urgency did not differ by gender</w:t>
      </w:r>
      <w:r w:rsidR="0015132C">
        <w:t>,</w:t>
      </w:r>
      <w:r w:rsidR="00694D69" w:rsidRPr="009E6776">
        <w:t xml:space="preserve"> and all moderation analyses were non-significant – at similar levels of psychological distress, emotion dysregulation, and impulsivity, men and women are similarly likely to </w:t>
      </w:r>
      <w:r w:rsidR="000607D7">
        <w:t>engage in</w:t>
      </w:r>
      <w:r w:rsidR="00694D69" w:rsidRPr="009E6776">
        <w:t xml:space="preserve"> NSSI. Consistent with this,</w:t>
      </w:r>
      <w:r w:rsidR="002C4BC6" w:rsidRPr="009E6776">
        <w:t xml:space="preserve"> UPPS-P subscales are similarly associated with risky </w:t>
      </w:r>
      <w:r w:rsidR="0096080B" w:rsidRPr="009E6776">
        <w:t>behaviors</w:t>
      </w:r>
      <w:r w:rsidR="002C4BC6" w:rsidRPr="009E6776">
        <w:t xml:space="preserve"> across genders </w:t>
      </w:r>
      <w:r w:rsidR="002C4BC6" w:rsidRPr="009E6776">
        <w:rPr>
          <w:noProof/>
        </w:rPr>
        <w:t>(Cyders, 2013)</w:t>
      </w:r>
      <w:r w:rsidR="000607D7">
        <w:t>, and</w:t>
      </w:r>
      <w:r w:rsidR="002C4BC6" w:rsidRPr="009E6776">
        <w:t xml:space="preserve"> gender does not moderate the relationships between emotion dysregulation, positive urgency, or negative urgency and NSSI </w:t>
      </w:r>
      <w:r w:rsidR="002C4BC6" w:rsidRPr="009E6776">
        <w:rPr>
          <w:noProof/>
        </w:rPr>
        <w:t>(Peckham et al., 2020; Wolff et al., 2019)</w:t>
      </w:r>
      <w:r w:rsidR="000607D7">
        <w:t xml:space="preserve">. Furthermore, </w:t>
      </w:r>
      <w:r w:rsidR="00694D69" w:rsidRPr="009E6776">
        <w:t xml:space="preserve">longitudinal associations between depressive symptoms and NSSI does not differ between adolescent boys and girls </w:t>
      </w:r>
      <w:r w:rsidR="00325AB5" w:rsidRPr="009E6776">
        <w:rPr>
          <w:noProof/>
        </w:rPr>
        <w:t>(Tilton-Weaver et al., 2019)</w:t>
      </w:r>
      <w:r w:rsidR="00694D69" w:rsidRPr="009E6776">
        <w:t>.</w:t>
      </w:r>
      <w:r w:rsidR="000607D7">
        <w:t xml:space="preserve"> We have found that psychological distress, emotion dysregulation, and impulsivity, which have shown significant associations with NSSI in primarily female samples, are similarly associated with NSSI in men.</w:t>
      </w:r>
    </w:p>
    <w:p w14:paraId="08C0ED24" w14:textId="7FBE2440" w:rsidR="00694D69" w:rsidRPr="009E6776" w:rsidRDefault="00694D69" w:rsidP="001C0EEE">
      <w:pPr>
        <w:pStyle w:val="BodyText"/>
        <w:spacing w:line="480" w:lineRule="auto"/>
        <w:ind w:right="477" w:firstLine="720"/>
        <w:contextualSpacing/>
      </w:pPr>
      <w:r w:rsidRPr="009E6776">
        <w:t xml:space="preserve">Past research on NSSI and gender has focused on differences between women and men </w:t>
      </w:r>
      <w:r w:rsidRPr="009E6776">
        <w:rPr>
          <w:noProof/>
        </w:rPr>
        <w:t>(Bresin &amp; Schoenleber, 2015; Victor et al., 2018; Whitlock et al., 2011)</w:t>
      </w:r>
      <w:r w:rsidRPr="009E6776">
        <w:t xml:space="preserve">. This emphasis on gender differences is dominant across disciplines </w:t>
      </w:r>
      <w:r w:rsidR="00FE22BB" w:rsidRPr="00FE22BB">
        <w:rPr>
          <w:noProof/>
        </w:rPr>
        <w:t>(Hyde, 2014)</w:t>
      </w:r>
      <w:r w:rsidRPr="009E6776">
        <w:t xml:space="preserve">, however, alternative frameworks exist. Our findings are consistent with Hyde’s </w:t>
      </w:r>
      <w:r w:rsidRPr="009E6776">
        <w:rPr>
          <w:i/>
          <w:iCs/>
        </w:rPr>
        <w:t>Gender Similarities Hypothesis</w:t>
      </w:r>
      <w:r w:rsidRPr="009E6776">
        <w:t xml:space="preserve"> (2005) which asserts that women and men are similar across most psychological domains, </w:t>
      </w:r>
      <w:r w:rsidRPr="009E6776">
        <w:lastRenderedPageBreak/>
        <w:t xml:space="preserve">including their experience of emotion. Our findings also parallel conclusions that “the similarities between men and women in emotion regulation are greater than the differences” </w:t>
      </w:r>
      <w:r w:rsidRPr="009E6776">
        <w:rPr>
          <w:noProof/>
        </w:rPr>
        <w:t>(Nolen-Hoeksema, 2012</w:t>
      </w:r>
      <w:r w:rsidR="002F7016">
        <w:rPr>
          <w:noProof/>
        </w:rPr>
        <w:t xml:space="preserve">, </w:t>
      </w:r>
      <w:r w:rsidRPr="009E6776">
        <w:t>p</w:t>
      </w:r>
      <w:r w:rsidR="00C757CB">
        <w:t>p</w:t>
      </w:r>
      <w:r w:rsidRPr="009E6776">
        <w:t xml:space="preserve">. 176), and that men and women do not meaningfully differ on most NSSI characteristics </w:t>
      </w:r>
      <w:r w:rsidRPr="009E6776">
        <w:rPr>
          <w:noProof/>
        </w:rPr>
        <w:t>(Victor et al., 2018)</w:t>
      </w:r>
      <w:r w:rsidRPr="009E6776">
        <w:t>.</w:t>
      </w:r>
    </w:p>
    <w:p w14:paraId="6C563F57" w14:textId="77777777" w:rsidR="00694D69" w:rsidRPr="009E6776" w:rsidRDefault="00694D69" w:rsidP="00694D69">
      <w:pPr>
        <w:pStyle w:val="BodyText"/>
        <w:spacing w:line="480" w:lineRule="auto"/>
        <w:ind w:right="477"/>
        <w:contextualSpacing/>
      </w:pPr>
    </w:p>
    <w:p w14:paraId="43C8CE76" w14:textId="77777777" w:rsidR="00694D69" w:rsidRPr="00DA5D88" w:rsidRDefault="00694D69" w:rsidP="00DA5D88">
      <w:pPr>
        <w:pStyle w:val="BodyText"/>
        <w:spacing w:line="480" w:lineRule="auto"/>
        <w:ind w:right="477"/>
        <w:contextualSpacing/>
        <w:rPr>
          <w:b/>
          <w:bCs/>
          <w:i/>
          <w:iCs/>
        </w:rPr>
      </w:pPr>
      <w:r w:rsidRPr="00DA5D88">
        <w:rPr>
          <w:b/>
          <w:bCs/>
          <w:i/>
          <w:iCs/>
        </w:rPr>
        <w:t>Age effects</w:t>
      </w:r>
    </w:p>
    <w:p w14:paraId="09A56767" w14:textId="3996FBBB" w:rsidR="008F1C6E" w:rsidRPr="00DA5D88" w:rsidRDefault="00694D69" w:rsidP="00694D69">
      <w:pPr>
        <w:pStyle w:val="BodyText"/>
        <w:spacing w:line="480" w:lineRule="auto"/>
        <w:ind w:right="477" w:firstLine="720"/>
        <w:contextualSpacing/>
      </w:pPr>
      <w:r w:rsidRPr="009E6776">
        <w:t xml:space="preserve">Our results are consistent with meta-analytic findings that age does not moderate the gender prevalence gap </w:t>
      </w:r>
      <w:r w:rsidR="00AA02C3">
        <w:t xml:space="preserve">in early adulthood </w:t>
      </w:r>
      <w:r w:rsidRPr="009E6776">
        <w:rPr>
          <w:noProof/>
        </w:rPr>
        <w:t>(Bresin &amp; Schoenleber, 2015)</w:t>
      </w:r>
      <w:r w:rsidRPr="009E6776">
        <w:t xml:space="preserve">. </w:t>
      </w:r>
      <w:r w:rsidR="002E3674">
        <w:t xml:space="preserve">However, all participants were aged at least 18, </w:t>
      </w:r>
      <w:r w:rsidR="00E97593">
        <w:t>so these results may</w:t>
      </w:r>
      <w:r w:rsidR="002E3674">
        <w:t xml:space="preserve"> not generalize to adolescents. </w:t>
      </w:r>
      <w:r w:rsidRPr="009E6776">
        <w:t xml:space="preserve">Contrary to expectation, past-year NSSI did not </w:t>
      </w:r>
      <w:r w:rsidRPr="009E6776">
        <w:rPr>
          <w:rFonts w:eastAsia="GulimChe"/>
        </w:rPr>
        <w:t xml:space="preserve">significantly decrease with age, and </w:t>
      </w:r>
      <w:r w:rsidR="00865276" w:rsidRPr="009E6776">
        <w:rPr>
          <w:rFonts w:eastAsia="GulimChe"/>
        </w:rPr>
        <w:t>p</w:t>
      </w:r>
      <w:r w:rsidR="00865276" w:rsidRPr="009E6776">
        <w:t xml:space="preserve">articipants here disclosed much higher lifetime and past-year NSSI rates than those reported in past studies of young adults </w:t>
      </w:r>
      <w:r w:rsidR="00325AB5" w:rsidRPr="009E6776">
        <w:rPr>
          <w:noProof/>
        </w:rPr>
        <w:t>(Moran et al., 2012; Swannell et al., 2014; Taliaferro &amp; Muehlenkamp, 2015)</w:t>
      </w:r>
      <w:r w:rsidR="00865276" w:rsidRPr="009E6776">
        <w:t xml:space="preserve">. </w:t>
      </w:r>
      <w:r w:rsidRPr="009E6776">
        <w:t>E</w:t>
      </w:r>
      <w:r w:rsidRPr="009E6776">
        <w:rPr>
          <w:rFonts w:eastAsia="GulimChe"/>
        </w:rPr>
        <w:t xml:space="preserve">ndorsement of NSSI </w:t>
      </w:r>
      <w:r w:rsidRPr="009E6776">
        <w:t>is thought to be highest in mid-adolescence before declining into young adulthood</w:t>
      </w:r>
      <w:r w:rsidRPr="009E6776">
        <w:rPr>
          <w:rFonts w:eastAsia="GulimChe"/>
        </w:rPr>
        <w:t xml:space="preserve"> </w:t>
      </w:r>
      <w:r w:rsidRPr="009E6776">
        <w:rPr>
          <w:noProof/>
        </w:rPr>
        <w:t>(Daukantaitė et al., 2020; Plener et al., 2015)</w:t>
      </w:r>
      <w:r w:rsidR="00DC077C" w:rsidRPr="009E6776">
        <w:rPr>
          <w:rFonts w:eastAsia="GulimChe"/>
        </w:rPr>
        <w:t xml:space="preserve"> leading to assertions that </w:t>
      </w:r>
      <w:r w:rsidR="00DC077C" w:rsidRPr="009E6776">
        <w:t xml:space="preserve">“most self-harming </w:t>
      </w:r>
      <w:r w:rsidR="0096080B" w:rsidRPr="009E6776">
        <w:t>behavior</w:t>
      </w:r>
      <w:r w:rsidR="00DC077C" w:rsidRPr="009E6776">
        <w:t xml:space="preserve"> in adolescents resolves spontaneously” </w:t>
      </w:r>
      <w:r w:rsidR="00DC077C" w:rsidRPr="009E6776">
        <w:rPr>
          <w:noProof/>
        </w:rPr>
        <w:t>(Moran et al., 2012</w:t>
      </w:r>
      <w:r w:rsidR="002F7016">
        <w:t xml:space="preserve">, </w:t>
      </w:r>
      <w:r w:rsidRPr="009E6776">
        <w:t>p</w:t>
      </w:r>
      <w:r w:rsidR="00C757CB">
        <w:t>p</w:t>
      </w:r>
      <w:r w:rsidRPr="009E6776">
        <w:t>. 236)</w:t>
      </w:r>
      <w:r w:rsidR="00DC077C" w:rsidRPr="009E6776">
        <w:t xml:space="preserve">. </w:t>
      </w:r>
      <w:r w:rsidRPr="009E6776">
        <w:t>Th</w:t>
      </w:r>
      <w:r w:rsidR="00846D99" w:rsidRPr="009E6776">
        <w:rPr>
          <w:rFonts w:eastAsia="GulimChe"/>
        </w:rPr>
        <w:t>e true scope of NSSI among young adults</w:t>
      </w:r>
      <w:r w:rsidR="00865276" w:rsidRPr="009E6776">
        <w:rPr>
          <w:rFonts w:eastAsia="GulimChe"/>
        </w:rPr>
        <w:t xml:space="preserve"> </w:t>
      </w:r>
      <w:r w:rsidR="00846D99" w:rsidRPr="009E6776">
        <w:rPr>
          <w:rFonts w:eastAsia="GulimChe"/>
        </w:rPr>
        <w:t>and the reason for discrepancies</w:t>
      </w:r>
      <w:r w:rsidR="00865276" w:rsidRPr="009E6776">
        <w:rPr>
          <w:rFonts w:eastAsia="GulimChe"/>
        </w:rPr>
        <w:t xml:space="preserve"> </w:t>
      </w:r>
      <w:r w:rsidR="00846D99" w:rsidRPr="009E6776">
        <w:rPr>
          <w:rFonts w:eastAsia="GulimChe"/>
        </w:rPr>
        <w:t xml:space="preserve">remain unclear. </w:t>
      </w:r>
    </w:p>
    <w:p w14:paraId="297C886D" w14:textId="2101BCAE" w:rsidR="005F2151" w:rsidRPr="009E6776" w:rsidRDefault="00694D69" w:rsidP="001C0EEE">
      <w:pPr>
        <w:pStyle w:val="BodyText"/>
        <w:spacing w:line="480" w:lineRule="auto"/>
        <w:ind w:right="477" w:firstLine="720"/>
        <w:contextualSpacing/>
      </w:pPr>
      <w:r w:rsidRPr="009E6776">
        <w:rPr>
          <w:rFonts w:eastAsia="GulimChe"/>
        </w:rPr>
        <w:t>Some participants may have</w:t>
      </w:r>
      <w:r w:rsidR="00CD5F07" w:rsidRPr="009E6776">
        <w:rPr>
          <w:rFonts w:eastAsia="GulimChe"/>
        </w:rPr>
        <w:t xml:space="preserve"> previously ceased NSSI but returned to th</w:t>
      </w:r>
      <w:r w:rsidR="00D827B6" w:rsidRPr="009E6776">
        <w:rPr>
          <w:rFonts w:eastAsia="GulimChe"/>
        </w:rPr>
        <w:t>is</w:t>
      </w:r>
      <w:r w:rsidR="00CD5F07" w:rsidRPr="009E6776">
        <w:rPr>
          <w:rFonts w:eastAsia="GulimChe"/>
        </w:rPr>
        <w:t xml:space="preserve"> </w:t>
      </w:r>
      <w:r w:rsidR="0096080B" w:rsidRPr="009E6776">
        <w:rPr>
          <w:rFonts w:eastAsia="GulimChe"/>
        </w:rPr>
        <w:t>behavior</w:t>
      </w:r>
      <w:r w:rsidR="00CD5F07" w:rsidRPr="009E6776">
        <w:rPr>
          <w:rFonts w:eastAsia="GulimChe"/>
        </w:rPr>
        <w:t xml:space="preserve"> to cope with worsening mental health</w:t>
      </w:r>
      <w:r w:rsidR="00F34BBB" w:rsidRPr="009E6776">
        <w:rPr>
          <w:rFonts w:eastAsia="GulimChe"/>
        </w:rPr>
        <w:t xml:space="preserve"> during the COVID-19 pandemic</w:t>
      </w:r>
      <w:r w:rsidR="004C52D6" w:rsidRPr="009E6776">
        <w:rPr>
          <w:rFonts w:eastAsia="GulimChe"/>
        </w:rPr>
        <w:t xml:space="preserve">. </w:t>
      </w:r>
      <w:r w:rsidRPr="009E6776">
        <w:t xml:space="preserve">Both clinical and community samples show increasing psychiatric symptoms and psychological distress during the pandemic, more so for women than men </w:t>
      </w:r>
      <w:r w:rsidR="00325AB5" w:rsidRPr="009E6776">
        <w:rPr>
          <w:noProof/>
        </w:rPr>
        <w:t>(Vindegaard &amp; Benros, 2020; Wang et al., 2020)</w:t>
      </w:r>
      <w:r w:rsidRPr="009E6776">
        <w:t xml:space="preserve">. </w:t>
      </w:r>
      <w:r w:rsidRPr="009E6776">
        <w:rPr>
          <w:rFonts w:eastAsia="GulimChe"/>
        </w:rPr>
        <w:t>E</w:t>
      </w:r>
      <w:r w:rsidR="00216511" w:rsidRPr="009E6776">
        <w:rPr>
          <w:rFonts w:eastAsia="GulimChe"/>
        </w:rPr>
        <w:t xml:space="preserve">xperts have expressed concern that </w:t>
      </w:r>
      <w:r w:rsidR="000863BB" w:rsidRPr="009E6776">
        <w:rPr>
          <w:rFonts w:eastAsia="GulimChe"/>
        </w:rPr>
        <w:t xml:space="preserve">the reduction of face-to-face mental health services and accumulation </w:t>
      </w:r>
      <w:r w:rsidR="00E103D8" w:rsidRPr="009E6776">
        <w:rPr>
          <w:rFonts w:eastAsia="GulimChe"/>
        </w:rPr>
        <w:t>of</w:t>
      </w:r>
      <w:r w:rsidR="000863BB" w:rsidRPr="009E6776">
        <w:rPr>
          <w:rFonts w:eastAsia="GulimChe"/>
        </w:rPr>
        <w:t xml:space="preserve"> risk factors </w:t>
      </w:r>
      <w:r w:rsidR="00846998" w:rsidRPr="009E6776">
        <w:rPr>
          <w:rFonts w:eastAsia="GulimChe"/>
        </w:rPr>
        <w:t>will</w:t>
      </w:r>
      <w:r w:rsidR="000863BB" w:rsidRPr="009E6776">
        <w:rPr>
          <w:rFonts w:eastAsia="GulimChe"/>
        </w:rPr>
        <w:t xml:space="preserve"> lead to a “steep increase in NSSI” </w:t>
      </w:r>
      <w:r w:rsidR="000863BB" w:rsidRPr="009E6776">
        <w:rPr>
          <w:rFonts w:eastAsia="GulimChe"/>
          <w:noProof/>
        </w:rPr>
        <w:t xml:space="preserve">(Plener, </w:t>
      </w:r>
      <w:r w:rsidR="000863BB" w:rsidRPr="009E6776">
        <w:rPr>
          <w:rFonts w:eastAsia="GulimChe"/>
          <w:noProof/>
        </w:rPr>
        <w:lastRenderedPageBreak/>
        <w:t>2021)</w:t>
      </w:r>
      <w:r w:rsidR="000863BB" w:rsidRPr="009E6776">
        <w:rPr>
          <w:rFonts w:eastAsia="GulimChe"/>
        </w:rPr>
        <w:t xml:space="preserve">. </w:t>
      </w:r>
      <w:r w:rsidR="00CD5F07" w:rsidRPr="009E6776">
        <w:rPr>
          <w:rFonts w:eastAsia="GulimChe"/>
        </w:rPr>
        <w:t xml:space="preserve">However, </w:t>
      </w:r>
      <w:r w:rsidR="00F34BBB" w:rsidRPr="009E6776">
        <w:rPr>
          <w:rFonts w:eastAsia="GulimChe"/>
        </w:rPr>
        <w:t>we found no evidence of such an increase</w:t>
      </w:r>
      <w:r w:rsidR="006156DD" w:rsidRPr="009E6776">
        <w:rPr>
          <w:rFonts w:eastAsia="GulimChe"/>
        </w:rPr>
        <w:t xml:space="preserve"> in this cohort</w:t>
      </w:r>
      <w:r w:rsidR="00F34BBB" w:rsidRPr="009E6776">
        <w:rPr>
          <w:rFonts w:eastAsia="GulimChe"/>
        </w:rPr>
        <w:t xml:space="preserve"> – compared to data collected during a separate NSPN follow-up in 2017-2018, past-year NSSI prevalence here was</w:t>
      </w:r>
      <w:r w:rsidR="006156DD" w:rsidRPr="009E6776">
        <w:rPr>
          <w:rFonts w:eastAsia="GulimChe"/>
        </w:rPr>
        <w:t xml:space="preserve"> numerically</w:t>
      </w:r>
      <w:r w:rsidR="00F34BBB" w:rsidRPr="009E6776">
        <w:rPr>
          <w:rFonts w:eastAsia="GulimChe"/>
        </w:rPr>
        <w:t xml:space="preserve"> (though not statistically significantly) lower. </w:t>
      </w:r>
      <w:r w:rsidR="00A86602" w:rsidRPr="009E6776">
        <w:rPr>
          <w:rFonts w:eastAsia="GulimChe"/>
        </w:rPr>
        <w:t xml:space="preserve">Longitudinal research examining the impact of the pandemic on NSSI </w:t>
      </w:r>
      <w:r w:rsidR="00526A2B" w:rsidRPr="009E6776">
        <w:rPr>
          <w:rFonts w:eastAsia="GulimChe"/>
        </w:rPr>
        <w:t>is needed.</w:t>
      </w:r>
    </w:p>
    <w:p w14:paraId="298A854E" w14:textId="77777777" w:rsidR="00E2039E" w:rsidRPr="009E6776" w:rsidRDefault="00E2039E" w:rsidP="001C0EEE">
      <w:pPr>
        <w:pStyle w:val="BodyText"/>
        <w:spacing w:line="480" w:lineRule="auto"/>
        <w:ind w:right="477"/>
        <w:contextualSpacing/>
      </w:pPr>
    </w:p>
    <w:p w14:paraId="4228D4A8" w14:textId="77777777" w:rsidR="0075611C" w:rsidRPr="009E6776" w:rsidRDefault="00BF4D64" w:rsidP="001C0EEE">
      <w:pPr>
        <w:pStyle w:val="BodyText"/>
        <w:spacing w:line="480" w:lineRule="auto"/>
        <w:ind w:right="477"/>
        <w:contextualSpacing/>
        <w:rPr>
          <w:i/>
          <w:iCs/>
        </w:rPr>
      </w:pPr>
      <w:r w:rsidRPr="009E6776">
        <w:rPr>
          <w:b/>
          <w:bCs/>
          <w:i/>
          <w:iCs/>
        </w:rPr>
        <w:t>Limitations</w:t>
      </w:r>
    </w:p>
    <w:p w14:paraId="33730A46" w14:textId="10F64128" w:rsidR="00350E8E" w:rsidRPr="009E6776" w:rsidRDefault="008F2BCD" w:rsidP="001C0EEE">
      <w:pPr>
        <w:pStyle w:val="BodyText"/>
        <w:spacing w:line="480" w:lineRule="auto"/>
        <w:ind w:right="477" w:firstLine="720"/>
        <w:contextualSpacing/>
      </w:pPr>
      <w:r w:rsidRPr="009E6776">
        <w:rPr>
          <w:rFonts w:eastAsia="GulimChe"/>
        </w:rPr>
        <w:t>The data reported here are cross-sectional</w:t>
      </w:r>
      <w:r w:rsidR="00350E8E" w:rsidRPr="009E6776">
        <w:rPr>
          <w:rFonts w:eastAsia="GulimChe"/>
        </w:rPr>
        <w:t xml:space="preserve"> and so we cannot demonstrate true mediation</w:t>
      </w:r>
      <w:r w:rsidRPr="009E6776">
        <w:rPr>
          <w:rFonts w:eastAsia="GulimChe"/>
        </w:rPr>
        <w:t>, but rather statistical mediation</w:t>
      </w:r>
      <w:r w:rsidR="00350E8E" w:rsidRPr="009E6776">
        <w:rPr>
          <w:rFonts w:eastAsia="GulimChe"/>
        </w:rPr>
        <w:t xml:space="preserve">. Longitudinal associations between NSSI and the variables considered here are likely complex and bi-directional, as shown in previous waves of NSPN data </w:t>
      </w:r>
      <w:r w:rsidR="003E7794" w:rsidRPr="009E6776">
        <w:rPr>
          <w:rFonts w:eastAsia="GulimChe"/>
          <w:noProof/>
        </w:rPr>
        <w:t>(Cassels et al., 2020; Polek et al., 2020)</w:t>
      </w:r>
      <w:r w:rsidR="00350E8E" w:rsidRPr="009E6776">
        <w:rPr>
          <w:rFonts w:eastAsia="GulimChe"/>
        </w:rPr>
        <w:t xml:space="preserve">. The non-significant association between age and prevalence, despite rates appearing to decline (Figure 2), may mean that analyses were underpowered to detect a significant effect. </w:t>
      </w:r>
      <w:r w:rsidR="00694D69" w:rsidRPr="009E6776">
        <w:t>O</w:t>
      </w:r>
      <w:r w:rsidR="00350E8E" w:rsidRPr="009E6776">
        <w:t>ur measure</w:t>
      </w:r>
      <w:r w:rsidR="00694D69" w:rsidRPr="009E6776">
        <w:t>s</w:t>
      </w:r>
      <w:r w:rsidR="00350E8E" w:rsidRPr="009E6776">
        <w:t xml:space="preserve"> did not delineate </w:t>
      </w:r>
      <w:r w:rsidR="00694D69" w:rsidRPr="009E6776">
        <w:t xml:space="preserve">NSSI or distress </w:t>
      </w:r>
      <w:r w:rsidR="00350E8E" w:rsidRPr="009E6776">
        <w:t xml:space="preserve">before versus </w:t>
      </w:r>
      <w:r w:rsidR="00694D69" w:rsidRPr="009E6776">
        <w:t>during the</w:t>
      </w:r>
      <w:r w:rsidR="00350E8E" w:rsidRPr="009E6776">
        <w:t xml:space="preserve"> COVID-19 pandemic</w:t>
      </w:r>
      <w:r w:rsidR="009C11BE" w:rsidRPr="009E6776">
        <w:t xml:space="preserve"> and are limited by the exclusive use of self-report questionnaires.</w:t>
      </w:r>
      <w:r w:rsidR="002E3674">
        <w:t xml:space="preserve"> This study had only a 10-item scale of psychological distress, with fewer items and psychological constructs than other similar studies; it therefore may be a less accurate measure of distress than other studies </w:t>
      </w:r>
      <w:r w:rsidR="00CC50E5" w:rsidRPr="00CC50E5">
        <w:rPr>
          <w:noProof/>
        </w:rPr>
        <w:t>(Wilkinson et al., 2022)</w:t>
      </w:r>
      <w:r w:rsidR="002E3674">
        <w:t xml:space="preserve">.  However, past research has demonstrated good validity and precision (at the clinical range) of the K10 </w:t>
      </w:r>
      <w:r w:rsidR="002E3674" w:rsidRPr="002E3674">
        <w:rPr>
          <w:noProof/>
        </w:rPr>
        <w:t>(Kessler et al., 2002)</w:t>
      </w:r>
      <w:r w:rsidR="002E3674">
        <w:rPr>
          <w:noProof/>
        </w:rPr>
        <w:t>, suggesting it is an adequate measure</w:t>
      </w:r>
      <w:r w:rsidR="002E3674">
        <w:t>.</w:t>
      </w:r>
    </w:p>
    <w:p w14:paraId="2F5C69D7" w14:textId="36E32117" w:rsidR="007D4018" w:rsidRPr="009E6776" w:rsidRDefault="00CE759A" w:rsidP="001C0EEE">
      <w:pPr>
        <w:pStyle w:val="BodyText"/>
        <w:spacing w:line="480" w:lineRule="auto"/>
        <w:ind w:right="477" w:firstLine="720"/>
        <w:contextualSpacing/>
      </w:pPr>
      <w:r w:rsidRPr="009E6776">
        <w:t>G</w:t>
      </w:r>
      <w:r w:rsidR="007D4018" w:rsidRPr="009E6776">
        <w:t xml:space="preserve">endered assumptions about NSSI </w:t>
      </w:r>
      <w:r w:rsidR="002E3674">
        <w:t>may</w:t>
      </w:r>
      <w:r w:rsidR="002E3674" w:rsidRPr="009E6776">
        <w:t xml:space="preserve"> </w:t>
      </w:r>
      <w:r w:rsidR="007D4018" w:rsidRPr="009E6776">
        <w:t xml:space="preserve">result in underreporting </w:t>
      </w:r>
      <w:r w:rsidR="00E97593">
        <w:t xml:space="preserve">of NSSI </w:t>
      </w:r>
      <w:r w:rsidR="007D4018" w:rsidRPr="009E6776">
        <w:t xml:space="preserve">among men </w:t>
      </w:r>
      <w:r w:rsidR="00EE2041" w:rsidRPr="009E6776">
        <w:rPr>
          <w:noProof/>
          <w:shd w:val="clear" w:color="auto" w:fill="FFFFFF"/>
        </w:rPr>
        <w:t>(Green &amp; Jakupcak, 2015; Kimbrel et al., 2017)</w:t>
      </w:r>
      <w:r w:rsidR="007D4018" w:rsidRPr="009E6776">
        <w:t xml:space="preserve">. </w:t>
      </w:r>
      <w:r w:rsidR="00694D69" w:rsidRPr="009E6776">
        <w:t xml:space="preserve">Greater endorsement of psychological distress could reflect women’s conformity to gender role expectations or a greater tendency to self-disclose mental-health symptoms </w:t>
      </w:r>
      <w:r w:rsidR="00694D69" w:rsidRPr="009E6776">
        <w:rPr>
          <w:noProof/>
        </w:rPr>
        <w:t>(Nolen-Hoeksema, 2012)</w:t>
      </w:r>
      <w:r w:rsidR="00694D69" w:rsidRPr="009E6776">
        <w:t xml:space="preserve">. However, men and women respond similarly on the K10 </w:t>
      </w:r>
      <w:r w:rsidR="0015132C" w:rsidRPr="0015132C">
        <w:rPr>
          <w:noProof/>
        </w:rPr>
        <w:t>(Baillie, 2005; Kessler et al., 2002)</w:t>
      </w:r>
      <w:r w:rsidR="008576AE">
        <w:t xml:space="preserve">, and </w:t>
      </w:r>
      <w:r w:rsidR="00694D69" w:rsidRPr="009E6776">
        <w:t xml:space="preserve">gender </w:t>
      </w:r>
      <w:r w:rsidR="00694D69" w:rsidRPr="009E6776">
        <w:lastRenderedPageBreak/>
        <w:t xml:space="preserve">differences in depression levels are unlikely </w:t>
      </w:r>
      <w:r w:rsidR="00865276" w:rsidRPr="009E6776">
        <w:t xml:space="preserve">to </w:t>
      </w:r>
      <w:r w:rsidR="00694D69" w:rsidRPr="009E6776">
        <w:t xml:space="preserve">result </w:t>
      </w:r>
      <w:r w:rsidR="00865276" w:rsidRPr="009E6776">
        <w:t>from</w:t>
      </w:r>
      <w:r w:rsidR="00694D69" w:rsidRPr="009E6776">
        <w:t xml:space="preserve"> gender-biased responding </w:t>
      </w:r>
      <w:r w:rsidR="00FE22BB" w:rsidRPr="00FE22BB">
        <w:rPr>
          <w:noProof/>
        </w:rPr>
        <w:t>(Hyde &amp; Mezulis, 2020)</w:t>
      </w:r>
      <w:r w:rsidR="00694D69" w:rsidRPr="009E6776">
        <w:t>.</w:t>
      </w:r>
    </w:p>
    <w:p w14:paraId="07552856" w14:textId="3DF1E344" w:rsidR="00694D69" w:rsidRPr="009E6776" w:rsidRDefault="00865276" w:rsidP="001C0EEE">
      <w:pPr>
        <w:pStyle w:val="BodyText"/>
        <w:spacing w:line="480" w:lineRule="auto"/>
        <w:ind w:right="477" w:firstLine="720"/>
        <w:contextualSpacing/>
      </w:pPr>
      <w:r w:rsidRPr="009E6776">
        <w:t xml:space="preserve">The </w:t>
      </w:r>
      <w:r w:rsidR="008576AE">
        <w:t xml:space="preserve">present </w:t>
      </w:r>
      <w:r w:rsidRPr="009E6776">
        <w:t>study is</w:t>
      </w:r>
      <w:r w:rsidRPr="009E6776">
        <w:rPr>
          <w:rFonts w:eastAsia="GulimChe"/>
        </w:rPr>
        <w:t xml:space="preserve"> limited by </w:t>
      </w:r>
      <w:r w:rsidR="008576AE">
        <w:rPr>
          <w:rFonts w:eastAsia="GulimChe"/>
        </w:rPr>
        <w:t>the</w:t>
      </w:r>
      <w:r w:rsidR="008576AE" w:rsidRPr="009E6776">
        <w:rPr>
          <w:rFonts w:eastAsia="GulimChe"/>
        </w:rPr>
        <w:t xml:space="preserve"> </w:t>
      </w:r>
      <w:r w:rsidRPr="009E6776">
        <w:rPr>
          <w:rFonts w:eastAsia="GulimChe"/>
        </w:rPr>
        <w:t xml:space="preserve">binary classification of gender. </w:t>
      </w:r>
      <w:r w:rsidRPr="009E6776">
        <w:t>W</w:t>
      </w:r>
      <w:r w:rsidRPr="009E6776">
        <w:rPr>
          <w:rFonts w:eastAsia="GulimChe"/>
        </w:rPr>
        <w:t>e do not know how many participants are transgender and analyses excluded seven participants who reported their gender identity as “other</w:t>
      </w:r>
      <w:r w:rsidRPr="009E6776">
        <w:t>”</w:t>
      </w:r>
      <w:r w:rsidRPr="009E6776">
        <w:rPr>
          <w:rFonts w:eastAsia="GulimChe"/>
        </w:rPr>
        <w:t xml:space="preserve">. </w:t>
      </w:r>
      <w:r w:rsidR="00694D69" w:rsidRPr="009E6776">
        <w:t xml:space="preserve">Future research should adopt more accurate measures of gender </w:t>
      </w:r>
      <w:r w:rsidR="00FE22BB" w:rsidRPr="00FE22BB">
        <w:rPr>
          <w:noProof/>
        </w:rPr>
        <w:t>(Hyde et al., 2019)</w:t>
      </w:r>
      <w:r w:rsidR="00694D69" w:rsidRPr="009E6776">
        <w:t xml:space="preserve"> and include gender non-conforming participants, who are at high</w:t>
      </w:r>
      <w:r w:rsidR="00E97593">
        <w:t>er</w:t>
      </w:r>
      <w:r w:rsidR="00694D69" w:rsidRPr="009E6776">
        <w:t xml:space="preserve"> risk of NSSI</w:t>
      </w:r>
      <w:r w:rsidR="00E97593">
        <w:t xml:space="preserve"> </w:t>
      </w:r>
      <w:r w:rsidR="00694D69" w:rsidRPr="009E6776">
        <w:rPr>
          <w:noProof/>
        </w:rPr>
        <w:t>(Liu et al., 2019)</w:t>
      </w:r>
      <w:r w:rsidR="00694D69" w:rsidRPr="009E6776">
        <w:t>.</w:t>
      </w:r>
    </w:p>
    <w:p w14:paraId="68F92CCD" w14:textId="77777777" w:rsidR="00EC2108" w:rsidRPr="009E6776" w:rsidRDefault="00EC2108" w:rsidP="001C0EEE">
      <w:pPr>
        <w:pStyle w:val="BodyText"/>
        <w:spacing w:line="480" w:lineRule="auto"/>
        <w:ind w:right="477"/>
        <w:contextualSpacing/>
      </w:pPr>
    </w:p>
    <w:p w14:paraId="2C1946CA" w14:textId="03A87063" w:rsidR="00694D69" w:rsidRPr="009E6776" w:rsidRDefault="00E2039E" w:rsidP="001C0EEE">
      <w:pPr>
        <w:pStyle w:val="BodyText"/>
        <w:spacing w:line="480" w:lineRule="auto"/>
        <w:ind w:right="477"/>
        <w:contextualSpacing/>
        <w:rPr>
          <w:b/>
          <w:bCs/>
          <w:i/>
          <w:iCs/>
        </w:rPr>
      </w:pPr>
      <w:r w:rsidRPr="009E6776">
        <w:rPr>
          <w:b/>
          <w:bCs/>
          <w:i/>
          <w:iCs/>
        </w:rPr>
        <w:t>Future</w:t>
      </w:r>
      <w:r w:rsidR="005F2151" w:rsidRPr="009E6776">
        <w:rPr>
          <w:b/>
          <w:bCs/>
          <w:i/>
          <w:iCs/>
        </w:rPr>
        <w:t xml:space="preserve"> directions</w:t>
      </w:r>
    </w:p>
    <w:p w14:paraId="60309449" w14:textId="7BFFE909" w:rsidR="00C74D61" w:rsidRPr="009E6776" w:rsidRDefault="00694D69" w:rsidP="00DA5D88">
      <w:pPr>
        <w:pStyle w:val="BodyText"/>
        <w:spacing w:line="480" w:lineRule="auto"/>
        <w:ind w:right="477" w:firstLine="720"/>
        <w:contextualSpacing/>
      </w:pPr>
      <w:r w:rsidRPr="009E6776">
        <w:t xml:space="preserve">Greater gender parity in NSSI research is needed. Research on gender similarities and differences in risk factors, functions, and progression of NSSI are </w:t>
      </w:r>
      <w:r w:rsidR="00865276" w:rsidRPr="009E6776">
        <w:t>necessary</w:t>
      </w:r>
      <w:r w:rsidRPr="009E6776">
        <w:t xml:space="preserve"> for development of </w:t>
      </w:r>
      <w:r w:rsidR="00865276" w:rsidRPr="009E6776">
        <w:t>interventions</w:t>
      </w:r>
      <w:r w:rsidRPr="009E6776">
        <w:t xml:space="preserve"> </w:t>
      </w:r>
      <w:r w:rsidR="00E97593">
        <w:t>which support NSSI recovery in people of all genders</w:t>
      </w:r>
      <w:r w:rsidRPr="009E6776">
        <w:t xml:space="preserve">. </w:t>
      </w:r>
      <w:r w:rsidR="00EC2108" w:rsidRPr="009E6776">
        <w:t xml:space="preserve">Future research should consider variables which </w:t>
      </w:r>
      <w:r w:rsidR="00580601" w:rsidRPr="009E6776">
        <w:t xml:space="preserve">affect </w:t>
      </w:r>
      <w:r w:rsidR="00DB1E97" w:rsidRPr="009E6776">
        <w:t xml:space="preserve">the </w:t>
      </w:r>
      <w:r w:rsidR="00580601" w:rsidRPr="009E6776">
        <w:t>relationships between risk factors and NSSI.</w:t>
      </w:r>
      <w:r w:rsidR="00EC2108" w:rsidRPr="009E6776">
        <w:t xml:space="preserve"> The literature on mediators and moderators is limited, with many studies revealing conflicting results or needing replication </w:t>
      </w:r>
      <w:r w:rsidR="00EC2108" w:rsidRPr="009E6776">
        <w:rPr>
          <w:noProof/>
        </w:rPr>
        <w:t>(Valencia-Agudo et al., 2018)</w:t>
      </w:r>
      <w:r w:rsidR="00EC2108" w:rsidRPr="009E6776">
        <w:t>.</w:t>
      </w:r>
      <w:r w:rsidR="00DB1E97" w:rsidRPr="009E6776">
        <w:t xml:space="preserve"> </w:t>
      </w:r>
      <w:r w:rsidRPr="009E6776">
        <w:t xml:space="preserve">Research is especially needed in adult samples. </w:t>
      </w:r>
      <w:r w:rsidR="00DB1E97" w:rsidRPr="009E6776">
        <w:rPr>
          <w:kern w:val="1"/>
        </w:rPr>
        <w:t>Furthermore, b</w:t>
      </w:r>
      <w:r w:rsidR="00EC2108" w:rsidRPr="009E6776">
        <w:rPr>
          <w:kern w:val="1"/>
        </w:rPr>
        <w:t xml:space="preserve">eyond identifying correlates of </w:t>
      </w:r>
      <w:r w:rsidR="00217E51" w:rsidRPr="009E6776">
        <w:rPr>
          <w:kern w:val="1"/>
        </w:rPr>
        <w:t>NSSI</w:t>
      </w:r>
      <w:r w:rsidR="00EC2108" w:rsidRPr="009E6776">
        <w:rPr>
          <w:kern w:val="1"/>
        </w:rPr>
        <w:t xml:space="preserve">, the literature </w:t>
      </w:r>
      <w:r w:rsidR="00580601" w:rsidRPr="009E6776">
        <w:rPr>
          <w:kern w:val="1"/>
        </w:rPr>
        <w:t>should</w:t>
      </w:r>
      <w:r w:rsidR="00EC2108" w:rsidRPr="009E6776">
        <w:rPr>
          <w:kern w:val="1"/>
        </w:rPr>
        <w:t xml:space="preserve"> investigat</w:t>
      </w:r>
      <w:r w:rsidR="00DB1E97" w:rsidRPr="009E6776">
        <w:rPr>
          <w:kern w:val="1"/>
        </w:rPr>
        <w:t>e</w:t>
      </w:r>
      <w:r w:rsidR="00EC2108" w:rsidRPr="009E6776">
        <w:rPr>
          <w:kern w:val="1"/>
        </w:rPr>
        <w:t xml:space="preserve"> how </w:t>
      </w:r>
      <w:r w:rsidR="00C74D61" w:rsidRPr="009E6776">
        <w:rPr>
          <w:kern w:val="1"/>
        </w:rPr>
        <w:t>etiologic factors</w:t>
      </w:r>
      <w:r w:rsidR="00EC2108" w:rsidRPr="009E6776">
        <w:rPr>
          <w:kern w:val="1"/>
        </w:rPr>
        <w:t xml:space="preserve"> relate to the experience of NSSI. A recent study by Lockwood and colleagues </w:t>
      </w:r>
      <w:r w:rsidR="00272B5B" w:rsidRPr="009E6776">
        <w:rPr>
          <w:kern w:val="1"/>
        </w:rPr>
        <w:t xml:space="preserve">(2020) </w:t>
      </w:r>
      <w:r w:rsidR="00EC2108" w:rsidRPr="009E6776">
        <w:rPr>
          <w:kern w:val="1"/>
        </w:rPr>
        <w:t xml:space="preserve">is one such example, utilizing qualitative methods to explore the cognitive and emotional factors involved in the build-up to acts of self-harm. The researchers demonstrate that people who </w:t>
      </w:r>
      <w:r w:rsidR="008576AE">
        <w:rPr>
          <w:kern w:val="1"/>
        </w:rPr>
        <w:t>engage in</w:t>
      </w:r>
      <w:r w:rsidR="00EC2108" w:rsidRPr="009E6776">
        <w:rPr>
          <w:kern w:val="1"/>
        </w:rPr>
        <w:t xml:space="preserve"> self-</w:t>
      </w:r>
      <w:r w:rsidR="008426BA" w:rsidRPr="009E6776">
        <w:rPr>
          <w:kern w:val="1"/>
        </w:rPr>
        <w:t>harm can</w:t>
      </w:r>
      <w:r w:rsidR="00EC2108" w:rsidRPr="009E6776">
        <w:rPr>
          <w:kern w:val="1"/>
        </w:rPr>
        <w:t xml:space="preserve"> offer valuable insights into the processes underlying their </w:t>
      </w:r>
      <w:r w:rsidR="0096080B" w:rsidRPr="009E6776">
        <w:rPr>
          <w:kern w:val="1"/>
        </w:rPr>
        <w:t>behavior</w:t>
      </w:r>
      <w:r w:rsidR="00EC2108" w:rsidRPr="009E6776">
        <w:rPr>
          <w:kern w:val="1"/>
        </w:rPr>
        <w:t xml:space="preserve"> and underscore that there is wide variation in </w:t>
      </w:r>
      <w:r w:rsidR="008576AE">
        <w:rPr>
          <w:kern w:val="1"/>
        </w:rPr>
        <w:t xml:space="preserve">the experience of </w:t>
      </w:r>
      <w:r w:rsidR="00EC2108" w:rsidRPr="009E6776">
        <w:rPr>
          <w:kern w:val="1"/>
        </w:rPr>
        <w:t xml:space="preserve">NSSI both within and between individuals. </w:t>
      </w:r>
    </w:p>
    <w:p w14:paraId="42B5A7C2" w14:textId="6CE44E2B" w:rsidR="00E2039E" w:rsidRPr="009E6776" w:rsidRDefault="00E2039E" w:rsidP="001C0EEE">
      <w:pPr>
        <w:spacing w:line="480" w:lineRule="auto"/>
        <w:ind w:firstLine="720"/>
        <w:rPr>
          <w:lang w:val="en-US"/>
        </w:rPr>
      </w:pPr>
      <w:r w:rsidRPr="009E6776">
        <w:rPr>
          <w:shd w:val="clear" w:color="auto" w:fill="FFFFFF"/>
          <w:lang w:val="en-US"/>
        </w:rPr>
        <w:lastRenderedPageBreak/>
        <w:t xml:space="preserve">Clinicians should be aware of how common NSSI </w:t>
      </w:r>
      <w:r w:rsidR="00D26529" w:rsidRPr="009E6776">
        <w:rPr>
          <w:shd w:val="clear" w:color="auto" w:fill="FFFFFF"/>
          <w:lang w:val="en-US"/>
        </w:rPr>
        <w:t>is</w:t>
      </w:r>
      <w:r w:rsidRPr="009E6776">
        <w:rPr>
          <w:shd w:val="clear" w:color="auto" w:fill="FFFFFF"/>
          <w:lang w:val="en-US"/>
        </w:rPr>
        <w:t xml:space="preserve"> among young adults</w:t>
      </w:r>
      <w:r w:rsidR="00350E8E" w:rsidRPr="009E6776">
        <w:rPr>
          <w:shd w:val="clear" w:color="auto" w:fill="FFFFFF"/>
          <w:lang w:val="en-US"/>
        </w:rPr>
        <w:t>.</w:t>
      </w:r>
      <w:r w:rsidR="00350E8E" w:rsidRPr="009E6776">
        <w:rPr>
          <w:lang w:val="en-US"/>
        </w:rPr>
        <w:t xml:space="preserve"> </w:t>
      </w:r>
      <w:r w:rsidRPr="009E6776">
        <w:rPr>
          <w:shd w:val="clear" w:color="auto" w:fill="FFFFFF"/>
          <w:lang w:val="en-US"/>
        </w:rPr>
        <w:t>Findings</w:t>
      </w:r>
      <w:r w:rsidR="00C74D61" w:rsidRPr="009E6776">
        <w:rPr>
          <w:shd w:val="clear" w:color="auto" w:fill="FFFFFF"/>
          <w:lang w:val="en-US"/>
        </w:rPr>
        <w:t xml:space="preserve"> here</w:t>
      </w:r>
      <w:r w:rsidRPr="009E6776">
        <w:rPr>
          <w:shd w:val="clear" w:color="auto" w:fill="FFFFFF"/>
          <w:lang w:val="en-US"/>
        </w:rPr>
        <w:t xml:space="preserve"> reveal potential avenues for </w:t>
      </w:r>
      <w:r w:rsidR="00B93A96" w:rsidRPr="009E6776">
        <w:rPr>
          <w:shd w:val="clear" w:color="auto" w:fill="FFFFFF"/>
          <w:lang w:val="en-US"/>
        </w:rPr>
        <w:t>intervention</w:t>
      </w:r>
      <w:r w:rsidRPr="009E6776">
        <w:rPr>
          <w:shd w:val="clear" w:color="auto" w:fill="FFFFFF"/>
          <w:lang w:val="en-US"/>
        </w:rPr>
        <w:t xml:space="preserve">, </w:t>
      </w:r>
      <w:r w:rsidR="00E01A7D" w:rsidRPr="009E6776">
        <w:rPr>
          <w:shd w:val="clear" w:color="auto" w:fill="FFFFFF"/>
          <w:lang w:val="en-US"/>
        </w:rPr>
        <w:t>including</w:t>
      </w:r>
      <w:r w:rsidRPr="009E6776">
        <w:rPr>
          <w:shd w:val="clear" w:color="auto" w:fill="FFFFFF"/>
          <w:lang w:val="en-US"/>
        </w:rPr>
        <w:t xml:space="preserve"> developing strategies which reduce psychological distress or improve distress tolerance</w:t>
      </w:r>
      <w:r w:rsidR="00D26529" w:rsidRPr="009E6776">
        <w:rPr>
          <w:shd w:val="clear" w:color="auto" w:fill="FFFFFF"/>
          <w:lang w:val="en-US"/>
        </w:rPr>
        <w:t>,</w:t>
      </w:r>
      <w:r w:rsidRPr="009E6776">
        <w:rPr>
          <w:shd w:val="clear" w:color="auto" w:fill="FFFFFF"/>
          <w:lang w:val="en-US"/>
        </w:rPr>
        <w:t xml:space="preserve"> </w:t>
      </w:r>
      <w:r w:rsidRPr="009E6776">
        <w:rPr>
          <w:lang w:val="en-US"/>
        </w:rPr>
        <w:t>strengthen emotion regulation skills and control impulsive reactions</w:t>
      </w:r>
      <w:r w:rsidR="00D26529" w:rsidRPr="009E6776">
        <w:rPr>
          <w:lang w:val="en-US"/>
        </w:rPr>
        <w:t>,</w:t>
      </w:r>
      <w:r w:rsidRPr="009E6776">
        <w:rPr>
          <w:lang w:val="en-US"/>
        </w:rPr>
        <w:t xml:space="preserve"> and replace NSSI with </w:t>
      </w:r>
      <w:r w:rsidR="00694D69" w:rsidRPr="009E6776">
        <w:rPr>
          <w:lang w:val="en-US"/>
        </w:rPr>
        <w:t xml:space="preserve">other </w:t>
      </w:r>
      <w:r w:rsidRPr="009E6776">
        <w:rPr>
          <w:lang w:val="en-US"/>
        </w:rPr>
        <w:t xml:space="preserve">coping </w:t>
      </w:r>
      <w:r w:rsidR="00694D69" w:rsidRPr="009E6776">
        <w:rPr>
          <w:lang w:val="en-US"/>
        </w:rPr>
        <w:t>strategies</w:t>
      </w:r>
      <w:r w:rsidRPr="009E6776">
        <w:rPr>
          <w:lang w:val="en-US"/>
        </w:rPr>
        <w:t>.</w:t>
      </w:r>
      <w:r w:rsidR="00C83491" w:rsidRPr="009E6776">
        <w:rPr>
          <w:lang w:val="en-US"/>
        </w:rPr>
        <w:t xml:space="preserve"> </w:t>
      </w:r>
      <w:r w:rsidR="008576AE">
        <w:rPr>
          <w:lang w:val="en-US"/>
        </w:rPr>
        <w:t xml:space="preserve">These are potential therapeutic targets for interventions such as </w:t>
      </w:r>
      <w:r w:rsidR="00C83491" w:rsidRPr="009E6776">
        <w:rPr>
          <w:lang w:val="en-US"/>
        </w:rPr>
        <w:t>Dialectical Behavioral Therapy</w:t>
      </w:r>
      <w:r w:rsidR="008576AE">
        <w:rPr>
          <w:lang w:val="en-US"/>
        </w:rPr>
        <w:t xml:space="preserve"> (DBT)</w:t>
      </w:r>
      <w:r w:rsidR="00C83491" w:rsidRPr="009E6776">
        <w:rPr>
          <w:lang w:val="en-US"/>
        </w:rPr>
        <w:t xml:space="preserve">, which emphasizes </w:t>
      </w:r>
      <w:r w:rsidR="00BC192C" w:rsidRPr="009E6776">
        <w:rPr>
          <w:lang w:val="en-US"/>
        </w:rPr>
        <w:t>these skills</w:t>
      </w:r>
      <w:r w:rsidR="008576AE">
        <w:rPr>
          <w:lang w:val="en-US"/>
        </w:rPr>
        <w:t xml:space="preserve"> and</w:t>
      </w:r>
      <w:r w:rsidR="00C83491" w:rsidRPr="009E6776">
        <w:rPr>
          <w:lang w:val="en-US"/>
        </w:rPr>
        <w:t xml:space="preserve"> effectively reduces self-harm in adolescents</w:t>
      </w:r>
      <w:r w:rsidR="008576AE">
        <w:rPr>
          <w:lang w:val="en-US"/>
        </w:rPr>
        <w:t xml:space="preserve"> and adults</w:t>
      </w:r>
      <w:r w:rsidR="00C83491" w:rsidRPr="009E6776">
        <w:rPr>
          <w:lang w:val="en-US"/>
        </w:rPr>
        <w:t xml:space="preserve"> </w:t>
      </w:r>
      <w:r w:rsidR="008576AE" w:rsidRPr="008576AE">
        <w:rPr>
          <w:noProof/>
          <w:lang w:val="en-US"/>
        </w:rPr>
        <w:t>(Kothgassner et al., 2020; Lynch et al., 2007)</w:t>
      </w:r>
      <w:r w:rsidR="00C83491" w:rsidRPr="009E6776">
        <w:rPr>
          <w:lang w:val="en-US"/>
        </w:rPr>
        <w:t xml:space="preserve">. </w:t>
      </w:r>
      <w:r w:rsidR="008576AE">
        <w:rPr>
          <w:lang w:val="en-US"/>
        </w:rPr>
        <w:t xml:space="preserve">However, the strength of the evidence for DBT is limited as randomized control trials have </w:t>
      </w:r>
      <w:r w:rsidR="00E97593">
        <w:rPr>
          <w:lang w:val="en-US"/>
        </w:rPr>
        <w:t>primarily recruited women</w:t>
      </w:r>
      <w:r w:rsidR="008576AE">
        <w:rPr>
          <w:lang w:val="en-US"/>
        </w:rPr>
        <w:t xml:space="preserve"> </w:t>
      </w:r>
      <w:r w:rsidR="00FE22BB" w:rsidRPr="00FE22BB">
        <w:rPr>
          <w:noProof/>
          <w:lang w:val="en-US"/>
        </w:rPr>
        <w:t>(DeCou et al., 2019; Wilkinson, 2018)</w:t>
      </w:r>
      <w:r w:rsidR="008576AE">
        <w:rPr>
          <w:lang w:val="en-US"/>
        </w:rPr>
        <w:t xml:space="preserve">. Given our results demonstrate that men and women do not differ on how similar levels of </w:t>
      </w:r>
      <w:r w:rsidR="00890A62">
        <w:rPr>
          <w:lang w:val="en-US"/>
        </w:rPr>
        <w:t xml:space="preserve">psychological </w:t>
      </w:r>
      <w:r w:rsidR="008576AE">
        <w:rPr>
          <w:lang w:val="en-US"/>
        </w:rPr>
        <w:t>distress</w:t>
      </w:r>
      <w:r w:rsidR="00890A62">
        <w:rPr>
          <w:lang w:val="en-US"/>
        </w:rPr>
        <w:t>, emotion dysregulation, or impulsivity</w:t>
      </w:r>
      <w:r w:rsidR="008576AE">
        <w:rPr>
          <w:lang w:val="en-US"/>
        </w:rPr>
        <w:t xml:space="preserve"> </w:t>
      </w:r>
      <w:r w:rsidR="00890A62">
        <w:rPr>
          <w:lang w:val="en-US"/>
        </w:rPr>
        <w:t>relate</w:t>
      </w:r>
      <w:r w:rsidR="008576AE">
        <w:rPr>
          <w:lang w:val="en-US"/>
        </w:rPr>
        <w:t xml:space="preserve"> to self-harm, it is possible that the same treatments work for men and women. However, this requires testing within treatment studies; importantly these studies need to include sufficient participant numbers across gender groups.</w:t>
      </w:r>
    </w:p>
    <w:p w14:paraId="4DF1A540" w14:textId="77777777" w:rsidR="00E2039E" w:rsidRPr="009E6776" w:rsidRDefault="00E2039E" w:rsidP="001C0EEE">
      <w:pPr>
        <w:pStyle w:val="BodyText"/>
        <w:spacing w:line="480" w:lineRule="auto"/>
        <w:ind w:right="477"/>
        <w:contextualSpacing/>
      </w:pPr>
    </w:p>
    <w:p w14:paraId="4A5D780B" w14:textId="77777777" w:rsidR="00883DBE" w:rsidRPr="009E6776" w:rsidRDefault="00883DBE" w:rsidP="001C0EEE">
      <w:pPr>
        <w:pStyle w:val="BodyText"/>
        <w:spacing w:line="480" w:lineRule="auto"/>
        <w:ind w:right="477"/>
        <w:contextualSpacing/>
        <w:rPr>
          <w:b/>
          <w:bCs/>
          <w:i/>
          <w:iCs/>
        </w:rPr>
      </w:pPr>
      <w:r w:rsidRPr="009E6776">
        <w:rPr>
          <w:b/>
          <w:bCs/>
          <w:i/>
          <w:iCs/>
        </w:rPr>
        <w:t xml:space="preserve">Conclusion </w:t>
      </w:r>
    </w:p>
    <w:p w14:paraId="7ED31822" w14:textId="640D90F1" w:rsidR="0065034E" w:rsidRPr="00F132FA" w:rsidRDefault="00694D69" w:rsidP="00DA5D88">
      <w:pPr>
        <w:spacing w:line="480" w:lineRule="auto"/>
        <w:ind w:firstLine="720"/>
      </w:pPr>
      <w:r w:rsidRPr="00DA5D88">
        <w:rPr>
          <w:lang w:val="en-US"/>
        </w:rPr>
        <w:t xml:space="preserve">Results demonstrate that women are more likely to report NSSI due, in part, to their significantly higher levels of psychological distress than men. We show that </w:t>
      </w:r>
      <w:r w:rsidR="00BC55F4">
        <w:rPr>
          <w:lang w:val="en-US"/>
        </w:rPr>
        <w:t>given</w:t>
      </w:r>
      <w:r w:rsidRPr="00DA5D88">
        <w:rPr>
          <w:lang w:val="en-US"/>
        </w:rPr>
        <w:t xml:space="preserve"> similar levels of psychological distress, emotion dysregulation, and impulsivity, women and men are similarly likely to experience NSSI. Our findings extend literature on gender differences in depressive symptoms to explain the NSSI prevalence gap and support </w:t>
      </w:r>
      <w:r w:rsidR="0015132C">
        <w:rPr>
          <w:lang w:val="en-US"/>
        </w:rPr>
        <w:t>Hyde’s</w:t>
      </w:r>
      <w:r w:rsidRPr="00DA5D88">
        <w:rPr>
          <w:lang w:val="en-US"/>
        </w:rPr>
        <w:t xml:space="preserve"> </w:t>
      </w:r>
      <w:r w:rsidRPr="00DA5D88">
        <w:rPr>
          <w:i/>
          <w:iCs/>
          <w:lang w:val="en-US"/>
        </w:rPr>
        <w:t>Gender Similarities Hypothesis</w:t>
      </w:r>
      <w:r w:rsidR="0015132C">
        <w:rPr>
          <w:lang w:val="en-US"/>
        </w:rPr>
        <w:t xml:space="preserve">. </w:t>
      </w:r>
      <w:r w:rsidRPr="00DA5D88">
        <w:rPr>
          <w:lang w:val="en-US"/>
        </w:rPr>
        <w:t>Future research should continue to investigate similarities and differences in NSSI across genders</w:t>
      </w:r>
      <w:r w:rsidR="000F11B8" w:rsidRPr="00DA5D88">
        <w:rPr>
          <w:lang w:val="en-US"/>
        </w:rPr>
        <w:t>.</w:t>
      </w:r>
    </w:p>
    <w:p w14:paraId="0351BDE7" w14:textId="77777777" w:rsidR="004B3902" w:rsidRPr="009E6776" w:rsidRDefault="004B3902" w:rsidP="001C0EEE">
      <w:pPr>
        <w:pStyle w:val="BodyText"/>
        <w:spacing w:line="480" w:lineRule="auto"/>
        <w:ind w:right="477" w:firstLine="720"/>
        <w:contextualSpacing/>
      </w:pPr>
    </w:p>
    <w:p w14:paraId="71EEE99B" w14:textId="77777777" w:rsidR="00272B5B" w:rsidRPr="009E6776" w:rsidRDefault="00470A83" w:rsidP="001C0EEE">
      <w:pPr>
        <w:pStyle w:val="BodyText"/>
        <w:spacing w:line="480" w:lineRule="auto"/>
        <w:ind w:right="477"/>
        <w:contextualSpacing/>
        <w:rPr>
          <w:b/>
          <w:bCs/>
        </w:rPr>
      </w:pPr>
      <w:r w:rsidRPr="009E6776">
        <w:rPr>
          <w:b/>
          <w:bCs/>
        </w:rPr>
        <w:lastRenderedPageBreak/>
        <w:t>Acknowledgements</w:t>
      </w:r>
    </w:p>
    <w:p w14:paraId="7584E355" w14:textId="77777777" w:rsidR="00DB1E97" w:rsidRPr="009E6776" w:rsidRDefault="00470A83" w:rsidP="001C0EEE">
      <w:pPr>
        <w:pStyle w:val="BodyText"/>
        <w:spacing w:line="480" w:lineRule="auto"/>
        <w:ind w:right="477"/>
        <w:contextualSpacing/>
      </w:pPr>
      <w:r w:rsidRPr="009E6776">
        <w:t xml:space="preserve">We sincerely thank the </w:t>
      </w:r>
      <w:r w:rsidR="007D4EF7" w:rsidRPr="009E6776">
        <w:t xml:space="preserve">NeuroScience in Psychiatry Network (NSPN) study team and the study </w:t>
      </w:r>
      <w:r w:rsidRPr="009E6776">
        <w:t xml:space="preserve">participants for their contribution to this research. </w:t>
      </w:r>
      <w:r w:rsidR="00FD3821">
        <w:t xml:space="preserve">We thank Anna </w:t>
      </w:r>
      <w:r w:rsidR="00FD3821" w:rsidRPr="00FD3821">
        <w:t>Wiedemann</w:t>
      </w:r>
      <w:r w:rsidR="00FD3821">
        <w:t xml:space="preserve"> and Junaid B</w:t>
      </w:r>
      <w:r w:rsidR="00FD3821" w:rsidRPr="00FD3821">
        <w:t>hatti</w:t>
      </w:r>
      <w:r w:rsidR="00FD3821">
        <w:t xml:space="preserve"> for their roles cleaning and preparing data for analysis.</w:t>
      </w:r>
    </w:p>
    <w:p w14:paraId="061226BF" w14:textId="77777777" w:rsidR="001C0EEE" w:rsidRPr="009E6776" w:rsidRDefault="001C0EEE" w:rsidP="001C0EEE">
      <w:pPr>
        <w:pStyle w:val="BodyText"/>
        <w:spacing w:line="480" w:lineRule="auto"/>
        <w:ind w:right="477"/>
        <w:contextualSpacing/>
      </w:pPr>
    </w:p>
    <w:p w14:paraId="01653266" w14:textId="77777777" w:rsidR="001C0EEE" w:rsidRPr="009E6776" w:rsidRDefault="001C0EEE" w:rsidP="001C0EEE">
      <w:pPr>
        <w:pStyle w:val="BodyText"/>
        <w:spacing w:line="480" w:lineRule="auto"/>
        <w:ind w:right="477"/>
        <w:contextualSpacing/>
        <w:rPr>
          <w:b/>
          <w:bCs/>
        </w:rPr>
      </w:pPr>
      <w:r w:rsidRPr="009E6776">
        <w:rPr>
          <w:b/>
          <w:bCs/>
        </w:rPr>
        <w:t>Funding</w:t>
      </w:r>
    </w:p>
    <w:p w14:paraId="224B31B2" w14:textId="4D531284" w:rsidR="001C0EEE" w:rsidRPr="009E6776" w:rsidRDefault="001C0EEE" w:rsidP="001C0EEE">
      <w:pPr>
        <w:pStyle w:val="BodyText"/>
        <w:spacing w:line="480" w:lineRule="auto"/>
        <w:ind w:right="477"/>
        <w:contextualSpacing/>
      </w:pPr>
      <w:r w:rsidRPr="009E6776">
        <w:t>The research was supported by a strategic award from the Wellcome Trust to the University of Cambridge and University College London (095844/Z/11/Z), and a Clinical Fellowship from the Wellcome Trust awarded to Prof Chamberlain (</w:t>
      </w:r>
      <w:r w:rsidRPr="009E6776">
        <w:rPr>
          <w:color w:val="000000"/>
          <w:shd w:val="clear" w:color="auto" w:fill="FFFFFF"/>
          <w:lang w:eastAsia="en-GB"/>
        </w:rPr>
        <w:t>reference 110049/Z/15/Z &amp; A</w:t>
      </w:r>
      <w:r w:rsidRPr="009E6776">
        <w:t xml:space="preserve">). </w:t>
      </w:r>
      <w:r w:rsidR="00FD3821" w:rsidRPr="00DE3235">
        <w:rPr>
          <w:bCs/>
          <w:color w:val="000000"/>
          <w:lang w:eastAsia="en-GB"/>
        </w:rPr>
        <w:t>All research at the Department of Psychiatry in the University of Cambridge is supported by the NIHR Cambridge Biomedical Research Centre (BRC-1215-20014) and NIHR Applied Research C</w:t>
      </w:r>
      <w:r w:rsidR="00FD3821">
        <w:rPr>
          <w:bCs/>
          <w:color w:val="000000"/>
          <w:lang w:eastAsia="en-GB"/>
        </w:rPr>
        <w:t>ollaboration</w:t>
      </w:r>
      <w:r w:rsidR="00FD3821" w:rsidRPr="00DE3235">
        <w:rPr>
          <w:bCs/>
          <w:color w:val="000000"/>
          <w:lang w:eastAsia="en-GB"/>
        </w:rPr>
        <w:t xml:space="preserve"> </w:t>
      </w:r>
      <w:r w:rsidR="00FD3821">
        <w:rPr>
          <w:bCs/>
          <w:color w:val="000000"/>
          <w:lang w:eastAsia="en-GB"/>
        </w:rPr>
        <w:t xml:space="preserve">East of England </w:t>
      </w:r>
      <w:r w:rsidR="00FD3821" w:rsidRPr="00DE3235">
        <w:rPr>
          <w:bCs/>
          <w:color w:val="000000"/>
          <w:lang w:eastAsia="en-GB"/>
        </w:rPr>
        <w:t>(</w:t>
      </w:r>
      <w:r w:rsidR="00FD3821">
        <w:rPr>
          <w:bCs/>
          <w:color w:val="000000"/>
          <w:lang w:eastAsia="en-GB"/>
        </w:rPr>
        <w:t>ARC MHL RNAG 565)</w:t>
      </w:r>
      <w:r w:rsidR="00FD3821">
        <w:rPr>
          <w:b/>
          <w:bCs/>
          <w:color w:val="000000"/>
          <w:lang w:eastAsia="en-GB"/>
        </w:rPr>
        <w:t xml:space="preserve">. </w:t>
      </w:r>
      <w:r w:rsidR="00FD3821" w:rsidRPr="009E6776">
        <w:t xml:space="preserve"> </w:t>
      </w:r>
      <w:r w:rsidR="00FD3821">
        <w:t>T</w:t>
      </w:r>
      <w:r w:rsidR="002178A1">
        <w:t>J</w:t>
      </w:r>
      <w:r w:rsidR="00FD3821">
        <w:t>F is an</w:t>
      </w:r>
      <w:r w:rsidR="00FD3821" w:rsidRPr="009E6776">
        <w:t xml:space="preserve"> NIHR Senior Investigator and PBJ </w:t>
      </w:r>
      <w:r w:rsidR="00FD3821">
        <w:t xml:space="preserve">and </w:t>
      </w:r>
      <w:r w:rsidR="00FD3821" w:rsidRPr="009E6776">
        <w:t>ETB</w:t>
      </w:r>
      <w:r w:rsidR="00FD3821">
        <w:t xml:space="preserve"> are</w:t>
      </w:r>
      <w:r w:rsidR="00FD3821" w:rsidRPr="009E6776">
        <w:t xml:space="preserve"> NIHR Senior Investigator</w:t>
      </w:r>
      <w:r w:rsidR="00FD3821">
        <w:t>s</w:t>
      </w:r>
      <w:r w:rsidR="00FD3821" w:rsidRPr="009E6776">
        <w:t xml:space="preserve"> Emerit</w:t>
      </w:r>
      <w:r w:rsidR="00FD3821">
        <w:t>i</w:t>
      </w:r>
      <w:r w:rsidR="00FD3821" w:rsidRPr="009E6776">
        <w:t xml:space="preserve">. SN was funded by the Cundill Center for Child and Youth </w:t>
      </w:r>
      <w:r w:rsidR="00890A62">
        <w:t>Depression.</w:t>
      </w:r>
    </w:p>
    <w:p w14:paraId="39BE4DCF" w14:textId="77777777" w:rsidR="001C0EEE" w:rsidRPr="009E6776" w:rsidRDefault="001C0EEE" w:rsidP="001C0EEE">
      <w:pPr>
        <w:pStyle w:val="BodyText"/>
        <w:spacing w:line="480" w:lineRule="auto"/>
        <w:ind w:right="477"/>
        <w:contextualSpacing/>
      </w:pPr>
    </w:p>
    <w:p w14:paraId="54BBE2DD" w14:textId="77777777" w:rsidR="001C0EEE" w:rsidRPr="009E6776" w:rsidRDefault="0059695E" w:rsidP="001C0EEE">
      <w:pPr>
        <w:spacing w:line="480" w:lineRule="auto"/>
        <w:rPr>
          <w:rFonts w:eastAsia="Times New Roman" w:cs="Times New Roman"/>
          <w:lang w:val="en-US" w:eastAsia="en-GB"/>
        </w:rPr>
      </w:pPr>
      <w:r w:rsidRPr="009E6776">
        <w:rPr>
          <w:lang w:val="en-US"/>
        </w:rPr>
        <w:t xml:space="preserve">This study was </w:t>
      </w:r>
      <w:r w:rsidR="0096080B" w:rsidRPr="009E6776">
        <w:rPr>
          <w:lang w:val="en-US"/>
        </w:rPr>
        <w:t>organized</w:t>
      </w:r>
      <w:r w:rsidRPr="009E6776">
        <w:rPr>
          <w:lang w:val="en-US"/>
        </w:rPr>
        <w:t xml:space="preserve"> by the University of Cambridge and the Cambridgeshire and Peterborough NHS Foundation Trust (CPFT). Other NHS sites were involved in the study as recruitment </w:t>
      </w:r>
      <w:r w:rsidR="0096080B" w:rsidRPr="009E6776">
        <w:rPr>
          <w:lang w:val="en-US"/>
        </w:rPr>
        <w:t>centers</w:t>
      </w:r>
      <w:r w:rsidRPr="009E6776">
        <w:rPr>
          <w:lang w:val="en-US"/>
        </w:rPr>
        <w:t xml:space="preserve">. </w:t>
      </w:r>
      <w:r w:rsidR="001C0EEE" w:rsidRPr="009E6776">
        <w:rPr>
          <w:rFonts w:eastAsia="Times New Roman" w:cs="Times New Roman"/>
          <w:lang w:val="en-US" w:eastAsia="en-GB"/>
        </w:rPr>
        <w:t>The views expressed are those of the author(s) and not necessarily those of the Wellcome Trust, NHS, the NIHR or the Department of Health and Social Care.</w:t>
      </w:r>
    </w:p>
    <w:p w14:paraId="46FB2694" w14:textId="77777777" w:rsidR="001C0EEE" w:rsidRPr="009E6776" w:rsidRDefault="001C0EEE" w:rsidP="001C0EEE">
      <w:pPr>
        <w:pStyle w:val="BodyText"/>
        <w:spacing w:line="480" w:lineRule="auto"/>
        <w:ind w:right="477"/>
        <w:contextualSpacing/>
      </w:pPr>
    </w:p>
    <w:p w14:paraId="2C03E3FE" w14:textId="77777777" w:rsidR="001C0EEE" w:rsidRPr="009E6776" w:rsidRDefault="001C0EEE" w:rsidP="001C0EEE">
      <w:pPr>
        <w:pStyle w:val="BodyText"/>
        <w:spacing w:line="480" w:lineRule="auto"/>
        <w:ind w:right="477"/>
        <w:contextualSpacing/>
        <w:rPr>
          <w:b/>
          <w:bCs/>
        </w:rPr>
      </w:pPr>
      <w:r w:rsidRPr="009E6776">
        <w:rPr>
          <w:b/>
          <w:bCs/>
        </w:rPr>
        <w:t>Disclosure Statement</w:t>
      </w:r>
    </w:p>
    <w:p w14:paraId="2C4E5427" w14:textId="77777777" w:rsidR="001C0EEE" w:rsidRPr="009E6776" w:rsidRDefault="001C0EEE" w:rsidP="001C0EEE">
      <w:pPr>
        <w:pStyle w:val="Heading2"/>
        <w:tabs>
          <w:tab w:val="left" w:pos="460"/>
        </w:tabs>
        <w:spacing w:line="480" w:lineRule="auto"/>
        <w:ind w:left="0" w:firstLine="0"/>
        <w:contextualSpacing/>
        <w:rPr>
          <w:b w:val="0"/>
          <w:bCs w:val="0"/>
        </w:rPr>
      </w:pPr>
      <w:r w:rsidRPr="009E6776">
        <w:rPr>
          <w:b w:val="0"/>
          <w:bCs w:val="0"/>
        </w:rPr>
        <w:t xml:space="preserve">ETB serves on the scientific advisory board of Sosei Heptares and as a consultant for GlaxoSmithKline. SRC receives honoraria for editorial work from Elsevier, and previously </w:t>
      </w:r>
      <w:r w:rsidRPr="009E6776">
        <w:rPr>
          <w:b w:val="0"/>
          <w:bCs w:val="0"/>
        </w:rPr>
        <w:lastRenderedPageBreak/>
        <w:t>consulted for Promentis. IMG is a Director of GKMH Ltd and has received consultancy fees from Lundeck.</w:t>
      </w:r>
      <w:r w:rsidR="00FD3821">
        <w:rPr>
          <w:b w:val="0"/>
          <w:bCs w:val="0"/>
        </w:rPr>
        <w:t xml:space="preserve"> TJF has a paid consultancy with Place2Be.</w:t>
      </w:r>
    </w:p>
    <w:p w14:paraId="53FF1D94" w14:textId="77777777" w:rsidR="001C0EEE" w:rsidRPr="009E6776" w:rsidRDefault="001C0EEE" w:rsidP="001C0EEE">
      <w:pPr>
        <w:pStyle w:val="Heading2"/>
        <w:tabs>
          <w:tab w:val="left" w:pos="460"/>
        </w:tabs>
        <w:spacing w:line="480" w:lineRule="auto"/>
        <w:ind w:left="0" w:firstLine="0"/>
        <w:contextualSpacing/>
        <w:rPr>
          <w:b w:val="0"/>
          <w:bCs w:val="0"/>
        </w:rPr>
      </w:pPr>
    </w:p>
    <w:p w14:paraId="7D1EA68E" w14:textId="77777777" w:rsidR="001C0EEE" w:rsidRPr="009E6776" w:rsidRDefault="001C0EEE" w:rsidP="001C0EEE">
      <w:pPr>
        <w:pStyle w:val="Heading2"/>
        <w:tabs>
          <w:tab w:val="left" w:pos="460"/>
        </w:tabs>
        <w:spacing w:line="480" w:lineRule="auto"/>
        <w:ind w:left="0" w:firstLine="0"/>
        <w:contextualSpacing/>
      </w:pPr>
      <w:r w:rsidRPr="009E6776">
        <w:t>Data availability statement</w:t>
      </w:r>
    </w:p>
    <w:p w14:paraId="1BE89617" w14:textId="77777777" w:rsidR="0043469F" w:rsidRPr="009E6776" w:rsidRDefault="0043469F" w:rsidP="00DA5D88">
      <w:pPr>
        <w:rPr>
          <w:lang w:eastAsia="en-GB"/>
        </w:rPr>
      </w:pPr>
      <w:r w:rsidRPr="0015132C">
        <w:rPr>
          <w:lang w:val="en-US"/>
        </w:rPr>
        <w:t>Data are available upon reasonable request to the corresponding author</w:t>
      </w:r>
      <w:r w:rsidR="0015132C">
        <w:rPr>
          <w:lang w:val="en-US"/>
        </w:rPr>
        <w:t>.</w:t>
      </w:r>
      <w:r w:rsidR="00FE22BB" w:rsidRPr="009E6776">
        <w:rPr>
          <w:lang w:eastAsia="en-GB"/>
        </w:rPr>
        <w:t xml:space="preserve"> </w:t>
      </w:r>
    </w:p>
    <w:p w14:paraId="44D2B79D" w14:textId="77777777" w:rsidR="001C0EEE" w:rsidRPr="009E6776" w:rsidRDefault="001C0EEE" w:rsidP="001C0EEE">
      <w:pPr>
        <w:pStyle w:val="BodyText"/>
        <w:spacing w:line="480" w:lineRule="auto"/>
        <w:ind w:right="477"/>
        <w:contextualSpacing/>
      </w:pPr>
    </w:p>
    <w:p w14:paraId="62DAD1E8" w14:textId="77777777" w:rsidR="00DB1E97" w:rsidRPr="009E6776" w:rsidRDefault="00DB1E97" w:rsidP="001C0EEE">
      <w:pPr>
        <w:pStyle w:val="BodyText"/>
        <w:spacing w:line="480" w:lineRule="auto"/>
        <w:ind w:right="477"/>
        <w:contextualSpacing/>
      </w:pPr>
    </w:p>
    <w:p w14:paraId="7FB3A33E" w14:textId="77777777" w:rsidR="00DB1E97" w:rsidRPr="009E6776" w:rsidRDefault="004B3902" w:rsidP="001C0EEE">
      <w:pPr>
        <w:pStyle w:val="BodyText"/>
        <w:spacing w:line="480" w:lineRule="auto"/>
        <w:ind w:right="477"/>
        <w:contextualSpacing/>
        <w:jc w:val="center"/>
      </w:pPr>
      <w:r w:rsidRPr="009E6776">
        <w:t>References</w:t>
      </w:r>
    </w:p>
    <w:p w14:paraId="298A8C4B"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Argyriou, E., Um, M., Wu, W., &amp; Cyders, M. A. (2020). Measurement Invariance of the UPPS-P Impulsive Behavior Scale Across Age and Sex Across the Adult Life Span. </w:t>
      </w:r>
      <w:r w:rsidRPr="000A27AD">
        <w:rPr>
          <w:rFonts w:cs="Times New Roman"/>
          <w:i/>
          <w:iCs/>
          <w:noProof/>
        </w:rPr>
        <w:t>Assessment</w:t>
      </w:r>
      <w:r w:rsidRPr="000A27AD">
        <w:rPr>
          <w:rFonts w:cs="Times New Roman"/>
          <w:noProof/>
        </w:rPr>
        <w:t xml:space="preserve">, </w:t>
      </w:r>
      <w:r w:rsidRPr="000A27AD">
        <w:rPr>
          <w:rFonts w:cs="Times New Roman"/>
          <w:i/>
          <w:iCs/>
          <w:noProof/>
        </w:rPr>
        <w:t>27</w:t>
      </w:r>
      <w:r w:rsidRPr="000A27AD">
        <w:rPr>
          <w:rFonts w:cs="Times New Roman"/>
          <w:noProof/>
        </w:rPr>
        <w:t>(3), 432–453. https://doi.org/10.1177/1073191119832660</w:t>
      </w:r>
    </w:p>
    <w:p w14:paraId="4334DC02"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Armey, M. F., Crowther, J. H., &amp; Miller, I. W. (2011). Changes in Ecological Momentary Assessment Reported Affect Associated With Episodes of Nonsuicidal Self-Injury. </w:t>
      </w:r>
      <w:r w:rsidRPr="000A27AD">
        <w:rPr>
          <w:rFonts w:cs="Times New Roman"/>
          <w:i/>
          <w:iCs/>
          <w:noProof/>
        </w:rPr>
        <w:t>Behavior Therapy</w:t>
      </w:r>
      <w:r w:rsidRPr="000A27AD">
        <w:rPr>
          <w:rFonts w:cs="Times New Roman"/>
          <w:noProof/>
        </w:rPr>
        <w:t xml:space="preserve">, </w:t>
      </w:r>
      <w:r w:rsidRPr="000A27AD">
        <w:rPr>
          <w:rFonts w:cs="Times New Roman"/>
          <w:i/>
          <w:iCs/>
          <w:noProof/>
        </w:rPr>
        <w:t>42</w:t>
      </w:r>
      <w:r w:rsidRPr="000A27AD">
        <w:rPr>
          <w:rFonts w:cs="Times New Roman"/>
          <w:noProof/>
        </w:rPr>
        <w:t>(4), 579–588. https://doi.org/10.1016/j.beth.2011.01.002</w:t>
      </w:r>
    </w:p>
    <w:p w14:paraId="5DE90C7F"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Baillie, A. J. (2005). Predictive gender and education bias in Kessler’s psychological distress Scale (K10). </w:t>
      </w:r>
      <w:r w:rsidRPr="000A27AD">
        <w:rPr>
          <w:rFonts w:cs="Times New Roman"/>
          <w:i/>
          <w:iCs/>
          <w:noProof/>
        </w:rPr>
        <w:t>Social Psychiatry and Psychiatric Epidemiology</w:t>
      </w:r>
      <w:r w:rsidRPr="000A27AD">
        <w:rPr>
          <w:rFonts w:cs="Times New Roman"/>
          <w:noProof/>
        </w:rPr>
        <w:t xml:space="preserve">, </w:t>
      </w:r>
      <w:r w:rsidRPr="000A27AD">
        <w:rPr>
          <w:rFonts w:cs="Times New Roman"/>
          <w:i/>
          <w:iCs/>
          <w:noProof/>
        </w:rPr>
        <w:t>40</w:t>
      </w:r>
      <w:r w:rsidRPr="000A27AD">
        <w:rPr>
          <w:rFonts w:cs="Times New Roman"/>
          <w:noProof/>
        </w:rPr>
        <w:t>(9), 743–748. https://doi.org/10.1007/s00127-005-0935-9</w:t>
      </w:r>
    </w:p>
    <w:p w14:paraId="509140D3"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Bresin, K., &amp; Schoenleber, M. (2015). Gender differences in the prevalence of nonsuicidal self-injury: A meta-analysis. </w:t>
      </w:r>
      <w:r w:rsidRPr="000A27AD">
        <w:rPr>
          <w:rFonts w:cs="Times New Roman"/>
          <w:i/>
          <w:iCs/>
          <w:noProof/>
        </w:rPr>
        <w:t>Clinical Psychology Review</w:t>
      </w:r>
      <w:r w:rsidRPr="000A27AD">
        <w:rPr>
          <w:rFonts w:cs="Times New Roman"/>
          <w:noProof/>
        </w:rPr>
        <w:t xml:space="preserve">, </w:t>
      </w:r>
      <w:r w:rsidRPr="000A27AD">
        <w:rPr>
          <w:rFonts w:cs="Times New Roman"/>
          <w:i/>
          <w:iCs/>
          <w:noProof/>
        </w:rPr>
        <w:t>38</w:t>
      </w:r>
      <w:r w:rsidRPr="000A27AD">
        <w:rPr>
          <w:rFonts w:cs="Times New Roman"/>
          <w:noProof/>
        </w:rPr>
        <w:t>, 55-­64. https://doi.org/10.1016/j.cpr.2015.02.009</w:t>
      </w:r>
    </w:p>
    <w:p w14:paraId="6F70AC93"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Brickman, B. J. (2004). ‘Delicate’ Cutters: Gendered Self-mutilation and Attractive Flesh in Medical Discourse. </w:t>
      </w:r>
      <w:r w:rsidRPr="000A27AD">
        <w:rPr>
          <w:rFonts w:cs="Times New Roman"/>
          <w:i/>
          <w:iCs/>
          <w:noProof/>
        </w:rPr>
        <w:t>Body &amp; Society</w:t>
      </w:r>
      <w:r w:rsidRPr="000A27AD">
        <w:rPr>
          <w:rFonts w:cs="Times New Roman"/>
          <w:noProof/>
        </w:rPr>
        <w:t xml:space="preserve">, </w:t>
      </w:r>
      <w:r w:rsidRPr="000A27AD">
        <w:rPr>
          <w:rFonts w:cs="Times New Roman"/>
          <w:i/>
          <w:iCs/>
          <w:noProof/>
        </w:rPr>
        <w:t>10</w:t>
      </w:r>
      <w:r w:rsidRPr="000A27AD">
        <w:rPr>
          <w:rFonts w:cs="Times New Roman"/>
          <w:noProof/>
        </w:rPr>
        <w:t>(4), 87–111. https://doi.org/10.1177/1357034X04047857</w:t>
      </w:r>
    </w:p>
    <w:p w14:paraId="50998002"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Burnham, R. C. (1969). Symposium on impulsive self‐mutilation: Discussion. </w:t>
      </w:r>
      <w:r w:rsidRPr="000A27AD">
        <w:rPr>
          <w:rFonts w:cs="Times New Roman"/>
          <w:i/>
          <w:iCs/>
          <w:noProof/>
        </w:rPr>
        <w:t xml:space="preserve">British Journal of </w:t>
      </w:r>
      <w:r w:rsidRPr="000A27AD">
        <w:rPr>
          <w:rFonts w:cs="Times New Roman"/>
          <w:i/>
          <w:iCs/>
          <w:noProof/>
        </w:rPr>
        <w:lastRenderedPageBreak/>
        <w:t>Medical Psychology</w:t>
      </w:r>
      <w:r w:rsidRPr="000A27AD">
        <w:rPr>
          <w:rFonts w:cs="Times New Roman"/>
          <w:noProof/>
        </w:rPr>
        <w:t xml:space="preserve">, </w:t>
      </w:r>
      <w:r w:rsidRPr="000A27AD">
        <w:rPr>
          <w:rFonts w:cs="Times New Roman"/>
          <w:i/>
          <w:iCs/>
          <w:noProof/>
        </w:rPr>
        <w:t>42</w:t>
      </w:r>
      <w:r w:rsidRPr="000A27AD">
        <w:rPr>
          <w:rFonts w:cs="Times New Roman"/>
          <w:noProof/>
        </w:rPr>
        <w:t>(3), 223–227. https://doi.org/10.1111/j.2044-8341.1969.tb02074.x</w:t>
      </w:r>
    </w:p>
    <w:p w14:paraId="2BD0A944" w14:textId="1891E562"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Cassels, M., Neufeld, S., van Harmelen, A. L., Goodyer, I., &amp; Wilkinson, P. (2020). Prospective pathways from impulsivity to non-suicidal self-injury among youth. </w:t>
      </w:r>
      <w:r w:rsidRPr="000A27AD">
        <w:rPr>
          <w:rFonts w:cs="Times New Roman"/>
          <w:i/>
          <w:iCs/>
          <w:noProof/>
        </w:rPr>
        <w:t>Archives of Suicide Research</w:t>
      </w:r>
      <w:r w:rsidRPr="000A27AD">
        <w:rPr>
          <w:rFonts w:cs="Times New Roman"/>
          <w:noProof/>
        </w:rPr>
        <w:t xml:space="preserve">, </w:t>
      </w:r>
      <w:r w:rsidRPr="00DA5D88">
        <w:rPr>
          <w:rFonts w:cs="Times New Roman"/>
          <w:noProof/>
        </w:rPr>
        <w:t>advance on</w:t>
      </w:r>
      <w:r w:rsidR="001A5258">
        <w:rPr>
          <w:rFonts w:cs="Times New Roman"/>
          <w:noProof/>
        </w:rPr>
        <w:t>l</w:t>
      </w:r>
      <w:r w:rsidR="001A5258" w:rsidRPr="00DA5D88">
        <w:rPr>
          <w:rFonts w:cs="Times New Roman"/>
          <w:noProof/>
        </w:rPr>
        <w:t>ine publication</w:t>
      </w:r>
      <w:r w:rsidRPr="000A27AD">
        <w:rPr>
          <w:rFonts w:cs="Times New Roman"/>
          <w:noProof/>
        </w:rPr>
        <w:t>, 1–14. https://doi.org/10.1080/13811118.2020.1811180</w:t>
      </w:r>
    </w:p>
    <w:p w14:paraId="7EFA55B0"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Chamberlain, S. R., Tiego, J., Fontenelle, L. F., Hook, R., Parkes, L., Segrave, R., Hauser, T. U., Dolan, R. J., Goodyer, I. M., Bullmore, E., Grant, J. E., &amp; Yücel, M. (2019). Fractionation of impulsive and compulsive trans-diagnostic phenotypes and their longitudinal associations. </w:t>
      </w:r>
      <w:r w:rsidRPr="000A27AD">
        <w:rPr>
          <w:rFonts w:cs="Times New Roman"/>
          <w:i/>
          <w:iCs/>
          <w:noProof/>
        </w:rPr>
        <w:t>Australian and New Zealand Journal of Psychiatry</w:t>
      </w:r>
      <w:r w:rsidRPr="000A27AD">
        <w:rPr>
          <w:rFonts w:cs="Times New Roman"/>
          <w:noProof/>
        </w:rPr>
        <w:t xml:space="preserve">, </w:t>
      </w:r>
      <w:r w:rsidRPr="000A27AD">
        <w:rPr>
          <w:rFonts w:cs="Times New Roman"/>
          <w:i/>
          <w:iCs/>
          <w:noProof/>
        </w:rPr>
        <w:t>53</w:t>
      </w:r>
      <w:r w:rsidRPr="000A27AD">
        <w:rPr>
          <w:rFonts w:cs="Times New Roman"/>
          <w:noProof/>
        </w:rPr>
        <w:t>(9), 896–907. https://doi.org/10.1177/0004867419844325</w:t>
      </w:r>
    </w:p>
    <w:p w14:paraId="64B645C9"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Chandler, A., Myers, F., &amp; Platt, S. (2011). The construction of self-injury in the clinical literature: A sociological exploration. </w:t>
      </w:r>
      <w:r w:rsidRPr="000A27AD">
        <w:rPr>
          <w:rFonts w:cs="Times New Roman"/>
          <w:i/>
          <w:iCs/>
          <w:noProof/>
        </w:rPr>
        <w:t>Suicide and Life-Threatening Behavior</w:t>
      </w:r>
      <w:r w:rsidRPr="000A27AD">
        <w:rPr>
          <w:rFonts w:cs="Times New Roman"/>
          <w:noProof/>
        </w:rPr>
        <w:t xml:space="preserve">, </w:t>
      </w:r>
      <w:r w:rsidRPr="000A27AD">
        <w:rPr>
          <w:rFonts w:cs="Times New Roman"/>
          <w:i/>
          <w:iCs/>
          <w:noProof/>
        </w:rPr>
        <w:t>41</w:t>
      </w:r>
      <w:r w:rsidRPr="000A27AD">
        <w:rPr>
          <w:rFonts w:cs="Times New Roman"/>
          <w:noProof/>
        </w:rPr>
        <w:t>(1), 98–109. https://doi.org/10.1111/j.1943-278X.2010.00003.x</w:t>
      </w:r>
    </w:p>
    <w:p w14:paraId="3FA00BCF"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Cipriano, A., Cella, S., &amp; Cotrufo, P. (2017). Nonsuicidal self-injury: A systematic review. </w:t>
      </w:r>
      <w:r w:rsidRPr="000A27AD">
        <w:rPr>
          <w:rFonts w:cs="Times New Roman"/>
          <w:i/>
          <w:iCs/>
          <w:noProof/>
        </w:rPr>
        <w:t>Frontiers in Psychology</w:t>
      </w:r>
      <w:r w:rsidRPr="000A27AD">
        <w:rPr>
          <w:rFonts w:cs="Times New Roman"/>
          <w:noProof/>
        </w:rPr>
        <w:t xml:space="preserve">, </w:t>
      </w:r>
      <w:r w:rsidRPr="000A27AD">
        <w:rPr>
          <w:rFonts w:cs="Times New Roman"/>
          <w:i/>
          <w:iCs/>
          <w:noProof/>
        </w:rPr>
        <w:t>8</w:t>
      </w:r>
      <w:r w:rsidRPr="000A27AD">
        <w:rPr>
          <w:rFonts w:cs="Times New Roman"/>
          <w:noProof/>
        </w:rPr>
        <w:t>, 1946. https://doi.org/10.3389/fpsyg.2017.01946</w:t>
      </w:r>
    </w:p>
    <w:p w14:paraId="79F1CB3A"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Cyders, M. A. (2013). Impulsivity and the Sexes: Measurement and Structural Invariance of the UPPS-P Impulsive Behavior Scale. </w:t>
      </w:r>
      <w:r w:rsidRPr="000A27AD">
        <w:rPr>
          <w:rFonts w:cs="Times New Roman"/>
          <w:i/>
          <w:iCs/>
          <w:noProof/>
        </w:rPr>
        <w:t>Assessment</w:t>
      </w:r>
      <w:r w:rsidRPr="000A27AD">
        <w:rPr>
          <w:rFonts w:cs="Times New Roman"/>
          <w:noProof/>
        </w:rPr>
        <w:t xml:space="preserve">, </w:t>
      </w:r>
      <w:r w:rsidRPr="000A27AD">
        <w:rPr>
          <w:rFonts w:cs="Times New Roman"/>
          <w:i/>
          <w:iCs/>
          <w:noProof/>
        </w:rPr>
        <w:t>20</w:t>
      </w:r>
      <w:r w:rsidRPr="000A27AD">
        <w:rPr>
          <w:rFonts w:cs="Times New Roman"/>
          <w:noProof/>
        </w:rPr>
        <w:t>(1), 86–97. https://doi.org/10.1177/1073191111428762</w:t>
      </w:r>
    </w:p>
    <w:p w14:paraId="4C0E77C4"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Cyders, M. A., Littlefield, A. K., Coffey, S., &amp; Karyadi, K. A. (2014). Examination of a short English version of the UPPS-P Impulsive Behavior Scale. </w:t>
      </w:r>
      <w:r w:rsidRPr="000A27AD">
        <w:rPr>
          <w:rFonts w:cs="Times New Roman"/>
          <w:i/>
          <w:iCs/>
          <w:noProof/>
        </w:rPr>
        <w:t>Addictive Behaviors</w:t>
      </w:r>
      <w:r w:rsidRPr="000A27AD">
        <w:rPr>
          <w:rFonts w:cs="Times New Roman"/>
          <w:noProof/>
        </w:rPr>
        <w:t xml:space="preserve">, </w:t>
      </w:r>
      <w:r w:rsidRPr="000A27AD">
        <w:rPr>
          <w:rFonts w:cs="Times New Roman"/>
          <w:i/>
          <w:iCs/>
          <w:noProof/>
        </w:rPr>
        <w:t>39</w:t>
      </w:r>
      <w:r w:rsidRPr="000A27AD">
        <w:rPr>
          <w:rFonts w:cs="Times New Roman"/>
          <w:noProof/>
        </w:rPr>
        <w:t>(9), 1372–1376. https://doi.org/10.1016/j.addbeh.2014.02.013</w:t>
      </w:r>
    </w:p>
    <w:p w14:paraId="6215723E"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Cyders, M. A., &amp; Smith, G. T. (2010). Longitudinal validation of the urgency traits over the first year of college. </w:t>
      </w:r>
      <w:r w:rsidRPr="000A27AD">
        <w:rPr>
          <w:rFonts w:cs="Times New Roman"/>
          <w:i/>
          <w:iCs/>
          <w:noProof/>
        </w:rPr>
        <w:t>Journal of Personality Assessment</w:t>
      </w:r>
      <w:r w:rsidRPr="000A27AD">
        <w:rPr>
          <w:rFonts w:cs="Times New Roman"/>
          <w:noProof/>
        </w:rPr>
        <w:t xml:space="preserve">, </w:t>
      </w:r>
      <w:r w:rsidRPr="000A27AD">
        <w:rPr>
          <w:rFonts w:cs="Times New Roman"/>
          <w:i/>
          <w:iCs/>
          <w:noProof/>
        </w:rPr>
        <w:t>92</w:t>
      </w:r>
      <w:r w:rsidRPr="000A27AD">
        <w:rPr>
          <w:rFonts w:cs="Times New Roman"/>
          <w:noProof/>
        </w:rPr>
        <w:t xml:space="preserve">(1), 63–69. </w:t>
      </w:r>
      <w:r w:rsidRPr="000A27AD">
        <w:rPr>
          <w:rFonts w:cs="Times New Roman"/>
          <w:noProof/>
        </w:rPr>
        <w:lastRenderedPageBreak/>
        <w:t>https://doi.org/10.1080/00223890903381825</w:t>
      </w:r>
    </w:p>
    <w:p w14:paraId="6BCC9EC5"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Daukantaitė, D., Lundh, L.-G., Wångby-Lundh, M., Claréus, B., Bjärehed, J., Zhou, Y., &amp; Liljedahl, S. I. (2020). What happens to young adults who have engaged in self-injurious behavior as adolescents? A 10-year follow-up. </w:t>
      </w:r>
      <w:r w:rsidRPr="000A27AD">
        <w:rPr>
          <w:rFonts w:cs="Times New Roman"/>
          <w:i/>
          <w:iCs/>
          <w:noProof/>
        </w:rPr>
        <w:t>European Child &amp; Adolescent Psychiatry</w:t>
      </w:r>
      <w:r w:rsidRPr="000A27AD">
        <w:rPr>
          <w:rFonts w:cs="Times New Roman"/>
          <w:noProof/>
        </w:rPr>
        <w:t xml:space="preserve">, </w:t>
      </w:r>
      <w:r w:rsidRPr="000A27AD">
        <w:rPr>
          <w:rFonts w:cs="Times New Roman"/>
          <w:i/>
          <w:iCs/>
          <w:noProof/>
        </w:rPr>
        <w:t>30</w:t>
      </w:r>
      <w:r w:rsidRPr="000A27AD">
        <w:rPr>
          <w:rFonts w:cs="Times New Roman"/>
          <w:noProof/>
        </w:rPr>
        <w:t>(3), 475–492. https://doi.org/10.1007/s00787-020-01533-4</w:t>
      </w:r>
    </w:p>
    <w:p w14:paraId="23F3DB23"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DeCou, C. R., Comtois, K. A., &amp; Landes, S. J. (2019). Dialectical Behavior Therapy Is Effective for the Treatment of Suicidal Behavior: A Meta-Analysis. </w:t>
      </w:r>
      <w:r w:rsidRPr="000A27AD">
        <w:rPr>
          <w:rFonts w:cs="Times New Roman"/>
          <w:i/>
          <w:iCs/>
          <w:noProof/>
        </w:rPr>
        <w:t>Behavior Therapy</w:t>
      </w:r>
      <w:r w:rsidRPr="000A27AD">
        <w:rPr>
          <w:rFonts w:cs="Times New Roman"/>
          <w:noProof/>
        </w:rPr>
        <w:t xml:space="preserve">, </w:t>
      </w:r>
      <w:r w:rsidRPr="000A27AD">
        <w:rPr>
          <w:rFonts w:cs="Times New Roman"/>
          <w:i/>
          <w:iCs/>
          <w:noProof/>
        </w:rPr>
        <w:t>50</w:t>
      </w:r>
      <w:r w:rsidRPr="000A27AD">
        <w:rPr>
          <w:rFonts w:cs="Times New Roman"/>
          <w:noProof/>
        </w:rPr>
        <w:t>(1), 60–72. https://doi.org/10.1016/j.beth.2018.03.009</w:t>
      </w:r>
    </w:p>
    <w:p w14:paraId="5D2A9306"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Edmondson, A. J., Brennan, C. A., &amp; House, A. O. (2016). Non-suicidal reasons for self-harm: A systematic review of self-reported accounts. </w:t>
      </w:r>
      <w:r w:rsidRPr="000A27AD">
        <w:rPr>
          <w:rFonts w:cs="Times New Roman"/>
          <w:i/>
          <w:iCs/>
          <w:noProof/>
        </w:rPr>
        <w:t>Journal of Affective Disorders</w:t>
      </w:r>
      <w:r w:rsidRPr="000A27AD">
        <w:rPr>
          <w:rFonts w:cs="Times New Roman"/>
          <w:noProof/>
        </w:rPr>
        <w:t xml:space="preserve">, </w:t>
      </w:r>
      <w:r w:rsidRPr="000A27AD">
        <w:rPr>
          <w:rFonts w:cs="Times New Roman"/>
          <w:i/>
          <w:iCs/>
          <w:noProof/>
        </w:rPr>
        <w:t>191</w:t>
      </w:r>
      <w:r w:rsidRPr="000A27AD">
        <w:rPr>
          <w:rFonts w:cs="Times New Roman"/>
          <w:noProof/>
        </w:rPr>
        <w:t>, 109–117. https://doi.org/10.1016/j.jad.2015.11.043</w:t>
      </w:r>
    </w:p>
    <w:p w14:paraId="455727B1"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Favazza, A. R., &amp; Conterio, K. (1989). Female habitual self‐mutilators. </w:t>
      </w:r>
      <w:r w:rsidRPr="000A27AD">
        <w:rPr>
          <w:rFonts w:cs="Times New Roman"/>
          <w:i/>
          <w:iCs/>
          <w:noProof/>
        </w:rPr>
        <w:t>Acta Psychiatrica Scandinavica</w:t>
      </w:r>
      <w:r w:rsidRPr="000A27AD">
        <w:rPr>
          <w:rFonts w:cs="Times New Roman"/>
          <w:noProof/>
        </w:rPr>
        <w:t xml:space="preserve">, </w:t>
      </w:r>
      <w:r w:rsidRPr="000A27AD">
        <w:rPr>
          <w:rFonts w:cs="Times New Roman"/>
          <w:i/>
          <w:iCs/>
          <w:noProof/>
        </w:rPr>
        <w:t>79</w:t>
      </w:r>
      <w:r w:rsidRPr="000A27AD">
        <w:rPr>
          <w:rFonts w:cs="Times New Roman"/>
          <w:noProof/>
        </w:rPr>
        <w:t>(3), 283–289. https://doi.org/10.1111/j.1600-0447.1989.tb10259.x</w:t>
      </w:r>
    </w:p>
    <w:p w14:paraId="3B9A9B53"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Gratz, K. L., &amp; Roemer, L. (2004). Multidimensional assessment of emotion regulation and dysregulation. </w:t>
      </w:r>
      <w:r w:rsidRPr="000A27AD">
        <w:rPr>
          <w:rFonts w:cs="Times New Roman"/>
          <w:i/>
          <w:iCs/>
          <w:noProof/>
        </w:rPr>
        <w:t>Journal of Psychopathology and Behavioral Assessment</w:t>
      </w:r>
      <w:r w:rsidRPr="000A27AD">
        <w:rPr>
          <w:rFonts w:cs="Times New Roman"/>
          <w:noProof/>
        </w:rPr>
        <w:t xml:space="preserve">, </w:t>
      </w:r>
      <w:r w:rsidRPr="000A27AD">
        <w:rPr>
          <w:rFonts w:cs="Times New Roman"/>
          <w:i/>
          <w:iCs/>
          <w:noProof/>
        </w:rPr>
        <w:t>26</w:t>
      </w:r>
      <w:r w:rsidRPr="000A27AD">
        <w:rPr>
          <w:rFonts w:cs="Times New Roman"/>
          <w:noProof/>
        </w:rPr>
        <w:t>(1), 41–54. https://doi.org/10.1023/B:JOBA.0000007455.08539.94</w:t>
      </w:r>
    </w:p>
    <w:p w14:paraId="354599D1" w14:textId="3E628583" w:rsid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Green, J. D., &amp; Jakupcak, M. (2015). Masculinity and men’s self-harm behaviors: Implications for Non-Suicidal Self-Injury Disorder. </w:t>
      </w:r>
      <w:r w:rsidRPr="000A27AD">
        <w:rPr>
          <w:rFonts w:cs="Times New Roman"/>
          <w:i/>
          <w:iCs/>
          <w:noProof/>
        </w:rPr>
        <w:t>Psychology of Men and Masculinity</w:t>
      </w:r>
      <w:r w:rsidRPr="000A27AD">
        <w:rPr>
          <w:rFonts w:cs="Times New Roman"/>
          <w:noProof/>
        </w:rPr>
        <w:t xml:space="preserve">, </w:t>
      </w:r>
      <w:r w:rsidRPr="000A27AD">
        <w:rPr>
          <w:rFonts w:cs="Times New Roman"/>
          <w:i/>
          <w:iCs/>
          <w:noProof/>
        </w:rPr>
        <w:t>17</w:t>
      </w:r>
      <w:r w:rsidRPr="000A27AD">
        <w:rPr>
          <w:rFonts w:cs="Times New Roman"/>
          <w:noProof/>
        </w:rPr>
        <w:t xml:space="preserve">(2), 147–155. </w:t>
      </w:r>
      <w:r w:rsidR="00BF4176" w:rsidRPr="00DA5D88">
        <w:rPr>
          <w:rFonts w:cs="Times New Roman"/>
          <w:noProof/>
        </w:rPr>
        <w:t>https://doi.org/10.1037/a0039691</w:t>
      </w:r>
    </w:p>
    <w:p w14:paraId="6846FA8C" w14:textId="19D04458" w:rsidR="00BF4176" w:rsidRPr="000A27AD" w:rsidRDefault="00BF4176" w:rsidP="00BF4176">
      <w:pPr>
        <w:widowControl w:val="0"/>
        <w:autoSpaceDE w:val="0"/>
        <w:autoSpaceDN w:val="0"/>
        <w:adjustRightInd w:val="0"/>
        <w:spacing w:line="480" w:lineRule="auto"/>
        <w:ind w:left="480" w:hanging="480"/>
        <w:rPr>
          <w:rFonts w:cs="Times New Roman"/>
          <w:noProof/>
        </w:rPr>
      </w:pPr>
      <w:r w:rsidRPr="008B5A0C">
        <w:rPr>
          <w:rFonts w:cs="Times New Roman"/>
          <w:noProof/>
        </w:rPr>
        <w:t xml:space="preserve">Hyde, </w:t>
      </w:r>
      <w:r>
        <w:rPr>
          <w:rFonts w:cs="Times New Roman"/>
          <w:noProof/>
        </w:rPr>
        <w:t>J. S</w:t>
      </w:r>
      <w:r w:rsidRPr="008B5A0C">
        <w:rPr>
          <w:rFonts w:cs="Times New Roman"/>
          <w:noProof/>
        </w:rPr>
        <w:t xml:space="preserve">. (2005). The gender similarities hypothesis. </w:t>
      </w:r>
      <w:r w:rsidRPr="008B5A0C">
        <w:rPr>
          <w:rFonts w:cs="Times New Roman"/>
          <w:i/>
          <w:iCs/>
          <w:noProof/>
        </w:rPr>
        <w:t>American Psychologist</w:t>
      </w:r>
      <w:r w:rsidRPr="008B5A0C">
        <w:rPr>
          <w:rFonts w:cs="Times New Roman"/>
          <w:noProof/>
        </w:rPr>
        <w:t xml:space="preserve">, </w:t>
      </w:r>
      <w:r w:rsidRPr="008B5A0C">
        <w:rPr>
          <w:rFonts w:cs="Times New Roman"/>
          <w:i/>
          <w:iCs/>
          <w:noProof/>
        </w:rPr>
        <w:t>60</w:t>
      </w:r>
      <w:r w:rsidRPr="008B5A0C">
        <w:rPr>
          <w:rFonts w:cs="Times New Roman"/>
          <w:noProof/>
        </w:rPr>
        <w:t>(6), 581–592. https://doi.org/10.1037/0003-066X.60.6.581</w:t>
      </w:r>
    </w:p>
    <w:p w14:paraId="4A2AB886"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Hyde, J. S. (2014). Gender similarities and differences. </w:t>
      </w:r>
      <w:r w:rsidRPr="000A27AD">
        <w:rPr>
          <w:rFonts w:cs="Times New Roman"/>
          <w:i/>
          <w:iCs/>
          <w:noProof/>
        </w:rPr>
        <w:t>Annual Review of Psychology</w:t>
      </w:r>
      <w:r w:rsidRPr="000A27AD">
        <w:rPr>
          <w:rFonts w:cs="Times New Roman"/>
          <w:noProof/>
        </w:rPr>
        <w:t xml:space="preserve">, </w:t>
      </w:r>
      <w:r w:rsidRPr="000A27AD">
        <w:rPr>
          <w:rFonts w:cs="Times New Roman"/>
          <w:i/>
          <w:iCs/>
          <w:noProof/>
        </w:rPr>
        <w:t>65</w:t>
      </w:r>
      <w:r w:rsidRPr="000A27AD">
        <w:rPr>
          <w:rFonts w:cs="Times New Roman"/>
          <w:noProof/>
        </w:rPr>
        <w:t>, 373–398. https://doi.org/10.1146/annurev-psych-010213-115057</w:t>
      </w:r>
    </w:p>
    <w:p w14:paraId="63F5BF19"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lastRenderedPageBreak/>
        <w:t xml:space="preserve">Hyde, J. S., Bigler, R. S., Joel, D., Tate, C. C., &amp; van Anders, S. M. (2019). The future of sex and gender in psychology: Five challenges to the gender binary. </w:t>
      </w:r>
      <w:r w:rsidRPr="000A27AD">
        <w:rPr>
          <w:rFonts w:cs="Times New Roman"/>
          <w:i/>
          <w:iCs/>
          <w:noProof/>
        </w:rPr>
        <w:t>American Psychologist</w:t>
      </w:r>
      <w:r w:rsidRPr="000A27AD">
        <w:rPr>
          <w:rFonts w:cs="Times New Roman"/>
          <w:noProof/>
        </w:rPr>
        <w:t xml:space="preserve">, </w:t>
      </w:r>
      <w:r w:rsidRPr="000A27AD">
        <w:rPr>
          <w:rFonts w:cs="Times New Roman"/>
          <w:i/>
          <w:iCs/>
          <w:noProof/>
        </w:rPr>
        <w:t>74</w:t>
      </w:r>
      <w:r w:rsidRPr="000A27AD">
        <w:rPr>
          <w:rFonts w:cs="Times New Roman"/>
          <w:noProof/>
        </w:rPr>
        <w:t>(2), 171–193. https://doi.org/10.1037/amp0000307</w:t>
      </w:r>
    </w:p>
    <w:p w14:paraId="65B11ACA"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Hyde, J. S., &amp; Mezulis, A. H. (2020). Gender Differences in Depression: Biological, Affective, Cognitive, and Sociocultural Factors. </w:t>
      </w:r>
      <w:r w:rsidRPr="000A27AD">
        <w:rPr>
          <w:rFonts w:cs="Times New Roman"/>
          <w:i/>
          <w:iCs/>
          <w:noProof/>
        </w:rPr>
        <w:t>Harvard Review of Psychiatry</w:t>
      </w:r>
      <w:r w:rsidRPr="000A27AD">
        <w:rPr>
          <w:rFonts w:cs="Times New Roman"/>
          <w:noProof/>
        </w:rPr>
        <w:t xml:space="preserve">, </w:t>
      </w:r>
      <w:r w:rsidRPr="000A27AD">
        <w:rPr>
          <w:rFonts w:cs="Times New Roman"/>
          <w:i/>
          <w:iCs/>
          <w:noProof/>
        </w:rPr>
        <w:t>28</w:t>
      </w:r>
      <w:r w:rsidRPr="000A27AD">
        <w:rPr>
          <w:rFonts w:cs="Times New Roman"/>
          <w:noProof/>
        </w:rPr>
        <w:t>(1), 4–13. https://doi.org/10.1097/HRP.0000000000000230</w:t>
      </w:r>
    </w:p>
    <w:p w14:paraId="565DA91F"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International Society for the Study of Self-Injury. (2018). </w:t>
      </w:r>
      <w:r w:rsidRPr="000A27AD">
        <w:rPr>
          <w:rFonts w:cs="Times New Roman"/>
          <w:i/>
          <w:iCs/>
          <w:noProof/>
        </w:rPr>
        <w:t>What is self-injury?</w:t>
      </w:r>
      <w:r w:rsidRPr="000A27AD">
        <w:rPr>
          <w:rFonts w:cs="Times New Roman"/>
          <w:noProof/>
        </w:rPr>
        <w:t xml:space="preserve"> https://itriples.org/about-self-injury/what-is-self-injury</w:t>
      </w:r>
    </w:p>
    <w:p w14:paraId="622E001F"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Kessler, R. C., Andrews, G., Colpe, L. J., Hiripi, E., Mroczek, D. K., Normand, S. L. T., Walters, E. E., &amp; Zaslavsky, A. M. (2002). Short screening scales to monitor population prevalences and trends in non-specific psychological distress. </w:t>
      </w:r>
      <w:r w:rsidRPr="000A27AD">
        <w:rPr>
          <w:rFonts w:cs="Times New Roman"/>
          <w:i/>
          <w:iCs/>
          <w:noProof/>
        </w:rPr>
        <w:t>Psychological Medicine</w:t>
      </w:r>
      <w:r w:rsidRPr="000A27AD">
        <w:rPr>
          <w:rFonts w:cs="Times New Roman"/>
          <w:noProof/>
        </w:rPr>
        <w:t xml:space="preserve">, </w:t>
      </w:r>
      <w:r w:rsidRPr="000A27AD">
        <w:rPr>
          <w:rFonts w:cs="Times New Roman"/>
          <w:i/>
          <w:iCs/>
          <w:noProof/>
        </w:rPr>
        <w:t>32</w:t>
      </w:r>
      <w:r w:rsidRPr="000A27AD">
        <w:rPr>
          <w:rFonts w:cs="Times New Roman"/>
          <w:noProof/>
        </w:rPr>
        <w:t>, 959–976. https://doi.org/10.1017/S0033291702006074</w:t>
      </w:r>
    </w:p>
    <w:p w14:paraId="19C79AC0"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Kiddle, B., Inkster, B., Prabhu, G., Moutoussis, M., Whitaker, K. J., Bullmore, E. T., Dolan, R. J., Fonagy, P., Goodyer, I. M., Jones, P. B., Dolan, R., Hauser, T., Vértes, P., Whitaker, K., Villis, L., Bhatti, J., Ooi, C., Widmer, B., Alrumaithi, A., … van Harmelen, A. L. (2018). Cohort profile: The NSPN 2400 Cohort: A developmental sample supporting the Wellcome Trust Neuro Science in Psychiatry Network. </w:t>
      </w:r>
      <w:r w:rsidRPr="000A27AD">
        <w:rPr>
          <w:rFonts w:cs="Times New Roman"/>
          <w:i/>
          <w:iCs/>
          <w:noProof/>
        </w:rPr>
        <w:t>International Journal of Epidemiology</w:t>
      </w:r>
      <w:r w:rsidRPr="000A27AD">
        <w:rPr>
          <w:rFonts w:cs="Times New Roman"/>
          <w:noProof/>
        </w:rPr>
        <w:t xml:space="preserve">, </w:t>
      </w:r>
      <w:r w:rsidRPr="000A27AD">
        <w:rPr>
          <w:rFonts w:cs="Times New Roman"/>
          <w:i/>
          <w:iCs/>
          <w:noProof/>
        </w:rPr>
        <w:t>47</w:t>
      </w:r>
      <w:r w:rsidRPr="000A27AD">
        <w:rPr>
          <w:rFonts w:cs="Times New Roman"/>
          <w:noProof/>
        </w:rPr>
        <w:t>(1), 18–19g. https://doi.org/10.1093/ije/dyx117</w:t>
      </w:r>
    </w:p>
    <w:p w14:paraId="19888A66"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Kimbrel, N. A., Calhoun, P. S., &amp; Beckham, J. C. (2017). Nonsuicidal self-injury in men: a serious problem that has been overlooked for too long. </w:t>
      </w:r>
      <w:r w:rsidRPr="000A27AD">
        <w:rPr>
          <w:rFonts w:cs="Times New Roman"/>
          <w:i/>
          <w:iCs/>
          <w:noProof/>
        </w:rPr>
        <w:t>World Psychiatry</w:t>
      </w:r>
      <w:r w:rsidRPr="000A27AD">
        <w:rPr>
          <w:rFonts w:cs="Times New Roman"/>
          <w:noProof/>
        </w:rPr>
        <w:t xml:space="preserve">, </w:t>
      </w:r>
      <w:r w:rsidRPr="000A27AD">
        <w:rPr>
          <w:rFonts w:cs="Times New Roman"/>
          <w:i/>
          <w:iCs/>
          <w:noProof/>
        </w:rPr>
        <w:t>16</w:t>
      </w:r>
      <w:r w:rsidRPr="000A27AD">
        <w:rPr>
          <w:rFonts w:cs="Times New Roman"/>
          <w:noProof/>
        </w:rPr>
        <w:t>(1), 108–109. https://doi.org/10.1002/wps.20358</w:t>
      </w:r>
    </w:p>
    <w:p w14:paraId="26322BF2"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Klonsky, E. D. (2009). The functions of self-injury in young adults who cut themselves: Clarifying the evidence for affect-regulation. </w:t>
      </w:r>
      <w:r w:rsidRPr="000A27AD">
        <w:rPr>
          <w:rFonts w:cs="Times New Roman"/>
          <w:i/>
          <w:iCs/>
          <w:noProof/>
        </w:rPr>
        <w:t>Psychiatry Research</w:t>
      </w:r>
      <w:r w:rsidRPr="000A27AD">
        <w:rPr>
          <w:rFonts w:cs="Times New Roman"/>
          <w:noProof/>
        </w:rPr>
        <w:t xml:space="preserve">, </w:t>
      </w:r>
      <w:r w:rsidRPr="000A27AD">
        <w:rPr>
          <w:rFonts w:cs="Times New Roman"/>
          <w:i/>
          <w:iCs/>
          <w:noProof/>
        </w:rPr>
        <w:t>166</w:t>
      </w:r>
      <w:r w:rsidRPr="000A27AD">
        <w:rPr>
          <w:rFonts w:cs="Times New Roman"/>
          <w:noProof/>
        </w:rPr>
        <w:t xml:space="preserve">(2–3), 260–268. </w:t>
      </w:r>
      <w:r w:rsidRPr="000A27AD">
        <w:rPr>
          <w:rFonts w:cs="Times New Roman"/>
          <w:noProof/>
        </w:rPr>
        <w:lastRenderedPageBreak/>
        <w:t>https://doi.org/10.1016/j.psychres.2008.02.008</w:t>
      </w:r>
    </w:p>
    <w:p w14:paraId="6DCCA1ED"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Kothgassner, O. D., Robinson, K., Goreis, A., Ougrin, D., &amp; Plener, P. L. (2020). Does treatment method matter? A meta-analysis of the past 20 years of research on therapeutic interventions for self-harm and suicidal ideation in adolescents. </w:t>
      </w:r>
      <w:r w:rsidRPr="000A27AD">
        <w:rPr>
          <w:rFonts w:cs="Times New Roman"/>
          <w:i/>
          <w:iCs/>
          <w:noProof/>
        </w:rPr>
        <w:t>Borderline Personality Disorder and Emotion Dysregulation</w:t>
      </w:r>
      <w:r w:rsidRPr="000A27AD">
        <w:rPr>
          <w:rFonts w:cs="Times New Roman"/>
          <w:noProof/>
        </w:rPr>
        <w:t xml:space="preserve">, </w:t>
      </w:r>
      <w:r w:rsidRPr="000A27AD">
        <w:rPr>
          <w:rFonts w:cs="Times New Roman"/>
          <w:i/>
          <w:iCs/>
          <w:noProof/>
        </w:rPr>
        <w:t>7</w:t>
      </w:r>
      <w:r w:rsidRPr="000A27AD">
        <w:rPr>
          <w:rFonts w:cs="Times New Roman"/>
          <w:noProof/>
        </w:rPr>
        <w:t>, 9. https://doi.org/10.1186/s40479-020-00123-9</w:t>
      </w:r>
    </w:p>
    <w:p w14:paraId="5E6CF815"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Liu, R. T., Sheehan, A. E., Walsh, R. F. L., Sanzari, C. M., Cheek, S. M., &amp; Hernandez, E. M. (2019). Prevalence and correlates of non-suicidal self-injury among lesbian, gay, bisexual, and transgender individuals: A systematic review and meta-analysis. </w:t>
      </w:r>
      <w:r w:rsidRPr="000A27AD">
        <w:rPr>
          <w:rFonts w:cs="Times New Roman"/>
          <w:i/>
          <w:iCs/>
          <w:noProof/>
        </w:rPr>
        <w:t>Clinical Psychology Review</w:t>
      </w:r>
      <w:r w:rsidRPr="000A27AD">
        <w:rPr>
          <w:rFonts w:cs="Times New Roman"/>
          <w:noProof/>
        </w:rPr>
        <w:t xml:space="preserve">, </w:t>
      </w:r>
      <w:r w:rsidRPr="000A27AD">
        <w:rPr>
          <w:rFonts w:cs="Times New Roman"/>
          <w:i/>
          <w:iCs/>
          <w:noProof/>
        </w:rPr>
        <w:t>74</w:t>
      </w:r>
      <w:r w:rsidRPr="000A27AD">
        <w:rPr>
          <w:rFonts w:cs="Times New Roman"/>
          <w:noProof/>
        </w:rPr>
        <w:t>, 101783. https://doi.org/10.1016/j.cpr.2019.101783</w:t>
      </w:r>
    </w:p>
    <w:p w14:paraId="1576288E"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Lockwood, J., Daley, D., Townsend, E., &amp; Sayal, K. (2017). Impulsivity and self-harm in adolescence: a systematic review. </w:t>
      </w:r>
      <w:r w:rsidRPr="000A27AD">
        <w:rPr>
          <w:rFonts w:cs="Times New Roman"/>
          <w:i/>
          <w:iCs/>
          <w:noProof/>
        </w:rPr>
        <w:t>European Child and Adolescent Psychiatry</w:t>
      </w:r>
      <w:r w:rsidRPr="000A27AD">
        <w:rPr>
          <w:rFonts w:cs="Times New Roman"/>
          <w:noProof/>
        </w:rPr>
        <w:t xml:space="preserve">, </w:t>
      </w:r>
      <w:r w:rsidRPr="000A27AD">
        <w:rPr>
          <w:rFonts w:cs="Times New Roman"/>
          <w:i/>
          <w:iCs/>
          <w:noProof/>
        </w:rPr>
        <w:t>26</w:t>
      </w:r>
      <w:r w:rsidRPr="000A27AD">
        <w:rPr>
          <w:rFonts w:cs="Times New Roman"/>
          <w:noProof/>
        </w:rPr>
        <w:t>(4), 387–402. https://doi.org/10.1007/s00787-016-0915-5</w:t>
      </w:r>
    </w:p>
    <w:p w14:paraId="70FE8AC7"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Lockwood, J., Townsend, E., Allen, H., Daley, D., &amp; Sayal, K. (2020). What young people say about impulsivity in the short-term build up to self-harm: A qualitative study using card-sort tasks. </w:t>
      </w:r>
      <w:r w:rsidRPr="000A27AD">
        <w:rPr>
          <w:rFonts w:cs="Times New Roman"/>
          <w:i/>
          <w:iCs/>
          <w:noProof/>
        </w:rPr>
        <w:t>PLoS ONE</w:t>
      </w:r>
      <w:r w:rsidRPr="000A27AD">
        <w:rPr>
          <w:rFonts w:cs="Times New Roman"/>
          <w:noProof/>
        </w:rPr>
        <w:t xml:space="preserve">, </w:t>
      </w:r>
      <w:r w:rsidRPr="000A27AD">
        <w:rPr>
          <w:rFonts w:cs="Times New Roman"/>
          <w:i/>
          <w:iCs/>
          <w:noProof/>
        </w:rPr>
        <w:t>15</w:t>
      </w:r>
      <w:r w:rsidRPr="000A27AD">
        <w:rPr>
          <w:rFonts w:cs="Times New Roman"/>
          <w:noProof/>
        </w:rPr>
        <w:t>(12), e0244319.</w:t>
      </w:r>
    </w:p>
    <w:p w14:paraId="701EE129"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Lynch, T. R., Trost, W. T., Salsman, N., &amp; Linehan, M. M. (2007). Dialectical Behavior Therapy for Borderline Personality Disorder. </w:t>
      </w:r>
      <w:r w:rsidRPr="000A27AD">
        <w:rPr>
          <w:rFonts w:cs="Times New Roman"/>
          <w:i/>
          <w:iCs/>
          <w:noProof/>
        </w:rPr>
        <w:t>Annual Review of Clinical Psychology</w:t>
      </w:r>
      <w:r w:rsidRPr="000A27AD">
        <w:rPr>
          <w:rFonts w:cs="Times New Roman"/>
          <w:noProof/>
        </w:rPr>
        <w:t xml:space="preserve">, </w:t>
      </w:r>
      <w:r w:rsidRPr="000A27AD">
        <w:rPr>
          <w:rFonts w:cs="Times New Roman"/>
          <w:i/>
          <w:iCs/>
          <w:noProof/>
        </w:rPr>
        <w:t>3</w:t>
      </w:r>
      <w:r w:rsidRPr="000A27AD">
        <w:rPr>
          <w:rFonts w:cs="Times New Roman"/>
          <w:noProof/>
        </w:rPr>
        <w:t>, 181–205. https://doi.org/https://doi.org/10.1146/annurev.clinpsy.2.022305.095229</w:t>
      </w:r>
    </w:p>
    <w:p w14:paraId="6BB0DF3F"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Matud, M. P., Bethencourt, J. M., &amp; Ibáñez, I. (2015). Gender differences in psychological distress in Spain. </w:t>
      </w:r>
      <w:r w:rsidRPr="000A27AD">
        <w:rPr>
          <w:rFonts w:cs="Times New Roman"/>
          <w:i/>
          <w:iCs/>
          <w:noProof/>
        </w:rPr>
        <w:t>International Journal of Social Psychiatry</w:t>
      </w:r>
      <w:r w:rsidRPr="000A27AD">
        <w:rPr>
          <w:rFonts w:cs="Times New Roman"/>
          <w:noProof/>
        </w:rPr>
        <w:t xml:space="preserve">, </w:t>
      </w:r>
      <w:r w:rsidRPr="000A27AD">
        <w:rPr>
          <w:rFonts w:cs="Times New Roman"/>
          <w:i/>
          <w:iCs/>
          <w:noProof/>
        </w:rPr>
        <w:t>61</w:t>
      </w:r>
      <w:r w:rsidRPr="000A27AD">
        <w:rPr>
          <w:rFonts w:cs="Times New Roman"/>
          <w:noProof/>
        </w:rPr>
        <w:t>(6), 560–568. https://doi.org/10.1177/0020764014564801</w:t>
      </w:r>
    </w:p>
    <w:p w14:paraId="7B716FBD"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Millard, C. (2013). Making the cut: The production of “self-harm” in post-1945 Anglo-Saxon psychiatry. </w:t>
      </w:r>
      <w:r w:rsidRPr="000A27AD">
        <w:rPr>
          <w:rFonts w:cs="Times New Roman"/>
          <w:i/>
          <w:iCs/>
          <w:noProof/>
        </w:rPr>
        <w:t>History of the Human Sciences</w:t>
      </w:r>
      <w:r w:rsidRPr="000A27AD">
        <w:rPr>
          <w:rFonts w:cs="Times New Roman"/>
          <w:noProof/>
        </w:rPr>
        <w:t xml:space="preserve">, </w:t>
      </w:r>
      <w:r w:rsidRPr="000A27AD">
        <w:rPr>
          <w:rFonts w:cs="Times New Roman"/>
          <w:i/>
          <w:iCs/>
          <w:noProof/>
        </w:rPr>
        <w:t>26</w:t>
      </w:r>
      <w:r w:rsidRPr="000A27AD">
        <w:rPr>
          <w:rFonts w:cs="Times New Roman"/>
          <w:noProof/>
        </w:rPr>
        <w:t xml:space="preserve">(2), 126–150. </w:t>
      </w:r>
      <w:r w:rsidRPr="000A27AD">
        <w:rPr>
          <w:rFonts w:cs="Times New Roman"/>
          <w:noProof/>
        </w:rPr>
        <w:lastRenderedPageBreak/>
        <w:t>https://doi.org/10.1177/0952695112473619</w:t>
      </w:r>
    </w:p>
    <w:p w14:paraId="49D8AF9A"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Moran, P., Coffey, C., Romaniuk, H., Olsson, C., Borschmann, R., Carlin, J. B., &amp; Patton, G. C. (2012). The natural history of self-harm from adolescence to young adulthood: A population-based cohort study. </w:t>
      </w:r>
      <w:r w:rsidRPr="000A27AD">
        <w:rPr>
          <w:rFonts w:cs="Times New Roman"/>
          <w:i/>
          <w:iCs/>
          <w:noProof/>
        </w:rPr>
        <w:t>The Lancet</w:t>
      </w:r>
      <w:r w:rsidRPr="000A27AD">
        <w:rPr>
          <w:rFonts w:cs="Times New Roman"/>
          <w:noProof/>
        </w:rPr>
        <w:t xml:space="preserve">, </w:t>
      </w:r>
      <w:r w:rsidRPr="000A27AD">
        <w:rPr>
          <w:rFonts w:cs="Times New Roman"/>
          <w:i/>
          <w:iCs/>
          <w:noProof/>
        </w:rPr>
        <w:t>379</w:t>
      </w:r>
      <w:r w:rsidRPr="000A27AD">
        <w:rPr>
          <w:rFonts w:cs="Times New Roman"/>
          <w:noProof/>
        </w:rPr>
        <w:t>(9812), 236–243. https://doi.org/10.1016/S0140-6736(11)61141-0</w:t>
      </w:r>
    </w:p>
    <w:p w14:paraId="18D59039"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Nolen-Hoeksema, S. (2012). Emotion regulation and psychopathology: The role of gender. </w:t>
      </w:r>
      <w:r w:rsidRPr="000A27AD">
        <w:rPr>
          <w:rFonts w:cs="Times New Roman"/>
          <w:i/>
          <w:iCs/>
          <w:noProof/>
        </w:rPr>
        <w:t>Annual Review of Clinical Psychology</w:t>
      </w:r>
      <w:r w:rsidRPr="000A27AD">
        <w:rPr>
          <w:rFonts w:cs="Times New Roman"/>
          <w:noProof/>
        </w:rPr>
        <w:t xml:space="preserve">, </w:t>
      </w:r>
      <w:r w:rsidRPr="000A27AD">
        <w:rPr>
          <w:rFonts w:cs="Times New Roman"/>
          <w:i/>
          <w:iCs/>
          <w:noProof/>
        </w:rPr>
        <w:t>8</w:t>
      </w:r>
      <w:r w:rsidRPr="000A27AD">
        <w:rPr>
          <w:rFonts w:cs="Times New Roman"/>
          <w:noProof/>
        </w:rPr>
        <w:t>, 161–187. https://doi.org/10.1146/annurev-clinpsy-032511-143109</w:t>
      </w:r>
    </w:p>
    <w:p w14:paraId="540A960D"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Nurullah, A. S. (2010). Gender Differences in Distress: The Mediating Influence of Life Stressors and Psychological Resources. </w:t>
      </w:r>
      <w:r w:rsidRPr="000A27AD">
        <w:rPr>
          <w:rFonts w:cs="Times New Roman"/>
          <w:i/>
          <w:iCs/>
          <w:noProof/>
        </w:rPr>
        <w:t>Asian Social Science</w:t>
      </w:r>
      <w:r w:rsidRPr="000A27AD">
        <w:rPr>
          <w:rFonts w:cs="Times New Roman"/>
          <w:noProof/>
        </w:rPr>
        <w:t xml:space="preserve">, </w:t>
      </w:r>
      <w:r w:rsidRPr="000A27AD">
        <w:rPr>
          <w:rFonts w:cs="Times New Roman"/>
          <w:i/>
          <w:iCs/>
          <w:noProof/>
        </w:rPr>
        <w:t>6</w:t>
      </w:r>
      <w:r w:rsidRPr="000A27AD">
        <w:rPr>
          <w:rFonts w:cs="Times New Roman"/>
          <w:noProof/>
        </w:rPr>
        <w:t>(5), 27–35. https://doi.org/10.5539/ass.v6n5p27</w:t>
      </w:r>
    </w:p>
    <w:p w14:paraId="352B452B"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Peckham, A. D., Jordan, H., Silverman, A., Jarvi Steele, S., Björgvinsson, T., &amp; Beard, C. (2020). From Urges to Action: Negative Urgency and Nonsuicidal Self-Injury in an Acute Transdiagnostic Sample. </w:t>
      </w:r>
      <w:r w:rsidRPr="000A27AD">
        <w:rPr>
          <w:rFonts w:cs="Times New Roman"/>
          <w:i/>
          <w:iCs/>
          <w:noProof/>
        </w:rPr>
        <w:t>Archives of Suicide Research</w:t>
      </w:r>
      <w:r w:rsidRPr="000A27AD">
        <w:rPr>
          <w:rFonts w:cs="Times New Roman"/>
          <w:noProof/>
        </w:rPr>
        <w:t xml:space="preserve">, </w:t>
      </w:r>
      <w:r w:rsidRPr="000A27AD">
        <w:rPr>
          <w:rFonts w:cs="Times New Roman"/>
          <w:i/>
          <w:iCs/>
          <w:noProof/>
        </w:rPr>
        <w:t>24</w:t>
      </w:r>
      <w:r w:rsidRPr="000A27AD">
        <w:rPr>
          <w:rFonts w:cs="Times New Roman"/>
          <w:noProof/>
        </w:rPr>
        <w:t>, 367–383. https://doi.org/10.1080/13811118.2019.1625831</w:t>
      </w:r>
    </w:p>
    <w:p w14:paraId="5809514B"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Plener, P. L. (2021). COVID-19 and Nonsuicidal Self-Injury: The Pandemic’s Influence on an Adolescent Epidemic. </w:t>
      </w:r>
      <w:r w:rsidRPr="000A27AD">
        <w:rPr>
          <w:rFonts w:cs="Times New Roman"/>
          <w:i/>
          <w:iCs/>
          <w:noProof/>
        </w:rPr>
        <w:t>American Journal of Public Health</w:t>
      </w:r>
      <w:r w:rsidRPr="000A27AD">
        <w:rPr>
          <w:rFonts w:cs="Times New Roman"/>
          <w:noProof/>
        </w:rPr>
        <w:t xml:space="preserve">, </w:t>
      </w:r>
      <w:r w:rsidRPr="000A27AD">
        <w:rPr>
          <w:rFonts w:cs="Times New Roman"/>
          <w:i/>
          <w:iCs/>
          <w:noProof/>
        </w:rPr>
        <w:t>111</w:t>
      </w:r>
      <w:r w:rsidRPr="000A27AD">
        <w:rPr>
          <w:rFonts w:cs="Times New Roman"/>
          <w:noProof/>
        </w:rPr>
        <w:t>(2), 195–196. https://doi.org/10.2105/AJPH.2020.306037</w:t>
      </w:r>
    </w:p>
    <w:p w14:paraId="78809FCE"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Plener, P. L., Schumacher, T. S., Munz, L. M., &amp; Groschwitz, R. C. (2015). The longitudinal course of non-suicidal self-injury and deliberate self-harm: a systematic review of the literature. </w:t>
      </w:r>
      <w:r w:rsidRPr="000A27AD">
        <w:rPr>
          <w:rFonts w:cs="Times New Roman"/>
          <w:i/>
          <w:iCs/>
          <w:noProof/>
        </w:rPr>
        <w:t>Borderline Personality Disorder and Emotion Dysregulation</w:t>
      </w:r>
      <w:r w:rsidRPr="000A27AD">
        <w:rPr>
          <w:rFonts w:cs="Times New Roman"/>
          <w:noProof/>
        </w:rPr>
        <w:t xml:space="preserve">, </w:t>
      </w:r>
      <w:r w:rsidRPr="000A27AD">
        <w:rPr>
          <w:rFonts w:cs="Times New Roman"/>
          <w:i/>
          <w:iCs/>
          <w:noProof/>
        </w:rPr>
        <w:t>2</w:t>
      </w:r>
      <w:r w:rsidRPr="000A27AD">
        <w:rPr>
          <w:rFonts w:cs="Times New Roman"/>
          <w:noProof/>
        </w:rPr>
        <w:t>(1), 2. https://doi.org/10.1186/s40479-014-0024-3</w:t>
      </w:r>
    </w:p>
    <w:p w14:paraId="797FA1CF"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Polek, E., Neufeld, S. A. S., Wilkinson, P., Goodyer, I., St Clair, M., Prabhu, G., Dolan, R., </w:t>
      </w:r>
      <w:r w:rsidRPr="000A27AD">
        <w:rPr>
          <w:rFonts w:cs="Times New Roman"/>
          <w:noProof/>
        </w:rPr>
        <w:lastRenderedPageBreak/>
        <w:t xml:space="preserve">Bullmore, E. T., Fonagy, P., Stochl, J., &amp; Jones, P. B. (2020). How do the prevalence and relative risk of non-suicidal self-injury and suicidal thoughts vary across the population distribution of common mental distress (the p factor)? Observational analyses replicated in two independent UK cohorts of young people. </w:t>
      </w:r>
      <w:r w:rsidRPr="000A27AD">
        <w:rPr>
          <w:rFonts w:cs="Times New Roman"/>
          <w:i/>
          <w:iCs/>
          <w:noProof/>
        </w:rPr>
        <w:t>BMJ Open</w:t>
      </w:r>
      <w:r w:rsidRPr="000A27AD">
        <w:rPr>
          <w:rFonts w:cs="Times New Roman"/>
          <w:noProof/>
        </w:rPr>
        <w:t xml:space="preserve">, </w:t>
      </w:r>
      <w:r w:rsidRPr="000A27AD">
        <w:rPr>
          <w:rFonts w:cs="Times New Roman"/>
          <w:i/>
          <w:iCs/>
          <w:noProof/>
        </w:rPr>
        <w:t>10</w:t>
      </w:r>
      <w:r w:rsidRPr="000A27AD">
        <w:rPr>
          <w:rFonts w:cs="Times New Roman"/>
          <w:noProof/>
        </w:rPr>
        <w:t>, e032494. https://doi.org/10.1136/bmjopen-2019-032494</w:t>
      </w:r>
    </w:p>
    <w:p w14:paraId="306F8BB2"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Riley, E. N., Combs, J. L., Jordan, C. E., &amp; Smith, G. T. (2015). Negative Urgency and Lack of Perseverance: Identification of Differential Pathways of Onset and Maintenance Risk in the Longitudinal Prediction of Nonsuicidal Self-Injury. </w:t>
      </w:r>
      <w:r w:rsidRPr="000A27AD">
        <w:rPr>
          <w:rFonts w:cs="Times New Roman"/>
          <w:i/>
          <w:iCs/>
          <w:noProof/>
        </w:rPr>
        <w:t>Behavior Therapy</w:t>
      </w:r>
      <w:r w:rsidRPr="000A27AD">
        <w:rPr>
          <w:rFonts w:cs="Times New Roman"/>
          <w:noProof/>
        </w:rPr>
        <w:t xml:space="preserve">, </w:t>
      </w:r>
      <w:r w:rsidRPr="000A27AD">
        <w:rPr>
          <w:rFonts w:cs="Times New Roman"/>
          <w:i/>
          <w:iCs/>
          <w:noProof/>
        </w:rPr>
        <w:t>46</w:t>
      </w:r>
      <w:r w:rsidRPr="000A27AD">
        <w:rPr>
          <w:rFonts w:cs="Times New Roman"/>
          <w:noProof/>
        </w:rPr>
        <w:t>(4), 439–448. https://doi.org/10.1016/j.beth.2015.03.002</w:t>
      </w:r>
    </w:p>
    <w:p w14:paraId="424EEB21"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Ritschel, L. A., Tone, E. B., Schoemann, A. M., &amp; Lim, N. E. (2015). Psychometric properties of the difficulties in emotion regulation scale across demographic groups. </w:t>
      </w:r>
      <w:r w:rsidRPr="000A27AD">
        <w:rPr>
          <w:rFonts w:cs="Times New Roman"/>
          <w:i/>
          <w:iCs/>
          <w:noProof/>
        </w:rPr>
        <w:t>Psychological Assessment</w:t>
      </w:r>
      <w:r w:rsidRPr="000A27AD">
        <w:rPr>
          <w:rFonts w:cs="Times New Roman"/>
          <w:noProof/>
        </w:rPr>
        <w:t xml:space="preserve">, </w:t>
      </w:r>
      <w:r w:rsidRPr="000A27AD">
        <w:rPr>
          <w:rFonts w:cs="Times New Roman"/>
          <w:i/>
          <w:iCs/>
          <w:noProof/>
        </w:rPr>
        <w:t>27</w:t>
      </w:r>
      <w:r w:rsidRPr="000A27AD">
        <w:rPr>
          <w:rFonts w:cs="Times New Roman"/>
          <w:noProof/>
        </w:rPr>
        <w:t>(3), 944–954. https://doi.org/10.1037/pas0000099</w:t>
      </w:r>
    </w:p>
    <w:p w14:paraId="689F250E"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Salk, R. H., Hyde, J. S., &amp; Abramson, L. Y. (2017). Gender differences in depression in representative national samples: Meta-analyses of diagnoses and symptoms. </w:t>
      </w:r>
      <w:r w:rsidRPr="000A27AD">
        <w:rPr>
          <w:rFonts w:cs="Times New Roman"/>
          <w:i/>
          <w:iCs/>
          <w:noProof/>
        </w:rPr>
        <w:t>Psychological Bulletin</w:t>
      </w:r>
      <w:r w:rsidRPr="000A27AD">
        <w:rPr>
          <w:rFonts w:cs="Times New Roman"/>
          <w:noProof/>
        </w:rPr>
        <w:t xml:space="preserve">, </w:t>
      </w:r>
      <w:r w:rsidRPr="000A27AD">
        <w:rPr>
          <w:rFonts w:cs="Times New Roman"/>
          <w:i/>
          <w:iCs/>
          <w:noProof/>
        </w:rPr>
        <w:t>143</w:t>
      </w:r>
      <w:r w:rsidRPr="000A27AD">
        <w:rPr>
          <w:rFonts w:cs="Times New Roman"/>
          <w:noProof/>
        </w:rPr>
        <w:t>(8), 783–822. https://doi.org/10.1037/bul0000102</w:t>
      </w:r>
    </w:p>
    <w:p w14:paraId="3C5D82A5"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Selby, E. A., Anestis, M. D., &amp; Joiner, T. E. (2008). Understanding the relationship between emotional and behavioral dysregulation: Emotional cascades. </w:t>
      </w:r>
      <w:r w:rsidRPr="000A27AD">
        <w:rPr>
          <w:rFonts w:cs="Times New Roman"/>
          <w:i/>
          <w:iCs/>
          <w:noProof/>
        </w:rPr>
        <w:t>Behaviour Research and Therapy</w:t>
      </w:r>
      <w:r w:rsidRPr="000A27AD">
        <w:rPr>
          <w:rFonts w:cs="Times New Roman"/>
          <w:noProof/>
        </w:rPr>
        <w:t xml:space="preserve">, </w:t>
      </w:r>
      <w:r w:rsidRPr="000A27AD">
        <w:rPr>
          <w:rFonts w:cs="Times New Roman"/>
          <w:i/>
          <w:iCs/>
          <w:noProof/>
        </w:rPr>
        <w:t>46</w:t>
      </w:r>
      <w:r w:rsidRPr="000A27AD">
        <w:rPr>
          <w:rFonts w:cs="Times New Roman"/>
          <w:noProof/>
        </w:rPr>
        <w:t>(5), 593–611. https://doi.org/10.1016/j.brat.2008.02.002</w:t>
      </w:r>
    </w:p>
    <w:p w14:paraId="6A69D7BE"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Smith, G. T., Fischer, S., Cyders, M. A., Annus, A. M., Spillane, N. S., &amp; McCarthy, D. M. (2007). On the validity and utility of discriminating among impulsivity-like traits. </w:t>
      </w:r>
      <w:r w:rsidRPr="000A27AD">
        <w:rPr>
          <w:rFonts w:cs="Times New Roman"/>
          <w:i/>
          <w:iCs/>
          <w:noProof/>
        </w:rPr>
        <w:t>Assessment</w:t>
      </w:r>
      <w:r w:rsidRPr="000A27AD">
        <w:rPr>
          <w:rFonts w:cs="Times New Roman"/>
          <w:noProof/>
        </w:rPr>
        <w:t xml:space="preserve">, </w:t>
      </w:r>
      <w:r w:rsidRPr="000A27AD">
        <w:rPr>
          <w:rFonts w:cs="Times New Roman"/>
          <w:i/>
          <w:iCs/>
          <w:noProof/>
        </w:rPr>
        <w:t>14</w:t>
      </w:r>
      <w:r w:rsidRPr="000A27AD">
        <w:rPr>
          <w:rFonts w:cs="Times New Roman"/>
          <w:noProof/>
        </w:rPr>
        <w:t>(2), 155–170. https://doi.org/10.1177/1073191106295527</w:t>
      </w:r>
    </w:p>
    <w:p w14:paraId="79869220"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Steel, Z., Marnane, C., Iranpour, C., Chey, T., Jackson, J. W., Patel, V., &amp; Silove, D. (2014). The global prevalence of common mental disorders: A systematic review and meta-analysis </w:t>
      </w:r>
      <w:r w:rsidRPr="000A27AD">
        <w:rPr>
          <w:rFonts w:cs="Times New Roman"/>
          <w:noProof/>
        </w:rPr>
        <w:lastRenderedPageBreak/>
        <w:t xml:space="preserve">1980-2013. </w:t>
      </w:r>
      <w:r w:rsidRPr="000A27AD">
        <w:rPr>
          <w:rFonts w:cs="Times New Roman"/>
          <w:i/>
          <w:iCs/>
          <w:noProof/>
        </w:rPr>
        <w:t>International Journal of Epidemiology</w:t>
      </w:r>
      <w:r w:rsidRPr="000A27AD">
        <w:rPr>
          <w:rFonts w:cs="Times New Roman"/>
          <w:noProof/>
        </w:rPr>
        <w:t xml:space="preserve">, </w:t>
      </w:r>
      <w:r w:rsidRPr="000A27AD">
        <w:rPr>
          <w:rFonts w:cs="Times New Roman"/>
          <w:i/>
          <w:iCs/>
          <w:noProof/>
        </w:rPr>
        <w:t>43</w:t>
      </w:r>
      <w:r w:rsidRPr="000A27AD">
        <w:rPr>
          <w:rFonts w:cs="Times New Roman"/>
          <w:noProof/>
        </w:rPr>
        <w:t>(2), 476–493. https://doi.org/10.1093/ije/dyu038</w:t>
      </w:r>
    </w:p>
    <w:p w14:paraId="3AA0CA5D"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Swannell, S. V., Martin, G. E., Page, A., Hasking, P., &amp; St John, N. J. (2014). Prevalence of nonsuicidal self-injury in nonclinical samples: Systematic review, meta-analysis and meta-regression. </w:t>
      </w:r>
      <w:r w:rsidRPr="000A27AD">
        <w:rPr>
          <w:rFonts w:cs="Times New Roman"/>
          <w:i/>
          <w:iCs/>
          <w:noProof/>
        </w:rPr>
        <w:t>Suicide and Life-Threatening Behavior</w:t>
      </w:r>
      <w:r w:rsidRPr="000A27AD">
        <w:rPr>
          <w:rFonts w:cs="Times New Roman"/>
          <w:noProof/>
        </w:rPr>
        <w:t xml:space="preserve">, </w:t>
      </w:r>
      <w:r w:rsidRPr="000A27AD">
        <w:rPr>
          <w:rFonts w:cs="Times New Roman"/>
          <w:i/>
          <w:iCs/>
          <w:noProof/>
        </w:rPr>
        <w:t>44</w:t>
      </w:r>
      <w:r w:rsidRPr="000A27AD">
        <w:rPr>
          <w:rFonts w:cs="Times New Roman"/>
          <w:noProof/>
        </w:rPr>
        <w:t>, 273–303. https://doi.org/10.1111/sltb.12070</w:t>
      </w:r>
    </w:p>
    <w:p w14:paraId="45802BA0"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Taliaferro, L. A., &amp; Muehlenkamp, J. J. (2015). Risk factors associated with self-injurious behavior among a national sample of undergraduate college students. </w:t>
      </w:r>
      <w:r w:rsidRPr="000A27AD">
        <w:rPr>
          <w:rFonts w:cs="Times New Roman"/>
          <w:i/>
          <w:iCs/>
          <w:noProof/>
        </w:rPr>
        <w:t>Journal of American College Health</w:t>
      </w:r>
      <w:r w:rsidRPr="000A27AD">
        <w:rPr>
          <w:rFonts w:cs="Times New Roman"/>
          <w:noProof/>
        </w:rPr>
        <w:t xml:space="preserve">, </w:t>
      </w:r>
      <w:r w:rsidRPr="000A27AD">
        <w:rPr>
          <w:rFonts w:cs="Times New Roman"/>
          <w:i/>
          <w:iCs/>
          <w:noProof/>
        </w:rPr>
        <w:t>63</w:t>
      </w:r>
      <w:r w:rsidRPr="000A27AD">
        <w:rPr>
          <w:rFonts w:cs="Times New Roman"/>
          <w:noProof/>
        </w:rPr>
        <w:t>(1), 40–48. https://doi.org/10.1080/07448481.2014.953166</w:t>
      </w:r>
    </w:p>
    <w:p w14:paraId="61166ACC"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Taylor, P. J., Jomar, K., Dhingra, K., Forrester, R., Shahmalak, U., &amp; Dickson, J. M. (2018). A meta-analysis of the prevalence of different functions of non-suicidal self-injury. </w:t>
      </w:r>
      <w:r w:rsidRPr="000A27AD">
        <w:rPr>
          <w:rFonts w:cs="Times New Roman"/>
          <w:i/>
          <w:iCs/>
          <w:noProof/>
        </w:rPr>
        <w:t>Journal of Affective Disorders</w:t>
      </w:r>
      <w:r w:rsidRPr="000A27AD">
        <w:rPr>
          <w:rFonts w:cs="Times New Roman"/>
          <w:noProof/>
        </w:rPr>
        <w:t xml:space="preserve">, </w:t>
      </w:r>
      <w:r w:rsidRPr="000A27AD">
        <w:rPr>
          <w:rFonts w:cs="Times New Roman"/>
          <w:i/>
          <w:iCs/>
          <w:noProof/>
        </w:rPr>
        <w:t>227</w:t>
      </w:r>
      <w:r w:rsidRPr="000A27AD">
        <w:rPr>
          <w:rFonts w:cs="Times New Roman"/>
          <w:noProof/>
        </w:rPr>
        <w:t>, 759–769. https://doi.org/10.1016/j.jad.2017.11.073</w:t>
      </w:r>
    </w:p>
    <w:p w14:paraId="340BED80"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Tilton-Weaver, L., Marshall, S. K., &amp; Svensson, Y. (2019). Depressive symptoms and non-suicidal self-injury during adolescence: Latent patterns of short-term stability and change. </w:t>
      </w:r>
      <w:r w:rsidRPr="000A27AD">
        <w:rPr>
          <w:rFonts w:cs="Times New Roman"/>
          <w:i/>
          <w:iCs/>
          <w:noProof/>
        </w:rPr>
        <w:t>Journal of Adolescence</w:t>
      </w:r>
      <w:r w:rsidRPr="000A27AD">
        <w:rPr>
          <w:rFonts w:cs="Times New Roman"/>
          <w:noProof/>
        </w:rPr>
        <w:t xml:space="preserve">, </w:t>
      </w:r>
      <w:r w:rsidRPr="000A27AD">
        <w:rPr>
          <w:rFonts w:cs="Times New Roman"/>
          <w:i/>
          <w:iCs/>
          <w:noProof/>
        </w:rPr>
        <w:t>75</w:t>
      </w:r>
      <w:r w:rsidRPr="000A27AD">
        <w:rPr>
          <w:rFonts w:cs="Times New Roman"/>
          <w:noProof/>
        </w:rPr>
        <w:t>, 163–174. https://doi.org/10.1016/j.adolescence.2019.07.013</w:t>
      </w:r>
    </w:p>
    <w:p w14:paraId="48A315BA"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Valencia-Agudo, F., Burcher, G. C., Ezpeleta, L., &amp; Kramer, T. (2018). Nonsuicidal self-injury in community adolescents: A systematic review of prospective predictors, mediators and moderators. </w:t>
      </w:r>
      <w:r w:rsidRPr="000A27AD">
        <w:rPr>
          <w:rFonts w:cs="Times New Roman"/>
          <w:i/>
          <w:iCs/>
          <w:noProof/>
        </w:rPr>
        <w:t>Journal of Adolescence</w:t>
      </w:r>
      <w:r w:rsidRPr="000A27AD">
        <w:rPr>
          <w:rFonts w:cs="Times New Roman"/>
          <w:noProof/>
        </w:rPr>
        <w:t xml:space="preserve">, </w:t>
      </w:r>
      <w:r w:rsidRPr="000A27AD">
        <w:rPr>
          <w:rFonts w:cs="Times New Roman"/>
          <w:i/>
          <w:iCs/>
          <w:noProof/>
        </w:rPr>
        <w:t>65</w:t>
      </w:r>
      <w:r w:rsidRPr="000A27AD">
        <w:rPr>
          <w:rFonts w:cs="Times New Roman"/>
          <w:noProof/>
        </w:rPr>
        <w:t>, 25–38. https://doi.org/10.1016/j.adolescence.2018.02.012</w:t>
      </w:r>
    </w:p>
    <w:p w14:paraId="33854C53"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Victor, S. E., &amp; Klonsky, E. D. (2016). Validation of a Brief Version of the Difficulties in Emotion Regulation Scale (DERS-18) in Five Samples. </w:t>
      </w:r>
      <w:r w:rsidRPr="000A27AD">
        <w:rPr>
          <w:rFonts w:cs="Times New Roman"/>
          <w:i/>
          <w:iCs/>
          <w:noProof/>
        </w:rPr>
        <w:t>Journal of Psychopathology and Behavioral Assessment</w:t>
      </w:r>
      <w:r w:rsidRPr="000A27AD">
        <w:rPr>
          <w:rFonts w:cs="Times New Roman"/>
          <w:noProof/>
        </w:rPr>
        <w:t xml:space="preserve">, </w:t>
      </w:r>
      <w:r w:rsidRPr="000A27AD">
        <w:rPr>
          <w:rFonts w:cs="Times New Roman"/>
          <w:i/>
          <w:iCs/>
          <w:noProof/>
        </w:rPr>
        <w:t>38</w:t>
      </w:r>
      <w:r w:rsidRPr="000A27AD">
        <w:rPr>
          <w:rFonts w:cs="Times New Roman"/>
          <w:noProof/>
        </w:rPr>
        <w:t>(4), 582–589. https://doi.org/10.1007/s10862-016-9547-9</w:t>
      </w:r>
    </w:p>
    <w:p w14:paraId="1BCDD822"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Victor, S. E., Muehlenkamp, J. J., Hayes, N. A., Lengel, G. J., Styer, D. M., &amp; Washburn, J. J. </w:t>
      </w:r>
      <w:r w:rsidRPr="000A27AD">
        <w:rPr>
          <w:rFonts w:cs="Times New Roman"/>
          <w:noProof/>
        </w:rPr>
        <w:lastRenderedPageBreak/>
        <w:t xml:space="preserve">(2018). Characterizing gender differences in nonsuicidal self-injury: Evidence from a large clinical sample of adolescents and adults. </w:t>
      </w:r>
      <w:r w:rsidRPr="000A27AD">
        <w:rPr>
          <w:rFonts w:cs="Times New Roman"/>
          <w:i/>
          <w:iCs/>
          <w:noProof/>
        </w:rPr>
        <w:t>Comprehensive Psychiatry</w:t>
      </w:r>
      <w:r w:rsidRPr="000A27AD">
        <w:rPr>
          <w:rFonts w:cs="Times New Roman"/>
          <w:noProof/>
        </w:rPr>
        <w:t xml:space="preserve">, </w:t>
      </w:r>
      <w:r w:rsidRPr="000A27AD">
        <w:rPr>
          <w:rFonts w:cs="Times New Roman"/>
          <w:i/>
          <w:iCs/>
          <w:noProof/>
        </w:rPr>
        <w:t>82</w:t>
      </w:r>
      <w:r w:rsidRPr="000A27AD">
        <w:rPr>
          <w:rFonts w:cs="Times New Roman"/>
          <w:noProof/>
        </w:rPr>
        <w:t>, 53–60. https://doi.org/10.1016/j.comppsych.2018.01.009</w:t>
      </w:r>
    </w:p>
    <w:p w14:paraId="42E94ADF"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Vindegaard, N., &amp; Benros, M. E. (2020). COVID-19 pandemic and mental health consequences: Systematic review of the current evidence. </w:t>
      </w:r>
      <w:r w:rsidRPr="000A27AD">
        <w:rPr>
          <w:rFonts w:cs="Times New Roman"/>
          <w:i/>
          <w:iCs/>
          <w:noProof/>
        </w:rPr>
        <w:t>Brain, Behavior, and Immunity</w:t>
      </w:r>
      <w:r w:rsidRPr="000A27AD">
        <w:rPr>
          <w:rFonts w:cs="Times New Roman"/>
          <w:noProof/>
        </w:rPr>
        <w:t xml:space="preserve">, </w:t>
      </w:r>
      <w:r w:rsidRPr="000A27AD">
        <w:rPr>
          <w:rFonts w:cs="Times New Roman"/>
          <w:i/>
          <w:iCs/>
          <w:noProof/>
        </w:rPr>
        <w:t>89</w:t>
      </w:r>
      <w:r w:rsidRPr="000A27AD">
        <w:rPr>
          <w:rFonts w:cs="Times New Roman"/>
          <w:noProof/>
        </w:rPr>
        <w:t>, 531–542. https://doi.org/10.1016/j.bbi.2020.05.048</w:t>
      </w:r>
    </w:p>
    <w:p w14:paraId="0AEA2189"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Voon, D., Hasking, P., &amp; Martin, G. (2014). The roles of emotion regulation and ruminative thoughts in non-suicidal self-injury. </w:t>
      </w:r>
      <w:r w:rsidRPr="000A27AD">
        <w:rPr>
          <w:rFonts w:cs="Times New Roman"/>
          <w:i/>
          <w:iCs/>
          <w:noProof/>
        </w:rPr>
        <w:t>British Journal of Clinical Psychology</w:t>
      </w:r>
      <w:r w:rsidRPr="000A27AD">
        <w:rPr>
          <w:rFonts w:cs="Times New Roman"/>
          <w:noProof/>
        </w:rPr>
        <w:t xml:space="preserve">, </w:t>
      </w:r>
      <w:r w:rsidRPr="000A27AD">
        <w:rPr>
          <w:rFonts w:cs="Times New Roman"/>
          <w:i/>
          <w:iCs/>
          <w:noProof/>
        </w:rPr>
        <w:t>53</w:t>
      </w:r>
      <w:r w:rsidRPr="000A27AD">
        <w:rPr>
          <w:rFonts w:cs="Times New Roman"/>
          <w:noProof/>
        </w:rPr>
        <w:t>(1), 95–113. https://doi.org/10.1111/bjc.12030</w:t>
      </w:r>
    </w:p>
    <w:p w14:paraId="5315340C"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Wang, Y., Kala, M. P., &amp; Jafar, T. H. (2020). Factors associated with psychological distress during the coronavirus disease 2019 (COVID- 19) pandemic on the predominantly general population: A systematic review and metaanalysis. </w:t>
      </w:r>
      <w:r w:rsidRPr="000A27AD">
        <w:rPr>
          <w:rFonts w:cs="Times New Roman"/>
          <w:i/>
          <w:iCs/>
          <w:noProof/>
        </w:rPr>
        <w:t>PLoS ONE</w:t>
      </w:r>
      <w:r w:rsidRPr="000A27AD">
        <w:rPr>
          <w:rFonts w:cs="Times New Roman"/>
          <w:noProof/>
        </w:rPr>
        <w:t xml:space="preserve">, </w:t>
      </w:r>
      <w:r w:rsidRPr="000A27AD">
        <w:rPr>
          <w:rFonts w:cs="Times New Roman"/>
          <w:i/>
          <w:iCs/>
          <w:noProof/>
        </w:rPr>
        <w:t>15</w:t>
      </w:r>
      <w:r w:rsidRPr="000A27AD">
        <w:rPr>
          <w:rFonts w:cs="Times New Roman"/>
          <w:noProof/>
        </w:rPr>
        <w:t>(12), e0244630. https://doi.org/10.1371/journal.pone.0244630</w:t>
      </w:r>
    </w:p>
    <w:p w14:paraId="6F7AA1CC"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Whitlock, J., Muehlenkamp, J., Purington, A., Eckenrode, J., Barreira, P., Baral Abrams, G., Marchell, T., Kress, V., Girard, K., Chin, C., &amp; Knox, K. (2011). Nonsuicidal self-injury in a college population: General trends and sex differences. </w:t>
      </w:r>
      <w:r w:rsidRPr="000A27AD">
        <w:rPr>
          <w:rFonts w:cs="Times New Roman"/>
          <w:i/>
          <w:iCs/>
          <w:noProof/>
        </w:rPr>
        <w:t>Journal of American College Health</w:t>
      </w:r>
      <w:r w:rsidRPr="000A27AD">
        <w:rPr>
          <w:rFonts w:cs="Times New Roman"/>
          <w:noProof/>
        </w:rPr>
        <w:t xml:space="preserve">, </w:t>
      </w:r>
      <w:r w:rsidRPr="000A27AD">
        <w:rPr>
          <w:rFonts w:cs="Times New Roman"/>
          <w:i/>
          <w:iCs/>
          <w:noProof/>
        </w:rPr>
        <w:t>59</w:t>
      </w:r>
      <w:r w:rsidRPr="000A27AD">
        <w:rPr>
          <w:rFonts w:cs="Times New Roman"/>
          <w:noProof/>
        </w:rPr>
        <w:t>(8), 691–698. https://doi.org/10.1080/07448481.2010.529626</w:t>
      </w:r>
    </w:p>
    <w:p w14:paraId="4E9E0F76"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Wilkinson, P. O. (2018). Dialectical behavior therapy-a highly effective treatment for some adolescents who self-harm. </w:t>
      </w:r>
      <w:r w:rsidRPr="000A27AD">
        <w:rPr>
          <w:rFonts w:cs="Times New Roman"/>
          <w:i/>
          <w:iCs/>
          <w:noProof/>
        </w:rPr>
        <w:t>JAMA Psychiatry</w:t>
      </w:r>
      <w:r w:rsidRPr="000A27AD">
        <w:rPr>
          <w:rFonts w:cs="Times New Roman"/>
          <w:noProof/>
        </w:rPr>
        <w:t xml:space="preserve">, </w:t>
      </w:r>
      <w:r w:rsidRPr="000A27AD">
        <w:rPr>
          <w:rFonts w:cs="Times New Roman"/>
          <w:i/>
          <w:iCs/>
          <w:noProof/>
        </w:rPr>
        <w:t>75</w:t>
      </w:r>
      <w:r w:rsidRPr="000A27AD">
        <w:rPr>
          <w:rFonts w:cs="Times New Roman"/>
          <w:noProof/>
        </w:rPr>
        <w:t>(8), 786–787. https://doi.org/10.1001/jamapsychiatry.2018.1079</w:t>
      </w:r>
    </w:p>
    <w:p w14:paraId="20C4018E"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Wilkinson, Paul O., Qiu, T., Jesmont, C., Neufeld, S. A., Kaur, S. P., Jones, P. B., &amp; Goodyer, I. M. (2022). Age and Gender Effects on Non-Suicidal Self-Injury, and their Interplay with Psychological Distress. </w:t>
      </w:r>
      <w:r w:rsidRPr="000A27AD">
        <w:rPr>
          <w:rFonts w:cs="Times New Roman"/>
          <w:i/>
          <w:iCs/>
          <w:noProof/>
        </w:rPr>
        <w:t>Journal of Affective Disorders</w:t>
      </w:r>
      <w:r w:rsidRPr="000A27AD">
        <w:rPr>
          <w:rFonts w:cs="Times New Roman"/>
          <w:noProof/>
        </w:rPr>
        <w:t xml:space="preserve">, </w:t>
      </w:r>
      <w:r w:rsidRPr="000A27AD">
        <w:rPr>
          <w:rFonts w:cs="Times New Roman"/>
          <w:i/>
          <w:iCs/>
          <w:noProof/>
        </w:rPr>
        <w:t>306</w:t>
      </w:r>
      <w:r w:rsidRPr="000A27AD">
        <w:rPr>
          <w:rFonts w:cs="Times New Roman"/>
          <w:noProof/>
        </w:rPr>
        <w:t xml:space="preserve">, 240–245. </w:t>
      </w:r>
      <w:r w:rsidRPr="000A27AD">
        <w:rPr>
          <w:rFonts w:cs="Times New Roman"/>
          <w:noProof/>
        </w:rPr>
        <w:lastRenderedPageBreak/>
        <w:t>https://doi.org/https://doi.org/10.1016/j.jad.2022.03.021</w:t>
      </w:r>
    </w:p>
    <w:p w14:paraId="1A7C5657"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Wilkinson, Paul O., Qiu, T., Neufeld, S., Jones, P. B., &amp; Goodyer, I. M. (2018). Sporadic and recurrent non-suicidal self-injury before age 14 and incident onset of psychiatric disorders by 17 years: Prospective cohort study. </w:t>
      </w:r>
      <w:r w:rsidRPr="000A27AD">
        <w:rPr>
          <w:rFonts w:cs="Times New Roman"/>
          <w:i/>
          <w:iCs/>
          <w:noProof/>
        </w:rPr>
        <w:t>British Journal of Psychiatry</w:t>
      </w:r>
      <w:r w:rsidRPr="000A27AD">
        <w:rPr>
          <w:rFonts w:cs="Times New Roman"/>
          <w:noProof/>
        </w:rPr>
        <w:t xml:space="preserve">, </w:t>
      </w:r>
      <w:r w:rsidRPr="000A27AD">
        <w:rPr>
          <w:rFonts w:cs="Times New Roman"/>
          <w:i/>
          <w:iCs/>
          <w:noProof/>
        </w:rPr>
        <w:t>212</w:t>
      </w:r>
      <w:r w:rsidRPr="000A27AD">
        <w:rPr>
          <w:rFonts w:cs="Times New Roman"/>
          <w:noProof/>
        </w:rPr>
        <w:t>(4), 222–226. https://doi.org/10.1192/bjp.2017.45</w:t>
      </w:r>
    </w:p>
    <w:p w14:paraId="2F091276" w14:textId="77777777" w:rsidR="000A27AD" w:rsidRPr="000A27AD" w:rsidRDefault="000A27AD" w:rsidP="000A27AD">
      <w:pPr>
        <w:widowControl w:val="0"/>
        <w:autoSpaceDE w:val="0"/>
        <w:autoSpaceDN w:val="0"/>
        <w:adjustRightInd w:val="0"/>
        <w:spacing w:line="480" w:lineRule="auto"/>
        <w:ind w:left="480" w:hanging="480"/>
        <w:rPr>
          <w:rFonts w:cs="Times New Roman"/>
          <w:noProof/>
        </w:rPr>
      </w:pPr>
      <w:r w:rsidRPr="000A27AD">
        <w:rPr>
          <w:rFonts w:cs="Times New Roman"/>
          <w:noProof/>
        </w:rPr>
        <w:t xml:space="preserve">Wolff, J. C., Thompson, E., Thomas, S. A., Nesi, J., Bettis, A. H., Ransford, B., Scopelliti, K., Frazier, E. A., &amp; Liu, R. T. (2019). Emotion dysregulation and non-suicidal self-injury: A systematic review and meta-analysis. </w:t>
      </w:r>
      <w:r w:rsidRPr="000A27AD">
        <w:rPr>
          <w:rFonts w:cs="Times New Roman"/>
          <w:i/>
          <w:iCs/>
          <w:noProof/>
        </w:rPr>
        <w:t>European Psychiatry</w:t>
      </w:r>
      <w:r w:rsidRPr="000A27AD">
        <w:rPr>
          <w:rFonts w:cs="Times New Roman"/>
          <w:noProof/>
        </w:rPr>
        <w:t xml:space="preserve">, </w:t>
      </w:r>
      <w:r w:rsidRPr="000A27AD">
        <w:rPr>
          <w:rFonts w:cs="Times New Roman"/>
          <w:i/>
          <w:iCs/>
          <w:noProof/>
        </w:rPr>
        <w:t>59</w:t>
      </w:r>
      <w:r w:rsidRPr="000A27AD">
        <w:rPr>
          <w:rFonts w:cs="Times New Roman"/>
          <w:noProof/>
        </w:rPr>
        <w:t>, 25–36. https://doi.org/10.1016/j.eurpsy.2019.03.004</w:t>
      </w:r>
    </w:p>
    <w:p w14:paraId="0A15FDF4" w14:textId="77777777" w:rsidR="004B3902" w:rsidRPr="009E6776" w:rsidRDefault="004B3902" w:rsidP="000A27AD">
      <w:pPr>
        <w:widowControl w:val="0"/>
        <w:autoSpaceDE w:val="0"/>
        <w:autoSpaceDN w:val="0"/>
        <w:adjustRightInd w:val="0"/>
        <w:spacing w:line="480" w:lineRule="auto"/>
        <w:ind w:left="480" w:hanging="480"/>
        <w:rPr>
          <w:rFonts w:cs="Times New Roman"/>
          <w:lang w:val="en-US"/>
        </w:rPr>
      </w:pPr>
    </w:p>
    <w:p w14:paraId="08BC3F41" w14:textId="77777777" w:rsidR="001C0EEE" w:rsidRPr="009E6776" w:rsidRDefault="001C0EEE" w:rsidP="001C0EEE">
      <w:pPr>
        <w:widowControl w:val="0"/>
        <w:autoSpaceDE w:val="0"/>
        <w:autoSpaceDN w:val="0"/>
        <w:adjustRightInd w:val="0"/>
        <w:spacing w:line="480" w:lineRule="auto"/>
        <w:ind w:left="480" w:hanging="480"/>
        <w:rPr>
          <w:rFonts w:cs="Times New Roman"/>
          <w:lang w:val="en-US"/>
        </w:rPr>
      </w:pPr>
    </w:p>
    <w:p w14:paraId="38D34A46" w14:textId="77777777" w:rsidR="001C0EEE" w:rsidRPr="009E6776" w:rsidRDefault="001C0EEE" w:rsidP="001C0EEE">
      <w:pPr>
        <w:widowControl w:val="0"/>
        <w:autoSpaceDE w:val="0"/>
        <w:autoSpaceDN w:val="0"/>
        <w:adjustRightInd w:val="0"/>
        <w:spacing w:line="480" w:lineRule="auto"/>
        <w:ind w:left="480" w:hanging="480"/>
        <w:rPr>
          <w:rFonts w:cs="Times New Roman"/>
          <w:lang w:val="en-US"/>
        </w:rPr>
      </w:pPr>
    </w:p>
    <w:p w14:paraId="1CD538F9" w14:textId="77777777" w:rsidR="001C0EEE" w:rsidRPr="009E6776" w:rsidRDefault="001C0EEE" w:rsidP="001C0EEE">
      <w:pPr>
        <w:widowControl w:val="0"/>
        <w:autoSpaceDE w:val="0"/>
        <w:autoSpaceDN w:val="0"/>
        <w:adjustRightInd w:val="0"/>
        <w:spacing w:line="480" w:lineRule="auto"/>
        <w:ind w:left="480" w:hanging="480"/>
        <w:rPr>
          <w:rFonts w:cs="Times New Roman"/>
          <w:lang w:val="en-US"/>
        </w:rPr>
      </w:pPr>
    </w:p>
    <w:p w14:paraId="3AF75E42" w14:textId="77777777" w:rsidR="001C0EEE" w:rsidRPr="009E6776" w:rsidRDefault="001C0EEE" w:rsidP="001C0EEE">
      <w:pPr>
        <w:widowControl w:val="0"/>
        <w:autoSpaceDE w:val="0"/>
        <w:autoSpaceDN w:val="0"/>
        <w:adjustRightInd w:val="0"/>
        <w:spacing w:line="480" w:lineRule="auto"/>
        <w:ind w:left="480" w:hanging="480"/>
        <w:rPr>
          <w:rFonts w:cs="Times New Roman"/>
          <w:lang w:val="en-US"/>
        </w:rPr>
      </w:pPr>
    </w:p>
    <w:p w14:paraId="3EE7CD7D" w14:textId="77777777" w:rsidR="001C0EEE" w:rsidRPr="009E6776" w:rsidRDefault="001C0EEE" w:rsidP="001C0EEE">
      <w:pPr>
        <w:widowControl w:val="0"/>
        <w:autoSpaceDE w:val="0"/>
        <w:autoSpaceDN w:val="0"/>
        <w:adjustRightInd w:val="0"/>
        <w:spacing w:line="480" w:lineRule="auto"/>
        <w:ind w:left="480" w:hanging="480"/>
        <w:rPr>
          <w:rFonts w:cs="Times New Roman"/>
          <w:lang w:val="en-US"/>
        </w:rPr>
      </w:pPr>
    </w:p>
    <w:p w14:paraId="5DC30123" w14:textId="77777777" w:rsidR="001C0EEE" w:rsidRPr="009E6776" w:rsidRDefault="001C0EEE" w:rsidP="001C0EEE">
      <w:pPr>
        <w:widowControl w:val="0"/>
        <w:autoSpaceDE w:val="0"/>
        <w:autoSpaceDN w:val="0"/>
        <w:adjustRightInd w:val="0"/>
        <w:spacing w:line="480" w:lineRule="auto"/>
        <w:ind w:left="480" w:hanging="480"/>
        <w:rPr>
          <w:rFonts w:cs="Times New Roman"/>
          <w:lang w:val="en-US"/>
        </w:rPr>
      </w:pPr>
    </w:p>
    <w:p w14:paraId="1D0F758E" w14:textId="77777777" w:rsidR="0059695E" w:rsidRPr="009E6776" w:rsidRDefault="0059695E" w:rsidP="001C0EEE">
      <w:pPr>
        <w:widowControl w:val="0"/>
        <w:autoSpaceDE w:val="0"/>
        <w:autoSpaceDN w:val="0"/>
        <w:adjustRightInd w:val="0"/>
        <w:spacing w:line="480" w:lineRule="auto"/>
        <w:ind w:left="480" w:hanging="480"/>
        <w:rPr>
          <w:rFonts w:cs="Times New Roman"/>
          <w:lang w:val="en-US"/>
        </w:rPr>
      </w:pPr>
    </w:p>
    <w:p w14:paraId="751D9A41" w14:textId="77777777" w:rsidR="0059695E" w:rsidRPr="009E6776" w:rsidRDefault="0059695E" w:rsidP="001C0EEE">
      <w:pPr>
        <w:widowControl w:val="0"/>
        <w:autoSpaceDE w:val="0"/>
        <w:autoSpaceDN w:val="0"/>
        <w:adjustRightInd w:val="0"/>
        <w:spacing w:line="480" w:lineRule="auto"/>
        <w:ind w:left="480" w:hanging="480"/>
        <w:rPr>
          <w:rFonts w:cs="Times New Roman"/>
          <w:lang w:val="en-US"/>
        </w:rPr>
      </w:pPr>
    </w:p>
    <w:p w14:paraId="0BB3AF5F" w14:textId="77777777" w:rsidR="0059695E" w:rsidRPr="009E6776" w:rsidRDefault="0059695E" w:rsidP="001C0EEE">
      <w:pPr>
        <w:widowControl w:val="0"/>
        <w:autoSpaceDE w:val="0"/>
        <w:autoSpaceDN w:val="0"/>
        <w:adjustRightInd w:val="0"/>
        <w:spacing w:line="480" w:lineRule="auto"/>
        <w:ind w:left="480" w:hanging="480"/>
        <w:rPr>
          <w:rFonts w:cs="Times New Roman"/>
          <w:lang w:val="en-US"/>
        </w:rPr>
      </w:pPr>
    </w:p>
    <w:p w14:paraId="075B7774" w14:textId="77777777" w:rsidR="0059695E" w:rsidRPr="009E6776" w:rsidRDefault="0059695E" w:rsidP="001C0EEE">
      <w:pPr>
        <w:widowControl w:val="0"/>
        <w:autoSpaceDE w:val="0"/>
        <w:autoSpaceDN w:val="0"/>
        <w:adjustRightInd w:val="0"/>
        <w:spacing w:line="480" w:lineRule="auto"/>
        <w:ind w:left="480" w:hanging="480"/>
        <w:rPr>
          <w:rFonts w:cs="Times New Roman"/>
          <w:lang w:val="en-US"/>
        </w:rPr>
      </w:pPr>
    </w:p>
    <w:p w14:paraId="5B02497F" w14:textId="77777777" w:rsidR="0059695E" w:rsidRPr="009E6776" w:rsidRDefault="0059695E" w:rsidP="001C0EEE">
      <w:pPr>
        <w:widowControl w:val="0"/>
        <w:autoSpaceDE w:val="0"/>
        <w:autoSpaceDN w:val="0"/>
        <w:adjustRightInd w:val="0"/>
        <w:spacing w:line="480" w:lineRule="auto"/>
        <w:ind w:left="480" w:hanging="480"/>
        <w:rPr>
          <w:rFonts w:cs="Times New Roman"/>
          <w:lang w:val="en-US"/>
        </w:rPr>
      </w:pPr>
    </w:p>
    <w:p w14:paraId="60984376" w14:textId="77777777" w:rsidR="0059695E" w:rsidRPr="009E6776" w:rsidRDefault="0059695E" w:rsidP="00DA5D88">
      <w:pPr>
        <w:widowControl w:val="0"/>
        <w:autoSpaceDE w:val="0"/>
        <w:autoSpaceDN w:val="0"/>
        <w:adjustRightInd w:val="0"/>
        <w:spacing w:line="480" w:lineRule="auto"/>
        <w:rPr>
          <w:rFonts w:cs="Times New Roman"/>
          <w:lang w:val="en-US"/>
        </w:rPr>
      </w:pPr>
    </w:p>
    <w:p w14:paraId="4C60F56F" w14:textId="06FA22E1" w:rsidR="001C0EEE" w:rsidRPr="009E6776" w:rsidRDefault="001C0EEE" w:rsidP="001C0EEE">
      <w:pPr>
        <w:spacing w:line="480" w:lineRule="auto"/>
        <w:rPr>
          <w:rFonts w:cs="Times New Roman"/>
          <w:lang w:val="en-US"/>
        </w:rPr>
      </w:pPr>
      <w:r w:rsidRPr="009E6776">
        <w:rPr>
          <w:rFonts w:cs="Times New Roman"/>
          <w:lang w:val="en-US"/>
        </w:rPr>
        <w:lastRenderedPageBreak/>
        <w:t xml:space="preserve">Table 1. Univariate associations between gender/past-year NSSI and </w:t>
      </w:r>
      <w:r w:rsidR="00B93BC3">
        <w:rPr>
          <w:rFonts w:cs="Times New Roman"/>
          <w:lang w:val="en-US"/>
        </w:rPr>
        <w:t>self-reported psychological distress, emotion dysregulation, and impulsivity</w:t>
      </w:r>
      <w:r w:rsidRPr="009E6776">
        <w:rPr>
          <w:rFonts w:cs="Times New Roman"/>
          <w:lang w:val="en-US"/>
        </w:rPr>
        <w:t xml:space="preserve">. Bold indicates significance at </w:t>
      </w:r>
      <w:r w:rsidRPr="009E6776">
        <w:rPr>
          <w:rFonts w:cs="Times New Roman"/>
          <w:i/>
          <w:iCs/>
          <w:lang w:val="en-US"/>
        </w:rPr>
        <w:t>p</w:t>
      </w:r>
      <w:r w:rsidR="00B93BC3">
        <w:rPr>
          <w:rFonts w:cs="Times New Roman"/>
          <w:i/>
          <w:iCs/>
          <w:lang w:val="en-US"/>
        </w:rPr>
        <w:t xml:space="preserve"> </w:t>
      </w:r>
      <w:r w:rsidRPr="009E6776">
        <w:rPr>
          <w:rFonts w:cs="Times New Roman"/>
          <w:lang w:val="en-US"/>
        </w:rPr>
        <w:t>&lt;</w:t>
      </w:r>
      <w:r w:rsidR="00B93BC3">
        <w:rPr>
          <w:rFonts w:cs="Times New Roman"/>
          <w:lang w:val="en-US"/>
        </w:rPr>
        <w:t xml:space="preserve"> </w:t>
      </w:r>
      <w:r w:rsidRPr="009E6776">
        <w:rPr>
          <w:rFonts w:cs="Times New Roman"/>
          <w:lang w:val="en-US"/>
        </w:rPr>
        <w:t xml:space="preserve">0.05. </w:t>
      </w:r>
    </w:p>
    <w:p w14:paraId="3EB48EEC" w14:textId="77777777" w:rsidR="001C0EEE" w:rsidRPr="009E6776" w:rsidRDefault="001C0EEE" w:rsidP="001C0EEE">
      <w:pPr>
        <w:spacing w:line="480" w:lineRule="auto"/>
        <w:rPr>
          <w:rFonts w:cs="Times New Roman"/>
          <w:lang w:val="en-US"/>
        </w:rPr>
      </w:pPr>
    </w:p>
    <w:tbl>
      <w:tblPr>
        <w:tblW w:w="9634" w:type="dxa"/>
        <w:tblBorders>
          <w:top w:val="single" w:sz="4" w:space="0" w:color="auto"/>
          <w:bottom w:val="single" w:sz="4" w:space="0" w:color="auto"/>
        </w:tblBorders>
        <w:tblLook w:val="04A0" w:firstRow="1" w:lastRow="0" w:firstColumn="1" w:lastColumn="0" w:noHBand="0" w:noVBand="1"/>
      </w:tblPr>
      <w:tblGrid>
        <w:gridCol w:w="1534"/>
        <w:gridCol w:w="913"/>
        <w:gridCol w:w="858"/>
        <w:gridCol w:w="1509"/>
        <w:gridCol w:w="837"/>
        <w:gridCol w:w="862"/>
        <w:gridCol w:w="858"/>
        <w:gridCol w:w="1413"/>
        <w:gridCol w:w="850"/>
      </w:tblGrid>
      <w:tr w:rsidR="00227B22" w:rsidRPr="009E6776" w14:paraId="3D31C670" w14:textId="77777777" w:rsidTr="004052AC">
        <w:trPr>
          <w:trHeight w:val="498"/>
        </w:trPr>
        <w:tc>
          <w:tcPr>
            <w:tcW w:w="1534" w:type="dxa"/>
            <w:tcBorders>
              <w:top w:val="single" w:sz="4" w:space="0" w:color="auto"/>
              <w:bottom w:val="nil"/>
            </w:tcBorders>
            <w:shd w:val="clear" w:color="auto" w:fill="E7E6E6"/>
          </w:tcPr>
          <w:p w14:paraId="2FDBC748" w14:textId="77777777" w:rsidR="001C0EEE" w:rsidRPr="004052AC" w:rsidRDefault="001C0EEE" w:rsidP="004052AC">
            <w:pPr>
              <w:widowControl w:val="0"/>
              <w:autoSpaceDE w:val="0"/>
              <w:autoSpaceDN w:val="0"/>
              <w:rPr>
                <w:rFonts w:cs="Times New Roman"/>
                <w:sz w:val="22"/>
                <w:szCs w:val="22"/>
                <w:lang w:val="en-US"/>
              </w:rPr>
            </w:pPr>
          </w:p>
        </w:tc>
        <w:tc>
          <w:tcPr>
            <w:tcW w:w="4117" w:type="dxa"/>
            <w:gridSpan w:val="4"/>
            <w:tcBorders>
              <w:top w:val="single" w:sz="4" w:space="0" w:color="auto"/>
              <w:bottom w:val="single" w:sz="4" w:space="0" w:color="auto"/>
            </w:tcBorders>
            <w:shd w:val="clear" w:color="auto" w:fill="E7E6E6"/>
          </w:tcPr>
          <w:p w14:paraId="1D78DCF1" w14:textId="77777777" w:rsidR="001C0EEE" w:rsidRPr="004052AC" w:rsidRDefault="001C0EEE" w:rsidP="004052AC">
            <w:pPr>
              <w:widowControl w:val="0"/>
              <w:autoSpaceDE w:val="0"/>
              <w:autoSpaceDN w:val="0"/>
              <w:jc w:val="center"/>
              <w:rPr>
                <w:rFonts w:cs="Times New Roman"/>
                <w:lang w:val="en-US"/>
              </w:rPr>
            </w:pPr>
            <w:r w:rsidRPr="004052AC">
              <w:rPr>
                <w:rFonts w:cs="Times New Roman"/>
                <w:lang w:val="en-US"/>
              </w:rPr>
              <w:t>Gender</w:t>
            </w:r>
          </w:p>
        </w:tc>
        <w:tc>
          <w:tcPr>
            <w:tcW w:w="3983" w:type="dxa"/>
            <w:gridSpan w:val="4"/>
            <w:tcBorders>
              <w:top w:val="single" w:sz="4" w:space="0" w:color="auto"/>
              <w:bottom w:val="single" w:sz="4" w:space="0" w:color="auto"/>
            </w:tcBorders>
            <w:shd w:val="clear" w:color="auto" w:fill="E7E6E6"/>
          </w:tcPr>
          <w:p w14:paraId="40C0BD7A" w14:textId="77777777" w:rsidR="001C0EEE" w:rsidRPr="004052AC" w:rsidRDefault="001C0EEE" w:rsidP="004052AC">
            <w:pPr>
              <w:widowControl w:val="0"/>
              <w:autoSpaceDE w:val="0"/>
              <w:autoSpaceDN w:val="0"/>
              <w:jc w:val="center"/>
              <w:rPr>
                <w:rFonts w:cs="Times New Roman"/>
                <w:lang w:val="en-US"/>
              </w:rPr>
            </w:pPr>
            <w:r w:rsidRPr="004052AC">
              <w:rPr>
                <w:rFonts w:cs="Times New Roman"/>
                <w:lang w:val="en-US"/>
              </w:rPr>
              <w:t>Past-Year NSSI</w:t>
            </w:r>
          </w:p>
        </w:tc>
      </w:tr>
      <w:tr w:rsidR="00227B22" w:rsidRPr="009E6776" w14:paraId="3ECDAF16" w14:textId="77777777" w:rsidTr="004052AC">
        <w:trPr>
          <w:trHeight w:val="690"/>
        </w:trPr>
        <w:tc>
          <w:tcPr>
            <w:tcW w:w="1534" w:type="dxa"/>
            <w:tcBorders>
              <w:top w:val="nil"/>
              <w:bottom w:val="single" w:sz="4" w:space="0" w:color="auto"/>
            </w:tcBorders>
            <w:shd w:val="clear" w:color="auto" w:fill="E7E6E6"/>
          </w:tcPr>
          <w:p w14:paraId="39969DB7" w14:textId="77777777" w:rsidR="001C0EEE" w:rsidRPr="004052AC" w:rsidRDefault="001C0EEE" w:rsidP="004052AC">
            <w:pPr>
              <w:widowControl w:val="0"/>
              <w:autoSpaceDE w:val="0"/>
              <w:autoSpaceDN w:val="0"/>
              <w:rPr>
                <w:rFonts w:cs="Times New Roman"/>
                <w:sz w:val="22"/>
                <w:szCs w:val="22"/>
                <w:lang w:val="en-US"/>
              </w:rPr>
            </w:pPr>
          </w:p>
        </w:tc>
        <w:tc>
          <w:tcPr>
            <w:tcW w:w="913" w:type="dxa"/>
            <w:tcBorders>
              <w:top w:val="nil"/>
              <w:bottom w:val="single" w:sz="4" w:space="0" w:color="auto"/>
            </w:tcBorders>
            <w:shd w:val="clear" w:color="auto" w:fill="E7E6E6"/>
          </w:tcPr>
          <w:p w14:paraId="622D45F4"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Women</w:t>
            </w:r>
          </w:p>
          <w:p w14:paraId="7DE17EA0" w14:textId="77777777" w:rsidR="001C0EEE" w:rsidRPr="004052AC" w:rsidRDefault="001C0EEE" w:rsidP="004052AC">
            <w:pPr>
              <w:widowControl w:val="0"/>
              <w:autoSpaceDE w:val="0"/>
              <w:autoSpaceDN w:val="0"/>
              <w:rPr>
                <w:rFonts w:cs="Times New Roman"/>
                <w:i/>
                <w:iCs/>
                <w:sz w:val="22"/>
                <w:szCs w:val="22"/>
                <w:lang w:val="en-US"/>
              </w:rPr>
            </w:pPr>
            <w:r w:rsidRPr="004052AC">
              <w:rPr>
                <w:rFonts w:cs="Times New Roman"/>
                <w:i/>
                <w:iCs/>
                <w:sz w:val="22"/>
                <w:szCs w:val="22"/>
                <w:lang w:val="en-US"/>
              </w:rPr>
              <w:t>M(SD)</w:t>
            </w:r>
          </w:p>
        </w:tc>
        <w:tc>
          <w:tcPr>
            <w:tcW w:w="858" w:type="dxa"/>
            <w:tcBorders>
              <w:top w:val="nil"/>
              <w:bottom w:val="single" w:sz="4" w:space="0" w:color="auto"/>
            </w:tcBorders>
            <w:shd w:val="clear" w:color="auto" w:fill="E7E6E6"/>
          </w:tcPr>
          <w:p w14:paraId="4EC3A9EC"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Men</w:t>
            </w:r>
          </w:p>
          <w:p w14:paraId="435AAEDB" w14:textId="77777777" w:rsidR="001C0EEE" w:rsidRPr="004052AC" w:rsidRDefault="001C0EEE" w:rsidP="004052AC">
            <w:pPr>
              <w:widowControl w:val="0"/>
              <w:autoSpaceDE w:val="0"/>
              <w:autoSpaceDN w:val="0"/>
              <w:rPr>
                <w:rFonts w:cs="Times New Roman"/>
                <w:i/>
                <w:iCs/>
                <w:sz w:val="22"/>
                <w:szCs w:val="22"/>
                <w:lang w:val="en-US"/>
              </w:rPr>
            </w:pPr>
            <w:r w:rsidRPr="004052AC">
              <w:rPr>
                <w:rFonts w:cs="Times New Roman"/>
                <w:i/>
                <w:iCs/>
                <w:sz w:val="22"/>
                <w:szCs w:val="22"/>
                <w:lang w:val="en-US"/>
              </w:rPr>
              <w:t>M(SD)</w:t>
            </w:r>
          </w:p>
        </w:tc>
        <w:tc>
          <w:tcPr>
            <w:tcW w:w="1509" w:type="dxa"/>
            <w:tcBorders>
              <w:top w:val="nil"/>
              <w:bottom w:val="single" w:sz="4" w:space="0" w:color="auto"/>
            </w:tcBorders>
            <w:shd w:val="clear" w:color="auto" w:fill="E7E6E6"/>
          </w:tcPr>
          <w:p w14:paraId="08F2E586"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 xml:space="preserve">Coef. </w:t>
            </w:r>
          </w:p>
          <w:p w14:paraId="695BF09D"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[95% CI]</w:t>
            </w:r>
          </w:p>
        </w:tc>
        <w:tc>
          <w:tcPr>
            <w:tcW w:w="837" w:type="dxa"/>
            <w:tcBorders>
              <w:top w:val="nil"/>
              <w:bottom w:val="single" w:sz="4" w:space="0" w:color="auto"/>
            </w:tcBorders>
            <w:shd w:val="clear" w:color="auto" w:fill="E7E6E6"/>
          </w:tcPr>
          <w:p w14:paraId="072A93F3" w14:textId="77777777" w:rsidR="001C0EEE" w:rsidRPr="004052AC" w:rsidRDefault="001C0EEE" w:rsidP="004052AC">
            <w:pPr>
              <w:widowControl w:val="0"/>
              <w:autoSpaceDE w:val="0"/>
              <w:autoSpaceDN w:val="0"/>
              <w:rPr>
                <w:rFonts w:cs="Times New Roman"/>
                <w:i/>
                <w:iCs/>
                <w:sz w:val="22"/>
                <w:szCs w:val="22"/>
                <w:lang w:val="en-US"/>
              </w:rPr>
            </w:pPr>
            <w:r w:rsidRPr="004052AC">
              <w:rPr>
                <w:rFonts w:cs="Times New Roman"/>
                <w:i/>
                <w:iCs/>
                <w:sz w:val="22"/>
                <w:szCs w:val="22"/>
                <w:lang w:val="en-US"/>
              </w:rPr>
              <w:t>p</w:t>
            </w:r>
          </w:p>
        </w:tc>
        <w:tc>
          <w:tcPr>
            <w:tcW w:w="862" w:type="dxa"/>
            <w:tcBorders>
              <w:top w:val="nil"/>
              <w:bottom w:val="single" w:sz="4" w:space="0" w:color="auto"/>
            </w:tcBorders>
            <w:shd w:val="clear" w:color="auto" w:fill="E7E6E6"/>
          </w:tcPr>
          <w:p w14:paraId="077A8DC0"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Yes</w:t>
            </w:r>
          </w:p>
          <w:p w14:paraId="039CA245" w14:textId="77777777" w:rsidR="001C0EEE" w:rsidRPr="004052AC" w:rsidRDefault="001C0EEE" w:rsidP="004052AC">
            <w:pPr>
              <w:widowControl w:val="0"/>
              <w:autoSpaceDE w:val="0"/>
              <w:autoSpaceDN w:val="0"/>
              <w:rPr>
                <w:rFonts w:cs="Times New Roman"/>
                <w:i/>
                <w:iCs/>
                <w:sz w:val="22"/>
                <w:szCs w:val="22"/>
                <w:lang w:val="en-US"/>
              </w:rPr>
            </w:pPr>
            <w:r w:rsidRPr="004052AC">
              <w:rPr>
                <w:rFonts w:cs="Times New Roman"/>
                <w:i/>
                <w:iCs/>
                <w:sz w:val="22"/>
                <w:szCs w:val="22"/>
                <w:lang w:val="en-US"/>
              </w:rPr>
              <w:t>M(SD)</w:t>
            </w:r>
          </w:p>
        </w:tc>
        <w:tc>
          <w:tcPr>
            <w:tcW w:w="858" w:type="dxa"/>
            <w:tcBorders>
              <w:top w:val="nil"/>
              <w:bottom w:val="single" w:sz="4" w:space="0" w:color="auto"/>
            </w:tcBorders>
            <w:shd w:val="clear" w:color="auto" w:fill="E7E6E6"/>
          </w:tcPr>
          <w:p w14:paraId="2B09E84A"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No</w:t>
            </w:r>
          </w:p>
          <w:p w14:paraId="362133B4" w14:textId="77777777" w:rsidR="001C0EEE" w:rsidRPr="004052AC" w:rsidRDefault="001C0EEE" w:rsidP="004052AC">
            <w:pPr>
              <w:widowControl w:val="0"/>
              <w:autoSpaceDE w:val="0"/>
              <w:autoSpaceDN w:val="0"/>
              <w:rPr>
                <w:rFonts w:cs="Times New Roman"/>
                <w:i/>
                <w:iCs/>
                <w:sz w:val="22"/>
                <w:szCs w:val="22"/>
                <w:lang w:val="en-US"/>
              </w:rPr>
            </w:pPr>
            <w:r w:rsidRPr="004052AC">
              <w:rPr>
                <w:rFonts w:cs="Times New Roman"/>
                <w:i/>
                <w:iCs/>
                <w:sz w:val="22"/>
                <w:szCs w:val="22"/>
                <w:lang w:val="en-US"/>
              </w:rPr>
              <w:t>M(SD)</w:t>
            </w:r>
          </w:p>
        </w:tc>
        <w:tc>
          <w:tcPr>
            <w:tcW w:w="1413" w:type="dxa"/>
            <w:tcBorders>
              <w:top w:val="nil"/>
              <w:bottom w:val="single" w:sz="4" w:space="0" w:color="auto"/>
            </w:tcBorders>
            <w:shd w:val="clear" w:color="auto" w:fill="E7E6E6"/>
          </w:tcPr>
          <w:p w14:paraId="32C94B8B"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 xml:space="preserve">Coef. </w:t>
            </w:r>
          </w:p>
          <w:p w14:paraId="6F63F473"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[95% CI]</w:t>
            </w:r>
          </w:p>
        </w:tc>
        <w:tc>
          <w:tcPr>
            <w:tcW w:w="850" w:type="dxa"/>
            <w:tcBorders>
              <w:top w:val="nil"/>
              <w:bottom w:val="single" w:sz="4" w:space="0" w:color="auto"/>
            </w:tcBorders>
            <w:shd w:val="clear" w:color="auto" w:fill="E7E6E6"/>
          </w:tcPr>
          <w:p w14:paraId="68A5E1A0" w14:textId="77777777" w:rsidR="001C0EEE" w:rsidRPr="004052AC" w:rsidRDefault="001C0EEE" w:rsidP="004052AC">
            <w:pPr>
              <w:widowControl w:val="0"/>
              <w:autoSpaceDE w:val="0"/>
              <w:autoSpaceDN w:val="0"/>
              <w:rPr>
                <w:rFonts w:cs="Times New Roman"/>
                <w:i/>
                <w:iCs/>
                <w:sz w:val="22"/>
                <w:szCs w:val="22"/>
                <w:lang w:val="en-US"/>
              </w:rPr>
            </w:pPr>
            <w:r w:rsidRPr="004052AC">
              <w:rPr>
                <w:rFonts w:cs="Times New Roman"/>
                <w:i/>
                <w:iCs/>
                <w:sz w:val="22"/>
                <w:szCs w:val="22"/>
                <w:lang w:val="en-US"/>
              </w:rPr>
              <w:t>p</w:t>
            </w:r>
          </w:p>
        </w:tc>
      </w:tr>
      <w:tr w:rsidR="00227B22" w:rsidRPr="009E6776" w14:paraId="1F10A334" w14:textId="77777777" w:rsidTr="004052AC">
        <w:trPr>
          <w:trHeight w:val="842"/>
        </w:trPr>
        <w:tc>
          <w:tcPr>
            <w:tcW w:w="1534" w:type="dxa"/>
            <w:tcBorders>
              <w:top w:val="single" w:sz="4" w:space="0" w:color="auto"/>
            </w:tcBorders>
            <w:shd w:val="clear" w:color="auto" w:fill="auto"/>
          </w:tcPr>
          <w:p w14:paraId="73C2B169" w14:textId="77777777" w:rsidR="001C0EEE" w:rsidRPr="004052AC" w:rsidRDefault="001C0EEE" w:rsidP="004052AC">
            <w:pPr>
              <w:widowControl w:val="0"/>
              <w:autoSpaceDE w:val="0"/>
              <w:autoSpaceDN w:val="0"/>
              <w:rPr>
                <w:rFonts w:cs="Times New Roman"/>
                <w:sz w:val="22"/>
                <w:szCs w:val="22"/>
                <w:vertAlign w:val="superscript"/>
                <w:lang w:val="en-US"/>
              </w:rPr>
            </w:pPr>
            <w:r w:rsidRPr="004052AC">
              <w:rPr>
                <w:rFonts w:cs="Times New Roman"/>
                <w:sz w:val="22"/>
                <w:szCs w:val="22"/>
                <w:lang w:val="en-US"/>
              </w:rPr>
              <w:t>Psychological Distress</w:t>
            </w:r>
            <w:r w:rsidRPr="004052AC">
              <w:rPr>
                <w:rFonts w:cs="Times New Roman"/>
                <w:sz w:val="22"/>
                <w:szCs w:val="22"/>
                <w:vertAlign w:val="superscript"/>
                <w:lang w:val="en-US"/>
              </w:rPr>
              <w:t>a</w:t>
            </w:r>
          </w:p>
        </w:tc>
        <w:tc>
          <w:tcPr>
            <w:tcW w:w="913" w:type="dxa"/>
            <w:tcBorders>
              <w:top w:val="single" w:sz="4" w:space="0" w:color="auto"/>
            </w:tcBorders>
            <w:shd w:val="clear" w:color="auto" w:fill="auto"/>
          </w:tcPr>
          <w:p w14:paraId="0F1D01DB"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22.54 (7.40)</w:t>
            </w:r>
          </w:p>
        </w:tc>
        <w:tc>
          <w:tcPr>
            <w:tcW w:w="858" w:type="dxa"/>
            <w:tcBorders>
              <w:top w:val="single" w:sz="4" w:space="0" w:color="auto"/>
            </w:tcBorders>
            <w:shd w:val="clear" w:color="auto" w:fill="auto"/>
          </w:tcPr>
          <w:p w14:paraId="66DCFA02"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20.44 (7.59)</w:t>
            </w:r>
          </w:p>
        </w:tc>
        <w:tc>
          <w:tcPr>
            <w:tcW w:w="1509" w:type="dxa"/>
            <w:tcBorders>
              <w:top w:val="single" w:sz="4" w:space="0" w:color="auto"/>
            </w:tcBorders>
            <w:shd w:val="clear" w:color="auto" w:fill="auto"/>
          </w:tcPr>
          <w:p w14:paraId="46701B8F"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 xml:space="preserve">2.10 </w:t>
            </w:r>
          </w:p>
          <w:p w14:paraId="55DE07F4"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[1.13, 3.07]</w:t>
            </w:r>
          </w:p>
        </w:tc>
        <w:tc>
          <w:tcPr>
            <w:tcW w:w="837" w:type="dxa"/>
            <w:tcBorders>
              <w:top w:val="single" w:sz="4" w:space="0" w:color="auto"/>
            </w:tcBorders>
            <w:shd w:val="clear" w:color="auto" w:fill="auto"/>
          </w:tcPr>
          <w:p w14:paraId="41E3EEA9" w14:textId="77777777" w:rsidR="001C0EEE" w:rsidRPr="004052AC" w:rsidRDefault="001C0EEE" w:rsidP="004052AC">
            <w:pPr>
              <w:widowControl w:val="0"/>
              <w:autoSpaceDE w:val="0"/>
              <w:autoSpaceDN w:val="0"/>
              <w:rPr>
                <w:rFonts w:cs="Times New Roman"/>
                <w:b/>
                <w:bCs/>
                <w:sz w:val="22"/>
                <w:szCs w:val="22"/>
                <w:lang w:val="en-US"/>
              </w:rPr>
            </w:pPr>
            <w:r w:rsidRPr="004052AC">
              <w:rPr>
                <w:rFonts w:cs="Times New Roman"/>
                <w:b/>
                <w:bCs/>
                <w:sz w:val="22"/>
                <w:szCs w:val="22"/>
                <w:lang w:val="en-US"/>
              </w:rPr>
              <w:t>&lt;0.001</w:t>
            </w:r>
          </w:p>
        </w:tc>
        <w:tc>
          <w:tcPr>
            <w:tcW w:w="862" w:type="dxa"/>
            <w:tcBorders>
              <w:top w:val="single" w:sz="4" w:space="0" w:color="auto"/>
            </w:tcBorders>
            <w:shd w:val="clear" w:color="auto" w:fill="auto"/>
          </w:tcPr>
          <w:p w14:paraId="6047AD1F"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29.94 (7.64)</w:t>
            </w:r>
          </w:p>
        </w:tc>
        <w:tc>
          <w:tcPr>
            <w:tcW w:w="858" w:type="dxa"/>
            <w:tcBorders>
              <w:top w:val="single" w:sz="4" w:space="0" w:color="auto"/>
            </w:tcBorders>
            <w:shd w:val="clear" w:color="auto" w:fill="auto"/>
          </w:tcPr>
          <w:p w14:paraId="38C97566"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20.65 (6.80)</w:t>
            </w:r>
          </w:p>
        </w:tc>
        <w:tc>
          <w:tcPr>
            <w:tcW w:w="1413" w:type="dxa"/>
            <w:tcBorders>
              <w:top w:val="single" w:sz="4" w:space="0" w:color="auto"/>
            </w:tcBorders>
            <w:shd w:val="clear" w:color="auto" w:fill="auto"/>
          </w:tcPr>
          <w:p w14:paraId="23A99C8E"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 xml:space="preserve">0.16 </w:t>
            </w:r>
          </w:p>
          <w:p w14:paraId="3CE7A68A"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[0.13, 0.19]</w:t>
            </w:r>
          </w:p>
        </w:tc>
        <w:tc>
          <w:tcPr>
            <w:tcW w:w="850" w:type="dxa"/>
            <w:tcBorders>
              <w:top w:val="single" w:sz="4" w:space="0" w:color="auto"/>
            </w:tcBorders>
            <w:shd w:val="clear" w:color="auto" w:fill="auto"/>
          </w:tcPr>
          <w:p w14:paraId="1DECC364" w14:textId="77777777" w:rsidR="001C0EEE" w:rsidRPr="004052AC" w:rsidRDefault="001C0EEE" w:rsidP="004052AC">
            <w:pPr>
              <w:widowControl w:val="0"/>
              <w:autoSpaceDE w:val="0"/>
              <w:autoSpaceDN w:val="0"/>
              <w:rPr>
                <w:rFonts w:cs="Times New Roman"/>
                <w:b/>
                <w:bCs/>
                <w:sz w:val="22"/>
                <w:szCs w:val="22"/>
                <w:lang w:val="en-US"/>
              </w:rPr>
            </w:pPr>
            <w:r w:rsidRPr="004052AC">
              <w:rPr>
                <w:rFonts w:cs="Times New Roman"/>
                <w:b/>
                <w:bCs/>
                <w:sz w:val="22"/>
                <w:szCs w:val="22"/>
                <w:lang w:val="en-US"/>
              </w:rPr>
              <w:t>&lt;0.001</w:t>
            </w:r>
          </w:p>
        </w:tc>
      </w:tr>
      <w:tr w:rsidR="00227B22" w:rsidRPr="009E6776" w14:paraId="765C8C85" w14:textId="77777777" w:rsidTr="004052AC">
        <w:trPr>
          <w:trHeight w:val="850"/>
        </w:trPr>
        <w:tc>
          <w:tcPr>
            <w:tcW w:w="1534" w:type="dxa"/>
            <w:shd w:val="clear" w:color="auto" w:fill="auto"/>
          </w:tcPr>
          <w:p w14:paraId="5C51CD7E" w14:textId="77777777" w:rsidR="001C0EEE" w:rsidRPr="004052AC" w:rsidRDefault="001C0EEE" w:rsidP="004052AC">
            <w:pPr>
              <w:widowControl w:val="0"/>
              <w:autoSpaceDE w:val="0"/>
              <w:autoSpaceDN w:val="0"/>
              <w:rPr>
                <w:rFonts w:cs="Times New Roman"/>
                <w:sz w:val="22"/>
                <w:szCs w:val="22"/>
                <w:vertAlign w:val="superscript"/>
                <w:lang w:val="en-US"/>
              </w:rPr>
            </w:pPr>
            <w:r w:rsidRPr="004052AC">
              <w:rPr>
                <w:rFonts w:cs="Times New Roman"/>
                <w:sz w:val="22"/>
                <w:szCs w:val="22"/>
                <w:lang w:val="en-US"/>
              </w:rPr>
              <w:t>Emotion Dysregulation</w:t>
            </w:r>
            <w:r w:rsidRPr="004052AC">
              <w:rPr>
                <w:rFonts w:cs="Times New Roman"/>
                <w:sz w:val="22"/>
                <w:szCs w:val="22"/>
                <w:vertAlign w:val="superscript"/>
                <w:lang w:val="en-US"/>
              </w:rPr>
              <w:t>b</w:t>
            </w:r>
          </w:p>
        </w:tc>
        <w:tc>
          <w:tcPr>
            <w:tcW w:w="913" w:type="dxa"/>
            <w:shd w:val="clear" w:color="auto" w:fill="auto"/>
          </w:tcPr>
          <w:p w14:paraId="49453F2D"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38.33 (11.67)</w:t>
            </w:r>
          </w:p>
        </w:tc>
        <w:tc>
          <w:tcPr>
            <w:tcW w:w="858" w:type="dxa"/>
            <w:shd w:val="clear" w:color="auto" w:fill="auto"/>
          </w:tcPr>
          <w:p w14:paraId="00958A7A"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36.82 (11.82)</w:t>
            </w:r>
          </w:p>
        </w:tc>
        <w:tc>
          <w:tcPr>
            <w:tcW w:w="1509" w:type="dxa"/>
            <w:shd w:val="clear" w:color="auto" w:fill="auto"/>
          </w:tcPr>
          <w:p w14:paraId="03EE17BB"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 xml:space="preserve">1.51 </w:t>
            </w:r>
          </w:p>
          <w:p w14:paraId="60111742"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[-0.09, 3.11]</w:t>
            </w:r>
          </w:p>
        </w:tc>
        <w:tc>
          <w:tcPr>
            <w:tcW w:w="837" w:type="dxa"/>
            <w:shd w:val="clear" w:color="auto" w:fill="auto"/>
          </w:tcPr>
          <w:p w14:paraId="0AB61867"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0.065</w:t>
            </w:r>
          </w:p>
        </w:tc>
        <w:tc>
          <w:tcPr>
            <w:tcW w:w="862" w:type="dxa"/>
            <w:shd w:val="clear" w:color="auto" w:fill="auto"/>
          </w:tcPr>
          <w:p w14:paraId="06D2DE58"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49.59 (12.62)</w:t>
            </w:r>
          </w:p>
        </w:tc>
        <w:tc>
          <w:tcPr>
            <w:tcW w:w="858" w:type="dxa"/>
            <w:shd w:val="clear" w:color="auto" w:fill="auto"/>
          </w:tcPr>
          <w:p w14:paraId="62A88EEA"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36.02 (10.56)</w:t>
            </w:r>
          </w:p>
        </w:tc>
        <w:tc>
          <w:tcPr>
            <w:tcW w:w="1413" w:type="dxa"/>
            <w:shd w:val="clear" w:color="auto" w:fill="auto"/>
          </w:tcPr>
          <w:p w14:paraId="777F82A4"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 xml:space="preserve">0.09 </w:t>
            </w:r>
          </w:p>
          <w:p w14:paraId="71C3D366"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[0.07, 0.11]</w:t>
            </w:r>
          </w:p>
        </w:tc>
        <w:tc>
          <w:tcPr>
            <w:tcW w:w="850" w:type="dxa"/>
            <w:shd w:val="clear" w:color="auto" w:fill="auto"/>
          </w:tcPr>
          <w:p w14:paraId="0091D9C8" w14:textId="77777777" w:rsidR="001C0EEE" w:rsidRPr="004052AC" w:rsidRDefault="001C0EEE" w:rsidP="004052AC">
            <w:pPr>
              <w:widowControl w:val="0"/>
              <w:autoSpaceDE w:val="0"/>
              <w:autoSpaceDN w:val="0"/>
              <w:rPr>
                <w:rFonts w:cs="Times New Roman"/>
                <w:b/>
                <w:bCs/>
                <w:sz w:val="22"/>
                <w:szCs w:val="22"/>
                <w:lang w:val="en-US"/>
              </w:rPr>
            </w:pPr>
            <w:r w:rsidRPr="004052AC">
              <w:rPr>
                <w:rFonts w:cs="Times New Roman"/>
                <w:b/>
                <w:bCs/>
                <w:sz w:val="22"/>
                <w:szCs w:val="22"/>
                <w:lang w:val="en-US"/>
              </w:rPr>
              <w:t>&lt;0.001</w:t>
            </w:r>
          </w:p>
        </w:tc>
      </w:tr>
      <w:tr w:rsidR="00227B22" w:rsidRPr="009E6776" w14:paraId="0967CB7D" w14:textId="77777777" w:rsidTr="004052AC">
        <w:trPr>
          <w:trHeight w:val="862"/>
        </w:trPr>
        <w:tc>
          <w:tcPr>
            <w:tcW w:w="1534" w:type="dxa"/>
            <w:shd w:val="clear" w:color="auto" w:fill="auto"/>
          </w:tcPr>
          <w:p w14:paraId="5787B35E" w14:textId="77777777" w:rsidR="001C0EEE" w:rsidRPr="004052AC" w:rsidRDefault="001C0EEE" w:rsidP="004052AC">
            <w:pPr>
              <w:widowControl w:val="0"/>
              <w:autoSpaceDE w:val="0"/>
              <w:autoSpaceDN w:val="0"/>
              <w:rPr>
                <w:rFonts w:cs="Times New Roman"/>
                <w:sz w:val="22"/>
                <w:szCs w:val="22"/>
                <w:vertAlign w:val="superscript"/>
                <w:lang w:val="en-US"/>
              </w:rPr>
            </w:pPr>
            <w:r w:rsidRPr="004052AC">
              <w:rPr>
                <w:rFonts w:cs="Times New Roman"/>
                <w:sz w:val="22"/>
                <w:szCs w:val="22"/>
                <w:lang w:val="en-US"/>
              </w:rPr>
              <w:t>Negative Urgency</w:t>
            </w:r>
            <w:r w:rsidRPr="004052AC">
              <w:rPr>
                <w:rFonts w:cs="Times New Roman"/>
                <w:sz w:val="22"/>
                <w:szCs w:val="22"/>
                <w:vertAlign w:val="superscript"/>
                <w:lang w:val="en-US"/>
              </w:rPr>
              <w:t>c</w:t>
            </w:r>
          </w:p>
        </w:tc>
        <w:tc>
          <w:tcPr>
            <w:tcW w:w="913" w:type="dxa"/>
            <w:shd w:val="clear" w:color="auto" w:fill="auto"/>
          </w:tcPr>
          <w:p w14:paraId="0BF8F57E"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8.60 (2.68)</w:t>
            </w:r>
          </w:p>
        </w:tc>
        <w:tc>
          <w:tcPr>
            <w:tcW w:w="858" w:type="dxa"/>
            <w:shd w:val="clear" w:color="auto" w:fill="auto"/>
          </w:tcPr>
          <w:p w14:paraId="68EE9C2B"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8.68 (2.56)</w:t>
            </w:r>
          </w:p>
        </w:tc>
        <w:tc>
          <w:tcPr>
            <w:tcW w:w="1509" w:type="dxa"/>
            <w:shd w:val="clear" w:color="auto" w:fill="auto"/>
          </w:tcPr>
          <w:p w14:paraId="24E9FCB5"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 xml:space="preserve">-0.08 </w:t>
            </w:r>
          </w:p>
          <w:p w14:paraId="3F90727D"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[-0.43, 0.26]</w:t>
            </w:r>
          </w:p>
        </w:tc>
        <w:tc>
          <w:tcPr>
            <w:tcW w:w="837" w:type="dxa"/>
            <w:shd w:val="clear" w:color="auto" w:fill="auto"/>
          </w:tcPr>
          <w:p w14:paraId="2384EADF"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0.64</w:t>
            </w:r>
          </w:p>
        </w:tc>
        <w:tc>
          <w:tcPr>
            <w:tcW w:w="862" w:type="dxa"/>
            <w:shd w:val="clear" w:color="auto" w:fill="auto"/>
          </w:tcPr>
          <w:p w14:paraId="3D332F19"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10.68 (2.54)</w:t>
            </w:r>
          </w:p>
        </w:tc>
        <w:tc>
          <w:tcPr>
            <w:tcW w:w="858" w:type="dxa"/>
            <w:shd w:val="clear" w:color="auto" w:fill="auto"/>
          </w:tcPr>
          <w:p w14:paraId="6FA2B3DC"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8.35 (2.52)</w:t>
            </w:r>
          </w:p>
        </w:tc>
        <w:tc>
          <w:tcPr>
            <w:tcW w:w="1413" w:type="dxa"/>
            <w:shd w:val="clear" w:color="auto" w:fill="auto"/>
          </w:tcPr>
          <w:p w14:paraId="4FDB00B2"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 xml:space="preserve">0.36 </w:t>
            </w:r>
          </w:p>
          <w:p w14:paraId="1FB69D95"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[0.27, 0.44]</w:t>
            </w:r>
          </w:p>
        </w:tc>
        <w:tc>
          <w:tcPr>
            <w:tcW w:w="850" w:type="dxa"/>
            <w:shd w:val="clear" w:color="auto" w:fill="auto"/>
          </w:tcPr>
          <w:p w14:paraId="3BC82CB4" w14:textId="77777777" w:rsidR="001C0EEE" w:rsidRPr="004052AC" w:rsidRDefault="001C0EEE" w:rsidP="004052AC">
            <w:pPr>
              <w:widowControl w:val="0"/>
              <w:autoSpaceDE w:val="0"/>
              <w:autoSpaceDN w:val="0"/>
              <w:rPr>
                <w:rFonts w:cs="Times New Roman"/>
                <w:b/>
                <w:bCs/>
                <w:sz w:val="22"/>
                <w:szCs w:val="22"/>
                <w:lang w:val="en-US"/>
              </w:rPr>
            </w:pPr>
            <w:r w:rsidRPr="004052AC">
              <w:rPr>
                <w:rFonts w:cs="Times New Roman"/>
                <w:b/>
                <w:bCs/>
                <w:sz w:val="22"/>
                <w:szCs w:val="22"/>
                <w:lang w:val="en-US"/>
              </w:rPr>
              <w:t>&lt;0.001</w:t>
            </w:r>
          </w:p>
        </w:tc>
      </w:tr>
      <w:tr w:rsidR="00227B22" w:rsidRPr="009E6776" w14:paraId="7D9A33B9" w14:textId="77777777" w:rsidTr="004052AC">
        <w:trPr>
          <w:trHeight w:val="846"/>
        </w:trPr>
        <w:tc>
          <w:tcPr>
            <w:tcW w:w="1534" w:type="dxa"/>
            <w:shd w:val="clear" w:color="auto" w:fill="auto"/>
          </w:tcPr>
          <w:p w14:paraId="6DF62292" w14:textId="77777777" w:rsidR="001C0EEE" w:rsidRPr="004052AC" w:rsidRDefault="001C0EEE" w:rsidP="004052AC">
            <w:pPr>
              <w:widowControl w:val="0"/>
              <w:autoSpaceDE w:val="0"/>
              <w:autoSpaceDN w:val="0"/>
              <w:rPr>
                <w:rFonts w:cs="Times New Roman"/>
                <w:sz w:val="22"/>
                <w:szCs w:val="22"/>
                <w:vertAlign w:val="superscript"/>
                <w:lang w:val="en-US"/>
              </w:rPr>
            </w:pPr>
            <w:r w:rsidRPr="004052AC">
              <w:rPr>
                <w:rFonts w:cs="Times New Roman"/>
                <w:sz w:val="22"/>
                <w:szCs w:val="22"/>
                <w:lang w:val="en-US"/>
              </w:rPr>
              <w:t>Lack of Perseverance</w:t>
            </w:r>
            <w:r w:rsidRPr="004052AC">
              <w:rPr>
                <w:rFonts w:cs="Times New Roman"/>
                <w:sz w:val="22"/>
                <w:szCs w:val="22"/>
                <w:vertAlign w:val="superscript"/>
                <w:lang w:val="en-US"/>
              </w:rPr>
              <w:t>c</w:t>
            </w:r>
          </w:p>
        </w:tc>
        <w:tc>
          <w:tcPr>
            <w:tcW w:w="913" w:type="dxa"/>
            <w:shd w:val="clear" w:color="auto" w:fill="auto"/>
          </w:tcPr>
          <w:p w14:paraId="169922AB"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8.38 (1.80)</w:t>
            </w:r>
          </w:p>
        </w:tc>
        <w:tc>
          <w:tcPr>
            <w:tcW w:w="858" w:type="dxa"/>
            <w:shd w:val="clear" w:color="auto" w:fill="auto"/>
          </w:tcPr>
          <w:p w14:paraId="0BD3B5B1"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8.25 (1.71)</w:t>
            </w:r>
          </w:p>
        </w:tc>
        <w:tc>
          <w:tcPr>
            <w:tcW w:w="1509" w:type="dxa"/>
            <w:shd w:val="clear" w:color="auto" w:fill="auto"/>
          </w:tcPr>
          <w:p w14:paraId="53EE0A49"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 xml:space="preserve">0.13 </w:t>
            </w:r>
          </w:p>
          <w:p w14:paraId="6E0D7B31"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[-0.10, 0.36]</w:t>
            </w:r>
          </w:p>
        </w:tc>
        <w:tc>
          <w:tcPr>
            <w:tcW w:w="837" w:type="dxa"/>
            <w:shd w:val="clear" w:color="auto" w:fill="auto"/>
          </w:tcPr>
          <w:p w14:paraId="163BFD7D"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0.28</w:t>
            </w:r>
          </w:p>
        </w:tc>
        <w:tc>
          <w:tcPr>
            <w:tcW w:w="862" w:type="dxa"/>
            <w:shd w:val="clear" w:color="auto" w:fill="auto"/>
          </w:tcPr>
          <w:p w14:paraId="16787376"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8.30 (2.00)</w:t>
            </w:r>
          </w:p>
        </w:tc>
        <w:tc>
          <w:tcPr>
            <w:tcW w:w="858" w:type="dxa"/>
            <w:shd w:val="clear" w:color="auto" w:fill="auto"/>
          </w:tcPr>
          <w:p w14:paraId="25F2418C"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8.34 (1.74)</w:t>
            </w:r>
          </w:p>
        </w:tc>
        <w:tc>
          <w:tcPr>
            <w:tcW w:w="1413" w:type="dxa"/>
            <w:shd w:val="clear" w:color="auto" w:fill="auto"/>
          </w:tcPr>
          <w:p w14:paraId="59C95CDE"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 xml:space="preserve">-0.01 </w:t>
            </w:r>
          </w:p>
          <w:p w14:paraId="1CFC95A7"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[-0.12, 0.10]</w:t>
            </w:r>
          </w:p>
        </w:tc>
        <w:tc>
          <w:tcPr>
            <w:tcW w:w="850" w:type="dxa"/>
            <w:shd w:val="clear" w:color="auto" w:fill="auto"/>
          </w:tcPr>
          <w:p w14:paraId="2105FBD1"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0.81</w:t>
            </w:r>
          </w:p>
        </w:tc>
      </w:tr>
      <w:tr w:rsidR="00227B22" w:rsidRPr="009E6776" w14:paraId="6597FD47" w14:textId="77777777" w:rsidTr="004052AC">
        <w:trPr>
          <w:trHeight w:val="858"/>
        </w:trPr>
        <w:tc>
          <w:tcPr>
            <w:tcW w:w="1534" w:type="dxa"/>
            <w:shd w:val="clear" w:color="auto" w:fill="auto"/>
          </w:tcPr>
          <w:p w14:paraId="1FBF4642" w14:textId="77777777" w:rsidR="001C0EEE" w:rsidRPr="004052AC" w:rsidRDefault="001C0EEE" w:rsidP="004052AC">
            <w:pPr>
              <w:widowControl w:val="0"/>
              <w:autoSpaceDE w:val="0"/>
              <w:autoSpaceDN w:val="0"/>
              <w:rPr>
                <w:rFonts w:cs="Times New Roman"/>
                <w:sz w:val="22"/>
                <w:szCs w:val="22"/>
                <w:vertAlign w:val="superscript"/>
                <w:lang w:val="en-US"/>
              </w:rPr>
            </w:pPr>
            <w:r w:rsidRPr="004052AC">
              <w:rPr>
                <w:rFonts w:cs="Times New Roman"/>
                <w:sz w:val="22"/>
                <w:szCs w:val="22"/>
                <w:lang w:val="en-US"/>
              </w:rPr>
              <w:t>Lack of Premeditation</w:t>
            </w:r>
            <w:r w:rsidRPr="004052AC">
              <w:rPr>
                <w:rFonts w:cs="Times New Roman"/>
                <w:sz w:val="22"/>
                <w:szCs w:val="22"/>
                <w:vertAlign w:val="superscript"/>
                <w:lang w:val="en-US"/>
              </w:rPr>
              <w:t>c</w:t>
            </w:r>
          </w:p>
        </w:tc>
        <w:tc>
          <w:tcPr>
            <w:tcW w:w="913" w:type="dxa"/>
            <w:shd w:val="clear" w:color="auto" w:fill="auto"/>
          </w:tcPr>
          <w:p w14:paraId="07F703CF"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7.89 (0.07)</w:t>
            </w:r>
          </w:p>
        </w:tc>
        <w:tc>
          <w:tcPr>
            <w:tcW w:w="858" w:type="dxa"/>
            <w:shd w:val="clear" w:color="auto" w:fill="auto"/>
          </w:tcPr>
          <w:p w14:paraId="2A59C7A9"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7.85 (0.10)</w:t>
            </w:r>
          </w:p>
        </w:tc>
        <w:tc>
          <w:tcPr>
            <w:tcW w:w="1509" w:type="dxa"/>
            <w:shd w:val="clear" w:color="auto" w:fill="auto"/>
          </w:tcPr>
          <w:p w14:paraId="514D5F5B"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 xml:space="preserve">0.04 </w:t>
            </w:r>
          </w:p>
          <w:p w14:paraId="20501268"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[-0.20, 0.27]</w:t>
            </w:r>
          </w:p>
        </w:tc>
        <w:tc>
          <w:tcPr>
            <w:tcW w:w="837" w:type="dxa"/>
            <w:shd w:val="clear" w:color="auto" w:fill="auto"/>
          </w:tcPr>
          <w:p w14:paraId="3ADEEC49"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0.75</w:t>
            </w:r>
          </w:p>
        </w:tc>
        <w:tc>
          <w:tcPr>
            <w:tcW w:w="862" w:type="dxa"/>
            <w:shd w:val="clear" w:color="auto" w:fill="auto"/>
          </w:tcPr>
          <w:p w14:paraId="151B7175"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8.41 (1.83)</w:t>
            </w:r>
          </w:p>
        </w:tc>
        <w:tc>
          <w:tcPr>
            <w:tcW w:w="858" w:type="dxa"/>
            <w:shd w:val="clear" w:color="auto" w:fill="auto"/>
          </w:tcPr>
          <w:p w14:paraId="58DC4D2D"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7.81 (1.77)</w:t>
            </w:r>
          </w:p>
        </w:tc>
        <w:tc>
          <w:tcPr>
            <w:tcW w:w="1413" w:type="dxa"/>
            <w:shd w:val="clear" w:color="auto" w:fill="auto"/>
          </w:tcPr>
          <w:p w14:paraId="16898F9E"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 xml:space="preserve">0.19 </w:t>
            </w:r>
          </w:p>
          <w:p w14:paraId="365752D3"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[0.08, 0.29]</w:t>
            </w:r>
          </w:p>
        </w:tc>
        <w:tc>
          <w:tcPr>
            <w:tcW w:w="850" w:type="dxa"/>
            <w:shd w:val="clear" w:color="auto" w:fill="auto"/>
          </w:tcPr>
          <w:p w14:paraId="4F114BDB" w14:textId="77777777" w:rsidR="001C0EEE" w:rsidRPr="004052AC" w:rsidRDefault="001C0EEE" w:rsidP="004052AC">
            <w:pPr>
              <w:widowControl w:val="0"/>
              <w:autoSpaceDE w:val="0"/>
              <w:autoSpaceDN w:val="0"/>
              <w:rPr>
                <w:rFonts w:cs="Times New Roman"/>
                <w:b/>
                <w:bCs/>
                <w:sz w:val="22"/>
                <w:szCs w:val="22"/>
                <w:lang w:val="en-US"/>
              </w:rPr>
            </w:pPr>
            <w:r w:rsidRPr="004052AC">
              <w:rPr>
                <w:rFonts w:cs="Times New Roman"/>
                <w:b/>
                <w:bCs/>
                <w:sz w:val="22"/>
                <w:szCs w:val="22"/>
                <w:lang w:val="en-US"/>
              </w:rPr>
              <w:t>0.001</w:t>
            </w:r>
          </w:p>
        </w:tc>
      </w:tr>
      <w:tr w:rsidR="00227B22" w:rsidRPr="009E6776" w14:paraId="1BF9BBCE" w14:textId="77777777" w:rsidTr="004052AC">
        <w:trPr>
          <w:trHeight w:val="828"/>
        </w:trPr>
        <w:tc>
          <w:tcPr>
            <w:tcW w:w="1534" w:type="dxa"/>
            <w:shd w:val="clear" w:color="auto" w:fill="auto"/>
          </w:tcPr>
          <w:p w14:paraId="12DC7C24" w14:textId="77777777" w:rsidR="001C0EEE" w:rsidRPr="004052AC" w:rsidRDefault="001C0EEE" w:rsidP="004052AC">
            <w:pPr>
              <w:widowControl w:val="0"/>
              <w:autoSpaceDE w:val="0"/>
              <w:autoSpaceDN w:val="0"/>
              <w:rPr>
                <w:rFonts w:cs="Times New Roman"/>
                <w:sz w:val="22"/>
                <w:szCs w:val="22"/>
                <w:vertAlign w:val="superscript"/>
                <w:lang w:val="en-US"/>
              </w:rPr>
            </w:pPr>
            <w:r w:rsidRPr="004052AC">
              <w:rPr>
                <w:rFonts w:cs="Times New Roman"/>
                <w:sz w:val="22"/>
                <w:szCs w:val="22"/>
                <w:lang w:val="en-US"/>
              </w:rPr>
              <w:t>Sensation Seeking</w:t>
            </w:r>
            <w:r w:rsidRPr="004052AC">
              <w:rPr>
                <w:rFonts w:cs="Times New Roman"/>
                <w:sz w:val="22"/>
                <w:szCs w:val="22"/>
                <w:vertAlign w:val="superscript"/>
                <w:lang w:val="en-US"/>
              </w:rPr>
              <w:t>c</w:t>
            </w:r>
          </w:p>
        </w:tc>
        <w:tc>
          <w:tcPr>
            <w:tcW w:w="913" w:type="dxa"/>
            <w:shd w:val="clear" w:color="auto" w:fill="auto"/>
          </w:tcPr>
          <w:p w14:paraId="2F932169"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8.91 (2.50)</w:t>
            </w:r>
          </w:p>
        </w:tc>
        <w:tc>
          <w:tcPr>
            <w:tcW w:w="858" w:type="dxa"/>
            <w:shd w:val="clear" w:color="auto" w:fill="auto"/>
          </w:tcPr>
          <w:p w14:paraId="3A7572B1"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10.89 (2.50)</w:t>
            </w:r>
          </w:p>
        </w:tc>
        <w:tc>
          <w:tcPr>
            <w:tcW w:w="1509" w:type="dxa"/>
            <w:shd w:val="clear" w:color="auto" w:fill="auto"/>
          </w:tcPr>
          <w:p w14:paraId="46BDB6F5"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 xml:space="preserve">-1.98 </w:t>
            </w:r>
          </w:p>
          <w:p w14:paraId="7720B9DB"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[-2.30, -1.65]</w:t>
            </w:r>
          </w:p>
        </w:tc>
        <w:tc>
          <w:tcPr>
            <w:tcW w:w="837" w:type="dxa"/>
            <w:shd w:val="clear" w:color="auto" w:fill="auto"/>
          </w:tcPr>
          <w:p w14:paraId="3D86F321" w14:textId="77777777" w:rsidR="001C0EEE" w:rsidRPr="004052AC" w:rsidRDefault="001C0EEE" w:rsidP="004052AC">
            <w:pPr>
              <w:widowControl w:val="0"/>
              <w:autoSpaceDE w:val="0"/>
              <w:autoSpaceDN w:val="0"/>
              <w:rPr>
                <w:rFonts w:cs="Times New Roman"/>
                <w:b/>
                <w:bCs/>
                <w:sz w:val="22"/>
                <w:szCs w:val="22"/>
                <w:lang w:val="en-US"/>
              </w:rPr>
            </w:pPr>
            <w:r w:rsidRPr="004052AC">
              <w:rPr>
                <w:rFonts w:cs="Times New Roman"/>
                <w:b/>
                <w:bCs/>
                <w:sz w:val="22"/>
                <w:szCs w:val="22"/>
                <w:lang w:val="en-US"/>
              </w:rPr>
              <w:t>&lt;0.001</w:t>
            </w:r>
          </w:p>
        </w:tc>
        <w:tc>
          <w:tcPr>
            <w:tcW w:w="862" w:type="dxa"/>
            <w:shd w:val="clear" w:color="auto" w:fill="auto"/>
          </w:tcPr>
          <w:p w14:paraId="7D2A1A77"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9.12 (2.17)</w:t>
            </w:r>
          </w:p>
        </w:tc>
        <w:tc>
          <w:tcPr>
            <w:tcW w:w="858" w:type="dxa"/>
            <w:shd w:val="clear" w:color="auto" w:fill="auto"/>
          </w:tcPr>
          <w:p w14:paraId="5346537F"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9.70 (2.66)</w:t>
            </w:r>
          </w:p>
        </w:tc>
        <w:tc>
          <w:tcPr>
            <w:tcW w:w="1413" w:type="dxa"/>
            <w:shd w:val="clear" w:color="auto" w:fill="auto"/>
          </w:tcPr>
          <w:p w14:paraId="4BFE0A2D"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 xml:space="preserve">-0.08 </w:t>
            </w:r>
          </w:p>
          <w:p w14:paraId="6BD92E6C"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[-0.16, -0.01]</w:t>
            </w:r>
          </w:p>
        </w:tc>
        <w:tc>
          <w:tcPr>
            <w:tcW w:w="850" w:type="dxa"/>
            <w:shd w:val="clear" w:color="auto" w:fill="auto"/>
          </w:tcPr>
          <w:p w14:paraId="05D6C96B" w14:textId="77777777" w:rsidR="001C0EEE" w:rsidRPr="004052AC" w:rsidRDefault="001C0EEE" w:rsidP="004052AC">
            <w:pPr>
              <w:widowControl w:val="0"/>
              <w:autoSpaceDE w:val="0"/>
              <w:autoSpaceDN w:val="0"/>
              <w:rPr>
                <w:rFonts w:cs="Times New Roman"/>
                <w:b/>
                <w:bCs/>
                <w:sz w:val="22"/>
                <w:szCs w:val="22"/>
                <w:lang w:val="en-US"/>
              </w:rPr>
            </w:pPr>
            <w:r w:rsidRPr="004052AC">
              <w:rPr>
                <w:rFonts w:cs="Times New Roman"/>
                <w:b/>
                <w:bCs/>
                <w:sz w:val="22"/>
                <w:szCs w:val="22"/>
                <w:lang w:val="en-US"/>
              </w:rPr>
              <w:t>0.029</w:t>
            </w:r>
          </w:p>
        </w:tc>
      </w:tr>
      <w:tr w:rsidR="00227B22" w:rsidRPr="009E6776" w14:paraId="7B2D3D58" w14:textId="77777777" w:rsidTr="004052AC">
        <w:trPr>
          <w:trHeight w:val="712"/>
        </w:trPr>
        <w:tc>
          <w:tcPr>
            <w:tcW w:w="1534" w:type="dxa"/>
            <w:shd w:val="clear" w:color="auto" w:fill="auto"/>
          </w:tcPr>
          <w:p w14:paraId="56A68E93" w14:textId="77777777" w:rsidR="001C0EEE" w:rsidRPr="004052AC" w:rsidRDefault="001C0EEE" w:rsidP="004052AC">
            <w:pPr>
              <w:widowControl w:val="0"/>
              <w:autoSpaceDE w:val="0"/>
              <w:autoSpaceDN w:val="0"/>
              <w:rPr>
                <w:rFonts w:cs="Times New Roman"/>
                <w:sz w:val="22"/>
                <w:szCs w:val="22"/>
                <w:vertAlign w:val="superscript"/>
                <w:lang w:val="en-US"/>
              </w:rPr>
            </w:pPr>
            <w:r w:rsidRPr="004052AC">
              <w:rPr>
                <w:rFonts w:cs="Times New Roman"/>
                <w:sz w:val="22"/>
                <w:szCs w:val="22"/>
                <w:lang w:val="en-US"/>
              </w:rPr>
              <w:t>Positive Urgency</w:t>
            </w:r>
            <w:r w:rsidRPr="004052AC">
              <w:rPr>
                <w:rFonts w:cs="Times New Roman"/>
                <w:sz w:val="22"/>
                <w:szCs w:val="22"/>
                <w:vertAlign w:val="superscript"/>
                <w:lang w:val="en-US"/>
              </w:rPr>
              <w:t>c</w:t>
            </w:r>
          </w:p>
        </w:tc>
        <w:tc>
          <w:tcPr>
            <w:tcW w:w="913" w:type="dxa"/>
            <w:shd w:val="clear" w:color="auto" w:fill="auto"/>
          </w:tcPr>
          <w:p w14:paraId="4EB874D8"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6.77 (2.17)</w:t>
            </w:r>
          </w:p>
        </w:tc>
        <w:tc>
          <w:tcPr>
            <w:tcW w:w="858" w:type="dxa"/>
            <w:shd w:val="clear" w:color="auto" w:fill="auto"/>
          </w:tcPr>
          <w:p w14:paraId="15675B56"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7.59 (2.41)</w:t>
            </w:r>
          </w:p>
        </w:tc>
        <w:tc>
          <w:tcPr>
            <w:tcW w:w="1509" w:type="dxa"/>
            <w:shd w:val="clear" w:color="auto" w:fill="auto"/>
          </w:tcPr>
          <w:p w14:paraId="3927B60E"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 xml:space="preserve">-0.83 </w:t>
            </w:r>
          </w:p>
          <w:p w14:paraId="437FF953"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[-1.12, -0.53]</w:t>
            </w:r>
          </w:p>
        </w:tc>
        <w:tc>
          <w:tcPr>
            <w:tcW w:w="837" w:type="dxa"/>
            <w:shd w:val="clear" w:color="auto" w:fill="auto"/>
          </w:tcPr>
          <w:p w14:paraId="1F8CAE82" w14:textId="77777777" w:rsidR="001C0EEE" w:rsidRPr="004052AC" w:rsidRDefault="001C0EEE" w:rsidP="004052AC">
            <w:pPr>
              <w:widowControl w:val="0"/>
              <w:autoSpaceDE w:val="0"/>
              <w:autoSpaceDN w:val="0"/>
              <w:rPr>
                <w:rFonts w:cs="Times New Roman"/>
                <w:b/>
                <w:bCs/>
                <w:sz w:val="22"/>
                <w:szCs w:val="22"/>
                <w:lang w:val="en-US"/>
              </w:rPr>
            </w:pPr>
            <w:r w:rsidRPr="004052AC">
              <w:rPr>
                <w:rFonts w:cs="Times New Roman"/>
                <w:b/>
                <w:bCs/>
                <w:sz w:val="22"/>
                <w:szCs w:val="22"/>
                <w:lang w:val="en-US"/>
              </w:rPr>
              <w:t>&lt;0.001</w:t>
            </w:r>
          </w:p>
        </w:tc>
        <w:tc>
          <w:tcPr>
            <w:tcW w:w="862" w:type="dxa"/>
            <w:shd w:val="clear" w:color="auto" w:fill="auto"/>
          </w:tcPr>
          <w:p w14:paraId="730F8465"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8.22 (2.59)</w:t>
            </w:r>
          </w:p>
        </w:tc>
        <w:tc>
          <w:tcPr>
            <w:tcW w:w="858" w:type="dxa"/>
            <w:shd w:val="clear" w:color="auto" w:fill="auto"/>
          </w:tcPr>
          <w:p w14:paraId="3557085C"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6.91 (2.21)</w:t>
            </w:r>
          </w:p>
        </w:tc>
        <w:tc>
          <w:tcPr>
            <w:tcW w:w="1413" w:type="dxa"/>
            <w:shd w:val="clear" w:color="auto" w:fill="auto"/>
          </w:tcPr>
          <w:p w14:paraId="66E87A06"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 xml:space="preserve">0.23 </w:t>
            </w:r>
          </w:p>
          <w:p w14:paraId="7F9E38C1" w14:textId="77777777" w:rsidR="001C0EEE" w:rsidRPr="004052AC" w:rsidRDefault="001C0EEE" w:rsidP="004052AC">
            <w:pPr>
              <w:widowControl w:val="0"/>
              <w:autoSpaceDE w:val="0"/>
              <w:autoSpaceDN w:val="0"/>
              <w:rPr>
                <w:rFonts w:cs="Times New Roman"/>
                <w:sz w:val="22"/>
                <w:szCs w:val="22"/>
                <w:lang w:val="en-US"/>
              </w:rPr>
            </w:pPr>
            <w:r w:rsidRPr="004052AC">
              <w:rPr>
                <w:rFonts w:cs="Times New Roman"/>
                <w:sz w:val="22"/>
                <w:szCs w:val="22"/>
                <w:lang w:val="en-US"/>
              </w:rPr>
              <w:t>[0.15, 0.31]</w:t>
            </w:r>
          </w:p>
        </w:tc>
        <w:tc>
          <w:tcPr>
            <w:tcW w:w="850" w:type="dxa"/>
            <w:shd w:val="clear" w:color="auto" w:fill="auto"/>
          </w:tcPr>
          <w:p w14:paraId="73F438A0" w14:textId="77777777" w:rsidR="001C0EEE" w:rsidRPr="004052AC" w:rsidRDefault="001C0EEE" w:rsidP="004052AC">
            <w:pPr>
              <w:widowControl w:val="0"/>
              <w:autoSpaceDE w:val="0"/>
              <w:autoSpaceDN w:val="0"/>
              <w:rPr>
                <w:rFonts w:cs="Times New Roman"/>
                <w:b/>
                <w:bCs/>
                <w:sz w:val="22"/>
                <w:szCs w:val="22"/>
                <w:lang w:val="en-US"/>
              </w:rPr>
            </w:pPr>
            <w:r w:rsidRPr="004052AC">
              <w:rPr>
                <w:rFonts w:cs="Times New Roman"/>
                <w:b/>
                <w:bCs/>
                <w:sz w:val="22"/>
                <w:szCs w:val="22"/>
                <w:lang w:val="en-US"/>
              </w:rPr>
              <w:t>&lt;0.001</w:t>
            </w:r>
          </w:p>
        </w:tc>
      </w:tr>
    </w:tbl>
    <w:p w14:paraId="1197567A" w14:textId="77777777" w:rsidR="001C0EEE" w:rsidRPr="009E6776" w:rsidRDefault="001C0EEE" w:rsidP="001C0EEE">
      <w:pPr>
        <w:spacing w:line="480" w:lineRule="auto"/>
        <w:rPr>
          <w:rFonts w:cs="Times New Roman"/>
          <w:lang w:val="en-US"/>
        </w:rPr>
      </w:pPr>
      <w:r w:rsidRPr="009E6776">
        <w:rPr>
          <w:rFonts w:cs="Times New Roman"/>
          <w:vertAlign w:val="superscript"/>
          <w:lang w:val="en-US"/>
        </w:rPr>
        <w:t>a</w:t>
      </w:r>
      <w:r w:rsidRPr="009E6776">
        <w:rPr>
          <w:rFonts w:cs="Times New Roman"/>
          <w:lang w:val="en-US"/>
        </w:rPr>
        <w:t>Kessler Psychological Distress Scale (K10)</w:t>
      </w:r>
    </w:p>
    <w:p w14:paraId="75DD4362" w14:textId="77777777" w:rsidR="001C0EEE" w:rsidRPr="009E6776" w:rsidRDefault="001C0EEE" w:rsidP="001C0EEE">
      <w:pPr>
        <w:spacing w:line="480" w:lineRule="auto"/>
        <w:rPr>
          <w:rFonts w:cs="Times New Roman"/>
          <w:lang w:val="en-US"/>
        </w:rPr>
      </w:pPr>
      <w:r w:rsidRPr="009E6776">
        <w:rPr>
          <w:rFonts w:cs="Times New Roman"/>
          <w:vertAlign w:val="superscript"/>
          <w:lang w:val="en-US"/>
        </w:rPr>
        <w:t>b</w:t>
      </w:r>
      <w:r w:rsidRPr="009E6776">
        <w:rPr>
          <w:rFonts w:cs="Times New Roman"/>
          <w:lang w:val="en-US"/>
        </w:rPr>
        <w:t>Difficulties in Emotion Regulation Scale (DERS) short form</w:t>
      </w:r>
    </w:p>
    <w:p w14:paraId="446F083A" w14:textId="77777777" w:rsidR="001C0EEE" w:rsidRPr="009E6776" w:rsidRDefault="001C0EEE" w:rsidP="001C0EEE">
      <w:pPr>
        <w:spacing w:line="480" w:lineRule="auto"/>
        <w:rPr>
          <w:rFonts w:cs="Times New Roman"/>
          <w:lang w:val="en-US"/>
        </w:rPr>
      </w:pPr>
      <w:r w:rsidRPr="009E6776">
        <w:rPr>
          <w:rFonts w:cs="Times New Roman"/>
          <w:vertAlign w:val="superscript"/>
          <w:lang w:val="en-US"/>
        </w:rPr>
        <w:t>c</w:t>
      </w:r>
      <w:r w:rsidRPr="009E6776">
        <w:rPr>
          <w:rFonts w:cs="Times New Roman"/>
          <w:lang w:val="en-US"/>
        </w:rPr>
        <w:t>UPPS-P impulsivity questionnaire short form</w:t>
      </w:r>
    </w:p>
    <w:p w14:paraId="729B7C33" w14:textId="77777777" w:rsidR="001C0EEE" w:rsidRPr="009E6776" w:rsidRDefault="001C0EEE" w:rsidP="001C0EEE">
      <w:pPr>
        <w:widowControl w:val="0"/>
        <w:autoSpaceDE w:val="0"/>
        <w:autoSpaceDN w:val="0"/>
        <w:adjustRightInd w:val="0"/>
        <w:spacing w:line="480" w:lineRule="auto"/>
        <w:ind w:left="480" w:hanging="480"/>
        <w:rPr>
          <w:rFonts w:eastAsia="Times New Roman" w:cs="Times New Roman"/>
          <w:lang w:val="en-US"/>
        </w:rPr>
      </w:pPr>
    </w:p>
    <w:p w14:paraId="51F89647" w14:textId="77777777" w:rsidR="001C0EEE" w:rsidRDefault="001C0EEE" w:rsidP="001C0EEE">
      <w:pPr>
        <w:widowControl w:val="0"/>
        <w:autoSpaceDE w:val="0"/>
        <w:autoSpaceDN w:val="0"/>
        <w:adjustRightInd w:val="0"/>
        <w:spacing w:line="480" w:lineRule="auto"/>
        <w:ind w:left="480" w:hanging="480"/>
        <w:rPr>
          <w:rFonts w:eastAsia="Times New Roman" w:cs="Times New Roman"/>
          <w:lang w:val="en-US"/>
        </w:rPr>
      </w:pPr>
    </w:p>
    <w:p w14:paraId="48AA1568" w14:textId="77777777" w:rsidR="00B93BC3" w:rsidRDefault="00B93BC3" w:rsidP="001C0EEE">
      <w:pPr>
        <w:widowControl w:val="0"/>
        <w:autoSpaceDE w:val="0"/>
        <w:autoSpaceDN w:val="0"/>
        <w:adjustRightInd w:val="0"/>
        <w:spacing w:line="480" w:lineRule="auto"/>
        <w:ind w:left="480" w:hanging="480"/>
        <w:rPr>
          <w:rFonts w:eastAsia="Times New Roman" w:cs="Times New Roman"/>
          <w:lang w:val="en-US"/>
        </w:rPr>
      </w:pPr>
    </w:p>
    <w:p w14:paraId="40041B09" w14:textId="77777777" w:rsidR="00B93BC3" w:rsidRDefault="00B93BC3" w:rsidP="001C0EEE">
      <w:pPr>
        <w:widowControl w:val="0"/>
        <w:autoSpaceDE w:val="0"/>
        <w:autoSpaceDN w:val="0"/>
        <w:adjustRightInd w:val="0"/>
        <w:spacing w:line="480" w:lineRule="auto"/>
        <w:ind w:left="480" w:hanging="480"/>
        <w:rPr>
          <w:rFonts w:eastAsia="Times New Roman" w:cs="Times New Roman"/>
          <w:lang w:val="en-US"/>
        </w:rPr>
      </w:pPr>
    </w:p>
    <w:p w14:paraId="788E0374" w14:textId="77777777" w:rsidR="00B93BC3" w:rsidRPr="009E6776" w:rsidRDefault="00B93BC3" w:rsidP="001C0EEE">
      <w:pPr>
        <w:widowControl w:val="0"/>
        <w:autoSpaceDE w:val="0"/>
        <w:autoSpaceDN w:val="0"/>
        <w:adjustRightInd w:val="0"/>
        <w:spacing w:line="480" w:lineRule="auto"/>
        <w:ind w:left="480" w:hanging="480"/>
        <w:rPr>
          <w:rFonts w:eastAsia="Times New Roman" w:cs="Times New Roman"/>
          <w:lang w:val="en-US"/>
        </w:rPr>
      </w:pPr>
    </w:p>
    <w:p w14:paraId="7B277B83" w14:textId="77777777" w:rsidR="001C0EEE" w:rsidRPr="009E6776" w:rsidRDefault="001C0EEE" w:rsidP="001C0EEE">
      <w:pPr>
        <w:spacing w:line="480" w:lineRule="auto"/>
        <w:rPr>
          <w:rFonts w:cs="Times New Roman"/>
          <w:color w:val="000000"/>
          <w:lang w:val="en-US"/>
        </w:rPr>
      </w:pPr>
      <w:r w:rsidRPr="009E6776">
        <w:rPr>
          <w:rFonts w:cs="Times New Roman"/>
          <w:lang w:val="en-US"/>
        </w:rPr>
        <w:lastRenderedPageBreak/>
        <w:t xml:space="preserve">Table 2. </w:t>
      </w:r>
      <w:r w:rsidRPr="009E6776">
        <w:rPr>
          <w:rFonts w:cs="Times New Roman"/>
          <w:color w:val="000000"/>
          <w:lang w:val="en-US"/>
        </w:rPr>
        <w:t>Age and gender effects on past-year NSSI prevalence</w:t>
      </w:r>
      <w:r w:rsidR="004C5851" w:rsidRPr="009E6776">
        <w:rPr>
          <w:rFonts w:cs="Times New Roman"/>
          <w:color w:val="000000"/>
          <w:lang w:val="en-US"/>
        </w:rPr>
        <w:t>.</w:t>
      </w:r>
    </w:p>
    <w:tbl>
      <w:tblPr>
        <w:tblW w:w="0" w:type="auto"/>
        <w:tblBorders>
          <w:top w:val="single" w:sz="4" w:space="0" w:color="000000"/>
          <w:bottom w:val="single" w:sz="4" w:space="0" w:color="000000"/>
        </w:tblBorders>
        <w:tblLook w:val="04A0" w:firstRow="1" w:lastRow="0" w:firstColumn="1" w:lastColumn="0" w:noHBand="0" w:noVBand="1"/>
      </w:tblPr>
      <w:tblGrid>
        <w:gridCol w:w="1885"/>
        <w:gridCol w:w="1080"/>
        <w:gridCol w:w="1530"/>
        <w:gridCol w:w="1096"/>
      </w:tblGrid>
      <w:tr w:rsidR="001C0EEE" w:rsidRPr="009E6776" w14:paraId="66BB8FB4" w14:textId="77777777" w:rsidTr="002D569B">
        <w:tc>
          <w:tcPr>
            <w:tcW w:w="1885" w:type="dxa"/>
            <w:tcBorders>
              <w:top w:val="single" w:sz="4" w:space="0" w:color="000000"/>
              <w:bottom w:val="single" w:sz="4" w:space="0" w:color="000000"/>
            </w:tcBorders>
            <w:shd w:val="clear" w:color="auto" w:fill="E7E6E6"/>
          </w:tcPr>
          <w:p w14:paraId="34BA52E4" w14:textId="77777777" w:rsidR="001C0EEE" w:rsidRPr="009E6776" w:rsidRDefault="001C0EEE" w:rsidP="002D569B">
            <w:pPr>
              <w:widowControl w:val="0"/>
              <w:autoSpaceDE w:val="0"/>
              <w:autoSpaceDN w:val="0"/>
              <w:spacing w:line="480" w:lineRule="auto"/>
              <w:rPr>
                <w:rFonts w:cs="Times New Roman"/>
                <w:sz w:val="22"/>
                <w:szCs w:val="22"/>
                <w:lang w:val="en-US"/>
              </w:rPr>
            </w:pPr>
          </w:p>
        </w:tc>
        <w:tc>
          <w:tcPr>
            <w:tcW w:w="1080" w:type="dxa"/>
            <w:tcBorders>
              <w:top w:val="single" w:sz="4" w:space="0" w:color="000000"/>
              <w:bottom w:val="single" w:sz="4" w:space="0" w:color="000000"/>
            </w:tcBorders>
            <w:shd w:val="clear" w:color="auto" w:fill="E7E6E6"/>
          </w:tcPr>
          <w:p w14:paraId="6B0AC9DF" w14:textId="77777777" w:rsidR="001C0EEE" w:rsidRPr="009E6776" w:rsidRDefault="001C0EEE" w:rsidP="002D569B">
            <w:pPr>
              <w:widowControl w:val="0"/>
              <w:autoSpaceDE w:val="0"/>
              <w:autoSpaceDN w:val="0"/>
              <w:spacing w:line="480" w:lineRule="auto"/>
              <w:rPr>
                <w:rFonts w:cs="Times New Roman"/>
                <w:sz w:val="22"/>
                <w:szCs w:val="22"/>
                <w:lang w:val="en-US"/>
              </w:rPr>
            </w:pPr>
            <w:r w:rsidRPr="009E6776">
              <w:rPr>
                <w:rFonts w:cs="Times New Roman"/>
                <w:sz w:val="22"/>
                <w:szCs w:val="22"/>
                <w:lang w:val="en-US"/>
              </w:rPr>
              <w:t>OR</w:t>
            </w:r>
          </w:p>
        </w:tc>
        <w:tc>
          <w:tcPr>
            <w:tcW w:w="1530" w:type="dxa"/>
            <w:tcBorders>
              <w:top w:val="single" w:sz="4" w:space="0" w:color="000000"/>
              <w:bottom w:val="single" w:sz="4" w:space="0" w:color="000000"/>
            </w:tcBorders>
            <w:shd w:val="clear" w:color="auto" w:fill="E7E6E6"/>
          </w:tcPr>
          <w:p w14:paraId="17EF5013" w14:textId="77777777" w:rsidR="001C0EEE" w:rsidRPr="009E6776" w:rsidRDefault="001C0EEE" w:rsidP="002D569B">
            <w:pPr>
              <w:widowControl w:val="0"/>
              <w:autoSpaceDE w:val="0"/>
              <w:autoSpaceDN w:val="0"/>
              <w:spacing w:line="480" w:lineRule="auto"/>
              <w:rPr>
                <w:rFonts w:cs="Times New Roman"/>
                <w:sz w:val="22"/>
                <w:szCs w:val="22"/>
                <w:lang w:val="en-US"/>
              </w:rPr>
            </w:pPr>
            <w:r w:rsidRPr="009E6776">
              <w:rPr>
                <w:rFonts w:cs="Times New Roman"/>
                <w:sz w:val="22"/>
                <w:szCs w:val="22"/>
                <w:lang w:val="en-US"/>
              </w:rPr>
              <w:t>95% CI</w:t>
            </w:r>
          </w:p>
        </w:tc>
        <w:tc>
          <w:tcPr>
            <w:tcW w:w="1096" w:type="dxa"/>
            <w:tcBorders>
              <w:top w:val="single" w:sz="4" w:space="0" w:color="000000"/>
              <w:bottom w:val="single" w:sz="4" w:space="0" w:color="000000"/>
            </w:tcBorders>
            <w:shd w:val="clear" w:color="auto" w:fill="E7E6E6"/>
          </w:tcPr>
          <w:p w14:paraId="52DF9748" w14:textId="77777777" w:rsidR="001C0EEE" w:rsidRPr="009E6776" w:rsidRDefault="001C0EEE" w:rsidP="002D569B">
            <w:pPr>
              <w:widowControl w:val="0"/>
              <w:autoSpaceDE w:val="0"/>
              <w:autoSpaceDN w:val="0"/>
              <w:spacing w:line="480" w:lineRule="auto"/>
              <w:rPr>
                <w:rFonts w:cs="Times New Roman"/>
                <w:i/>
                <w:iCs/>
                <w:sz w:val="22"/>
                <w:szCs w:val="22"/>
                <w:lang w:val="en-US"/>
              </w:rPr>
            </w:pPr>
            <w:r w:rsidRPr="009E6776">
              <w:rPr>
                <w:rFonts w:cs="Times New Roman"/>
                <w:i/>
                <w:iCs/>
                <w:sz w:val="22"/>
                <w:szCs w:val="22"/>
                <w:lang w:val="en-US"/>
              </w:rPr>
              <w:t>p</w:t>
            </w:r>
          </w:p>
        </w:tc>
      </w:tr>
      <w:tr w:rsidR="001C0EEE" w:rsidRPr="009E6776" w14:paraId="4B9A1337" w14:textId="77777777" w:rsidTr="002D569B">
        <w:trPr>
          <w:trHeight w:val="329"/>
        </w:trPr>
        <w:tc>
          <w:tcPr>
            <w:tcW w:w="1885" w:type="dxa"/>
            <w:tcBorders>
              <w:top w:val="single" w:sz="4" w:space="0" w:color="000000"/>
            </w:tcBorders>
            <w:shd w:val="clear" w:color="auto" w:fill="auto"/>
          </w:tcPr>
          <w:p w14:paraId="4484D178" w14:textId="77777777" w:rsidR="001C0EEE" w:rsidRPr="009E6776" w:rsidRDefault="001C0EEE" w:rsidP="002D569B">
            <w:pPr>
              <w:widowControl w:val="0"/>
              <w:autoSpaceDE w:val="0"/>
              <w:autoSpaceDN w:val="0"/>
              <w:spacing w:line="480" w:lineRule="auto"/>
              <w:rPr>
                <w:rFonts w:cs="Times New Roman"/>
                <w:sz w:val="22"/>
                <w:szCs w:val="22"/>
                <w:lang w:val="en-US"/>
              </w:rPr>
            </w:pPr>
            <w:r w:rsidRPr="009E6776">
              <w:rPr>
                <w:rFonts w:cs="Times New Roman"/>
                <w:sz w:val="22"/>
                <w:szCs w:val="22"/>
                <w:lang w:val="en-US"/>
              </w:rPr>
              <w:t>Gender</w:t>
            </w:r>
          </w:p>
        </w:tc>
        <w:tc>
          <w:tcPr>
            <w:tcW w:w="1080" w:type="dxa"/>
            <w:tcBorders>
              <w:top w:val="single" w:sz="4" w:space="0" w:color="000000"/>
            </w:tcBorders>
            <w:shd w:val="clear" w:color="auto" w:fill="auto"/>
          </w:tcPr>
          <w:p w14:paraId="3664C3B5" w14:textId="77777777" w:rsidR="001C0EEE" w:rsidRPr="009E6776" w:rsidRDefault="001C0EEE" w:rsidP="002D569B">
            <w:pPr>
              <w:widowControl w:val="0"/>
              <w:autoSpaceDE w:val="0"/>
              <w:autoSpaceDN w:val="0"/>
              <w:spacing w:line="480" w:lineRule="auto"/>
              <w:rPr>
                <w:rFonts w:cs="Times New Roman"/>
                <w:sz w:val="22"/>
                <w:szCs w:val="22"/>
                <w:lang w:val="en-US"/>
              </w:rPr>
            </w:pPr>
            <w:r w:rsidRPr="009E6776">
              <w:rPr>
                <w:rFonts w:cs="Times New Roman"/>
                <w:sz w:val="22"/>
                <w:szCs w:val="22"/>
                <w:lang w:val="en-US"/>
              </w:rPr>
              <w:t>2.00</w:t>
            </w:r>
          </w:p>
        </w:tc>
        <w:tc>
          <w:tcPr>
            <w:tcW w:w="1530" w:type="dxa"/>
            <w:tcBorders>
              <w:top w:val="single" w:sz="4" w:space="0" w:color="000000"/>
            </w:tcBorders>
            <w:shd w:val="clear" w:color="auto" w:fill="auto"/>
          </w:tcPr>
          <w:p w14:paraId="52B4CBCC" w14:textId="77777777" w:rsidR="001C0EEE" w:rsidRPr="009E6776" w:rsidRDefault="001C0EEE" w:rsidP="002D569B">
            <w:pPr>
              <w:widowControl w:val="0"/>
              <w:autoSpaceDE w:val="0"/>
              <w:autoSpaceDN w:val="0"/>
              <w:spacing w:line="480" w:lineRule="auto"/>
              <w:rPr>
                <w:rFonts w:cs="Times New Roman"/>
                <w:sz w:val="22"/>
                <w:szCs w:val="22"/>
                <w:lang w:val="en-US"/>
              </w:rPr>
            </w:pPr>
            <w:r w:rsidRPr="009E6776">
              <w:rPr>
                <w:rFonts w:cs="Times New Roman"/>
                <w:sz w:val="22"/>
                <w:szCs w:val="22"/>
                <w:lang w:val="en-US"/>
              </w:rPr>
              <w:t>1.29, 3.13</w:t>
            </w:r>
          </w:p>
        </w:tc>
        <w:tc>
          <w:tcPr>
            <w:tcW w:w="1096" w:type="dxa"/>
            <w:tcBorders>
              <w:top w:val="single" w:sz="4" w:space="0" w:color="000000"/>
            </w:tcBorders>
            <w:shd w:val="clear" w:color="auto" w:fill="auto"/>
          </w:tcPr>
          <w:p w14:paraId="7CFB312A" w14:textId="77777777" w:rsidR="001C0EEE" w:rsidRPr="009E6776" w:rsidRDefault="001C0EEE" w:rsidP="002D569B">
            <w:pPr>
              <w:widowControl w:val="0"/>
              <w:autoSpaceDE w:val="0"/>
              <w:autoSpaceDN w:val="0"/>
              <w:spacing w:line="480" w:lineRule="auto"/>
              <w:rPr>
                <w:rFonts w:cs="Times New Roman"/>
                <w:sz w:val="22"/>
                <w:szCs w:val="22"/>
                <w:lang w:val="en-US"/>
              </w:rPr>
            </w:pPr>
            <w:r w:rsidRPr="009E6776">
              <w:rPr>
                <w:rFonts w:cs="Times New Roman"/>
                <w:b/>
                <w:bCs/>
                <w:sz w:val="22"/>
                <w:szCs w:val="22"/>
                <w:lang w:val="en-US"/>
              </w:rPr>
              <w:t>0.002</w:t>
            </w:r>
          </w:p>
        </w:tc>
      </w:tr>
      <w:tr w:rsidR="001C0EEE" w:rsidRPr="009E6776" w14:paraId="55D9CE50" w14:textId="77777777" w:rsidTr="002D569B">
        <w:trPr>
          <w:trHeight w:val="431"/>
        </w:trPr>
        <w:tc>
          <w:tcPr>
            <w:tcW w:w="1885" w:type="dxa"/>
            <w:shd w:val="clear" w:color="auto" w:fill="auto"/>
          </w:tcPr>
          <w:p w14:paraId="70E001AA" w14:textId="77777777" w:rsidR="001C0EEE" w:rsidRPr="009E6776" w:rsidRDefault="001C0EEE" w:rsidP="002D569B">
            <w:pPr>
              <w:widowControl w:val="0"/>
              <w:autoSpaceDE w:val="0"/>
              <w:autoSpaceDN w:val="0"/>
              <w:spacing w:line="480" w:lineRule="auto"/>
              <w:rPr>
                <w:rFonts w:cs="Times New Roman"/>
                <w:sz w:val="22"/>
                <w:szCs w:val="22"/>
                <w:lang w:val="en-US"/>
              </w:rPr>
            </w:pPr>
            <w:r w:rsidRPr="009E6776">
              <w:rPr>
                <w:rFonts w:cs="Times New Roman"/>
                <w:sz w:val="22"/>
                <w:szCs w:val="22"/>
                <w:lang w:val="en-US"/>
              </w:rPr>
              <w:t>Age</w:t>
            </w:r>
          </w:p>
        </w:tc>
        <w:tc>
          <w:tcPr>
            <w:tcW w:w="1080" w:type="dxa"/>
            <w:shd w:val="clear" w:color="auto" w:fill="auto"/>
          </w:tcPr>
          <w:p w14:paraId="5CACCB0C" w14:textId="77777777" w:rsidR="001C0EEE" w:rsidRPr="009E6776" w:rsidRDefault="001C0EEE" w:rsidP="002D569B">
            <w:pPr>
              <w:widowControl w:val="0"/>
              <w:autoSpaceDE w:val="0"/>
              <w:autoSpaceDN w:val="0"/>
              <w:spacing w:line="480" w:lineRule="auto"/>
              <w:rPr>
                <w:rFonts w:cs="Times New Roman"/>
                <w:sz w:val="22"/>
                <w:szCs w:val="22"/>
                <w:lang w:val="en-US"/>
              </w:rPr>
            </w:pPr>
            <w:r w:rsidRPr="009E6776">
              <w:rPr>
                <w:rFonts w:cs="Times New Roman"/>
                <w:sz w:val="22"/>
                <w:szCs w:val="22"/>
                <w:lang w:val="en-US"/>
              </w:rPr>
              <w:t>0.96</w:t>
            </w:r>
          </w:p>
        </w:tc>
        <w:tc>
          <w:tcPr>
            <w:tcW w:w="1530" w:type="dxa"/>
            <w:shd w:val="clear" w:color="auto" w:fill="auto"/>
          </w:tcPr>
          <w:p w14:paraId="6BF66199" w14:textId="77777777" w:rsidR="001C0EEE" w:rsidRPr="009E6776" w:rsidRDefault="001C0EEE" w:rsidP="002D569B">
            <w:pPr>
              <w:widowControl w:val="0"/>
              <w:autoSpaceDE w:val="0"/>
              <w:autoSpaceDN w:val="0"/>
              <w:spacing w:line="480" w:lineRule="auto"/>
              <w:rPr>
                <w:rFonts w:cs="Times New Roman"/>
                <w:sz w:val="22"/>
                <w:szCs w:val="22"/>
                <w:lang w:val="en-US"/>
              </w:rPr>
            </w:pPr>
            <w:r w:rsidRPr="009E6776">
              <w:rPr>
                <w:rFonts w:cs="Times New Roman"/>
                <w:sz w:val="22"/>
                <w:szCs w:val="22"/>
                <w:lang w:val="en-US"/>
              </w:rPr>
              <w:t>0.90, 1.02</w:t>
            </w:r>
          </w:p>
        </w:tc>
        <w:tc>
          <w:tcPr>
            <w:tcW w:w="1096" w:type="dxa"/>
            <w:shd w:val="clear" w:color="auto" w:fill="auto"/>
          </w:tcPr>
          <w:p w14:paraId="660B2D68" w14:textId="77777777" w:rsidR="001C0EEE" w:rsidRPr="009E6776" w:rsidRDefault="001C0EEE" w:rsidP="002D569B">
            <w:pPr>
              <w:widowControl w:val="0"/>
              <w:autoSpaceDE w:val="0"/>
              <w:autoSpaceDN w:val="0"/>
              <w:spacing w:line="480" w:lineRule="auto"/>
              <w:rPr>
                <w:rFonts w:cs="Times New Roman"/>
                <w:sz w:val="22"/>
                <w:szCs w:val="22"/>
                <w:lang w:val="en-US"/>
              </w:rPr>
            </w:pPr>
            <w:r w:rsidRPr="009E6776">
              <w:rPr>
                <w:rFonts w:cs="Times New Roman"/>
                <w:sz w:val="22"/>
                <w:szCs w:val="22"/>
                <w:lang w:val="en-US"/>
              </w:rPr>
              <w:t>0.20</w:t>
            </w:r>
          </w:p>
        </w:tc>
      </w:tr>
      <w:tr w:rsidR="001C0EEE" w:rsidRPr="009E6776" w14:paraId="00BD512C" w14:textId="77777777" w:rsidTr="002D569B">
        <w:trPr>
          <w:trHeight w:val="431"/>
        </w:trPr>
        <w:tc>
          <w:tcPr>
            <w:tcW w:w="1885" w:type="dxa"/>
            <w:shd w:val="clear" w:color="auto" w:fill="auto"/>
          </w:tcPr>
          <w:p w14:paraId="1FCCC39B" w14:textId="77777777" w:rsidR="001C0EEE" w:rsidRPr="009E6776" w:rsidRDefault="001C0EEE" w:rsidP="002D569B">
            <w:pPr>
              <w:widowControl w:val="0"/>
              <w:autoSpaceDE w:val="0"/>
              <w:autoSpaceDN w:val="0"/>
              <w:spacing w:line="480" w:lineRule="auto"/>
              <w:rPr>
                <w:rFonts w:cs="Times New Roman"/>
                <w:sz w:val="22"/>
                <w:szCs w:val="22"/>
                <w:vertAlign w:val="superscript"/>
                <w:lang w:val="en-US"/>
              </w:rPr>
            </w:pPr>
            <w:r w:rsidRPr="009E6776">
              <w:rPr>
                <w:rFonts w:cs="Times New Roman"/>
                <w:sz w:val="22"/>
                <w:szCs w:val="22"/>
                <w:lang w:val="en-US"/>
              </w:rPr>
              <w:t>Age</w:t>
            </w:r>
            <w:r w:rsidRPr="009E6776">
              <w:rPr>
                <w:rFonts w:cs="Times New Roman"/>
                <w:sz w:val="22"/>
                <w:szCs w:val="22"/>
                <w:vertAlign w:val="superscript"/>
                <w:lang w:val="en-US"/>
              </w:rPr>
              <w:t>2</w:t>
            </w:r>
          </w:p>
        </w:tc>
        <w:tc>
          <w:tcPr>
            <w:tcW w:w="1080" w:type="dxa"/>
            <w:shd w:val="clear" w:color="auto" w:fill="auto"/>
          </w:tcPr>
          <w:p w14:paraId="0D78E468" w14:textId="77777777" w:rsidR="001C0EEE" w:rsidRPr="009E6776" w:rsidRDefault="001C0EEE" w:rsidP="002D569B">
            <w:pPr>
              <w:widowControl w:val="0"/>
              <w:autoSpaceDE w:val="0"/>
              <w:autoSpaceDN w:val="0"/>
              <w:spacing w:line="480" w:lineRule="auto"/>
              <w:rPr>
                <w:rFonts w:cs="Times New Roman"/>
                <w:sz w:val="22"/>
                <w:szCs w:val="22"/>
                <w:lang w:val="en-US"/>
              </w:rPr>
            </w:pPr>
            <w:r w:rsidRPr="009E6776">
              <w:rPr>
                <w:rFonts w:cs="Times New Roman"/>
                <w:sz w:val="22"/>
                <w:szCs w:val="22"/>
                <w:lang w:val="en-US"/>
              </w:rPr>
              <w:t>1.00</w:t>
            </w:r>
          </w:p>
        </w:tc>
        <w:tc>
          <w:tcPr>
            <w:tcW w:w="1530" w:type="dxa"/>
            <w:shd w:val="clear" w:color="auto" w:fill="auto"/>
          </w:tcPr>
          <w:p w14:paraId="71DF2E1D" w14:textId="77777777" w:rsidR="001C0EEE" w:rsidRPr="009E6776" w:rsidRDefault="001C0EEE" w:rsidP="002D569B">
            <w:pPr>
              <w:widowControl w:val="0"/>
              <w:autoSpaceDE w:val="0"/>
              <w:autoSpaceDN w:val="0"/>
              <w:spacing w:line="480" w:lineRule="auto"/>
              <w:rPr>
                <w:rFonts w:cs="Times New Roman"/>
                <w:sz w:val="22"/>
                <w:szCs w:val="22"/>
                <w:lang w:val="en-US"/>
              </w:rPr>
            </w:pPr>
            <w:r w:rsidRPr="009E6776">
              <w:rPr>
                <w:rFonts w:cs="Times New Roman"/>
                <w:sz w:val="22"/>
                <w:szCs w:val="22"/>
                <w:lang w:val="en-US"/>
              </w:rPr>
              <w:t>0.98, 1.02</w:t>
            </w:r>
          </w:p>
        </w:tc>
        <w:tc>
          <w:tcPr>
            <w:tcW w:w="1096" w:type="dxa"/>
            <w:shd w:val="clear" w:color="auto" w:fill="auto"/>
          </w:tcPr>
          <w:p w14:paraId="19F9018E" w14:textId="77777777" w:rsidR="001C0EEE" w:rsidRPr="009E6776" w:rsidRDefault="001C0EEE" w:rsidP="002D569B">
            <w:pPr>
              <w:widowControl w:val="0"/>
              <w:autoSpaceDE w:val="0"/>
              <w:autoSpaceDN w:val="0"/>
              <w:spacing w:line="480" w:lineRule="auto"/>
              <w:rPr>
                <w:rFonts w:cs="Times New Roman"/>
                <w:sz w:val="22"/>
                <w:szCs w:val="22"/>
                <w:lang w:val="en-US"/>
              </w:rPr>
            </w:pPr>
            <w:r w:rsidRPr="009E6776">
              <w:rPr>
                <w:rFonts w:cs="Times New Roman"/>
                <w:sz w:val="22"/>
                <w:szCs w:val="22"/>
                <w:lang w:val="en-US"/>
              </w:rPr>
              <w:t>0.91</w:t>
            </w:r>
          </w:p>
        </w:tc>
      </w:tr>
      <w:tr w:rsidR="001C0EEE" w:rsidRPr="009E6776" w14:paraId="44144DA1" w14:textId="77777777" w:rsidTr="002D569B">
        <w:trPr>
          <w:trHeight w:val="442"/>
        </w:trPr>
        <w:tc>
          <w:tcPr>
            <w:tcW w:w="1885" w:type="dxa"/>
            <w:shd w:val="clear" w:color="auto" w:fill="auto"/>
          </w:tcPr>
          <w:p w14:paraId="79DFBB61" w14:textId="77777777" w:rsidR="001C0EEE" w:rsidRPr="009E6776" w:rsidRDefault="001C0EEE" w:rsidP="002D569B">
            <w:pPr>
              <w:widowControl w:val="0"/>
              <w:autoSpaceDE w:val="0"/>
              <w:autoSpaceDN w:val="0"/>
              <w:spacing w:line="480" w:lineRule="auto"/>
              <w:rPr>
                <w:rFonts w:cs="Times New Roman"/>
                <w:sz w:val="22"/>
                <w:szCs w:val="22"/>
                <w:lang w:val="en-US"/>
              </w:rPr>
            </w:pPr>
            <w:r w:rsidRPr="009E6776">
              <w:rPr>
                <w:rFonts w:cs="Times New Roman"/>
                <w:sz w:val="22"/>
                <w:szCs w:val="22"/>
                <w:lang w:val="en-US"/>
              </w:rPr>
              <w:t>Age x Gender</w:t>
            </w:r>
          </w:p>
        </w:tc>
        <w:tc>
          <w:tcPr>
            <w:tcW w:w="1080" w:type="dxa"/>
            <w:shd w:val="clear" w:color="auto" w:fill="auto"/>
          </w:tcPr>
          <w:p w14:paraId="17247380" w14:textId="77777777" w:rsidR="001C0EEE" w:rsidRPr="009E6776" w:rsidRDefault="001C0EEE" w:rsidP="002D569B">
            <w:pPr>
              <w:widowControl w:val="0"/>
              <w:autoSpaceDE w:val="0"/>
              <w:autoSpaceDN w:val="0"/>
              <w:spacing w:line="480" w:lineRule="auto"/>
              <w:rPr>
                <w:rFonts w:cs="Times New Roman"/>
                <w:sz w:val="22"/>
                <w:szCs w:val="22"/>
                <w:lang w:val="en-US"/>
              </w:rPr>
            </w:pPr>
            <w:r w:rsidRPr="009E6776">
              <w:rPr>
                <w:rFonts w:cs="Times New Roman"/>
                <w:sz w:val="22"/>
                <w:szCs w:val="22"/>
                <w:lang w:val="en-US"/>
              </w:rPr>
              <w:t>1.02</w:t>
            </w:r>
          </w:p>
        </w:tc>
        <w:tc>
          <w:tcPr>
            <w:tcW w:w="1530" w:type="dxa"/>
            <w:shd w:val="clear" w:color="auto" w:fill="auto"/>
          </w:tcPr>
          <w:p w14:paraId="6C6FACDF" w14:textId="77777777" w:rsidR="001C0EEE" w:rsidRPr="009E6776" w:rsidRDefault="001C0EEE" w:rsidP="002D569B">
            <w:pPr>
              <w:widowControl w:val="0"/>
              <w:autoSpaceDE w:val="0"/>
              <w:autoSpaceDN w:val="0"/>
              <w:spacing w:line="480" w:lineRule="auto"/>
              <w:rPr>
                <w:rFonts w:cs="Times New Roman"/>
                <w:sz w:val="22"/>
                <w:szCs w:val="22"/>
                <w:lang w:val="en-US"/>
              </w:rPr>
            </w:pPr>
            <w:r w:rsidRPr="009E6776">
              <w:rPr>
                <w:rFonts w:cs="Times New Roman"/>
                <w:sz w:val="22"/>
                <w:szCs w:val="22"/>
                <w:lang w:val="en-US"/>
              </w:rPr>
              <w:t>0.88, 1.18</w:t>
            </w:r>
          </w:p>
        </w:tc>
        <w:tc>
          <w:tcPr>
            <w:tcW w:w="1096" w:type="dxa"/>
            <w:shd w:val="clear" w:color="auto" w:fill="auto"/>
          </w:tcPr>
          <w:p w14:paraId="1347C9C5" w14:textId="77777777" w:rsidR="001C0EEE" w:rsidRPr="009E6776" w:rsidRDefault="001C0EEE" w:rsidP="002D569B">
            <w:pPr>
              <w:widowControl w:val="0"/>
              <w:autoSpaceDE w:val="0"/>
              <w:autoSpaceDN w:val="0"/>
              <w:spacing w:line="480" w:lineRule="auto"/>
              <w:rPr>
                <w:rFonts w:cs="Times New Roman"/>
                <w:sz w:val="22"/>
                <w:szCs w:val="22"/>
                <w:lang w:val="en-US"/>
              </w:rPr>
            </w:pPr>
            <w:r w:rsidRPr="009E6776">
              <w:rPr>
                <w:rFonts w:cs="Times New Roman"/>
                <w:sz w:val="22"/>
                <w:szCs w:val="22"/>
                <w:lang w:val="en-US"/>
              </w:rPr>
              <w:t>0.80</w:t>
            </w:r>
          </w:p>
        </w:tc>
      </w:tr>
      <w:tr w:rsidR="001C0EEE" w:rsidRPr="009E6776" w14:paraId="0B39D5BB" w14:textId="77777777" w:rsidTr="002D569B">
        <w:tc>
          <w:tcPr>
            <w:tcW w:w="1885" w:type="dxa"/>
            <w:shd w:val="clear" w:color="auto" w:fill="auto"/>
          </w:tcPr>
          <w:p w14:paraId="59F2E2C4" w14:textId="77777777" w:rsidR="001C0EEE" w:rsidRPr="009E6776" w:rsidRDefault="001C0EEE" w:rsidP="002D569B">
            <w:pPr>
              <w:widowControl w:val="0"/>
              <w:autoSpaceDE w:val="0"/>
              <w:autoSpaceDN w:val="0"/>
              <w:spacing w:line="480" w:lineRule="auto"/>
              <w:rPr>
                <w:rFonts w:cs="Times New Roman"/>
                <w:sz w:val="22"/>
                <w:szCs w:val="22"/>
                <w:lang w:val="en-US"/>
              </w:rPr>
            </w:pPr>
            <w:r w:rsidRPr="009E6776">
              <w:rPr>
                <w:rFonts w:cs="Times New Roman"/>
                <w:sz w:val="22"/>
                <w:szCs w:val="22"/>
                <w:lang w:val="en-US"/>
              </w:rPr>
              <w:t>Age</w:t>
            </w:r>
            <w:r w:rsidRPr="009E6776">
              <w:rPr>
                <w:rFonts w:cs="Times New Roman"/>
                <w:sz w:val="22"/>
                <w:szCs w:val="22"/>
                <w:vertAlign w:val="superscript"/>
                <w:lang w:val="en-US"/>
              </w:rPr>
              <w:t xml:space="preserve">2 </w:t>
            </w:r>
            <w:r w:rsidRPr="009E6776">
              <w:rPr>
                <w:rFonts w:cs="Times New Roman"/>
                <w:sz w:val="22"/>
                <w:szCs w:val="22"/>
                <w:lang w:val="en-US"/>
              </w:rPr>
              <w:t>x Gender</w:t>
            </w:r>
          </w:p>
        </w:tc>
        <w:tc>
          <w:tcPr>
            <w:tcW w:w="1080" w:type="dxa"/>
            <w:shd w:val="clear" w:color="auto" w:fill="auto"/>
          </w:tcPr>
          <w:p w14:paraId="55F26BC4" w14:textId="77777777" w:rsidR="001C0EEE" w:rsidRPr="009E6776" w:rsidRDefault="001C0EEE" w:rsidP="002D569B">
            <w:pPr>
              <w:widowControl w:val="0"/>
              <w:autoSpaceDE w:val="0"/>
              <w:autoSpaceDN w:val="0"/>
              <w:spacing w:line="480" w:lineRule="auto"/>
              <w:rPr>
                <w:rFonts w:cs="Times New Roman"/>
                <w:sz w:val="22"/>
                <w:szCs w:val="22"/>
                <w:lang w:val="en-US"/>
              </w:rPr>
            </w:pPr>
            <w:r w:rsidRPr="009E6776">
              <w:rPr>
                <w:rFonts w:cs="Times New Roman"/>
                <w:sz w:val="22"/>
                <w:szCs w:val="22"/>
                <w:lang w:val="en-US"/>
              </w:rPr>
              <w:t>1.00</w:t>
            </w:r>
          </w:p>
        </w:tc>
        <w:tc>
          <w:tcPr>
            <w:tcW w:w="1530" w:type="dxa"/>
            <w:shd w:val="clear" w:color="auto" w:fill="auto"/>
          </w:tcPr>
          <w:p w14:paraId="501D33FD" w14:textId="77777777" w:rsidR="001C0EEE" w:rsidRPr="009E6776" w:rsidRDefault="001C0EEE" w:rsidP="002D569B">
            <w:pPr>
              <w:widowControl w:val="0"/>
              <w:autoSpaceDE w:val="0"/>
              <w:autoSpaceDN w:val="0"/>
              <w:spacing w:line="480" w:lineRule="auto"/>
              <w:rPr>
                <w:rFonts w:cs="Times New Roman"/>
                <w:sz w:val="22"/>
                <w:szCs w:val="22"/>
                <w:lang w:val="en-US"/>
              </w:rPr>
            </w:pPr>
            <w:r w:rsidRPr="009E6776">
              <w:rPr>
                <w:rFonts w:cs="Times New Roman"/>
                <w:sz w:val="22"/>
                <w:szCs w:val="22"/>
                <w:lang w:val="en-US"/>
              </w:rPr>
              <w:t>0.96, 1.05</w:t>
            </w:r>
          </w:p>
        </w:tc>
        <w:tc>
          <w:tcPr>
            <w:tcW w:w="1096" w:type="dxa"/>
            <w:shd w:val="clear" w:color="auto" w:fill="auto"/>
          </w:tcPr>
          <w:p w14:paraId="0B605F6F" w14:textId="77777777" w:rsidR="001C0EEE" w:rsidRPr="009E6776" w:rsidRDefault="001C0EEE" w:rsidP="002D569B">
            <w:pPr>
              <w:widowControl w:val="0"/>
              <w:autoSpaceDE w:val="0"/>
              <w:autoSpaceDN w:val="0"/>
              <w:spacing w:line="480" w:lineRule="auto"/>
              <w:rPr>
                <w:rFonts w:cs="Times New Roman"/>
                <w:sz w:val="22"/>
                <w:szCs w:val="22"/>
                <w:lang w:val="en-US"/>
              </w:rPr>
            </w:pPr>
            <w:r w:rsidRPr="009E6776">
              <w:rPr>
                <w:rFonts w:cs="Times New Roman"/>
                <w:sz w:val="22"/>
                <w:szCs w:val="22"/>
                <w:lang w:val="en-US"/>
              </w:rPr>
              <w:t>0.98</w:t>
            </w:r>
          </w:p>
        </w:tc>
      </w:tr>
    </w:tbl>
    <w:p w14:paraId="44C92772" w14:textId="77777777" w:rsidR="001C0EEE" w:rsidRPr="009E6776" w:rsidRDefault="001C0EEE" w:rsidP="001C0EEE">
      <w:pPr>
        <w:spacing w:line="480" w:lineRule="auto"/>
        <w:rPr>
          <w:rFonts w:cs="Times New Roman"/>
          <w:lang w:val="en-US"/>
        </w:rPr>
      </w:pPr>
    </w:p>
    <w:p w14:paraId="73FB2950" w14:textId="77777777" w:rsidR="001C0EEE" w:rsidRPr="009E6776" w:rsidRDefault="001C0EEE" w:rsidP="001C0EEE">
      <w:pPr>
        <w:widowControl w:val="0"/>
        <w:autoSpaceDE w:val="0"/>
        <w:autoSpaceDN w:val="0"/>
        <w:adjustRightInd w:val="0"/>
        <w:spacing w:line="480" w:lineRule="auto"/>
        <w:ind w:left="480" w:hanging="480"/>
        <w:rPr>
          <w:rFonts w:eastAsia="Times New Roman" w:cs="Times New Roman"/>
          <w:lang w:val="en-US"/>
        </w:rPr>
      </w:pPr>
    </w:p>
    <w:p w14:paraId="056CC74B" w14:textId="77777777" w:rsidR="0059695E" w:rsidRPr="009E6776" w:rsidRDefault="0059695E" w:rsidP="001C0EEE">
      <w:pPr>
        <w:widowControl w:val="0"/>
        <w:autoSpaceDE w:val="0"/>
        <w:autoSpaceDN w:val="0"/>
        <w:adjustRightInd w:val="0"/>
        <w:spacing w:line="480" w:lineRule="auto"/>
        <w:ind w:left="480" w:hanging="480"/>
        <w:rPr>
          <w:rFonts w:eastAsia="Times New Roman" w:cs="Times New Roman"/>
          <w:lang w:val="en-US"/>
        </w:rPr>
      </w:pPr>
    </w:p>
    <w:p w14:paraId="39264B02" w14:textId="77777777" w:rsidR="0059695E" w:rsidRPr="009E6776" w:rsidRDefault="0059695E" w:rsidP="001C0EEE">
      <w:pPr>
        <w:widowControl w:val="0"/>
        <w:autoSpaceDE w:val="0"/>
        <w:autoSpaceDN w:val="0"/>
        <w:adjustRightInd w:val="0"/>
        <w:spacing w:line="480" w:lineRule="auto"/>
        <w:ind w:left="480" w:hanging="480"/>
        <w:rPr>
          <w:rFonts w:eastAsia="Times New Roman" w:cs="Times New Roman"/>
          <w:lang w:val="en-US"/>
        </w:rPr>
      </w:pPr>
    </w:p>
    <w:p w14:paraId="0D185F80" w14:textId="77777777" w:rsidR="0059695E" w:rsidRPr="009E6776" w:rsidRDefault="0059695E" w:rsidP="001C0EEE">
      <w:pPr>
        <w:widowControl w:val="0"/>
        <w:autoSpaceDE w:val="0"/>
        <w:autoSpaceDN w:val="0"/>
        <w:adjustRightInd w:val="0"/>
        <w:spacing w:line="480" w:lineRule="auto"/>
        <w:ind w:left="480" w:hanging="480"/>
        <w:rPr>
          <w:rFonts w:eastAsia="Times New Roman" w:cs="Times New Roman"/>
          <w:lang w:val="en-US"/>
        </w:rPr>
      </w:pPr>
    </w:p>
    <w:p w14:paraId="7B1467D2" w14:textId="77777777" w:rsidR="0059695E" w:rsidRPr="009E6776" w:rsidRDefault="0059695E" w:rsidP="001C0EEE">
      <w:pPr>
        <w:widowControl w:val="0"/>
        <w:autoSpaceDE w:val="0"/>
        <w:autoSpaceDN w:val="0"/>
        <w:adjustRightInd w:val="0"/>
        <w:spacing w:line="480" w:lineRule="auto"/>
        <w:ind w:left="480" w:hanging="480"/>
        <w:rPr>
          <w:rFonts w:eastAsia="Times New Roman" w:cs="Times New Roman"/>
          <w:lang w:val="en-US"/>
        </w:rPr>
      </w:pPr>
    </w:p>
    <w:p w14:paraId="58DFD794" w14:textId="77777777" w:rsidR="0059695E" w:rsidRPr="009E6776" w:rsidRDefault="0059695E" w:rsidP="001C0EEE">
      <w:pPr>
        <w:widowControl w:val="0"/>
        <w:autoSpaceDE w:val="0"/>
        <w:autoSpaceDN w:val="0"/>
        <w:adjustRightInd w:val="0"/>
        <w:spacing w:line="480" w:lineRule="auto"/>
        <w:ind w:left="480" w:hanging="480"/>
        <w:rPr>
          <w:rFonts w:eastAsia="Times New Roman" w:cs="Times New Roman"/>
          <w:lang w:val="en-US"/>
        </w:rPr>
      </w:pPr>
    </w:p>
    <w:p w14:paraId="1E5E1F03" w14:textId="77777777" w:rsidR="0059695E" w:rsidRPr="009E6776" w:rsidRDefault="0059695E" w:rsidP="001C0EEE">
      <w:pPr>
        <w:widowControl w:val="0"/>
        <w:autoSpaceDE w:val="0"/>
        <w:autoSpaceDN w:val="0"/>
        <w:adjustRightInd w:val="0"/>
        <w:spacing w:line="480" w:lineRule="auto"/>
        <w:ind w:left="480" w:hanging="480"/>
        <w:rPr>
          <w:rFonts w:eastAsia="Times New Roman" w:cs="Times New Roman"/>
          <w:lang w:val="en-US"/>
        </w:rPr>
      </w:pPr>
    </w:p>
    <w:p w14:paraId="1BD86C31" w14:textId="77777777" w:rsidR="0059695E" w:rsidRPr="009E6776" w:rsidRDefault="0059695E" w:rsidP="001C0EEE">
      <w:pPr>
        <w:widowControl w:val="0"/>
        <w:autoSpaceDE w:val="0"/>
        <w:autoSpaceDN w:val="0"/>
        <w:adjustRightInd w:val="0"/>
        <w:spacing w:line="480" w:lineRule="auto"/>
        <w:ind w:left="480" w:hanging="480"/>
        <w:rPr>
          <w:rFonts w:eastAsia="Times New Roman" w:cs="Times New Roman"/>
          <w:lang w:val="en-US"/>
        </w:rPr>
      </w:pPr>
    </w:p>
    <w:p w14:paraId="58BB4CD2" w14:textId="77777777" w:rsidR="0059695E" w:rsidRPr="009E6776" w:rsidRDefault="0059695E" w:rsidP="001C0EEE">
      <w:pPr>
        <w:widowControl w:val="0"/>
        <w:autoSpaceDE w:val="0"/>
        <w:autoSpaceDN w:val="0"/>
        <w:adjustRightInd w:val="0"/>
        <w:spacing w:line="480" w:lineRule="auto"/>
        <w:ind w:left="480" w:hanging="480"/>
        <w:rPr>
          <w:rFonts w:eastAsia="Times New Roman" w:cs="Times New Roman"/>
          <w:lang w:val="en-US"/>
        </w:rPr>
      </w:pPr>
    </w:p>
    <w:p w14:paraId="247EF6E6" w14:textId="77777777" w:rsidR="0059695E" w:rsidRPr="009E6776" w:rsidRDefault="0059695E" w:rsidP="001C0EEE">
      <w:pPr>
        <w:widowControl w:val="0"/>
        <w:autoSpaceDE w:val="0"/>
        <w:autoSpaceDN w:val="0"/>
        <w:adjustRightInd w:val="0"/>
        <w:spacing w:line="480" w:lineRule="auto"/>
        <w:ind w:left="480" w:hanging="480"/>
        <w:rPr>
          <w:rFonts w:eastAsia="Times New Roman" w:cs="Times New Roman"/>
          <w:lang w:val="en-US"/>
        </w:rPr>
      </w:pPr>
    </w:p>
    <w:p w14:paraId="35D28A88" w14:textId="77777777" w:rsidR="0059695E" w:rsidRPr="009E6776" w:rsidRDefault="0059695E" w:rsidP="001C0EEE">
      <w:pPr>
        <w:widowControl w:val="0"/>
        <w:autoSpaceDE w:val="0"/>
        <w:autoSpaceDN w:val="0"/>
        <w:adjustRightInd w:val="0"/>
        <w:spacing w:line="480" w:lineRule="auto"/>
        <w:ind w:left="480" w:hanging="480"/>
        <w:rPr>
          <w:rFonts w:eastAsia="Times New Roman" w:cs="Times New Roman"/>
          <w:lang w:val="en-US"/>
        </w:rPr>
      </w:pPr>
    </w:p>
    <w:p w14:paraId="691946FD" w14:textId="77777777" w:rsidR="0059695E" w:rsidRPr="009E6776" w:rsidRDefault="0059695E" w:rsidP="001C0EEE">
      <w:pPr>
        <w:widowControl w:val="0"/>
        <w:autoSpaceDE w:val="0"/>
        <w:autoSpaceDN w:val="0"/>
        <w:adjustRightInd w:val="0"/>
        <w:spacing w:line="480" w:lineRule="auto"/>
        <w:ind w:left="480" w:hanging="480"/>
        <w:rPr>
          <w:rFonts w:eastAsia="Times New Roman" w:cs="Times New Roman"/>
          <w:lang w:val="en-US"/>
        </w:rPr>
      </w:pPr>
    </w:p>
    <w:p w14:paraId="09C551F9" w14:textId="77777777" w:rsidR="0059695E" w:rsidRPr="009E6776" w:rsidRDefault="0059695E" w:rsidP="001C0EEE">
      <w:pPr>
        <w:widowControl w:val="0"/>
        <w:autoSpaceDE w:val="0"/>
        <w:autoSpaceDN w:val="0"/>
        <w:adjustRightInd w:val="0"/>
        <w:spacing w:line="480" w:lineRule="auto"/>
        <w:ind w:left="480" w:hanging="480"/>
        <w:rPr>
          <w:rFonts w:eastAsia="Times New Roman" w:cs="Times New Roman"/>
          <w:lang w:val="en-US"/>
        </w:rPr>
      </w:pPr>
    </w:p>
    <w:p w14:paraId="71E66CCF" w14:textId="77777777" w:rsidR="0059695E" w:rsidRPr="009E6776" w:rsidRDefault="0059695E" w:rsidP="001C0EEE">
      <w:pPr>
        <w:widowControl w:val="0"/>
        <w:autoSpaceDE w:val="0"/>
        <w:autoSpaceDN w:val="0"/>
        <w:adjustRightInd w:val="0"/>
        <w:spacing w:line="480" w:lineRule="auto"/>
        <w:ind w:left="480" w:hanging="480"/>
        <w:rPr>
          <w:rFonts w:eastAsia="Times New Roman" w:cs="Times New Roman"/>
          <w:lang w:val="en-US"/>
        </w:rPr>
      </w:pPr>
    </w:p>
    <w:p w14:paraId="2FE9399C" w14:textId="77777777" w:rsidR="0059695E" w:rsidRPr="009E6776" w:rsidRDefault="0059695E" w:rsidP="001C0EEE">
      <w:pPr>
        <w:widowControl w:val="0"/>
        <w:autoSpaceDE w:val="0"/>
        <w:autoSpaceDN w:val="0"/>
        <w:adjustRightInd w:val="0"/>
        <w:spacing w:line="480" w:lineRule="auto"/>
        <w:ind w:left="480" w:hanging="480"/>
        <w:rPr>
          <w:rFonts w:eastAsia="Times New Roman" w:cs="Times New Roman"/>
          <w:lang w:val="en-US"/>
        </w:rPr>
      </w:pPr>
    </w:p>
    <w:p w14:paraId="2153EB9E" w14:textId="77777777" w:rsidR="0059695E" w:rsidRPr="009E6776" w:rsidRDefault="0059695E" w:rsidP="001C0EEE">
      <w:pPr>
        <w:widowControl w:val="0"/>
        <w:autoSpaceDE w:val="0"/>
        <w:autoSpaceDN w:val="0"/>
        <w:adjustRightInd w:val="0"/>
        <w:spacing w:line="480" w:lineRule="auto"/>
        <w:ind w:left="480" w:hanging="480"/>
        <w:rPr>
          <w:rFonts w:eastAsia="Times New Roman" w:cs="Times New Roman"/>
          <w:lang w:val="en-US"/>
        </w:rPr>
      </w:pPr>
    </w:p>
    <w:p w14:paraId="2B82CCFD" w14:textId="77777777" w:rsidR="0059695E" w:rsidRPr="009E6776" w:rsidRDefault="0059695E" w:rsidP="001C0EEE">
      <w:pPr>
        <w:widowControl w:val="0"/>
        <w:autoSpaceDE w:val="0"/>
        <w:autoSpaceDN w:val="0"/>
        <w:adjustRightInd w:val="0"/>
        <w:spacing w:line="480" w:lineRule="auto"/>
        <w:ind w:left="480" w:hanging="480"/>
        <w:rPr>
          <w:rFonts w:eastAsia="Times New Roman" w:cs="Times New Roman"/>
          <w:b/>
          <w:bCs/>
          <w:lang w:val="en-US"/>
        </w:rPr>
      </w:pPr>
      <w:r w:rsidRPr="009E6776">
        <w:rPr>
          <w:rFonts w:eastAsia="Times New Roman" w:cs="Times New Roman"/>
          <w:b/>
          <w:bCs/>
          <w:lang w:val="en-US"/>
        </w:rPr>
        <w:lastRenderedPageBreak/>
        <w:t>Figure captions</w:t>
      </w:r>
    </w:p>
    <w:p w14:paraId="53FECF6A" w14:textId="77777777" w:rsidR="0059695E" w:rsidRPr="009E6776" w:rsidRDefault="001C0EEE" w:rsidP="001C0EEE">
      <w:pPr>
        <w:pStyle w:val="ListParagraph"/>
        <w:numPr>
          <w:ilvl w:val="0"/>
          <w:numId w:val="27"/>
        </w:numPr>
        <w:spacing w:line="480" w:lineRule="auto"/>
      </w:pPr>
      <w:r w:rsidRPr="009E6776">
        <w:t xml:space="preserve"> Path diagrams of the effect of gender (female or male) on past-year NSSI via psychological distress, sensation seeking, and positive urgency individually (A) and in a joint model including psychological distress and positive urgency (B). The models show standardized coefficients with 95% confidence intervals of direct effects between variables (displayed adjacent to each respective arrow) and indirect effects of gender on NSSI through each mediator (displayed above respective mediators). Bold text and solid lines indicate significance at </w:t>
      </w:r>
      <w:r w:rsidRPr="009E6776">
        <w:rPr>
          <w:i/>
          <w:iCs/>
        </w:rPr>
        <w:t>p</w:t>
      </w:r>
      <w:r w:rsidR="00B93BC3">
        <w:rPr>
          <w:i/>
          <w:iCs/>
        </w:rPr>
        <w:t xml:space="preserve"> </w:t>
      </w:r>
      <w:r w:rsidRPr="009E6776">
        <w:t>&lt;</w:t>
      </w:r>
      <w:r w:rsidR="00B93BC3">
        <w:t xml:space="preserve"> </w:t>
      </w:r>
      <w:r w:rsidRPr="009E6776">
        <w:t xml:space="preserve">0.05. </w:t>
      </w:r>
    </w:p>
    <w:p w14:paraId="7167F69D" w14:textId="77777777" w:rsidR="001C0EEE" w:rsidRPr="009E6776" w:rsidRDefault="001C0EEE" w:rsidP="001C0EEE">
      <w:pPr>
        <w:pStyle w:val="ListParagraph"/>
        <w:numPr>
          <w:ilvl w:val="0"/>
          <w:numId w:val="27"/>
        </w:numPr>
        <w:spacing w:line="480" w:lineRule="auto"/>
      </w:pPr>
      <w:r w:rsidRPr="009E6776">
        <w:t xml:space="preserve">Effects of age and gender on prevalence of past-year NSSI </w:t>
      </w:r>
    </w:p>
    <w:p w14:paraId="3C6CCE76" w14:textId="77777777" w:rsidR="001C0EEE" w:rsidRPr="009E6776" w:rsidRDefault="001C0EEE" w:rsidP="001C0EEE">
      <w:pPr>
        <w:widowControl w:val="0"/>
        <w:autoSpaceDE w:val="0"/>
        <w:autoSpaceDN w:val="0"/>
        <w:adjustRightInd w:val="0"/>
        <w:spacing w:line="480" w:lineRule="auto"/>
        <w:ind w:left="480" w:hanging="480"/>
        <w:rPr>
          <w:rFonts w:eastAsia="Times New Roman" w:cs="Times New Roman"/>
          <w:lang w:val="en-US"/>
        </w:rPr>
      </w:pPr>
    </w:p>
    <w:sectPr w:rsidR="001C0EEE" w:rsidRPr="009E6776" w:rsidSect="00A3646D">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AFBCE" w14:textId="77777777" w:rsidR="00541C1C" w:rsidRDefault="00541C1C" w:rsidP="005D7E14">
      <w:r>
        <w:separator/>
      </w:r>
    </w:p>
  </w:endnote>
  <w:endnote w:type="continuationSeparator" w:id="0">
    <w:p w14:paraId="67512A17" w14:textId="77777777" w:rsidR="00541C1C" w:rsidRDefault="00541C1C" w:rsidP="005D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GulimChe">
    <w:panose1 w:val="020B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6730A" w14:textId="77777777" w:rsidR="00541C1C" w:rsidRDefault="00541C1C" w:rsidP="005D7E14">
      <w:r>
        <w:separator/>
      </w:r>
    </w:p>
  </w:footnote>
  <w:footnote w:type="continuationSeparator" w:id="0">
    <w:p w14:paraId="763FC44F" w14:textId="77777777" w:rsidR="00541C1C" w:rsidRDefault="00541C1C" w:rsidP="005D7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5D3A3" w14:textId="77777777" w:rsidR="008F6744" w:rsidRDefault="008F6744" w:rsidP="002D569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C15129E" w14:textId="77777777" w:rsidR="008F6744" w:rsidRDefault="008F6744" w:rsidP="008F674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28662" w14:textId="77777777" w:rsidR="008F6744" w:rsidRDefault="008F6744" w:rsidP="002D569B">
    <w:pPr>
      <w:pStyle w:val="Header"/>
      <w:framePr w:wrap="none" w:vAnchor="text" w:hAnchor="margin" w:xAlign="right" w:y="1"/>
      <w:rPr>
        <w:rStyle w:val="PageNumber"/>
      </w:rPr>
    </w:pPr>
    <w:r>
      <w:rPr>
        <w:rStyle w:val="PageNumber"/>
      </w:rPr>
      <w:t xml:space="preserve">Lutz et al. </w:t>
    </w: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p w14:paraId="41DA1EB7" w14:textId="77777777" w:rsidR="008F6744" w:rsidRDefault="008F6744" w:rsidP="008F674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2E10"/>
    <w:multiLevelType w:val="multilevel"/>
    <w:tmpl w:val="C5C80D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266E23"/>
    <w:multiLevelType w:val="hybridMultilevel"/>
    <w:tmpl w:val="39EED250"/>
    <w:lvl w:ilvl="0" w:tplc="059ED74C">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94696"/>
    <w:multiLevelType w:val="multilevel"/>
    <w:tmpl w:val="918C12B0"/>
    <w:lvl w:ilvl="0">
      <w:start w:val="2"/>
      <w:numFmt w:val="decimal"/>
      <w:lvlText w:val="%1"/>
      <w:lvlJc w:val="left"/>
      <w:pPr>
        <w:ind w:left="460" w:hanging="360"/>
      </w:pPr>
      <w:rPr>
        <w:rFonts w:hint="default"/>
      </w:rPr>
    </w:lvl>
    <w:lvl w:ilvl="1">
      <w:start w:val="3"/>
      <w:numFmt w:val="decimal"/>
      <w:lvlText w:val="%1.%2"/>
      <w:lvlJc w:val="left"/>
      <w:pPr>
        <w:ind w:left="460" w:hanging="360"/>
      </w:pPr>
      <w:rPr>
        <w:rFonts w:ascii="Times New Roman" w:eastAsia="Times New Roman" w:hAnsi="Times New Roman" w:cs="Times New Roman" w:hint="default"/>
        <w:b/>
        <w:bCs/>
        <w:spacing w:val="-23"/>
        <w:w w:val="100"/>
        <w:sz w:val="24"/>
        <w:szCs w:val="24"/>
      </w:rPr>
    </w:lvl>
    <w:lvl w:ilvl="2">
      <w:start w:val="1"/>
      <w:numFmt w:val="decimal"/>
      <w:lvlText w:val="%1.%2.%3"/>
      <w:lvlJc w:val="left"/>
      <w:pPr>
        <w:ind w:left="640" w:hanging="540"/>
      </w:pPr>
      <w:rPr>
        <w:rFonts w:ascii="Times New Roman" w:eastAsia="Times New Roman" w:hAnsi="Times New Roman" w:cs="Times New Roman" w:hint="default"/>
        <w:b/>
        <w:bCs/>
        <w:w w:val="100"/>
        <w:sz w:val="24"/>
        <w:szCs w:val="24"/>
      </w:rPr>
    </w:lvl>
    <w:lvl w:ilvl="3">
      <w:numFmt w:val="bullet"/>
      <w:lvlText w:val="•"/>
      <w:lvlJc w:val="left"/>
      <w:pPr>
        <w:ind w:left="2693" w:hanging="540"/>
      </w:pPr>
      <w:rPr>
        <w:rFonts w:hint="default"/>
      </w:rPr>
    </w:lvl>
    <w:lvl w:ilvl="4">
      <w:numFmt w:val="bullet"/>
      <w:lvlText w:val="•"/>
      <w:lvlJc w:val="left"/>
      <w:pPr>
        <w:ind w:left="3720" w:hanging="540"/>
      </w:pPr>
      <w:rPr>
        <w:rFonts w:hint="default"/>
      </w:rPr>
    </w:lvl>
    <w:lvl w:ilvl="5">
      <w:numFmt w:val="bullet"/>
      <w:lvlText w:val="•"/>
      <w:lvlJc w:val="left"/>
      <w:pPr>
        <w:ind w:left="4746" w:hanging="540"/>
      </w:pPr>
      <w:rPr>
        <w:rFonts w:hint="default"/>
      </w:rPr>
    </w:lvl>
    <w:lvl w:ilvl="6">
      <w:numFmt w:val="bullet"/>
      <w:lvlText w:val="•"/>
      <w:lvlJc w:val="left"/>
      <w:pPr>
        <w:ind w:left="5773" w:hanging="540"/>
      </w:pPr>
      <w:rPr>
        <w:rFonts w:hint="default"/>
      </w:rPr>
    </w:lvl>
    <w:lvl w:ilvl="7">
      <w:numFmt w:val="bullet"/>
      <w:lvlText w:val="•"/>
      <w:lvlJc w:val="left"/>
      <w:pPr>
        <w:ind w:left="6800" w:hanging="540"/>
      </w:pPr>
      <w:rPr>
        <w:rFonts w:hint="default"/>
      </w:rPr>
    </w:lvl>
    <w:lvl w:ilvl="8">
      <w:numFmt w:val="bullet"/>
      <w:lvlText w:val="•"/>
      <w:lvlJc w:val="left"/>
      <w:pPr>
        <w:ind w:left="7826" w:hanging="540"/>
      </w:pPr>
      <w:rPr>
        <w:rFonts w:hint="default"/>
      </w:rPr>
    </w:lvl>
  </w:abstractNum>
  <w:abstractNum w:abstractNumId="3" w15:restartNumberingAfterBreak="0">
    <w:nsid w:val="12045218"/>
    <w:multiLevelType w:val="multilevel"/>
    <w:tmpl w:val="5BA2BE30"/>
    <w:lvl w:ilvl="0">
      <w:start w:val="3"/>
      <w:numFmt w:val="decimal"/>
      <w:lvlText w:val="%1"/>
      <w:lvlJc w:val="left"/>
      <w:pPr>
        <w:ind w:left="460" w:hanging="360"/>
      </w:pPr>
      <w:rPr>
        <w:rFonts w:hint="default"/>
      </w:rPr>
    </w:lvl>
    <w:lvl w:ilvl="1">
      <w:start w:val="2"/>
      <w:numFmt w:val="decimal"/>
      <w:lvlText w:val="%1.%2"/>
      <w:lvlJc w:val="left"/>
      <w:pPr>
        <w:ind w:left="460" w:hanging="360"/>
      </w:pPr>
      <w:rPr>
        <w:rFonts w:ascii="Times New Roman" w:eastAsia="Times New Roman" w:hAnsi="Times New Roman" w:cs="Times New Roman" w:hint="default"/>
        <w:b/>
        <w:bCs/>
        <w:w w:val="100"/>
        <w:sz w:val="24"/>
        <w:szCs w:val="24"/>
      </w:rPr>
    </w:lvl>
    <w:lvl w:ilvl="2">
      <w:start w:val="1"/>
      <w:numFmt w:val="decimal"/>
      <w:lvlText w:val="%1.%2.%3"/>
      <w:lvlJc w:val="left"/>
      <w:pPr>
        <w:ind w:left="100" w:hanging="540"/>
      </w:pPr>
      <w:rPr>
        <w:rFonts w:ascii="Times New Roman" w:eastAsia="Times New Roman" w:hAnsi="Times New Roman" w:cs="Times New Roman" w:hint="default"/>
        <w:b/>
        <w:bCs/>
        <w:w w:val="100"/>
        <w:sz w:val="24"/>
        <w:szCs w:val="24"/>
      </w:rPr>
    </w:lvl>
    <w:lvl w:ilvl="3">
      <w:start w:val="1"/>
      <w:numFmt w:val="decimal"/>
      <w:lvlText w:val="%1.%2.%3.%4"/>
      <w:lvlJc w:val="left"/>
      <w:pPr>
        <w:ind w:left="820" w:hanging="720"/>
      </w:pPr>
      <w:rPr>
        <w:rFonts w:ascii="Times New Roman" w:eastAsia="Times New Roman" w:hAnsi="Times New Roman" w:cs="Times New Roman" w:hint="default"/>
        <w:b/>
        <w:bCs/>
        <w:spacing w:val="-23"/>
        <w:w w:val="100"/>
        <w:sz w:val="24"/>
        <w:szCs w:val="24"/>
      </w:rPr>
    </w:lvl>
    <w:lvl w:ilvl="4">
      <w:numFmt w:val="bullet"/>
      <w:lvlText w:val="•"/>
      <w:lvlJc w:val="left"/>
      <w:pPr>
        <w:ind w:left="2114" w:hanging="720"/>
      </w:pPr>
      <w:rPr>
        <w:rFonts w:hint="default"/>
      </w:rPr>
    </w:lvl>
    <w:lvl w:ilvl="5">
      <w:numFmt w:val="bullet"/>
      <w:lvlText w:val="•"/>
      <w:lvlJc w:val="left"/>
      <w:pPr>
        <w:ind w:left="3408" w:hanging="720"/>
      </w:pPr>
      <w:rPr>
        <w:rFonts w:hint="default"/>
      </w:rPr>
    </w:lvl>
    <w:lvl w:ilvl="6">
      <w:numFmt w:val="bullet"/>
      <w:lvlText w:val="•"/>
      <w:lvlJc w:val="left"/>
      <w:pPr>
        <w:ind w:left="4702" w:hanging="720"/>
      </w:pPr>
      <w:rPr>
        <w:rFonts w:hint="default"/>
      </w:rPr>
    </w:lvl>
    <w:lvl w:ilvl="7">
      <w:numFmt w:val="bullet"/>
      <w:lvlText w:val="•"/>
      <w:lvlJc w:val="left"/>
      <w:pPr>
        <w:ind w:left="5997" w:hanging="720"/>
      </w:pPr>
      <w:rPr>
        <w:rFonts w:hint="default"/>
      </w:rPr>
    </w:lvl>
    <w:lvl w:ilvl="8">
      <w:numFmt w:val="bullet"/>
      <w:lvlText w:val="•"/>
      <w:lvlJc w:val="left"/>
      <w:pPr>
        <w:ind w:left="7291" w:hanging="720"/>
      </w:pPr>
      <w:rPr>
        <w:rFonts w:hint="default"/>
      </w:rPr>
    </w:lvl>
  </w:abstractNum>
  <w:abstractNum w:abstractNumId="4" w15:restartNumberingAfterBreak="0">
    <w:nsid w:val="16403A22"/>
    <w:multiLevelType w:val="multilevel"/>
    <w:tmpl w:val="AE0449A4"/>
    <w:lvl w:ilvl="0">
      <w:start w:val="1"/>
      <w:numFmt w:val="decimal"/>
      <w:lvlText w:val="%1."/>
      <w:lvlJc w:val="left"/>
      <w:pPr>
        <w:ind w:left="419" w:hanging="320"/>
      </w:pPr>
      <w:rPr>
        <w:rFonts w:ascii="Times New Roman" w:eastAsia="Times New Roman" w:hAnsi="Times New Roman" w:cs="Times New Roman" w:hint="default"/>
        <w:b/>
        <w:bCs/>
        <w:w w:val="100"/>
        <w:sz w:val="32"/>
        <w:szCs w:val="32"/>
      </w:rPr>
    </w:lvl>
    <w:lvl w:ilvl="1">
      <w:start w:val="1"/>
      <w:numFmt w:val="decimal"/>
      <w:lvlText w:val="%1.%2"/>
      <w:lvlJc w:val="left"/>
      <w:pPr>
        <w:ind w:left="460" w:hanging="360"/>
      </w:pPr>
      <w:rPr>
        <w:rFonts w:ascii="Times New Roman" w:eastAsia="Times New Roman" w:hAnsi="Times New Roman" w:cs="Times New Roman" w:hint="default"/>
        <w:b/>
        <w:bCs/>
        <w:w w:val="100"/>
        <w:sz w:val="24"/>
        <w:szCs w:val="24"/>
      </w:rPr>
    </w:lvl>
    <w:lvl w:ilvl="2">
      <w:start w:val="1"/>
      <w:numFmt w:val="decimal"/>
      <w:lvlText w:val="%1.%2.%3"/>
      <w:lvlJc w:val="left"/>
      <w:pPr>
        <w:ind w:left="540" w:hanging="540"/>
      </w:pPr>
      <w:rPr>
        <w:rFonts w:ascii="Times New Roman" w:eastAsia="Times New Roman" w:hAnsi="Times New Roman" w:cs="Times New Roman" w:hint="default"/>
        <w:b/>
        <w:bCs/>
        <w:w w:val="100"/>
        <w:sz w:val="24"/>
        <w:szCs w:val="24"/>
      </w:rPr>
    </w:lvl>
    <w:lvl w:ilvl="3">
      <w:numFmt w:val="bullet"/>
      <w:lvlText w:val="•"/>
      <w:lvlJc w:val="left"/>
      <w:pPr>
        <w:ind w:left="1795" w:hanging="540"/>
      </w:pPr>
      <w:rPr>
        <w:rFonts w:hint="default"/>
      </w:rPr>
    </w:lvl>
    <w:lvl w:ilvl="4">
      <w:numFmt w:val="bullet"/>
      <w:lvlText w:val="•"/>
      <w:lvlJc w:val="left"/>
      <w:pPr>
        <w:ind w:left="2950" w:hanging="540"/>
      </w:pPr>
      <w:rPr>
        <w:rFonts w:hint="default"/>
      </w:rPr>
    </w:lvl>
    <w:lvl w:ilvl="5">
      <w:numFmt w:val="bullet"/>
      <w:lvlText w:val="•"/>
      <w:lvlJc w:val="left"/>
      <w:pPr>
        <w:ind w:left="4105" w:hanging="540"/>
      </w:pPr>
      <w:rPr>
        <w:rFonts w:hint="default"/>
      </w:rPr>
    </w:lvl>
    <w:lvl w:ilvl="6">
      <w:numFmt w:val="bullet"/>
      <w:lvlText w:val="•"/>
      <w:lvlJc w:val="left"/>
      <w:pPr>
        <w:ind w:left="5260" w:hanging="540"/>
      </w:pPr>
      <w:rPr>
        <w:rFonts w:hint="default"/>
      </w:rPr>
    </w:lvl>
    <w:lvl w:ilvl="7">
      <w:numFmt w:val="bullet"/>
      <w:lvlText w:val="•"/>
      <w:lvlJc w:val="left"/>
      <w:pPr>
        <w:ind w:left="6415" w:hanging="540"/>
      </w:pPr>
      <w:rPr>
        <w:rFonts w:hint="default"/>
      </w:rPr>
    </w:lvl>
    <w:lvl w:ilvl="8">
      <w:numFmt w:val="bullet"/>
      <w:lvlText w:val="•"/>
      <w:lvlJc w:val="left"/>
      <w:pPr>
        <w:ind w:left="7570" w:hanging="540"/>
      </w:pPr>
      <w:rPr>
        <w:rFonts w:hint="default"/>
      </w:rPr>
    </w:lvl>
  </w:abstractNum>
  <w:abstractNum w:abstractNumId="5" w15:restartNumberingAfterBreak="0">
    <w:nsid w:val="1A7C37C4"/>
    <w:multiLevelType w:val="multilevel"/>
    <w:tmpl w:val="0CD49040"/>
    <w:lvl w:ilvl="0">
      <w:start w:val="3"/>
      <w:numFmt w:val="decimal"/>
      <w:lvlText w:val="%1"/>
      <w:lvlJc w:val="left"/>
      <w:pPr>
        <w:ind w:left="660" w:hanging="660"/>
      </w:pPr>
      <w:rPr>
        <w:rFonts w:hint="default"/>
      </w:rPr>
    </w:lvl>
    <w:lvl w:ilvl="1">
      <w:start w:val="2"/>
      <w:numFmt w:val="decimal"/>
      <w:lvlText w:val="%1.%2"/>
      <w:lvlJc w:val="left"/>
      <w:pPr>
        <w:ind w:left="693" w:hanging="660"/>
      </w:pPr>
      <w:rPr>
        <w:rFonts w:hint="default"/>
      </w:rPr>
    </w:lvl>
    <w:lvl w:ilvl="2">
      <w:start w:val="3"/>
      <w:numFmt w:val="decimal"/>
      <w:lvlText w:val="%1.%2.%3"/>
      <w:lvlJc w:val="left"/>
      <w:pPr>
        <w:ind w:left="786" w:hanging="720"/>
      </w:pPr>
      <w:rPr>
        <w:rFonts w:hint="default"/>
      </w:rPr>
    </w:lvl>
    <w:lvl w:ilvl="3">
      <w:start w:val="5"/>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6" w15:restartNumberingAfterBreak="0">
    <w:nsid w:val="1C786E7C"/>
    <w:multiLevelType w:val="multilevel"/>
    <w:tmpl w:val="7092348E"/>
    <w:lvl w:ilvl="0">
      <w:start w:val="1"/>
      <w:numFmt w:val="decimal"/>
      <w:lvlText w:val="%1."/>
      <w:lvlJc w:val="left"/>
      <w:pPr>
        <w:ind w:left="355" w:hanging="240"/>
      </w:pPr>
      <w:rPr>
        <w:rFonts w:ascii="Times New Roman" w:eastAsia="Times New Roman" w:hAnsi="Times New Roman" w:cs="Times New Roman" w:hint="default"/>
        <w:w w:val="100"/>
        <w:sz w:val="24"/>
        <w:szCs w:val="24"/>
      </w:rPr>
    </w:lvl>
    <w:lvl w:ilvl="1">
      <w:start w:val="1"/>
      <w:numFmt w:val="decimal"/>
      <w:lvlText w:val="%1.%2"/>
      <w:lvlJc w:val="left"/>
      <w:pPr>
        <w:ind w:left="1180" w:hanging="360"/>
      </w:pPr>
      <w:rPr>
        <w:rFonts w:ascii="Times New Roman" w:eastAsia="Times New Roman" w:hAnsi="Times New Roman" w:cs="Times New Roman" w:hint="default"/>
        <w:w w:val="100"/>
        <w:sz w:val="24"/>
        <w:szCs w:val="24"/>
      </w:rPr>
    </w:lvl>
    <w:lvl w:ilvl="2">
      <w:start w:val="1"/>
      <w:numFmt w:val="decimal"/>
      <w:lvlText w:val="%1.%2.%3"/>
      <w:lvlJc w:val="left"/>
      <w:pPr>
        <w:ind w:left="2080" w:hanging="540"/>
      </w:pPr>
      <w:rPr>
        <w:rFonts w:ascii="Times New Roman" w:eastAsia="Times New Roman" w:hAnsi="Times New Roman" w:cs="Times New Roman" w:hint="default"/>
        <w:w w:val="100"/>
        <w:sz w:val="24"/>
        <w:szCs w:val="24"/>
      </w:rPr>
    </w:lvl>
    <w:lvl w:ilvl="3">
      <w:start w:val="1"/>
      <w:numFmt w:val="decimal"/>
      <w:lvlText w:val="%1.%2.%3.%4"/>
      <w:lvlJc w:val="left"/>
      <w:pPr>
        <w:ind w:left="2980" w:hanging="720"/>
      </w:pPr>
      <w:rPr>
        <w:rFonts w:ascii="Times New Roman" w:eastAsia="Times New Roman" w:hAnsi="Times New Roman" w:cs="Times New Roman" w:hint="default"/>
        <w:spacing w:val="-17"/>
        <w:w w:val="100"/>
        <w:sz w:val="24"/>
        <w:szCs w:val="24"/>
      </w:rPr>
    </w:lvl>
    <w:lvl w:ilvl="4">
      <w:numFmt w:val="bullet"/>
      <w:lvlText w:val="•"/>
      <w:lvlJc w:val="left"/>
      <w:pPr>
        <w:ind w:left="2120" w:hanging="720"/>
      </w:pPr>
      <w:rPr>
        <w:rFonts w:hint="default"/>
      </w:rPr>
    </w:lvl>
    <w:lvl w:ilvl="5">
      <w:numFmt w:val="bullet"/>
      <w:lvlText w:val="•"/>
      <w:lvlJc w:val="left"/>
      <w:pPr>
        <w:ind w:left="2980" w:hanging="720"/>
      </w:pPr>
      <w:rPr>
        <w:rFonts w:hint="default"/>
      </w:rPr>
    </w:lvl>
    <w:lvl w:ilvl="6">
      <w:numFmt w:val="bullet"/>
      <w:lvlText w:val="•"/>
      <w:lvlJc w:val="left"/>
      <w:pPr>
        <w:ind w:left="4360" w:hanging="720"/>
      </w:pPr>
      <w:rPr>
        <w:rFonts w:hint="default"/>
      </w:rPr>
    </w:lvl>
    <w:lvl w:ilvl="7">
      <w:numFmt w:val="bullet"/>
      <w:lvlText w:val="•"/>
      <w:lvlJc w:val="left"/>
      <w:pPr>
        <w:ind w:left="5740" w:hanging="720"/>
      </w:pPr>
      <w:rPr>
        <w:rFonts w:hint="default"/>
      </w:rPr>
    </w:lvl>
    <w:lvl w:ilvl="8">
      <w:numFmt w:val="bullet"/>
      <w:lvlText w:val="•"/>
      <w:lvlJc w:val="left"/>
      <w:pPr>
        <w:ind w:left="7120" w:hanging="720"/>
      </w:pPr>
      <w:rPr>
        <w:rFonts w:hint="default"/>
      </w:rPr>
    </w:lvl>
  </w:abstractNum>
  <w:abstractNum w:abstractNumId="7" w15:restartNumberingAfterBreak="0">
    <w:nsid w:val="1C7C667B"/>
    <w:multiLevelType w:val="hybridMultilevel"/>
    <w:tmpl w:val="337C6DC0"/>
    <w:lvl w:ilvl="0" w:tplc="6E46D8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580D37"/>
    <w:multiLevelType w:val="hybridMultilevel"/>
    <w:tmpl w:val="16C844A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8312F7"/>
    <w:multiLevelType w:val="hybridMultilevel"/>
    <w:tmpl w:val="8064E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217674"/>
    <w:multiLevelType w:val="hybridMultilevel"/>
    <w:tmpl w:val="1E90F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202B65"/>
    <w:multiLevelType w:val="hybridMultilevel"/>
    <w:tmpl w:val="6010A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D315D3"/>
    <w:multiLevelType w:val="multilevel"/>
    <w:tmpl w:val="C6FA02D0"/>
    <w:lvl w:ilvl="0">
      <w:start w:val="3"/>
      <w:numFmt w:val="decimal"/>
      <w:lvlText w:val="%1"/>
      <w:lvlJc w:val="left"/>
      <w:pPr>
        <w:ind w:left="480" w:hanging="480"/>
      </w:pPr>
      <w:rPr>
        <w:rFonts w:hint="default"/>
      </w:rPr>
    </w:lvl>
    <w:lvl w:ilvl="1">
      <w:start w:val="3"/>
      <w:numFmt w:val="decimal"/>
      <w:lvlText w:val="%1.%2"/>
      <w:lvlJc w:val="left"/>
      <w:pPr>
        <w:ind w:left="530" w:hanging="480"/>
      </w:pPr>
      <w:rPr>
        <w:rFonts w:hint="default"/>
      </w:rPr>
    </w:lvl>
    <w:lvl w:ilvl="2">
      <w:start w:val="2"/>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13" w15:restartNumberingAfterBreak="0">
    <w:nsid w:val="3C3E4EAD"/>
    <w:multiLevelType w:val="multilevel"/>
    <w:tmpl w:val="F968CBDE"/>
    <w:lvl w:ilvl="0">
      <w:start w:val="3"/>
      <w:numFmt w:val="decimal"/>
      <w:lvlText w:val="%1"/>
      <w:lvlJc w:val="left"/>
      <w:pPr>
        <w:ind w:left="660" w:hanging="660"/>
      </w:pPr>
      <w:rPr>
        <w:rFonts w:hint="default"/>
      </w:rPr>
    </w:lvl>
    <w:lvl w:ilvl="1">
      <w:start w:val="2"/>
      <w:numFmt w:val="decimal"/>
      <w:lvlText w:val="%1.%2"/>
      <w:lvlJc w:val="left"/>
      <w:pPr>
        <w:ind w:left="693" w:hanging="660"/>
      </w:pPr>
      <w:rPr>
        <w:rFonts w:hint="default"/>
      </w:rPr>
    </w:lvl>
    <w:lvl w:ilvl="2">
      <w:start w:val="3"/>
      <w:numFmt w:val="decimal"/>
      <w:lvlText w:val="%1.%2.%3"/>
      <w:lvlJc w:val="left"/>
      <w:pPr>
        <w:ind w:left="786" w:hanging="720"/>
      </w:pPr>
      <w:rPr>
        <w:rFonts w:hint="default"/>
      </w:rPr>
    </w:lvl>
    <w:lvl w:ilvl="3">
      <w:start w:val="2"/>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4" w15:restartNumberingAfterBreak="0">
    <w:nsid w:val="3C827D46"/>
    <w:multiLevelType w:val="hybridMultilevel"/>
    <w:tmpl w:val="4236951A"/>
    <w:lvl w:ilvl="0" w:tplc="8A92A4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FA6498"/>
    <w:multiLevelType w:val="multilevel"/>
    <w:tmpl w:val="B858B4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6EB72CE"/>
    <w:multiLevelType w:val="hybridMultilevel"/>
    <w:tmpl w:val="249A8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9F68FE"/>
    <w:multiLevelType w:val="multilevel"/>
    <w:tmpl w:val="8AA21234"/>
    <w:lvl w:ilvl="0">
      <w:start w:val="2"/>
      <w:numFmt w:val="decimal"/>
      <w:lvlText w:val="%1"/>
      <w:lvlJc w:val="left"/>
      <w:pPr>
        <w:ind w:left="460" w:hanging="360"/>
      </w:pPr>
      <w:rPr>
        <w:rFonts w:hint="default"/>
      </w:rPr>
    </w:lvl>
    <w:lvl w:ilvl="1">
      <w:start w:val="2"/>
      <w:numFmt w:val="decimal"/>
      <w:lvlText w:val="%1.%2"/>
      <w:lvlJc w:val="left"/>
      <w:pPr>
        <w:ind w:left="460" w:hanging="360"/>
      </w:pPr>
      <w:rPr>
        <w:rFonts w:ascii="Times New Roman" w:eastAsia="Times New Roman" w:hAnsi="Times New Roman" w:cs="Times New Roman" w:hint="default"/>
        <w:b/>
        <w:bCs/>
        <w:w w:val="100"/>
        <w:sz w:val="24"/>
        <w:szCs w:val="24"/>
      </w:rPr>
    </w:lvl>
    <w:lvl w:ilvl="2">
      <w:start w:val="1"/>
      <w:numFmt w:val="decimal"/>
      <w:lvlText w:val="%1.%2.%3"/>
      <w:lvlJc w:val="left"/>
      <w:pPr>
        <w:ind w:left="100" w:hanging="540"/>
      </w:pPr>
      <w:rPr>
        <w:rFonts w:ascii="Times New Roman" w:eastAsia="Times New Roman" w:hAnsi="Times New Roman" w:cs="Times New Roman" w:hint="default"/>
        <w:b/>
        <w:bCs/>
        <w:w w:val="100"/>
        <w:sz w:val="24"/>
        <w:szCs w:val="24"/>
      </w:rPr>
    </w:lvl>
    <w:lvl w:ilvl="3">
      <w:numFmt w:val="bullet"/>
      <w:lvlText w:val="•"/>
      <w:lvlJc w:val="left"/>
      <w:pPr>
        <w:ind w:left="2553" w:hanging="540"/>
      </w:pPr>
      <w:rPr>
        <w:rFonts w:hint="default"/>
      </w:rPr>
    </w:lvl>
    <w:lvl w:ilvl="4">
      <w:numFmt w:val="bullet"/>
      <w:lvlText w:val="•"/>
      <w:lvlJc w:val="left"/>
      <w:pPr>
        <w:ind w:left="3600" w:hanging="540"/>
      </w:pPr>
      <w:rPr>
        <w:rFonts w:hint="default"/>
      </w:rPr>
    </w:lvl>
    <w:lvl w:ilvl="5">
      <w:numFmt w:val="bullet"/>
      <w:lvlText w:val="•"/>
      <w:lvlJc w:val="left"/>
      <w:pPr>
        <w:ind w:left="4646" w:hanging="540"/>
      </w:pPr>
      <w:rPr>
        <w:rFonts w:hint="default"/>
      </w:rPr>
    </w:lvl>
    <w:lvl w:ilvl="6">
      <w:numFmt w:val="bullet"/>
      <w:lvlText w:val="•"/>
      <w:lvlJc w:val="left"/>
      <w:pPr>
        <w:ind w:left="5693" w:hanging="540"/>
      </w:pPr>
      <w:rPr>
        <w:rFonts w:hint="default"/>
      </w:rPr>
    </w:lvl>
    <w:lvl w:ilvl="7">
      <w:numFmt w:val="bullet"/>
      <w:lvlText w:val="•"/>
      <w:lvlJc w:val="left"/>
      <w:pPr>
        <w:ind w:left="6740" w:hanging="540"/>
      </w:pPr>
      <w:rPr>
        <w:rFonts w:hint="default"/>
      </w:rPr>
    </w:lvl>
    <w:lvl w:ilvl="8">
      <w:numFmt w:val="bullet"/>
      <w:lvlText w:val="•"/>
      <w:lvlJc w:val="left"/>
      <w:pPr>
        <w:ind w:left="7786" w:hanging="540"/>
      </w:pPr>
      <w:rPr>
        <w:rFonts w:hint="default"/>
      </w:rPr>
    </w:lvl>
  </w:abstractNum>
  <w:abstractNum w:abstractNumId="18" w15:restartNumberingAfterBreak="0">
    <w:nsid w:val="514C08D8"/>
    <w:multiLevelType w:val="multilevel"/>
    <w:tmpl w:val="0F9405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1D3E36"/>
    <w:multiLevelType w:val="hybridMultilevel"/>
    <w:tmpl w:val="A768C02A"/>
    <w:lvl w:ilvl="0" w:tplc="6F1AA6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5B37D9"/>
    <w:multiLevelType w:val="hybridMultilevel"/>
    <w:tmpl w:val="8C38E274"/>
    <w:lvl w:ilvl="0" w:tplc="9A02DB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FB3C11"/>
    <w:multiLevelType w:val="multilevel"/>
    <w:tmpl w:val="B764EF1A"/>
    <w:lvl w:ilvl="0">
      <w:start w:val="2"/>
      <w:numFmt w:val="decimal"/>
      <w:lvlText w:val="%1"/>
      <w:lvlJc w:val="left"/>
      <w:pPr>
        <w:ind w:left="460" w:hanging="360"/>
      </w:pPr>
      <w:rPr>
        <w:rFonts w:hint="default"/>
      </w:rPr>
    </w:lvl>
    <w:lvl w:ilvl="1">
      <w:start w:val="4"/>
      <w:numFmt w:val="decimal"/>
      <w:lvlText w:val="%1.%2"/>
      <w:lvlJc w:val="left"/>
      <w:pPr>
        <w:ind w:left="460" w:hanging="360"/>
      </w:pPr>
      <w:rPr>
        <w:rFonts w:ascii="Times New Roman" w:eastAsia="Times New Roman" w:hAnsi="Times New Roman" w:cs="Times New Roman" w:hint="default"/>
        <w:b/>
        <w:bCs/>
        <w:w w:val="100"/>
        <w:sz w:val="24"/>
        <w:szCs w:val="24"/>
      </w:rPr>
    </w:lvl>
    <w:lvl w:ilvl="2">
      <w:start w:val="1"/>
      <w:numFmt w:val="decimal"/>
      <w:lvlText w:val="%1.%2.%3"/>
      <w:lvlJc w:val="left"/>
      <w:pPr>
        <w:ind w:left="640" w:hanging="540"/>
      </w:pPr>
      <w:rPr>
        <w:rFonts w:ascii="Times New Roman" w:eastAsia="Times New Roman" w:hAnsi="Times New Roman" w:cs="Times New Roman" w:hint="default"/>
        <w:b/>
        <w:bCs/>
        <w:w w:val="100"/>
        <w:sz w:val="24"/>
        <w:szCs w:val="24"/>
      </w:rPr>
    </w:lvl>
    <w:lvl w:ilvl="3">
      <w:numFmt w:val="bullet"/>
      <w:lvlText w:val="•"/>
      <w:lvlJc w:val="left"/>
      <w:pPr>
        <w:ind w:left="2693" w:hanging="540"/>
      </w:pPr>
      <w:rPr>
        <w:rFonts w:hint="default"/>
      </w:rPr>
    </w:lvl>
    <w:lvl w:ilvl="4">
      <w:numFmt w:val="bullet"/>
      <w:lvlText w:val="•"/>
      <w:lvlJc w:val="left"/>
      <w:pPr>
        <w:ind w:left="3720" w:hanging="540"/>
      </w:pPr>
      <w:rPr>
        <w:rFonts w:hint="default"/>
      </w:rPr>
    </w:lvl>
    <w:lvl w:ilvl="5">
      <w:numFmt w:val="bullet"/>
      <w:lvlText w:val="•"/>
      <w:lvlJc w:val="left"/>
      <w:pPr>
        <w:ind w:left="4746" w:hanging="540"/>
      </w:pPr>
      <w:rPr>
        <w:rFonts w:hint="default"/>
      </w:rPr>
    </w:lvl>
    <w:lvl w:ilvl="6">
      <w:numFmt w:val="bullet"/>
      <w:lvlText w:val="•"/>
      <w:lvlJc w:val="left"/>
      <w:pPr>
        <w:ind w:left="5773" w:hanging="540"/>
      </w:pPr>
      <w:rPr>
        <w:rFonts w:hint="default"/>
      </w:rPr>
    </w:lvl>
    <w:lvl w:ilvl="7">
      <w:numFmt w:val="bullet"/>
      <w:lvlText w:val="•"/>
      <w:lvlJc w:val="left"/>
      <w:pPr>
        <w:ind w:left="6800" w:hanging="540"/>
      </w:pPr>
      <w:rPr>
        <w:rFonts w:hint="default"/>
      </w:rPr>
    </w:lvl>
    <w:lvl w:ilvl="8">
      <w:numFmt w:val="bullet"/>
      <w:lvlText w:val="•"/>
      <w:lvlJc w:val="left"/>
      <w:pPr>
        <w:ind w:left="7826" w:hanging="540"/>
      </w:pPr>
      <w:rPr>
        <w:rFonts w:hint="default"/>
      </w:rPr>
    </w:lvl>
  </w:abstractNum>
  <w:abstractNum w:abstractNumId="22" w15:restartNumberingAfterBreak="0">
    <w:nsid w:val="5A6A6505"/>
    <w:multiLevelType w:val="hybridMultilevel"/>
    <w:tmpl w:val="45C4D40A"/>
    <w:lvl w:ilvl="0" w:tplc="04090001">
      <w:start w:val="1"/>
      <w:numFmt w:val="bullet"/>
      <w:lvlText w:val=""/>
      <w:lvlJc w:val="left"/>
      <w:pPr>
        <w:ind w:left="834" w:hanging="360"/>
      </w:pPr>
      <w:rPr>
        <w:rFonts w:ascii="Symbol" w:hAnsi="Symbol"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23" w15:restartNumberingAfterBreak="0">
    <w:nsid w:val="64A138AC"/>
    <w:multiLevelType w:val="hybridMultilevel"/>
    <w:tmpl w:val="A6D4802E"/>
    <w:lvl w:ilvl="0" w:tplc="FD041F40">
      <w:start w:val="2"/>
      <w:numFmt w:val="upperLetter"/>
      <w:lvlText w:val="%1."/>
      <w:lvlJc w:val="left"/>
      <w:pPr>
        <w:ind w:left="820" w:hanging="281"/>
      </w:pPr>
      <w:rPr>
        <w:rFonts w:ascii="Times New Roman" w:eastAsia="Times New Roman" w:hAnsi="Times New Roman" w:cs="Times New Roman" w:hint="default"/>
        <w:spacing w:val="-16"/>
        <w:w w:val="100"/>
        <w:sz w:val="24"/>
        <w:szCs w:val="24"/>
      </w:rPr>
    </w:lvl>
    <w:lvl w:ilvl="1" w:tplc="56A806A4">
      <w:numFmt w:val="bullet"/>
      <w:lvlText w:val="•"/>
      <w:lvlJc w:val="left"/>
      <w:pPr>
        <w:ind w:left="1726" w:hanging="281"/>
      </w:pPr>
      <w:rPr>
        <w:rFonts w:hint="default"/>
      </w:rPr>
    </w:lvl>
    <w:lvl w:ilvl="2" w:tplc="FF2834A6">
      <w:numFmt w:val="bullet"/>
      <w:lvlText w:val="•"/>
      <w:lvlJc w:val="left"/>
      <w:pPr>
        <w:ind w:left="2632" w:hanging="281"/>
      </w:pPr>
      <w:rPr>
        <w:rFonts w:hint="default"/>
      </w:rPr>
    </w:lvl>
    <w:lvl w:ilvl="3" w:tplc="203862E2">
      <w:numFmt w:val="bullet"/>
      <w:lvlText w:val="•"/>
      <w:lvlJc w:val="left"/>
      <w:pPr>
        <w:ind w:left="3538" w:hanging="281"/>
      </w:pPr>
      <w:rPr>
        <w:rFonts w:hint="default"/>
      </w:rPr>
    </w:lvl>
    <w:lvl w:ilvl="4" w:tplc="F2286814">
      <w:numFmt w:val="bullet"/>
      <w:lvlText w:val="•"/>
      <w:lvlJc w:val="left"/>
      <w:pPr>
        <w:ind w:left="4444" w:hanging="281"/>
      </w:pPr>
      <w:rPr>
        <w:rFonts w:hint="default"/>
      </w:rPr>
    </w:lvl>
    <w:lvl w:ilvl="5" w:tplc="4A565570">
      <w:numFmt w:val="bullet"/>
      <w:lvlText w:val="•"/>
      <w:lvlJc w:val="left"/>
      <w:pPr>
        <w:ind w:left="5350" w:hanging="281"/>
      </w:pPr>
      <w:rPr>
        <w:rFonts w:hint="default"/>
      </w:rPr>
    </w:lvl>
    <w:lvl w:ilvl="6" w:tplc="0C4E6D46">
      <w:numFmt w:val="bullet"/>
      <w:lvlText w:val="•"/>
      <w:lvlJc w:val="left"/>
      <w:pPr>
        <w:ind w:left="6256" w:hanging="281"/>
      </w:pPr>
      <w:rPr>
        <w:rFonts w:hint="default"/>
      </w:rPr>
    </w:lvl>
    <w:lvl w:ilvl="7" w:tplc="A6E4EE0C">
      <w:numFmt w:val="bullet"/>
      <w:lvlText w:val="•"/>
      <w:lvlJc w:val="left"/>
      <w:pPr>
        <w:ind w:left="7162" w:hanging="281"/>
      </w:pPr>
      <w:rPr>
        <w:rFonts w:hint="default"/>
      </w:rPr>
    </w:lvl>
    <w:lvl w:ilvl="8" w:tplc="DE9239C6">
      <w:numFmt w:val="bullet"/>
      <w:lvlText w:val="•"/>
      <w:lvlJc w:val="left"/>
      <w:pPr>
        <w:ind w:left="8068" w:hanging="281"/>
      </w:pPr>
      <w:rPr>
        <w:rFonts w:hint="default"/>
      </w:rPr>
    </w:lvl>
  </w:abstractNum>
  <w:abstractNum w:abstractNumId="24" w15:restartNumberingAfterBreak="0">
    <w:nsid w:val="65791FA5"/>
    <w:multiLevelType w:val="hybridMultilevel"/>
    <w:tmpl w:val="4CCC9528"/>
    <w:lvl w:ilvl="0" w:tplc="F23A2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396821"/>
    <w:multiLevelType w:val="multilevel"/>
    <w:tmpl w:val="65C499DE"/>
    <w:lvl w:ilvl="0">
      <w:start w:val="3"/>
      <w:numFmt w:val="decimal"/>
      <w:lvlText w:val="%1"/>
      <w:lvlJc w:val="left"/>
      <w:pPr>
        <w:ind w:left="460" w:hanging="360"/>
      </w:pPr>
      <w:rPr>
        <w:rFonts w:hint="default"/>
      </w:rPr>
    </w:lvl>
    <w:lvl w:ilvl="1">
      <w:start w:val="4"/>
      <w:numFmt w:val="decimal"/>
      <w:lvlText w:val="%1.%2"/>
      <w:lvlJc w:val="left"/>
      <w:pPr>
        <w:ind w:left="460" w:hanging="360"/>
      </w:pPr>
      <w:rPr>
        <w:rFonts w:ascii="Times New Roman" w:eastAsia="Times New Roman" w:hAnsi="Times New Roman" w:cs="Times New Roman" w:hint="default"/>
        <w:b/>
        <w:bCs/>
        <w:w w:val="100"/>
        <w:sz w:val="24"/>
        <w:szCs w:val="24"/>
      </w:rPr>
    </w:lvl>
    <w:lvl w:ilvl="2">
      <w:start w:val="1"/>
      <w:numFmt w:val="decimal"/>
      <w:lvlText w:val="%1.%2.%3"/>
      <w:lvlJc w:val="left"/>
      <w:pPr>
        <w:ind w:left="640" w:hanging="540"/>
      </w:pPr>
      <w:rPr>
        <w:rFonts w:ascii="Times New Roman" w:eastAsia="Times New Roman" w:hAnsi="Times New Roman" w:cs="Times New Roman" w:hint="default"/>
        <w:b/>
        <w:bCs/>
        <w:w w:val="100"/>
        <w:sz w:val="24"/>
        <w:szCs w:val="24"/>
      </w:rPr>
    </w:lvl>
    <w:lvl w:ilvl="3">
      <w:numFmt w:val="bullet"/>
      <w:lvlText w:val="•"/>
      <w:lvlJc w:val="left"/>
      <w:pPr>
        <w:ind w:left="2693" w:hanging="540"/>
      </w:pPr>
      <w:rPr>
        <w:rFonts w:hint="default"/>
      </w:rPr>
    </w:lvl>
    <w:lvl w:ilvl="4">
      <w:numFmt w:val="bullet"/>
      <w:lvlText w:val="•"/>
      <w:lvlJc w:val="left"/>
      <w:pPr>
        <w:ind w:left="3720" w:hanging="540"/>
      </w:pPr>
      <w:rPr>
        <w:rFonts w:hint="default"/>
      </w:rPr>
    </w:lvl>
    <w:lvl w:ilvl="5">
      <w:numFmt w:val="bullet"/>
      <w:lvlText w:val="•"/>
      <w:lvlJc w:val="left"/>
      <w:pPr>
        <w:ind w:left="4746" w:hanging="540"/>
      </w:pPr>
      <w:rPr>
        <w:rFonts w:hint="default"/>
      </w:rPr>
    </w:lvl>
    <w:lvl w:ilvl="6">
      <w:numFmt w:val="bullet"/>
      <w:lvlText w:val="•"/>
      <w:lvlJc w:val="left"/>
      <w:pPr>
        <w:ind w:left="5773" w:hanging="540"/>
      </w:pPr>
      <w:rPr>
        <w:rFonts w:hint="default"/>
      </w:rPr>
    </w:lvl>
    <w:lvl w:ilvl="7">
      <w:numFmt w:val="bullet"/>
      <w:lvlText w:val="•"/>
      <w:lvlJc w:val="left"/>
      <w:pPr>
        <w:ind w:left="6800" w:hanging="540"/>
      </w:pPr>
      <w:rPr>
        <w:rFonts w:hint="default"/>
      </w:rPr>
    </w:lvl>
    <w:lvl w:ilvl="8">
      <w:numFmt w:val="bullet"/>
      <w:lvlText w:val="•"/>
      <w:lvlJc w:val="left"/>
      <w:pPr>
        <w:ind w:left="7826" w:hanging="540"/>
      </w:pPr>
      <w:rPr>
        <w:rFonts w:hint="default"/>
      </w:rPr>
    </w:lvl>
  </w:abstractNum>
  <w:abstractNum w:abstractNumId="26" w15:restartNumberingAfterBreak="0">
    <w:nsid w:val="70B656CE"/>
    <w:multiLevelType w:val="multilevel"/>
    <w:tmpl w:val="5FE68246"/>
    <w:lvl w:ilvl="0">
      <w:start w:val="3"/>
      <w:numFmt w:val="decimal"/>
      <w:lvlText w:val="%1"/>
      <w:lvlJc w:val="left"/>
      <w:pPr>
        <w:ind w:left="640" w:hanging="540"/>
      </w:pPr>
      <w:rPr>
        <w:rFonts w:hint="default"/>
      </w:rPr>
    </w:lvl>
    <w:lvl w:ilvl="1">
      <w:start w:val="3"/>
      <w:numFmt w:val="decimal"/>
      <w:lvlText w:val="%1.%2"/>
      <w:lvlJc w:val="left"/>
      <w:pPr>
        <w:ind w:left="640" w:hanging="540"/>
      </w:pPr>
      <w:rPr>
        <w:rFonts w:hint="default"/>
      </w:rPr>
    </w:lvl>
    <w:lvl w:ilvl="2">
      <w:start w:val="2"/>
      <w:numFmt w:val="decimal"/>
      <w:lvlText w:val="%1.%2.%3"/>
      <w:lvlJc w:val="left"/>
      <w:pPr>
        <w:ind w:left="640" w:hanging="540"/>
      </w:pPr>
      <w:rPr>
        <w:rFonts w:ascii="Times New Roman" w:eastAsia="Times New Roman" w:hAnsi="Times New Roman" w:cs="Times New Roman" w:hint="default"/>
        <w:b/>
        <w:bCs/>
        <w:spacing w:val="-5"/>
        <w:w w:val="100"/>
        <w:sz w:val="24"/>
        <w:szCs w:val="24"/>
      </w:rPr>
    </w:lvl>
    <w:lvl w:ilvl="3">
      <w:start w:val="1"/>
      <w:numFmt w:val="decimal"/>
      <w:lvlText w:val="%1.%2.%3.%4"/>
      <w:lvlJc w:val="left"/>
      <w:pPr>
        <w:ind w:left="820" w:hanging="720"/>
      </w:pPr>
      <w:rPr>
        <w:rFonts w:ascii="Times New Roman" w:eastAsia="Times New Roman" w:hAnsi="Times New Roman" w:cs="Times New Roman" w:hint="default"/>
        <w:b/>
        <w:bCs/>
        <w:w w:val="100"/>
        <w:sz w:val="24"/>
        <w:szCs w:val="24"/>
      </w:rPr>
    </w:lvl>
    <w:lvl w:ilvl="4">
      <w:numFmt w:val="bullet"/>
      <w:lvlText w:val="•"/>
      <w:lvlJc w:val="left"/>
      <w:pPr>
        <w:ind w:left="3840" w:hanging="720"/>
      </w:pPr>
      <w:rPr>
        <w:rFonts w:hint="default"/>
      </w:rPr>
    </w:lvl>
    <w:lvl w:ilvl="5">
      <w:numFmt w:val="bullet"/>
      <w:lvlText w:val="•"/>
      <w:lvlJc w:val="left"/>
      <w:pPr>
        <w:ind w:left="4846" w:hanging="720"/>
      </w:pPr>
      <w:rPr>
        <w:rFonts w:hint="default"/>
      </w:rPr>
    </w:lvl>
    <w:lvl w:ilvl="6">
      <w:numFmt w:val="bullet"/>
      <w:lvlText w:val="•"/>
      <w:lvlJc w:val="left"/>
      <w:pPr>
        <w:ind w:left="5853" w:hanging="720"/>
      </w:pPr>
      <w:rPr>
        <w:rFonts w:hint="default"/>
      </w:rPr>
    </w:lvl>
    <w:lvl w:ilvl="7">
      <w:numFmt w:val="bullet"/>
      <w:lvlText w:val="•"/>
      <w:lvlJc w:val="left"/>
      <w:pPr>
        <w:ind w:left="6860" w:hanging="720"/>
      </w:pPr>
      <w:rPr>
        <w:rFonts w:hint="default"/>
      </w:rPr>
    </w:lvl>
    <w:lvl w:ilvl="8">
      <w:numFmt w:val="bullet"/>
      <w:lvlText w:val="•"/>
      <w:lvlJc w:val="left"/>
      <w:pPr>
        <w:ind w:left="7866" w:hanging="720"/>
      </w:pPr>
      <w:rPr>
        <w:rFonts w:hint="default"/>
      </w:rPr>
    </w:lvl>
  </w:abstractNum>
  <w:num w:numId="1" w16cid:durableId="286357621">
    <w:abstractNumId w:val="23"/>
  </w:num>
  <w:num w:numId="2" w16cid:durableId="1814325754">
    <w:abstractNumId w:val="25"/>
  </w:num>
  <w:num w:numId="3" w16cid:durableId="1641694052">
    <w:abstractNumId w:val="26"/>
  </w:num>
  <w:num w:numId="4" w16cid:durableId="412581439">
    <w:abstractNumId w:val="3"/>
  </w:num>
  <w:num w:numId="5" w16cid:durableId="58792945">
    <w:abstractNumId w:val="21"/>
  </w:num>
  <w:num w:numId="6" w16cid:durableId="457341923">
    <w:abstractNumId w:val="2"/>
  </w:num>
  <w:num w:numId="7" w16cid:durableId="113326803">
    <w:abstractNumId w:val="17"/>
  </w:num>
  <w:num w:numId="8" w16cid:durableId="1964118793">
    <w:abstractNumId w:val="4"/>
  </w:num>
  <w:num w:numId="9" w16cid:durableId="2090685310">
    <w:abstractNumId w:val="6"/>
  </w:num>
  <w:num w:numId="10" w16cid:durableId="1580292924">
    <w:abstractNumId w:val="5"/>
  </w:num>
  <w:num w:numId="11" w16cid:durableId="1186021547">
    <w:abstractNumId w:val="13"/>
  </w:num>
  <w:num w:numId="12" w16cid:durableId="359824442">
    <w:abstractNumId w:val="12"/>
  </w:num>
  <w:num w:numId="13" w16cid:durableId="67459601">
    <w:abstractNumId w:val="0"/>
  </w:num>
  <w:num w:numId="14" w16cid:durableId="394478351">
    <w:abstractNumId w:val="18"/>
  </w:num>
  <w:num w:numId="15" w16cid:durableId="1499149550">
    <w:abstractNumId w:val="15"/>
  </w:num>
  <w:num w:numId="16" w16cid:durableId="1266645951">
    <w:abstractNumId w:val="19"/>
  </w:num>
  <w:num w:numId="17" w16cid:durableId="379979870">
    <w:abstractNumId w:val="24"/>
  </w:num>
  <w:num w:numId="18" w16cid:durableId="997609173">
    <w:abstractNumId w:val="14"/>
  </w:num>
  <w:num w:numId="19" w16cid:durableId="77019246">
    <w:abstractNumId w:val="20"/>
  </w:num>
  <w:num w:numId="20" w16cid:durableId="452790943">
    <w:abstractNumId w:val="1"/>
  </w:num>
  <w:num w:numId="21" w16cid:durableId="345206884">
    <w:abstractNumId w:val="8"/>
  </w:num>
  <w:num w:numId="22" w16cid:durableId="2103067639">
    <w:abstractNumId w:val="22"/>
  </w:num>
  <w:num w:numId="23" w16cid:durableId="238444330">
    <w:abstractNumId w:val="7"/>
  </w:num>
  <w:num w:numId="24" w16cid:durableId="730036350">
    <w:abstractNumId w:val="9"/>
  </w:num>
  <w:num w:numId="25" w16cid:durableId="1247805842">
    <w:abstractNumId w:val="11"/>
  </w:num>
  <w:num w:numId="26" w16cid:durableId="1771122540">
    <w:abstractNumId w:val="10"/>
  </w:num>
  <w:num w:numId="27" w16cid:durableId="1375731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2E2"/>
    <w:rsid w:val="00023137"/>
    <w:rsid w:val="0002602E"/>
    <w:rsid w:val="0002658C"/>
    <w:rsid w:val="0004155F"/>
    <w:rsid w:val="00047CA6"/>
    <w:rsid w:val="00054C5F"/>
    <w:rsid w:val="00054FB2"/>
    <w:rsid w:val="00055D4F"/>
    <w:rsid w:val="00056A8A"/>
    <w:rsid w:val="00057C72"/>
    <w:rsid w:val="000607D7"/>
    <w:rsid w:val="00060975"/>
    <w:rsid w:val="00080490"/>
    <w:rsid w:val="000828CA"/>
    <w:rsid w:val="000863BB"/>
    <w:rsid w:val="000A27AD"/>
    <w:rsid w:val="000A2CEF"/>
    <w:rsid w:val="000C725E"/>
    <w:rsid w:val="000C7E7B"/>
    <w:rsid w:val="000D698A"/>
    <w:rsid w:val="000E30A6"/>
    <w:rsid w:val="000F11B8"/>
    <w:rsid w:val="000F6780"/>
    <w:rsid w:val="0010673A"/>
    <w:rsid w:val="001266AB"/>
    <w:rsid w:val="00134D01"/>
    <w:rsid w:val="0015132C"/>
    <w:rsid w:val="00153AFB"/>
    <w:rsid w:val="00156FF9"/>
    <w:rsid w:val="001613EE"/>
    <w:rsid w:val="00170DD0"/>
    <w:rsid w:val="00171677"/>
    <w:rsid w:val="00174A31"/>
    <w:rsid w:val="00191040"/>
    <w:rsid w:val="001969B7"/>
    <w:rsid w:val="001A2C7B"/>
    <w:rsid w:val="001A5258"/>
    <w:rsid w:val="001B2499"/>
    <w:rsid w:val="001B76FA"/>
    <w:rsid w:val="001B7D4D"/>
    <w:rsid w:val="001C0EEE"/>
    <w:rsid w:val="001C3084"/>
    <w:rsid w:val="001C3ECA"/>
    <w:rsid w:val="001D3D1D"/>
    <w:rsid w:val="001D3EF6"/>
    <w:rsid w:val="001D7A90"/>
    <w:rsid w:val="001F1900"/>
    <w:rsid w:val="00203799"/>
    <w:rsid w:val="00210717"/>
    <w:rsid w:val="00216511"/>
    <w:rsid w:val="002178A1"/>
    <w:rsid w:val="00217E51"/>
    <w:rsid w:val="00221A31"/>
    <w:rsid w:val="0022276E"/>
    <w:rsid w:val="00227B22"/>
    <w:rsid w:val="00236977"/>
    <w:rsid w:val="00236D51"/>
    <w:rsid w:val="002431AA"/>
    <w:rsid w:val="00250CB4"/>
    <w:rsid w:val="00252490"/>
    <w:rsid w:val="002638FB"/>
    <w:rsid w:val="00266264"/>
    <w:rsid w:val="002679CF"/>
    <w:rsid w:val="00272B5B"/>
    <w:rsid w:val="002807B9"/>
    <w:rsid w:val="00283349"/>
    <w:rsid w:val="00283BD8"/>
    <w:rsid w:val="002917A6"/>
    <w:rsid w:val="002B2394"/>
    <w:rsid w:val="002B4861"/>
    <w:rsid w:val="002C4BC6"/>
    <w:rsid w:val="002D569B"/>
    <w:rsid w:val="002D6450"/>
    <w:rsid w:val="002D6472"/>
    <w:rsid w:val="002E3674"/>
    <w:rsid w:val="002E3AE6"/>
    <w:rsid w:val="002F080C"/>
    <w:rsid w:val="002F7016"/>
    <w:rsid w:val="0031242F"/>
    <w:rsid w:val="00314B3B"/>
    <w:rsid w:val="00325AB5"/>
    <w:rsid w:val="0033140E"/>
    <w:rsid w:val="0034241A"/>
    <w:rsid w:val="00342EC1"/>
    <w:rsid w:val="00345F45"/>
    <w:rsid w:val="00350E8E"/>
    <w:rsid w:val="0035494E"/>
    <w:rsid w:val="00356DE0"/>
    <w:rsid w:val="00364E42"/>
    <w:rsid w:val="0036550D"/>
    <w:rsid w:val="003749B1"/>
    <w:rsid w:val="00385899"/>
    <w:rsid w:val="003909DA"/>
    <w:rsid w:val="00391ED7"/>
    <w:rsid w:val="00396C4C"/>
    <w:rsid w:val="003B2E0B"/>
    <w:rsid w:val="003B3084"/>
    <w:rsid w:val="003B3361"/>
    <w:rsid w:val="003B446C"/>
    <w:rsid w:val="003B4CC1"/>
    <w:rsid w:val="003B7FA4"/>
    <w:rsid w:val="003E7794"/>
    <w:rsid w:val="00403040"/>
    <w:rsid w:val="004034BF"/>
    <w:rsid w:val="00404494"/>
    <w:rsid w:val="004052AC"/>
    <w:rsid w:val="00405A6B"/>
    <w:rsid w:val="004117DB"/>
    <w:rsid w:val="0043469F"/>
    <w:rsid w:val="004400E3"/>
    <w:rsid w:val="00441C1E"/>
    <w:rsid w:val="004420F9"/>
    <w:rsid w:val="00444694"/>
    <w:rsid w:val="00450B34"/>
    <w:rsid w:val="00451D9B"/>
    <w:rsid w:val="00463B45"/>
    <w:rsid w:val="004652FE"/>
    <w:rsid w:val="00470A83"/>
    <w:rsid w:val="00471D9B"/>
    <w:rsid w:val="0047294A"/>
    <w:rsid w:val="004802E2"/>
    <w:rsid w:val="004969BE"/>
    <w:rsid w:val="00497B10"/>
    <w:rsid w:val="004B3902"/>
    <w:rsid w:val="004C0DC7"/>
    <w:rsid w:val="004C52D6"/>
    <w:rsid w:val="004C5851"/>
    <w:rsid w:val="004E6943"/>
    <w:rsid w:val="004F077F"/>
    <w:rsid w:val="004F1B3E"/>
    <w:rsid w:val="00502179"/>
    <w:rsid w:val="00506EDA"/>
    <w:rsid w:val="00515C35"/>
    <w:rsid w:val="00526A2B"/>
    <w:rsid w:val="00541C1C"/>
    <w:rsid w:val="00544538"/>
    <w:rsid w:val="00544E65"/>
    <w:rsid w:val="0054513C"/>
    <w:rsid w:val="00546B60"/>
    <w:rsid w:val="00551B6E"/>
    <w:rsid w:val="0055247A"/>
    <w:rsid w:val="00560CB8"/>
    <w:rsid w:val="00564254"/>
    <w:rsid w:val="0057797F"/>
    <w:rsid w:val="00577A58"/>
    <w:rsid w:val="00580601"/>
    <w:rsid w:val="00590CF6"/>
    <w:rsid w:val="00593A67"/>
    <w:rsid w:val="00594609"/>
    <w:rsid w:val="0059695E"/>
    <w:rsid w:val="005A1414"/>
    <w:rsid w:val="005A67BF"/>
    <w:rsid w:val="005D2ECD"/>
    <w:rsid w:val="005D7E14"/>
    <w:rsid w:val="005E5F3C"/>
    <w:rsid w:val="005F2151"/>
    <w:rsid w:val="006070EC"/>
    <w:rsid w:val="0061470E"/>
    <w:rsid w:val="006156DD"/>
    <w:rsid w:val="00626D12"/>
    <w:rsid w:val="00631008"/>
    <w:rsid w:val="00637341"/>
    <w:rsid w:val="0065034E"/>
    <w:rsid w:val="006549B4"/>
    <w:rsid w:val="0066355F"/>
    <w:rsid w:val="0066660B"/>
    <w:rsid w:val="006766B2"/>
    <w:rsid w:val="006806EE"/>
    <w:rsid w:val="006910D3"/>
    <w:rsid w:val="00694D69"/>
    <w:rsid w:val="006A217E"/>
    <w:rsid w:val="006A28E9"/>
    <w:rsid w:val="006D0DD2"/>
    <w:rsid w:val="006D4A98"/>
    <w:rsid w:val="006D6DB9"/>
    <w:rsid w:val="006D7C24"/>
    <w:rsid w:val="006E1976"/>
    <w:rsid w:val="006E4338"/>
    <w:rsid w:val="006E4ED5"/>
    <w:rsid w:val="006E4F93"/>
    <w:rsid w:val="006E6CBF"/>
    <w:rsid w:val="00702862"/>
    <w:rsid w:val="00706BC8"/>
    <w:rsid w:val="00712D62"/>
    <w:rsid w:val="0071542D"/>
    <w:rsid w:val="007170BA"/>
    <w:rsid w:val="00740B0C"/>
    <w:rsid w:val="00746F2A"/>
    <w:rsid w:val="00746FFE"/>
    <w:rsid w:val="00752AAC"/>
    <w:rsid w:val="0075611C"/>
    <w:rsid w:val="0075771D"/>
    <w:rsid w:val="007621E7"/>
    <w:rsid w:val="00762A75"/>
    <w:rsid w:val="00763737"/>
    <w:rsid w:val="007975AC"/>
    <w:rsid w:val="007B7277"/>
    <w:rsid w:val="007C5607"/>
    <w:rsid w:val="007D0200"/>
    <w:rsid w:val="007D0EC6"/>
    <w:rsid w:val="007D1660"/>
    <w:rsid w:val="007D4018"/>
    <w:rsid w:val="007D4EF7"/>
    <w:rsid w:val="007E3EF4"/>
    <w:rsid w:val="007E697A"/>
    <w:rsid w:val="007E7E4B"/>
    <w:rsid w:val="007F0298"/>
    <w:rsid w:val="007F3978"/>
    <w:rsid w:val="00804895"/>
    <w:rsid w:val="0082456A"/>
    <w:rsid w:val="008326DF"/>
    <w:rsid w:val="00837313"/>
    <w:rsid w:val="008426BA"/>
    <w:rsid w:val="00844D39"/>
    <w:rsid w:val="00846998"/>
    <w:rsid w:val="00846D99"/>
    <w:rsid w:val="008576AE"/>
    <w:rsid w:val="00860B17"/>
    <w:rsid w:val="00862737"/>
    <w:rsid w:val="00865276"/>
    <w:rsid w:val="00881CC0"/>
    <w:rsid w:val="00883DBE"/>
    <w:rsid w:val="00890228"/>
    <w:rsid w:val="00890A62"/>
    <w:rsid w:val="008A77A3"/>
    <w:rsid w:val="008C3281"/>
    <w:rsid w:val="008C4B4F"/>
    <w:rsid w:val="008D0628"/>
    <w:rsid w:val="008D1C3C"/>
    <w:rsid w:val="008E7108"/>
    <w:rsid w:val="008F09CC"/>
    <w:rsid w:val="008F1C6E"/>
    <w:rsid w:val="008F2BCD"/>
    <w:rsid w:val="008F6744"/>
    <w:rsid w:val="008F700E"/>
    <w:rsid w:val="00907243"/>
    <w:rsid w:val="00920B1C"/>
    <w:rsid w:val="00935802"/>
    <w:rsid w:val="009451C9"/>
    <w:rsid w:val="00946EDF"/>
    <w:rsid w:val="00956EEE"/>
    <w:rsid w:val="00957A6A"/>
    <w:rsid w:val="0096080B"/>
    <w:rsid w:val="00962AC4"/>
    <w:rsid w:val="0097298C"/>
    <w:rsid w:val="009759F6"/>
    <w:rsid w:val="00976668"/>
    <w:rsid w:val="009B7BAF"/>
    <w:rsid w:val="009C11BE"/>
    <w:rsid w:val="009D1922"/>
    <w:rsid w:val="009E5E4D"/>
    <w:rsid w:val="009E6776"/>
    <w:rsid w:val="009F3089"/>
    <w:rsid w:val="009F5D46"/>
    <w:rsid w:val="00A0766E"/>
    <w:rsid w:val="00A33504"/>
    <w:rsid w:val="00A3646D"/>
    <w:rsid w:val="00A36B2E"/>
    <w:rsid w:val="00A426E8"/>
    <w:rsid w:val="00A43C69"/>
    <w:rsid w:val="00A454A7"/>
    <w:rsid w:val="00A46619"/>
    <w:rsid w:val="00A6147A"/>
    <w:rsid w:val="00A67027"/>
    <w:rsid w:val="00A74FD5"/>
    <w:rsid w:val="00A85C57"/>
    <w:rsid w:val="00A86602"/>
    <w:rsid w:val="00A92FF4"/>
    <w:rsid w:val="00AA02C3"/>
    <w:rsid w:val="00AB088A"/>
    <w:rsid w:val="00AB46E6"/>
    <w:rsid w:val="00AC23B5"/>
    <w:rsid w:val="00AC6495"/>
    <w:rsid w:val="00AD0895"/>
    <w:rsid w:val="00AD2045"/>
    <w:rsid w:val="00AE76A2"/>
    <w:rsid w:val="00AF0517"/>
    <w:rsid w:val="00AF1131"/>
    <w:rsid w:val="00B11131"/>
    <w:rsid w:val="00B14AC8"/>
    <w:rsid w:val="00B20A42"/>
    <w:rsid w:val="00B46ED9"/>
    <w:rsid w:val="00B47F1A"/>
    <w:rsid w:val="00B52AEA"/>
    <w:rsid w:val="00B672D1"/>
    <w:rsid w:val="00B72108"/>
    <w:rsid w:val="00B742E5"/>
    <w:rsid w:val="00B807F0"/>
    <w:rsid w:val="00B813EB"/>
    <w:rsid w:val="00B93A96"/>
    <w:rsid w:val="00B93BC3"/>
    <w:rsid w:val="00B960A8"/>
    <w:rsid w:val="00BA3841"/>
    <w:rsid w:val="00BA7963"/>
    <w:rsid w:val="00BB0200"/>
    <w:rsid w:val="00BC192C"/>
    <w:rsid w:val="00BC55F4"/>
    <w:rsid w:val="00BD39A8"/>
    <w:rsid w:val="00BD4159"/>
    <w:rsid w:val="00BD53D2"/>
    <w:rsid w:val="00BD6DA3"/>
    <w:rsid w:val="00BE3500"/>
    <w:rsid w:val="00BF006C"/>
    <w:rsid w:val="00BF1E96"/>
    <w:rsid w:val="00BF3D82"/>
    <w:rsid w:val="00BF4176"/>
    <w:rsid w:val="00BF4C36"/>
    <w:rsid w:val="00BF4D64"/>
    <w:rsid w:val="00C00F53"/>
    <w:rsid w:val="00C0156E"/>
    <w:rsid w:val="00C132A7"/>
    <w:rsid w:val="00C13D1C"/>
    <w:rsid w:val="00C21D2B"/>
    <w:rsid w:val="00C231D6"/>
    <w:rsid w:val="00C446E8"/>
    <w:rsid w:val="00C61F1D"/>
    <w:rsid w:val="00C62D5B"/>
    <w:rsid w:val="00C6534F"/>
    <w:rsid w:val="00C673D9"/>
    <w:rsid w:val="00C72174"/>
    <w:rsid w:val="00C7425D"/>
    <w:rsid w:val="00C74D61"/>
    <w:rsid w:val="00C757CB"/>
    <w:rsid w:val="00C83491"/>
    <w:rsid w:val="00C852BD"/>
    <w:rsid w:val="00CB2503"/>
    <w:rsid w:val="00CC50E5"/>
    <w:rsid w:val="00CC66A9"/>
    <w:rsid w:val="00CD5F07"/>
    <w:rsid w:val="00CE0D6C"/>
    <w:rsid w:val="00CE679D"/>
    <w:rsid w:val="00CE759A"/>
    <w:rsid w:val="00CF44F7"/>
    <w:rsid w:val="00CF7ED7"/>
    <w:rsid w:val="00D1268D"/>
    <w:rsid w:val="00D26529"/>
    <w:rsid w:val="00D30E72"/>
    <w:rsid w:val="00D37D4B"/>
    <w:rsid w:val="00D4230C"/>
    <w:rsid w:val="00D42C88"/>
    <w:rsid w:val="00D54C72"/>
    <w:rsid w:val="00D708A5"/>
    <w:rsid w:val="00D725A2"/>
    <w:rsid w:val="00D82085"/>
    <w:rsid w:val="00D827B6"/>
    <w:rsid w:val="00D827EC"/>
    <w:rsid w:val="00D91339"/>
    <w:rsid w:val="00DA158A"/>
    <w:rsid w:val="00DA5D88"/>
    <w:rsid w:val="00DB1E97"/>
    <w:rsid w:val="00DB6F55"/>
    <w:rsid w:val="00DC077C"/>
    <w:rsid w:val="00DC5552"/>
    <w:rsid w:val="00DD3E20"/>
    <w:rsid w:val="00DE5E6D"/>
    <w:rsid w:val="00DE6383"/>
    <w:rsid w:val="00DF1039"/>
    <w:rsid w:val="00DF7E5E"/>
    <w:rsid w:val="00E01A7D"/>
    <w:rsid w:val="00E103D8"/>
    <w:rsid w:val="00E2039E"/>
    <w:rsid w:val="00E21AFC"/>
    <w:rsid w:val="00E25854"/>
    <w:rsid w:val="00E31501"/>
    <w:rsid w:val="00E33C2D"/>
    <w:rsid w:val="00E35E7F"/>
    <w:rsid w:val="00E426D4"/>
    <w:rsid w:val="00E63D3D"/>
    <w:rsid w:val="00E71C33"/>
    <w:rsid w:val="00E877C3"/>
    <w:rsid w:val="00E97593"/>
    <w:rsid w:val="00E97946"/>
    <w:rsid w:val="00EA0254"/>
    <w:rsid w:val="00EA1018"/>
    <w:rsid w:val="00EA4329"/>
    <w:rsid w:val="00EC2108"/>
    <w:rsid w:val="00EE10BE"/>
    <w:rsid w:val="00EE2041"/>
    <w:rsid w:val="00EE7B94"/>
    <w:rsid w:val="00F132FA"/>
    <w:rsid w:val="00F146BF"/>
    <w:rsid w:val="00F15AE2"/>
    <w:rsid w:val="00F33262"/>
    <w:rsid w:val="00F34BBB"/>
    <w:rsid w:val="00F35AB1"/>
    <w:rsid w:val="00F45B1F"/>
    <w:rsid w:val="00F6022A"/>
    <w:rsid w:val="00F64305"/>
    <w:rsid w:val="00F758BA"/>
    <w:rsid w:val="00F87605"/>
    <w:rsid w:val="00FB12A7"/>
    <w:rsid w:val="00FB53D9"/>
    <w:rsid w:val="00FD3821"/>
    <w:rsid w:val="00FE22BB"/>
    <w:rsid w:val="00FF172C"/>
    <w:rsid w:val="00FF2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4692E"/>
  <w15:chartTrackingRefBased/>
  <w15:docId w15:val="{D4B4E7CF-BC84-D149-B170-C85F8630E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Body CS)"/>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link w:val="Heading1Char"/>
    <w:uiPriority w:val="9"/>
    <w:qFormat/>
    <w:rsid w:val="008F09CC"/>
    <w:pPr>
      <w:ind w:left="419" w:hanging="319"/>
      <w:outlineLvl w:val="0"/>
    </w:pPr>
    <w:rPr>
      <w:rFonts w:eastAsia="Times New Roman" w:cs="Times New Roman"/>
      <w:b/>
      <w:bCs/>
      <w:sz w:val="32"/>
      <w:szCs w:val="32"/>
      <w:lang w:val="en-US"/>
    </w:rPr>
  </w:style>
  <w:style w:type="paragraph" w:styleId="Heading2">
    <w:name w:val="heading 2"/>
    <w:basedOn w:val="Normal"/>
    <w:link w:val="Heading2Char"/>
    <w:uiPriority w:val="1"/>
    <w:qFormat/>
    <w:rsid w:val="005A1414"/>
    <w:pPr>
      <w:ind w:left="640" w:hanging="540"/>
      <w:outlineLvl w:val="1"/>
    </w:pPr>
    <w:rPr>
      <w:rFonts w:eastAsia="Times New Roman" w:cs="Times New Roman"/>
      <w:b/>
      <w:bCs/>
      <w:lang w:val="en-US"/>
    </w:rPr>
  </w:style>
  <w:style w:type="paragraph" w:styleId="Heading3">
    <w:name w:val="heading 3"/>
    <w:basedOn w:val="Normal"/>
    <w:next w:val="Normal"/>
    <w:link w:val="Heading3Char"/>
    <w:uiPriority w:val="9"/>
    <w:semiHidden/>
    <w:unhideWhenUsed/>
    <w:qFormat/>
    <w:rsid w:val="008F09CC"/>
    <w:pPr>
      <w:keepNext/>
      <w:keepLines/>
      <w:spacing w:before="40"/>
      <w:outlineLvl w:val="2"/>
    </w:pPr>
    <w:rPr>
      <w:rFonts w:ascii="Calibri Light" w:eastAsia="Times New Roman" w:hAnsi="Calibri Light" w:cs="Times New Roman"/>
      <w:color w:val="1F376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5A1414"/>
    <w:rPr>
      <w:rFonts w:eastAsia="Times New Roman" w:cs="Times New Roman"/>
      <w:b/>
      <w:bCs/>
    </w:rPr>
  </w:style>
  <w:style w:type="paragraph" w:styleId="BodyText">
    <w:name w:val="Body Text"/>
    <w:basedOn w:val="Normal"/>
    <w:link w:val="BodyTextChar"/>
    <w:uiPriority w:val="1"/>
    <w:qFormat/>
    <w:rsid w:val="008F09CC"/>
    <w:rPr>
      <w:rFonts w:eastAsia="Times New Roman" w:cs="Times New Roman"/>
      <w:lang w:val="en-US"/>
    </w:rPr>
  </w:style>
  <w:style w:type="character" w:customStyle="1" w:styleId="BodyTextChar">
    <w:name w:val="Body Text Char"/>
    <w:link w:val="BodyText"/>
    <w:uiPriority w:val="1"/>
    <w:rsid w:val="008F09CC"/>
    <w:rPr>
      <w:rFonts w:eastAsia="Times New Roman" w:cs="Times New Roman"/>
    </w:rPr>
  </w:style>
  <w:style w:type="character" w:customStyle="1" w:styleId="Heading1Char">
    <w:name w:val="Heading 1 Char"/>
    <w:link w:val="Heading1"/>
    <w:uiPriority w:val="9"/>
    <w:rsid w:val="008F09CC"/>
    <w:rPr>
      <w:rFonts w:eastAsia="Times New Roman" w:cs="Times New Roman"/>
      <w:b/>
      <w:bCs/>
      <w:sz w:val="32"/>
      <w:szCs w:val="32"/>
    </w:rPr>
  </w:style>
  <w:style w:type="character" w:customStyle="1" w:styleId="Heading3Char">
    <w:name w:val="Heading 3 Char"/>
    <w:link w:val="Heading3"/>
    <w:uiPriority w:val="9"/>
    <w:semiHidden/>
    <w:rsid w:val="008F09CC"/>
    <w:rPr>
      <w:rFonts w:ascii="Calibri Light" w:eastAsia="Times New Roman" w:hAnsi="Calibri Light" w:cs="Times New Roman"/>
      <w:color w:val="1F3763"/>
    </w:rPr>
  </w:style>
  <w:style w:type="paragraph" w:styleId="TOC1">
    <w:name w:val="toc 1"/>
    <w:basedOn w:val="Normal"/>
    <w:uiPriority w:val="39"/>
    <w:qFormat/>
    <w:rsid w:val="008F09CC"/>
    <w:pPr>
      <w:spacing w:before="120"/>
    </w:pPr>
    <w:rPr>
      <w:rFonts w:ascii="Calibri" w:eastAsia="Times New Roman" w:hAnsi="Calibri" w:cs="Calibri"/>
      <w:b/>
      <w:bCs/>
      <w:i/>
      <w:iCs/>
      <w:lang w:val="en-US"/>
    </w:rPr>
  </w:style>
  <w:style w:type="paragraph" w:styleId="TOC2">
    <w:name w:val="toc 2"/>
    <w:basedOn w:val="Normal"/>
    <w:uiPriority w:val="39"/>
    <w:qFormat/>
    <w:rsid w:val="008F09CC"/>
    <w:pPr>
      <w:spacing w:before="120"/>
      <w:ind w:left="220"/>
    </w:pPr>
    <w:rPr>
      <w:rFonts w:ascii="Calibri" w:eastAsia="Times New Roman" w:hAnsi="Calibri" w:cs="Calibri"/>
      <w:b/>
      <w:bCs/>
      <w:lang w:val="en-US"/>
    </w:rPr>
  </w:style>
  <w:style w:type="paragraph" w:styleId="TOC3">
    <w:name w:val="toc 3"/>
    <w:basedOn w:val="Normal"/>
    <w:uiPriority w:val="1"/>
    <w:qFormat/>
    <w:rsid w:val="008F09CC"/>
    <w:pPr>
      <w:ind w:left="440"/>
    </w:pPr>
    <w:rPr>
      <w:rFonts w:ascii="Calibri" w:eastAsia="Times New Roman" w:hAnsi="Calibri" w:cs="Calibri"/>
      <w:sz w:val="20"/>
      <w:szCs w:val="20"/>
      <w:lang w:val="en-US"/>
    </w:rPr>
  </w:style>
  <w:style w:type="paragraph" w:styleId="TOC4">
    <w:name w:val="toc 4"/>
    <w:basedOn w:val="Normal"/>
    <w:uiPriority w:val="1"/>
    <w:qFormat/>
    <w:rsid w:val="008F09CC"/>
    <w:pPr>
      <w:ind w:left="660"/>
    </w:pPr>
    <w:rPr>
      <w:rFonts w:ascii="Calibri" w:eastAsia="Times New Roman" w:hAnsi="Calibri" w:cs="Calibri"/>
      <w:sz w:val="20"/>
      <w:szCs w:val="20"/>
      <w:lang w:val="en-US"/>
    </w:rPr>
  </w:style>
  <w:style w:type="paragraph" w:styleId="TOC5">
    <w:name w:val="toc 5"/>
    <w:basedOn w:val="Normal"/>
    <w:uiPriority w:val="1"/>
    <w:qFormat/>
    <w:rsid w:val="008F09CC"/>
    <w:pPr>
      <w:ind w:left="880"/>
    </w:pPr>
    <w:rPr>
      <w:rFonts w:ascii="Calibri" w:eastAsia="Times New Roman" w:hAnsi="Calibri" w:cs="Calibri"/>
      <w:sz w:val="20"/>
      <w:szCs w:val="20"/>
      <w:lang w:val="en-US"/>
    </w:rPr>
  </w:style>
  <w:style w:type="paragraph" w:styleId="TOC6">
    <w:name w:val="toc 6"/>
    <w:basedOn w:val="Normal"/>
    <w:uiPriority w:val="1"/>
    <w:qFormat/>
    <w:rsid w:val="008F09CC"/>
    <w:pPr>
      <w:ind w:left="1100"/>
    </w:pPr>
    <w:rPr>
      <w:rFonts w:ascii="Calibri" w:eastAsia="Times New Roman" w:hAnsi="Calibri" w:cs="Calibri"/>
      <w:sz w:val="20"/>
      <w:szCs w:val="20"/>
      <w:lang w:val="en-US"/>
    </w:rPr>
  </w:style>
  <w:style w:type="paragraph" w:styleId="TOC7">
    <w:name w:val="toc 7"/>
    <w:basedOn w:val="Normal"/>
    <w:uiPriority w:val="1"/>
    <w:qFormat/>
    <w:rsid w:val="008F09CC"/>
    <w:pPr>
      <w:ind w:left="1320"/>
    </w:pPr>
    <w:rPr>
      <w:rFonts w:ascii="Calibri" w:eastAsia="Times New Roman" w:hAnsi="Calibri" w:cs="Calibri"/>
      <w:sz w:val="20"/>
      <w:szCs w:val="20"/>
      <w:lang w:val="en-US"/>
    </w:rPr>
  </w:style>
  <w:style w:type="paragraph" w:styleId="TOC8">
    <w:name w:val="toc 8"/>
    <w:basedOn w:val="Normal"/>
    <w:uiPriority w:val="1"/>
    <w:qFormat/>
    <w:rsid w:val="008F09CC"/>
    <w:pPr>
      <w:ind w:left="1540"/>
    </w:pPr>
    <w:rPr>
      <w:rFonts w:ascii="Calibri" w:eastAsia="Times New Roman" w:hAnsi="Calibri" w:cs="Calibri"/>
      <w:sz w:val="20"/>
      <w:szCs w:val="20"/>
      <w:lang w:val="en-US"/>
    </w:rPr>
  </w:style>
  <w:style w:type="paragraph" w:styleId="ListParagraph">
    <w:name w:val="List Paragraph"/>
    <w:basedOn w:val="Normal"/>
    <w:uiPriority w:val="34"/>
    <w:qFormat/>
    <w:rsid w:val="008F09CC"/>
    <w:pPr>
      <w:spacing w:before="54"/>
      <w:ind w:left="640" w:hanging="540"/>
    </w:pPr>
    <w:rPr>
      <w:rFonts w:eastAsia="Times New Roman" w:cs="Times New Roman"/>
      <w:lang w:val="en-US"/>
    </w:rPr>
  </w:style>
  <w:style w:type="paragraph" w:customStyle="1" w:styleId="TableParagraph">
    <w:name w:val="Table Paragraph"/>
    <w:basedOn w:val="Normal"/>
    <w:uiPriority w:val="1"/>
    <w:qFormat/>
    <w:rsid w:val="008F09CC"/>
    <w:rPr>
      <w:rFonts w:eastAsia="Times New Roman" w:cs="Times New Roman"/>
      <w:lang w:val="en-US"/>
    </w:rPr>
  </w:style>
  <w:style w:type="paragraph" w:styleId="BalloonText">
    <w:name w:val="Balloon Text"/>
    <w:basedOn w:val="Normal"/>
    <w:link w:val="BalloonTextChar"/>
    <w:uiPriority w:val="99"/>
    <w:semiHidden/>
    <w:unhideWhenUsed/>
    <w:rsid w:val="008F09CC"/>
    <w:rPr>
      <w:rFonts w:eastAsia="Times New Roman" w:cs="Times New Roman"/>
      <w:sz w:val="18"/>
      <w:szCs w:val="18"/>
      <w:lang w:val="en-US"/>
    </w:rPr>
  </w:style>
  <w:style w:type="character" w:customStyle="1" w:styleId="BalloonTextChar">
    <w:name w:val="Balloon Text Char"/>
    <w:link w:val="BalloonText"/>
    <w:uiPriority w:val="99"/>
    <w:semiHidden/>
    <w:rsid w:val="008F09CC"/>
    <w:rPr>
      <w:rFonts w:eastAsia="Times New Roman" w:cs="Times New Roman"/>
      <w:sz w:val="18"/>
      <w:szCs w:val="18"/>
    </w:rPr>
  </w:style>
  <w:style w:type="character" w:styleId="Hyperlink">
    <w:name w:val="Hyperlink"/>
    <w:uiPriority w:val="99"/>
    <w:unhideWhenUsed/>
    <w:rsid w:val="008F09CC"/>
    <w:rPr>
      <w:color w:val="0000FF"/>
      <w:u w:val="single"/>
    </w:rPr>
  </w:style>
  <w:style w:type="character" w:customStyle="1" w:styleId="title-text">
    <w:name w:val="title-text"/>
    <w:basedOn w:val="DefaultParagraphFont"/>
    <w:rsid w:val="008F09CC"/>
  </w:style>
  <w:style w:type="character" w:customStyle="1" w:styleId="sr-only">
    <w:name w:val="sr-only"/>
    <w:basedOn w:val="DefaultParagraphFont"/>
    <w:rsid w:val="008F09CC"/>
  </w:style>
  <w:style w:type="character" w:customStyle="1" w:styleId="text">
    <w:name w:val="text"/>
    <w:basedOn w:val="DefaultParagraphFont"/>
    <w:rsid w:val="008F09CC"/>
  </w:style>
  <w:style w:type="character" w:customStyle="1" w:styleId="author-ref">
    <w:name w:val="author-ref"/>
    <w:basedOn w:val="DefaultParagraphFont"/>
    <w:rsid w:val="008F09CC"/>
  </w:style>
  <w:style w:type="character" w:styleId="FollowedHyperlink">
    <w:name w:val="FollowedHyperlink"/>
    <w:uiPriority w:val="99"/>
    <w:semiHidden/>
    <w:unhideWhenUsed/>
    <w:rsid w:val="008F09CC"/>
    <w:rPr>
      <w:color w:val="954F72"/>
      <w:u w:val="single"/>
    </w:rPr>
  </w:style>
  <w:style w:type="paragraph" w:styleId="TOCHeading">
    <w:name w:val="TOC Heading"/>
    <w:basedOn w:val="Heading1"/>
    <w:next w:val="Normal"/>
    <w:uiPriority w:val="39"/>
    <w:unhideWhenUsed/>
    <w:qFormat/>
    <w:rsid w:val="008F09CC"/>
    <w:pPr>
      <w:keepNext/>
      <w:keepLines/>
      <w:spacing w:before="480" w:line="276" w:lineRule="auto"/>
      <w:ind w:left="0" w:firstLine="0"/>
      <w:outlineLvl w:val="9"/>
    </w:pPr>
    <w:rPr>
      <w:rFonts w:ascii="Calibri Light" w:hAnsi="Calibri Light"/>
      <w:color w:val="2F5496"/>
      <w:sz w:val="28"/>
      <w:szCs w:val="28"/>
    </w:rPr>
  </w:style>
  <w:style w:type="paragraph" w:styleId="TOC9">
    <w:name w:val="toc 9"/>
    <w:basedOn w:val="Normal"/>
    <w:next w:val="Normal"/>
    <w:autoRedefine/>
    <w:uiPriority w:val="39"/>
    <w:semiHidden/>
    <w:unhideWhenUsed/>
    <w:rsid w:val="008F09CC"/>
    <w:pPr>
      <w:ind w:left="1760"/>
    </w:pPr>
    <w:rPr>
      <w:rFonts w:ascii="Calibri" w:eastAsia="Times New Roman" w:hAnsi="Calibri" w:cs="Calibri"/>
      <w:sz w:val="20"/>
      <w:szCs w:val="20"/>
      <w:lang w:val="en-US"/>
    </w:rPr>
  </w:style>
  <w:style w:type="paragraph" w:styleId="NormalWeb">
    <w:name w:val="Normal (Web)"/>
    <w:basedOn w:val="Normal"/>
    <w:uiPriority w:val="99"/>
    <w:unhideWhenUsed/>
    <w:rsid w:val="008F09CC"/>
    <w:pPr>
      <w:spacing w:before="100" w:beforeAutospacing="1" w:after="100" w:afterAutospacing="1"/>
    </w:pPr>
    <w:rPr>
      <w:rFonts w:eastAsia="Times New Roman" w:cs="Times New Roman"/>
      <w:lang w:val="en-US"/>
    </w:rPr>
  </w:style>
  <w:style w:type="character" w:customStyle="1" w:styleId="apple-tab-span">
    <w:name w:val="apple-tab-span"/>
    <w:basedOn w:val="DefaultParagraphFont"/>
    <w:rsid w:val="008F09CC"/>
  </w:style>
  <w:style w:type="character" w:customStyle="1" w:styleId="cit">
    <w:name w:val="cit"/>
    <w:basedOn w:val="DefaultParagraphFont"/>
    <w:rsid w:val="008F09CC"/>
  </w:style>
  <w:style w:type="character" w:customStyle="1" w:styleId="fm-citation-ids-label">
    <w:name w:val="fm-citation-ids-label"/>
    <w:basedOn w:val="DefaultParagraphFont"/>
    <w:rsid w:val="008F09CC"/>
  </w:style>
  <w:style w:type="character" w:customStyle="1" w:styleId="fm-vol-iss-date">
    <w:name w:val="fm-vol-iss-date"/>
    <w:basedOn w:val="DefaultParagraphFont"/>
    <w:rsid w:val="008F09CC"/>
  </w:style>
  <w:style w:type="character" w:customStyle="1" w:styleId="doi">
    <w:name w:val="doi"/>
    <w:basedOn w:val="DefaultParagraphFont"/>
    <w:rsid w:val="008F09CC"/>
  </w:style>
  <w:style w:type="character" w:customStyle="1" w:styleId="highlight">
    <w:name w:val="highlight"/>
    <w:basedOn w:val="DefaultParagraphFont"/>
    <w:rsid w:val="008F09CC"/>
  </w:style>
  <w:style w:type="paragraph" w:styleId="Header">
    <w:name w:val="header"/>
    <w:basedOn w:val="Normal"/>
    <w:link w:val="HeaderChar"/>
    <w:uiPriority w:val="99"/>
    <w:unhideWhenUsed/>
    <w:rsid w:val="008F09CC"/>
    <w:pPr>
      <w:tabs>
        <w:tab w:val="center" w:pos="4680"/>
        <w:tab w:val="right" w:pos="9360"/>
      </w:tabs>
    </w:pPr>
    <w:rPr>
      <w:rFonts w:eastAsia="Times New Roman" w:cs="Times New Roman"/>
      <w:lang w:val="en-US"/>
    </w:rPr>
  </w:style>
  <w:style w:type="character" w:customStyle="1" w:styleId="HeaderChar">
    <w:name w:val="Header Char"/>
    <w:link w:val="Header"/>
    <w:uiPriority w:val="99"/>
    <w:rsid w:val="008F09CC"/>
    <w:rPr>
      <w:rFonts w:eastAsia="Times New Roman" w:cs="Times New Roman"/>
    </w:rPr>
  </w:style>
  <w:style w:type="paragraph" w:styleId="Footer">
    <w:name w:val="footer"/>
    <w:basedOn w:val="Normal"/>
    <w:link w:val="FooterChar"/>
    <w:uiPriority w:val="99"/>
    <w:unhideWhenUsed/>
    <w:rsid w:val="008F09CC"/>
    <w:pPr>
      <w:tabs>
        <w:tab w:val="center" w:pos="4680"/>
        <w:tab w:val="right" w:pos="9360"/>
      </w:tabs>
    </w:pPr>
    <w:rPr>
      <w:rFonts w:eastAsia="Times New Roman" w:cs="Times New Roman"/>
      <w:lang w:val="en-US"/>
    </w:rPr>
  </w:style>
  <w:style w:type="character" w:customStyle="1" w:styleId="FooterChar">
    <w:name w:val="Footer Char"/>
    <w:link w:val="Footer"/>
    <w:uiPriority w:val="99"/>
    <w:rsid w:val="008F09CC"/>
    <w:rPr>
      <w:rFonts w:eastAsia="Times New Roman" w:cs="Times New Roman"/>
    </w:rPr>
  </w:style>
  <w:style w:type="character" w:styleId="CommentReference">
    <w:name w:val="annotation reference"/>
    <w:uiPriority w:val="99"/>
    <w:semiHidden/>
    <w:unhideWhenUsed/>
    <w:rsid w:val="008F09CC"/>
    <w:rPr>
      <w:sz w:val="16"/>
      <w:szCs w:val="16"/>
    </w:rPr>
  </w:style>
  <w:style w:type="paragraph" w:styleId="CommentText">
    <w:name w:val="annotation text"/>
    <w:basedOn w:val="Normal"/>
    <w:link w:val="CommentTextChar"/>
    <w:uiPriority w:val="99"/>
    <w:semiHidden/>
    <w:unhideWhenUsed/>
    <w:rsid w:val="008F09CC"/>
    <w:rPr>
      <w:rFonts w:eastAsia="Times New Roman" w:cs="Times New Roman"/>
      <w:sz w:val="20"/>
      <w:szCs w:val="20"/>
      <w:lang w:val="en-US"/>
    </w:rPr>
  </w:style>
  <w:style w:type="character" w:customStyle="1" w:styleId="CommentTextChar">
    <w:name w:val="Comment Text Char"/>
    <w:link w:val="CommentText"/>
    <w:uiPriority w:val="99"/>
    <w:semiHidden/>
    <w:rsid w:val="008F09C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09CC"/>
    <w:rPr>
      <w:b/>
      <w:bCs/>
    </w:rPr>
  </w:style>
  <w:style w:type="character" w:customStyle="1" w:styleId="CommentSubjectChar">
    <w:name w:val="Comment Subject Char"/>
    <w:link w:val="CommentSubject"/>
    <w:uiPriority w:val="99"/>
    <w:semiHidden/>
    <w:rsid w:val="008F09CC"/>
    <w:rPr>
      <w:rFonts w:eastAsia="Times New Roman" w:cs="Times New Roman"/>
      <w:b/>
      <w:bCs/>
      <w:sz w:val="20"/>
      <w:szCs w:val="20"/>
    </w:rPr>
  </w:style>
  <w:style w:type="table" w:styleId="TableGrid">
    <w:name w:val="Table Grid"/>
    <w:basedOn w:val="TableNormal"/>
    <w:uiPriority w:val="39"/>
    <w:rsid w:val="008F09CC"/>
    <w:pPr>
      <w:widowControl w:val="0"/>
      <w:autoSpaceDE w:val="0"/>
      <w:autoSpaceDN w:val="0"/>
    </w:pPr>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F09CC"/>
    <w:rPr>
      <w:i/>
      <w:iCs/>
    </w:rPr>
  </w:style>
  <w:style w:type="character" w:styleId="PageNumber">
    <w:name w:val="page number"/>
    <w:basedOn w:val="DefaultParagraphFont"/>
    <w:uiPriority w:val="99"/>
    <w:semiHidden/>
    <w:unhideWhenUsed/>
    <w:rsid w:val="008F09CC"/>
  </w:style>
  <w:style w:type="paragraph" w:styleId="Revision">
    <w:name w:val="Revision"/>
    <w:hidden/>
    <w:uiPriority w:val="99"/>
    <w:semiHidden/>
    <w:rsid w:val="008F09CC"/>
    <w:rPr>
      <w:rFonts w:eastAsia="Times New Roman" w:cs="Times New Roman"/>
      <w:sz w:val="24"/>
      <w:szCs w:val="24"/>
      <w:lang w:val="en-US" w:eastAsia="en-US"/>
    </w:rPr>
  </w:style>
  <w:style w:type="character" w:customStyle="1" w:styleId="size-m">
    <w:name w:val="size-m"/>
    <w:basedOn w:val="DefaultParagraphFont"/>
    <w:rsid w:val="008F09CC"/>
  </w:style>
  <w:style w:type="paragraph" w:customStyle="1" w:styleId="CamCogMainlettertext">
    <w:name w:val="CamCog Main letter text"/>
    <w:basedOn w:val="Normal"/>
    <w:qFormat/>
    <w:rsid w:val="008F09CC"/>
    <w:pPr>
      <w:spacing w:line="250" w:lineRule="exact"/>
    </w:pPr>
    <w:rPr>
      <w:rFonts w:ascii="Verdana" w:eastAsia="Times New Roman" w:hAnsi="Verdana" w:cs="Times New Roman"/>
      <w:sz w:val="18"/>
      <w:lang w:val="en-US"/>
    </w:rPr>
  </w:style>
  <w:style w:type="character" w:styleId="UnresolvedMention">
    <w:name w:val="Unresolved Mention"/>
    <w:uiPriority w:val="99"/>
    <w:semiHidden/>
    <w:unhideWhenUsed/>
    <w:rsid w:val="008F09CC"/>
    <w:rPr>
      <w:color w:val="605E5C"/>
      <w:shd w:val="clear" w:color="auto" w:fill="E1DFDD"/>
    </w:rPr>
  </w:style>
  <w:style w:type="character" w:styleId="Strong">
    <w:name w:val="Strong"/>
    <w:uiPriority w:val="22"/>
    <w:qFormat/>
    <w:rsid w:val="008F09CC"/>
    <w:rPr>
      <w:b/>
      <w:bCs/>
    </w:rPr>
  </w:style>
  <w:style w:type="paragraph" w:customStyle="1" w:styleId="Authornames">
    <w:name w:val="Author names"/>
    <w:basedOn w:val="Normal"/>
    <w:next w:val="Normal"/>
    <w:qFormat/>
    <w:rsid w:val="008F09CC"/>
    <w:pPr>
      <w:spacing w:before="240" w:line="360" w:lineRule="auto"/>
    </w:pPr>
    <w:rPr>
      <w:rFonts w:eastAsia="Times New Roman" w:cs="Times New Roman"/>
      <w:sz w:val="28"/>
      <w:lang w:val="en-US" w:eastAsia="en-GB"/>
    </w:rPr>
  </w:style>
  <w:style w:type="paragraph" w:customStyle="1" w:styleId="Correspondencedetails">
    <w:name w:val="Correspondence details"/>
    <w:basedOn w:val="Normal"/>
    <w:qFormat/>
    <w:rsid w:val="008F09CC"/>
    <w:pPr>
      <w:spacing w:before="240" w:line="360" w:lineRule="auto"/>
    </w:pPr>
    <w:rPr>
      <w:rFonts w:eastAsia="Times New Roman" w:cs="Times New Roman"/>
      <w:lang w:val="en-US" w:eastAsia="en-GB"/>
    </w:rPr>
  </w:style>
  <w:style w:type="character" w:customStyle="1" w:styleId="gd">
    <w:name w:val="gd"/>
    <w:basedOn w:val="DefaultParagraphFont"/>
    <w:rsid w:val="008F0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55643">
      <w:bodyDiv w:val="1"/>
      <w:marLeft w:val="0"/>
      <w:marRight w:val="0"/>
      <w:marTop w:val="0"/>
      <w:marBottom w:val="0"/>
      <w:divBdr>
        <w:top w:val="none" w:sz="0" w:space="0" w:color="auto"/>
        <w:left w:val="none" w:sz="0" w:space="0" w:color="auto"/>
        <w:bottom w:val="none" w:sz="0" w:space="0" w:color="auto"/>
        <w:right w:val="none" w:sz="0" w:space="0" w:color="auto"/>
      </w:divBdr>
    </w:div>
    <w:div w:id="327902636">
      <w:bodyDiv w:val="1"/>
      <w:marLeft w:val="0"/>
      <w:marRight w:val="0"/>
      <w:marTop w:val="0"/>
      <w:marBottom w:val="0"/>
      <w:divBdr>
        <w:top w:val="none" w:sz="0" w:space="0" w:color="auto"/>
        <w:left w:val="none" w:sz="0" w:space="0" w:color="auto"/>
        <w:bottom w:val="none" w:sz="0" w:space="0" w:color="auto"/>
        <w:right w:val="none" w:sz="0" w:space="0" w:color="auto"/>
      </w:divBdr>
    </w:div>
    <w:div w:id="357199166">
      <w:bodyDiv w:val="1"/>
      <w:marLeft w:val="0"/>
      <w:marRight w:val="0"/>
      <w:marTop w:val="0"/>
      <w:marBottom w:val="0"/>
      <w:divBdr>
        <w:top w:val="none" w:sz="0" w:space="0" w:color="auto"/>
        <w:left w:val="none" w:sz="0" w:space="0" w:color="auto"/>
        <w:bottom w:val="none" w:sz="0" w:space="0" w:color="auto"/>
        <w:right w:val="none" w:sz="0" w:space="0" w:color="auto"/>
      </w:divBdr>
    </w:div>
    <w:div w:id="381711284">
      <w:bodyDiv w:val="1"/>
      <w:marLeft w:val="0"/>
      <w:marRight w:val="0"/>
      <w:marTop w:val="0"/>
      <w:marBottom w:val="0"/>
      <w:divBdr>
        <w:top w:val="none" w:sz="0" w:space="0" w:color="auto"/>
        <w:left w:val="none" w:sz="0" w:space="0" w:color="auto"/>
        <w:bottom w:val="none" w:sz="0" w:space="0" w:color="auto"/>
        <w:right w:val="none" w:sz="0" w:space="0" w:color="auto"/>
      </w:divBdr>
    </w:div>
    <w:div w:id="413433154">
      <w:bodyDiv w:val="1"/>
      <w:marLeft w:val="0"/>
      <w:marRight w:val="0"/>
      <w:marTop w:val="0"/>
      <w:marBottom w:val="0"/>
      <w:divBdr>
        <w:top w:val="none" w:sz="0" w:space="0" w:color="auto"/>
        <w:left w:val="none" w:sz="0" w:space="0" w:color="auto"/>
        <w:bottom w:val="none" w:sz="0" w:space="0" w:color="auto"/>
        <w:right w:val="none" w:sz="0" w:space="0" w:color="auto"/>
      </w:divBdr>
    </w:div>
    <w:div w:id="450442011">
      <w:bodyDiv w:val="1"/>
      <w:marLeft w:val="0"/>
      <w:marRight w:val="0"/>
      <w:marTop w:val="0"/>
      <w:marBottom w:val="0"/>
      <w:divBdr>
        <w:top w:val="none" w:sz="0" w:space="0" w:color="auto"/>
        <w:left w:val="none" w:sz="0" w:space="0" w:color="auto"/>
        <w:bottom w:val="none" w:sz="0" w:space="0" w:color="auto"/>
        <w:right w:val="none" w:sz="0" w:space="0" w:color="auto"/>
      </w:divBdr>
    </w:div>
    <w:div w:id="517618960">
      <w:bodyDiv w:val="1"/>
      <w:marLeft w:val="0"/>
      <w:marRight w:val="0"/>
      <w:marTop w:val="0"/>
      <w:marBottom w:val="0"/>
      <w:divBdr>
        <w:top w:val="none" w:sz="0" w:space="0" w:color="auto"/>
        <w:left w:val="none" w:sz="0" w:space="0" w:color="auto"/>
        <w:bottom w:val="none" w:sz="0" w:space="0" w:color="auto"/>
        <w:right w:val="none" w:sz="0" w:space="0" w:color="auto"/>
      </w:divBdr>
    </w:div>
    <w:div w:id="577907455">
      <w:bodyDiv w:val="1"/>
      <w:marLeft w:val="0"/>
      <w:marRight w:val="0"/>
      <w:marTop w:val="0"/>
      <w:marBottom w:val="0"/>
      <w:divBdr>
        <w:top w:val="none" w:sz="0" w:space="0" w:color="auto"/>
        <w:left w:val="none" w:sz="0" w:space="0" w:color="auto"/>
        <w:bottom w:val="none" w:sz="0" w:space="0" w:color="auto"/>
        <w:right w:val="none" w:sz="0" w:space="0" w:color="auto"/>
      </w:divBdr>
    </w:div>
    <w:div w:id="688528054">
      <w:bodyDiv w:val="1"/>
      <w:marLeft w:val="0"/>
      <w:marRight w:val="0"/>
      <w:marTop w:val="0"/>
      <w:marBottom w:val="0"/>
      <w:divBdr>
        <w:top w:val="none" w:sz="0" w:space="0" w:color="auto"/>
        <w:left w:val="none" w:sz="0" w:space="0" w:color="auto"/>
        <w:bottom w:val="none" w:sz="0" w:space="0" w:color="auto"/>
        <w:right w:val="none" w:sz="0" w:space="0" w:color="auto"/>
      </w:divBdr>
    </w:div>
    <w:div w:id="763958060">
      <w:bodyDiv w:val="1"/>
      <w:marLeft w:val="0"/>
      <w:marRight w:val="0"/>
      <w:marTop w:val="0"/>
      <w:marBottom w:val="0"/>
      <w:divBdr>
        <w:top w:val="none" w:sz="0" w:space="0" w:color="auto"/>
        <w:left w:val="none" w:sz="0" w:space="0" w:color="auto"/>
        <w:bottom w:val="none" w:sz="0" w:space="0" w:color="auto"/>
        <w:right w:val="none" w:sz="0" w:space="0" w:color="auto"/>
      </w:divBdr>
    </w:div>
    <w:div w:id="789201491">
      <w:bodyDiv w:val="1"/>
      <w:marLeft w:val="0"/>
      <w:marRight w:val="0"/>
      <w:marTop w:val="0"/>
      <w:marBottom w:val="0"/>
      <w:divBdr>
        <w:top w:val="none" w:sz="0" w:space="0" w:color="auto"/>
        <w:left w:val="none" w:sz="0" w:space="0" w:color="auto"/>
        <w:bottom w:val="none" w:sz="0" w:space="0" w:color="auto"/>
        <w:right w:val="none" w:sz="0" w:space="0" w:color="auto"/>
      </w:divBdr>
    </w:div>
    <w:div w:id="898134056">
      <w:bodyDiv w:val="1"/>
      <w:marLeft w:val="0"/>
      <w:marRight w:val="0"/>
      <w:marTop w:val="0"/>
      <w:marBottom w:val="0"/>
      <w:divBdr>
        <w:top w:val="none" w:sz="0" w:space="0" w:color="auto"/>
        <w:left w:val="none" w:sz="0" w:space="0" w:color="auto"/>
        <w:bottom w:val="none" w:sz="0" w:space="0" w:color="auto"/>
        <w:right w:val="none" w:sz="0" w:space="0" w:color="auto"/>
      </w:divBdr>
    </w:div>
    <w:div w:id="1251697570">
      <w:bodyDiv w:val="1"/>
      <w:marLeft w:val="0"/>
      <w:marRight w:val="0"/>
      <w:marTop w:val="0"/>
      <w:marBottom w:val="0"/>
      <w:divBdr>
        <w:top w:val="none" w:sz="0" w:space="0" w:color="auto"/>
        <w:left w:val="none" w:sz="0" w:space="0" w:color="auto"/>
        <w:bottom w:val="none" w:sz="0" w:space="0" w:color="auto"/>
        <w:right w:val="none" w:sz="0" w:space="0" w:color="auto"/>
      </w:divBdr>
    </w:div>
    <w:div w:id="1578124582">
      <w:bodyDiv w:val="1"/>
      <w:marLeft w:val="0"/>
      <w:marRight w:val="0"/>
      <w:marTop w:val="0"/>
      <w:marBottom w:val="0"/>
      <w:divBdr>
        <w:top w:val="none" w:sz="0" w:space="0" w:color="auto"/>
        <w:left w:val="none" w:sz="0" w:space="0" w:color="auto"/>
        <w:bottom w:val="none" w:sz="0" w:space="0" w:color="auto"/>
        <w:right w:val="none" w:sz="0" w:space="0" w:color="auto"/>
      </w:divBdr>
    </w:div>
    <w:div w:id="1606766297">
      <w:bodyDiv w:val="1"/>
      <w:marLeft w:val="0"/>
      <w:marRight w:val="0"/>
      <w:marTop w:val="0"/>
      <w:marBottom w:val="0"/>
      <w:divBdr>
        <w:top w:val="none" w:sz="0" w:space="0" w:color="auto"/>
        <w:left w:val="none" w:sz="0" w:space="0" w:color="auto"/>
        <w:bottom w:val="none" w:sz="0" w:space="0" w:color="auto"/>
        <w:right w:val="none" w:sz="0" w:space="0" w:color="auto"/>
      </w:divBdr>
      <w:divsChild>
        <w:div w:id="13844978">
          <w:marLeft w:val="0"/>
          <w:marRight w:val="0"/>
          <w:marTop w:val="0"/>
          <w:marBottom w:val="0"/>
          <w:divBdr>
            <w:top w:val="none" w:sz="0" w:space="0" w:color="auto"/>
            <w:left w:val="none" w:sz="0" w:space="0" w:color="auto"/>
            <w:bottom w:val="none" w:sz="0" w:space="0" w:color="auto"/>
            <w:right w:val="none" w:sz="0" w:space="0" w:color="auto"/>
          </w:divBdr>
        </w:div>
        <w:div w:id="36197728">
          <w:marLeft w:val="0"/>
          <w:marRight w:val="0"/>
          <w:marTop w:val="0"/>
          <w:marBottom w:val="0"/>
          <w:divBdr>
            <w:top w:val="none" w:sz="0" w:space="0" w:color="auto"/>
            <w:left w:val="none" w:sz="0" w:space="0" w:color="auto"/>
            <w:bottom w:val="none" w:sz="0" w:space="0" w:color="auto"/>
            <w:right w:val="none" w:sz="0" w:space="0" w:color="auto"/>
          </w:divBdr>
        </w:div>
        <w:div w:id="417600885">
          <w:marLeft w:val="0"/>
          <w:marRight w:val="0"/>
          <w:marTop w:val="0"/>
          <w:marBottom w:val="0"/>
          <w:divBdr>
            <w:top w:val="none" w:sz="0" w:space="0" w:color="auto"/>
            <w:left w:val="none" w:sz="0" w:space="0" w:color="auto"/>
            <w:bottom w:val="none" w:sz="0" w:space="0" w:color="auto"/>
            <w:right w:val="none" w:sz="0" w:space="0" w:color="auto"/>
          </w:divBdr>
        </w:div>
        <w:div w:id="758065505">
          <w:marLeft w:val="0"/>
          <w:marRight w:val="0"/>
          <w:marTop w:val="0"/>
          <w:marBottom w:val="0"/>
          <w:divBdr>
            <w:top w:val="none" w:sz="0" w:space="0" w:color="auto"/>
            <w:left w:val="none" w:sz="0" w:space="0" w:color="auto"/>
            <w:bottom w:val="none" w:sz="0" w:space="0" w:color="auto"/>
            <w:right w:val="none" w:sz="0" w:space="0" w:color="auto"/>
          </w:divBdr>
        </w:div>
        <w:div w:id="1471627875">
          <w:marLeft w:val="0"/>
          <w:marRight w:val="0"/>
          <w:marTop w:val="0"/>
          <w:marBottom w:val="0"/>
          <w:divBdr>
            <w:top w:val="none" w:sz="0" w:space="0" w:color="auto"/>
            <w:left w:val="none" w:sz="0" w:space="0" w:color="auto"/>
            <w:bottom w:val="none" w:sz="0" w:space="0" w:color="auto"/>
            <w:right w:val="none" w:sz="0" w:space="0" w:color="auto"/>
          </w:divBdr>
        </w:div>
        <w:div w:id="1678967155">
          <w:marLeft w:val="0"/>
          <w:marRight w:val="0"/>
          <w:marTop w:val="0"/>
          <w:marBottom w:val="0"/>
          <w:divBdr>
            <w:top w:val="none" w:sz="0" w:space="0" w:color="auto"/>
            <w:left w:val="none" w:sz="0" w:space="0" w:color="auto"/>
            <w:bottom w:val="none" w:sz="0" w:space="0" w:color="auto"/>
            <w:right w:val="none" w:sz="0" w:space="0" w:color="auto"/>
          </w:divBdr>
        </w:div>
      </w:divsChild>
    </w:div>
    <w:div w:id="1876965856">
      <w:bodyDiv w:val="1"/>
      <w:marLeft w:val="0"/>
      <w:marRight w:val="0"/>
      <w:marTop w:val="0"/>
      <w:marBottom w:val="0"/>
      <w:divBdr>
        <w:top w:val="none" w:sz="0" w:space="0" w:color="auto"/>
        <w:left w:val="none" w:sz="0" w:space="0" w:color="auto"/>
        <w:bottom w:val="none" w:sz="0" w:space="0" w:color="auto"/>
        <w:right w:val="none" w:sz="0" w:space="0" w:color="auto"/>
      </w:divBdr>
    </w:div>
    <w:div w:id="2030331449">
      <w:bodyDiv w:val="1"/>
      <w:marLeft w:val="0"/>
      <w:marRight w:val="0"/>
      <w:marTop w:val="0"/>
      <w:marBottom w:val="0"/>
      <w:divBdr>
        <w:top w:val="none" w:sz="0" w:space="0" w:color="auto"/>
        <w:left w:val="none" w:sz="0" w:space="0" w:color="auto"/>
        <w:bottom w:val="none" w:sz="0" w:space="0" w:color="auto"/>
        <w:right w:val="none" w:sz="0" w:space="0" w:color="auto"/>
      </w:divBdr>
    </w:div>
    <w:div w:id="207500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D0031-3B4A-0E4C-BF1A-C735CDAD5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7720</Words>
  <Characters>44008</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Lutz</dc:creator>
  <cp:keywords/>
  <dc:description/>
  <cp:lastModifiedBy>Nina Lutz</cp:lastModifiedBy>
  <cp:revision>3</cp:revision>
  <dcterms:created xsi:type="dcterms:W3CDTF">2022-04-28T14:05:00Z</dcterms:created>
  <dcterms:modified xsi:type="dcterms:W3CDTF">2022-04-28T14:06:00Z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http://www.zotero.org/styles/journal-of-affective-disorders</vt:lpwstr>
  </property>
  <property fmtid="{D5CDD505-2E9C-101B-9397-08002B2CF9AE}" pid="17" name="Mendeley Recent Style Name 7_1">
    <vt:lpwstr>Journal of Affective Disorders</vt:lpwstr>
  </property>
  <property fmtid="{D5CDD505-2E9C-101B-9397-08002B2CF9AE}" pid="18" name="Mendeley Recent Style Id 8_1">
    <vt:lpwstr>http://www.zotero.org/styles/psychiatry-research</vt:lpwstr>
  </property>
  <property fmtid="{D5CDD505-2E9C-101B-9397-08002B2CF9AE}" pid="19" name="Mendeley Recent Style Name 8_1">
    <vt:lpwstr>Psychiatry Research</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