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65F62" w14:textId="3E0F928A" w:rsidR="005A64A3" w:rsidRPr="00A605BB" w:rsidRDefault="005A64A3" w:rsidP="005A64A3">
      <w:pPr>
        <w:pStyle w:val="Articletitle"/>
        <w:jc w:val="center"/>
      </w:pPr>
      <w:r w:rsidRPr="00A605BB">
        <w:t>Exploring the impact of an industrial placement year on students’ competency development: A three-cohort, longitudinal study</w:t>
      </w:r>
    </w:p>
    <w:p w14:paraId="08D16515" w14:textId="77777777" w:rsidR="000D148A" w:rsidRPr="00A605BB" w:rsidRDefault="000D148A" w:rsidP="000D148A">
      <w:pPr>
        <w:spacing w:line="240" w:lineRule="auto"/>
        <w:jc w:val="both"/>
        <w:rPr>
          <w:rFonts w:eastAsia="TimesNRMTStd-Regular"/>
          <w:b/>
          <w:bCs/>
          <w:sz w:val="12"/>
          <w:szCs w:val="12"/>
        </w:rPr>
      </w:pPr>
    </w:p>
    <w:p w14:paraId="5892711A" w14:textId="368212FA" w:rsidR="000D148A" w:rsidRPr="00A605BB" w:rsidRDefault="000D148A" w:rsidP="000D148A">
      <w:pPr>
        <w:jc w:val="both"/>
        <w:rPr>
          <w:sz w:val="22"/>
          <w:szCs w:val="22"/>
        </w:rPr>
      </w:pPr>
      <w:r w:rsidRPr="00A605BB">
        <w:rPr>
          <w:rFonts w:eastAsia="TimesNRMTStd-Regular"/>
          <w:b/>
          <w:bCs/>
          <w:sz w:val="22"/>
          <w:szCs w:val="22"/>
        </w:rPr>
        <w:t>Purpose</w:t>
      </w:r>
      <w:r w:rsidRPr="00A605BB">
        <w:rPr>
          <w:rFonts w:eastAsia="TimesNRMTStd-Regular"/>
          <w:sz w:val="22"/>
          <w:szCs w:val="22"/>
        </w:rPr>
        <w:t xml:space="preserve">: </w:t>
      </w:r>
      <w:bookmarkStart w:id="0" w:name="_Hlk127131602"/>
      <w:r w:rsidRPr="00A605BB">
        <w:rPr>
          <w:sz w:val="22"/>
          <w:szCs w:val="22"/>
        </w:rPr>
        <w:t>Drawing on human capital theory and sustainable career theory, this paper aims to explore the impact of undertaking a</w:t>
      </w:r>
      <w:r w:rsidR="00CD3AA5" w:rsidRPr="00A605BB">
        <w:rPr>
          <w:sz w:val="22"/>
          <w:szCs w:val="22"/>
        </w:rPr>
        <w:t xml:space="preserve">n industrial placement </w:t>
      </w:r>
      <w:r w:rsidRPr="00A605BB">
        <w:rPr>
          <w:sz w:val="22"/>
          <w:szCs w:val="22"/>
        </w:rPr>
        <w:t xml:space="preserve">on </w:t>
      </w:r>
      <w:r w:rsidR="00C12F1C" w:rsidRPr="00A605BB">
        <w:rPr>
          <w:sz w:val="22"/>
          <w:szCs w:val="22"/>
        </w:rPr>
        <w:t xml:space="preserve">the </w:t>
      </w:r>
      <w:r w:rsidR="0061107C" w:rsidRPr="00A605BB">
        <w:rPr>
          <w:sz w:val="22"/>
          <w:szCs w:val="22"/>
        </w:rPr>
        <w:t>‘</w:t>
      </w:r>
      <w:r w:rsidR="00C12F1C" w:rsidRPr="00A605BB">
        <w:rPr>
          <w:sz w:val="22"/>
          <w:szCs w:val="22"/>
        </w:rPr>
        <w:t>Great Eight</w:t>
      </w:r>
      <w:r w:rsidR="0061107C" w:rsidRPr="00A605BB">
        <w:rPr>
          <w:sz w:val="22"/>
          <w:szCs w:val="22"/>
        </w:rPr>
        <w:t>’</w:t>
      </w:r>
      <w:r w:rsidR="00C12F1C" w:rsidRPr="00A605BB">
        <w:rPr>
          <w:sz w:val="22"/>
          <w:szCs w:val="22"/>
        </w:rPr>
        <w:t xml:space="preserve"> </w:t>
      </w:r>
      <w:r w:rsidRPr="00A605BB">
        <w:rPr>
          <w:sz w:val="22"/>
          <w:szCs w:val="22"/>
        </w:rPr>
        <w:t>competenc</w:t>
      </w:r>
      <w:r w:rsidR="00C12F1C" w:rsidRPr="00A605BB">
        <w:rPr>
          <w:sz w:val="22"/>
          <w:szCs w:val="22"/>
        </w:rPr>
        <w:t xml:space="preserve">ies </w:t>
      </w:r>
      <w:r w:rsidRPr="00A605BB">
        <w:rPr>
          <w:sz w:val="22"/>
          <w:szCs w:val="22"/>
        </w:rPr>
        <w:t xml:space="preserve">as perceived by university students and line managers. </w:t>
      </w:r>
      <w:bookmarkEnd w:id="0"/>
    </w:p>
    <w:p w14:paraId="0F8DB199" w14:textId="25CAE5B9" w:rsidR="000D148A" w:rsidRPr="00A605BB" w:rsidRDefault="000D148A" w:rsidP="000D148A">
      <w:pPr>
        <w:jc w:val="both"/>
        <w:rPr>
          <w:sz w:val="22"/>
          <w:szCs w:val="22"/>
        </w:rPr>
      </w:pPr>
      <w:r w:rsidRPr="00A605BB">
        <w:rPr>
          <w:b/>
          <w:bCs/>
          <w:sz w:val="22"/>
          <w:szCs w:val="22"/>
        </w:rPr>
        <w:t>Design/methodology/approach</w:t>
      </w:r>
      <w:r w:rsidRPr="00A605BB">
        <w:rPr>
          <w:sz w:val="22"/>
          <w:szCs w:val="22"/>
        </w:rPr>
        <w:t xml:space="preserve">: </w:t>
      </w:r>
      <w:bookmarkStart w:id="1" w:name="_Hlk127131623"/>
      <w:r w:rsidR="00584267" w:rsidRPr="00A605BB">
        <w:rPr>
          <w:sz w:val="22"/>
          <w:szCs w:val="22"/>
        </w:rPr>
        <w:t>61</w:t>
      </w:r>
      <w:r w:rsidR="00297153" w:rsidRPr="00A605BB">
        <w:rPr>
          <w:sz w:val="22"/>
          <w:szCs w:val="22"/>
        </w:rPr>
        <w:t>8</w:t>
      </w:r>
      <w:r w:rsidR="00584267" w:rsidRPr="00A605BB">
        <w:rPr>
          <w:sz w:val="22"/>
          <w:szCs w:val="22"/>
        </w:rPr>
        <w:t xml:space="preserve"> </w:t>
      </w:r>
      <w:r w:rsidRPr="00A605BB">
        <w:rPr>
          <w:sz w:val="22"/>
          <w:szCs w:val="22"/>
        </w:rPr>
        <w:t>students and their line managers across three cohorts (</w:t>
      </w:r>
      <w:r w:rsidR="005A64A3" w:rsidRPr="00A605BB">
        <w:rPr>
          <w:sz w:val="22"/>
          <w:szCs w:val="22"/>
        </w:rPr>
        <w:t>pre-COVID-19</w:t>
      </w:r>
      <w:r w:rsidRPr="00A605BB">
        <w:rPr>
          <w:sz w:val="22"/>
          <w:szCs w:val="22"/>
        </w:rPr>
        <w:t xml:space="preserve">) took part in a </w:t>
      </w:r>
      <w:r w:rsidR="000D65BA" w:rsidRPr="00A605BB">
        <w:rPr>
          <w:sz w:val="22"/>
          <w:szCs w:val="22"/>
        </w:rPr>
        <w:t xml:space="preserve">longitudinal quantitative </w:t>
      </w:r>
      <w:r w:rsidRPr="00A605BB">
        <w:rPr>
          <w:sz w:val="22"/>
          <w:szCs w:val="22"/>
        </w:rPr>
        <w:t>study. Students completed a three-wave questionnaire at the placement’s start, middle, and end. Line managers completed the questionnaire during waves two and three to offer 360-degree feedback. Descriptive statistics</w:t>
      </w:r>
      <w:r w:rsidR="000D65BA" w:rsidRPr="00A605BB">
        <w:rPr>
          <w:sz w:val="22"/>
          <w:szCs w:val="22"/>
        </w:rPr>
        <w:t xml:space="preserve"> </w:t>
      </w:r>
      <w:r w:rsidR="000608FF" w:rsidRPr="00A605BB">
        <w:rPr>
          <w:sz w:val="22"/>
          <w:szCs w:val="22"/>
        </w:rPr>
        <w:t xml:space="preserve">and </w:t>
      </w:r>
      <w:r w:rsidR="00EA55C9" w:rsidRPr="00A605BB">
        <w:rPr>
          <w:sz w:val="22"/>
          <w:szCs w:val="22"/>
        </w:rPr>
        <w:t>repeated measures ANOVA</w:t>
      </w:r>
      <w:r w:rsidR="000608FF" w:rsidRPr="00A605BB">
        <w:rPr>
          <w:sz w:val="22"/>
          <w:szCs w:val="22"/>
        </w:rPr>
        <w:t xml:space="preserve"> </w:t>
      </w:r>
      <w:r w:rsidR="000D65BA" w:rsidRPr="00A605BB">
        <w:rPr>
          <w:sz w:val="22"/>
          <w:szCs w:val="22"/>
        </w:rPr>
        <w:t>were applied to the dataset</w:t>
      </w:r>
      <w:r w:rsidRPr="00A605BB">
        <w:rPr>
          <w:sz w:val="22"/>
          <w:szCs w:val="22"/>
        </w:rPr>
        <w:t xml:space="preserve">. </w:t>
      </w:r>
      <w:bookmarkEnd w:id="1"/>
    </w:p>
    <w:p w14:paraId="13D63BE3" w14:textId="142CDBCE" w:rsidR="000D148A" w:rsidRPr="00A605BB" w:rsidRDefault="000D148A" w:rsidP="000D148A">
      <w:pPr>
        <w:jc w:val="both"/>
        <w:rPr>
          <w:sz w:val="22"/>
          <w:szCs w:val="22"/>
        </w:rPr>
      </w:pPr>
      <w:r w:rsidRPr="00A605BB">
        <w:rPr>
          <w:b/>
          <w:bCs/>
          <w:sz w:val="22"/>
          <w:szCs w:val="22"/>
        </w:rPr>
        <w:t>Findings</w:t>
      </w:r>
      <w:r w:rsidRPr="00A605BB">
        <w:rPr>
          <w:sz w:val="22"/>
          <w:szCs w:val="22"/>
        </w:rPr>
        <w:t xml:space="preserve">: </w:t>
      </w:r>
      <w:bookmarkStart w:id="2" w:name="_Hlk127131639"/>
      <w:r w:rsidRPr="00A605BB">
        <w:rPr>
          <w:sz w:val="22"/>
          <w:szCs w:val="22"/>
        </w:rPr>
        <w:t>The impacts of undertaking a placement were highly variable fo</w:t>
      </w:r>
      <w:r w:rsidR="005A64A3" w:rsidRPr="00A605BB">
        <w:rPr>
          <w:sz w:val="22"/>
          <w:szCs w:val="22"/>
        </w:rPr>
        <w:t>r</w:t>
      </w:r>
      <w:r w:rsidRPr="00A605BB">
        <w:rPr>
          <w:sz w:val="22"/>
          <w:szCs w:val="22"/>
        </w:rPr>
        <w:t xml:space="preserve"> different competencies</w:t>
      </w:r>
      <w:r w:rsidR="005A64A3" w:rsidRPr="00A605BB">
        <w:rPr>
          <w:sz w:val="22"/>
          <w:szCs w:val="22"/>
        </w:rPr>
        <w:t xml:space="preserve"> at the sub-scale level, although at the eight-scale level</w:t>
      </w:r>
      <w:r w:rsidR="00DA183F" w:rsidRPr="00A605BB">
        <w:rPr>
          <w:sz w:val="22"/>
          <w:szCs w:val="22"/>
        </w:rPr>
        <w:t>,</w:t>
      </w:r>
      <w:r w:rsidR="005A64A3" w:rsidRPr="00A605BB">
        <w:rPr>
          <w:sz w:val="22"/>
          <w:szCs w:val="22"/>
        </w:rPr>
        <w:t xml:space="preserve"> the nuance was less pronounced</w:t>
      </w:r>
      <w:r w:rsidRPr="00A605BB">
        <w:rPr>
          <w:sz w:val="22"/>
          <w:szCs w:val="22"/>
        </w:rPr>
        <w:t>.</w:t>
      </w:r>
      <w:r w:rsidR="00B25887" w:rsidRPr="00A605BB">
        <w:rPr>
          <w:sz w:val="22"/>
          <w:szCs w:val="22"/>
        </w:rPr>
        <w:t xml:space="preserve"> However, students self-perceived that all eight competencies increased between the start and end of the placement. </w:t>
      </w:r>
      <w:r w:rsidRPr="00A605BB">
        <w:rPr>
          <w:sz w:val="22"/>
          <w:szCs w:val="22"/>
        </w:rPr>
        <w:t xml:space="preserve">Surprisingly, line managers perceived students’ competencies to be higher than perceived by the students. </w:t>
      </w:r>
      <w:bookmarkEnd w:id="2"/>
    </w:p>
    <w:p w14:paraId="649E586D" w14:textId="31ADFC37" w:rsidR="00B25887" w:rsidRPr="00A605BB" w:rsidRDefault="000D148A" w:rsidP="00B25887">
      <w:pPr>
        <w:jc w:val="both"/>
        <w:rPr>
          <w:sz w:val="22"/>
          <w:szCs w:val="22"/>
        </w:rPr>
      </w:pPr>
      <w:r w:rsidRPr="00A605BB">
        <w:rPr>
          <w:b/>
          <w:bCs/>
          <w:sz w:val="22"/>
          <w:szCs w:val="22"/>
        </w:rPr>
        <w:t>Originality/value</w:t>
      </w:r>
      <w:r w:rsidRPr="00A605BB">
        <w:rPr>
          <w:sz w:val="22"/>
          <w:szCs w:val="22"/>
        </w:rPr>
        <w:t xml:space="preserve">: </w:t>
      </w:r>
      <w:bookmarkStart w:id="3" w:name="_Hlk127131655"/>
      <w:r w:rsidR="00B25887" w:rsidRPr="00A605BB">
        <w:rPr>
          <w:sz w:val="22"/>
          <w:szCs w:val="22"/>
        </w:rPr>
        <w:t xml:space="preserve">The value of undertaking a placement is often poorly measured (e.g., satisfaction) rather than competency-based outcomes, which can lead to conclusions that are overly simplistic and difficult to use in practice. </w:t>
      </w:r>
      <w:r w:rsidR="00B25887" w:rsidRPr="00A605BB">
        <w:rPr>
          <w:rFonts w:eastAsia="TimesNRMTStd-Regular"/>
          <w:sz w:val="22"/>
          <w:szCs w:val="22"/>
        </w:rPr>
        <w:t>Theoretically, we advance our understanding of human capital theory and sustainable career theory by understanding the role placements can play in developing human capital and preparing university students for sustainable careers. Practically, our findings can help to close the university-industry skills gap by informing curriculum and placement scheme design and supporting students to acquire personal resources and signal these to prospective employers as an antecedent to career sustainability.</w:t>
      </w:r>
    </w:p>
    <w:bookmarkEnd w:id="3"/>
    <w:p w14:paraId="50E004DE" w14:textId="77777777" w:rsidR="000D148A" w:rsidRPr="00A605BB" w:rsidRDefault="000D148A" w:rsidP="000D148A">
      <w:pPr>
        <w:spacing w:line="240" w:lineRule="auto"/>
        <w:jc w:val="both"/>
        <w:rPr>
          <w:rFonts w:eastAsia="TimesNRMTStd-Regular"/>
          <w:b/>
          <w:bCs/>
          <w:sz w:val="12"/>
          <w:szCs w:val="12"/>
        </w:rPr>
      </w:pPr>
    </w:p>
    <w:p w14:paraId="5558E576" w14:textId="0CAAB0C3" w:rsidR="000D148A" w:rsidRPr="00A605BB" w:rsidRDefault="000D148A" w:rsidP="000D148A">
      <w:pPr>
        <w:jc w:val="both"/>
        <w:rPr>
          <w:sz w:val="22"/>
          <w:szCs w:val="22"/>
        </w:rPr>
      </w:pPr>
      <w:r w:rsidRPr="00A605BB">
        <w:rPr>
          <w:b/>
          <w:bCs/>
          <w:sz w:val="22"/>
          <w:szCs w:val="22"/>
        </w:rPr>
        <w:t>Keywords</w:t>
      </w:r>
      <w:r w:rsidRPr="00A605BB">
        <w:rPr>
          <w:sz w:val="22"/>
          <w:szCs w:val="22"/>
        </w:rPr>
        <w:t>: Competencies, Placement, Sustainable Careers, Human Capital, Employers.</w:t>
      </w:r>
    </w:p>
    <w:p w14:paraId="07A37414" w14:textId="518DD208" w:rsidR="008C0B6E" w:rsidRPr="00A605BB" w:rsidRDefault="000D148A" w:rsidP="00B25887">
      <w:pPr>
        <w:spacing w:before="240"/>
        <w:jc w:val="both"/>
      </w:pPr>
      <w:r w:rsidRPr="00A605BB">
        <w:rPr>
          <w:b/>
          <w:bCs/>
          <w:sz w:val="22"/>
          <w:szCs w:val="22"/>
        </w:rPr>
        <w:t>Paper Type</w:t>
      </w:r>
      <w:r w:rsidRPr="00A605BB">
        <w:rPr>
          <w:sz w:val="22"/>
          <w:szCs w:val="22"/>
        </w:rPr>
        <w:t>: Research Paper</w:t>
      </w:r>
      <w:r w:rsidR="004C4FBC" w:rsidRPr="00A605BB">
        <w:rPr>
          <w:sz w:val="22"/>
          <w:szCs w:val="22"/>
        </w:rPr>
        <w:tab/>
      </w:r>
      <w:r w:rsidR="004C4FBC" w:rsidRPr="00A605BB">
        <w:rPr>
          <w:sz w:val="22"/>
          <w:szCs w:val="22"/>
        </w:rPr>
        <w:tab/>
      </w:r>
      <w:r w:rsidR="004C4FBC" w:rsidRPr="00A605BB">
        <w:rPr>
          <w:sz w:val="22"/>
          <w:szCs w:val="22"/>
        </w:rPr>
        <w:tab/>
      </w:r>
      <w:r w:rsidR="004C4FBC" w:rsidRPr="00A605BB">
        <w:rPr>
          <w:sz w:val="22"/>
          <w:szCs w:val="22"/>
        </w:rPr>
        <w:tab/>
      </w:r>
      <w:r w:rsidR="004C4FBC" w:rsidRPr="00A605BB">
        <w:rPr>
          <w:sz w:val="22"/>
          <w:szCs w:val="22"/>
        </w:rPr>
        <w:tab/>
      </w:r>
      <w:r w:rsidR="004C4FBC" w:rsidRPr="00A605BB">
        <w:rPr>
          <w:sz w:val="22"/>
          <w:szCs w:val="22"/>
        </w:rPr>
        <w:tab/>
      </w:r>
      <w:r w:rsidRPr="00A605BB">
        <w:rPr>
          <w:b/>
          <w:bCs/>
          <w:sz w:val="22"/>
          <w:szCs w:val="22"/>
        </w:rPr>
        <w:t>Word Count</w:t>
      </w:r>
      <w:r w:rsidRPr="00A605BB">
        <w:rPr>
          <w:sz w:val="22"/>
          <w:szCs w:val="22"/>
        </w:rPr>
        <w:t xml:space="preserve">: </w:t>
      </w:r>
      <w:r w:rsidR="00B15700" w:rsidRPr="00A605BB">
        <w:rPr>
          <w:sz w:val="22"/>
          <w:szCs w:val="22"/>
        </w:rPr>
        <w:t>7</w:t>
      </w:r>
      <w:r w:rsidRPr="00A605BB">
        <w:rPr>
          <w:sz w:val="22"/>
          <w:szCs w:val="22"/>
        </w:rPr>
        <w:t>,</w:t>
      </w:r>
      <w:r w:rsidR="00B15700" w:rsidRPr="00A605BB">
        <w:rPr>
          <w:sz w:val="22"/>
          <w:szCs w:val="22"/>
        </w:rPr>
        <w:t>009</w:t>
      </w:r>
      <w:r w:rsidR="008C0B6E" w:rsidRPr="00A605BB">
        <w:rPr>
          <w:i/>
          <w:iCs/>
        </w:rPr>
        <w:br w:type="page"/>
      </w:r>
    </w:p>
    <w:p w14:paraId="384D99C4" w14:textId="7614663F" w:rsidR="00C6139B" w:rsidRPr="00A605BB" w:rsidRDefault="00C6139B" w:rsidP="00C6139B">
      <w:pPr>
        <w:pStyle w:val="Heading2"/>
        <w:spacing w:before="0" w:after="0" w:line="480" w:lineRule="auto"/>
        <w:jc w:val="center"/>
        <w:rPr>
          <w:i w:val="0"/>
          <w:iCs w:val="0"/>
        </w:rPr>
      </w:pPr>
      <w:r w:rsidRPr="00A605BB">
        <w:rPr>
          <w:i w:val="0"/>
          <w:iCs w:val="0"/>
        </w:rPr>
        <w:lastRenderedPageBreak/>
        <w:t>Introduction</w:t>
      </w:r>
    </w:p>
    <w:p w14:paraId="68CA3F3B" w14:textId="572C3D42" w:rsidR="00BE0933" w:rsidRPr="00A605BB" w:rsidRDefault="00C12F1C" w:rsidP="00CD3AA5">
      <w:pPr>
        <w:jc w:val="both"/>
        <w:rPr>
          <w:rFonts w:eastAsia="TimesNRMTStd-Regular"/>
        </w:rPr>
      </w:pPr>
      <w:r w:rsidRPr="00A605BB">
        <w:rPr>
          <w:rFonts w:eastAsia="TimesNRMTStd-Regular"/>
        </w:rPr>
        <w:t>Graduate employability and career development literature streams have tended to develop independently with limited theoretical or practical exchange (</w:t>
      </w:r>
      <w:bookmarkStart w:id="4" w:name="_Hlk120317359"/>
      <w:r w:rsidRPr="00A605BB">
        <w:rPr>
          <w:rFonts w:eastAsia="TimesNRMTStd-Regular"/>
        </w:rPr>
        <w:t>Healy et al., 2022</w:t>
      </w:r>
      <w:bookmarkEnd w:id="4"/>
      <w:r w:rsidRPr="00A605BB">
        <w:rPr>
          <w:rFonts w:eastAsia="TimesNRMTStd-Regular"/>
        </w:rPr>
        <w:t xml:space="preserve">). </w:t>
      </w:r>
      <w:r w:rsidR="00CD3AA5" w:rsidRPr="00A605BB">
        <w:rPr>
          <w:rFonts w:eastAsia="TimesNRMTStd-Regular"/>
        </w:rPr>
        <w:t xml:space="preserve">Nevertheless, a dominant theme is that participating in an industrial placement during a university degree benefits the student (De </w:t>
      </w:r>
      <w:proofErr w:type="spellStart"/>
      <w:r w:rsidR="00CD3AA5" w:rsidRPr="00A605BB">
        <w:rPr>
          <w:rFonts w:eastAsia="TimesNRMTStd-Regular"/>
        </w:rPr>
        <w:t>Schepper</w:t>
      </w:r>
      <w:proofErr w:type="spellEnd"/>
      <w:r w:rsidR="00CD3AA5" w:rsidRPr="00A605BB">
        <w:rPr>
          <w:rFonts w:eastAsia="TimesNRMTStd-Regular"/>
        </w:rPr>
        <w:t xml:space="preserve"> et al., 202</w:t>
      </w:r>
      <w:r w:rsidR="004E1954" w:rsidRPr="00A605BB">
        <w:rPr>
          <w:rFonts w:eastAsia="TimesNRMTStd-Regular"/>
        </w:rPr>
        <w:t>3</w:t>
      </w:r>
      <w:r w:rsidR="00CD3AA5" w:rsidRPr="00A605BB">
        <w:rPr>
          <w:rFonts w:eastAsia="TimesNRMTStd-Regular"/>
        </w:rPr>
        <w:t xml:space="preserve">). </w:t>
      </w:r>
      <w:r w:rsidR="00A36651" w:rsidRPr="00A605BB">
        <w:rPr>
          <w:rFonts w:eastAsia="TimesNRMTStd-Regular"/>
        </w:rPr>
        <w:t>For the purpose of this study, w</w:t>
      </w:r>
      <w:r w:rsidR="00850DD3" w:rsidRPr="00A605BB">
        <w:rPr>
          <w:rFonts w:eastAsia="TimesNRMTStd-Regular"/>
        </w:rPr>
        <w:t>e define an industrial placement</w:t>
      </w:r>
      <w:r w:rsidR="00BE0933" w:rsidRPr="00A605BB">
        <w:rPr>
          <w:rFonts w:eastAsia="TimesNRMTStd-Regular"/>
        </w:rPr>
        <w:t xml:space="preserve"> (hereafter placement)</w:t>
      </w:r>
      <w:r w:rsidR="00850DD3" w:rsidRPr="00A605BB">
        <w:rPr>
          <w:rFonts w:eastAsia="TimesNRMTStd-Regular"/>
        </w:rPr>
        <w:t xml:space="preserve"> from the UK perspective as a structured programme forming a mandatory part of an undergraduate degree, whereby students spend up to 12 months gaining work experience relevant to their degree of study, before completing the</w:t>
      </w:r>
      <w:r w:rsidR="00A36651" w:rsidRPr="00A605BB">
        <w:rPr>
          <w:rFonts w:eastAsia="TimesNRMTStd-Regular"/>
        </w:rPr>
        <w:t>ir</w:t>
      </w:r>
      <w:r w:rsidR="00850DD3" w:rsidRPr="00A605BB">
        <w:rPr>
          <w:rFonts w:eastAsia="TimesNRMTStd-Regular"/>
        </w:rPr>
        <w:t xml:space="preserve"> final year of study. </w:t>
      </w:r>
      <w:r w:rsidR="00CD3AA5" w:rsidRPr="00A605BB">
        <w:rPr>
          <w:rFonts w:eastAsia="TimesNRMTStd-Regular"/>
        </w:rPr>
        <w:t>Work experience via a placement can help the student to construct a narrative to signal their employability to prospective employers (Anderson and Tomlinson, 2021), develop and mobilise social capital (Lehmann, 2019), and increase self-perceived employability (Donald et al., 2019).</w:t>
      </w:r>
    </w:p>
    <w:p w14:paraId="214A594D" w14:textId="524F45E7" w:rsidR="00F81782" w:rsidRPr="00A605BB" w:rsidRDefault="00330A08" w:rsidP="003A672B">
      <w:pPr>
        <w:ind w:firstLine="567"/>
        <w:jc w:val="both"/>
        <w:rPr>
          <w:rFonts w:eastAsia="TimesNRMTStd-Regular"/>
        </w:rPr>
      </w:pPr>
      <w:r w:rsidRPr="00A605BB">
        <w:rPr>
          <w:rFonts w:eastAsia="TimesNRMTStd-Regular"/>
        </w:rPr>
        <w:t>However, there are concerns that the impacts of undertaking placements have not been sufficiently explored. Narayanan et al. (2010) have shown how the determinants of effectiveness in these cases depend on a range of factors, including employer support during the placement, the design of the University scheme, and the extent to which the internship is integrated with their study. In other words, the placement experience</w:t>
      </w:r>
      <w:r w:rsidR="00DA183F" w:rsidRPr="00A605BB">
        <w:rPr>
          <w:rFonts w:eastAsia="TimesNRMTStd-Regular"/>
        </w:rPr>
        <w:t xml:space="preserve"> and the value a student can derive from it are</w:t>
      </w:r>
      <w:r w:rsidRPr="00A605BB">
        <w:rPr>
          <w:rFonts w:eastAsia="TimesNRMTStd-Regular"/>
        </w:rPr>
        <w:t xml:space="preserve"> heavily contextualised.</w:t>
      </w:r>
      <w:r w:rsidR="00F81782" w:rsidRPr="00A605BB">
        <w:rPr>
          <w:rFonts w:eastAsia="TimesNRMTStd-Regular"/>
        </w:rPr>
        <w:t xml:space="preserve"> Narayanan et al. (2010) also observed how measures of placement satisfaction are “largely descriptive and anecdotal” (p. 62). Subsequently, Hughes (2022) calls for a more nuanced approach to understanding the value of industrial placements, highlighting that the benefits and limitations associated with undertaking a placement are often too simplistic and are over-generalised to all types of placement and students. </w:t>
      </w:r>
    </w:p>
    <w:p w14:paraId="5C5F77BA" w14:textId="4A181F07" w:rsidR="006720B4" w:rsidRPr="00A605BB" w:rsidRDefault="00DA183F" w:rsidP="003A672B">
      <w:pPr>
        <w:ind w:firstLine="567"/>
        <w:jc w:val="both"/>
        <w:rPr>
          <w:rFonts w:eastAsia="TimesNRMTStd-Regular"/>
        </w:rPr>
      </w:pPr>
      <w:r w:rsidRPr="00A605BB">
        <w:rPr>
          <w:rFonts w:eastAsia="TimesNRMTStd-Regular"/>
        </w:rPr>
        <w:t>Indeed</w:t>
      </w:r>
      <w:r w:rsidR="00F81782" w:rsidRPr="00A605BB">
        <w:rPr>
          <w:rFonts w:eastAsia="TimesNRMTStd-Regular"/>
        </w:rPr>
        <w:t xml:space="preserve">, there </w:t>
      </w:r>
      <w:r w:rsidRPr="00A605BB">
        <w:rPr>
          <w:rFonts w:eastAsia="TimesNRMTStd-Regular"/>
        </w:rPr>
        <w:t>is</w:t>
      </w:r>
      <w:r w:rsidR="00F81782" w:rsidRPr="00A605BB">
        <w:rPr>
          <w:rFonts w:eastAsia="TimesNRMTStd-Regular"/>
        </w:rPr>
        <w:t xml:space="preserve"> a paucity of studies available that measure learning over time, during a placement experience, and where studies have considered skills developed </w:t>
      </w:r>
      <w:r w:rsidR="00F81782" w:rsidRPr="00A605BB">
        <w:rPr>
          <w:rFonts w:eastAsia="TimesNRMTStd-Regular"/>
        </w:rPr>
        <w:lastRenderedPageBreak/>
        <w:t xml:space="preserve">through a placement, they have typically examined these on a piecemeal basis and with little attention to the role of different actors in the system (e.g., student, employer, </w:t>
      </w:r>
      <w:r w:rsidRPr="00A605BB">
        <w:rPr>
          <w:rFonts w:eastAsia="TimesNRMTStd-Regular"/>
        </w:rPr>
        <w:t>u</w:t>
      </w:r>
      <w:r w:rsidR="00F81782" w:rsidRPr="00A605BB">
        <w:rPr>
          <w:rFonts w:eastAsia="TimesNRMTStd-Regular"/>
        </w:rPr>
        <w:t>niversity), or the mechanisms through which the placement contributes to the transformation of a student’s employability (</w:t>
      </w:r>
      <w:proofErr w:type="spellStart"/>
      <w:r w:rsidR="00F81782" w:rsidRPr="00A605BB">
        <w:rPr>
          <w:rFonts w:eastAsia="TimesNRMTStd-Regular"/>
        </w:rPr>
        <w:t>Inceoglu</w:t>
      </w:r>
      <w:proofErr w:type="spellEnd"/>
      <w:r w:rsidR="00F81782" w:rsidRPr="00A605BB">
        <w:rPr>
          <w:rFonts w:eastAsia="TimesNRMTStd-Regular"/>
        </w:rPr>
        <w:t xml:space="preserve"> et al., 2019).</w:t>
      </w:r>
      <w:r w:rsidR="006720B4" w:rsidRPr="00A605BB">
        <w:rPr>
          <w:rFonts w:eastAsia="TimesNRMTStd-Regular"/>
        </w:rPr>
        <w:t xml:space="preserve"> The gap requires exploration since Donald et al. (2018) call for universities to offer more tailored support to their students</w:t>
      </w:r>
      <w:r w:rsidR="002A50F9" w:rsidRPr="00A605BB">
        <w:rPr>
          <w:rFonts w:eastAsia="TimesNRMTStd-Regular"/>
        </w:rPr>
        <w:t>, whilst Hughes (2022) calls for research to consider how different students have different competency profiles.</w:t>
      </w:r>
    </w:p>
    <w:p w14:paraId="59B067CD" w14:textId="7CA4F861" w:rsidR="002A50F9" w:rsidRPr="00A605BB" w:rsidRDefault="006720B4" w:rsidP="002A50F9">
      <w:pPr>
        <w:ind w:firstLine="567"/>
        <w:jc w:val="both"/>
        <w:rPr>
          <w:rFonts w:eastAsia="TimesNRMTStd-Regular"/>
        </w:rPr>
      </w:pPr>
      <w:r w:rsidRPr="00A605BB">
        <w:rPr>
          <w:rFonts w:eastAsia="TimesNRMTStd-Regular"/>
        </w:rPr>
        <w:t xml:space="preserve">Moreover, a gap remains in this emerging approach to assessing placements concerning the impact of a placement on the development of different competencies. Bartram et al. (2002) define competencies as “sets of </w:t>
      </w:r>
      <w:proofErr w:type="spellStart"/>
      <w:r w:rsidRPr="00A605BB">
        <w:rPr>
          <w:rFonts w:eastAsia="TimesNRMTStd-Regular"/>
        </w:rPr>
        <w:t>behaviors</w:t>
      </w:r>
      <w:proofErr w:type="spellEnd"/>
      <w:r w:rsidRPr="00A605BB">
        <w:rPr>
          <w:rFonts w:eastAsia="TimesNRMTStd-Regular"/>
        </w:rPr>
        <w:t xml:space="preserve"> that are instrumental in the delivery of desired results or outcomes” (p. 7). We adopt Bartram’s ‘Great Eight’ competency factors of (</w:t>
      </w:r>
      <w:proofErr w:type="spellStart"/>
      <w:r w:rsidRPr="00A605BB">
        <w:rPr>
          <w:rFonts w:eastAsia="TimesNRMTStd-Regular"/>
        </w:rPr>
        <w:t>i</w:t>
      </w:r>
      <w:proofErr w:type="spellEnd"/>
      <w:r w:rsidRPr="00A605BB">
        <w:rPr>
          <w:rFonts w:eastAsia="TimesNRMTStd-Regular"/>
        </w:rPr>
        <w:t xml:space="preserve">) leading and deciding, (ii) supporting and cooperating, (iii) interacting and presenting, (iv) analysing and interpreting, (v) creating and conceptualising, (vi) organising and executing, (vii) adapting and coping, and (viii) enterprising and performance (Bartram, 2005, p. 1187; Kurz and Bartram, 2002). </w:t>
      </w:r>
      <w:r w:rsidR="002A50F9" w:rsidRPr="00A605BB">
        <w:rPr>
          <w:rFonts w:eastAsia="TimesNRMTStd-Regular"/>
        </w:rPr>
        <w:t xml:space="preserve">Table 1 </w:t>
      </w:r>
      <w:r w:rsidR="009453E8" w:rsidRPr="00A605BB">
        <w:rPr>
          <w:rFonts w:eastAsia="TimesNRMTStd-Regular"/>
        </w:rPr>
        <w:t>defines</w:t>
      </w:r>
      <w:r w:rsidR="00E12C86" w:rsidRPr="00A605BB">
        <w:rPr>
          <w:rFonts w:eastAsia="TimesNRMTStd-Regular"/>
        </w:rPr>
        <w:t xml:space="preserve"> each of the eight competency domains.</w:t>
      </w:r>
    </w:p>
    <w:p w14:paraId="601C39F9" w14:textId="77777777" w:rsidR="002A50F9" w:rsidRPr="00A605BB" w:rsidRDefault="002A50F9" w:rsidP="002A50F9">
      <w:pPr>
        <w:pStyle w:val="CommentText"/>
        <w:spacing w:after="0" w:line="480" w:lineRule="auto"/>
        <w:jc w:val="center"/>
        <w:rPr>
          <w:rFonts w:ascii="Times New Roman" w:hAnsi="Times New Roman" w:cs="Times New Roman"/>
          <w:color w:val="FF0000"/>
          <w:sz w:val="24"/>
          <w:szCs w:val="24"/>
        </w:rPr>
      </w:pPr>
      <w:r w:rsidRPr="00A605BB">
        <w:rPr>
          <w:rFonts w:ascii="Times New Roman" w:hAnsi="Times New Roman" w:cs="Times New Roman"/>
          <w:sz w:val="24"/>
          <w:szCs w:val="24"/>
        </w:rPr>
        <w:t>INSERT TABLE 1 HERE</w:t>
      </w:r>
    </w:p>
    <w:p w14:paraId="2CE69D28" w14:textId="64C7A276" w:rsidR="00DA25E4" w:rsidRPr="00A605BB" w:rsidRDefault="002A50F9" w:rsidP="002A50F9">
      <w:pPr>
        <w:jc w:val="both"/>
        <w:rPr>
          <w:rFonts w:eastAsia="TimesNRMTStd-Regular"/>
        </w:rPr>
      </w:pPr>
      <w:r w:rsidRPr="00A605BB">
        <w:rPr>
          <w:rFonts w:eastAsia="TimesNRMTStd-Regular"/>
        </w:rPr>
        <w:t>Exploration</w:t>
      </w:r>
      <w:r w:rsidR="006720B4" w:rsidRPr="00A605BB">
        <w:rPr>
          <w:rFonts w:eastAsia="TimesNRMTStd-Regular"/>
        </w:rPr>
        <w:t xml:space="preserve"> of this research gap can help us to compare and contrast the views of students and their line managers</w:t>
      </w:r>
      <w:r w:rsidR="00DA25E4" w:rsidRPr="00A605BB">
        <w:rPr>
          <w:rFonts w:eastAsia="TimesNRMTStd-Regular"/>
        </w:rPr>
        <w:t xml:space="preserve"> to address existing skills gaps between graduates and the need of industry (</w:t>
      </w:r>
      <w:r w:rsidR="00B25887" w:rsidRPr="00A605BB">
        <w:rPr>
          <w:rFonts w:eastAsia="TimesNRMTStd-Regular"/>
        </w:rPr>
        <w:t xml:space="preserve">Clarke, 2018; </w:t>
      </w:r>
      <w:proofErr w:type="spellStart"/>
      <w:r w:rsidR="00B25887" w:rsidRPr="00A605BB">
        <w:t>Draissi</w:t>
      </w:r>
      <w:proofErr w:type="spellEnd"/>
      <w:r w:rsidR="00B25887" w:rsidRPr="00A605BB">
        <w:t xml:space="preserve"> et al., 2022; </w:t>
      </w:r>
      <w:r w:rsidR="00B25887" w:rsidRPr="00A605BB">
        <w:rPr>
          <w:rFonts w:eastAsia="TimesNRMTStd-Regular"/>
        </w:rPr>
        <w:t xml:space="preserve">Griffiths et al., 2018; </w:t>
      </w:r>
      <w:r w:rsidR="00B25887" w:rsidRPr="00A605BB">
        <w:t xml:space="preserve">Succi and </w:t>
      </w:r>
      <w:proofErr w:type="spellStart"/>
      <w:r w:rsidR="00B25887" w:rsidRPr="00A605BB">
        <w:t>Canovi</w:t>
      </w:r>
      <w:proofErr w:type="spellEnd"/>
      <w:r w:rsidR="00B25887" w:rsidRPr="00A605BB">
        <w:t>, 2020</w:t>
      </w:r>
      <w:r w:rsidR="00DA25E4" w:rsidRPr="00A605BB">
        <w:rPr>
          <w:rFonts w:eastAsia="TimesNRMTStd-Regular"/>
        </w:rPr>
        <w:t>).</w:t>
      </w:r>
    </w:p>
    <w:p w14:paraId="18640D57" w14:textId="1353F6E3" w:rsidR="00DA25E4" w:rsidRPr="00A605BB" w:rsidRDefault="00DA25E4" w:rsidP="00DA25E4">
      <w:pPr>
        <w:ind w:firstLine="567"/>
        <w:jc w:val="both"/>
      </w:pPr>
      <w:r w:rsidRPr="00A605BB">
        <w:rPr>
          <w:rFonts w:eastAsia="TimesNRMTStd-Regular"/>
        </w:rPr>
        <w:t>Consequently, th</w:t>
      </w:r>
      <w:r w:rsidR="00DA183F" w:rsidRPr="00A605BB">
        <w:rPr>
          <w:rFonts w:eastAsia="TimesNRMTStd-Regular"/>
        </w:rPr>
        <w:t>is paper aim</w:t>
      </w:r>
      <w:r w:rsidRPr="00A605BB">
        <w:t xml:space="preserve">s to contribute to the literature by exploring the impact of undertaking a placement on the </w:t>
      </w:r>
      <w:r w:rsidR="0061107C" w:rsidRPr="00A605BB">
        <w:t>‘</w:t>
      </w:r>
      <w:r w:rsidRPr="00A605BB">
        <w:t>Great Eight</w:t>
      </w:r>
      <w:r w:rsidR="0061107C" w:rsidRPr="00A605BB">
        <w:t>’</w:t>
      </w:r>
      <w:r w:rsidRPr="00A605BB">
        <w:t xml:space="preserve"> competencies as perceived by university students and line managers. </w:t>
      </w:r>
      <w:r w:rsidRPr="00A605BB">
        <w:rPr>
          <w:rFonts w:eastAsia="TimesNRMTStd-Regular"/>
        </w:rPr>
        <w:t>Our study addresses two research questions:</w:t>
      </w:r>
    </w:p>
    <w:p w14:paraId="5160933A" w14:textId="225DDC4C" w:rsidR="00DA25E4" w:rsidRPr="00A605BB" w:rsidRDefault="00DA25E4" w:rsidP="00DA25E4">
      <w:pPr>
        <w:ind w:left="567" w:hanging="567"/>
        <w:jc w:val="both"/>
        <w:rPr>
          <w:rFonts w:eastAsia="TimesNRMTStd-Regular"/>
        </w:rPr>
      </w:pPr>
      <w:r w:rsidRPr="00A605BB">
        <w:rPr>
          <w:rFonts w:eastAsia="TimesNRMTStd-Regular"/>
          <w:i/>
          <w:iCs/>
        </w:rPr>
        <w:lastRenderedPageBreak/>
        <w:t>RQ1</w:t>
      </w:r>
      <w:r w:rsidRPr="00A605BB">
        <w:rPr>
          <w:rFonts w:eastAsia="TimesNRMTStd-Regular"/>
        </w:rPr>
        <w:t xml:space="preserve">. What impact does undertaking a placement have on students’ self-perceived </w:t>
      </w:r>
      <w:r w:rsidR="0061107C" w:rsidRPr="00A605BB">
        <w:rPr>
          <w:rFonts w:eastAsia="TimesNRMTStd-Regular"/>
        </w:rPr>
        <w:t>‘</w:t>
      </w:r>
      <w:r w:rsidRPr="00A605BB">
        <w:rPr>
          <w:rFonts w:eastAsia="TimesNRMTStd-Regular"/>
        </w:rPr>
        <w:t>Great Eight</w:t>
      </w:r>
      <w:r w:rsidR="0061107C" w:rsidRPr="00A605BB">
        <w:rPr>
          <w:rFonts w:eastAsia="TimesNRMTStd-Regular"/>
        </w:rPr>
        <w:t>’</w:t>
      </w:r>
      <w:r w:rsidRPr="00A605BB">
        <w:rPr>
          <w:rFonts w:eastAsia="TimesNRMTStd-Regular"/>
        </w:rPr>
        <w:t xml:space="preserve"> competencies?</w:t>
      </w:r>
    </w:p>
    <w:p w14:paraId="00FD02FF" w14:textId="735A4613" w:rsidR="00DA25E4" w:rsidRPr="00A605BB" w:rsidRDefault="00DA25E4" w:rsidP="00DA25E4">
      <w:pPr>
        <w:ind w:left="567" w:hanging="567"/>
        <w:jc w:val="both"/>
        <w:rPr>
          <w:rFonts w:eastAsia="TimesNRMTStd-Regular"/>
        </w:rPr>
      </w:pPr>
      <w:r w:rsidRPr="00A605BB">
        <w:rPr>
          <w:rFonts w:eastAsia="TimesNRMTStd-Regular"/>
          <w:i/>
          <w:iCs/>
        </w:rPr>
        <w:t xml:space="preserve">RQ2. </w:t>
      </w:r>
      <w:r w:rsidRPr="00A605BB">
        <w:rPr>
          <w:rFonts w:eastAsia="TimesNRMTStd-Regular"/>
        </w:rPr>
        <w:t xml:space="preserve">To what extent do students' self-perceptions of the </w:t>
      </w:r>
      <w:r w:rsidR="0061107C" w:rsidRPr="00A605BB">
        <w:rPr>
          <w:rFonts w:eastAsia="TimesNRMTStd-Regular"/>
        </w:rPr>
        <w:t>‘</w:t>
      </w:r>
      <w:r w:rsidRPr="00A605BB">
        <w:rPr>
          <w:rFonts w:eastAsia="TimesNRMTStd-Regular"/>
        </w:rPr>
        <w:t>Great Eight</w:t>
      </w:r>
      <w:r w:rsidR="0061107C" w:rsidRPr="00A605BB">
        <w:rPr>
          <w:rFonts w:eastAsia="TimesNRMTStd-Regular"/>
        </w:rPr>
        <w:t>’</w:t>
      </w:r>
      <w:r w:rsidRPr="00A605BB">
        <w:rPr>
          <w:rFonts w:eastAsia="TimesNRMTStd-Regular"/>
        </w:rPr>
        <w:t xml:space="preserve"> competencies align or diverge with the assessment by their line managers?</w:t>
      </w:r>
    </w:p>
    <w:p w14:paraId="0F88DBE2" w14:textId="3A7BD35B" w:rsidR="00DA25E4" w:rsidRPr="00A605BB" w:rsidRDefault="00DA25E4" w:rsidP="003A672B">
      <w:pPr>
        <w:ind w:firstLine="567"/>
        <w:jc w:val="both"/>
        <w:rPr>
          <w:rFonts w:eastAsia="TimesNRMTStd-Regular"/>
        </w:rPr>
      </w:pPr>
      <w:r w:rsidRPr="00A605BB">
        <w:rPr>
          <w:rFonts w:eastAsia="TimesNRMTStd-Regular"/>
        </w:rPr>
        <w:t>Theoretically, we advance our understand</w:t>
      </w:r>
      <w:r w:rsidR="00DA183F" w:rsidRPr="00A605BB">
        <w:rPr>
          <w:rFonts w:eastAsia="TimesNRMTStd-Regular"/>
        </w:rPr>
        <w:t>ing of human capital theory and sustainable career theory by understanding the role</w:t>
      </w:r>
      <w:r w:rsidRPr="00A605BB">
        <w:rPr>
          <w:rFonts w:eastAsia="TimesNRMTStd-Regular"/>
        </w:rPr>
        <w:t xml:space="preserve"> placements can play in developing human capital and preparing university students for sustainable careers. Practically, our findings can help to close the university-industry skills gap by informing curriculum and placement scheme design and supporting students to acquire personal resources and signal these to prospective employ</w:t>
      </w:r>
      <w:r w:rsidR="00DA183F" w:rsidRPr="00A605BB">
        <w:rPr>
          <w:rFonts w:eastAsia="TimesNRMTStd-Regular"/>
        </w:rPr>
        <w:t>ers</w:t>
      </w:r>
      <w:r w:rsidRPr="00A605BB">
        <w:rPr>
          <w:rFonts w:eastAsia="TimesNRMTStd-Regular"/>
        </w:rPr>
        <w:t xml:space="preserve"> as an antecedent to career sustainability.</w:t>
      </w:r>
    </w:p>
    <w:p w14:paraId="09DD4211" w14:textId="7364F92C" w:rsidR="00F074DF" w:rsidRPr="00A605BB" w:rsidRDefault="00F074DF" w:rsidP="00C6139B">
      <w:pPr>
        <w:jc w:val="both"/>
        <w:rPr>
          <w:rFonts w:eastAsia="TimesNRMTStd-Regular"/>
          <w:b/>
          <w:bCs/>
          <w:color w:val="FF0000"/>
        </w:rPr>
      </w:pPr>
    </w:p>
    <w:p w14:paraId="43978B39" w14:textId="32E60A16" w:rsidR="00863289" w:rsidRPr="00A605BB" w:rsidRDefault="00CB6CC1" w:rsidP="00863289">
      <w:pPr>
        <w:pStyle w:val="Heading2"/>
        <w:spacing w:before="0" w:after="0" w:line="480" w:lineRule="auto"/>
        <w:jc w:val="center"/>
        <w:rPr>
          <w:i w:val="0"/>
          <w:iCs w:val="0"/>
        </w:rPr>
      </w:pPr>
      <w:r w:rsidRPr="00A605BB">
        <w:rPr>
          <w:i w:val="0"/>
          <w:iCs w:val="0"/>
        </w:rPr>
        <w:t>Literature Review</w:t>
      </w:r>
    </w:p>
    <w:p w14:paraId="244C30B1" w14:textId="6B518EB9" w:rsidR="00C6139B" w:rsidRPr="00A605BB" w:rsidRDefault="00C6139B" w:rsidP="00C6139B">
      <w:pPr>
        <w:pStyle w:val="Heading2"/>
        <w:spacing w:before="0" w:after="0" w:line="480" w:lineRule="auto"/>
        <w:rPr>
          <w:i w:val="0"/>
          <w:iCs w:val="0"/>
        </w:rPr>
      </w:pPr>
      <w:r w:rsidRPr="00A605BB">
        <w:rPr>
          <w:i w:val="0"/>
          <w:iCs w:val="0"/>
        </w:rPr>
        <w:t>Theoretical Framework</w:t>
      </w:r>
    </w:p>
    <w:p w14:paraId="28C797D6" w14:textId="66140577" w:rsidR="003A672B" w:rsidRPr="00A605BB" w:rsidRDefault="000D148A" w:rsidP="003A672B">
      <w:pPr>
        <w:jc w:val="both"/>
      </w:pPr>
      <w:r w:rsidRPr="00A605BB">
        <w:rPr>
          <w:rFonts w:eastAsia="TimesNRMTStd-Regular"/>
        </w:rPr>
        <w:t>Human capital theory (Becker, 1964</w:t>
      </w:r>
      <w:r w:rsidR="00E6480B" w:rsidRPr="00A605BB">
        <w:rPr>
          <w:rFonts w:eastAsia="TimesNRMTStd-Regular"/>
        </w:rPr>
        <w:t>; Schultz, 1961</w:t>
      </w:r>
      <w:r w:rsidRPr="00A605BB">
        <w:rPr>
          <w:rFonts w:eastAsia="TimesNRMTStd-Regular"/>
        </w:rPr>
        <w:t xml:space="preserve">) captures how undertaking education and training can enable an individual to acquire skills and knowledge, leading to increased </w:t>
      </w:r>
      <w:r w:rsidR="00583A9B" w:rsidRPr="00A605BB">
        <w:rPr>
          <w:rFonts w:eastAsia="TimesNRMTStd-Regular"/>
        </w:rPr>
        <w:t>productivity levels</w:t>
      </w:r>
      <w:r w:rsidRPr="00A605BB">
        <w:rPr>
          <w:rFonts w:eastAsia="TimesNRMTStd-Regular"/>
        </w:rPr>
        <w:t>.</w:t>
      </w:r>
      <w:r w:rsidR="00612182" w:rsidRPr="00A605BB">
        <w:rPr>
          <w:rFonts w:eastAsia="TimesNRMTStd-Regular"/>
        </w:rPr>
        <w:t xml:space="preserve"> </w:t>
      </w:r>
      <w:r w:rsidRPr="00A605BB">
        <w:rPr>
          <w:rFonts w:eastAsia="TimesNRMTStd-Regular"/>
        </w:rPr>
        <w:t xml:space="preserve"> Useem and Karabel (1989) conceptualised human capital within an education setting as comprising social capital, cultural capital, and scholastic capital. Their model was subsequently extended by Baruch et al. (2005) to include inner-value capital and market capital when applied to MBA students. The concept of human capital has since been applied to university undergraduate students via three competing albeit complementary models (</w:t>
      </w:r>
      <w:proofErr w:type="spellStart"/>
      <w:r w:rsidRPr="00A605BB">
        <w:t>Römgens</w:t>
      </w:r>
      <w:proofErr w:type="spellEnd"/>
      <w:r w:rsidRPr="00A605BB">
        <w:t xml:space="preserve"> et al., 2020).</w:t>
      </w:r>
      <w:r w:rsidR="00612182" w:rsidRPr="00A605BB">
        <w:t xml:space="preserve"> </w:t>
      </w:r>
    </w:p>
    <w:p w14:paraId="487E7442" w14:textId="25F0FA85" w:rsidR="003A672B" w:rsidRPr="00A605BB" w:rsidRDefault="000D148A" w:rsidP="003A672B">
      <w:pPr>
        <w:ind w:firstLine="567"/>
        <w:jc w:val="both"/>
      </w:pPr>
      <w:r w:rsidRPr="00A605BB">
        <w:t>Donald et al. (2019) extended the previous models (Baruch et al., 200</w:t>
      </w:r>
      <w:r w:rsidR="006A0E1C" w:rsidRPr="00A605BB">
        <w:t>5</w:t>
      </w:r>
      <w:r w:rsidRPr="00A605BB">
        <w:t xml:space="preserve">; Useem </w:t>
      </w:r>
      <w:r w:rsidR="006A0E1C" w:rsidRPr="00A605BB">
        <w:t>and</w:t>
      </w:r>
      <w:r w:rsidRPr="00A605BB">
        <w:t xml:space="preserve"> Karabel, 1989) by positioning human capital as a composite of six forms of capital: social capital, cultural capital, psychological capital, scholastic capital, market-value capital, and skills capital. Tomlinson (2017)</w:t>
      </w:r>
      <w:r w:rsidR="00583A9B" w:rsidRPr="00A605BB">
        <w:t>,</w:t>
      </w:r>
      <w:r w:rsidRPr="00A605BB">
        <w:t xml:space="preserve"> in the education literature</w:t>
      </w:r>
      <w:r w:rsidR="00583A9B" w:rsidRPr="00A605BB">
        <w:t>,</w:t>
      </w:r>
      <w:r w:rsidRPr="00A605BB">
        <w:t xml:space="preserve"> offers graduate capital as </w:t>
      </w:r>
      <w:r w:rsidRPr="00A605BB">
        <w:lastRenderedPageBreak/>
        <w:t xml:space="preserve">a composite of human capital, social capital, cultural capital, identity capital, and psychological capital. Clarke’s (2018) model offers six dimensions of graduate employability: human capital, social capital, individual attributes, individual behaviours, perceived employability, and labour market factors. </w:t>
      </w:r>
      <w:r w:rsidR="006A0E1C" w:rsidRPr="00A605BB">
        <w:t>The main difference is that Donald and colleagues position human capital as a composite of other forms of capital (in keeping with Baruch et al., 2005; Useem and Karabel, 1989), whereas Tomlinson and Clarke present human capital as a form of employability capital.</w:t>
      </w:r>
      <w:bookmarkStart w:id="5" w:name="_Hlk127122984"/>
    </w:p>
    <w:p w14:paraId="1D073880" w14:textId="0A469A04" w:rsidR="00583A9B" w:rsidRPr="00A605BB" w:rsidRDefault="000D148A" w:rsidP="003A672B">
      <w:pPr>
        <w:ind w:firstLine="567"/>
        <w:jc w:val="both"/>
      </w:pPr>
      <w:r w:rsidRPr="00A605BB">
        <w:t>For the purpose of this paper, we are interested</w:t>
      </w:r>
      <w:r w:rsidR="006A0E1C" w:rsidRPr="00A605BB">
        <w:t xml:space="preserve"> in the impact of a placement on </w:t>
      </w:r>
      <w:r w:rsidR="00583A9B" w:rsidRPr="00A605BB">
        <w:t xml:space="preserve">the </w:t>
      </w:r>
      <w:r w:rsidR="006A0E1C" w:rsidRPr="00A605BB">
        <w:t>competency development of undergraduate students</w:t>
      </w:r>
      <w:r w:rsidR="00583A9B" w:rsidRPr="00A605BB">
        <w:t xml:space="preserve">. Therefore, we will frame our approach as developing an aspect of human capital in acknowledgement that scholastic value capital, market value capital, and skills capital (Donald et al., 2019) map to human capital in the other models (Clarke, 2018; Tomlinson, 2017). </w:t>
      </w:r>
      <w:bookmarkStart w:id="6" w:name="_Hlk130059444"/>
      <w:r w:rsidR="00612182" w:rsidRPr="00A605BB">
        <w:rPr>
          <w:rFonts w:eastAsia="TimesNRMTStd-Regular"/>
        </w:rPr>
        <w:t xml:space="preserve">Although human capital can have negative associations, including with capitalistic systems and neoliberal policy agendas (Marginson, 2019), within the context of our applied framework, capital is positioned from the individual’s perspective as a value-generating resource (Clarke, 2019; Donald, 2019; </w:t>
      </w:r>
      <w:proofErr w:type="spellStart"/>
      <w:r w:rsidR="00612182" w:rsidRPr="00A605BB">
        <w:rPr>
          <w:rFonts w:eastAsia="TimesNRMTStd-Regular"/>
        </w:rPr>
        <w:t>Tomlinsin</w:t>
      </w:r>
      <w:proofErr w:type="spellEnd"/>
      <w:r w:rsidR="00612182" w:rsidRPr="00A605BB">
        <w:rPr>
          <w:rFonts w:eastAsia="TimesNRMTStd-Regular"/>
        </w:rPr>
        <w:t>, 2017).</w:t>
      </w:r>
      <w:r w:rsidR="00612182" w:rsidRPr="00A605BB">
        <w:rPr>
          <w:rFonts w:eastAsia="TimesNRMTStd-Regular"/>
          <w:color w:val="FF0000"/>
        </w:rPr>
        <w:t xml:space="preserve"> </w:t>
      </w:r>
      <w:bookmarkEnd w:id="6"/>
      <w:r w:rsidR="00583A9B" w:rsidRPr="00A605BB">
        <w:t>Our focus on placement</w:t>
      </w:r>
      <w:r w:rsidR="00F80AEF" w:rsidRPr="00A605BB">
        <w:t>s</w:t>
      </w:r>
      <w:r w:rsidR="00583A9B" w:rsidRPr="00A605BB">
        <w:t xml:space="preserve"> also responds to calls for higher education </w:t>
      </w:r>
      <w:bookmarkEnd w:id="5"/>
      <w:r w:rsidR="00583A9B" w:rsidRPr="00A605BB">
        <w:t>institutions to enhance human capital beyond university boundaries (Jakubik, 2020).</w:t>
      </w:r>
      <w:r w:rsidR="00612182" w:rsidRPr="00A605BB">
        <w:t xml:space="preserve"> </w:t>
      </w:r>
    </w:p>
    <w:p w14:paraId="05C72F62" w14:textId="14B6851D" w:rsidR="006D7477" w:rsidRPr="00A605BB" w:rsidRDefault="00583A9B" w:rsidP="003A672B">
      <w:pPr>
        <w:ind w:firstLine="567"/>
        <w:jc w:val="both"/>
      </w:pPr>
      <w:bookmarkStart w:id="7" w:name="_Hlk127122992"/>
      <w:r w:rsidRPr="00A605BB">
        <w:t>Moreover, our study integrates the aspect of human capital with sustainable career theory whereby an individual’s career plays out over various contexts over time (</w:t>
      </w:r>
      <w:r w:rsidR="00CC0F0B" w:rsidRPr="00A605BB">
        <w:t>V</w:t>
      </w:r>
      <w:r w:rsidRPr="00A605BB">
        <w:t xml:space="preserve">an der Heijden </w:t>
      </w:r>
      <w:r w:rsidR="008105A9" w:rsidRPr="00A605BB">
        <w:t>and</w:t>
      </w:r>
      <w:r w:rsidRPr="00A605BB">
        <w:t xml:space="preserve"> De Vos, 2015). </w:t>
      </w:r>
      <w:r w:rsidR="006D7477" w:rsidRPr="00A605BB">
        <w:t xml:space="preserve">Sustainable career theory acknowledges how time spent at university can act as an antecedent to career sustainability, whereby an individual’s career plays out over various contexts over time (De Vos et al., 2020). In our research, the person dimension refers to the students, the context dimension refers to the employer that provides the placement opportunity to the student, and the longitudinal nature of our </w:t>
      </w:r>
      <w:r w:rsidR="006D7477" w:rsidRPr="00A605BB">
        <w:lastRenderedPageBreak/>
        <w:t xml:space="preserve">research captures the time dimension from pre, mid, and upon completion of a placement. The outcomes of a sustainable career of health, happiness, and productivity (De Vos et al., 2020) also overlap with human capital theory’s focus on enhancing an individual’s productivity (Becker, 1964; </w:t>
      </w:r>
      <w:r w:rsidR="006D7477" w:rsidRPr="00A605BB">
        <w:rPr>
          <w:rFonts w:eastAsia="TimesNRMTStd-Regular"/>
        </w:rPr>
        <w:t>Schultz, 1961</w:t>
      </w:r>
      <w:r w:rsidR="006D7477" w:rsidRPr="00A605BB">
        <w:t>).</w:t>
      </w:r>
    </w:p>
    <w:bookmarkEnd w:id="7"/>
    <w:p w14:paraId="16BCFD49" w14:textId="4B9D0A0A" w:rsidR="00765208" w:rsidRPr="00A605BB" w:rsidRDefault="00765208" w:rsidP="00765208">
      <w:pPr>
        <w:pStyle w:val="Heading2"/>
        <w:spacing w:before="0" w:after="0" w:line="480" w:lineRule="auto"/>
        <w:jc w:val="both"/>
        <w:rPr>
          <w:i w:val="0"/>
          <w:iCs w:val="0"/>
        </w:rPr>
      </w:pPr>
      <w:r w:rsidRPr="00A605BB">
        <w:rPr>
          <w:i w:val="0"/>
          <w:iCs w:val="0"/>
        </w:rPr>
        <w:t>Placement</w:t>
      </w:r>
      <w:r w:rsidR="00F80AEF" w:rsidRPr="00A605BB">
        <w:rPr>
          <w:i w:val="0"/>
          <w:iCs w:val="0"/>
        </w:rPr>
        <w:t>s</w:t>
      </w:r>
    </w:p>
    <w:p w14:paraId="55B0B59C" w14:textId="6DB78058" w:rsidR="00182E25" w:rsidRPr="00A605BB" w:rsidRDefault="00DA1042" w:rsidP="00765208">
      <w:pPr>
        <w:jc w:val="both"/>
        <w:rPr>
          <w:rFonts w:eastAsia="TimesNRMTStd-Regular"/>
        </w:rPr>
      </w:pPr>
      <w:r w:rsidRPr="00A605BB">
        <w:rPr>
          <w:rFonts w:eastAsia="TimesNRMTStd-Regular"/>
        </w:rPr>
        <w:t xml:space="preserve">A placement has been shown to offer significant benefits to the student (De </w:t>
      </w:r>
      <w:proofErr w:type="spellStart"/>
      <w:r w:rsidRPr="00A605BB">
        <w:rPr>
          <w:rFonts w:eastAsia="TimesNRMTStd-Regular"/>
        </w:rPr>
        <w:t>Schepper</w:t>
      </w:r>
      <w:proofErr w:type="spellEnd"/>
      <w:r w:rsidRPr="00A605BB">
        <w:rPr>
          <w:rFonts w:eastAsia="TimesNRMTStd-Regular"/>
        </w:rPr>
        <w:t xml:space="preserve"> et al., 202</w:t>
      </w:r>
      <w:r w:rsidR="004E1954" w:rsidRPr="00A605BB">
        <w:rPr>
          <w:rFonts w:eastAsia="TimesNRMTStd-Regular"/>
        </w:rPr>
        <w:t>3</w:t>
      </w:r>
      <w:r w:rsidRPr="00A605BB">
        <w:rPr>
          <w:rFonts w:eastAsia="TimesNRMTStd-Regular"/>
        </w:rPr>
        <w:t>), including increased self-perceived employability (Donald et al., 2019). A key reason to do a work placement is to “increase skills and competencies highly sought after by employers” (Smith, 2021, Online). These views align with human capital theory</w:t>
      </w:r>
      <w:r w:rsidR="00182E25" w:rsidRPr="00A605BB">
        <w:rPr>
          <w:rFonts w:eastAsia="TimesNRMTStd-Regular"/>
        </w:rPr>
        <w:t>,</w:t>
      </w:r>
      <w:r w:rsidRPr="00A605BB">
        <w:rPr>
          <w:rFonts w:eastAsia="TimesNRMTStd-Regular"/>
        </w:rPr>
        <w:t xml:space="preserve"> whereby </w:t>
      </w:r>
      <w:r w:rsidR="00182E25" w:rsidRPr="00A605BB">
        <w:rPr>
          <w:rFonts w:eastAsia="TimesNRMTStd-Regular"/>
        </w:rPr>
        <w:t>education and training enhance</w:t>
      </w:r>
      <w:r w:rsidRPr="00A605BB">
        <w:rPr>
          <w:rFonts w:eastAsia="TimesNRMTStd-Regular"/>
        </w:rPr>
        <w:t xml:space="preserve"> one’s competencies</w:t>
      </w:r>
      <w:r w:rsidR="00182E25" w:rsidRPr="00A605BB">
        <w:rPr>
          <w:rFonts w:eastAsia="TimesNRMTStd-Regular"/>
        </w:rPr>
        <w:t xml:space="preserve">, leading to increased </w:t>
      </w:r>
      <w:r w:rsidRPr="00A605BB">
        <w:rPr>
          <w:rFonts w:eastAsia="TimesNRMTStd-Regular"/>
        </w:rPr>
        <w:t>productivity (Becker, 1964; Schultz, 1961).</w:t>
      </w:r>
    </w:p>
    <w:p w14:paraId="4872406F" w14:textId="3B680F4B" w:rsidR="00DA1042" w:rsidRPr="00A605BB" w:rsidRDefault="00DA1042" w:rsidP="00182E25">
      <w:pPr>
        <w:ind w:firstLine="567"/>
        <w:jc w:val="both"/>
        <w:rPr>
          <w:rFonts w:eastAsia="TimesNRMTStd-Regular"/>
        </w:rPr>
      </w:pPr>
      <w:r w:rsidRPr="00A605BB">
        <w:rPr>
          <w:rFonts w:eastAsia="TimesNRMTStd-Regular"/>
        </w:rPr>
        <w:t>Moreover, sustainable career theory captures the dimensions of person, context, and time (De Vos et al., 2020). Taken together, this suggests that the student as an ind</w:t>
      </w:r>
      <w:r w:rsidR="00182E25" w:rsidRPr="00A605BB">
        <w:rPr>
          <w:rFonts w:eastAsia="TimesNRMTStd-Regular"/>
        </w:rPr>
        <w:t>i</w:t>
      </w:r>
      <w:r w:rsidRPr="00A605BB">
        <w:rPr>
          <w:rFonts w:eastAsia="TimesNRMTStd-Regular"/>
        </w:rPr>
        <w:t>vidual can enhance their competencies via a placement since it offers an additional context to complement higher education.</w:t>
      </w:r>
      <w:r w:rsidR="00182E25" w:rsidRPr="00A605BB">
        <w:rPr>
          <w:rFonts w:eastAsia="TimesNRMTStd-Regular"/>
        </w:rPr>
        <w:t xml:space="preserve"> Students also have additional time to prepare for a sustainable career which should, in theory, lead to competency improvements</w:t>
      </w:r>
      <w:r w:rsidR="00C30AF0" w:rsidRPr="00A605BB">
        <w:rPr>
          <w:rFonts w:eastAsia="TimesNRMTStd-Regular"/>
        </w:rPr>
        <w:t xml:space="preserve"> – since cumulative years of study enhances human capital (Tomlinson, 2017)</w:t>
      </w:r>
      <w:r w:rsidR="00182E25" w:rsidRPr="00A605BB">
        <w:rPr>
          <w:rFonts w:eastAsia="TimesNRMTStd-Regular"/>
        </w:rPr>
        <w:t xml:space="preserve">. </w:t>
      </w:r>
      <w:r w:rsidRPr="00A605BB">
        <w:rPr>
          <w:rFonts w:eastAsia="TimesNRMTStd-Regular"/>
        </w:rPr>
        <w:t>Therefore, we propose</w:t>
      </w:r>
      <w:r w:rsidR="00DA183F" w:rsidRPr="00A605BB">
        <w:rPr>
          <w:rFonts w:eastAsia="TimesNRMTStd-Regular"/>
        </w:rPr>
        <w:t xml:space="preserve"> the following</w:t>
      </w:r>
      <w:r w:rsidR="008E0027" w:rsidRPr="00A605BB">
        <w:rPr>
          <w:rFonts w:eastAsia="TimesNRMTStd-Regular"/>
        </w:rPr>
        <w:t>:</w:t>
      </w:r>
      <w:r w:rsidRPr="00A605BB">
        <w:rPr>
          <w:rFonts w:eastAsia="TimesNRMTStd-Regular"/>
        </w:rPr>
        <w:t xml:space="preserve"> </w:t>
      </w:r>
    </w:p>
    <w:p w14:paraId="1E5F3668" w14:textId="77777777" w:rsidR="000D65BA" w:rsidRPr="00A605BB" w:rsidRDefault="000D65BA" w:rsidP="000D65BA">
      <w:pPr>
        <w:ind w:left="567" w:hanging="567"/>
        <w:jc w:val="both"/>
        <w:rPr>
          <w:rFonts w:eastAsia="TimesNRMTStd-Regular"/>
        </w:rPr>
      </w:pPr>
      <w:r w:rsidRPr="00A605BB">
        <w:rPr>
          <w:rFonts w:eastAsia="TimesNRMTStd-Regular"/>
          <w:i/>
          <w:iCs/>
        </w:rPr>
        <w:t>H1a-h</w:t>
      </w:r>
      <w:r w:rsidRPr="00A605BB">
        <w:rPr>
          <w:rFonts w:eastAsia="TimesNRMTStd-Regular"/>
        </w:rPr>
        <w:t>. Undertaking a placement increases students’ self-perceived Great Eight competencies (</w:t>
      </w:r>
      <w:r w:rsidRPr="00A605BB">
        <w:rPr>
          <w:rFonts w:eastAsia="TimesNRMTStd-Regular"/>
          <w:i/>
          <w:iCs/>
        </w:rPr>
        <w:t>H1a</w:t>
      </w:r>
      <w:r w:rsidRPr="00A605BB">
        <w:rPr>
          <w:rFonts w:eastAsia="TimesNRMTStd-Regular"/>
        </w:rPr>
        <w:t xml:space="preserve">. leading and deciding, </w:t>
      </w:r>
      <w:r w:rsidRPr="00A605BB">
        <w:rPr>
          <w:rFonts w:eastAsia="TimesNRMTStd-Regular"/>
          <w:i/>
          <w:iCs/>
        </w:rPr>
        <w:t>H1b</w:t>
      </w:r>
      <w:r w:rsidRPr="00A605BB">
        <w:rPr>
          <w:rFonts w:eastAsia="TimesNRMTStd-Regular"/>
        </w:rPr>
        <w:t xml:space="preserve">. supporting and cooperating, </w:t>
      </w:r>
      <w:r w:rsidRPr="00A605BB">
        <w:rPr>
          <w:rFonts w:eastAsia="TimesNRMTStd-Regular"/>
          <w:i/>
          <w:iCs/>
        </w:rPr>
        <w:t>H1c</w:t>
      </w:r>
      <w:r w:rsidRPr="00A605BB">
        <w:rPr>
          <w:rFonts w:eastAsia="TimesNRMTStd-Regular"/>
        </w:rPr>
        <w:t xml:space="preserve">. interacting and presenting, </w:t>
      </w:r>
      <w:r w:rsidRPr="00A605BB">
        <w:rPr>
          <w:rFonts w:eastAsia="TimesNRMTStd-Regular"/>
          <w:i/>
          <w:iCs/>
        </w:rPr>
        <w:t>H1d</w:t>
      </w:r>
      <w:r w:rsidRPr="00A605BB">
        <w:rPr>
          <w:rFonts w:eastAsia="TimesNRMTStd-Regular"/>
        </w:rPr>
        <w:t xml:space="preserve">. analysing and interpreting, </w:t>
      </w:r>
      <w:r w:rsidRPr="00A605BB">
        <w:rPr>
          <w:rFonts w:eastAsia="TimesNRMTStd-Regular"/>
          <w:i/>
          <w:iCs/>
        </w:rPr>
        <w:t>H1e</w:t>
      </w:r>
      <w:r w:rsidRPr="00A605BB">
        <w:rPr>
          <w:rFonts w:eastAsia="TimesNRMTStd-Regular"/>
        </w:rPr>
        <w:t xml:space="preserve">. creating and conceptualising, </w:t>
      </w:r>
      <w:r w:rsidRPr="00A605BB">
        <w:rPr>
          <w:rFonts w:eastAsia="TimesNRMTStd-Regular"/>
          <w:i/>
          <w:iCs/>
        </w:rPr>
        <w:t>H1f</w:t>
      </w:r>
      <w:r w:rsidRPr="00A605BB">
        <w:rPr>
          <w:rFonts w:eastAsia="TimesNRMTStd-Regular"/>
        </w:rPr>
        <w:t xml:space="preserve">. organising and executing, </w:t>
      </w:r>
      <w:r w:rsidRPr="00A605BB">
        <w:rPr>
          <w:rFonts w:eastAsia="TimesNRMTStd-Regular"/>
          <w:i/>
          <w:iCs/>
        </w:rPr>
        <w:t>H1g</w:t>
      </w:r>
      <w:r w:rsidRPr="00A605BB">
        <w:rPr>
          <w:rFonts w:eastAsia="TimesNRMTStd-Regular"/>
        </w:rPr>
        <w:t xml:space="preserve">. adapting and coping, and </w:t>
      </w:r>
      <w:r w:rsidRPr="00A605BB">
        <w:rPr>
          <w:rFonts w:eastAsia="TimesNRMTStd-Regular"/>
          <w:i/>
          <w:iCs/>
        </w:rPr>
        <w:t>H1h</w:t>
      </w:r>
      <w:r w:rsidRPr="00A605BB">
        <w:rPr>
          <w:rFonts w:eastAsia="TimesNRMTStd-Regular"/>
        </w:rPr>
        <w:t>. enterprising and performance).</w:t>
      </w:r>
    </w:p>
    <w:p w14:paraId="75E8BF26" w14:textId="47A433EC" w:rsidR="00765208" w:rsidRPr="00A605BB" w:rsidRDefault="00765208" w:rsidP="00765208">
      <w:pPr>
        <w:pStyle w:val="Heading2"/>
        <w:spacing w:before="0" w:after="0" w:line="480" w:lineRule="auto"/>
        <w:jc w:val="both"/>
        <w:rPr>
          <w:i w:val="0"/>
          <w:iCs w:val="0"/>
        </w:rPr>
      </w:pPr>
      <w:r w:rsidRPr="00A605BB">
        <w:rPr>
          <w:i w:val="0"/>
          <w:iCs w:val="0"/>
        </w:rPr>
        <w:lastRenderedPageBreak/>
        <w:t>Line Managers</w:t>
      </w:r>
    </w:p>
    <w:p w14:paraId="34627926" w14:textId="424908AF" w:rsidR="004F69B4" w:rsidRPr="00A605BB" w:rsidRDefault="004F4AB7" w:rsidP="00765208">
      <w:pPr>
        <w:jc w:val="both"/>
        <w:rPr>
          <w:rFonts w:eastAsia="TimesNRMTStd-Regular"/>
        </w:rPr>
      </w:pPr>
      <w:r w:rsidRPr="00A605BB">
        <w:rPr>
          <w:rFonts w:eastAsia="TimesNRMTStd-Regular"/>
        </w:rPr>
        <w:t>One of the limitations of the existing literature on work placements is that it has “focused largely on the perceptions by students, less so by supervisors” (</w:t>
      </w:r>
      <w:r w:rsidR="004F69B4" w:rsidRPr="00A605BB">
        <w:rPr>
          <w:rFonts w:eastAsia="TimesNRMTStd-Regular"/>
        </w:rPr>
        <w:t>Teng</w:t>
      </w:r>
      <w:r w:rsidRPr="00A605BB">
        <w:rPr>
          <w:rFonts w:eastAsia="TimesNRMTStd-Regular"/>
        </w:rPr>
        <w:t xml:space="preserve"> et al., 2022, p.459).</w:t>
      </w:r>
      <w:r w:rsidR="004F69B4" w:rsidRPr="00A605BB">
        <w:rPr>
          <w:rFonts w:eastAsia="TimesNRMTStd-Regular"/>
        </w:rPr>
        <w:t xml:space="preserve"> Our study addresses this gap by extending Teng and colleagues’ insights from public health internships in Singapore to business and </w:t>
      </w:r>
      <w:r w:rsidR="00B25887" w:rsidRPr="00A605BB">
        <w:rPr>
          <w:rFonts w:eastAsia="TimesNRMTStd-Regular"/>
        </w:rPr>
        <w:t>social science</w:t>
      </w:r>
      <w:r w:rsidR="004F69B4" w:rsidRPr="00A605BB">
        <w:rPr>
          <w:rFonts w:eastAsia="TimesNRMTStd-Regular"/>
        </w:rPr>
        <w:t xml:space="preserve"> placements in the UK. Furthermore, Hughes (2022) calls for more studies measuring the views of students and line managers at different time points during a placement. We also address this aspect by collecting student and line manager data at multiple time points, which links to sustainable career theory's time dimension within the context of a work placement (De Vos et al., 2020).</w:t>
      </w:r>
    </w:p>
    <w:p w14:paraId="498F5520" w14:textId="2905C38F" w:rsidR="004F69B4" w:rsidRPr="00A605BB" w:rsidRDefault="004F69B4" w:rsidP="003A672B">
      <w:pPr>
        <w:ind w:firstLine="567"/>
        <w:jc w:val="both"/>
        <w:rPr>
          <w:rFonts w:eastAsia="TimesNRMTStd-Regular"/>
        </w:rPr>
      </w:pPr>
      <w:r w:rsidRPr="00A605BB">
        <w:rPr>
          <w:rFonts w:eastAsia="TimesNRMTStd-Regular"/>
        </w:rPr>
        <w:t>The view of line managers is crucial since employers often criticise universities and national governments for producing graduates that are not ‘fit for purpose’ and lack the desired competencies required in the labour market (Clarke, 2018; Griffiths et al., 2018). There appears to be a mismatch between university students' perceptions and industry needs (</w:t>
      </w:r>
      <w:proofErr w:type="spellStart"/>
      <w:r w:rsidRPr="00A605BB">
        <w:t>Draissi</w:t>
      </w:r>
      <w:proofErr w:type="spellEnd"/>
      <w:r w:rsidRPr="00A605BB">
        <w:t xml:space="preserve"> et al., 2022; Succi and </w:t>
      </w:r>
      <w:proofErr w:type="spellStart"/>
      <w:r w:rsidRPr="00A605BB">
        <w:t>Canovi</w:t>
      </w:r>
      <w:proofErr w:type="spellEnd"/>
      <w:r w:rsidRPr="00A605BB">
        <w:t>, 2020)</w:t>
      </w:r>
      <w:r w:rsidR="008140B8" w:rsidRPr="00A605BB">
        <w:t xml:space="preserve">, which is vital to understand if students are to focus their development during a placement year, and if they are to </w:t>
      </w:r>
      <w:r w:rsidR="00DA183F" w:rsidRPr="00A605BB">
        <w:t>benchmark and promote their competencies in future recruitment activities accurately</w:t>
      </w:r>
      <w:r w:rsidRPr="00A605BB">
        <w:t>.</w:t>
      </w:r>
      <w:r w:rsidRPr="00A605BB">
        <w:rPr>
          <w:rFonts w:eastAsia="TimesNRMTStd-Regular"/>
        </w:rPr>
        <w:t xml:space="preserve"> Given the mismatch in perceptions, we propose</w:t>
      </w:r>
      <w:r w:rsidR="00DA183F" w:rsidRPr="00A605BB">
        <w:rPr>
          <w:rFonts w:eastAsia="TimesNRMTStd-Regular"/>
        </w:rPr>
        <w:t xml:space="preserve"> the following</w:t>
      </w:r>
      <w:r w:rsidR="00B52012" w:rsidRPr="00A605BB">
        <w:rPr>
          <w:rFonts w:eastAsia="TimesNRMTStd-Regular"/>
        </w:rPr>
        <w:t>:</w:t>
      </w:r>
      <w:r w:rsidRPr="00A605BB">
        <w:rPr>
          <w:rFonts w:eastAsia="TimesNRMTStd-Regular"/>
        </w:rPr>
        <w:t xml:space="preserve"> </w:t>
      </w:r>
    </w:p>
    <w:p w14:paraId="6BF37552" w14:textId="6B3C8ABF" w:rsidR="00765208" w:rsidRPr="00A605BB" w:rsidRDefault="00765208" w:rsidP="00765208">
      <w:pPr>
        <w:ind w:left="567" w:hanging="567"/>
        <w:jc w:val="both"/>
        <w:rPr>
          <w:rFonts w:eastAsia="TimesNRMTStd-Regular"/>
        </w:rPr>
      </w:pPr>
      <w:r w:rsidRPr="00A605BB">
        <w:rPr>
          <w:rFonts w:eastAsia="TimesNRMTStd-Regular"/>
          <w:i/>
          <w:iCs/>
        </w:rPr>
        <w:t>H</w:t>
      </w:r>
      <w:r w:rsidR="00F81782" w:rsidRPr="00A605BB">
        <w:rPr>
          <w:rFonts w:eastAsia="TimesNRMTStd-Regular"/>
          <w:i/>
          <w:iCs/>
        </w:rPr>
        <w:t>2</w:t>
      </w:r>
      <w:r w:rsidR="000D65BA" w:rsidRPr="00A605BB">
        <w:rPr>
          <w:rFonts w:eastAsia="TimesNRMTStd-Regular"/>
          <w:i/>
          <w:iCs/>
        </w:rPr>
        <w:t>a-h</w:t>
      </w:r>
      <w:r w:rsidRPr="00A605BB">
        <w:rPr>
          <w:rFonts w:eastAsia="TimesNRMTStd-Regular"/>
        </w:rPr>
        <w:t>. Students will perceive their</w:t>
      </w:r>
      <w:r w:rsidR="00C12F1C" w:rsidRPr="00A605BB">
        <w:rPr>
          <w:rFonts w:eastAsia="TimesNRMTStd-Regular"/>
        </w:rPr>
        <w:t xml:space="preserve"> Great Eight</w:t>
      </w:r>
      <w:r w:rsidRPr="00A605BB">
        <w:rPr>
          <w:rFonts w:eastAsia="TimesNRMTStd-Regular"/>
        </w:rPr>
        <w:t xml:space="preserve"> competencies to be at a higher level than perceived by their line manager during a placement. </w:t>
      </w:r>
      <w:r w:rsidR="000D65BA" w:rsidRPr="00A605BB">
        <w:rPr>
          <w:rFonts w:eastAsia="TimesNRMTStd-Regular"/>
        </w:rPr>
        <w:t>(</w:t>
      </w:r>
      <w:r w:rsidR="000D65BA" w:rsidRPr="00A605BB">
        <w:rPr>
          <w:rFonts w:eastAsia="TimesNRMTStd-Regular"/>
          <w:i/>
          <w:iCs/>
        </w:rPr>
        <w:t>H</w:t>
      </w:r>
      <w:r w:rsidR="00DA25E4" w:rsidRPr="00A605BB">
        <w:rPr>
          <w:rFonts w:eastAsia="TimesNRMTStd-Regular"/>
          <w:i/>
          <w:iCs/>
        </w:rPr>
        <w:t>2</w:t>
      </w:r>
      <w:r w:rsidR="000D65BA" w:rsidRPr="00A605BB">
        <w:rPr>
          <w:rFonts w:eastAsia="TimesNRMTStd-Regular"/>
          <w:i/>
          <w:iCs/>
        </w:rPr>
        <w:t>a</w:t>
      </w:r>
      <w:r w:rsidR="000D65BA" w:rsidRPr="00A605BB">
        <w:rPr>
          <w:rFonts w:eastAsia="TimesNRMTStd-Regular"/>
        </w:rPr>
        <w:t xml:space="preserve">. leading and deciding, </w:t>
      </w:r>
      <w:r w:rsidR="000D65BA" w:rsidRPr="00A605BB">
        <w:rPr>
          <w:rFonts w:eastAsia="TimesNRMTStd-Regular"/>
          <w:i/>
          <w:iCs/>
        </w:rPr>
        <w:t>H</w:t>
      </w:r>
      <w:r w:rsidR="00DA25E4" w:rsidRPr="00A605BB">
        <w:rPr>
          <w:rFonts w:eastAsia="TimesNRMTStd-Regular"/>
          <w:i/>
          <w:iCs/>
        </w:rPr>
        <w:t>2</w:t>
      </w:r>
      <w:r w:rsidR="000D65BA" w:rsidRPr="00A605BB">
        <w:rPr>
          <w:rFonts w:eastAsia="TimesNRMTStd-Regular"/>
          <w:i/>
          <w:iCs/>
        </w:rPr>
        <w:t>b</w:t>
      </w:r>
      <w:r w:rsidR="000D65BA" w:rsidRPr="00A605BB">
        <w:rPr>
          <w:rFonts w:eastAsia="TimesNRMTStd-Regular"/>
        </w:rPr>
        <w:t xml:space="preserve">. supporting and cooperating, </w:t>
      </w:r>
      <w:r w:rsidR="000D65BA" w:rsidRPr="00A605BB">
        <w:rPr>
          <w:rFonts w:eastAsia="TimesNRMTStd-Regular"/>
          <w:i/>
          <w:iCs/>
        </w:rPr>
        <w:t>H</w:t>
      </w:r>
      <w:r w:rsidR="00DA25E4" w:rsidRPr="00A605BB">
        <w:rPr>
          <w:rFonts w:eastAsia="TimesNRMTStd-Regular"/>
          <w:i/>
          <w:iCs/>
        </w:rPr>
        <w:t>2</w:t>
      </w:r>
      <w:r w:rsidR="000D65BA" w:rsidRPr="00A605BB">
        <w:rPr>
          <w:rFonts w:eastAsia="TimesNRMTStd-Regular"/>
          <w:i/>
          <w:iCs/>
        </w:rPr>
        <w:t>c</w:t>
      </w:r>
      <w:r w:rsidR="000D65BA" w:rsidRPr="00A605BB">
        <w:rPr>
          <w:rFonts w:eastAsia="TimesNRMTStd-Regular"/>
        </w:rPr>
        <w:t xml:space="preserve">. interacting and presenting, </w:t>
      </w:r>
      <w:r w:rsidR="000D65BA" w:rsidRPr="00A605BB">
        <w:rPr>
          <w:rFonts w:eastAsia="TimesNRMTStd-Regular"/>
          <w:i/>
          <w:iCs/>
        </w:rPr>
        <w:t>H</w:t>
      </w:r>
      <w:r w:rsidR="00DA25E4" w:rsidRPr="00A605BB">
        <w:rPr>
          <w:rFonts w:eastAsia="TimesNRMTStd-Regular"/>
          <w:i/>
          <w:iCs/>
        </w:rPr>
        <w:t>2</w:t>
      </w:r>
      <w:r w:rsidR="000D65BA" w:rsidRPr="00A605BB">
        <w:rPr>
          <w:rFonts w:eastAsia="TimesNRMTStd-Regular"/>
          <w:i/>
          <w:iCs/>
        </w:rPr>
        <w:t>d</w:t>
      </w:r>
      <w:r w:rsidR="000D65BA" w:rsidRPr="00A605BB">
        <w:rPr>
          <w:rFonts w:eastAsia="TimesNRMTStd-Regular"/>
        </w:rPr>
        <w:t xml:space="preserve">. analysing and interpreting, </w:t>
      </w:r>
      <w:r w:rsidR="000D65BA" w:rsidRPr="00A605BB">
        <w:rPr>
          <w:rFonts w:eastAsia="TimesNRMTStd-Regular"/>
          <w:i/>
          <w:iCs/>
        </w:rPr>
        <w:t>H</w:t>
      </w:r>
      <w:r w:rsidR="00DA25E4" w:rsidRPr="00A605BB">
        <w:rPr>
          <w:rFonts w:eastAsia="TimesNRMTStd-Regular"/>
          <w:i/>
          <w:iCs/>
        </w:rPr>
        <w:t>2</w:t>
      </w:r>
      <w:r w:rsidR="000D65BA" w:rsidRPr="00A605BB">
        <w:rPr>
          <w:rFonts w:eastAsia="TimesNRMTStd-Regular"/>
          <w:i/>
          <w:iCs/>
        </w:rPr>
        <w:t>e</w:t>
      </w:r>
      <w:r w:rsidR="000D65BA" w:rsidRPr="00A605BB">
        <w:rPr>
          <w:rFonts w:eastAsia="TimesNRMTStd-Regular"/>
        </w:rPr>
        <w:t xml:space="preserve">. creating and conceptualising, </w:t>
      </w:r>
      <w:r w:rsidR="000D65BA" w:rsidRPr="00A605BB">
        <w:rPr>
          <w:rFonts w:eastAsia="TimesNRMTStd-Regular"/>
          <w:i/>
          <w:iCs/>
        </w:rPr>
        <w:t>H</w:t>
      </w:r>
      <w:r w:rsidR="00DA25E4" w:rsidRPr="00A605BB">
        <w:rPr>
          <w:rFonts w:eastAsia="TimesNRMTStd-Regular"/>
          <w:i/>
          <w:iCs/>
        </w:rPr>
        <w:t>2</w:t>
      </w:r>
      <w:r w:rsidR="000D65BA" w:rsidRPr="00A605BB">
        <w:rPr>
          <w:rFonts w:eastAsia="TimesNRMTStd-Regular"/>
          <w:i/>
          <w:iCs/>
        </w:rPr>
        <w:t>f</w:t>
      </w:r>
      <w:r w:rsidR="000D65BA" w:rsidRPr="00A605BB">
        <w:rPr>
          <w:rFonts w:eastAsia="TimesNRMTStd-Regular"/>
        </w:rPr>
        <w:t xml:space="preserve">. organising and executing, </w:t>
      </w:r>
      <w:r w:rsidR="000D65BA" w:rsidRPr="00A605BB">
        <w:rPr>
          <w:rFonts w:eastAsia="TimesNRMTStd-Regular"/>
          <w:i/>
          <w:iCs/>
        </w:rPr>
        <w:t>H</w:t>
      </w:r>
      <w:r w:rsidR="00DA25E4" w:rsidRPr="00A605BB">
        <w:rPr>
          <w:rFonts w:eastAsia="TimesNRMTStd-Regular"/>
          <w:i/>
          <w:iCs/>
        </w:rPr>
        <w:t>2</w:t>
      </w:r>
      <w:r w:rsidR="000D65BA" w:rsidRPr="00A605BB">
        <w:rPr>
          <w:rFonts w:eastAsia="TimesNRMTStd-Regular"/>
          <w:i/>
          <w:iCs/>
        </w:rPr>
        <w:t>g</w:t>
      </w:r>
      <w:r w:rsidR="000D65BA" w:rsidRPr="00A605BB">
        <w:rPr>
          <w:rFonts w:eastAsia="TimesNRMTStd-Regular"/>
        </w:rPr>
        <w:t xml:space="preserve">. adapting and coping, and </w:t>
      </w:r>
      <w:r w:rsidR="000D65BA" w:rsidRPr="00A605BB">
        <w:rPr>
          <w:rFonts w:eastAsia="TimesNRMTStd-Regular"/>
          <w:i/>
          <w:iCs/>
        </w:rPr>
        <w:t>H</w:t>
      </w:r>
      <w:r w:rsidR="00DA25E4" w:rsidRPr="00A605BB">
        <w:rPr>
          <w:rFonts w:eastAsia="TimesNRMTStd-Regular"/>
          <w:i/>
          <w:iCs/>
        </w:rPr>
        <w:t>2</w:t>
      </w:r>
      <w:r w:rsidR="000D65BA" w:rsidRPr="00A605BB">
        <w:rPr>
          <w:rFonts w:eastAsia="TimesNRMTStd-Regular"/>
          <w:i/>
          <w:iCs/>
        </w:rPr>
        <w:t>h</w:t>
      </w:r>
      <w:r w:rsidR="000D65BA" w:rsidRPr="00A605BB">
        <w:rPr>
          <w:rFonts w:eastAsia="TimesNRMTStd-Regular"/>
        </w:rPr>
        <w:t>. enterprising and performance).</w:t>
      </w:r>
    </w:p>
    <w:p w14:paraId="3C476621" w14:textId="77777777" w:rsidR="00C6139B" w:rsidRPr="00A605BB" w:rsidRDefault="00C6139B" w:rsidP="00C6139B">
      <w:pPr>
        <w:jc w:val="both"/>
        <w:rPr>
          <w:rFonts w:eastAsia="TimesNRMTStd-Regular"/>
          <w:color w:val="FF0000"/>
        </w:rPr>
      </w:pPr>
    </w:p>
    <w:p w14:paraId="0ECF25CE" w14:textId="0005C6E9" w:rsidR="001939A6" w:rsidRPr="00A605BB" w:rsidRDefault="001939A6" w:rsidP="00C6466A">
      <w:pPr>
        <w:pStyle w:val="Heading1"/>
        <w:spacing w:before="0" w:after="0" w:line="480" w:lineRule="auto"/>
        <w:jc w:val="center"/>
      </w:pPr>
      <w:r w:rsidRPr="00A605BB">
        <w:lastRenderedPageBreak/>
        <w:t>Method</w:t>
      </w:r>
    </w:p>
    <w:p w14:paraId="688AE867" w14:textId="23AAAB18" w:rsidR="001939A6" w:rsidRPr="00A605BB" w:rsidRDefault="00306AEE" w:rsidP="00923CC9">
      <w:pPr>
        <w:pStyle w:val="Heading2"/>
        <w:spacing w:before="0" w:after="0" w:line="480" w:lineRule="auto"/>
        <w:rPr>
          <w:i w:val="0"/>
          <w:iCs w:val="0"/>
        </w:rPr>
      </w:pPr>
      <w:r w:rsidRPr="00A605BB">
        <w:rPr>
          <w:i w:val="0"/>
          <w:iCs w:val="0"/>
        </w:rPr>
        <w:t xml:space="preserve">Participants and </w:t>
      </w:r>
      <w:r w:rsidR="001939A6" w:rsidRPr="00A605BB">
        <w:rPr>
          <w:i w:val="0"/>
          <w:iCs w:val="0"/>
        </w:rPr>
        <w:t>Study Approach</w:t>
      </w:r>
    </w:p>
    <w:p w14:paraId="1CC64C16" w14:textId="5D3DE61B" w:rsidR="00306AEE" w:rsidRPr="00A605BB" w:rsidRDefault="00306AEE" w:rsidP="00C6139B">
      <w:pPr>
        <w:pStyle w:val="CommentText"/>
        <w:spacing w:after="0" w:line="480" w:lineRule="auto"/>
        <w:jc w:val="both"/>
        <w:rPr>
          <w:rFonts w:ascii="Times New Roman" w:hAnsi="Times New Roman" w:cs="Times New Roman"/>
          <w:sz w:val="24"/>
          <w:szCs w:val="24"/>
        </w:rPr>
      </w:pPr>
      <w:r w:rsidRPr="00A605BB">
        <w:rPr>
          <w:rFonts w:ascii="Times New Roman" w:hAnsi="Times New Roman" w:cs="Times New Roman"/>
          <w:sz w:val="24"/>
          <w:szCs w:val="24"/>
        </w:rPr>
        <w:t xml:space="preserve">Overall, </w:t>
      </w:r>
      <w:r w:rsidR="008E29B0" w:rsidRPr="00A605BB">
        <w:rPr>
          <w:rFonts w:ascii="Times New Roman" w:hAnsi="Times New Roman" w:cs="Times New Roman"/>
          <w:sz w:val="24"/>
          <w:szCs w:val="24"/>
        </w:rPr>
        <w:t xml:space="preserve">618 </w:t>
      </w:r>
      <w:r w:rsidR="00F80AEF" w:rsidRPr="00A605BB">
        <w:rPr>
          <w:rFonts w:ascii="Times New Roman" w:hAnsi="Times New Roman" w:cs="Times New Roman"/>
          <w:sz w:val="24"/>
          <w:szCs w:val="24"/>
        </w:rPr>
        <w:t xml:space="preserve">undergraduate </w:t>
      </w:r>
      <w:r w:rsidRPr="00A605BB">
        <w:rPr>
          <w:rFonts w:ascii="Times New Roman" w:hAnsi="Times New Roman" w:cs="Times New Roman"/>
          <w:sz w:val="24"/>
          <w:szCs w:val="24"/>
        </w:rPr>
        <w:t>students</w:t>
      </w:r>
      <w:r w:rsidR="00F80AEF" w:rsidRPr="00A605BB">
        <w:rPr>
          <w:rFonts w:ascii="Times New Roman" w:hAnsi="Times New Roman" w:cs="Times New Roman"/>
          <w:sz w:val="24"/>
          <w:szCs w:val="24"/>
        </w:rPr>
        <w:t xml:space="preserve"> at a Russell Group university in the UK</w:t>
      </w:r>
      <w:r w:rsidRPr="00A605BB">
        <w:rPr>
          <w:rFonts w:ascii="Times New Roman" w:hAnsi="Times New Roman" w:cs="Times New Roman"/>
          <w:sz w:val="24"/>
          <w:szCs w:val="24"/>
        </w:rPr>
        <w:t xml:space="preserve"> studying </w:t>
      </w:r>
      <w:r w:rsidR="00F80AEF" w:rsidRPr="00A605BB">
        <w:rPr>
          <w:rFonts w:ascii="Times New Roman" w:hAnsi="Times New Roman" w:cs="Times New Roman"/>
          <w:sz w:val="24"/>
          <w:szCs w:val="24"/>
        </w:rPr>
        <w:t>f</w:t>
      </w:r>
      <w:r w:rsidRPr="00A605BB">
        <w:rPr>
          <w:rFonts w:ascii="Times New Roman" w:hAnsi="Times New Roman" w:cs="Times New Roman"/>
          <w:sz w:val="24"/>
          <w:szCs w:val="24"/>
        </w:rPr>
        <w:t>ull-time</w:t>
      </w:r>
      <w:r w:rsidR="00F80AEF" w:rsidRPr="00A605BB">
        <w:rPr>
          <w:rFonts w:ascii="Times New Roman" w:hAnsi="Times New Roman" w:cs="Times New Roman"/>
          <w:sz w:val="24"/>
          <w:szCs w:val="24"/>
        </w:rPr>
        <w:t xml:space="preserve"> for business and social science</w:t>
      </w:r>
      <w:r w:rsidRPr="00A605BB">
        <w:rPr>
          <w:rFonts w:ascii="Times New Roman" w:hAnsi="Times New Roman" w:cs="Times New Roman"/>
          <w:sz w:val="24"/>
          <w:szCs w:val="24"/>
        </w:rPr>
        <w:t xml:space="preserve"> degree</w:t>
      </w:r>
      <w:r w:rsidR="00F80AEF" w:rsidRPr="00A605BB">
        <w:rPr>
          <w:rFonts w:ascii="Times New Roman" w:hAnsi="Times New Roman" w:cs="Times New Roman"/>
          <w:sz w:val="24"/>
          <w:szCs w:val="24"/>
        </w:rPr>
        <w:t>s with a mandatory placement</w:t>
      </w:r>
      <w:r w:rsidR="00BB3373" w:rsidRPr="00A605BB">
        <w:rPr>
          <w:rFonts w:ascii="Times New Roman" w:hAnsi="Times New Roman" w:cs="Times New Roman"/>
          <w:sz w:val="24"/>
          <w:szCs w:val="24"/>
        </w:rPr>
        <w:t xml:space="preserve"> were invited to </w:t>
      </w:r>
      <w:r w:rsidR="00F80AEF" w:rsidRPr="00A605BB">
        <w:rPr>
          <w:rFonts w:ascii="Times New Roman" w:hAnsi="Times New Roman" w:cs="Times New Roman"/>
          <w:sz w:val="24"/>
          <w:szCs w:val="24"/>
        </w:rPr>
        <w:t>participate in the study.</w:t>
      </w:r>
      <w:r w:rsidR="00BB3373" w:rsidRPr="00A605BB">
        <w:rPr>
          <w:rFonts w:ascii="Times New Roman" w:hAnsi="Times New Roman" w:cs="Times New Roman"/>
          <w:sz w:val="24"/>
          <w:szCs w:val="24"/>
        </w:rPr>
        <w:t xml:space="preserve"> </w:t>
      </w:r>
      <w:r w:rsidRPr="00A605BB">
        <w:rPr>
          <w:rFonts w:ascii="Times New Roman" w:hAnsi="Times New Roman" w:cs="Times New Roman"/>
          <w:sz w:val="24"/>
          <w:szCs w:val="24"/>
        </w:rPr>
        <w:t xml:space="preserve">The participants came from three </w:t>
      </w:r>
      <w:r w:rsidR="00F80AEF" w:rsidRPr="00A605BB">
        <w:rPr>
          <w:rFonts w:ascii="Times New Roman" w:hAnsi="Times New Roman" w:cs="Times New Roman"/>
          <w:sz w:val="24"/>
          <w:szCs w:val="24"/>
        </w:rPr>
        <w:t xml:space="preserve">successive </w:t>
      </w:r>
      <w:r w:rsidRPr="00A605BB">
        <w:rPr>
          <w:rFonts w:ascii="Times New Roman" w:hAnsi="Times New Roman" w:cs="Times New Roman"/>
          <w:sz w:val="24"/>
          <w:szCs w:val="24"/>
        </w:rPr>
        <w:t xml:space="preserve">cohorts with </w:t>
      </w:r>
      <w:r w:rsidR="003E489C" w:rsidRPr="00A605BB">
        <w:rPr>
          <w:rFonts w:ascii="Times New Roman" w:hAnsi="Times New Roman" w:cs="Times New Roman"/>
          <w:sz w:val="24"/>
          <w:szCs w:val="24"/>
        </w:rPr>
        <w:t>c</w:t>
      </w:r>
      <w:r w:rsidR="00F80AEF" w:rsidRPr="00A605BB">
        <w:rPr>
          <w:rFonts w:ascii="Times New Roman" w:hAnsi="Times New Roman" w:cs="Times New Roman"/>
          <w:sz w:val="24"/>
          <w:szCs w:val="24"/>
        </w:rPr>
        <w:t xml:space="preserve">irca </w:t>
      </w:r>
      <w:r w:rsidRPr="00A605BB">
        <w:rPr>
          <w:rFonts w:ascii="Times New Roman" w:hAnsi="Times New Roman" w:cs="Times New Roman"/>
          <w:sz w:val="24"/>
          <w:szCs w:val="24"/>
        </w:rPr>
        <w:t xml:space="preserve">200 students per cohort. </w:t>
      </w:r>
      <w:bookmarkStart w:id="8" w:name="_Hlk130058465"/>
      <w:r w:rsidRPr="00A605BB">
        <w:rPr>
          <w:rFonts w:ascii="Times New Roman" w:hAnsi="Times New Roman" w:cs="Times New Roman"/>
          <w:sz w:val="24"/>
          <w:szCs w:val="24"/>
        </w:rPr>
        <w:t xml:space="preserve">The gender split of </w:t>
      </w:r>
      <w:r w:rsidR="00612182" w:rsidRPr="00A605BB">
        <w:rPr>
          <w:rFonts w:ascii="Times New Roman" w:hAnsi="Times New Roman" w:cs="Times New Roman"/>
          <w:sz w:val="24"/>
          <w:szCs w:val="24"/>
        </w:rPr>
        <w:t xml:space="preserve">the individuals who </w:t>
      </w:r>
      <w:r w:rsidRPr="00A605BB">
        <w:rPr>
          <w:rFonts w:ascii="Times New Roman" w:hAnsi="Times New Roman" w:cs="Times New Roman"/>
          <w:sz w:val="24"/>
          <w:szCs w:val="24"/>
        </w:rPr>
        <w:t>participa</w:t>
      </w:r>
      <w:r w:rsidR="00612182" w:rsidRPr="00A605BB">
        <w:rPr>
          <w:rFonts w:ascii="Times New Roman" w:hAnsi="Times New Roman" w:cs="Times New Roman"/>
          <w:sz w:val="24"/>
          <w:szCs w:val="24"/>
        </w:rPr>
        <w:t xml:space="preserve">ted in the study </w:t>
      </w:r>
      <w:r w:rsidRPr="00A605BB">
        <w:rPr>
          <w:rFonts w:ascii="Times New Roman" w:hAnsi="Times New Roman" w:cs="Times New Roman"/>
          <w:sz w:val="24"/>
          <w:szCs w:val="24"/>
        </w:rPr>
        <w:t>was</w:t>
      </w:r>
      <w:r w:rsidR="00C32232" w:rsidRPr="00A605BB">
        <w:rPr>
          <w:rFonts w:ascii="Times New Roman" w:hAnsi="Times New Roman" w:cs="Times New Roman"/>
          <w:sz w:val="24"/>
          <w:szCs w:val="24"/>
        </w:rPr>
        <w:t xml:space="preserve"> 62%</w:t>
      </w:r>
      <w:r w:rsidRPr="00A605BB">
        <w:rPr>
          <w:rFonts w:ascii="Times New Roman" w:hAnsi="Times New Roman" w:cs="Times New Roman"/>
          <w:sz w:val="24"/>
          <w:szCs w:val="24"/>
        </w:rPr>
        <w:t xml:space="preserve"> women and </w:t>
      </w:r>
      <w:r w:rsidR="00C32232" w:rsidRPr="00A605BB">
        <w:rPr>
          <w:rFonts w:ascii="Times New Roman" w:hAnsi="Times New Roman" w:cs="Times New Roman"/>
          <w:sz w:val="24"/>
          <w:szCs w:val="24"/>
        </w:rPr>
        <w:t>38%</w:t>
      </w:r>
      <w:r w:rsidRPr="00A605BB">
        <w:rPr>
          <w:rFonts w:ascii="Times New Roman" w:hAnsi="Times New Roman" w:cs="Times New Roman"/>
          <w:sz w:val="24"/>
          <w:szCs w:val="24"/>
        </w:rPr>
        <w:t xml:space="preserve"> men</w:t>
      </w:r>
      <w:r w:rsidR="00F80AEF" w:rsidRPr="00A605BB">
        <w:rPr>
          <w:rFonts w:ascii="Times New Roman" w:hAnsi="Times New Roman" w:cs="Times New Roman"/>
          <w:sz w:val="24"/>
          <w:szCs w:val="24"/>
        </w:rPr>
        <w:t>, meaning our sample slightly overrepresent</w:t>
      </w:r>
      <w:r w:rsidR="00DA183F" w:rsidRPr="00A605BB">
        <w:rPr>
          <w:rFonts w:ascii="Times New Roman" w:hAnsi="Times New Roman" w:cs="Times New Roman"/>
          <w:sz w:val="24"/>
          <w:szCs w:val="24"/>
        </w:rPr>
        <w:t>ed</w:t>
      </w:r>
      <w:r w:rsidR="00F80AEF" w:rsidRPr="00A605BB">
        <w:rPr>
          <w:rFonts w:ascii="Times New Roman" w:hAnsi="Times New Roman" w:cs="Times New Roman"/>
          <w:sz w:val="24"/>
          <w:szCs w:val="24"/>
        </w:rPr>
        <w:t xml:space="preserve"> women compared to the 55%-45% gender split </w:t>
      </w:r>
      <w:r w:rsidR="00612182" w:rsidRPr="00A605BB">
        <w:rPr>
          <w:rFonts w:ascii="Times New Roman" w:hAnsi="Times New Roman" w:cs="Times New Roman"/>
          <w:sz w:val="24"/>
          <w:szCs w:val="24"/>
        </w:rPr>
        <w:t xml:space="preserve">of students studying at </w:t>
      </w:r>
      <w:r w:rsidR="00F80AEF" w:rsidRPr="00A605BB">
        <w:rPr>
          <w:rFonts w:ascii="Times New Roman" w:hAnsi="Times New Roman" w:cs="Times New Roman"/>
          <w:sz w:val="24"/>
          <w:szCs w:val="24"/>
        </w:rPr>
        <w:t xml:space="preserve">UK universities. </w:t>
      </w:r>
      <w:bookmarkEnd w:id="8"/>
      <w:r w:rsidR="00F80AEF" w:rsidRPr="00A605BB">
        <w:rPr>
          <w:rFonts w:ascii="Times New Roman" w:hAnsi="Times New Roman" w:cs="Times New Roman"/>
          <w:sz w:val="24"/>
          <w:szCs w:val="24"/>
        </w:rPr>
        <w:t>Additionally, w</w:t>
      </w:r>
      <w:r w:rsidRPr="00A605BB">
        <w:rPr>
          <w:rFonts w:ascii="Times New Roman" w:hAnsi="Times New Roman" w:cs="Times New Roman"/>
          <w:sz w:val="24"/>
          <w:szCs w:val="24"/>
        </w:rPr>
        <w:t>e opted to focus on three</w:t>
      </w:r>
      <w:r w:rsidR="00F80AEF" w:rsidRPr="00A605BB">
        <w:rPr>
          <w:rFonts w:ascii="Times New Roman" w:hAnsi="Times New Roman" w:cs="Times New Roman"/>
          <w:sz w:val="24"/>
          <w:szCs w:val="24"/>
        </w:rPr>
        <w:t xml:space="preserve"> successive </w:t>
      </w:r>
      <w:r w:rsidRPr="00A605BB">
        <w:rPr>
          <w:rFonts w:ascii="Times New Roman" w:hAnsi="Times New Roman" w:cs="Times New Roman"/>
          <w:sz w:val="24"/>
          <w:szCs w:val="24"/>
        </w:rPr>
        <w:t>cohorts</w:t>
      </w:r>
      <w:r w:rsidR="00F80AEF" w:rsidRPr="00A605BB">
        <w:rPr>
          <w:rFonts w:ascii="Times New Roman" w:hAnsi="Times New Roman" w:cs="Times New Roman"/>
          <w:sz w:val="24"/>
          <w:szCs w:val="24"/>
        </w:rPr>
        <w:t xml:space="preserve"> up to an</w:t>
      </w:r>
      <w:r w:rsidR="00DA183F" w:rsidRPr="00A605BB">
        <w:rPr>
          <w:rFonts w:ascii="Times New Roman" w:hAnsi="Times New Roman" w:cs="Times New Roman"/>
          <w:sz w:val="24"/>
          <w:szCs w:val="24"/>
        </w:rPr>
        <w:t>d</w:t>
      </w:r>
      <w:r w:rsidR="00F80AEF" w:rsidRPr="00A605BB">
        <w:rPr>
          <w:rFonts w:ascii="Times New Roman" w:hAnsi="Times New Roman" w:cs="Times New Roman"/>
          <w:sz w:val="24"/>
          <w:szCs w:val="24"/>
        </w:rPr>
        <w:t xml:space="preserve"> including 2018/219 </w:t>
      </w:r>
      <w:r w:rsidRPr="00A605BB">
        <w:rPr>
          <w:rFonts w:ascii="Times New Roman" w:hAnsi="Times New Roman" w:cs="Times New Roman"/>
          <w:sz w:val="24"/>
          <w:szCs w:val="24"/>
        </w:rPr>
        <w:t>since the C</w:t>
      </w:r>
      <w:r w:rsidR="00F80AEF" w:rsidRPr="00A605BB">
        <w:rPr>
          <w:rFonts w:ascii="Times New Roman" w:hAnsi="Times New Roman" w:cs="Times New Roman"/>
          <w:sz w:val="24"/>
          <w:szCs w:val="24"/>
        </w:rPr>
        <w:t>OVID</w:t>
      </w:r>
      <w:r w:rsidRPr="00A605BB">
        <w:rPr>
          <w:rFonts w:ascii="Times New Roman" w:hAnsi="Times New Roman" w:cs="Times New Roman"/>
          <w:sz w:val="24"/>
          <w:szCs w:val="24"/>
        </w:rPr>
        <w:t xml:space="preserve">-19 pandemic impacted the 2019/20 cohorts onwards. </w:t>
      </w:r>
    </w:p>
    <w:p w14:paraId="4FA10C73" w14:textId="34491465" w:rsidR="00C6139B" w:rsidRPr="00A605BB" w:rsidRDefault="00306AEE" w:rsidP="003A672B">
      <w:pPr>
        <w:pStyle w:val="CommentText"/>
        <w:spacing w:after="0" w:line="480" w:lineRule="auto"/>
        <w:ind w:firstLine="567"/>
        <w:jc w:val="both"/>
        <w:rPr>
          <w:rFonts w:ascii="Times New Roman" w:hAnsi="Times New Roman" w:cs="Times New Roman"/>
          <w:sz w:val="24"/>
          <w:szCs w:val="24"/>
        </w:rPr>
      </w:pPr>
      <w:r w:rsidRPr="00A605BB">
        <w:rPr>
          <w:rFonts w:ascii="Times New Roman" w:hAnsi="Times New Roman" w:cs="Times New Roman"/>
          <w:sz w:val="24"/>
          <w:szCs w:val="24"/>
        </w:rPr>
        <w:t>The students completed a three-wave questionnaire at the start, middle, and end of their placement, offering a longitudinal and quantitative study</w:t>
      </w:r>
      <w:r w:rsidR="00F80AEF" w:rsidRPr="00A605BB">
        <w:rPr>
          <w:rFonts w:ascii="Times New Roman" w:hAnsi="Times New Roman" w:cs="Times New Roman"/>
          <w:sz w:val="24"/>
          <w:szCs w:val="24"/>
        </w:rPr>
        <w:t xml:space="preserve"> design</w:t>
      </w:r>
      <w:r w:rsidRPr="00A605BB">
        <w:rPr>
          <w:rFonts w:ascii="Times New Roman" w:hAnsi="Times New Roman" w:cs="Times New Roman"/>
          <w:sz w:val="24"/>
          <w:szCs w:val="24"/>
        </w:rPr>
        <w:t xml:space="preserve">. </w:t>
      </w:r>
      <w:r w:rsidR="00F80AEF" w:rsidRPr="00A605BB">
        <w:rPr>
          <w:rFonts w:ascii="Times New Roman" w:hAnsi="Times New Roman" w:cs="Times New Roman"/>
          <w:sz w:val="24"/>
          <w:szCs w:val="24"/>
        </w:rPr>
        <w:t xml:space="preserve">The </w:t>
      </w:r>
      <w:r w:rsidRPr="00A605BB">
        <w:rPr>
          <w:rFonts w:ascii="Times New Roman" w:hAnsi="Times New Roman" w:cs="Times New Roman"/>
          <w:sz w:val="24"/>
          <w:szCs w:val="24"/>
        </w:rPr>
        <w:t>6</w:t>
      </w:r>
      <w:r w:rsidR="00584267" w:rsidRPr="00A605BB">
        <w:rPr>
          <w:rFonts w:ascii="Times New Roman" w:hAnsi="Times New Roman" w:cs="Times New Roman"/>
          <w:sz w:val="24"/>
          <w:szCs w:val="24"/>
        </w:rPr>
        <w:t>1</w:t>
      </w:r>
      <w:r w:rsidR="000C600A" w:rsidRPr="00A605BB">
        <w:rPr>
          <w:rFonts w:ascii="Times New Roman" w:hAnsi="Times New Roman" w:cs="Times New Roman"/>
          <w:sz w:val="24"/>
          <w:szCs w:val="24"/>
        </w:rPr>
        <w:t>8</w:t>
      </w:r>
      <w:r w:rsidRPr="00A605BB">
        <w:rPr>
          <w:rFonts w:ascii="Times New Roman" w:hAnsi="Times New Roman" w:cs="Times New Roman"/>
          <w:sz w:val="24"/>
          <w:szCs w:val="24"/>
        </w:rPr>
        <w:t xml:space="preserve"> line managers completed the same questionnaire </w:t>
      </w:r>
      <w:r w:rsidR="00F80AEF" w:rsidRPr="00A605BB">
        <w:rPr>
          <w:rFonts w:ascii="Times New Roman" w:hAnsi="Times New Roman" w:cs="Times New Roman"/>
          <w:sz w:val="24"/>
          <w:szCs w:val="24"/>
        </w:rPr>
        <w:t xml:space="preserve">at the middle and end of the placement </w:t>
      </w:r>
      <w:r w:rsidRPr="00A605BB">
        <w:rPr>
          <w:rFonts w:ascii="Times New Roman" w:hAnsi="Times New Roman" w:cs="Times New Roman"/>
          <w:sz w:val="24"/>
          <w:szCs w:val="24"/>
        </w:rPr>
        <w:t xml:space="preserve">to offer 360-degree feedback on the student. </w:t>
      </w:r>
      <w:r w:rsidR="0061107C" w:rsidRPr="00A605BB">
        <w:rPr>
          <w:rFonts w:ascii="Times New Roman" w:hAnsi="Times New Roman" w:cs="Times New Roman"/>
          <w:sz w:val="24"/>
          <w:szCs w:val="24"/>
        </w:rPr>
        <w:t>Students and their managers used a unique identification code to link the data across the different waves.</w:t>
      </w:r>
      <w:r w:rsidR="00BB3373" w:rsidRPr="00A605BB">
        <w:rPr>
          <w:rFonts w:ascii="Times New Roman" w:hAnsi="Times New Roman" w:cs="Times New Roman"/>
          <w:sz w:val="24"/>
          <w:szCs w:val="24"/>
        </w:rPr>
        <w:t xml:space="preserve"> </w:t>
      </w:r>
      <w:r w:rsidR="00DA183F" w:rsidRPr="00A605BB">
        <w:rPr>
          <w:rFonts w:ascii="Times New Roman" w:hAnsi="Times New Roman" w:cs="Times New Roman"/>
          <w:sz w:val="24"/>
          <w:szCs w:val="24"/>
        </w:rPr>
        <w:t>W</w:t>
      </w:r>
      <w:r w:rsidR="00BB3373" w:rsidRPr="00A605BB">
        <w:rPr>
          <w:rFonts w:ascii="Times New Roman" w:hAnsi="Times New Roman" w:cs="Times New Roman"/>
          <w:sz w:val="24"/>
          <w:szCs w:val="24"/>
        </w:rPr>
        <w:t xml:space="preserve">e received 405-408 matched student-line manager cases across the competencies due to some non-disclosure agreements with partner organisations. </w:t>
      </w:r>
      <w:r w:rsidR="0061107C" w:rsidRPr="00A605BB">
        <w:rPr>
          <w:rFonts w:ascii="Times New Roman" w:hAnsi="Times New Roman" w:cs="Times New Roman"/>
          <w:sz w:val="24"/>
          <w:szCs w:val="24"/>
        </w:rPr>
        <w:t xml:space="preserve">Once the data had been linked upon completion of the data collection phase, all identifying features were deleted to ensure anonymity. </w:t>
      </w:r>
      <w:r w:rsidRPr="00A605BB">
        <w:rPr>
          <w:rFonts w:ascii="Times New Roman" w:hAnsi="Times New Roman" w:cs="Times New Roman"/>
          <w:sz w:val="24"/>
          <w:szCs w:val="24"/>
        </w:rPr>
        <w:t>The Institutional Review Board approved the study, the questionnaires were completed online, and all participants gave informed consent.</w:t>
      </w:r>
    </w:p>
    <w:p w14:paraId="54726E2F" w14:textId="33B10A54" w:rsidR="00306AEE" w:rsidRPr="00A605BB" w:rsidRDefault="00306AEE" w:rsidP="00306AEE">
      <w:pPr>
        <w:pStyle w:val="Heading2"/>
        <w:spacing w:before="0" w:after="0" w:line="480" w:lineRule="auto"/>
        <w:rPr>
          <w:i w:val="0"/>
          <w:iCs w:val="0"/>
        </w:rPr>
      </w:pPr>
      <w:r w:rsidRPr="00A605BB">
        <w:rPr>
          <w:i w:val="0"/>
          <w:iCs w:val="0"/>
        </w:rPr>
        <w:t>Measures</w:t>
      </w:r>
    </w:p>
    <w:p w14:paraId="47EDE5E1" w14:textId="42B6635D" w:rsidR="00EF1E7B" w:rsidRPr="00A605BB" w:rsidRDefault="00306AEE" w:rsidP="00EF1E7B">
      <w:pPr>
        <w:pStyle w:val="CommentText"/>
        <w:spacing w:after="0" w:line="480" w:lineRule="auto"/>
        <w:jc w:val="both"/>
        <w:rPr>
          <w:rFonts w:ascii="Times New Roman" w:hAnsi="Times New Roman" w:cs="Times New Roman"/>
          <w:sz w:val="24"/>
          <w:szCs w:val="24"/>
        </w:rPr>
      </w:pPr>
      <w:r w:rsidRPr="00A605BB">
        <w:rPr>
          <w:rFonts w:ascii="Times New Roman" w:hAnsi="Times New Roman" w:cs="Times New Roman"/>
          <w:sz w:val="24"/>
          <w:szCs w:val="24"/>
        </w:rPr>
        <w:t xml:space="preserve">Each questionnaire captured data on </w:t>
      </w:r>
      <w:r w:rsidR="0061107C" w:rsidRPr="00A605BB">
        <w:rPr>
          <w:rFonts w:ascii="Times New Roman" w:hAnsi="Times New Roman" w:cs="Times New Roman"/>
          <w:sz w:val="24"/>
          <w:szCs w:val="24"/>
        </w:rPr>
        <w:t>t</w:t>
      </w:r>
      <w:r w:rsidRPr="00A605BB">
        <w:rPr>
          <w:rFonts w:ascii="Times New Roman" w:hAnsi="Times New Roman" w:cs="Times New Roman"/>
          <w:sz w:val="24"/>
          <w:szCs w:val="24"/>
        </w:rPr>
        <w:t xml:space="preserve">he </w:t>
      </w:r>
      <w:r w:rsidR="0061107C" w:rsidRPr="00A605BB">
        <w:rPr>
          <w:rFonts w:ascii="Times New Roman" w:hAnsi="Times New Roman" w:cs="Times New Roman"/>
          <w:sz w:val="24"/>
          <w:szCs w:val="24"/>
        </w:rPr>
        <w:t>‘</w:t>
      </w:r>
      <w:r w:rsidRPr="00A605BB">
        <w:rPr>
          <w:rFonts w:ascii="Times New Roman" w:hAnsi="Times New Roman" w:cs="Times New Roman"/>
          <w:sz w:val="24"/>
          <w:szCs w:val="24"/>
        </w:rPr>
        <w:t>Great Eight</w:t>
      </w:r>
      <w:r w:rsidR="0061107C" w:rsidRPr="00A605BB">
        <w:rPr>
          <w:rFonts w:ascii="Times New Roman" w:hAnsi="Times New Roman" w:cs="Times New Roman"/>
          <w:sz w:val="24"/>
          <w:szCs w:val="24"/>
        </w:rPr>
        <w:t>’</w:t>
      </w:r>
      <w:r w:rsidRPr="00A605BB">
        <w:rPr>
          <w:rFonts w:ascii="Times New Roman" w:hAnsi="Times New Roman" w:cs="Times New Roman"/>
          <w:sz w:val="24"/>
          <w:szCs w:val="24"/>
        </w:rPr>
        <w:t xml:space="preserve"> competency factors</w:t>
      </w:r>
      <w:r w:rsidR="00EF1E7B" w:rsidRPr="00A605BB">
        <w:rPr>
          <w:rFonts w:ascii="Times New Roman" w:hAnsi="Times New Roman" w:cs="Times New Roman"/>
          <w:sz w:val="24"/>
          <w:szCs w:val="24"/>
        </w:rPr>
        <w:t xml:space="preserve"> of (</w:t>
      </w:r>
      <w:proofErr w:type="spellStart"/>
      <w:r w:rsidR="00EF1E7B" w:rsidRPr="00A605BB">
        <w:rPr>
          <w:rFonts w:ascii="Times New Roman" w:hAnsi="Times New Roman" w:cs="Times New Roman"/>
          <w:sz w:val="24"/>
          <w:szCs w:val="24"/>
        </w:rPr>
        <w:t>i</w:t>
      </w:r>
      <w:proofErr w:type="spellEnd"/>
      <w:r w:rsidR="00EF1E7B" w:rsidRPr="00A605BB">
        <w:rPr>
          <w:rFonts w:ascii="Times New Roman" w:hAnsi="Times New Roman" w:cs="Times New Roman"/>
          <w:sz w:val="24"/>
          <w:szCs w:val="24"/>
        </w:rPr>
        <w:t xml:space="preserve">) leading and deciding, (ii) supporting and cooperating, (iii) interacting and presenting, (iv) analysing and interpreting, (v) creating and conceptualising, (vi) organising and executing, (vii) adapting and coping, and (viii) enterprising and performance (Bartram, </w:t>
      </w:r>
      <w:r w:rsidR="00EF1E7B" w:rsidRPr="00A605BB">
        <w:rPr>
          <w:rFonts w:ascii="Times New Roman" w:hAnsi="Times New Roman" w:cs="Times New Roman"/>
          <w:sz w:val="24"/>
          <w:szCs w:val="24"/>
        </w:rPr>
        <w:lastRenderedPageBreak/>
        <w:t xml:space="preserve">2005, p. 1187; Kurz and Bartram, 2002). The eight scales </w:t>
      </w:r>
      <w:r w:rsidR="0040352B" w:rsidRPr="00A605BB">
        <w:rPr>
          <w:rFonts w:ascii="Times New Roman" w:hAnsi="Times New Roman" w:cs="Times New Roman"/>
          <w:sz w:val="24"/>
          <w:szCs w:val="24"/>
        </w:rPr>
        <w:t>comprised</w:t>
      </w:r>
      <w:r w:rsidR="00EF1E7B" w:rsidRPr="00A605BB">
        <w:rPr>
          <w:rFonts w:ascii="Times New Roman" w:hAnsi="Times New Roman" w:cs="Times New Roman"/>
          <w:sz w:val="24"/>
          <w:szCs w:val="24"/>
        </w:rPr>
        <w:t xml:space="preserve"> 2</w:t>
      </w:r>
      <w:r w:rsidR="00475B66" w:rsidRPr="00A605BB">
        <w:rPr>
          <w:rFonts w:ascii="Times New Roman" w:hAnsi="Times New Roman" w:cs="Times New Roman"/>
          <w:sz w:val="24"/>
          <w:szCs w:val="24"/>
        </w:rPr>
        <w:t>0</w:t>
      </w:r>
      <w:r w:rsidR="00EF1E7B" w:rsidRPr="00A605BB">
        <w:rPr>
          <w:rFonts w:ascii="Times New Roman" w:hAnsi="Times New Roman" w:cs="Times New Roman"/>
          <w:sz w:val="24"/>
          <w:szCs w:val="24"/>
        </w:rPr>
        <w:t xml:space="preserve"> sub-scales and </w:t>
      </w:r>
      <w:r w:rsidR="00BC7014" w:rsidRPr="00A605BB">
        <w:rPr>
          <w:rFonts w:ascii="Times New Roman" w:hAnsi="Times New Roman" w:cs="Times New Roman"/>
          <w:sz w:val="24"/>
          <w:szCs w:val="24"/>
        </w:rPr>
        <w:t>93</w:t>
      </w:r>
      <w:r w:rsidR="00EF1E7B" w:rsidRPr="00A605BB">
        <w:rPr>
          <w:rFonts w:ascii="Times New Roman" w:hAnsi="Times New Roman" w:cs="Times New Roman"/>
          <w:sz w:val="24"/>
          <w:szCs w:val="24"/>
        </w:rPr>
        <w:t xml:space="preserve"> items (Bartram, 2005, pp. 1202-1203). </w:t>
      </w:r>
      <w:r w:rsidR="00B15700" w:rsidRPr="00A605BB">
        <w:rPr>
          <w:rFonts w:ascii="Times New Roman" w:hAnsi="Times New Roman" w:cs="Times New Roman"/>
          <w:sz w:val="24"/>
          <w:szCs w:val="24"/>
        </w:rPr>
        <w:t xml:space="preserve">Each item was measured using a 5-point Likert scale (1=lowest and 5=highest). </w:t>
      </w:r>
      <w:r w:rsidR="00EF1E7B" w:rsidRPr="00A605BB">
        <w:rPr>
          <w:rFonts w:ascii="Times New Roman" w:hAnsi="Times New Roman" w:cs="Times New Roman"/>
          <w:sz w:val="24"/>
          <w:szCs w:val="24"/>
        </w:rPr>
        <w:t xml:space="preserve">The Cronbach Alpha reliability for each </w:t>
      </w:r>
      <w:r w:rsidR="0040352B" w:rsidRPr="00A605BB">
        <w:rPr>
          <w:rFonts w:ascii="Times New Roman" w:hAnsi="Times New Roman" w:cs="Times New Roman"/>
          <w:sz w:val="24"/>
          <w:szCs w:val="24"/>
        </w:rPr>
        <w:t>scale</w:t>
      </w:r>
      <w:r w:rsidR="00EF1E7B" w:rsidRPr="00A605BB">
        <w:rPr>
          <w:rFonts w:ascii="Times New Roman" w:hAnsi="Times New Roman" w:cs="Times New Roman"/>
          <w:sz w:val="24"/>
          <w:szCs w:val="24"/>
        </w:rPr>
        <w:t xml:space="preserve"> exceeded 0.</w:t>
      </w:r>
      <w:r w:rsidR="00A14A15" w:rsidRPr="00A605BB">
        <w:rPr>
          <w:rFonts w:ascii="Times New Roman" w:hAnsi="Times New Roman" w:cs="Times New Roman"/>
          <w:sz w:val="24"/>
          <w:szCs w:val="24"/>
        </w:rPr>
        <w:t xml:space="preserve">60, </w:t>
      </w:r>
      <w:r w:rsidR="00EF1E7B" w:rsidRPr="00A605BB">
        <w:rPr>
          <w:rFonts w:ascii="Times New Roman" w:hAnsi="Times New Roman" w:cs="Times New Roman"/>
          <w:sz w:val="24"/>
          <w:szCs w:val="24"/>
        </w:rPr>
        <w:t>in keeping with previous validation by Bartram (2005).</w:t>
      </w:r>
    </w:p>
    <w:p w14:paraId="5D58B422" w14:textId="3617D1E9" w:rsidR="00306AEE" w:rsidRPr="00A605BB" w:rsidRDefault="00EF1E7B" w:rsidP="003A672B">
      <w:pPr>
        <w:pStyle w:val="CommentText"/>
        <w:spacing w:after="0" w:line="480" w:lineRule="auto"/>
        <w:ind w:firstLine="567"/>
        <w:jc w:val="both"/>
        <w:rPr>
          <w:rFonts w:ascii="Times New Roman" w:hAnsi="Times New Roman" w:cs="Times New Roman"/>
          <w:sz w:val="24"/>
          <w:szCs w:val="24"/>
        </w:rPr>
      </w:pPr>
      <w:r w:rsidRPr="00A605BB">
        <w:rPr>
          <w:rFonts w:ascii="Times New Roman" w:hAnsi="Times New Roman" w:cs="Times New Roman"/>
          <w:sz w:val="24"/>
          <w:szCs w:val="24"/>
        </w:rPr>
        <w:t xml:space="preserve">Additionally, the students provided their gender (all students identified as either male or female in our study) and degree subject </w:t>
      </w:r>
      <w:bookmarkStart w:id="9" w:name="_Hlk130058635"/>
      <w:r w:rsidRPr="00A605BB">
        <w:rPr>
          <w:rFonts w:ascii="Times New Roman" w:hAnsi="Times New Roman" w:cs="Times New Roman"/>
          <w:sz w:val="24"/>
          <w:szCs w:val="24"/>
        </w:rPr>
        <w:t>(</w:t>
      </w:r>
      <w:r w:rsidR="0061107C" w:rsidRPr="00A605BB">
        <w:rPr>
          <w:rFonts w:ascii="Times New Roman" w:hAnsi="Times New Roman" w:cs="Times New Roman"/>
          <w:sz w:val="24"/>
          <w:szCs w:val="24"/>
        </w:rPr>
        <w:t xml:space="preserve">all students </w:t>
      </w:r>
      <w:r w:rsidR="00612182" w:rsidRPr="00A605BB">
        <w:rPr>
          <w:rFonts w:ascii="Times New Roman" w:hAnsi="Times New Roman" w:cs="Times New Roman"/>
          <w:sz w:val="24"/>
          <w:szCs w:val="24"/>
        </w:rPr>
        <w:t xml:space="preserve">were </w:t>
      </w:r>
      <w:r w:rsidR="0061107C" w:rsidRPr="00A605BB">
        <w:rPr>
          <w:rFonts w:ascii="Times New Roman" w:hAnsi="Times New Roman" w:cs="Times New Roman"/>
          <w:sz w:val="24"/>
          <w:szCs w:val="24"/>
        </w:rPr>
        <w:t xml:space="preserve">studying </w:t>
      </w:r>
      <w:r w:rsidR="00612182" w:rsidRPr="00A605BB">
        <w:rPr>
          <w:rFonts w:ascii="Times New Roman" w:hAnsi="Times New Roman" w:cs="Times New Roman"/>
          <w:sz w:val="24"/>
          <w:szCs w:val="24"/>
        </w:rPr>
        <w:t xml:space="preserve">for a </w:t>
      </w:r>
      <w:r w:rsidRPr="00A605BB">
        <w:rPr>
          <w:rFonts w:ascii="Times New Roman" w:hAnsi="Times New Roman" w:cs="Times New Roman"/>
          <w:sz w:val="24"/>
          <w:szCs w:val="24"/>
        </w:rPr>
        <w:t xml:space="preserve">business or </w:t>
      </w:r>
      <w:r w:rsidR="0061107C" w:rsidRPr="00A605BB">
        <w:rPr>
          <w:rFonts w:ascii="Times New Roman" w:hAnsi="Times New Roman" w:cs="Times New Roman"/>
          <w:sz w:val="24"/>
          <w:szCs w:val="24"/>
        </w:rPr>
        <w:t xml:space="preserve">social </w:t>
      </w:r>
      <w:r w:rsidR="00612182" w:rsidRPr="00A605BB">
        <w:rPr>
          <w:rFonts w:ascii="Times New Roman" w:hAnsi="Times New Roman" w:cs="Times New Roman"/>
          <w:sz w:val="24"/>
          <w:szCs w:val="24"/>
        </w:rPr>
        <w:t>science degree</w:t>
      </w:r>
      <w:r w:rsidR="0061107C" w:rsidRPr="00A605BB">
        <w:rPr>
          <w:rFonts w:ascii="Times New Roman" w:hAnsi="Times New Roman" w:cs="Times New Roman"/>
          <w:sz w:val="24"/>
          <w:szCs w:val="24"/>
        </w:rPr>
        <w:t>).</w:t>
      </w:r>
      <w:r w:rsidRPr="00A605BB">
        <w:rPr>
          <w:rFonts w:ascii="Times New Roman" w:hAnsi="Times New Roman" w:cs="Times New Roman"/>
          <w:sz w:val="24"/>
          <w:szCs w:val="24"/>
        </w:rPr>
        <w:t xml:space="preserve"> </w:t>
      </w:r>
      <w:bookmarkEnd w:id="9"/>
    </w:p>
    <w:p w14:paraId="1CD38D03" w14:textId="480FF80F" w:rsidR="001939A6" w:rsidRPr="00A605BB" w:rsidRDefault="001939A6" w:rsidP="00923CC9">
      <w:pPr>
        <w:pStyle w:val="Heading2"/>
        <w:spacing w:before="0" w:after="0" w:line="480" w:lineRule="auto"/>
        <w:rPr>
          <w:i w:val="0"/>
          <w:iCs w:val="0"/>
        </w:rPr>
      </w:pPr>
      <w:r w:rsidRPr="00A605BB">
        <w:rPr>
          <w:i w:val="0"/>
          <w:iCs w:val="0"/>
        </w:rPr>
        <w:t>Analysis</w:t>
      </w:r>
    </w:p>
    <w:p w14:paraId="3735BB05" w14:textId="356F5D6A" w:rsidR="00B23BA8" w:rsidRPr="00A605BB" w:rsidRDefault="005D3D90" w:rsidP="004F69B4">
      <w:pPr>
        <w:pStyle w:val="CommentText"/>
        <w:spacing w:after="0" w:line="480" w:lineRule="auto"/>
        <w:jc w:val="both"/>
        <w:rPr>
          <w:rFonts w:ascii="Times New Roman" w:hAnsi="Times New Roman" w:cs="Times New Roman"/>
          <w:sz w:val="24"/>
          <w:szCs w:val="24"/>
        </w:rPr>
      </w:pPr>
      <w:r w:rsidRPr="00A605BB">
        <w:rPr>
          <w:rFonts w:ascii="Times New Roman" w:hAnsi="Times New Roman" w:cs="Times New Roman"/>
          <w:sz w:val="24"/>
          <w:szCs w:val="24"/>
        </w:rPr>
        <w:t xml:space="preserve">The analysis of data was conducted over </w:t>
      </w:r>
      <w:r w:rsidR="0061107C" w:rsidRPr="00A605BB">
        <w:rPr>
          <w:rFonts w:ascii="Times New Roman" w:hAnsi="Times New Roman" w:cs="Times New Roman"/>
          <w:sz w:val="24"/>
          <w:szCs w:val="24"/>
        </w:rPr>
        <w:t xml:space="preserve">three </w:t>
      </w:r>
      <w:r w:rsidRPr="00A605BB">
        <w:rPr>
          <w:rFonts w:ascii="Times New Roman" w:hAnsi="Times New Roman" w:cs="Times New Roman"/>
          <w:sz w:val="24"/>
          <w:szCs w:val="24"/>
        </w:rPr>
        <w:t>phases. First, descriptive statistics of means, standard deviations, and correlations were calculated for students</w:t>
      </w:r>
      <w:r w:rsidR="00A55FC9" w:rsidRPr="00A605BB">
        <w:rPr>
          <w:rFonts w:ascii="Times New Roman" w:hAnsi="Times New Roman" w:cs="Times New Roman"/>
          <w:sz w:val="24"/>
          <w:szCs w:val="24"/>
        </w:rPr>
        <w:t xml:space="preserve"> (waves 1-3)</w:t>
      </w:r>
      <w:r w:rsidRPr="00A605BB">
        <w:rPr>
          <w:rFonts w:ascii="Times New Roman" w:hAnsi="Times New Roman" w:cs="Times New Roman"/>
          <w:sz w:val="24"/>
          <w:szCs w:val="24"/>
        </w:rPr>
        <w:t xml:space="preserve"> and managers</w:t>
      </w:r>
      <w:r w:rsidR="00A55FC9" w:rsidRPr="00A605BB">
        <w:rPr>
          <w:rFonts w:ascii="Times New Roman" w:hAnsi="Times New Roman" w:cs="Times New Roman"/>
          <w:sz w:val="24"/>
          <w:szCs w:val="24"/>
        </w:rPr>
        <w:t xml:space="preserve"> (waves 2-3)</w:t>
      </w:r>
      <w:r w:rsidRPr="00A605BB">
        <w:rPr>
          <w:rFonts w:ascii="Times New Roman" w:hAnsi="Times New Roman" w:cs="Times New Roman"/>
          <w:sz w:val="24"/>
          <w:szCs w:val="24"/>
        </w:rPr>
        <w:t xml:space="preserve"> at each </w:t>
      </w:r>
      <w:r w:rsidR="0040352B" w:rsidRPr="00A605BB">
        <w:rPr>
          <w:rFonts w:ascii="Times New Roman" w:hAnsi="Times New Roman" w:cs="Times New Roman"/>
          <w:sz w:val="24"/>
          <w:szCs w:val="24"/>
        </w:rPr>
        <w:t>respective time point</w:t>
      </w:r>
      <w:r w:rsidRPr="00A605BB">
        <w:rPr>
          <w:rFonts w:ascii="Times New Roman" w:hAnsi="Times New Roman" w:cs="Times New Roman"/>
          <w:sz w:val="24"/>
          <w:szCs w:val="24"/>
        </w:rPr>
        <w:t>. Second, Repeated Measure ANOVA (for students*time) was calculated</w:t>
      </w:r>
      <w:r w:rsidR="00A55FC9" w:rsidRPr="00A605BB">
        <w:rPr>
          <w:rFonts w:ascii="Times New Roman" w:hAnsi="Times New Roman" w:cs="Times New Roman"/>
          <w:sz w:val="24"/>
          <w:szCs w:val="24"/>
        </w:rPr>
        <w:t xml:space="preserve"> for waves 1-3</w:t>
      </w:r>
      <w:r w:rsidRPr="00A605BB">
        <w:rPr>
          <w:rFonts w:ascii="Times New Roman" w:hAnsi="Times New Roman" w:cs="Times New Roman"/>
          <w:sz w:val="24"/>
          <w:szCs w:val="24"/>
        </w:rPr>
        <w:t xml:space="preserve"> to compare the start, middle, and end for each of the competencies as self-reported by students (H1a-h). </w:t>
      </w:r>
      <w:r w:rsidR="009E31C4" w:rsidRPr="00A605BB">
        <w:rPr>
          <w:rFonts w:ascii="Times New Roman" w:hAnsi="Times New Roman" w:cs="Times New Roman"/>
          <w:sz w:val="24"/>
          <w:szCs w:val="24"/>
        </w:rPr>
        <w:t>Third</w:t>
      </w:r>
      <w:r w:rsidR="00A55FC9" w:rsidRPr="00A605BB">
        <w:rPr>
          <w:rFonts w:ascii="Times New Roman" w:hAnsi="Times New Roman" w:cs="Times New Roman"/>
          <w:sz w:val="24"/>
          <w:szCs w:val="24"/>
        </w:rPr>
        <w:t>, a Repeated Measures ANOVA (for group*time) compared students and line manager data for waves 2-3 at the middle and end of the placement</w:t>
      </w:r>
      <w:r w:rsidR="00F80AEF" w:rsidRPr="00A605BB">
        <w:rPr>
          <w:rFonts w:ascii="Times New Roman" w:hAnsi="Times New Roman" w:cs="Times New Roman"/>
          <w:sz w:val="24"/>
          <w:szCs w:val="24"/>
        </w:rPr>
        <w:t xml:space="preserve"> (H2a-h)</w:t>
      </w:r>
      <w:r w:rsidR="00A55FC9" w:rsidRPr="00A605BB">
        <w:rPr>
          <w:rFonts w:ascii="Times New Roman" w:hAnsi="Times New Roman" w:cs="Times New Roman"/>
          <w:sz w:val="24"/>
          <w:szCs w:val="24"/>
        </w:rPr>
        <w:t>.</w:t>
      </w:r>
      <w:r w:rsidR="0026425E" w:rsidRPr="00A605BB">
        <w:rPr>
          <w:rFonts w:ascii="Times New Roman" w:hAnsi="Times New Roman" w:cs="Times New Roman"/>
          <w:sz w:val="24"/>
          <w:szCs w:val="24"/>
        </w:rPr>
        <w:t xml:space="preserve"> </w:t>
      </w:r>
    </w:p>
    <w:p w14:paraId="641C3AE2" w14:textId="77777777" w:rsidR="00F80AEF" w:rsidRPr="00A605BB" w:rsidRDefault="00F80AEF" w:rsidP="00C6466A">
      <w:pPr>
        <w:pStyle w:val="Heading1"/>
        <w:spacing w:before="0" w:after="0" w:line="480" w:lineRule="auto"/>
        <w:jc w:val="center"/>
      </w:pPr>
    </w:p>
    <w:p w14:paraId="756415E7" w14:textId="5761F5B6" w:rsidR="00E907BA" w:rsidRPr="00A605BB" w:rsidRDefault="002E0C83" w:rsidP="00C6466A">
      <w:pPr>
        <w:pStyle w:val="Heading1"/>
        <w:spacing w:before="0" w:after="0" w:line="480" w:lineRule="auto"/>
        <w:jc w:val="center"/>
      </w:pPr>
      <w:r w:rsidRPr="00A605BB">
        <w:t>Results</w:t>
      </w:r>
      <w:r w:rsidR="00A55FC9" w:rsidRPr="00A605BB">
        <w:t xml:space="preserve"> and Analysis</w:t>
      </w:r>
    </w:p>
    <w:p w14:paraId="199D674C" w14:textId="27DC6B82" w:rsidR="000D65BA" w:rsidRPr="00A605BB" w:rsidRDefault="000D65BA" w:rsidP="000D65BA">
      <w:pPr>
        <w:pStyle w:val="Heading2"/>
        <w:spacing w:before="0" w:after="0" w:line="480" w:lineRule="auto"/>
        <w:rPr>
          <w:i w:val="0"/>
          <w:iCs w:val="0"/>
        </w:rPr>
      </w:pPr>
      <w:r w:rsidRPr="00A605BB">
        <w:rPr>
          <w:i w:val="0"/>
          <w:iCs w:val="0"/>
        </w:rPr>
        <w:t>Descriptive Statistics</w:t>
      </w:r>
    </w:p>
    <w:p w14:paraId="461FBE05" w14:textId="465A43C6" w:rsidR="0093621A" w:rsidRPr="00A605BB" w:rsidRDefault="004B2305" w:rsidP="000D65BA">
      <w:pPr>
        <w:pStyle w:val="CommentText"/>
        <w:spacing w:after="0" w:line="480" w:lineRule="auto"/>
        <w:jc w:val="both"/>
        <w:rPr>
          <w:rFonts w:ascii="Times New Roman" w:hAnsi="Times New Roman" w:cs="Times New Roman"/>
          <w:sz w:val="24"/>
          <w:szCs w:val="24"/>
        </w:rPr>
      </w:pPr>
      <w:r w:rsidRPr="00A605BB">
        <w:rPr>
          <w:rFonts w:ascii="Times New Roman" w:hAnsi="Times New Roman" w:cs="Times New Roman"/>
          <w:sz w:val="24"/>
          <w:szCs w:val="24"/>
        </w:rPr>
        <w:t>The means</w:t>
      </w:r>
      <w:r w:rsidR="00BB3373" w:rsidRPr="00A605BB">
        <w:rPr>
          <w:rFonts w:ascii="Times New Roman" w:hAnsi="Times New Roman" w:cs="Times New Roman"/>
          <w:sz w:val="24"/>
          <w:szCs w:val="24"/>
        </w:rPr>
        <w:t xml:space="preserve"> and </w:t>
      </w:r>
      <w:r w:rsidRPr="00A605BB">
        <w:rPr>
          <w:rFonts w:ascii="Times New Roman" w:hAnsi="Times New Roman" w:cs="Times New Roman"/>
          <w:sz w:val="24"/>
          <w:szCs w:val="24"/>
        </w:rPr>
        <w:t xml:space="preserve">standard deviations are presented in Table </w:t>
      </w:r>
      <w:r w:rsidR="002A50F9" w:rsidRPr="00A605BB">
        <w:rPr>
          <w:rFonts w:ascii="Times New Roman" w:hAnsi="Times New Roman" w:cs="Times New Roman"/>
          <w:sz w:val="24"/>
          <w:szCs w:val="24"/>
        </w:rPr>
        <w:t>2</w:t>
      </w:r>
      <w:r w:rsidRPr="00A605BB">
        <w:rPr>
          <w:rFonts w:ascii="Times New Roman" w:hAnsi="Times New Roman" w:cs="Times New Roman"/>
          <w:sz w:val="24"/>
          <w:szCs w:val="24"/>
        </w:rPr>
        <w:t xml:space="preserve"> for students and line managers at each respective time point (waves 1-3 for students, waves 2-3 for line managers).</w:t>
      </w:r>
      <w:r w:rsidR="00917266" w:rsidRPr="00A605BB">
        <w:rPr>
          <w:rFonts w:ascii="Times New Roman" w:hAnsi="Times New Roman" w:cs="Times New Roman"/>
          <w:sz w:val="24"/>
          <w:szCs w:val="24"/>
        </w:rPr>
        <w:t xml:space="preserve"> </w:t>
      </w:r>
      <w:r w:rsidR="00102114" w:rsidRPr="00A605BB">
        <w:rPr>
          <w:rFonts w:ascii="Times New Roman" w:hAnsi="Times New Roman" w:cs="Times New Roman"/>
          <w:sz w:val="24"/>
          <w:szCs w:val="24"/>
        </w:rPr>
        <w:t xml:space="preserve">Descriptive statistics indicated that </w:t>
      </w:r>
      <w:r w:rsidR="0093621A" w:rsidRPr="00A605BB">
        <w:rPr>
          <w:rFonts w:ascii="Times New Roman" w:hAnsi="Times New Roman" w:cs="Times New Roman"/>
          <w:sz w:val="24"/>
          <w:szCs w:val="24"/>
        </w:rPr>
        <w:t xml:space="preserve">overall, </w:t>
      </w:r>
      <w:r w:rsidR="00102114" w:rsidRPr="00A605BB">
        <w:rPr>
          <w:rFonts w:ascii="Times New Roman" w:hAnsi="Times New Roman" w:cs="Times New Roman"/>
          <w:sz w:val="24"/>
          <w:szCs w:val="24"/>
        </w:rPr>
        <w:t>student</w:t>
      </w:r>
      <w:r w:rsidR="005E7681" w:rsidRPr="00A605BB">
        <w:rPr>
          <w:rFonts w:ascii="Times New Roman" w:hAnsi="Times New Roman" w:cs="Times New Roman"/>
          <w:sz w:val="24"/>
          <w:szCs w:val="24"/>
        </w:rPr>
        <w:t>s’</w:t>
      </w:r>
      <w:r w:rsidR="00102114" w:rsidRPr="00A605BB">
        <w:rPr>
          <w:rFonts w:ascii="Times New Roman" w:hAnsi="Times New Roman" w:cs="Times New Roman"/>
          <w:sz w:val="24"/>
          <w:szCs w:val="24"/>
        </w:rPr>
        <w:t xml:space="preserve"> and line manager</w:t>
      </w:r>
      <w:r w:rsidR="005E7681" w:rsidRPr="00A605BB">
        <w:rPr>
          <w:rFonts w:ascii="Times New Roman" w:hAnsi="Times New Roman" w:cs="Times New Roman"/>
          <w:sz w:val="24"/>
          <w:szCs w:val="24"/>
        </w:rPr>
        <w:t>s’</w:t>
      </w:r>
      <w:r w:rsidR="00102114" w:rsidRPr="00A605BB">
        <w:rPr>
          <w:rFonts w:ascii="Times New Roman" w:hAnsi="Times New Roman" w:cs="Times New Roman"/>
          <w:sz w:val="24"/>
          <w:szCs w:val="24"/>
        </w:rPr>
        <w:t xml:space="preserve"> ratings of competencies increased </w:t>
      </w:r>
      <w:r w:rsidR="009508FF" w:rsidRPr="00A605BB">
        <w:rPr>
          <w:rFonts w:ascii="Times New Roman" w:hAnsi="Times New Roman" w:cs="Times New Roman"/>
          <w:sz w:val="24"/>
          <w:szCs w:val="24"/>
        </w:rPr>
        <w:t>at each time point</w:t>
      </w:r>
      <w:r w:rsidR="00531F3D" w:rsidRPr="00A605BB">
        <w:rPr>
          <w:rFonts w:ascii="Times New Roman" w:hAnsi="Times New Roman" w:cs="Times New Roman"/>
          <w:sz w:val="24"/>
          <w:szCs w:val="24"/>
        </w:rPr>
        <w:t xml:space="preserve"> but that competencies developed from different baseline levels</w:t>
      </w:r>
      <w:r w:rsidR="0093621A" w:rsidRPr="00A605BB">
        <w:rPr>
          <w:rFonts w:ascii="Times New Roman" w:hAnsi="Times New Roman" w:cs="Times New Roman"/>
          <w:sz w:val="24"/>
          <w:szCs w:val="24"/>
        </w:rPr>
        <w:t xml:space="preserve"> to different upper levels</w:t>
      </w:r>
      <w:r w:rsidR="00531F3D" w:rsidRPr="00A605BB">
        <w:rPr>
          <w:rFonts w:ascii="Times New Roman" w:hAnsi="Times New Roman" w:cs="Times New Roman"/>
          <w:sz w:val="24"/>
          <w:szCs w:val="24"/>
        </w:rPr>
        <w:t>.</w:t>
      </w:r>
      <w:r w:rsidR="00964D44" w:rsidRPr="00A605BB">
        <w:rPr>
          <w:rFonts w:ascii="Times New Roman" w:hAnsi="Times New Roman" w:cs="Times New Roman"/>
          <w:sz w:val="24"/>
          <w:szCs w:val="24"/>
        </w:rPr>
        <w:t xml:space="preserve"> In </w:t>
      </w:r>
      <w:r w:rsidR="0093621A" w:rsidRPr="00A605BB">
        <w:rPr>
          <w:rFonts w:ascii="Times New Roman" w:hAnsi="Times New Roman" w:cs="Times New Roman"/>
          <w:sz w:val="24"/>
          <w:szCs w:val="24"/>
        </w:rPr>
        <w:t xml:space="preserve">each </w:t>
      </w:r>
      <w:r w:rsidR="00964D44" w:rsidRPr="00A605BB">
        <w:rPr>
          <w:rFonts w:ascii="Times New Roman" w:hAnsi="Times New Roman" w:cs="Times New Roman"/>
          <w:sz w:val="24"/>
          <w:szCs w:val="24"/>
        </w:rPr>
        <w:t>case, the mean competency level at the start of the placement was above</w:t>
      </w:r>
      <w:r w:rsidR="0093621A" w:rsidRPr="00A605BB">
        <w:rPr>
          <w:rFonts w:ascii="Times New Roman" w:hAnsi="Times New Roman" w:cs="Times New Roman"/>
          <w:sz w:val="24"/>
          <w:szCs w:val="24"/>
        </w:rPr>
        <w:t xml:space="preserve"> the mean</w:t>
      </w:r>
      <w:r w:rsidR="00964D44" w:rsidRPr="00A605BB">
        <w:rPr>
          <w:rFonts w:ascii="Times New Roman" w:hAnsi="Times New Roman" w:cs="Times New Roman"/>
          <w:sz w:val="24"/>
          <w:szCs w:val="24"/>
        </w:rPr>
        <w:t xml:space="preserve"> average</w:t>
      </w:r>
      <w:r w:rsidR="0093621A" w:rsidRPr="00A605BB">
        <w:rPr>
          <w:rFonts w:ascii="Times New Roman" w:hAnsi="Times New Roman" w:cs="Times New Roman"/>
          <w:sz w:val="24"/>
          <w:szCs w:val="24"/>
        </w:rPr>
        <w:t xml:space="preserve"> for that scale</w:t>
      </w:r>
      <w:r w:rsidR="00D56058" w:rsidRPr="00A605BB">
        <w:rPr>
          <w:rFonts w:ascii="Times New Roman" w:hAnsi="Times New Roman" w:cs="Times New Roman"/>
          <w:sz w:val="24"/>
          <w:szCs w:val="24"/>
        </w:rPr>
        <w:t>. However, s</w:t>
      </w:r>
      <w:r w:rsidR="00745A1F" w:rsidRPr="00A605BB">
        <w:rPr>
          <w:rFonts w:ascii="Times New Roman" w:hAnsi="Times New Roman" w:cs="Times New Roman"/>
          <w:sz w:val="24"/>
          <w:szCs w:val="24"/>
        </w:rPr>
        <w:t>ome competencies</w:t>
      </w:r>
      <w:r w:rsidR="00DD24DA" w:rsidRPr="00A605BB">
        <w:rPr>
          <w:rFonts w:ascii="Times New Roman" w:hAnsi="Times New Roman" w:cs="Times New Roman"/>
          <w:sz w:val="24"/>
          <w:szCs w:val="24"/>
        </w:rPr>
        <w:t>, such as supporting and cooperating</w:t>
      </w:r>
      <w:r w:rsidR="00DA183F" w:rsidRPr="00A605BB">
        <w:rPr>
          <w:rFonts w:ascii="Times New Roman" w:hAnsi="Times New Roman" w:cs="Times New Roman"/>
          <w:sz w:val="24"/>
          <w:szCs w:val="24"/>
        </w:rPr>
        <w:t>,</w:t>
      </w:r>
      <w:r w:rsidR="00DD24DA" w:rsidRPr="00A605BB">
        <w:rPr>
          <w:rFonts w:ascii="Times New Roman" w:hAnsi="Times New Roman" w:cs="Times New Roman"/>
          <w:sz w:val="24"/>
          <w:szCs w:val="24"/>
        </w:rPr>
        <w:t xml:space="preserve"> </w:t>
      </w:r>
      <w:r w:rsidR="00F53F60" w:rsidRPr="00A605BB">
        <w:rPr>
          <w:rFonts w:ascii="Times New Roman" w:hAnsi="Times New Roman" w:cs="Times New Roman"/>
          <w:sz w:val="24"/>
          <w:szCs w:val="24"/>
        </w:rPr>
        <w:t xml:space="preserve">increased incrementally during </w:t>
      </w:r>
      <w:r w:rsidR="00F53F60" w:rsidRPr="00A605BB">
        <w:rPr>
          <w:rFonts w:ascii="Times New Roman" w:hAnsi="Times New Roman" w:cs="Times New Roman"/>
          <w:sz w:val="24"/>
          <w:szCs w:val="24"/>
        </w:rPr>
        <w:lastRenderedPageBreak/>
        <w:t xml:space="preserve">the year from a </w:t>
      </w:r>
      <w:r w:rsidR="008B6BB7" w:rsidRPr="00A605BB">
        <w:rPr>
          <w:rFonts w:ascii="Times New Roman" w:hAnsi="Times New Roman" w:cs="Times New Roman"/>
          <w:sz w:val="24"/>
          <w:szCs w:val="24"/>
        </w:rPr>
        <w:t xml:space="preserve">high </w:t>
      </w:r>
      <w:r w:rsidR="00F53F60" w:rsidRPr="00A605BB">
        <w:rPr>
          <w:rFonts w:ascii="Times New Roman" w:hAnsi="Times New Roman" w:cs="Times New Roman"/>
          <w:sz w:val="24"/>
          <w:szCs w:val="24"/>
        </w:rPr>
        <w:t>baseline</w:t>
      </w:r>
      <w:r w:rsidR="009508FF" w:rsidRPr="00A605BB">
        <w:rPr>
          <w:rFonts w:ascii="Times New Roman" w:hAnsi="Times New Roman" w:cs="Times New Roman"/>
          <w:sz w:val="24"/>
          <w:szCs w:val="24"/>
        </w:rPr>
        <w:t xml:space="preserve"> </w:t>
      </w:r>
      <w:r w:rsidR="00F53F60" w:rsidRPr="00A605BB">
        <w:rPr>
          <w:rFonts w:ascii="Times New Roman" w:hAnsi="Times New Roman" w:cs="Times New Roman"/>
          <w:sz w:val="24"/>
          <w:szCs w:val="24"/>
        </w:rPr>
        <w:t>level</w:t>
      </w:r>
      <w:r w:rsidR="008B6BB7" w:rsidRPr="00A605BB">
        <w:rPr>
          <w:rFonts w:ascii="Times New Roman" w:hAnsi="Times New Roman" w:cs="Times New Roman"/>
          <w:sz w:val="24"/>
          <w:szCs w:val="24"/>
        </w:rPr>
        <w:t>, while other</w:t>
      </w:r>
      <w:r w:rsidR="002A5C97" w:rsidRPr="00A605BB">
        <w:rPr>
          <w:rFonts w:ascii="Times New Roman" w:hAnsi="Times New Roman" w:cs="Times New Roman"/>
          <w:sz w:val="24"/>
          <w:szCs w:val="24"/>
        </w:rPr>
        <w:t>s</w:t>
      </w:r>
      <w:r w:rsidR="00DA183F" w:rsidRPr="00A605BB">
        <w:rPr>
          <w:rFonts w:ascii="Times New Roman" w:hAnsi="Times New Roman" w:cs="Times New Roman"/>
          <w:sz w:val="24"/>
          <w:szCs w:val="24"/>
        </w:rPr>
        <w:t xml:space="preserve"> (e.g., </w:t>
      </w:r>
      <w:r w:rsidR="002A5C97" w:rsidRPr="00A605BB">
        <w:rPr>
          <w:rFonts w:ascii="Times New Roman" w:hAnsi="Times New Roman" w:cs="Times New Roman"/>
          <w:sz w:val="24"/>
          <w:szCs w:val="24"/>
        </w:rPr>
        <w:t>interacting and presenting</w:t>
      </w:r>
      <w:r w:rsidR="00DA183F" w:rsidRPr="00A605BB">
        <w:rPr>
          <w:rFonts w:ascii="Times New Roman" w:hAnsi="Times New Roman" w:cs="Times New Roman"/>
          <w:sz w:val="24"/>
          <w:szCs w:val="24"/>
        </w:rPr>
        <w:t>)</w:t>
      </w:r>
      <w:r w:rsidR="002A5C97" w:rsidRPr="00A605BB">
        <w:rPr>
          <w:rFonts w:ascii="Times New Roman" w:hAnsi="Times New Roman" w:cs="Times New Roman"/>
          <w:sz w:val="24"/>
          <w:szCs w:val="24"/>
        </w:rPr>
        <w:t xml:space="preserve"> increased </w:t>
      </w:r>
      <w:r w:rsidR="00D56058" w:rsidRPr="00A605BB">
        <w:rPr>
          <w:rFonts w:ascii="Times New Roman" w:hAnsi="Times New Roman" w:cs="Times New Roman"/>
          <w:sz w:val="24"/>
          <w:szCs w:val="24"/>
        </w:rPr>
        <w:t xml:space="preserve">more slowly </w:t>
      </w:r>
      <w:r w:rsidR="00964D44" w:rsidRPr="00A605BB">
        <w:rPr>
          <w:rFonts w:ascii="Times New Roman" w:hAnsi="Times New Roman" w:cs="Times New Roman"/>
          <w:sz w:val="24"/>
          <w:szCs w:val="24"/>
        </w:rPr>
        <w:t xml:space="preserve">from a lower baseline level and </w:t>
      </w:r>
      <w:r w:rsidR="00D56058" w:rsidRPr="00A605BB">
        <w:rPr>
          <w:rFonts w:ascii="Times New Roman" w:hAnsi="Times New Roman" w:cs="Times New Roman"/>
          <w:sz w:val="24"/>
          <w:szCs w:val="24"/>
        </w:rPr>
        <w:t xml:space="preserve">never surpassed the </w:t>
      </w:r>
      <w:r w:rsidR="002C75FE" w:rsidRPr="00A605BB">
        <w:rPr>
          <w:rFonts w:ascii="Times New Roman" w:hAnsi="Times New Roman" w:cs="Times New Roman"/>
          <w:sz w:val="24"/>
          <w:szCs w:val="24"/>
        </w:rPr>
        <w:t xml:space="preserve">baseline </w:t>
      </w:r>
      <w:r w:rsidR="00D56058" w:rsidRPr="00A605BB">
        <w:rPr>
          <w:rFonts w:ascii="Times New Roman" w:hAnsi="Times New Roman" w:cs="Times New Roman"/>
          <w:sz w:val="24"/>
          <w:szCs w:val="24"/>
        </w:rPr>
        <w:t xml:space="preserve">scores of </w:t>
      </w:r>
      <w:r w:rsidR="002C75FE" w:rsidRPr="00A605BB">
        <w:rPr>
          <w:rFonts w:ascii="Times New Roman" w:hAnsi="Times New Roman" w:cs="Times New Roman"/>
          <w:sz w:val="24"/>
          <w:szCs w:val="24"/>
        </w:rPr>
        <w:t>competencies like supporting and cooperating</w:t>
      </w:r>
      <w:r w:rsidR="008B6BB7" w:rsidRPr="00A605BB">
        <w:rPr>
          <w:rFonts w:ascii="Times New Roman" w:hAnsi="Times New Roman" w:cs="Times New Roman"/>
          <w:sz w:val="24"/>
          <w:szCs w:val="24"/>
        </w:rPr>
        <w:t xml:space="preserve">. </w:t>
      </w:r>
    </w:p>
    <w:p w14:paraId="1EC2BCA0" w14:textId="367D5922" w:rsidR="00EC6B51" w:rsidRPr="00A605BB" w:rsidRDefault="007A2096" w:rsidP="003A672B">
      <w:pPr>
        <w:pStyle w:val="CommentText"/>
        <w:spacing w:after="0" w:line="480" w:lineRule="auto"/>
        <w:ind w:firstLine="567"/>
        <w:jc w:val="both"/>
        <w:rPr>
          <w:rFonts w:ascii="Times New Roman" w:hAnsi="Times New Roman" w:cs="Times New Roman"/>
          <w:sz w:val="24"/>
          <w:szCs w:val="24"/>
        </w:rPr>
      </w:pPr>
      <w:r w:rsidRPr="00A605BB">
        <w:rPr>
          <w:rFonts w:ascii="Times New Roman" w:hAnsi="Times New Roman" w:cs="Times New Roman"/>
          <w:sz w:val="24"/>
          <w:szCs w:val="24"/>
        </w:rPr>
        <w:t>Descriptive statistics also suggest different patterns in the rate of competency development</w:t>
      </w:r>
      <w:r w:rsidR="0027046E" w:rsidRPr="00A605BB">
        <w:rPr>
          <w:rFonts w:ascii="Times New Roman" w:hAnsi="Times New Roman" w:cs="Times New Roman"/>
          <w:sz w:val="24"/>
          <w:szCs w:val="24"/>
        </w:rPr>
        <w:t xml:space="preserve">, with competencies such as creating and conceptualising developing rapidly </w:t>
      </w:r>
      <w:r w:rsidR="00584FF0" w:rsidRPr="00A605BB">
        <w:rPr>
          <w:rFonts w:ascii="Times New Roman" w:hAnsi="Times New Roman" w:cs="Times New Roman"/>
          <w:sz w:val="24"/>
          <w:szCs w:val="24"/>
        </w:rPr>
        <w:t xml:space="preserve">throughout </w:t>
      </w:r>
      <w:r w:rsidR="00F8720D" w:rsidRPr="00A605BB">
        <w:rPr>
          <w:rFonts w:ascii="Times New Roman" w:hAnsi="Times New Roman" w:cs="Times New Roman"/>
          <w:sz w:val="24"/>
          <w:szCs w:val="24"/>
        </w:rPr>
        <w:t>the placement</w:t>
      </w:r>
      <w:r w:rsidR="0027046E" w:rsidRPr="00A605BB">
        <w:rPr>
          <w:rFonts w:ascii="Times New Roman" w:hAnsi="Times New Roman" w:cs="Times New Roman"/>
          <w:sz w:val="24"/>
          <w:szCs w:val="24"/>
        </w:rPr>
        <w:t xml:space="preserve">. </w:t>
      </w:r>
      <w:r w:rsidR="00584FF0" w:rsidRPr="00A605BB">
        <w:rPr>
          <w:rFonts w:ascii="Times New Roman" w:hAnsi="Times New Roman" w:cs="Times New Roman"/>
          <w:sz w:val="24"/>
          <w:szCs w:val="24"/>
        </w:rPr>
        <w:t>For other competencies, such as leading and deciding, the rate of development appear</w:t>
      </w:r>
      <w:r w:rsidR="004F186D" w:rsidRPr="00A605BB">
        <w:rPr>
          <w:rFonts w:ascii="Times New Roman" w:hAnsi="Times New Roman" w:cs="Times New Roman"/>
          <w:sz w:val="24"/>
          <w:szCs w:val="24"/>
        </w:rPr>
        <w:t>s</w:t>
      </w:r>
      <w:r w:rsidR="00584FF0" w:rsidRPr="00A605BB">
        <w:rPr>
          <w:rFonts w:ascii="Times New Roman" w:hAnsi="Times New Roman" w:cs="Times New Roman"/>
          <w:sz w:val="24"/>
          <w:szCs w:val="24"/>
        </w:rPr>
        <w:t xml:space="preserve"> slower, with an incremental </w:t>
      </w:r>
      <w:r w:rsidR="00E97259" w:rsidRPr="00A605BB">
        <w:rPr>
          <w:rFonts w:ascii="Times New Roman" w:hAnsi="Times New Roman" w:cs="Times New Roman"/>
          <w:sz w:val="24"/>
          <w:szCs w:val="24"/>
        </w:rPr>
        <w:t xml:space="preserve">increase from the pre- to mid-placement stage and a larger </w:t>
      </w:r>
      <w:r w:rsidR="00EC6B51" w:rsidRPr="00A605BB">
        <w:rPr>
          <w:rFonts w:ascii="Times New Roman" w:hAnsi="Times New Roman" w:cs="Times New Roman"/>
          <w:sz w:val="24"/>
          <w:szCs w:val="24"/>
        </w:rPr>
        <w:t>jump at the mid- and end-stage of placement.</w:t>
      </w:r>
      <w:r w:rsidR="008D2C36" w:rsidRPr="00A605BB">
        <w:rPr>
          <w:rFonts w:ascii="Times New Roman" w:hAnsi="Times New Roman" w:cs="Times New Roman"/>
          <w:sz w:val="24"/>
          <w:szCs w:val="24"/>
        </w:rPr>
        <w:t xml:space="preserve"> </w:t>
      </w:r>
      <w:r w:rsidR="00EC6B51" w:rsidRPr="00A605BB">
        <w:rPr>
          <w:rFonts w:ascii="Times New Roman" w:hAnsi="Times New Roman" w:cs="Times New Roman"/>
          <w:sz w:val="24"/>
          <w:szCs w:val="24"/>
        </w:rPr>
        <w:t xml:space="preserve">Descriptive statistics also </w:t>
      </w:r>
      <w:r w:rsidR="00E850EA" w:rsidRPr="00A605BB">
        <w:rPr>
          <w:rFonts w:ascii="Times New Roman" w:hAnsi="Times New Roman" w:cs="Times New Roman"/>
          <w:sz w:val="24"/>
          <w:szCs w:val="24"/>
        </w:rPr>
        <w:t xml:space="preserve">show that line manager scores at each time point and for each competency are higher than their </w:t>
      </w:r>
      <w:r w:rsidR="008D2C36" w:rsidRPr="00A605BB">
        <w:rPr>
          <w:rFonts w:ascii="Times New Roman" w:hAnsi="Times New Roman" w:cs="Times New Roman"/>
          <w:sz w:val="24"/>
          <w:szCs w:val="24"/>
        </w:rPr>
        <w:t>student counterparts.</w:t>
      </w:r>
    </w:p>
    <w:p w14:paraId="62CE4077" w14:textId="2F532377" w:rsidR="00C57DCF" w:rsidRPr="00A605BB" w:rsidRDefault="00C57DCF" w:rsidP="00C57DCF">
      <w:pPr>
        <w:pStyle w:val="CommentText"/>
        <w:spacing w:after="0" w:line="480" w:lineRule="auto"/>
        <w:jc w:val="center"/>
        <w:rPr>
          <w:rFonts w:ascii="Times New Roman" w:hAnsi="Times New Roman" w:cs="Times New Roman"/>
          <w:sz w:val="24"/>
          <w:szCs w:val="24"/>
        </w:rPr>
      </w:pPr>
      <w:r w:rsidRPr="00A605BB">
        <w:rPr>
          <w:rFonts w:ascii="Times New Roman" w:hAnsi="Times New Roman" w:cs="Times New Roman"/>
          <w:sz w:val="24"/>
          <w:szCs w:val="24"/>
        </w:rPr>
        <w:t xml:space="preserve">INSERT TABLE </w:t>
      </w:r>
      <w:r w:rsidR="002A50F9" w:rsidRPr="00A605BB">
        <w:rPr>
          <w:rFonts w:ascii="Times New Roman" w:hAnsi="Times New Roman" w:cs="Times New Roman"/>
          <w:sz w:val="24"/>
          <w:szCs w:val="24"/>
        </w:rPr>
        <w:t>2</w:t>
      </w:r>
      <w:r w:rsidRPr="00A605BB">
        <w:rPr>
          <w:rFonts w:ascii="Times New Roman" w:hAnsi="Times New Roman" w:cs="Times New Roman"/>
          <w:sz w:val="24"/>
          <w:szCs w:val="24"/>
        </w:rPr>
        <w:t xml:space="preserve"> HERE</w:t>
      </w:r>
    </w:p>
    <w:p w14:paraId="23845DAE" w14:textId="045659BD" w:rsidR="00B15700" w:rsidRPr="00A605BB" w:rsidRDefault="00B15700" w:rsidP="00B15700">
      <w:pPr>
        <w:pStyle w:val="CommentText"/>
        <w:spacing w:after="0" w:line="480" w:lineRule="auto"/>
        <w:jc w:val="both"/>
        <w:rPr>
          <w:rFonts w:ascii="Times New Roman" w:hAnsi="Times New Roman" w:cs="Times New Roman"/>
          <w:color w:val="FF0000"/>
          <w:sz w:val="24"/>
          <w:szCs w:val="24"/>
        </w:rPr>
      </w:pPr>
      <w:r w:rsidRPr="00A605BB">
        <w:rPr>
          <w:rFonts w:ascii="Times New Roman" w:hAnsi="Times New Roman" w:cs="Times New Roman"/>
          <w:sz w:val="24"/>
          <w:szCs w:val="24"/>
        </w:rPr>
        <w:t>Correlations were calculated for students (waves 1-3) and managers (waves 2-3) at each respective time point, and these confirmed that constant correlation assumptions were met.</w:t>
      </w:r>
    </w:p>
    <w:p w14:paraId="60246C0F" w14:textId="77777777" w:rsidR="000D65BA" w:rsidRPr="00A605BB" w:rsidRDefault="000D65BA" w:rsidP="000D65BA">
      <w:pPr>
        <w:pStyle w:val="Heading2"/>
        <w:spacing w:before="0" w:after="0" w:line="480" w:lineRule="auto"/>
        <w:jc w:val="both"/>
        <w:rPr>
          <w:i w:val="0"/>
          <w:iCs w:val="0"/>
        </w:rPr>
      </w:pPr>
      <w:r w:rsidRPr="00A605BB">
        <w:rPr>
          <w:i w:val="0"/>
          <w:iCs w:val="0"/>
        </w:rPr>
        <w:t>Year-in-Industry Placement</w:t>
      </w:r>
    </w:p>
    <w:p w14:paraId="7052671E" w14:textId="19AD3410" w:rsidR="000D65BA" w:rsidRPr="00A605BB" w:rsidRDefault="00DE6D07" w:rsidP="000D65BA">
      <w:pPr>
        <w:jc w:val="both"/>
        <w:rPr>
          <w:rFonts w:eastAsia="TimesNRMTStd-Regular"/>
        </w:rPr>
      </w:pPr>
      <w:r w:rsidRPr="00A605BB">
        <w:rPr>
          <w:rFonts w:eastAsia="TimesNRMTStd-Regular"/>
        </w:rPr>
        <w:t xml:space="preserve">The results of the Repeated Measures ANOVA to compare students’ reporting of each competency for waves 1-3 are reported in Table </w:t>
      </w:r>
      <w:r w:rsidR="002A50F9" w:rsidRPr="00A605BB">
        <w:rPr>
          <w:rFonts w:eastAsia="TimesNRMTStd-Regular"/>
        </w:rPr>
        <w:t>3</w:t>
      </w:r>
      <w:r w:rsidRPr="00A605BB">
        <w:rPr>
          <w:rFonts w:eastAsia="TimesNRMTStd-Regular"/>
        </w:rPr>
        <w:t>.</w:t>
      </w:r>
      <w:r w:rsidR="00827888" w:rsidRPr="00A605BB">
        <w:rPr>
          <w:rFonts w:eastAsia="TimesNRMTStd-Regular"/>
        </w:rPr>
        <w:t xml:space="preserve"> </w:t>
      </w:r>
    </w:p>
    <w:p w14:paraId="5D373501" w14:textId="2142C5E1" w:rsidR="00C57DCF" w:rsidRPr="00A605BB" w:rsidRDefault="00C57DCF" w:rsidP="00C57DCF">
      <w:pPr>
        <w:pStyle w:val="CommentText"/>
        <w:spacing w:after="0" w:line="480" w:lineRule="auto"/>
        <w:jc w:val="center"/>
        <w:rPr>
          <w:rFonts w:ascii="Times New Roman" w:hAnsi="Times New Roman" w:cs="Times New Roman"/>
          <w:color w:val="FF0000"/>
          <w:sz w:val="24"/>
          <w:szCs w:val="24"/>
        </w:rPr>
      </w:pPr>
      <w:r w:rsidRPr="00A605BB">
        <w:rPr>
          <w:rFonts w:ascii="Times New Roman" w:hAnsi="Times New Roman" w:cs="Times New Roman"/>
          <w:sz w:val="24"/>
          <w:szCs w:val="24"/>
        </w:rPr>
        <w:t xml:space="preserve">INSERT TABLE </w:t>
      </w:r>
      <w:r w:rsidR="002A50F9" w:rsidRPr="00A605BB">
        <w:rPr>
          <w:rFonts w:ascii="Times New Roman" w:hAnsi="Times New Roman" w:cs="Times New Roman"/>
          <w:sz w:val="24"/>
          <w:szCs w:val="24"/>
        </w:rPr>
        <w:t>3</w:t>
      </w:r>
      <w:r w:rsidRPr="00A605BB">
        <w:rPr>
          <w:rFonts w:ascii="Times New Roman" w:hAnsi="Times New Roman" w:cs="Times New Roman"/>
          <w:sz w:val="24"/>
          <w:szCs w:val="24"/>
        </w:rPr>
        <w:t xml:space="preserve"> HERE</w:t>
      </w:r>
    </w:p>
    <w:p w14:paraId="31A50059" w14:textId="3B918358" w:rsidR="000A64D9" w:rsidRPr="00A605BB" w:rsidRDefault="00A60B07" w:rsidP="000A64D9">
      <w:pPr>
        <w:jc w:val="both"/>
        <w:rPr>
          <w:rFonts w:eastAsia="TimesNRMTStd-Regular"/>
        </w:rPr>
      </w:pPr>
      <w:r w:rsidRPr="00A605BB">
        <w:t xml:space="preserve">A one-way repeated measures analysis of variance (ANOVA) was conducted to evaluate the null hypothesis that there is no change in students’ competency scores when measured before, during and after taking a year in industry placement (N=618). </w:t>
      </w:r>
      <w:r w:rsidR="000A64D9" w:rsidRPr="00A605BB">
        <w:rPr>
          <w:rFonts w:eastAsia="TimesNRMTStd-Regular"/>
        </w:rPr>
        <w:t>Although Mauchly’s test of sphericity was violated, ANOVAs were corrected in each case, using the Greenhouse-</w:t>
      </w:r>
      <w:proofErr w:type="spellStart"/>
      <w:r w:rsidR="000A64D9" w:rsidRPr="00A605BB">
        <w:rPr>
          <w:rFonts w:eastAsia="TimesNRMTStd-Regular"/>
        </w:rPr>
        <w:t>Geisser</w:t>
      </w:r>
      <w:proofErr w:type="spellEnd"/>
      <w:r w:rsidR="000A64D9" w:rsidRPr="00A605BB">
        <w:rPr>
          <w:rFonts w:eastAsia="TimesNRMTStd-Regular"/>
        </w:rPr>
        <w:t xml:space="preserve"> test </w:t>
      </w:r>
      <w:r w:rsidR="00CC540B" w:rsidRPr="00A605BB">
        <w:rPr>
          <w:rFonts w:eastAsia="TimesNRMTStd-Regular"/>
        </w:rPr>
        <w:t xml:space="preserve">(Greenhouse &amp; </w:t>
      </w:r>
      <w:proofErr w:type="spellStart"/>
      <w:r w:rsidR="00CC540B" w:rsidRPr="00A605BB">
        <w:rPr>
          <w:rFonts w:eastAsia="TimesNRMTStd-Regular"/>
        </w:rPr>
        <w:t>G</w:t>
      </w:r>
      <w:r w:rsidR="00311DCF" w:rsidRPr="00A605BB">
        <w:rPr>
          <w:rFonts w:eastAsia="TimesNRMTStd-Regular"/>
        </w:rPr>
        <w:t>eisser</w:t>
      </w:r>
      <w:proofErr w:type="spellEnd"/>
      <w:r w:rsidR="00311DCF" w:rsidRPr="00A605BB">
        <w:rPr>
          <w:rFonts w:eastAsia="TimesNRMTStd-Regular"/>
        </w:rPr>
        <w:t>, 1959)</w:t>
      </w:r>
      <w:r w:rsidR="000A64D9" w:rsidRPr="00A605BB">
        <w:rPr>
          <w:rFonts w:eastAsia="TimesNRMTStd-Regular"/>
        </w:rPr>
        <w:t xml:space="preserve">. </w:t>
      </w:r>
    </w:p>
    <w:p w14:paraId="59C2B6C4" w14:textId="220B260F" w:rsidR="00D755CD" w:rsidRPr="00A605BB" w:rsidRDefault="00AB2232" w:rsidP="003A672B">
      <w:pPr>
        <w:pStyle w:val="Newparagraph"/>
        <w:ind w:firstLine="567"/>
        <w:jc w:val="both"/>
      </w:pPr>
      <w:r w:rsidRPr="00A605BB">
        <w:rPr>
          <w:rFonts w:eastAsia="TimesNRMTStd-Regular"/>
        </w:rPr>
        <w:t xml:space="preserve">Within-subjects main effects </w:t>
      </w:r>
      <w:r w:rsidR="002E1B2C" w:rsidRPr="00A605BB">
        <w:rPr>
          <w:rFonts w:eastAsia="TimesNRMTStd-Regular"/>
        </w:rPr>
        <w:t xml:space="preserve">examining the </w:t>
      </w:r>
      <w:r w:rsidRPr="00A605BB">
        <w:rPr>
          <w:rFonts w:eastAsia="TimesNRMTStd-Regular"/>
        </w:rPr>
        <w:t xml:space="preserve">difference in </w:t>
      </w:r>
      <w:r w:rsidR="002E1B2C" w:rsidRPr="00A605BB">
        <w:rPr>
          <w:rFonts w:eastAsia="TimesNRMTStd-Regular"/>
        </w:rPr>
        <w:t>students’ self</w:t>
      </w:r>
      <w:r w:rsidR="009E690C" w:rsidRPr="00A605BB">
        <w:rPr>
          <w:rFonts w:eastAsia="TimesNRMTStd-Regular"/>
        </w:rPr>
        <w:t>-</w:t>
      </w:r>
      <w:r w:rsidRPr="00A605BB">
        <w:rPr>
          <w:rFonts w:eastAsia="TimesNRMTStd-Regular"/>
        </w:rPr>
        <w:t xml:space="preserve">ratings </w:t>
      </w:r>
      <w:r w:rsidR="002E1B2C" w:rsidRPr="00A605BB">
        <w:rPr>
          <w:rFonts w:eastAsia="TimesNRMTStd-Regular"/>
        </w:rPr>
        <w:t>of their competencies at each time point (</w:t>
      </w:r>
      <w:r w:rsidRPr="00A605BB">
        <w:rPr>
          <w:rFonts w:eastAsia="TimesNRMTStd-Regular"/>
        </w:rPr>
        <w:t>pre-, mid-, and end-of-placement)</w:t>
      </w:r>
      <w:r w:rsidR="008C0362" w:rsidRPr="00A605BB">
        <w:rPr>
          <w:rFonts w:eastAsia="TimesNRMTStd-Regular"/>
        </w:rPr>
        <w:t xml:space="preserve"> were significant </w:t>
      </w:r>
      <w:r w:rsidR="0057315A" w:rsidRPr="00A605BB">
        <w:rPr>
          <w:rFonts w:eastAsia="TimesNRMTStd-Regular"/>
        </w:rPr>
        <w:lastRenderedPageBreak/>
        <w:t>for each of the eight competencies</w:t>
      </w:r>
      <w:r w:rsidR="00AC443B" w:rsidRPr="00A605BB">
        <w:rPr>
          <w:rFonts w:eastAsia="TimesNRMTStd-Regular"/>
        </w:rPr>
        <w:t xml:space="preserve"> across the placement overall</w:t>
      </w:r>
      <w:r w:rsidR="00F32484" w:rsidRPr="00A605BB">
        <w:rPr>
          <w:rFonts w:eastAsia="TimesNRMTStd-Regular"/>
        </w:rPr>
        <w:t xml:space="preserve">, </w:t>
      </w:r>
      <w:r w:rsidR="0040682D" w:rsidRPr="00A605BB">
        <w:rPr>
          <w:rFonts w:eastAsia="TimesNRMTStd-Regular"/>
        </w:rPr>
        <w:t xml:space="preserve">providing </w:t>
      </w:r>
      <w:r w:rsidR="00F32484" w:rsidRPr="00A605BB">
        <w:rPr>
          <w:rFonts w:eastAsia="TimesNRMTStd-Regular"/>
        </w:rPr>
        <w:t>support</w:t>
      </w:r>
      <w:r w:rsidR="0040682D" w:rsidRPr="00A605BB">
        <w:rPr>
          <w:rFonts w:eastAsia="TimesNRMTStd-Regular"/>
        </w:rPr>
        <w:t xml:space="preserve"> for</w:t>
      </w:r>
      <w:r w:rsidR="00F32484" w:rsidRPr="00A605BB">
        <w:rPr>
          <w:rFonts w:eastAsia="TimesNRMTStd-Regular"/>
        </w:rPr>
        <w:t xml:space="preserve"> </w:t>
      </w:r>
      <w:r w:rsidR="0040682D" w:rsidRPr="00A605BB">
        <w:rPr>
          <w:rFonts w:eastAsia="TimesNRMTStd-Regular"/>
        </w:rPr>
        <w:t>hypotheses H1a-h</w:t>
      </w:r>
      <w:r w:rsidR="004F186D" w:rsidRPr="00A605BB">
        <w:rPr>
          <w:rFonts w:eastAsia="TimesNRMTStd-Regular"/>
        </w:rPr>
        <w:t>. T</w:t>
      </w:r>
      <w:r w:rsidR="00D755CD" w:rsidRPr="00A605BB">
        <w:t xml:space="preserve">here was a significant increase in </w:t>
      </w:r>
      <w:r w:rsidR="00DC59A4" w:rsidRPr="00A605BB">
        <w:t xml:space="preserve">competency </w:t>
      </w:r>
      <w:r w:rsidR="00D755CD" w:rsidRPr="00A605BB">
        <w:t>scores over time</w:t>
      </w:r>
      <w:r w:rsidR="00DC59A4" w:rsidRPr="00A605BB">
        <w:t xml:space="preserve"> for students participating in a </w:t>
      </w:r>
      <w:r w:rsidR="00D755CD" w:rsidRPr="00A605BB">
        <w:t>placement year</w:t>
      </w:r>
      <w:r w:rsidR="000D3773" w:rsidRPr="00A605BB">
        <w:t>.</w:t>
      </w:r>
    </w:p>
    <w:p w14:paraId="45404467" w14:textId="3DE31E54" w:rsidR="00647D4F" w:rsidRPr="00A605BB" w:rsidRDefault="00957CE1" w:rsidP="00224668">
      <w:pPr>
        <w:ind w:firstLine="567"/>
        <w:jc w:val="both"/>
        <w:rPr>
          <w:rFonts w:eastAsia="TimesNRMTStd-Regular"/>
        </w:rPr>
      </w:pPr>
      <w:r w:rsidRPr="00A605BB">
        <w:rPr>
          <w:rFonts w:eastAsia="TimesNRMTStd-Regular"/>
        </w:rPr>
        <w:t>Follow</w:t>
      </w:r>
      <w:r w:rsidR="004F186D" w:rsidRPr="00A605BB">
        <w:rPr>
          <w:rFonts w:eastAsia="TimesNRMTStd-Regular"/>
        </w:rPr>
        <w:t>-</w:t>
      </w:r>
      <w:r w:rsidRPr="00A605BB">
        <w:rPr>
          <w:rFonts w:eastAsia="TimesNRMTStd-Regular"/>
        </w:rPr>
        <w:t xml:space="preserve">up </w:t>
      </w:r>
      <w:r w:rsidR="00D23800" w:rsidRPr="00A605BB">
        <w:rPr>
          <w:rFonts w:eastAsia="TimesNRMTStd-Regular"/>
        </w:rPr>
        <w:t xml:space="preserve">comparisons </w:t>
      </w:r>
      <w:r w:rsidRPr="00A605BB">
        <w:rPr>
          <w:rFonts w:eastAsia="TimesNRMTStd-Regular"/>
        </w:rPr>
        <w:t xml:space="preserve">indicated that </w:t>
      </w:r>
      <w:r w:rsidR="00F949CF" w:rsidRPr="00A605BB">
        <w:rPr>
          <w:rFonts w:eastAsia="TimesNRMTStd-Regular"/>
        </w:rPr>
        <w:t xml:space="preserve">each pairwise difference was significant, p&lt;.001, such that </w:t>
      </w:r>
      <w:r w:rsidR="00D23800" w:rsidRPr="00A605BB">
        <w:rPr>
          <w:rFonts w:eastAsia="TimesNRMTStd-Regular"/>
        </w:rPr>
        <w:t>students’ m</w:t>
      </w:r>
      <w:r w:rsidR="00065CB8" w:rsidRPr="00A605BB">
        <w:rPr>
          <w:rFonts w:eastAsia="TimesNRMTStd-Regular"/>
        </w:rPr>
        <w:t xml:space="preserve">ean ratings of their competencies </w:t>
      </w:r>
      <w:r w:rsidR="00D23800" w:rsidRPr="00A605BB">
        <w:rPr>
          <w:rFonts w:eastAsia="TimesNRMTStd-Regular"/>
        </w:rPr>
        <w:t xml:space="preserve">increased </w:t>
      </w:r>
      <w:r w:rsidR="00065CB8" w:rsidRPr="00A605BB">
        <w:rPr>
          <w:rFonts w:eastAsia="TimesNRMTStd-Regular"/>
        </w:rPr>
        <w:t xml:space="preserve">significantly </w:t>
      </w:r>
      <w:r w:rsidR="00D23800" w:rsidRPr="00A605BB">
        <w:rPr>
          <w:rFonts w:eastAsia="TimesNRMTStd-Regular"/>
        </w:rPr>
        <w:t>between the start and middle of their placemen</w:t>
      </w:r>
      <w:r w:rsidR="00AC443B" w:rsidRPr="00A605BB">
        <w:rPr>
          <w:rFonts w:eastAsia="TimesNRMTStd-Regular"/>
        </w:rPr>
        <w:t>t</w:t>
      </w:r>
      <w:r w:rsidR="00D70F60" w:rsidRPr="00A605BB">
        <w:rPr>
          <w:rFonts w:eastAsia="TimesNRMTStd-Regular"/>
        </w:rPr>
        <w:t xml:space="preserve"> and between the middle and end of their placement</w:t>
      </w:r>
      <w:r w:rsidR="00F949CF" w:rsidRPr="00A605BB">
        <w:rPr>
          <w:rFonts w:eastAsia="TimesNRMTStd-Regular"/>
        </w:rPr>
        <w:t xml:space="preserve">. </w:t>
      </w:r>
      <w:r w:rsidR="00F949CF" w:rsidRPr="00A605BB">
        <w:t xml:space="preserve">The only exception was for </w:t>
      </w:r>
      <w:r w:rsidR="0094685F" w:rsidRPr="00A605BB">
        <w:rPr>
          <w:rFonts w:eastAsia="TimesNRMTStd-Regular"/>
        </w:rPr>
        <w:t xml:space="preserve">leading and deciding, where </w:t>
      </w:r>
      <w:r w:rsidR="00094ED5" w:rsidRPr="00A605BB">
        <w:rPr>
          <w:rFonts w:eastAsia="TimesNRMTStd-Regular"/>
        </w:rPr>
        <w:t>the effect was only significant between the middle and end</w:t>
      </w:r>
      <w:r w:rsidR="004F186D" w:rsidRPr="00A605BB">
        <w:rPr>
          <w:rFonts w:eastAsia="TimesNRMTStd-Regular"/>
        </w:rPr>
        <w:t xml:space="preserve"> of the </w:t>
      </w:r>
      <w:r w:rsidR="00094ED5" w:rsidRPr="00A605BB">
        <w:rPr>
          <w:rFonts w:eastAsia="TimesNRMTStd-Regular"/>
        </w:rPr>
        <w:t>placement</w:t>
      </w:r>
      <w:r w:rsidR="00D216B6" w:rsidRPr="00A605BB">
        <w:rPr>
          <w:rFonts w:eastAsia="TimesNRMTStd-Regular"/>
        </w:rPr>
        <w:t>, indicating that it took longer for students to increase proficiency in this area during the placement</w:t>
      </w:r>
      <w:r w:rsidR="00094ED5" w:rsidRPr="00A605BB">
        <w:rPr>
          <w:rFonts w:eastAsia="TimesNRMTStd-Regular"/>
        </w:rPr>
        <w:t xml:space="preserve">. </w:t>
      </w:r>
    </w:p>
    <w:p w14:paraId="4CE07BD9" w14:textId="77777777" w:rsidR="000D65BA" w:rsidRPr="00A605BB" w:rsidRDefault="000D65BA" w:rsidP="000D65BA">
      <w:pPr>
        <w:pStyle w:val="Heading2"/>
        <w:spacing w:before="0" w:after="0" w:line="480" w:lineRule="auto"/>
        <w:jc w:val="both"/>
        <w:rPr>
          <w:i w:val="0"/>
          <w:iCs w:val="0"/>
        </w:rPr>
      </w:pPr>
      <w:r w:rsidRPr="00A605BB">
        <w:rPr>
          <w:i w:val="0"/>
          <w:iCs w:val="0"/>
        </w:rPr>
        <w:t>Line Managers</w:t>
      </w:r>
    </w:p>
    <w:p w14:paraId="5E632C36" w14:textId="4543DE09" w:rsidR="00CD1640" w:rsidRPr="00A605BB" w:rsidRDefault="00CD1640" w:rsidP="00CD1640">
      <w:pPr>
        <w:jc w:val="both"/>
        <w:rPr>
          <w:rFonts w:eastAsia="TimesNRMTStd-Regular"/>
        </w:rPr>
      </w:pPr>
      <w:r w:rsidRPr="00A605BB">
        <w:rPr>
          <w:rFonts w:eastAsia="TimesNRMTStd-Regular"/>
        </w:rPr>
        <w:t xml:space="preserve">The results of the Repeated Measures ANOVA to compare students’ and line managers’ reporting of each competency for waves 2-3 are reported in Table </w:t>
      </w:r>
      <w:r w:rsidR="002A50F9" w:rsidRPr="00A605BB">
        <w:rPr>
          <w:rFonts w:eastAsia="TimesNRMTStd-Regular"/>
        </w:rPr>
        <w:t>4</w:t>
      </w:r>
      <w:r w:rsidRPr="00A605BB">
        <w:rPr>
          <w:rFonts w:eastAsia="TimesNRMTStd-Regular"/>
        </w:rPr>
        <w:t>.</w:t>
      </w:r>
    </w:p>
    <w:p w14:paraId="0455FBCF" w14:textId="2C36DF1C" w:rsidR="00C57DCF" w:rsidRPr="00A605BB" w:rsidRDefault="00C57DCF" w:rsidP="00C57DCF">
      <w:pPr>
        <w:pStyle w:val="CommentText"/>
        <w:spacing w:after="0" w:line="480" w:lineRule="auto"/>
        <w:jc w:val="center"/>
        <w:rPr>
          <w:rFonts w:ascii="Times New Roman" w:hAnsi="Times New Roman" w:cs="Times New Roman"/>
          <w:color w:val="FF0000"/>
          <w:sz w:val="24"/>
          <w:szCs w:val="24"/>
        </w:rPr>
      </w:pPr>
      <w:r w:rsidRPr="00A605BB">
        <w:rPr>
          <w:rFonts w:ascii="Times New Roman" w:hAnsi="Times New Roman" w:cs="Times New Roman"/>
          <w:sz w:val="24"/>
          <w:szCs w:val="24"/>
        </w:rPr>
        <w:t xml:space="preserve">INSERT TABLE </w:t>
      </w:r>
      <w:r w:rsidR="002A50F9" w:rsidRPr="00A605BB">
        <w:rPr>
          <w:rFonts w:ascii="Times New Roman" w:hAnsi="Times New Roman" w:cs="Times New Roman"/>
          <w:sz w:val="24"/>
          <w:szCs w:val="24"/>
        </w:rPr>
        <w:t>4</w:t>
      </w:r>
      <w:r w:rsidRPr="00A605BB">
        <w:rPr>
          <w:rFonts w:ascii="Times New Roman" w:hAnsi="Times New Roman" w:cs="Times New Roman"/>
          <w:sz w:val="24"/>
          <w:szCs w:val="24"/>
        </w:rPr>
        <w:t xml:space="preserve"> HERE</w:t>
      </w:r>
    </w:p>
    <w:p w14:paraId="3FCDD6CE" w14:textId="0D211FC0" w:rsidR="001B5A9B" w:rsidRPr="00A605BB" w:rsidRDefault="006624E0" w:rsidP="003C7D1B">
      <w:pPr>
        <w:ind w:firstLine="567"/>
        <w:jc w:val="both"/>
      </w:pPr>
      <w:r w:rsidRPr="00A605BB">
        <w:t>A one-way repeated measures analysis of variance (ANOVA) was conducted to evaluate the null hypothesis that there is no change in students’ competency scores when measured before, during and after taking a year in industry placement (N=</w:t>
      </w:r>
      <w:r w:rsidR="00A73158" w:rsidRPr="00A605BB">
        <w:t>40</w:t>
      </w:r>
      <w:r w:rsidR="003C7D1B" w:rsidRPr="00A605BB">
        <w:t>5-408</w:t>
      </w:r>
      <w:r w:rsidRPr="00A605BB">
        <w:t>).</w:t>
      </w:r>
      <w:r w:rsidR="003C7D1B" w:rsidRPr="00A605BB">
        <w:t xml:space="preserve"> Within-subject</w:t>
      </w:r>
      <w:r w:rsidR="00D921C4" w:rsidRPr="00A605BB">
        <w:t xml:space="preserve"> main effects </w:t>
      </w:r>
      <w:r w:rsidR="00FA7FBC" w:rsidRPr="00A605BB">
        <w:t xml:space="preserve">showed that </w:t>
      </w:r>
      <w:r w:rsidR="00A57B63" w:rsidRPr="00A605BB">
        <w:t xml:space="preserve">competency ratings increased over </w:t>
      </w:r>
      <w:r w:rsidR="004D4EA3" w:rsidRPr="00A605BB">
        <w:t xml:space="preserve">the course of the placement </w:t>
      </w:r>
      <w:r w:rsidR="00A57B63" w:rsidRPr="00A605BB">
        <w:t>for both students and their line manager counterparts</w:t>
      </w:r>
      <w:r w:rsidR="00A231F9" w:rsidRPr="00A605BB">
        <w:t xml:space="preserve"> (in each case, p=&lt;.001)</w:t>
      </w:r>
      <w:r w:rsidR="004F186D" w:rsidRPr="00A605BB">
        <w:t>,</w:t>
      </w:r>
      <w:r w:rsidR="00A231F9" w:rsidRPr="00A605BB">
        <w:t xml:space="preserve"> and th</w:t>
      </w:r>
      <w:r w:rsidR="004F186D" w:rsidRPr="00A605BB">
        <w:t>is was the case for each of the measured competencies</w:t>
      </w:r>
      <w:r w:rsidR="00A57B63" w:rsidRPr="00A605BB">
        <w:t xml:space="preserve">. </w:t>
      </w:r>
    </w:p>
    <w:p w14:paraId="00961038" w14:textId="0CA3AB0A" w:rsidR="006624E0" w:rsidRPr="00A605BB" w:rsidRDefault="001271AB" w:rsidP="006D7477">
      <w:pPr>
        <w:jc w:val="both"/>
      </w:pPr>
      <w:r w:rsidRPr="00A605BB">
        <w:t xml:space="preserve">Within-subject main effects </w:t>
      </w:r>
      <w:r w:rsidR="00CB29C5" w:rsidRPr="00A605BB">
        <w:t>were also significant at the group level, indicating significant differences in the ratings of students and their line manager counterparts for each competency</w:t>
      </w:r>
      <w:r w:rsidR="001B5A9B" w:rsidRPr="00A605BB">
        <w:t xml:space="preserve">. </w:t>
      </w:r>
      <w:r w:rsidR="00413C67" w:rsidRPr="00A605BB">
        <w:t xml:space="preserve">The only </w:t>
      </w:r>
      <w:r w:rsidR="00CB29C5" w:rsidRPr="00A605BB">
        <w:t xml:space="preserve">exception </w:t>
      </w:r>
      <w:r w:rsidR="00413C67" w:rsidRPr="00A605BB">
        <w:t xml:space="preserve">was </w:t>
      </w:r>
      <w:r w:rsidR="004F186D" w:rsidRPr="00A605BB">
        <w:t>H</w:t>
      </w:r>
      <w:r w:rsidR="00A669C5" w:rsidRPr="00A605BB">
        <w:t xml:space="preserve">2f (organising and executing), for which </w:t>
      </w:r>
      <w:r w:rsidR="00413C67" w:rsidRPr="00A605BB">
        <w:t xml:space="preserve">the difference between the mean ratings of line managers and students was not significant. </w:t>
      </w:r>
      <w:r w:rsidR="001427A5" w:rsidRPr="00A605BB">
        <w:t xml:space="preserve">In each case, the mean ratings of the line manager were higher than the </w:t>
      </w:r>
      <w:r w:rsidR="002466B3" w:rsidRPr="00A605BB">
        <w:t>students</w:t>
      </w:r>
      <w:r w:rsidR="0065588D" w:rsidRPr="00A605BB">
        <w:t>. F</w:t>
      </w:r>
      <w:r w:rsidR="001427A5" w:rsidRPr="00A605BB">
        <w:t xml:space="preserve">or </w:t>
      </w:r>
      <w:r w:rsidR="003D6F3A" w:rsidRPr="00A605BB">
        <w:t>the ‘leading and deciding’ and ‘enterprising and performing’ competencies</w:t>
      </w:r>
      <w:r w:rsidR="001427A5" w:rsidRPr="00A605BB">
        <w:t xml:space="preserve">, </w:t>
      </w:r>
      <w:r w:rsidR="0065588D" w:rsidRPr="00A605BB">
        <w:t xml:space="preserve">there was also </w:t>
      </w:r>
      <w:r w:rsidR="001427A5" w:rsidRPr="00A605BB">
        <w:lastRenderedPageBreak/>
        <w:t xml:space="preserve">an interaction effect </w:t>
      </w:r>
      <w:r w:rsidR="000F1E3F" w:rsidRPr="00A605BB">
        <w:t>between time and group</w:t>
      </w:r>
      <w:r w:rsidR="0065588D" w:rsidRPr="00A605BB">
        <w:t xml:space="preserve">, such that </w:t>
      </w:r>
      <w:r w:rsidR="006F33DE" w:rsidRPr="00A605BB">
        <w:t>enterprising and performing, the</w:t>
      </w:r>
      <w:r w:rsidR="00D22A42" w:rsidRPr="00A605BB">
        <w:t xml:space="preserve">re was a greater discrepancy between the </w:t>
      </w:r>
      <w:r w:rsidR="00FD2FCE" w:rsidRPr="00A605BB">
        <w:t>line man</w:t>
      </w:r>
      <w:r w:rsidR="00D22A42" w:rsidRPr="00A605BB">
        <w:t>a</w:t>
      </w:r>
      <w:r w:rsidR="00FD2FCE" w:rsidRPr="00A605BB">
        <w:t>ger and student’s ratings a</w:t>
      </w:r>
      <w:r w:rsidR="00D22A42" w:rsidRPr="00A605BB">
        <w:t xml:space="preserve">t the end of </w:t>
      </w:r>
      <w:r w:rsidR="004F186D" w:rsidRPr="00A605BB">
        <w:t xml:space="preserve">the </w:t>
      </w:r>
      <w:r w:rsidR="00D22A42" w:rsidRPr="00A605BB">
        <w:t xml:space="preserve">placement. For leading and deciding, </w:t>
      </w:r>
      <w:r w:rsidR="00516193" w:rsidRPr="00A605BB">
        <w:t>there was a greater discrepancy between student and line manager ratings at the mid-point in the placement than at the end, although the differences were still significant at each point.</w:t>
      </w:r>
      <w:r w:rsidR="00FD2FCE" w:rsidRPr="00A605BB">
        <w:t xml:space="preserve"> </w:t>
      </w:r>
      <w:r w:rsidR="001427A5" w:rsidRPr="00A605BB">
        <w:t xml:space="preserve">These findings </w:t>
      </w:r>
      <w:r w:rsidR="004F186D" w:rsidRPr="00A605BB">
        <w:t>reject</w:t>
      </w:r>
      <w:r w:rsidR="002466B3" w:rsidRPr="00A605BB">
        <w:t xml:space="preserve"> </w:t>
      </w:r>
      <w:r w:rsidR="001427A5" w:rsidRPr="00A605BB">
        <w:t>hypotheses H2a</w:t>
      </w:r>
      <w:r w:rsidR="0061107C" w:rsidRPr="00A605BB">
        <w:t>-h</w:t>
      </w:r>
      <w:r w:rsidR="002466B3" w:rsidRPr="00A605BB">
        <w:t xml:space="preserve"> since </w:t>
      </w:r>
      <w:r w:rsidR="00954541" w:rsidRPr="00A605BB">
        <w:t>there was no statistically significant difference for H2f (organising and executing)</w:t>
      </w:r>
      <w:r w:rsidR="002466B3" w:rsidRPr="00A605BB">
        <w:t>, and for the remaining hypotheses, the manager scores were higher than the student scores</w:t>
      </w:r>
      <w:r w:rsidR="0061107C" w:rsidRPr="00A605BB">
        <w:t xml:space="preserve">. </w:t>
      </w:r>
    </w:p>
    <w:p w14:paraId="36FE57E9" w14:textId="54CD3EEC" w:rsidR="00A55FC9" w:rsidRPr="00A605BB" w:rsidRDefault="00A55FC9" w:rsidP="00A55FC9">
      <w:pPr>
        <w:pStyle w:val="Heading2"/>
        <w:spacing w:before="0" w:after="0" w:line="480" w:lineRule="auto"/>
        <w:rPr>
          <w:i w:val="0"/>
          <w:iCs w:val="0"/>
        </w:rPr>
      </w:pPr>
      <w:r w:rsidRPr="00A605BB">
        <w:rPr>
          <w:i w:val="0"/>
          <w:iCs w:val="0"/>
        </w:rPr>
        <w:t>Summary</w:t>
      </w:r>
    </w:p>
    <w:p w14:paraId="03304A6D" w14:textId="77777777" w:rsidR="007505E1" w:rsidRPr="00A605BB" w:rsidRDefault="007505E1" w:rsidP="007505E1">
      <w:pPr>
        <w:ind w:left="567" w:hanging="567"/>
        <w:jc w:val="both"/>
        <w:rPr>
          <w:rFonts w:eastAsia="TimesNRMTStd-Regular"/>
          <w:i/>
          <w:iCs/>
        </w:rPr>
      </w:pPr>
      <w:r w:rsidRPr="00A605BB">
        <w:rPr>
          <w:rFonts w:eastAsia="TimesNRMTStd-Regular"/>
          <w:i/>
          <w:iCs/>
        </w:rPr>
        <w:t>RQ1. What impact does undertaking a placement have on students’ self-perceived ‘Great Eight’ competencies?</w:t>
      </w:r>
    </w:p>
    <w:p w14:paraId="008EDBE4" w14:textId="22C3AD48" w:rsidR="007505E1" w:rsidRPr="00A605BB" w:rsidRDefault="00062858" w:rsidP="007505E1">
      <w:pPr>
        <w:jc w:val="both"/>
        <w:rPr>
          <w:rFonts w:eastAsia="TimesNRMTStd-Regular"/>
        </w:rPr>
      </w:pPr>
      <w:r w:rsidRPr="00A605BB">
        <w:rPr>
          <w:rFonts w:eastAsia="TimesNRMTStd-Regular"/>
        </w:rPr>
        <w:t xml:space="preserve">The findings </w:t>
      </w:r>
      <w:r w:rsidR="00C6249E" w:rsidRPr="00A605BB">
        <w:rPr>
          <w:rFonts w:eastAsia="TimesNRMTStd-Regular"/>
        </w:rPr>
        <w:t xml:space="preserve">provide evidence </w:t>
      </w:r>
      <w:r w:rsidRPr="00A605BB">
        <w:rPr>
          <w:rFonts w:eastAsia="TimesNRMTStd-Regular"/>
        </w:rPr>
        <w:t xml:space="preserve">that students’ competencies increase during </w:t>
      </w:r>
      <w:r w:rsidR="00C6249E" w:rsidRPr="00A605BB">
        <w:rPr>
          <w:rFonts w:eastAsia="TimesNRMTStd-Regular"/>
        </w:rPr>
        <w:t xml:space="preserve">a </w:t>
      </w:r>
      <w:r w:rsidRPr="00A605BB">
        <w:rPr>
          <w:rFonts w:eastAsia="TimesNRMTStd-Regular"/>
        </w:rPr>
        <w:t>placement year</w:t>
      </w:r>
      <w:r w:rsidR="004F186D" w:rsidRPr="00A605BB">
        <w:rPr>
          <w:rFonts w:eastAsia="TimesNRMTStd-Regular"/>
        </w:rPr>
        <w:t xml:space="preserve"> but do so at different rates</w:t>
      </w:r>
      <w:r w:rsidR="00C6249E" w:rsidRPr="00A605BB">
        <w:rPr>
          <w:rFonts w:eastAsia="TimesNRMTStd-Regular"/>
        </w:rPr>
        <w:t xml:space="preserve"> and from different baselines</w:t>
      </w:r>
      <w:r w:rsidR="007505E1" w:rsidRPr="00A605BB">
        <w:rPr>
          <w:rFonts w:eastAsia="TimesNRMTStd-Regular"/>
        </w:rPr>
        <w:t>. While these findings are interesting in themselves, we also conducted exploratory analyses at the level of the 20 competency subscales provided by Bartram (2005)</w:t>
      </w:r>
      <w:r w:rsidR="0057174E" w:rsidRPr="00A605BB">
        <w:rPr>
          <w:rFonts w:eastAsia="TimesNRMTStd-Regular"/>
        </w:rPr>
        <w:t xml:space="preserve"> </w:t>
      </w:r>
      <w:r w:rsidR="00A928BE" w:rsidRPr="00A605BB">
        <w:rPr>
          <w:rFonts w:eastAsia="TimesNRMTStd-Regular"/>
        </w:rPr>
        <w:t xml:space="preserve">- </w:t>
      </w:r>
      <w:r w:rsidR="0057174E" w:rsidRPr="00A605BB">
        <w:rPr>
          <w:rFonts w:eastAsia="TimesNRMTStd-Regular"/>
        </w:rPr>
        <w:t xml:space="preserve">see </w:t>
      </w:r>
      <w:r w:rsidR="0057174E" w:rsidRPr="00A605BB">
        <w:rPr>
          <w:rFonts w:eastAsia="TimesNRMTStd-Regular"/>
        </w:rPr>
        <w:fldChar w:fldCharType="begin" w:fldLock="1"/>
      </w:r>
      <w:r w:rsidR="000C55F2" w:rsidRPr="00A605BB">
        <w:rPr>
          <w:rFonts w:eastAsia="TimesNRMTStd-Regular"/>
        </w:rPr>
        <w:instrText>ADDIN CSL_CITATION {"citationItems":[{"id":"ITEM-1","itemData":{"author":[{"dropping-particle":"","family":"Hughes","given":"H.P.N.","non-dropping-particle":"","parse-names":false,"suffix":""}],"container-title":"International Journal of Teaching and Learning in Higher Education","id":"ITEM-1","issued":{"date-parts":[["2022"]]},"page":"Advanced Online Publication.","title":"The Work-Integrated Opportunity and Development Tool (WIODT): A practical approach to maximise the value of work-integrated learning","type":"article-journal"},"uris":["http://www.mendeley.com/documents/?uuid=4f1a8efc-9e85-4e4b-93ff-f68f64e9a94f"]}],"mendeley":{"formattedCitation":"(Hughes, 2022)","manualFormatting":"Hughes (2022)","plainTextFormattedCitation":"(Hughes, 2022)"},"properties":{"noteIndex":0},"schema":"https://github.com/citation-style-language/schema/raw/master/csl-citation.json"}</w:instrText>
      </w:r>
      <w:r w:rsidR="0057174E" w:rsidRPr="00A605BB">
        <w:rPr>
          <w:rFonts w:eastAsia="TimesNRMTStd-Regular"/>
        </w:rPr>
        <w:fldChar w:fldCharType="separate"/>
      </w:r>
      <w:r w:rsidR="0057174E" w:rsidRPr="00A605BB">
        <w:rPr>
          <w:rFonts w:eastAsia="TimesNRMTStd-Regular"/>
          <w:noProof/>
        </w:rPr>
        <w:t>Hughes</w:t>
      </w:r>
      <w:r w:rsidR="00A928BE" w:rsidRPr="00A605BB">
        <w:rPr>
          <w:rFonts w:eastAsia="TimesNRMTStd-Regular"/>
          <w:noProof/>
        </w:rPr>
        <w:t xml:space="preserve"> (</w:t>
      </w:r>
      <w:r w:rsidR="0057174E" w:rsidRPr="00A605BB">
        <w:rPr>
          <w:rFonts w:eastAsia="TimesNRMTStd-Regular"/>
          <w:noProof/>
        </w:rPr>
        <w:t>2022)</w:t>
      </w:r>
      <w:r w:rsidR="0057174E" w:rsidRPr="00A605BB">
        <w:rPr>
          <w:rFonts w:eastAsia="TimesNRMTStd-Regular"/>
        </w:rPr>
        <w:fldChar w:fldCharType="end"/>
      </w:r>
      <w:r w:rsidR="0057174E" w:rsidRPr="00A605BB">
        <w:rPr>
          <w:rFonts w:eastAsia="TimesNRMTStd-Regular"/>
        </w:rPr>
        <w:t xml:space="preserve"> for the full </w:t>
      </w:r>
      <w:r w:rsidR="006054E7" w:rsidRPr="00A605BB">
        <w:rPr>
          <w:rFonts w:eastAsia="TimesNRMTStd-Regular"/>
        </w:rPr>
        <w:t>questionnaire</w:t>
      </w:r>
      <w:r w:rsidR="007505E1" w:rsidRPr="00A605BB">
        <w:rPr>
          <w:rFonts w:eastAsia="TimesNRMTStd-Regular"/>
        </w:rPr>
        <w:t xml:space="preserve">. Figure 1 shows the self-reported scores by the students at the start, middle, and end of their placement. </w:t>
      </w:r>
    </w:p>
    <w:p w14:paraId="03965AE0" w14:textId="2654280A" w:rsidR="007505E1" w:rsidRPr="00A605BB" w:rsidRDefault="007505E1" w:rsidP="007505E1">
      <w:pPr>
        <w:jc w:val="center"/>
        <w:rPr>
          <w:rFonts w:eastAsia="TimesNRMTStd-Regular"/>
        </w:rPr>
      </w:pPr>
      <w:r w:rsidRPr="00A605BB">
        <w:rPr>
          <w:rFonts w:eastAsia="TimesNRMTStd-Regular"/>
        </w:rPr>
        <w:t>INSERT FIGURE 1 HERE</w:t>
      </w:r>
    </w:p>
    <w:p w14:paraId="3A28FAD3" w14:textId="5C855D08" w:rsidR="007505E1" w:rsidRPr="00A605BB" w:rsidRDefault="007505E1" w:rsidP="003A672B">
      <w:pPr>
        <w:ind w:firstLine="567"/>
        <w:jc w:val="both"/>
        <w:rPr>
          <w:rFonts w:eastAsia="TimesNRMTStd-Regular"/>
        </w:rPr>
      </w:pPr>
      <w:r w:rsidRPr="00A605BB">
        <w:rPr>
          <w:rFonts w:eastAsia="TimesNRMTStd-Regular"/>
        </w:rPr>
        <w:t xml:space="preserve">These subscales show that for 18 of the 20 competency subscales, students perceived an improvement from start to middle and again from middle to end of their placement. However, there is </w:t>
      </w:r>
      <w:r w:rsidR="004F186D" w:rsidRPr="00A605BB">
        <w:rPr>
          <w:rFonts w:eastAsia="TimesNRMTStd-Regular"/>
        </w:rPr>
        <w:t>an evident</w:t>
      </w:r>
      <w:r w:rsidRPr="00A605BB">
        <w:rPr>
          <w:rFonts w:eastAsia="TimesNRMTStd-Regular"/>
        </w:rPr>
        <w:t xml:space="preserve"> variation in the level of improvement and the initial baseline rating at the start of the placement. Interestingly, two </w:t>
      </w:r>
      <w:r w:rsidR="004F186D" w:rsidRPr="00A605BB">
        <w:rPr>
          <w:rFonts w:eastAsia="TimesNRMTStd-Regular"/>
        </w:rPr>
        <w:t xml:space="preserve">subscales saw a drop in perceived ability between the start and middle of the placement before finishing at a higher level than </w:t>
      </w:r>
      <w:r w:rsidR="00954541" w:rsidRPr="00A605BB">
        <w:rPr>
          <w:rFonts w:eastAsia="TimesNRMTStd-Regular"/>
        </w:rPr>
        <w:t xml:space="preserve">at </w:t>
      </w:r>
      <w:r w:rsidR="004F186D" w:rsidRPr="00A605BB">
        <w:rPr>
          <w:rFonts w:eastAsia="TimesNRMTStd-Regular"/>
        </w:rPr>
        <w:t>the start of the placement following completion</w:t>
      </w:r>
      <w:r w:rsidRPr="00A605BB">
        <w:rPr>
          <w:rFonts w:eastAsia="TimesNRMTStd-Regular"/>
        </w:rPr>
        <w:t xml:space="preserve">. These findings warrant further exploration, which we </w:t>
      </w:r>
      <w:r w:rsidR="004F186D" w:rsidRPr="00A605BB">
        <w:rPr>
          <w:rFonts w:eastAsia="TimesNRMTStd-Regular"/>
        </w:rPr>
        <w:t xml:space="preserve">will elaborate on </w:t>
      </w:r>
      <w:r w:rsidRPr="00A605BB">
        <w:rPr>
          <w:rFonts w:eastAsia="TimesNRMTStd-Regular"/>
        </w:rPr>
        <w:t>in the future research section.</w:t>
      </w:r>
    </w:p>
    <w:p w14:paraId="7B5AE45E" w14:textId="77777777" w:rsidR="007505E1" w:rsidRPr="00A605BB" w:rsidRDefault="007505E1" w:rsidP="007505E1">
      <w:pPr>
        <w:ind w:left="567" w:hanging="567"/>
        <w:jc w:val="both"/>
        <w:rPr>
          <w:rFonts w:eastAsia="TimesNRMTStd-Regular"/>
          <w:i/>
          <w:iCs/>
        </w:rPr>
      </w:pPr>
      <w:r w:rsidRPr="00A605BB">
        <w:rPr>
          <w:rFonts w:eastAsia="TimesNRMTStd-Regular"/>
          <w:i/>
          <w:iCs/>
        </w:rPr>
        <w:lastRenderedPageBreak/>
        <w:t>RQ2. To what extent do students' self-perceptions of the ‘Great Eight’ competencies align or diverge with the assessment by their line managers?</w:t>
      </w:r>
    </w:p>
    <w:p w14:paraId="65E427C6" w14:textId="1FE43E1C" w:rsidR="0002402B" w:rsidRPr="00A605BB" w:rsidRDefault="00CB757C" w:rsidP="00224668">
      <w:pPr>
        <w:jc w:val="both"/>
        <w:rPr>
          <w:rFonts w:eastAsia="TimesNRMTStd-Regular"/>
        </w:rPr>
      </w:pPr>
      <w:r w:rsidRPr="00A605BB">
        <w:rPr>
          <w:rFonts w:eastAsia="TimesNRMTStd-Regular"/>
        </w:rPr>
        <w:t>The findings show that line managers and students view proficiency across the competencies differently</w:t>
      </w:r>
      <w:r w:rsidR="00954541" w:rsidRPr="00A605BB">
        <w:rPr>
          <w:rFonts w:eastAsia="TimesNRMTStd-Regular"/>
        </w:rPr>
        <w:t>. Line managers rated</w:t>
      </w:r>
      <w:r w:rsidRPr="00A605BB">
        <w:rPr>
          <w:rFonts w:eastAsia="TimesNRMTStd-Regular"/>
        </w:rPr>
        <w:t xml:space="preserve"> students better than the students rate</w:t>
      </w:r>
      <w:r w:rsidR="00954541" w:rsidRPr="00A605BB">
        <w:rPr>
          <w:rFonts w:eastAsia="TimesNRMTStd-Regular"/>
        </w:rPr>
        <w:t>d</w:t>
      </w:r>
      <w:r w:rsidRPr="00A605BB">
        <w:rPr>
          <w:rFonts w:eastAsia="TimesNRMTStd-Regular"/>
        </w:rPr>
        <w:t xml:space="preserve"> themselves</w:t>
      </w:r>
      <w:r w:rsidR="002466B3" w:rsidRPr="00A605BB">
        <w:rPr>
          <w:rFonts w:eastAsia="TimesNRMTStd-Regular"/>
        </w:rPr>
        <w:t xml:space="preserve"> for seven of the eight competencies, with no statistically significant variation for the remaining competency.</w:t>
      </w:r>
      <w:r w:rsidR="0002402B" w:rsidRPr="00A605BB">
        <w:rPr>
          <w:rFonts w:eastAsia="TimesNRMTStd-Regular"/>
        </w:rPr>
        <w:t xml:space="preserve"> Again, the findings show that these ratings depend on the competency under consideration.</w:t>
      </w:r>
      <w:r w:rsidR="0061107C" w:rsidRPr="00A605BB">
        <w:rPr>
          <w:rFonts w:eastAsia="TimesNRMTStd-Regular"/>
        </w:rPr>
        <w:t xml:space="preserve"> </w:t>
      </w:r>
      <w:r w:rsidR="0002402B" w:rsidRPr="00A605BB">
        <w:rPr>
          <w:rFonts w:eastAsia="TimesNRMTStd-Regular"/>
        </w:rPr>
        <w:t xml:space="preserve">Figure </w:t>
      </w:r>
      <w:r w:rsidR="007505E1" w:rsidRPr="00A605BB">
        <w:rPr>
          <w:rFonts w:eastAsia="TimesNRMTStd-Regular"/>
        </w:rPr>
        <w:t>2</w:t>
      </w:r>
      <w:r w:rsidR="0002402B" w:rsidRPr="00A605BB">
        <w:rPr>
          <w:rFonts w:eastAsia="TimesNRMTStd-Regular"/>
        </w:rPr>
        <w:t>. offers a radar plot to illustrate these differences.</w:t>
      </w:r>
    </w:p>
    <w:p w14:paraId="5529E90E" w14:textId="700ABFEA" w:rsidR="0002402B" w:rsidRPr="00A605BB" w:rsidRDefault="0002402B" w:rsidP="00224668">
      <w:pPr>
        <w:jc w:val="center"/>
        <w:rPr>
          <w:rFonts w:eastAsia="TimesNRMTStd-Regular"/>
        </w:rPr>
      </w:pPr>
      <w:r w:rsidRPr="00A605BB">
        <w:rPr>
          <w:rFonts w:eastAsia="TimesNRMTStd-Regular"/>
        </w:rPr>
        <w:t xml:space="preserve">INSERT FIGURE </w:t>
      </w:r>
      <w:r w:rsidR="007505E1" w:rsidRPr="00A605BB">
        <w:rPr>
          <w:rFonts w:eastAsia="TimesNRMTStd-Regular"/>
        </w:rPr>
        <w:t>2</w:t>
      </w:r>
      <w:r w:rsidRPr="00A605BB">
        <w:rPr>
          <w:rFonts w:eastAsia="TimesNRMTStd-Regular"/>
        </w:rPr>
        <w:t xml:space="preserve"> HERE</w:t>
      </w:r>
    </w:p>
    <w:p w14:paraId="6771691E" w14:textId="77777777" w:rsidR="00825ECC" w:rsidRPr="00A605BB" w:rsidRDefault="00825ECC" w:rsidP="00224668">
      <w:pPr>
        <w:jc w:val="center"/>
        <w:rPr>
          <w:rFonts w:eastAsia="TimesNRMTStd-Regular"/>
        </w:rPr>
      </w:pPr>
    </w:p>
    <w:p w14:paraId="1E8FD8A5" w14:textId="562F45E7" w:rsidR="002F2000" w:rsidRPr="00A605BB" w:rsidRDefault="002F2000" w:rsidP="00C6466A">
      <w:pPr>
        <w:pStyle w:val="Heading1"/>
        <w:spacing w:before="0" w:after="0" w:line="480" w:lineRule="auto"/>
        <w:jc w:val="center"/>
      </w:pPr>
      <w:r w:rsidRPr="00A605BB">
        <w:t>Discussion</w:t>
      </w:r>
      <w:r w:rsidR="00863289" w:rsidRPr="00A605BB">
        <w:t xml:space="preserve"> </w:t>
      </w:r>
    </w:p>
    <w:p w14:paraId="38334A80" w14:textId="1EE228FC" w:rsidR="00A55FC9" w:rsidRPr="00A605BB" w:rsidRDefault="00A55FC9" w:rsidP="00A55FC9">
      <w:pPr>
        <w:pStyle w:val="Heading2"/>
        <w:spacing w:before="0" w:after="0" w:line="480" w:lineRule="auto"/>
        <w:rPr>
          <w:i w:val="0"/>
          <w:iCs w:val="0"/>
        </w:rPr>
      </w:pPr>
      <w:r w:rsidRPr="00A605BB">
        <w:rPr>
          <w:i w:val="0"/>
          <w:iCs w:val="0"/>
        </w:rPr>
        <w:t>Theoretical Implications</w:t>
      </w:r>
    </w:p>
    <w:p w14:paraId="77021FDE" w14:textId="0E35D48D" w:rsidR="005D51C3" w:rsidRPr="00A605BB" w:rsidRDefault="00612182" w:rsidP="005D51C3">
      <w:pPr>
        <w:jc w:val="both"/>
      </w:pPr>
      <w:r w:rsidRPr="00A605BB">
        <w:rPr>
          <w:rFonts w:eastAsia="TimesNRMTStd-Regular"/>
        </w:rPr>
        <w:t>O</w:t>
      </w:r>
      <w:r w:rsidR="00825ECC" w:rsidRPr="00A605BB">
        <w:rPr>
          <w:rFonts w:eastAsia="TimesNRMTStd-Regular"/>
        </w:rPr>
        <w:t>ur research integrates human capital (Becker, 1964; Schultz, 1961) and sustainable career theory (</w:t>
      </w:r>
      <w:r w:rsidR="00CC0F0B" w:rsidRPr="00A605BB">
        <w:rPr>
          <w:rFonts w:eastAsia="TimesNRMTStd-Regular"/>
        </w:rPr>
        <w:t>V</w:t>
      </w:r>
      <w:r w:rsidR="00825ECC" w:rsidRPr="00A605BB">
        <w:t xml:space="preserve">an der Heijden and De Vos, 2015) and applies the framework to the impact of placements on the development of the ‘Great Eight’ competencies. </w:t>
      </w:r>
      <w:r w:rsidR="005D51C3" w:rsidRPr="00A605BB">
        <w:t xml:space="preserve">The outcomes of a sustainable career of health, happiness, and productivity (De Vos et al., 2020) also overlap with human capital theory’s focus on enhancing an individual’s productivity (Becker, 1964; </w:t>
      </w:r>
      <w:r w:rsidR="005D51C3" w:rsidRPr="00A605BB">
        <w:rPr>
          <w:rFonts w:eastAsia="TimesNRMTStd-Regular"/>
        </w:rPr>
        <w:t>Schultz, 1961</w:t>
      </w:r>
      <w:r w:rsidR="005D51C3" w:rsidRPr="00A605BB">
        <w:t>).</w:t>
      </w:r>
    </w:p>
    <w:p w14:paraId="415FBA5E" w14:textId="136E804E" w:rsidR="00CA6F9E" w:rsidRPr="00A605BB" w:rsidRDefault="00825ECC" w:rsidP="003A672B">
      <w:pPr>
        <w:ind w:firstLine="567"/>
        <w:jc w:val="both"/>
      </w:pPr>
      <w:r w:rsidRPr="00A605BB">
        <w:t>Placements appear to increase market value capital and skills capital in Donald et al.’s (2019) model, mapping to human capital in other conceptual models (Clarke, 2018; Tomlinson, 2017).</w:t>
      </w:r>
      <w:r w:rsidR="00383B3E" w:rsidRPr="00A605BB">
        <w:t xml:space="preserve"> Our findings indicate that </w:t>
      </w:r>
      <w:r w:rsidR="00954541" w:rsidRPr="00A605BB">
        <w:t xml:space="preserve">accumulating personal resources over time increases self-perceived scores for each of the ‘Great Eight’ competencies for students, showing support for </w:t>
      </w:r>
      <w:r w:rsidR="001445B2" w:rsidRPr="00A605BB">
        <w:t xml:space="preserve">clustering </w:t>
      </w:r>
      <w:r w:rsidR="00383B3E" w:rsidRPr="00A605BB">
        <w:t>resources within resource caravans (</w:t>
      </w:r>
      <w:proofErr w:type="spellStart"/>
      <w:r w:rsidR="00383B3E" w:rsidRPr="00A605BB">
        <w:t>Hobfoll</w:t>
      </w:r>
      <w:proofErr w:type="spellEnd"/>
      <w:r w:rsidR="00D57E4A" w:rsidRPr="00A605BB">
        <w:t>, 2011</w:t>
      </w:r>
      <w:r w:rsidR="00383B3E" w:rsidRPr="00A605BB">
        <w:t>). However, the increases in self-perceived scores vary by competence</w:t>
      </w:r>
      <w:r w:rsidR="00CA6F9E" w:rsidRPr="00A605BB">
        <w:t>,</w:t>
      </w:r>
      <w:r w:rsidR="00383B3E" w:rsidRPr="00A605BB">
        <w:t xml:space="preserve"> suggesting that </w:t>
      </w:r>
      <w:r w:rsidR="00383B3E" w:rsidRPr="00A605BB">
        <w:lastRenderedPageBreak/>
        <w:t>certain students and certain types of placements may benefit some students to a greater extent than others.</w:t>
      </w:r>
    </w:p>
    <w:p w14:paraId="09A13426" w14:textId="75EDE5DC" w:rsidR="00D2700C" w:rsidRPr="00A605BB" w:rsidRDefault="00CA6F9E" w:rsidP="003A672B">
      <w:pPr>
        <w:ind w:firstLine="567"/>
        <w:jc w:val="both"/>
      </w:pPr>
      <w:r w:rsidRPr="00A605BB">
        <w:t>An unexpected finding was that student self-reported scores for each competency were lower than manager self-reported scores a</w:t>
      </w:r>
      <w:r w:rsidR="00D2700C" w:rsidRPr="00A605BB">
        <w:t>t</w:t>
      </w:r>
      <w:r w:rsidRPr="00A605BB">
        <w:t xml:space="preserve"> the mid and end of the placement, with seven of these eight differences being statistically significant.</w:t>
      </w:r>
      <w:r w:rsidR="00D2700C" w:rsidRPr="00A605BB">
        <w:t xml:space="preserve"> One possible reason for this is that our sample was an overrepresentation of women, who have been shown to have lower self-perceived competencies and employability ratings than men (Donald et al., </w:t>
      </w:r>
      <w:r w:rsidR="00C86DF7" w:rsidRPr="00A605BB">
        <w:t xml:space="preserve">2018; </w:t>
      </w:r>
      <w:r w:rsidR="00D2700C" w:rsidRPr="00A605BB">
        <w:t>2019).</w:t>
      </w:r>
      <w:r w:rsidR="005D51C3" w:rsidRPr="00A605BB">
        <w:t xml:space="preserve"> Perhaps lower levels of self-efficacy translate to lower self-reported scores</w:t>
      </w:r>
      <w:r w:rsidR="009453E8" w:rsidRPr="00A605BB">
        <w:t>,</w:t>
      </w:r>
      <w:r w:rsidR="005D51C3" w:rsidRPr="00A605BB">
        <w:t xml:space="preserve"> as seen in previous studies involving music students (Nielsen, 2004; </w:t>
      </w:r>
      <w:proofErr w:type="spellStart"/>
      <w:r w:rsidR="005D51C3" w:rsidRPr="00A605BB">
        <w:t>Wehr</w:t>
      </w:r>
      <w:proofErr w:type="spellEnd"/>
      <w:r w:rsidR="005D51C3" w:rsidRPr="00A605BB">
        <w:t>-Flowers, 2006).</w:t>
      </w:r>
      <w:r w:rsidR="00D2700C" w:rsidRPr="00A605BB">
        <w:t xml:space="preserve"> An alternative reason may be linked to social desirability bias (</w:t>
      </w:r>
      <w:proofErr w:type="spellStart"/>
      <w:r w:rsidR="00D2700C" w:rsidRPr="00A605BB">
        <w:t>Paulhus</w:t>
      </w:r>
      <w:proofErr w:type="spellEnd"/>
      <w:r w:rsidR="00D2700C" w:rsidRPr="00A605BB">
        <w:t>, 1985; Grimm, 2010) in the reporting of scores by line managers if they over-reported competencies of their reports to be viewed favourably by students or their universities.</w:t>
      </w:r>
    </w:p>
    <w:p w14:paraId="14B686E4" w14:textId="113CEB02" w:rsidR="00C86DF7" w:rsidRPr="00A605BB" w:rsidRDefault="00D2700C" w:rsidP="003A672B">
      <w:pPr>
        <w:ind w:firstLine="567"/>
        <w:jc w:val="both"/>
      </w:pPr>
      <w:r w:rsidRPr="00A605BB">
        <w:t>The findings align with the views of Donald et al. (2019) and St-Clair-</w:t>
      </w:r>
      <w:proofErr w:type="spellStart"/>
      <w:r w:rsidRPr="00A605BB">
        <w:t>Thompso</w:t>
      </w:r>
      <w:proofErr w:type="spellEnd"/>
      <w:r w:rsidRPr="00A605BB">
        <w:t xml:space="preserve"> and </w:t>
      </w:r>
      <w:proofErr w:type="spellStart"/>
      <w:r w:rsidRPr="00A605BB">
        <w:t>Chivers</w:t>
      </w:r>
      <w:proofErr w:type="spellEnd"/>
      <w:r w:rsidRPr="00A605BB">
        <w:t xml:space="preserve"> (2019) that students studying business and social science degrees can increase human capital and employability by undertaking placements.</w:t>
      </w:r>
      <w:r w:rsidR="00D57E4A" w:rsidRPr="00A605BB">
        <w:t xml:space="preserve"> They also show that labour market experience for women undergraduate students can increase competencies, as previously shown in women MBA students (Houldsworth et al., 202</w:t>
      </w:r>
      <w:r w:rsidR="00C155F6" w:rsidRPr="00A605BB">
        <w:t>3</w:t>
      </w:r>
      <w:r w:rsidR="00D57E4A" w:rsidRPr="00A605BB">
        <w:t>).</w:t>
      </w:r>
      <w:r w:rsidRPr="00A605BB">
        <w:t xml:space="preserve"> The findings suggest that concerns around the increased vulnerability of studying a social science degree for the university-work transition may be overstated (</w:t>
      </w:r>
      <w:proofErr w:type="spellStart"/>
      <w:r w:rsidRPr="00A605BB">
        <w:t>Gachino</w:t>
      </w:r>
      <w:proofErr w:type="spellEnd"/>
      <w:r w:rsidRPr="00A605BB">
        <w:t xml:space="preserve"> and </w:t>
      </w:r>
      <w:proofErr w:type="spellStart"/>
      <w:r w:rsidRPr="00A605BB">
        <w:t>Worku</w:t>
      </w:r>
      <w:proofErr w:type="spellEnd"/>
      <w:r w:rsidRPr="00A605BB">
        <w:t>, 2019; Monteiro et al., 2020)</w:t>
      </w:r>
      <w:r w:rsidR="00D57E4A" w:rsidRPr="00A605BB">
        <w:t>, providing students undertake a placement</w:t>
      </w:r>
      <w:r w:rsidRPr="00A605BB">
        <w:t>. Yet, competencies are only one part of employability and do not account for other personal factors or contextual/external factors</w:t>
      </w:r>
      <w:r w:rsidR="00D57E4A" w:rsidRPr="00A605BB">
        <w:t xml:space="preserve"> that play out over time to determine career sustainability (De Vos et al., 2020).</w:t>
      </w:r>
      <w:r w:rsidR="00C86DF7" w:rsidRPr="00A605BB">
        <w:t xml:space="preserve"> </w:t>
      </w:r>
    </w:p>
    <w:p w14:paraId="39A1CC89" w14:textId="47393E6E" w:rsidR="00C86DF7" w:rsidRPr="00A605BB" w:rsidRDefault="00954541" w:rsidP="003A672B">
      <w:pPr>
        <w:ind w:firstLine="567"/>
        <w:jc w:val="both"/>
      </w:pPr>
      <w:r w:rsidRPr="00A605BB">
        <w:t>Therefore, our theoretical contribution also comes from responding to the need to understand better</w:t>
      </w:r>
      <w:r w:rsidR="00C86DF7" w:rsidRPr="00A605BB">
        <w:t xml:space="preserve"> the differential value of placements with vocational behaviour and </w:t>
      </w:r>
      <w:r w:rsidR="00C86DF7" w:rsidRPr="00A605BB">
        <w:lastRenderedPageBreak/>
        <w:t>career theory literature (</w:t>
      </w:r>
      <w:r w:rsidR="00C86DF7" w:rsidRPr="00A605BB">
        <w:rPr>
          <w:rFonts w:eastAsia="TimesNRMTStd-Regular"/>
        </w:rPr>
        <w:t xml:space="preserve">Narayanan et al., 2010; </w:t>
      </w:r>
      <w:proofErr w:type="spellStart"/>
      <w:r w:rsidR="00C86DF7" w:rsidRPr="00A605BB">
        <w:rPr>
          <w:rFonts w:eastAsia="TimesNRMTStd-Regular"/>
        </w:rPr>
        <w:t>Inceoglu</w:t>
      </w:r>
      <w:proofErr w:type="spellEnd"/>
      <w:r w:rsidR="00C86DF7" w:rsidRPr="00A605BB">
        <w:rPr>
          <w:rFonts w:eastAsia="TimesNRMTStd-Regular"/>
        </w:rPr>
        <w:t xml:space="preserve"> et al., 2019) whilst offering avenues for future exploration in the future research section.</w:t>
      </w:r>
    </w:p>
    <w:p w14:paraId="5EDDC45F" w14:textId="00333F72" w:rsidR="00A55FC9" w:rsidRPr="00A605BB" w:rsidRDefault="00A55FC9" w:rsidP="00A55FC9">
      <w:pPr>
        <w:pStyle w:val="Heading2"/>
        <w:spacing w:before="0" w:after="0" w:line="480" w:lineRule="auto"/>
        <w:rPr>
          <w:i w:val="0"/>
          <w:iCs w:val="0"/>
        </w:rPr>
      </w:pPr>
      <w:r w:rsidRPr="00A605BB">
        <w:rPr>
          <w:i w:val="0"/>
          <w:iCs w:val="0"/>
        </w:rPr>
        <w:t>Practical Implications</w:t>
      </w:r>
      <w:r w:rsidR="00BB3373" w:rsidRPr="00A605BB">
        <w:rPr>
          <w:i w:val="0"/>
          <w:iCs w:val="0"/>
        </w:rPr>
        <w:t xml:space="preserve"> </w:t>
      </w:r>
    </w:p>
    <w:p w14:paraId="40357960" w14:textId="00B7B0C5" w:rsidR="00AA1473" w:rsidRPr="00A605BB" w:rsidRDefault="00AA1473" w:rsidP="00DE6D07">
      <w:pPr>
        <w:jc w:val="both"/>
        <w:rPr>
          <w:rFonts w:eastAsia="TimesNRMTStd-Regular"/>
          <w:color w:val="FF0000"/>
        </w:rPr>
      </w:pPr>
      <w:r w:rsidRPr="00A605BB">
        <w:rPr>
          <w:rFonts w:eastAsia="TimesNRMTStd-Regular"/>
        </w:rPr>
        <w:t xml:space="preserve">Multi-source feedback, measurements of competencies over time, and the opportunity for holistic reflection ensure </w:t>
      </w:r>
      <w:r w:rsidR="001445B2" w:rsidRPr="00A605BB">
        <w:rPr>
          <w:rFonts w:eastAsia="TimesNRMTStd-Regular"/>
        </w:rPr>
        <w:t xml:space="preserve">that </w:t>
      </w:r>
      <w:r w:rsidRPr="00A605BB">
        <w:rPr>
          <w:rFonts w:eastAsia="TimesNRMTStd-Regular"/>
        </w:rPr>
        <w:t xml:space="preserve">our findings offer practical implications to students, universities, and placement providers. One of the challenges for universities has been tailoring assessments for students undertaking a placement year to specific employers and overcoming non-disclosure agreements that prevent students from showcasing their achievements via portfolios and presentations (Hughes, 2022). </w:t>
      </w:r>
      <w:r w:rsidR="001445B2" w:rsidRPr="00A605BB">
        <w:rPr>
          <w:rFonts w:eastAsia="TimesNRMTStd-Regular"/>
        </w:rPr>
        <w:t>Adopting</w:t>
      </w:r>
      <w:r w:rsidRPr="00A605BB">
        <w:rPr>
          <w:rFonts w:eastAsia="TimesNRMTStd-Regular"/>
        </w:rPr>
        <w:t xml:space="preserve"> competency-based outcomes captured at different time points, as reported by students and their line managers, offers the opportunity for assessment via holistic and deep reflection. </w:t>
      </w:r>
      <w:r w:rsidR="00573CB3" w:rsidRPr="00A605BB">
        <w:rPr>
          <w:rFonts w:eastAsia="TimesNRMTStd-Regular"/>
        </w:rPr>
        <w:t xml:space="preserve">The process can help students to develop a better understanding of themselves and identify areas of opportunity for enhancing their human capital. </w:t>
      </w:r>
      <w:bookmarkStart w:id="10" w:name="_Hlk130063699"/>
      <w:r w:rsidR="007108B1" w:rsidRPr="00A605BB">
        <w:rPr>
          <w:rFonts w:eastAsia="TimesNRMTStd-Regular"/>
        </w:rPr>
        <w:t xml:space="preserve">Although our research is based on undergraduate students at a Russell Group university in the UK, the findings would apply to any university and at any level of study in which student placements could contribute to producing work-ready graduates. For example, application to the current issue in academia in Europe, Asia, Australia, and the USA of whether the existing PhD way of study is outdated and how PhD students can acquire employability skills (Sin and Tavares, 2020).  </w:t>
      </w:r>
      <w:bookmarkEnd w:id="10"/>
    </w:p>
    <w:p w14:paraId="73E852AA" w14:textId="5997C765" w:rsidR="00B5796B" w:rsidRPr="00A605BB" w:rsidRDefault="00807E8E" w:rsidP="003A672B">
      <w:pPr>
        <w:ind w:firstLine="567"/>
        <w:jc w:val="both"/>
        <w:rPr>
          <w:rFonts w:eastAsia="TimesNRMTStd-Regular"/>
        </w:rPr>
      </w:pPr>
      <w:r w:rsidRPr="00A605BB">
        <w:rPr>
          <w:rFonts w:eastAsia="TimesNRMTStd-Regular"/>
        </w:rPr>
        <w:t>Our findings show that competencies develop at different rates during a placement</w:t>
      </w:r>
      <w:r w:rsidR="001445B2" w:rsidRPr="00A605BB">
        <w:rPr>
          <w:rFonts w:eastAsia="TimesNRMTStd-Regular"/>
        </w:rPr>
        <w:t>. These</w:t>
      </w:r>
      <w:r w:rsidRPr="00A605BB">
        <w:rPr>
          <w:rFonts w:eastAsia="TimesNRMTStd-Regular"/>
        </w:rPr>
        <w:t xml:space="preserve"> variations are most evident at the 20 sub-scale levels rather than at the ‘Great Eight’ competency scale levels. Therefore unpicking competencies further could be valuable to students, universities, and employers to understand what aspects affect the rate of competency development (e.g. social class, ethnicity, gender, baseline competency scores upon entering higher education, etc.). </w:t>
      </w:r>
      <w:r w:rsidR="00A525AF" w:rsidRPr="00A605BB">
        <w:rPr>
          <w:rFonts w:eastAsia="TimesNRMTStd-Regular"/>
        </w:rPr>
        <w:t xml:space="preserve">Enhanced understanding can help to develop more </w:t>
      </w:r>
      <w:r w:rsidR="00A525AF" w:rsidRPr="00A605BB">
        <w:rPr>
          <w:rFonts w:eastAsia="TimesNRMTStd-Regular"/>
        </w:rPr>
        <w:lastRenderedPageBreak/>
        <w:t xml:space="preserve">valuable and </w:t>
      </w:r>
      <w:r w:rsidR="00690CD3" w:rsidRPr="00A605BB">
        <w:rPr>
          <w:rFonts w:eastAsia="TimesNRMTStd-Regular"/>
        </w:rPr>
        <w:t>targeted</w:t>
      </w:r>
      <w:r w:rsidR="00A525AF" w:rsidRPr="00A605BB">
        <w:rPr>
          <w:rFonts w:eastAsia="TimesNRMTStd-Regular"/>
        </w:rPr>
        <w:t xml:space="preserve"> curriculum-based interventions, which have been shown to be highly effective as other Russel Group </w:t>
      </w:r>
      <w:r w:rsidR="001445B2" w:rsidRPr="00A605BB">
        <w:rPr>
          <w:rFonts w:eastAsia="TimesNRMTStd-Regular"/>
        </w:rPr>
        <w:t>u</w:t>
      </w:r>
      <w:r w:rsidR="00A525AF" w:rsidRPr="00A605BB">
        <w:rPr>
          <w:rFonts w:eastAsia="TimesNRMTStd-Regular"/>
        </w:rPr>
        <w:t xml:space="preserve">niversities in the UK (Padgett </w:t>
      </w:r>
      <w:r w:rsidR="007108B1" w:rsidRPr="00A605BB">
        <w:rPr>
          <w:rFonts w:eastAsia="TimesNRMTStd-Regular"/>
        </w:rPr>
        <w:t>and</w:t>
      </w:r>
      <w:r w:rsidR="00A525AF" w:rsidRPr="00A605BB">
        <w:rPr>
          <w:rFonts w:eastAsia="TimesNRMTStd-Regular"/>
        </w:rPr>
        <w:t xml:space="preserve"> Donald, 202</w:t>
      </w:r>
      <w:r w:rsidR="0060598A" w:rsidRPr="00A605BB">
        <w:rPr>
          <w:rFonts w:eastAsia="TimesNRMTStd-Regular"/>
        </w:rPr>
        <w:t>3</w:t>
      </w:r>
      <w:r w:rsidR="00A525AF" w:rsidRPr="00A605BB">
        <w:rPr>
          <w:rFonts w:eastAsia="TimesNRMTStd-Regular"/>
        </w:rPr>
        <w:t>). Effective curriculum design to enhance students’ employability also takes on increased significance since university career services lack the resources to deal with the</w:t>
      </w:r>
      <w:r w:rsidR="00C16B0F" w:rsidRPr="00A605BB">
        <w:rPr>
          <w:rFonts w:eastAsia="TimesNRMTStd-Regular"/>
        </w:rPr>
        <w:t xml:space="preserve"> </w:t>
      </w:r>
      <w:r w:rsidR="00A525AF" w:rsidRPr="00A605BB">
        <w:rPr>
          <w:rFonts w:eastAsia="TimesNRMTStd-Regular"/>
        </w:rPr>
        <w:t>increased demand from students for career-related support since the start of the pandemic (Donald et al., 2022).</w:t>
      </w:r>
      <w:r w:rsidR="007108B1" w:rsidRPr="00A605BB">
        <w:rPr>
          <w:rFonts w:eastAsia="TimesNRMTStd-Regular"/>
        </w:rPr>
        <w:t xml:space="preserve"> </w:t>
      </w:r>
      <w:r w:rsidR="00C16B0F" w:rsidRPr="00A605BB">
        <w:rPr>
          <w:rFonts w:eastAsia="TimesNRMTStd-Regular"/>
        </w:rPr>
        <w:t xml:space="preserve">Employers can also use the data to improve the design of their placements to address any perceived gaps between the </w:t>
      </w:r>
      <w:r w:rsidR="00B5796B" w:rsidRPr="00A605BB">
        <w:rPr>
          <w:rFonts w:eastAsia="TimesNRMTStd-Regular"/>
        </w:rPr>
        <w:t>competencies</w:t>
      </w:r>
      <w:r w:rsidR="00C16B0F" w:rsidRPr="00A605BB">
        <w:rPr>
          <w:rFonts w:eastAsia="TimesNRMTStd-Regular"/>
        </w:rPr>
        <w:t xml:space="preserve"> their organisation requires and the</w:t>
      </w:r>
      <w:r w:rsidR="00B5796B" w:rsidRPr="00A605BB">
        <w:rPr>
          <w:rFonts w:eastAsia="TimesNRMTStd-Regular"/>
        </w:rPr>
        <w:t xml:space="preserve"> </w:t>
      </w:r>
      <w:r w:rsidR="00C16B0F" w:rsidRPr="00A605BB">
        <w:rPr>
          <w:rFonts w:eastAsia="TimesNRMTStd-Regular"/>
        </w:rPr>
        <w:t>competencies possessed by students.</w:t>
      </w:r>
    </w:p>
    <w:p w14:paraId="58653F5C" w14:textId="177C00BC" w:rsidR="002E0C83" w:rsidRPr="00A605BB" w:rsidRDefault="009E4037" w:rsidP="0040187C">
      <w:pPr>
        <w:ind w:firstLine="567"/>
        <w:jc w:val="both"/>
        <w:rPr>
          <w:rFonts w:eastAsia="TimesNRMTStd-Regular"/>
        </w:rPr>
      </w:pPr>
      <w:r w:rsidRPr="00A605BB">
        <w:rPr>
          <w:rFonts w:eastAsia="TimesNRMTStd-Regular"/>
        </w:rPr>
        <w:t xml:space="preserve">One of the key practical implications of our study is the opportunity to use the ‘Great Eight’ competencies to enable students to benchmark themselves against their peers. For example, a student may feel they are weak at a </w:t>
      </w:r>
      <w:r w:rsidR="001445B2" w:rsidRPr="00A605BB">
        <w:rPr>
          <w:rFonts w:eastAsia="TimesNRMTStd-Regular"/>
        </w:rPr>
        <w:t>particular</w:t>
      </w:r>
      <w:r w:rsidRPr="00A605BB">
        <w:rPr>
          <w:rFonts w:eastAsia="TimesNRMTStd-Regular"/>
        </w:rPr>
        <w:t xml:space="preserve"> competency</w:t>
      </w:r>
      <w:r w:rsidR="001445B2" w:rsidRPr="00A605BB">
        <w:rPr>
          <w:rFonts w:eastAsia="TimesNRMTStd-Regular"/>
        </w:rPr>
        <w:t>. Yet, their</w:t>
      </w:r>
      <w:r w:rsidRPr="00A605BB">
        <w:rPr>
          <w:rFonts w:eastAsia="TimesNRMTStd-Regular"/>
        </w:rPr>
        <w:t xml:space="preserve"> self-assessed measure or that of their line manager via 360-degree feedback may indicate they a</w:t>
      </w:r>
      <w:r w:rsidR="001445B2" w:rsidRPr="00A605BB">
        <w:rPr>
          <w:rFonts w:eastAsia="TimesNRMTStd-Regular"/>
        </w:rPr>
        <w:t>re</w:t>
      </w:r>
      <w:r w:rsidRPr="00A605BB">
        <w:rPr>
          <w:rFonts w:eastAsia="TimesNRMTStd-Regular"/>
        </w:rPr>
        <w:t xml:space="preserve"> </w:t>
      </w:r>
      <w:r w:rsidR="001445B2" w:rsidRPr="00A605BB">
        <w:rPr>
          <w:rFonts w:eastAsia="TimesNRMTStd-Regular"/>
        </w:rPr>
        <w:t>pretty</w:t>
      </w:r>
      <w:r w:rsidRPr="00A605BB">
        <w:rPr>
          <w:rFonts w:eastAsia="TimesNRMTStd-Regular"/>
        </w:rPr>
        <w:t xml:space="preserve"> strong in that area. The outcome would be increased self-confidence, increased psychological capital, and subsequently enhanced self-perceived employability (Tomlinson, 2017; Nimmi et al., 2022).</w:t>
      </w:r>
      <w:r w:rsidR="0040187C" w:rsidRPr="00A605BB">
        <w:rPr>
          <w:rFonts w:eastAsia="TimesNRMTStd-Regular"/>
        </w:rPr>
        <w:t xml:space="preserve"> Equally, if a student</w:t>
      </w:r>
      <w:r w:rsidR="001445B2" w:rsidRPr="00A605BB">
        <w:rPr>
          <w:rFonts w:eastAsia="TimesNRMTStd-Regular"/>
        </w:rPr>
        <w:t xml:space="preserve"> scores below the </w:t>
      </w:r>
      <w:r w:rsidR="0040187C" w:rsidRPr="00A605BB">
        <w:rPr>
          <w:rFonts w:eastAsia="TimesNRMTStd-Regular"/>
        </w:rPr>
        <w:t>benchmark of their peers, then targeted support can be provided by universities and employers to address this. The metrics can also be compared at the cohort levels from one year group to the next to identify interventions and assess their effectiveness for universities and providers of placement opportunities (Hughes, 2022</w:t>
      </w:r>
      <w:r w:rsidR="007B0D45" w:rsidRPr="00A605BB">
        <w:rPr>
          <w:rFonts w:eastAsia="TimesNRMTStd-Regular"/>
        </w:rPr>
        <w:t>; Donald and Hughes, 2023</w:t>
      </w:r>
      <w:r w:rsidR="0040187C" w:rsidRPr="00A605BB">
        <w:rPr>
          <w:rFonts w:eastAsia="TimesNRMTStd-Regular"/>
        </w:rPr>
        <w:t xml:space="preserve">). The benchmark data could also help universities to target support to their students either before a placement (to prepare them for undertaking a placement) or after a placement (to help them enhance human capital and prepare for sustainable careers). </w:t>
      </w:r>
    </w:p>
    <w:p w14:paraId="7FE0A22C" w14:textId="77777777" w:rsidR="0040187C" w:rsidRPr="00A605BB" w:rsidRDefault="0040187C" w:rsidP="0040187C">
      <w:pPr>
        <w:ind w:firstLine="567"/>
        <w:jc w:val="both"/>
        <w:rPr>
          <w:rFonts w:eastAsia="TimesNRMTStd-Regular"/>
        </w:rPr>
      </w:pPr>
    </w:p>
    <w:p w14:paraId="4EEA7025" w14:textId="3B0CE900" w:rsidR="00863289" w:rsidRPr="00A605BB" w:rsidRDefault="00863289" w:rsidP="002E0C83">
      <w:pPr>
        <w:pStyle w:val="Heading2"/>
        <w:spacing w:before="0" w:after="0" w:line="480" w:lineRule="auto"/>
        <w:jc w:val="center"/>
      </w:pPr>
      <w:r w:rsidRPr="00A605BB">
        <w:rPr>
          <w:i w:val="0"/>
          <w:iCs w:val="0"/>
        </w:rPr>
        <w:lastRenderedPageBreak/>
        <w:t>Limitations and Future Research</w:t>
      </w:r>
    </w:p>
    <w:p w14:paraId="0F4B1147" w14:textId="3ED0A3CC" w:rsidR="00B25887" w:rsidRPr="00A605BB" w:rsidRDefault="00B25887" w:rsidP="00C6139B">
      <w:pPr>
        <w:jc w:val="both"/>
        <w:rPr>
          <w:rFonts w:eastAsia="TimesNRMTStd-Regular"/>
        </w:rPr>
      </w:pPr>
      <w:r w:rsidRPr="00A605BB">
        <w:rPr>
          <w:rFonts w:eastAsia="TimesNRMTStd-Regular"/>
        </w:rPr>
        <w:t>Our study had several limitations, including</w:t>
      </w:r>
      <w:r w:rsidR="001445B2" w:rsidRPr="00A605BB">
        <w:rPr>
          <w:rFonts w:eastAsia="TimesNRMTStd-Regular"/>
        </w:rPr>
        <w:t xml:space="preserve"> </w:t>
      </w:r>
      <w:r w:rsidRPr="00A605BB">
        <w:rPr>
          <w:rFonts w:eastAsia="TimesNRMTStd-Regular"/>
        </w:rPr>
        <w:t>(</w:t>
      </w:r>
      <w:proofErr w:type="spellStart"/>
      <w:r w:rsidRPr="00A605BB">
        <w:rPr>
          <w:rFonts w:eastAsia="TimesNRMTStd-Regular"/>
        </w:rPr>
        <w:t>i</w:t>
      </w:r>
      <w:proofErr w:type="spellEnd"/>
      <w:r w:rsidRPr="00A605BB">
        <w:rPr>
          <w:rFonts w:eastAsia="TimesNRMTStd-Regular"/>
        </w:rPr>
        <w:t>) exclusive focus on business and social science students, (ii) the dataset was collected before the COVID-19 pandemic, (iii) there was no control group, (iv) self-reporting by students and managers, (v) social desirability risk in reporting by managers, (vi) focus on the ‘Great Eight’ competencies only.</w:t>
      </w:r>
    </w:p>
    <w:p w14:paraId="0EAFC34B" w14:textId="77777777" w:rsidR="007108B1" w:rsidRPr="00A605BB" w:rsidRDefault="00B25887" w:rsidP="007108B1">
      <w:pPr>
        <w:ind w:firstLine="567"/>
        <w:jc w:val="both"/>
        <w:rPr>
          <w:rFonts w:eastAsia="TimesNRMTStd-Regular"/>
        </w:rPr>
      </w:pPr>
      <w:r w:rsidRPr="00A605BB">
        <w:rPr>
          <w:rFonts w:eastAsia="TimesNRMTStd-Regular"/>
        </w:rPr>
        <w:t xml:space="preserve">Future research could </w:t>
      </w:r>
      <w:r w:rsidR="00954541" w:rsidRPr="00A605BB">
        <w:rPr>
          <w:rFonts w:eastAsia="TimesNRMTStd-Regular"/>
        </w:rPr>
        <w:t>collect data from students who do not undertake a placement to compare the changes in their self-perceived competencies with those</w:t>
      </w:r>
      <w:r w:rsidRPr="00A605BB">
        <w:rPr>
          <w:rFonts w:eastAsia="TimesNRMTStd-Regular"/>
        </w:rPr>
        <w:t xml:space="preserve"> who do take a placement.</w:t>
      </w:r>
      <w:r w:rsidR="00840D3D" w:rsidRPr="00A605BB">
        <w:rPr>
          <w:rFonts w:eastAsia="TimesNRMTStd-Regular"/>
        </w:rPr>
        <w:t xml:space="preserve"> There may also be interest in attempting to identify the characteristics of (the most) effective placements to address some of the issues arising from the fact that placement experience and the value a student can derive from it are heavily contextualised (Narayanan et al., 2010). </w:t>
      </w:r>
      <w:r w:rsidRPr="00A605BB">
        <w:rPr>
          <w:rFonts w:eastAsia="TimesNRMTStd-Regular"/>
        </w:rPr>
        <w:t xml:space="preserve">Broader coverage of subject areas may also help to build a richer picture of the benefits (or lack of) of undertaking placements for different students. </w:t>
      </w:r>
      <w:bookmarkStart w:id="11" w:name="_Hlk130060275"/>
    </w:p>
    <w:p w14:paraId="4BF2AD87" w14:textId="6FDA57CD" w:rsidR="007108B1" w:rsidRPr="00A605BB" w:rsidRDefault="00B25887" w:rsidP="007108B1">
      <w:pPr>
        <w:ind w:firstLine="567"/>
        <w:jc w:val="both"/>
        <w:rPr>
          <w:rFonts w:eastAsia="TimesNRMTStd-Regular"/>
        </w:rPr>
      </w:pPr>
      <w:r w:rsidRPr="00A605BB">
        <w:rPr>
          <w:rFonts w:eastAsia="TimesNRMTStd-Regular"/>
        </w:rPr>
        <w:t>Another area of interest would be to compare the impact of placements on student cohorts impacted by the COVID-19 pandemic with those</w:t>
      </w:r>
      <w:r w:rsidR="00DE3452" w:rsidRPr="00A605BB">
        <w:rPr>
          <w:rFonts w:eastAsia="TimesNRMTStd-Regular"/>
        </w:rPr>
        <w:t xml:space="preserve"> in the current study</w:t>
      </w:r>
      <w:r w:rsidRPr="00A605BB">
        <w:rPr>
          <w:rFonts w:eastAsia="TimesNRMTStd-Regular"/>
        </w:rPr>
        <w:t xml:space="preserve"> who undertook placements pre-COVID-19.</w:t>
      </w:r>
      <w:r w:rsidR="00DE3452" w:rsidRPr="00A605BB">
        <w:rPr>
          <w:rFonts w:eastAsia="TimesNRMTStd-Regular"/>
        </w:rPr>
        <w:t xml:space="preserve"> The change in working practices in many industries from mainly office-based to either hybrid or virtual working may have changed the nature of placements and, consequently, impact</w:t>
      </w:r>
      <w:r w:rsidR="0060598A" w:rsidRPr="00A605BB">
        <w:rPr>
          <w:rFonts w:eastAsia="TimesNRMTStd-Regular"/>
        </w:rPr>
        <w:t>ed</w:t>
      </w:r>
      <w:r w:rsidR="00DE3452" w:rsidRPr="00A605BB">
        <w:rPr>
          <w:rFonts w:eastAsia="TimesNRMTStd-Regular"/>
        </w:rPr>
        <w:t xml:space="preserve"> the rate at which the Great Eight skills are acquired</w:t>
      </w:r>
      <w:bookmarkEnd w:id="11"/>
      <w:r w:rsidR="00DE3452" w:rsidRPr="00A605BB">
        <w:rPr>
          <w:rFonts w:eastAsia="TimesNRMTStd-Regular"/>
        </w:rPr>
        <w:t xml:space="preserve">. </w:t>
      </w:r>
      <w:r w:rsidRPr="00A605BB">
        <w:rPr>
          <w:rFonts w:eastAsia="TimesNRMTStd-Regular"/>
        </w:rPr>
        <w:t xml:space="preserve">It may be interesting to collect scores reported by peers to offer an additional </w:t>
      </w:r>
      <w:r w:rsidR="00954541" w:rsidRPr="00A605BB">
        <w:rPr>
          <w:rFonts w:eastAsia="TimesNRMTStd-Regular"/>
        </w:rPr>
        <w:t>assessment dimension</w:t>
      </w:r>
      <w:r w:rsidRPr="00A605BB">
        <w:rPr>
          <w:rFonts w:eastAsia="TimesNRMTStd-Regular"/>
        </w:rPr>
        <w:t xml:space="preserve"> to compare with student self-assessment and any risks of social desirability in reporting by managers. </w:t>
      </w:r>
      <w:bookmarkStart w:id="12" w:name="_Hlk130061430"/>
      <w:r w:rsidR="007108B1" w:rsidRPr="00A605BB">
        <w:rPr>
          <w:rFonts w:eastAsia="TimesNRMTStd-Regular"/>
        </w:rPr>
        <w:t xml:space="preserve">Researchers might also consider using Hong et al.’s (2012) ‘Employment Hope Scale’ to assess student confidence in their own abilities, given the lower Great 8 competency development scores compared to those from their line managers. </w:t>
      </w:r>
      <w:bookmarkEnd w:id="12"/>
      <w:r w:rsidRPr="00A605BB">
        <w:rPr>
          <w:rFonts w:eastAsia="TimesNRMTStd-Regular"/>
        </w:rPr>
        <w:t>Looking at additional moderators of gender and ethnicity of students and line managers could also provide additional insights.</w:t>
      </w:r>
    </w:p>
    <w:p w14:paraId="33A3EC25" w14:textId="07E3DF1A" w:rsidR="00B25887" w:rsidRPr="00A605BB" w:rsidRDefault="00B25887" w:rsidP="007108B1">
      <w:pPr>
        <w:ind w:firstLine="567"/>
        <w:jc w:val="both"/>
        <w:rPr>
          <w:rFonts w:eastAsia="TimesNRMTStd-Regular"/>
        </w:rPr>
      </w:pPr>
      <w:r w:rsidRPr="00A605BB">
        <w:rPr>
          <w:rFonts w:eastAsia="TimesNRMTStd-Regular"/>
        </w:rPr>
        <w:lastRenderedPageBreak/>
        <w:t xml:space="preserve">Finally, placements may have other benefits (or lack of) that are not </w:t>
      </w:r>
      <w:r w:rsidR="00D46142" w:rsidRPr="00A605BB">
        <w:rPr>
          <w:rFonts w:eastAsia="TimesNRMTStd-Regular"/>
        </w:rPr>
        <w:t>accounted</w:t>
      </w:r>
      <w:r w:rsidRPr="00A605BB">
        <w:rPr>
          <w:rFonts w:eastAsia="TimesNRMTStd-Regular"/>
        </w:rPr>
        <w:t xml:space="preserve"> for in this study (e.g., impact on academic performance in the final year of study or delayed entry into the labour market). We, therefore, call for future research to look at the impact of placements in a more nuanced way so that students can be better informed of the benefits (or lack of) from undertaking a placement.</w:t>
      </w:r>
      <w:r w:rsidR="007108B1" w:rsidRPr="00A605BB">
        <w:rPr>
          <w:rFonts w:eastAsia="TimesNRMTStd-Regular"/>
        </w:rPr>
        <w:t xml:space="preserve"> </w:t>
      </w:r>
      <w:r w:rsidR="002E75F9" w:rsidRPr="00A605BB">
        <w:rPr>
          <w:rFonts w:eastAsia="TimesNRMTStd-Regular"/>
        </w:rPr>
        <w:t>Qualitative and mixed-methods approaches may be of particular benefit here</w:t>
      </w:r>
      <w:r w:rsidR="00B106E7" w:rsidRPr="00A605BB">
        <w:rPr>
          <w:rFonts w:eastAsia="TimesNRMTStd-Regular"/>
        </w:rPr>
        <w:t xml:space="preserve"> to provide such insights and compare the views of different actors</w:t>
      </w:r>
      <w:r w:rsidR="002E75F9" w:rsidRPr="00A605BB">
        <w:rPr>
          <w:rFonts w:eastAsia="TimesNRMTStd-Regular"/>
        </w:rPr>
        <w:t>.</w:t>
      </w:r>
    </w:p>
    <w:p w14:paraId="746BEF2F" w14:textId="77777777" w:rsidR="002E0C83" w:rsidRPr="00A605BB" w:rsidRDefault="002E0C83" w:rsidP="00C6139B">
      <w:pPr>
        <w:jc w:val="both"/>
        <w:rPr>
          <w:rFonts w:eastAsia="TimesNRMTStd-Regular"/>
          <w:color w:val="FF0000"/>
        </w:rPr>
      </w:pPr>
    </w:p>
    <w:p w14:paraId="333084CC" w14:textId="5320BE51" w:rsidR="00C6139B" w:rsidRPr="00A605BB" w:rsidRDefault="00C6139B" w:rsidP="00C6139B">
      <w:pPr>
        <w:pStyle w:val="Heading1"/>
        <w:spacing w:before="0" w:after="0" w:line="480" w:lineRule="auto"/>
        <w:jc w:val="center"/>
      </w:pPr>
      <w:r w:rsidRPr="00A605BB">
        <w:t>Conclusion</w:t>
      </w:r>
    </w:p>
    <w:p w14:paraId="28BCECBA" w14:textId="1768292E" w:rsidR="002545B9" w:rsidRPr="00A605BB" w:rsidRDefault="00B25887" w:rsidP="007201F2">
      <w:pPr>
        <w:jc w:val="both"/>
        <w:rPr>
          <w:rFonts w:eastAsia="TimesNRMTStd-Regular"/>
        </w:rPr>
      </w:pPr>
      <w:r w:rsidRPr="00A605BB">
        <w:rPr>
          <w:rFonts w:eastAsia="TimesNRMTStd-Regular"/>
        </w:rPr>
        <w:t>To date, the dominant position in vocational behaviour and career theory literature has been (</w:t>
      </w:r>
      <w:proofErr w:type="spellStart"/>
      <w:r w:rsidRPr="00A605BB">
        <w:rPr>
          <w:rFonts w:eastAsia="TimesNRMTStd-Regular"/>
        </w:rPr>
        <w:t>i</w:t>
      </w:r>
      <w:proofErr w:type="spellEnd"/>
      <w:r w:rsidRPr="00A605BB">
        <w:rPr>
          <w:rFonts w:eastAsia="TimesNRMTStd-Regular"/>
        </w:rPr>
        <w:t>) that undertaking a placement is beneficial for students and (ii) that students overestimate their competencies compared to perceptions of line managers. Our study advances point (</w:t>
      </w:r>
      <w:proofErr w:type="spellStart"/>
      <w:r w:rsidRPr="00A605BB">
        <w:rPr>
          <w:rFonts w:eastAsia="TimesNRMTStd-Regular"/>
        </w:rPr>
        <w:t>i</w:t>
      </w:r>
      <w:proofErr w:type="spellEnd"/>
      <w:r w:rsidRPr="00A605BB">
        <w:rPr>
          <w:rFonts w:eastAsia="TimesNRMTStd-Regular"/>
        </w:rPr>
        <w:t xml:space="preserve">) by showing how the impact of placements, whilst beneficial, is not the same for each of the ‘Great Eight’ competencies. Moreover, in contrast to point (ii), line managers rated </w:t>
      </w:r>
      <w:r w:rsidR="00954541" w:rsidRPr="00A605BB">
        <w:rPr>
          <w:rFonts w:eastAsia="TimesNRMTStd-Regular"/>
        </w:rPr>
        <w:t>students’ competencies</w:t>
      </w:r>
      <w:r w:rsidRPr="00A605BB">
        <w:rPr>
          <w:rFonts w:eastAsia="TimesNRMTStd-Regular"/>
        </w:rPr>
        <w:t xml:space="preserve"> higher than students did, with the difference significant for seven of the eight competencies. Our study shows that more research is required to understand how placements impact students </w:t>
      </w:r>
      <w:r w:rsidR="00954541" w:rsidRPr="00A605BB">
        <w:rPr>
          <w:rFonts w:eastAsia="TimesNRMTStd-Regular"/>
        </w:rPr>
        <w:t>differently</w:t>
      </w:r>
      <w:r w:rsidRPr="00A605BB">
        <w:rPr>
          <w:rFonts w:eastAsia="TimesNRMTStd-Regular"/>
        </w:rPr>
        <w:t>, how such impacts evolve over time, and what additional moderators may be at play</w:t>
      </w:r>
      <w:bookmarkStart w:id="13" w:name="_Hlk114156418"/>
      <w:r w:rsidRPr="00A605BB">
        <w:rPr>
          <w:rFonts w:eastAsia="TimesNRMTStd-Regular"/>
        </w:rPr>
        <w:t>.</w:t>
      </w:r>
    </w:p>
    <w:p w14:paraId="12008163" w14:textId="77777777" w:rsidR="007201F2" w:rsidRPr="00A605BB" w:rsidRDefault="007201F2" w:rsidP="007201F2">
      <w:pPr>
        <w:jc w:val="both"/>
        <w:rPr>
          <w:rFonts w:cs="Arial"/>
          <w:b/>
          <w:bCs/>
          <w:kern w:val="32"/>
          <w:szCs w:val="32"/>
        </w:rPr>
      </w:pPr>
    </w:p>
    <w:p w14:paraId="77B87A47" w14:textId="7AB26440" w:rsidR="002F2000" w:rsidRPr="00A605BB" w:rsidRDefault="002F2000" w:rsidP="00C6466A">
      <w:pPr>
        <w:pStyle w:val="Heading1"/>
        <w:spacing w:before="0" w:after="0" w:line="480" w:lineRule="auto"/>
        <w:jc w:val="center"/>
      </w:pPr>
      <w:r w:rsidRPr="00A605BB">
        <w:t>Declaration of Interest Statements</w:t>
      </w:r>
    </w:p>
    <w:p w14:paraId="5AE84B8E" w14:textId="157059A3" w:rsidR="002F2000" w:rsidRPr="00A605BB" w:rsidRDefault="00CB59A7" w:rsidP="00732921">
      <w:pPr>
        <w:pStyle w:val="Heading2"/>
        <w:spacing w:before="0" w:after="0"/>
        <w:rPr>
          <w:i w:val="0"/>
          <w:iCs w:val="0"/>
        </w:rPr>
      </w:pPr>
      <w:r w:rsidRPr="00A605BB">
        <w:rPr>
          <w:i w:val="0"/>
          <w:iCs w:val="0"/>
        </w:rPr>
        <w:t>Competing Interests</w:t>
      </w:r>
    </w:p>
    <w:p w14:paraId="073DD259" w14:textId="5CEA817E" w:rsidR="002F2000" w:rsidRPr="00A605BB" w:rsidRDefault="00CB59A7" w:rsidP="00C6466A">
      <w:pPr>
        <w:jc w:val="both"/>
        <w:rPr>
          <w:rFonts w:asciiTheme="majorBidi" w:hAnsiTheme="majorBidi" w:cstheme="majorBidi"/>
        </w:rPr>
      </w:pPr>
      <w:r w:rsidRPr="00A605BB">
        <w:rPr>
          <w:rFonts w:asciiTheme="majorBidi" w:hAnsiTheme="majorBidi" w:cstheme="majorBidi"/>
        </w:rPr>
        <w:t>The authors have no relevant financial or non-financial interests to disclose.</w:t>
      </w:r>
    </w:p>
    <w:p w14:paraId="62FBEB1F" w14:textId="0DFFF0FD" w:rsidR="002F2000" w:rsidRPr="00A605BB" w:rsidRDefault="00CB59A7" w:rsidP="00732921">
      <w:pPr>
        <w:pStyle w:val="Heading2"/>
        <w:spacing w:before="0" w:after="0"/>
        <w:rPr>
          <w:i w:val="0"/>
          <w:iCs w:val="0"/>
        </w:rPr>
      </w:pPr>
      <w:r w:rsidRPr="00A605BB">
        <w:rPr>
          <w:i w:val="0"/>
          <w:iCs w:val="0"/>
        </w:rPr>
        <w:t>Funding</w:t>
      </w:r>
    </w:p>
    <w:p w14:paraId="1F77C74F" w14:textId="69ECB9BB" w:rsidR="002F2000" w:rsidRPr="00A605BB" w:rsidRDefault="00CB59A7" w:rsidP="00C6466A">
      <w:pPr>
        <w:jc w:val="both"/>
        <w:rPr>
          <w:rFonts w:asciiTheme="majorBidi" w:hAnsiTheme="majorBidi" w:cstheme="majorBidi"/>
        </w:rPr>
      </w:pPr>
      <w:r w:rsidRPr="00A605BB">
        <w:rPr>
          <w:rFonts w:asciiTheme="majorBidi" w:hAnsiTheme="majorBidi" w:cstheme="majorBidi"/>
        </w:rPr>
        <w:t>No funds, grants, or other support were received.</w:t>
      </w:r>
    </w:p>
    <w:p w14:paraId="14A9E4F0" w14:textId="373BC90B" w:rsidR="002F2000" w:rsidRPr="00A605BB" w:rsidRDefault="00CB59A7" w:rsidP="00732921">
      <w:pPr>
        <w:pStyle w:val="Heading2"/>
        <w:spacing w:before="0" w:after="0"/>
        <w:rPr>
          <w:i w:val="0"/>
          <w:iCs w:val="0"/>
        </w:rPr>
      </w:pPr>
      <w:r w:rsidRPr="00A605BB">
        <w:rPr>
          <w:i w:val="0"/>
          <w:iCs w:val="0"/>
        </w:rPr>
        <w:t>Ethical Approval</w:t>
      </w:r>
    </w:p>
    <w:p w14:paraId="425D0BEE" w14:textId="38F7B380" w:rsidR="002F2000" w:rsidRPr="00A605BB" w:rsidRDefault="00CB59A7" w:rsidP="00C6466A">
      <w:pPr>
        <w:jc w:val="both"/>
        <w:rPr>
          <w:rFonts w:asciiTheme="majorBidi" w:hAnsiTheme="majorBidi" w:cstheme="majorBidi"/>
        </w:rPr>
      </w:pPr>
      <w:r w:rsidRPr="00A605BB">
        <w:rPr>
          <w:rFonts w:asciiTheme="majorBidi" w:hAnsiTheme="majorBidi" w:cstheme="majorBidi"/>
        </w:rPr>
        <w:t>Ethical approval was obtained via the Institutional Review Board.</w:t>
      </w:r>
    </w:p>
    <w:p w14:paraId="1B5CF184" w14:textId="507A76F0" w:rsidR="00CB59A7" w:rsidRPr="00A605BB" w:rsidRDefault="00CB59A7" w:rsidP="00732921">
      <w:pPr>
        <w:pStyle w:val="Heading2"/>
        <w:spacing w:before="0" w:after="0"/>
        <w:rPr>
          <w:i w:val="0"/>
          <w:iCs w:val="0"/>
        </w:rPr>
      </w:pPr>
      <w:r w:rsidRPr="00A605BB">
        <w:rPr>
          <w:i w:val="0"/>
          <w:iCs w:val="0"/>
        </w:rPr>
        <w:lastRenderedPageBreak/>
        <w:t>Consent</w:t>
      </w:r>
    </w:p>
    <w:p w14:paraId="57AA20A1" w14:textId="752A9715" w:rsidR="00CB59A7" w:rsidRPr="00A605BB" w:rsidRDefault="00CB59A7" w:rsidP="00C6466A">
      <w:pPr>
        <w:jc w:val="both"/>
        <w:rPr>
          <w:rFonts w:asciiTheme="majorBidi" w:hAnsiTheme="majorBidi" w:cstheme="majorBidi"/>
        </w:rPr>
      </w:pPr>
      <w:r w:rsidRPr="00A605BB">
        <w:rPr>
          <w:rFonts w:asciiTheme="majorBidi" w:hAnsiTheme="majorBidi" w:cstheme="majorBidi"/>
        </w:rPr>
        <w:t>All participants provided informed consent before participating in this study.</w:t>
      </w:r>
    </w:p>
    <w:p w14:paraId="34B2ABDD" w14:textId="098BCFCA" w:rsidR="00CB59A7" w:rsidRPr="00A605BB" w:rsidRDefault="00CB59A7" w:rsidP="00732921">
      <w:pPr>
        <w:pStyle w:val="Heading2"/>
        <w:spacing w:before="0" w:after="0"/>
        <w:rPr>
          <w:i w:val="0"/>
          <w:iCs w:val="0"/>
        </w:rPr>
      </w:pPr>
      <w:r w:rsidRPr="00A605BB">
        <w:rPr>
          <w:i w:val="0"/>
          <w:iCs w:val="0"/>
        </w:rPr>
        <w:t>Data Availability Statement</w:t>
      </w:r>
    </w:p>
    <w:p w14:paraId="3647EF8D" w14:textId="4DC26895" w:rsidR="007201F2" w:rsidRPr="00A605BB" w:rsidRDefault="00CB59A7" w:rsidP="00980A9F">
      <w:pPr>
        <w:jc w:val="both"/>
        <w:rPr>
          <w:rFonts w:cs="Arial"/>
          <w:b/>
          <w:bCs/>
          <w:kern w:val="32"/>
          <w:szCs w:val="32"/>
        </w:rPr>
      </w:pPr>
      <w:r w:rsidRPr="00A605BB">
        <w:rPr>
          <w:rFonts w:asciiTheme="majorBidi" w:hAnsiTheme="majorBidi" w:cstheme="majorBidi"/>
        </w:rPr>
        <w:t>Access to the dataset is not possible due to ethical approval restrictions.</w:t>
      </w:r>
      <w:bookmarkEnd w:id="13"/>
      <w:r w:rsidR="007201F2" w:rsidRPr="00A605BB">
        <w:br w:type="page"/>
      </w:r>
    </w:p>
    <w:p w14:paraId="0D2FA25D" w14:textId="393EB8E5" w:rsidR="002F2000" w:rsidRPr="00A605BB" w:rsidRDefault="002F2000" w:rsidP="00C6466A">
      <w:pPr>
        <w:pStyle w:val="Heading1"/>
        <w:spacing w:before="0" w:after="0" w:line="480" w:lineRule="auto"/>
        <w:jc w:val="center"/>
      </w:pPr>
      <w:r w:rsidRPr="00A605BB">
        <w:lastRenderedPageBreak/>
        <w:t>References</w:t>
      </w:r>
    </w:p>
    <w:p w14:paraId="722C768E" w14:textId="25D9F91B" w:rsidR="000D65BA" w:rsidRPr="00A605BB" w:rsidRDefault="000D65BA" w:rsidP="000D65BA">
      <w:pPr>
        <w:ind w:left="567" w:hanging="567"/>
        <w:jc w:val="both"/>
      </w:pPr>
      <w:r w:rsidRPr="00A605BB">
        <w:t>Anderson, V. and Tomlinson, M. (2021), “</w:t>
      </w:r>
      <w:proofErr w:type="spellStart"/>
      <w:r w:rsidRPr="00A605BB">
        <w:t>Signaling</w:t>
      </w:r>
      <w:proofErr w:type="spellEnd"/>
      <w:r w:rsidRPr="00A605BB">
        <w:t xml:space="preserve"> standout graduate employability: The employer perspective”, </w:t>
      </w:r>
      <w:r w:rsidRPr="00A605BB">
        <w:rPr>
          <w:i/>
          <w:iCs/>
        </w:rPr>
        <w:t>Human Resource Management Journal</w:t>
      </w:r>
      <w:r w:rsidRPr="00A605BB">
        <w:t xml:space="preserve">, Vol. 31 No. 3, pp. 675–693. </w:t>
      </w:r>
      <w:proofErr w:type="spellStart"/>
      <w:r w:rsidRPr="00A605BB">
        <w:t>doi</w:t>
      </w:r>
      <w:proofErr w:type="spellEnd"/>
      <w:r w:rsidRPr="00A605BB">
        <w:t xml:space="preserve">: </w:t>
      </w:r>
      <w:hyperlink r:id="rId8" w:history="1">
        <w:r w:rsidRPr="00A605BB">
          <w:t>10.1111/1748-8583.12334</w:t>
        </w:r>
      </w:hyperlink>
    </w:p>
    <w:p w14:paraId="6406D0D7" w14:textId="77777777" w:rsidR="00D81E60" w:rsidRPr="00A605BB" w:rsidRDefault="00D81E60" w:rsidP="00D81E60">
      <w:pPr>
        <w:autoSpaceDE w:val="0"/>
        <w:autoSpaceDN w:val="0"/>
        <w:adjustRightInd w:val="0"/>
        <w:ind w:left="567" w:hanging="567"/>
        <w:jc w:val="both"/>
      </w:pPr>
      <w:r w:rsidRPr="00A605BB">
        <w:t xml:space="preserve">Bartram, D. (2005), “The Great Eight competencies: A criterion-centric approach to validation”, </w:t>
      </w:r>
      <w:r w:rsidRPr="00A605BB">
        <w:rPr>
          <w:i/>
          <w:iCs/>
        </w:rPr>
        <w:t>Journal of Applied Psychology</w:t>
      </w:r>
      <w:r w:rsidRPr="00A605BB">
        <w:t>, Vol. 90 No. 6, pp. 1185-1203.</w:t>
      </w:r>
    </w:p>
    <w:p w14:paraId="7486A83C" w14:textId="77777777" w:rsidR="00D81E60" w:rsidRPr="00A605BB" w:rsidRDefault="00D81E60" w:rsidP="00D81E60">
      <w:pPr>
        <w:autoSpaceDE w:val="0"/>
        <w:autoSpaceDN w:val="0"/>
        <w:adjustRightInd w:val="0"/>
        <w:ind w:left="567"/>
        <w:jc w:val="both"/>
      </w:pPr>
      <w:proofErr w:type="spellStart"/>
      <w:r w:rsidRPr="00A605BB">
        <w:t>doi</w:t>
      </w:r>
      <w:proofErr w:type="spellEnd"/>
      <w:r w:rsidRPr="00A605BB">
        <w:t xml:space="preserve">: 10.1037/0021-9010.90.6.1185 </w:t>
      </w:r>
    </w:p>
    <w:p w14:paraId="296BD5E2" w14:textId="248F9AE7" w:rsidR="00D81E60" w:rsidRPr="00A605BB" w:rsidRDefault="00D81E60" w:rsidP="00D81E60">
      <w:pPr>
        <w:autoSpaceDE w:val="0"/>
        <w:autoSpaceDN w:val="0"/>
        <w:adjustRightInd w:val="0"/>
        <w:ind w:left="567" w:hanging="567"/>
        <w:jc w:val="both"/>
      </w:pPr>
      <w:r w:rsidRPr="00A605BB">
        <w:t xml:space="preserve">Bartram, D., Robertson, I.T. and Callinan, M. (2002), “Introduction: A framework for examining organizational effectiveness”, in Robertson, I.T., Callinan, M. and Bartram, D. (Eds), </w:t>
      </w:r>
      <w:r w:rsidRPr="00A605BB">
        <w:rPr>
          <w:i/>
          <w:iCs/>
        </w:rPr>
        <w:t>Organizational Effectiveness: The Role of Psychology</w:t>
      </w:r>
      <w:r w:rsidRPr="00A605BB">
        <w:t>, Wiley, pp. 1-10.</w:t>
      </w:r>
    </w:p>
    <w:p w14:paraId="434D831F" w14:textId="363655DA" w:rsidR="00EA55C9" w:rsidRPr="00A605BB" w:rsidRDefault="00EA55C9" w:rsidP="00EA55C9">
      <w:pPr>
        <w:autoSpaceDE w:val="0"/>
        <w:autoSpaceDN w:val="0"/>
        <w:adjustRightInd w:val="0"/>
        <w:ind w:left="567" w:hanging="567"/>
        <w:jc w:val="both"/>
      </w:pPr>
      <w:r w:rsidRPr="00A605BB">
        <w:t xml:space="preserve">Baruch, Y., Bell, M.P. and Gray, D. (2005), “Generalist and specialist graduate business degrees: tangible and intangible value”, </w:t>
      </w:r>
      <w:r w:rsidRPr="00A605BB">
        <w:rPr>
          <w:i/>
          <w:iCs/>
        </w:rPr>
        <w:t xml:space="preserve">Journal of Vocational </w:t>
      </w:r>
      <w:proofErr w:type="spellStart"/>
      <w:r w:rsidRPr="00A605BB">
        <w:rPr>
          <w:i/>
          <w:iCs/>
        </w:rPr>
        <w:t>Behavior</w:t>
      </w:r>
      <w:proofErr w:type="spellEnd"/>
      <w:r w:rsidRPr="00A605BB">
        <w:t>, Vol. 67 No. 1, pp. 51-68</w:t>
      </w:r>
      <w:r w:rsidR="00585750" w:rsidRPr="00A605BB">
        <w:t>.</w:t>
      </w:r>
      <w:r w:rsidRPr="00A605BB">
        <w:t xml:space="preserve"> </w:t>
      </w:r>
      <w:proofErr w:type="spellStart"/>
      <w:r w:rsidRPr="00A605BB">
        <w:t>doi</w:t>
      </w:r>
      <w:proofErr w:type="spellEnd"/>
      <w:r w:rsidRPr="00A605BB">
        <w:t>: 10.1016/j.jvb.2003.06.002</w:t>
      </w:r>
    </w:p>
    <w:p w14:paraId="3D8886A1" w14:textId="77777777" w:rsidR="00C00E7F" w:rsidRPr="00A605BB" w:rsidRDefault="00EA55C9" w:rsidP="00C00E7F">
      <w:pPr>
        <w:autoSpaceDE w:val="0"/>
        <w:autoSpaceDN w:val="0"/>
        <w:adjustRightInd w:val="0"/>
        <w:ind w:left="567" w:hanging="567"/>
        <w:jc w:val="both"/>
      </w:pPr>
      <w:r w:rsidRPr="00A605BB">
        <w:t xml:space="preserve">Becker, G.S. (1964), </w:t>
      </w:r>
      <w:r w:rsidRPr="00A605BB">
        <w:rPr>
          <w:i/>
          <w:iCs/>
        </w:rPr>
        <w:t>Human Capital: A Theoretical and Empirical Analysis with Special Reference to Education</w:t>
      </w:r>
      <w:r w:rsidRPr="00A605BB">
        <w:t>, University of Chicago Press, Chicago.</w:t>
      </w:r>
    </w:p>
    <w:p w14:paraId="6591EFC2" w14:textId="77777777" w:rsidR="00EA55C9" w:rsidRPr="00A605BB" w:rsidRDefault="00EA55C9" w:rsidP="00EA55C9">
      <w:pPr>
        <w:autoSpaceDE w:val="0"/>
        <w:autoSpaceDN w:val="0"/>
        <w:adjustRightInd w:val="0"/>
        <w:ind w:left="567" w:hanging="567"/>
        <w:jc w:val="both"/>
      </w:pPr>
      <w:r w:rsidRPr="00A605BB">
        <w:t xml:space="preserve">Clarke, M. (2018), “Rethinking graduate employability: the role of capital, individual attributes and context”, </w:t>
      </w:r>
      <w:r w:rsidRPr="00A605BB">
        <w:rPr>
          <w:i/>
          <w:iCs/>
        </w:rPr>
        <w:t>Studies in Higher Education</w:t>
      </w:r>
      <w:r w:rsidRPr="00A605BB">
        <w:t xml:space="preserve">, Vol. 43 No. 11, </w:t>
      </w:r>
    </w:p>
    <w:p w14:paraId="2AA7E47B" w14:textId="5D886C40" w:rsidR="00EA55C9" w:rsidRPr="00A605BB" w:rsidRDefault="00EA55C9" w:rsidP="00EA55C9">
      <w:pPr>
        <w:autoSpaceDE w:val="0"/>
        <w:autoSpaceDN w:val="0"/>
        <w:adjustRightInd w:val="0"/>
        <w:ind w:left="567"/>
        <w:jc w:val="both"/>
      </w:pPr>
      <w:r w:rsidRPr="00A605BB">
        <w:t xml:space="preserve">pp. 1923-1937. </w:t>
      </w:r>
      <w:proofErr w:type="spellStart"/>
      <w:r w:rsidRPr="00A605BB">
        <w:t>doi</w:t>
      </w:r>
      <w:proofErr w:type="spellEnd"/>
      <w:r w:rsidRPr="00A605BB">
        <w:t xml:space="preserve">; </w:t>
      </w:r>
      <w:hyperlink r:id="rId9" w:history="1">
        <w:r w:rsidRPr="00A605BB">
          <w:t>10.1080/03075079.2017.1294152</w:t>
        </w:r>
      </w:hyperlink>
    </w:p>
    <w:p w14:paraId="43416DF5" w14:textId="7489C251" w:rsidR="000D65BA" w:rsidRPr="00A605BB" w:rsidRDefault="000D65BA" w:rsidP="000D65BA">
      <w:pPr>
        <w:ind w:left="560" w:hanging="560"/>
        <w:jc w:val="both"/>
      </w:pPr>
      <w:r w:rsidRPr="00A605BB">
        <w:t xml:space="preserve">De </w:t>
      </w:r>
      <w:proofErr w:type="spellStart"/>
      <w:r w:rsidRPr="00A605BB">
        <w:t>Schepper</w:t>
      </w:r>
      <w:proofErr w:type="spellEnd"/>
      <w:r w:rsidRPr="00A605BB">
        <w:t xml:space="preserve">, A., </w:t>
      </w:r>
      <w:proofErr w:type="spellStart"/>
      <w:r w:rsidRPr="00A605BB">
        <w:t>Clycq</w:t>
      </w:r>
      <w:proofErr w:type="spellEnd"/>
      <w:r w:rsidRPr="00A605BB">
        <w:t xml:space="preserve">, N. and </w:t>
      </w:r>
      <w:proofErr w:type="spellStart"/>
      <w:r w:rsidRPr="00A605BB">
        <w:t>Kyndt</w:t>
      </w:r>
      <w:proofErr w:type="spellEnd"/>
      <w:r w:rsidRPr="00A605BB">
        <w:t>, E. (202</w:t>
      </w:r>
      <w:r w:rsidR="004E1954" w:rsidRPr="00A605BB">
        <w:t>3</w:t>
      </w:r>
      <w:r w:rsidRPr="00A605BB">
        <w:t xml:space="preserve">), “Socioeconomic Differences in the Transition From Higher Education to the Labour Market: A Systematic Review”, </w:t>
      </w:r>
    </w:p>
    <w:p w14:paraId="7698F6FE" w14:textId="57FE37D8" w:rsidR="000D65BA" w:rsidRPr="00A605BB" w:rsidRDefault="000D65BA" w:rsidP="000D65BA">
      <w:pPr>
        <w:ind w:left="560"/>
        <w:jc w:val="both"/>
      </w:pPr>
      <w:r w:rsidRPr="00A605BB">
        <w:rPr>
          <w:i/>
          <w:iCs/>
        </w:rPr>
        <w:t>Journal of Career Development</w:t>
      </w:r>
      <w:r w:rsidRPr="00A605BB">
        <w:t xml:space="preserve">, </w:t>
      </w:r>
      <w:r w:rsidR="004E1954" w:rsidRPr="00A605BB">
        <w:t>Vol. 50 No. 1, pp. 234-250.</w:t>
      </w:r>
    </w:p>
    <w:p w14:paraId="43E511FB" w14:textId="55ADCE35" w:rsidR="000D65BA" w:rsidRPr="00A605BB" w:rsidRDefault="000D65BA" w:rsidP="000D65BA">
      <w:pPr>
        <w:ind w:left="560" w:firstLine="7"/>
        <w:jc w:val="both"/>
      </w:pPr>
      <w:proofErr w:type="spellStart"/>
      <w:r w:rsidRPr="00A605BB">
        <w:t>doi</w:t>
      </w:r>
      <w:proofErr w:type="spellEnd"/>
      <w:r w:rsidRPr="00A605BB">
        <w:t xml:space="preserve">: </w:t>
      </w:r>
      <w:hyperlink r:id="rId10" w:history="1">
        <w:r w:rsidRPr="00A605BB">
          <w:t>10.1177/08948453221077674</w:t>
        </w:r>
      </w:hyperlink>
    </w:p>
    <w:p w14:paraId="23FCAC05" w14:textId="07CCA3DE" w:rsidR="00EA55C9" w:rsidRPr="00A605BB" w:rsidRDefault="00EA55C9" w:rsidP="00EA55C9">
      <w:pPr>
        <w:autoSpaceDE w:val="0"/>
        <w:autoSpaceDN w:val="0"/>
        <w:adjustRightInd w:val="0"/>
        <w:ind w:left="567" w:hanging="567"/>
        <w:jc w:val="both"/>
        <w:rPr>
          <w:rFonts w:eastAsia="TimesNRMTStd-Regular"/>
          <w:color w:val="7030A0"/>
        </w:rPr>
      </w:pPr>
      <w:r w:rsidRPr="00A605BB">
        <w:lastRenderedPageBreak/>
        <w:t xml:space="preserve">De Vos, A., Van der Heijden, B.I.J.M. and Akkermans, J. (2020), “Sustainable careers: towards a conceptual model”, </w:t>
      </w:r>
      <w:r w:rsidRPr="00A605BB">
        <w:rPr>
          <w:i/>
          <w:iCs/>
        </w:rPr>
        <w:t xml:space="preserve">Journal of Vocational </w:t>
      </w:r>
      <w:proofErr w:type="spellStart"/>
      <w:r w:rsidRPr="00A605BB">
        <w:rPr>
          <w:i/>
          <w:iCs/>
        </w:rPr>
        <w:t>Behavior</w:t>
      </w:r>
      <w:proofErr w:type="spellEnd"/>
      <w:r w:rsidRPr="00A605BB">
        <w:t>, Vol. 117, 103196</w:t>
      </w:r>
      <w:r w:rsidR="00585750" w:rsidRPr="00A605BB">
        <w:t>.</w:t>
      </w:r>
      <w:r w:rsidRPr="00A605BB">
        <w:t xml:space="preserve"> </w:t>
      </w:r>
      <w:proofErr w:type="spellStart"/>
      <w:r w:rsidRPr="00A605BB">
        <w:t>doi</w:t>
      </w:r>
      <w:proofErr w:type="spellEnd"/>
      <w:r w:rsidRPr="00A605BB">
        <w:t>: 10.1016/j.jvb.2018.06.011</w:t>
      </w:r>
    </w:p>
    <w:p w14:paraId="5B3F506D" w14:textId="77777777" w:rsidR="00341C16" w:rsidRPr="00A605BB" w:rsidRDefault="007B0D45" w:rsidP="00CB6CC1">
      <w:pPr>
        <w:ind w:left="560" w:hanging="560"/>
        <w:jc w:val="both"/>
      </w:pPr>
      <w:r w:rsidRPr="00A605BB">
        <w:t xml:space="preserve">Donald, W. E. and Hughes, H. P. N. (2023), “How academics can play a more influential role during a year-in-industry placement: A contemporary critique and call for action”, </w:t>
      </w:r>
      <w:r w:rsidRPr="00A605BB">
        <w:rPr>
          <w:i/>
          <w:iCs/>
        </w:rPr>
        <w:t xml:space="preserve">Industry </w:t>
      </w:r>
      <w:r w:rsidR="00341C16" w:rsidRPr="00A605BB">
        <w:rPr>
          <w:i/>
          <w:iCs/>
        </w:rPr>
        <w:t>and Higher Education</w:t>
      </w:r>
      <w:r w:rsidR="00341C16" w:rsidRPr="00A605BB">
        <w:t xml:space="preserve">, ahead-of-print. </w:t>
      </w:r>
    </w:p>
    <w:p w14:paraId="0A78D291" w14:textId="53BB808C" w:rsidR="007B0D45" w:rsidRPr="00A605BB" w:rsidRDefault="00341C16" w:rsidP="00341C16">
      <w:pPr>
        <w:ind w:left="560"/>
        <w:jc w:val="both"/>
      </w:pPr>
      <w:proofErr w:type="spellStart"/>
      <w:r w:rsidRPr="00A605BB">
        <w:t>doi</w:t>
      </w:r>
      <w:proofErr w:type="spellEnd"/>
      <w:r w:rsidRPr="00A605BB">
        <w:t>: 10.1177/09504222231162059</w:t>
      </w:r>
    </w:p>
    <w:p w14:paraId="5DDE35D6" w14:textId="0B34FA73" w:rsidR="00CB6CC1" w:rsidRPr="00A605BB" w:rsidRDefault="00CB6CC1" w:rsidP="00CB6CC1">
      <w:pPr>
        <w:ind w:left="560" w:hanging="560"/>
        <w:jc w:val="both"/>
      </w:pPr>
      <w:r w:rsidRPr="00A605BB">
        <w:t xml:space="preserve">Donald, W.E., Ashleigh, M.J. and Baruch, Y. (2018), “Students’ perceptions of education and employability: facilitating career transition from higher education into the labour market”, </w:t>
      </w:r>
      <w:r w:rsidRPr="00A605BB">
        <w:rPr>
          <w:i/>
          <w:iCs/>
        </w:rPr>
        <w:t>Career Development International</w:t>
      </w:r>
      <w:r w:rsidRPr="00A605BB">
        <w:t>, Vol. 23 No. 5, pp. 513-540</w:t>
      </w:r>
      <w:r w:rsidR="00585750" w:rsidRPr="00A605BB">
        <w:t>.</w:t>
      </w:r>
    </w:p>
    <w:p w14:paraId="51D475F4" w14:textId="50B7429B" w:rsidR="003E7AA2" w:rsidRPr="00A605BB" w:rsidRDefault="00CB6CC1" w:rsidP="003E7AA2">
      <w:pPr>
        <w:ind w:left="560"/>
        <w:jc w:val="both"/>
      </w:pPr>
      <w:r w:rsidRPr="00A605BB">
        <w:t xml:space="preserve"> </w:t>
      </w:r>
      <w:proofErr w:type="spellStart"/>
      <w:r w:rsidRPr="00A605BB">
        <w:t>doi</w:t>
      </w:r>
      <w:proofErr w:type="spellEnd"/>
      <w:r w:rsidRPr="00A605BB">
        <w:t>: 10.1108/CDI-09-2017-0171</w:t>
      </w:r>
    </w:p>
    <w:p w14:paraId="2FD3AA7B" w14:textId="21830EAD" w:rsidR="003E7AA2" w:rsidRPr="00A605BB" w:rsidRDefault="003E7AA2" w:rsidP="003E7AA2">
      <w:pPr>
        <w:ind w:left="560" w:hanging="560"/>
        <w:jc w:val="both"/>
      </w:pPr>
      <w:r w:rsidRPr="00A605BB">
        <w:rPr>
          <w:rFonts w:eastAsia="TimesNRMTStd-Regular"/>
        </w:rPr>
        <w:t>Donald, W.E., Ashleigh, M.J. and Baruch, Y. (202</w:t>
      </w:r>
      <w:r w:rsidR="005B6884" w:rsidRPr="00A605BB">
        <w:rPr>
          <w:rFonts w:eastAsia="TimesNRMTStd-Regular"/>
        </w:rPr>
        <w:t>2</w:t>
      </w:r>
      <w:r w:rsidRPr="00A605BB">
        <w:rPr>
          <w:rFonts w:eastAsia="TimesNRMTStd-Regular"/>
        </w:rPr>
        <w:t xml:space="preserve">), “The university-to-work transition: Responses of universities and organizations to the COVID-19 pandemic”, </w:t>
      </w:r>
      <w:r w:rsidRPr="00A605BB">
        <w:rPr>
          <w:rFonts w:eastAsia="TimesNRMTStd-Regular"/>
          <w:i/>
          <w:iCs/>
        </w:rPr>
        <w:t>Personnel Review</w:t>
      </w:r>
      <w:r w:rsidRPr="00A605BB">
        <w:rPr>
          <w:rFonts w:eastAsia="TimesNRMTStd-Regular"/>
        </w:rPr>
        <w:t xml:space="preserve">, </w:t>
      </w:r>
      <w:r w:rsidR="005B6884" w:rsidRPr="00A605BB">
        <w:rPr>
          <w:rFonts w:eastAsia="TimesNRMTStd-Regular"/>
        </w:rPr>
        <w:t xml:space="preserve">Vol. 51 No. 9, pp. 2201-2221. </w:t>
      </w:r>
      <w:proofErr w:type="spellStart"/>
      <w:r w:rsidRPr="00A605BB">
        <w:rPr>
          <w:rFonts w:eastAsia="TimesNRMTStd-Regular"/>
        </w:rPr>
        <w:t>doi</w:t>
      </w:r>
      <w:proofErr w:type="spellEnd"/>
      <w:r w:rsidRPr="00A605BB">
        <w:rPr>
          <w:rFonts w:eastAsia="TimesNRMTStd-Regular"/>
        </w:rPr>
        <w:t>: 10.1108/PR-03-2021-0170</w:t>
      </w:r>
    </w:p>
    <w:p w14:paraId="40FC1939" w14:textId="72A4EBBC" w:rsidR="008F170F" w:rsidRPr="00A605BB" w:rsidRDefault="008105A9" w:rsidP="008F170F">
      <w:pPr>
        <w:autoSpaceDE w:val="0"/>
        <w:autoSpaceDN w:val="0"/>
        <w:adjustRightInd w:val="0"/>
        <w:ind w:left="567" w:hanging="567"/>
        <w:jc w:val="both"/>
      </w:pPr>
      <w:r w:rsidRPr="00A605BB">
        <w:t xml:space="preserve">Donald, W.E., Baruch, Y. and Ashleigh, M.J. (2019), “The undergraduate self-perception of employability: human capital, careers advice and career ownership”, </w:t>
      </w:r>
      <w:r w:rsidRPr="00A605BB">
        <w:rPr>
          <w:i/>
          <w:iCs/>
        </w:rPr>
        <w:t>Studies in Higher Education</w:t>
      </w:r>
      <w:r w:rsidRPr="00A605BB">
        <w:t>, Vol. 44 No. 4, pp. 599-614</w:t>
      </w:r>
      <w:r w:rsidR="00585750" w:rsidRPr="00A605BB">
        <w:t>.</w:t>
      </w:r>
      <w:r w:rsidRPr="00A605BB">
        <w:t xml:space="preserve"> </w:t>
      </w:r>
    </w:p>
    <w:p w14:paraId="7E495F3B" w14:textId="3BD6B892" w:rsidR="00EA55C9" w:rsidRPr="00A605BB" w:rsidRDefault="008105A9" w:rsidP="00EA55C9">
      <w:pPr>
        <w:autoSpaceDE w:val="0"/>
        <w:autoSpaceDN w:val="0"/>
        <w:adjustRightInd w:val="0"/>
        <w:ind w:left="567"/>
        <w:jc w:val="both"/>
      </w:pPr>
      <w:proofErr w:type="spellStart"/>
      <w:r w:rsidRPr="00A605BB">
        <w:t>doi</w:t>
      </w:r>
      <w:proofErr w:type="spellEnd"/>
      <w:r w:rsidRPr="00A605BB">
        <w:t>: 10.1080/03075079.2017.1387107</w:t>
      </w:r>
    </w:p>
    <w:p w14:paraId="4402420F" w14:textId="2CC41FD7" w:rsidR="00EA55C9" w:rsidRPr="00A605BB" w:rsidRDefault="00EA55C9" w:rsidP="00EA55C9">
      <w:pPr>
        <w:autoSpaceDE w:val="0"/>
        <w:autoSpaceDN w:val="0"/>
        <w:adjustRightInd w:val="0"/>
        <w:ind w:left="567" w:hanging="567"/>
        <w:jc w:val="both"/>
      </w:pPr>
      <w:proofErr w:type="spellStart"/>
      <w:r w:rsidRPr="00A605BB">
        <w:t>Draissi</w:t>
      </w:r>
      <w:proofErr w:type="spellEnd"/>
      <w:r w:rsidRPr="00A605BB">
        <w:t xml:space="preserve">, Z., </w:t>
      </w:r>
      <w:proofErr w:type="spellStart"/>
      <w:r w:rsidRPr="00A605BB">
        <w:t>Zhanyong</w:t>
      </w:r>
      <w:proofErr w:type="spellEnd"/>
      <w:r w:rsidRPr="00A605BB">
        <w:t xml:space="preserve">, Q. and </w:t>
      </w:r>
      <w:proofErr w:type="spellStart"/>
      <w:r w:rsidRPr="00A605BB">
        <w:t>Raguindin</w:t>
      </w:r>
      <w:proofErr w:type="spellEnd"/>
      <w:r w:rsidRPr="00A605BB">
        <w:t xml:space="preserve">, P.Z.J. (2022), “Knowledge mapping of skills mismatch phenomenon: a </w:t>
      </w:r>
      <w:proofErr w:type="spellStart"/>
      <w:r w:rsidRPr="00A605BB">
        <w:t>scientometric</w:t>
      </w:r>
      <w:proofErr w:type="spellEnd"/>
      <w:r w:rsidRPr="00A605BB">
        <w:t xml:space="preserve"> analysis”, </w:t>
      </w:r>
      <w:r w:rsidRPr="00A605BB">
        <w:rPr>
          <w:i/>
          <w:iCs/>
        </w:rPr>
        <w:t>Higher Education, Skills and Work-Based Learning</w:t>
      </w:r>
      <w:r w:rsidRPr="00A605BB">
        <w:t>, Vol. 12 No. 2, pp. 271-293</w:t>
      </w:r>
      <w:r w:rsidR="00585750" w:rsidRPr="00A605BB">
        <w:t>.</w:t>
      </w:r>
      <w:r w:rsidRPr="00A605BB">
        <w:t xml:space="preserve"> </w:t>
      </w:r>
    </w:p>
    <w:p w14:paraId="2C5114CB" w14:textId="37739BF2" w:rsidR="00EA55C9" w:rsidRPr="00A605BB" w:rsidRDefault="00EA55C9" w:rsidP="00EA55C9">
      <w:pPr>
        <w:autoSpaceDE w:val="0"/>
        <w:autoSpaceDN w:val="0"/>
        <w:adjustRightInd w:val="0"/>
        <w:ind w:left="567"/>
        <w:jc w:val="both"/>
      </w:pPr>
      <w:proofErr w:type="spellStart"/>
      <w:r w:rsidRPr="00A605BB">
        <w:t>doi</w:t>
      </w:r>
      <w:proofErr w:type="spellEnd"/>
      <w:r w:rsidRPr="00A605BB">
        <w:t>: 10.1108/HESWBL-02-2021-0019</w:t>
      </w:r>
    </w:p>
    <w:p w14:paraId="5EF5A0A6" w14:textId="77777777" w:rsidR="00341C16" w:rsidRPr="00A605BB" w:rsidRDefault="00341C16">
      <w:pPr>
        <w:spacing w:line="240" w:lineRule="auto"/>
      </w:pPr>
      <w:r w:rsidRPr="00A605BB">
        <w:br w:type="page"/>
      </w:r>
    </w:p>
    <w:p w14:paraId="31E8D8C3" w14:textId="26FD5013" w:rsidR="009955AE" w:rsidRPr="00A605BB" w:rsidRDefault="009955AE" w:rsidP="000D65BA">
      <w:pPr>
        <w:ind w:left="560" w:hanging="560"/>
        <w:jc w:val="both"/>
      </w:pPr>
      <w:proofErr w:type="spellStart"/>
      <w:r w:rsidRPr="00A605BB">
        <w:lastRenderedPageBreak/>
        <w:t>Gachino</w:t>
      </w:r>
      <w:proofErr w:type="spellEnd"/>
      <w:r w:rsidRPr="00A605BB">
        <w:t xml:space="preserve">, G.G. and </w:t>
      </w:r>
      <w:proofErr w:type="spellStart"/>
      <w:r w:rsidRPr="00A605BB">
        <w:t>Worku</w:t>
      </w:r>
      <w:proofErr w:type="spellEnd"/>
      <w:r w:rsidRPr="00A605BB">
        <w:t xml:space="preserve">, G.B. (2019), “Learning in higher education: Towards knowledge, skills and competency acquisition”, </w:t>
      </w:r>
      <w:r w:rsidRPr="00A605BB">
        <w:rPr>
          <w:i/>
          <w:iCs/>
        </w:rPr>
        <w:t>International Journal of Educational Management</w:t>
      </w:r>
      <w:r w:rsidRPr="00A605BB">
        <w:t xml:space="preserve">, Vol. 33 No. 7, pp. 1746-1770. </w:t>
      </w:r>
    </w:p>
    <w:p w14:paraId="0A104A96" w14:textId="582C85CD" w:rsidR="007201F2" w:rsidRPr="00A605BB" w:rsidRDefault="009955AE" w:rsidP="00341C16">
      <w:pPr>
        <w:ind w:left="560"/>
        <w:jc w:val="both"/>
      </w:pPr>
      <w:proofErr w:type="spellStart"/>
      <w:r w:rsidRPr="00A605BB">
        <w:t>doi</w:t>
      </w:r>
      <w:proofErr w:type="spellEnd"/>
      <w:r w:rsidRPr="00A605BB">
        <w:t>: 10.1108/IJEM-10-2018-0303</w:t>
      </w:r>
    </w:p>
    <w:p w14:paraId="3E758E4E" w14:textId="3882B467" w:rsidR="00311DCF" w:rsidRPr="00A605BB" w:rsidRDefault="00311DCF" w:rsidP="004F69B4">
      <w:pPr>
        <w:autoSpaceDE w:val="0"/>
        <w:autoSpaceDN w:val="0"/>
        <w:adjustRightInd w:val="0"/>
        <w:ind w:left="567" w:hanging="567"/>
        <w:jc w:val="both"/>
      </w:pPr>
      <w:r w:rsidRPr="00A605BB">
        <w:t xml:space="preserve">Greenhouse, S. W. and </w:t>
      </w:r>
      <w:proofErr w:type="spellStart"/>
      <w:r w:rsidRPr="00A605BB">
        <w:t>Geisser</w:t>
      </w:r>
      <w:proofErr w:type="spellEnd"/>
      <w:r w:rsidRPr="00A605BB">
        <w:t xml:space="preserve">, S. (1959). On methods in the analysis of profile data. </w:t>
      </w:r>
      <w:r w:rsidRPr="00A605BB">
        <w:rPr>
          <w:i/>
          <w:iCs/>
        </w:rPr>
        <w:t xml:space="preserve">Psychometrika, </w:t>
      </w:r>
      <w:r w:rsidRPr="00A605BB">
        <w:t>Vol. 24, pp. 95–112.</w:t>
      </w:r>
    </w:p>
    <w:p w14:paraId="5462F62C" w14:textId="6780421F" w:rsidR="004F69B4" w:rsidRPr="00A605BB" w:rsidRDefault="004F69B4" w:rsidP="004F69B4">
      <w:pPr>
        <w:autoSpaceDE w:val="0"/>
        <w:autoSpaceDN w:val="0"/>
        <w:adjustRightInd w:val="0"/>
        <w:ind w:left="567" w:hanging="567"/>
        <w:jc w:val="both"/>
      </w:pPr>
      <w:r w:rsidRPr="00A605BB">
        <w:t xml:space="preserve">Griffiths, D.A., Inman, M., Rojas, H. and Williams, K. (2018), “Transitioning student identity and sense of place: Future possibilities for assessment and development of student employability skills”, </w:t>
      </w:r>
      <w:r w:rsidRPr="00A605BB">
        <w:rPr>
          <w:i/>
          <w:iCs/>
        </w:rPr>
        <w:t>Studies in Higher Education</w:t>
      </w:r>
      <w:r w:rsidRPr="00A605BB">
        <w:t xml:space="preserve">, Vol. 43 No. 5, </w:t>
      </w:r>
    </w:p>
    <w:p w14:paraId="738ACABA" w14:textId="77777777" w:rsidR="004F69B4" w:rsidRPr="00A605BB" w:rsidRDefault="004F69B4" w:rsidP="004F69B4">
      <w:pPr>
        <w:autoSpaceDE w:val="0"/>
        <w:autoSpaceDN w:val="0"/>
        <w:adjustRightInd w:val="0"/>
        <w:ind w:left="567"/>
        <w:jc w:val="both"/>
        <w:rPr>
          <w:color w:val="333333"/>
        </w:rPr>
      </w:pPr>
      <w:r w:rsidRPr="00A605BB">
        <w:t xml:space="preserve">pp. 891–913. </w:t>
      </w:r>
      <w:proofErr w:type="spellStart"/>
      <w:r w:rsidRPr="00A605BB">
        <w:t>doi</w:t>
      </w:r>
      <w:proofErr w:type="spellEnd"/>
      <w:r w:rsidRPr="00A605BB">
        <w:t xml:space="preserve">: </w:t>
      </w:r>
      <w:hyperlink r:id="rId11" w:history="1">
        <w:r w:rsidRPr="00A605BB">
          <w:t>10.1080/03075079.2018.1439719</w:t>
        </w:r>
      </w:hyperlink>
    </w:p>
    <w:p w14:paraId="052FDBDE" w14:textId="26D58F42" w:rsidR="00D57E4A" w:rsidRPr="00A605BB" w:rsidRDefault="00D57E4A" w:rsidP="000D65BA">
      <w:pPr>
        <w:ind w:left="560" w:hanging="560"/>
        <w:jc w:val="both"/>
      </w:pPr>
      <w:r w:rsidRPr="00A605BB">
        <w:t xml:space="preserve">Grimm, P. (2010). </w:t>
      </w:r>
      <w:r w:rsidRPr="00A605BB">
        <w:rPr>
          <w:i/>
          <w:iCs/>
        </w:rPr>
        <w:t>Social Desirability Bias</w:t>
      </w:r>
      <w:r w:rsidRPr="00A605BB">
        <w:t xml:space="preserve">. Wiley International </w:t>
      </w:r>
      <w:r w:rsidR="00690CD3" w:rsidRPr="00A605BB">
        <w:t>Encyclopaedia</w:t>
      </w:r>
      <w:r w:rsidRPr="00A605BB">
        <w:t xml:space="preserve"> of Marketing.</w:t>
      </w:r>
    </w:p>
    <w:p w14:paraId="2A3982EE" w14:textId="63887651" w:rsidR="000D65BA" w:rsidRPr="00A605BB" w:rsidRDefault="000D65BA" w:rsidP="000D65BA">
      <w:pPr>
        <w:ind w:left="560" w:hanging="560"/>
        <w:jc w:val="both"/>
      </w:pPr>
      <w:r w:rsidRPr="00A605BB">
        <w:t xml:space="preserve">Healy, M., Hammer, S. and </w:t>
      </w:r>
      <w:proofErr w:type="spellStart"/>
      <w:r w:rsidRPr="00A605BB">
        <w:t>Mcllveen</w:t>
      </w:r>
      <w:proofErr w:type="spellEnd"/>
      <w:r w:rsidRPr="00A605BB">
        <w:t xml:space="preserve">, P. (2022), “Mapping graduate employability and career development in higher education research: A citation network analysis”, </w:t>
      </w:r>
      <w:r w:rsidRPr="00A605BB">
        <w:rPr>
          <w:i/>
          <w:iCs/>
        </w:rPr>
        <w:t>Studies in Higher Education</w:t>
      </w:r>
      <w:r w:rsidRPr="00A605BB">
        <w:t xml:space="preserve">, Vol. 47 No. 4, pp. 799-811. </w:t>
      </w:r>
    </w:p>
    <w:p w14:paraId="6B4F488A" w14:textId="2A44BDFE" w:rsidR="000D65BA" w:rsidRPr="00A605BB" w:rsidRDefault="000D65BA" w:rsidP="000D65BA">
      <w:pPr>
        <w:ind w:left="560"/>
        <w:jc w:val="both"/>
      </w:pPr>
      <w:proofErr w:type="spellStart"/>
      <w:r w:rsidRPr="00A605BB">
        <w:t>doi</w:t>
      </w:r>
      <w:proofErr w:type="spellEnd"/>
      <w:r w:rsidRPr="00A605BB">
        <w:t xml:space="preserve">: </w:t>
      </w:r>
      <w:hyperlink r:id="rId12" w:history="1">
        <w:r w:rsidRPr="00A605BB">
          <w:t>10.1080/03075079.2020.1804851</w:t>
        </w:r>
      </w:hyperlink>
    </w:p>
    <w:p w14:paraId="3BC72FFB" w14:textId="77777777" w:rsidR="00D57E4A" w:rsidRPr="00A605BB" w:rsidRDefault="00D57E4A" w:rsidP="007505E1">
      <w:pPr>
        <w:ind w:left="567" w:hanging="567"/>
      </w:pPr>
      <w:proofErr w:type="spellStart"/>
      <w:r w:rsidRPr="00A605BB">
        <w:t>Hobfoll</w:t>
      </w:r>
      <w:proofErr w:type="spellEnd"/>
      <w:r w:rsidRPr="00A605BB">
        <w:t xml:space="preserve">, S. E. (2011), “Conservation of resource caravans and engaged settings”, </w:t>
      </w:r>
      <w:r w:rsidRPr="00A605BB">
        <w:rPr>
          <w:i/>
          <w:iCs/>
        </w:rPr>
        <w:t>Journal of Occupational and Organizational Psychology</w:t>
      </w:r>
      <w:r w:rsidRPr="00A605BB">
        <w:t xml:space="preserve">, Vol. 84 No. 1, </w:t>
      </w:r>
    </w:p>
    <w:p w14:paraId="5DF0D1C5" w14:textId="691A94B1" w:rsidR="00D57E4A" w:rsidRPr="00A605BB" w:rsidRDefault="00D57E4A" w:rsidP="00D57E4A">
      <w:pPr>
        <w:ind w:left="567"/>
      </w:pPr>
      <w:r w:rsidRPr="00A605BB">
        <w:t>pp. 116-122.</w:t>
      </w:r>
    </w:p>
    <w:p w14:paraId="41A7376B" w14:textId="77777777" w:rsidR="007108B1" w:rsidRPr="00A605BB" w:rsidRDefault="007108B1" w:rsidP="007505E1">
      <w:pPr>
        <w:ind w:left="567" w:hanging="567"/>
      </w:pPr>
      <w:bookmarkStart w:id="14" w:name="_Hlk130061827"/>
      <w:r w:rsidRPr="00A605BB">
        <w:t xml:space="preserve">Hong, P. Y. P., </w:t>
      </w:r>
      <w:proofErr w:type="spellStart"/>
      <w:r w:rsidRPr="00A605BB">
        <w:t>Polanin</w:t>
      </w:r>
      <w:proofErr w:type="spellEnd"/>
      <w:r w:rsidRPr="00A605BB">
        <w:t xml:space="preserve">, J. R. and Pigott, T. D. (2012), “Validation of the Employment Hope Scale: Measuring psychological self-sufficiency among low-income jobseeker”, </w:t>
      </w:r>
      <w:r w:rsidRPr="00A605BB">
        <w:rPr>
          <w:i/>
          <w:iCs/>
        </w:rPr>
        <w:t>Research on Social Work Practice</w:t>
      </w:r>
      <w:r w:rsidRPr="00A605BB">
        <w:t xml:space="preserve">, Vol. 22 No. 3, pp. 323-332. </w:t>
      </w:r>
    </w:p>
    <w:p w14:paraId="5A5162C2" w14:textId="4DB20644" w:rsidR="007108B1" w:rsidRPr="00A605BB" w:rsidRDefault="007108B1" w:rsidP="007108B1">
      <w:pPr>
        <w:ind w:left="567"/>
      </w:pPr>
      <w:proofErr w:type="spellStart"/>
      <w:r w:rsidRPr="00A605BB">
        <w:t>doi</w:t>
      </w:r>
      <w:proofErr w:type="spellEnd"/>
      <w:r w:rsidRPr="00A605BB">
        <w:t xml:space="preserve">: 10.1177/1049731511435952 </w:t>
      </w:r>
    </w:p>
    <w:bookmarkEnd w:id="14"/>
    <w:p w14:paraId="0240EA94" w14:textId="43D84164" w:rsidR="00C155F6" w:rsidRPr="00A605BB" w:rsidRDefault="007B3644" w:rsidP="007505E1">
      <w:pPr>
        <w:ind w:left="567" w:hanging="567"/>
      </w:pPr>
      <w:r w:rsidRPr="00A605BB">
        <w:lastRenderedPageBreak/>
        <w:t>Houldsworth, E., Jones, K., McBain, R. and Brewster, C. (202</w:t>
      </w:r>
      <w:r w:rsidR="00C155F6" w:rsidRPr="00A605BB">
        <w:t>3</w:t>
      </w:r>
      <w:r w:rsidRPr="00A605BB">
        <w:t xml:space="preserve">), “Career capital and the MBA: how gender capital supports career capital development”, </w:t>
      </w:r>
      <w:r w:rsidRPr="00A605BB">
        <w:rPr>
          <w:i/>
          <w:iCs/>
        </w:rPr>
        <w:t>Studies in Higher Education</w:t>
      </w:r>
      <w:r w:rsidRPr="00A605BB">
        <w:t xml:space="preserve">, </w:t>
      </w:r>
      <w:r w:rsidR="00C155F6" w:rsidRPr="00A605BB">
        <w:t xml:space="preserve">Vol. 48 No. 2, pp. 299-313. </w:t>
      </w:r>
    </w:p>
    <w:p w14:paraId="6BF96020" w14:textId="488DC810" w:rsidR="004F69B4" w:rsidRPr="00A605BB" w:rsidRDefault="007B3644" w:rsidP="00C155F6">
      <w:pPr>
        <w:ind w:left="567"/>
      </w:pPr>
      <w:proofErr w:type="spellStart"/>
      <w:r w:rsidRPr="00A605BB">
        <w:t>doi</w:t>
      </w:r>
      <w:proofErr w:type="spellEnd"/>
      <w:r w:rsidRPr="00A605BB">
        <w:t>: 10.1080/03075079.2022.2134333</w:t>
      </w:r>
    </w:p>
    <w:p w14:paraId="379040A0" w14:textId="2E902C1F" w:rsidR="00B80E8D" w:rsidRPr="00A605BB" w:rsidRDefault="00B80E8D" w:rsidP="00B80E8D">
      <w:pPr>
        <w:ind w:left="567" w:hanging="567"/>
        <w:rPr>
          <w:rStyle w:val="Hyperlink"/>
        </w:rPr>
      </w:pPr>
      <w:r w:rsidRPr="00A605BB">
        <w:t xml:space="preserve">Hughes, H.P.N. 2022, “The Work-Integrated Opportunity and Development Tool (WIODT): A practical approach to maximise the value of work-integrated learning”, </w:t>
      </w:r>
      <w:r w:rsidRPr="00A605BB">
        <w:rPr>
          <w:i/>
          <w:iCs/>
        </w:rPr>
        <w:t>International Journal of Teaching and Learning in Higher Education</w:t>
      </w:r>
      <w:r w:rsidRPr="00A605BB">
        <w:t xml:space="preserve">, ahead-of-print. </w:t>
      </w:r>
    </w:p>
    <w:p w14:paraId="7EBBF512" w14:textId="77777777" w:rsidR="00222A29" w:rsidRPr="00A605BB" w:rsidRDefault="00222A29" w:rsidP="000D65BA">
      <w:pPr>
        <w:ind w:left="560" w:hanging="560"/>
        <w:jc w:val="both"/>
      </w:pPr>
      <w:proofErr w:type="spellStart"/>
      <w:r w:rsidRPr="00A605BB">
        <w:t>Inceoglu</w:t>
      </w:r>
      <w:proofErr w:type="spellEnd"/>
      <w:r w:rsidRPr="00A605BB">
        <w:t xml:space="preserve">, I., Selenko, E., McDowall, A., &amp; </w:t>
      </w:r>
      <w:proofErr w:type="spellStart"/>
      <w:r w:rsidRPr="00A605BB">
        <w:t>Schlachter</w:t>
      </w:r>
      <w:proofErr w:type="spellEnd"/>
      <w:r w:rsidRPr="00A605BB">
        <w:t xml:space="preserve">, S. (2019), “(How) do placements work? Scrutinizing the quantitative evidence for a theory-driven future research agenda”, </w:t>
      </w:r>
      <w:r w:rsidRPr="00A605BB">
        <w:rPr>
          <w:i/>
          <w:iCs/>
        </w:rPr>
        <w:t xml:space="preserve">Journal of Vocational </w:t>
      </w:r>
      <w:proofErr w:type="spellStart"/>
      <w:r w:rsidRPr="00A605BB">
        <w:rPr>
          <w:i/>
          <w:iCs/>
        </w:rPr>
        <w:t>Behavior</w:t>
      </w:r>
      <w:proofErr w:type="spellEnd"/>
      <w:r w:rsidRPr="00A605BB">
        <w:t xml:space="preserve">, Vol. 110, pp. 317-337. </w:t>
      </w:r>
    </w:p>
    <w:p w14:paraId="0533D142" w14:textId="5FC409E1" w:rsidR="00222A29" w:rsidRPr="00A605BB" w:rsidRDefault="00222A29" w:rsidP="00222A29">
      <w:pPr>
        <w:ind w:left="560"/>
        <w:jc w:val="both"/>
      </w:pPr>
      <w:proofErr w:type="spellStart"/>
      <w:r w:rsidRPr="00A605BB">
        <w:t>doi</w:t>
      </w:r>
      <w:proofErr w:type="spellEnd"/>
      <w:r w:rsidRPr="00A605BB">
        <w:t>: 10.1016/j.jvb.2018.09.002</w:t>
      </w:r>
    </w:p>
    <w:p w14:paraId="2501684B" w14:textId="4F673133" w:rsidR="00EA55C9" w:rsidRPr="00A605BB" w:rsidRDefault="00EA55C9" w:rsidP="00EA55C9">
      <w:pPr>
        <w:autoSpaceDE w:val="0"/>
        <w:autoSpaceDN w:val="0"/>
        <w:adjustRightInd w:val="0"/>
        <w:ind w:left="567" w:hanging="567"/>
        <w:jc w:val="both"/>
      </w:pPr>
      <w:r w:rsidRPr="00A605BB">
        <w:t xml:space="preserve">Jakubik, M. (2020), “Enhancing human capital beyond university boundaries”, </w:t>
      </w:r>
      <w:r w:rsidRPr="00A605BB">
        <w:rPr>
          <w:i/>
          <w:iCs/>
        </w:rPr>
        <w:t>Higher Education, Skills and Work-Based Learning</w:t>
      </w:r>
      <w:r w:rsidRPr="00A605BB">
        <w:t>, Vol. 10 No. 2, pp. 434-446</w:t>
      </w:r>
      <w:r w:rsidR="00585750" w:rsidRPr="00A605BB">
        <w:t>.</w:t>
      </w:r>
      <w:r w:rsidRPr="00A605BB">
        <w:t xml:space="preserve"> </w:t>
      </w:r>
    </w:p>
    <w:p w14:paraId="2E97E90F" w14:textId="693263C2" w:rsidR="00EA55C9" w:rsidRPr="00A605BB" w:rsidRDefault="00EA55C9" w:rsidP="00EA55C9">
      <w:pPr>
        <w:autoSpaceDE w:val="0"/>
        <w:autoSpaceDN w:val="0"/>
        <w:adjustRightInd w:val="0"/>
        <w:ind w:left="567"/>
        <w:jc w:val="both"/>
      </w:pPr>
      <w:proofErr w:type="spellStart"/>
      <w:r w:rsidRPr="00A605BB">
        <w:t>doi</w:t>
      </w:r>
      <w:proofErr w:type="spellEnd"/>
      <w:r w:rsidRPr="00A605BB">
        <w:t>: 10.1108/heswbl-06-2019-0074</w:t>
      </w:r>
    </w:p>
    <w:p w14:paraId="52ECBFEE" w14:textId="77777777" w:rsidR="00D81E60" w:rsidRPr="00A605BB" w:rsidRDefault="00D81E60" w:rsidP="00D81E60">
      <w:pPr>
        <w:autoSpaceDE w:val="0"/>
        <w:autoSpaceDN w:val="0"/>
        <w:adjustRightInd w:val="0"/>
        <w:ind w:left="567" w:hanging="567"/>
        <w:jc w:val="both"/>
      </w:pPr>
      <w:r w:rsidRPr="00A605BB">
        <w:t xml:space="preserve">Kurz, R. and Bartram, D. (2002), “Competency and individual performance: </w:t>
      </w:r>
      <w:proofErr w:type="spellStart"/>
      <w:r w:rsidRPr="00A605BB">
        <w:t>Modeling</w:t>
      </w:r>
      <w:proofErr w:type="spellEnd"/>
      <w:r w:rsidRPr="00A605BB">
        <w:t xml:space="preserve"> the world of work”, in Robertson, I.T., Callinan, M. and Bartram, D. (Eds), </w:t>
      </w:r>
      <w:r w:rsidRPr="00A605BB">
        <w:rPr>
          <w:i/>
          <w:iCs/>
        </w:rPr>
        <w:t>Organizational Effectiveness: The Role of Psychology</w:t>
      </w:r>
      <w:r w:rsidRPr="00A605BB">
        <w:t>, Wiley, pp. 227–255.</w:t>
      </w:r>
    </w:p>
    <w:p w14:paraId="03B3C507" w14:textId="77777777" w:rsidR="000D65BA" w:rsidRPr="00A605BB" w:rsidRDefault="000D65BA" w:rsidP="000D65BA">
      <w:pPr>
        <w:ind w:left="560" w:hanging="560"/>
        <w:jc w:val="both"/>
      </w:pPr>
      <w:r w:rsidRPr="00A605BB">
        <w:t xml:space="preserve">Lehmann, W. (2019), “Forms of capital in working-class students’ transition from University to employment”, </w:t>
      </w:r>
      <w:r w:rsidRPr="00A605BB">
        <w:rPr>
          <w:i/>
          <w:iCs/>
        </w:rPr>
        <w:t>Journal of Education and Work</w:t>
      </w:r>
      <w:r w:rsidRPr="00A605BB">
        <w:t xml:space="preserve">, Vol. 32 No. 4, </w:t>
      </w:r>
    </w:p>
    <w:p w14:paraId="229A4375" w14:textId="4D2A094E" w:rsidR="000D65BA" w:rsidRPr="00A605BB" w:rsidRDefault="000D65BA" w:rsidP="000D65BA">
      <w:pPr>
        <w:ind w:left="560"/>
        <w:jc w:val="both"/>
      </w:pPr>
      <w:r w:rsidRPr="00A605BB">
        <w:t xml:space="preserve">pp. 347–359. </w:t>
      </w:r>
      <w:proofErr w:type="spellStart"/>
      <w:r w:rsidRPr="00A605BB">
        <w:t>doi</w:t>
      </w:r>
      <w:proofErr w:type="spellEnd"/>
      <w:r w:rsidRPr="00A605BB">
        <w:t xml:space="preserve">: </w:t>
      </w:r>
      <w:hyperlink r:id="rId13" w:history="1">
        <w:r w:rsidRPr="00A605BB">
          <w:t>10.1080/13639080.2019.1617841</w:t>
        </w:r>
      </w:hyperlink>
    </w:p>
    <w:p w14:paraId="1CABC2BD" w14:textId="26891AD4" w:rsidR="00DE3452" w:rsidRPr="00A605BB" w:rsidRDefault="00DE3452" w:rsidP="00EA55C9">
      <w:pPr>
        <w:autoSpaceDE w:val="0"/>
        <w:autoSpaceDN w:val="0"/>
        <w:adjustRightInd w:val="0"/>
        <w:ind w:left="567" w:hanging="567"/>
        <w:jc w:val="both"/>
      </w:pPr>
      <w:bookmarkStart w:id="15" w:name="_Hlk130059755"/>
      <w:r w:rsidRPr="00A605BB">
        <w:t xml:space="preserve">Marginson, S. (2019), “Limitations of human capital theory”, </w:t>
      </w:r>
      <w:r w:rsidRPr="00A605BB">
        <w:rPr>
          <w:i/>
          <w:iCs/>
        </w:rPr>
        <w:t>Studies in Higher Education</w:t>
      </w:r>
      <w:r w:rsidRPr="00A605BB">
        <w:t xml:space="preserve">, Vol. 44 No. 2, pp. 287-301. </w:t>
      </w:r>
      <w:proofErr w:type="spellStart"/>
      <w:r w:rsidRPr="00A605BB">
        <w:t>doi</w:t>
      </w:r>
      <w:proofErr w:type="spellEnd"/>
      <w:r w:rsidRPr="00A605BB">
        <w:t>: 10.1080/03075079.2017.1359823</w:t>
      </w:r>
    </w:p>
    <w:bookmarkEnd w:id="15"/>
    <w:p w14:paraId="40CBCE9D" w14:textId="783ECF83" w:rsidR="009955AE" w:rsidRPr="00A605BB" w:rsidRDefault="009955AE" w:rsidP="00EA55C9">
      <w:pPr>
        <w:autoSpaceDE w:val="0"/>
        <w:autoSpaceDN w:val="0"/>
        <w:adjustRightInd w:val="0"/>
        <w:ind w:left="567" w:hanging="567"/>
        <w:jc w:val="both"/>
      </w:pPr>
      <w:r w:rsidRPr="00A605BB">
        <w:lastRenderedPageBreak/>
        <w:t xml:space="preserve">Monteiro, S., Almeida, L., Gomes, C. and </w:t>
      </w:r>
      <w:proofErr w:type="spellStart"/>
      <w:r w:rsidRPr="00A605BB">
        <w:t>Sinval</w:t>
      </w:r>
      <w:proofErr w:type="spellEnd"/>
      <w:r w:rsidRPr="00A605BB">
        <w:t xml:space="preserve">, J. (2020), “Employability profiles of higher education graduates: A person-oriented approach”, </w:t>
      </w:r>
      <w:r w:rsidRPr="00A605BB">
        <w:rPr>
          <w:i/>
          <w:iCs/>
        </w:rPr>
        <w:t>Studies in Higher Education</w:t>
      </w:r>
      <w:r w:rsidRPr="00A605BB">
        <w:t xml:space="preserve">, Vol. 47 No. 3, pp. 499-512. </w:t>
      </w:r>
      <w:proofErr w:type="spellStart"/>
      <w:r w:rsidRPr="00A605BB">
        <w:t>doi</w:t>
      </w:r>
      <w:proofErr w:type="spellEnd"/>
      <w:r w:rsidRPr="00A605BB">
        <w:t>: 10.1080/03075079.2020.1761785</w:t>
      </w:r>
    </w:p>
    <w:p w14:paraId="7755667F" w14:textId="6C6D8B09" w:rsidR="00850269" w:rsidRPr="00A605BB" w:rsidRDefault="00850269" w:rsidP="00EA55C9">
      <w:pPr>
        <w:autoSpaceDE w:val="0"/>
        <w:autoSpaceDN w:val="0"/>
        <w:adjustRightInd w:val="0"/>
        <w:ind w:left="567" w:hanging="567"/>
        <w:jc w:val="both"/>
      </w:pPr>
      <w:r w:rsidRPr="00A605BB">
        <w:t xml:space="preserve">Narayanan, V. K., </w:t>
      </w:r>
      <w:proofErr w:type="spellStart"/>
      <w:r w:rsidRPr="00A605BB">
        <w:t>Olk</w:t>
      </w:r>
      <w:proofErr w:type="spellEnd"/>
      <w:r w:rsidRPr="00A605BB">
        <w:t xml:space="preserve">, P. M. and </w:t>
      </w:r>
      <w:proofErr w:type="spellStart"/>
      <w:r w:rsidRPr="00A605BB">
        <w:t>Fukami</w:t>
      </w:r>
      <w:proofErr w:type="spellEnd"/>
      <w:r w:rsidRPr="00A605BB">
        <w:t xml:space="preserve">, C. V. (2010), “Determinants of internship effectiveness: An exploratory model”, </w:t>
      </w:r>
      <w:r w:rsidRPr="00A605BB">
        <w:rPr>
          <w:i/>
          <w:iCs/>
        </w:rPr>
        <w:t>Academy of Management Learning &amp; Education</w:t>
      </w:r>
      <w:r w:rsidRPr="00A605BB">
        <w:t xml:space="preserve">, </w:t>
      </w:r>
      <w:r w:rsidRPr="00A605BB">
        <w:rPr>
          <w:i/>
          <w:iCs/>
        </w:rPr>
        <w:t>9</w:t>
      </w:r>
      <w:r w:rsidRPr="00A605BB">
        <w:t xml:space="preserve">(1), 61-80. </w:t>
      </w:r>
      <w:proofErr w:type="spellStart"/>
      <w:r w:rsidRPr="00A605BB">
        <w:t>doi</w:t>
      </w:r>
      <w:proofErr w:type="spellEnd"/>
      <w:r w:rsidRPr="00A605BB">
        <w:t>: 10.5465/AMLE.2010.48661191</w:t>
      </w:r>
    </w:p>
    <w:p w14:paraId="55CE165D" w14:textId="2D0C18D0" w:rsidR="00CB4A53" w:rsidRPr="00A605BB" w:rsidRDefault="00CB4A53" w:rsidP="00EA55C9">
      <w:pPr>
        <w:autoSpaceDE w:val="0"/>
        <w:autoSpaceDN w:val="0"/>
        <w:adjustRightInd w:val="0"/>
        <w:ind w:left="567" w:hanging="567"/>
        <w:jc w:val="both"/>
      </w:pPr>
      <w:r w:rsidRPr="00A605BB">
        <w:t xml:space="preserve">Nielsen, S. G. (2004), “Strategies and self-efficacy beliefs in instrumental and vocal individual practice: A study of students in higher music education”, </w:t>
      </w:r>
      <w:r w:rsidRPr="00A605BB">
        <w:rPr>
          <w:i/>
          <w:iCs/>
        </w:rPr>
        <w:t>Psychology of Music</w:t>
      </w:r>
      <w:r w:rsidRPr="00A605BB">
        <w:t xml:space="preserve">, Vol. 32 No. 4, pp. 418-431. </w:t>
      </w:r>
      <w:proofErr w:type="spellStart"/>
      <w:r w:rsidRPr="00A605BB">
        <w:t>doi</w:t>
      </w:r>
      <w:proofErr w:type="spellEnd"/>
      <w:r w:rsidRPr="00A605BB">
        <w:t xml:space="preserve">: </w:t>
      </w:r>
      <w:hyperlink r:id="rId14" w:history="1">
        <w:r w:rsidRPr="00A605BB">
          <w:t>10.1177/0305735604046099</w:t>
        </w:r>
      </w:hyperlink>
    </w:p>
    <w:p w14:paraId="608249D5" w14:textId="625F2683" w:rsidR="00EA55C9" w:rsidRPr="00A605BB" w:rsidRDefault="00EA55C9" w:rsidP="00EA55C9">
      <w:pPr>
        <w:autoSpaceDE w:val="0"/>
        <w:autoSpaceDN w:val="0"/>
        <w:adjustRightInd w:val="0"/>
        <w:ind w:left="567" w:hanging="567"/>
        <w:jc w:val="both"/>
      </w:pPr>
      <w:r w:rsidRPr="00A605BB">
        <w:t xml:space="preserve">Nimmi, P.M., Joseph, G. and Donald, W.E. (2022), “Is it all about perception? A sustainability viewpoint on psychological capital and life wellbeing of management graduates”, </w:t>
      </w:r>
      <w:r w:rsidRPr="00A605BB">
        <w:rPr>
          <w:i/>
          <w:iCs/>
        </w:rPr>
        <w:t>Higher Education, Skills and Work-Based Learning</w:t>
      </w:r>
      <w:r w:rsidRPr="00A605BB">
        <w:t xml:space="preserve">, Vol. 12 No. 2, </w:t>
      </w:r>
    </w:p>
    <w:p w14:paraId="53FC4FCA" w14:textId="476442B0" w:rsidR="007201F2" w:rsidRPr="00A605BB" w:rsidRDefault="00EA55C9" w:rsidP="001D3D9B">
      <w:pPr>
        <w:autoSpaceDE w:val="0"/>
        <w:autoSpaceDN w:val="0"/>
        <w:adjustRightInd w:val="0"/>
        <w:ind w:left="567"/>
        <w:jc w:val="both"/>
      </w:pPr>
      <w:r w:rsidRPr="00A605BB">
        <w:t>pp. 384-398</w:t>
      </w:r>
      <w:r w:rsidR="00585750" w:rsidRPr="00A605BB">
        <w:t>.</w:t>
      </w:r>
      <w:r w:rsidRPr="00A605BB">
        <w:t xml:space="preserve"> </w:t>
      </w:r>
      <w:proofErr w:type="spellStart"/>
      <w:r w:rsidRPr="00A605BB">
        <w:t>doi</w:t>
      </w:r>
      <w:proofErr w:type="spellEnd"/>
      <w:r w:rsidRPr="00A605BB">
        <w:t>: 10.1108/HESWBL-01-2021-0004</w:t>
      </w:r>
    </w:p>
    <w:p w14:paraId="4565B01A" w14:textId="0D2CDB28" w:rsidR="00526D41" w:rsidRPr="00A605BB" w:rsidRDefault="00526D41" w:rsidP="00EA55C9">
      <w:pPr>
        <w:autoSpaceDE w:val="0"/>
        <w:autoSpaceDN w:val="0"/>
        <w:adjustRightInd w:val="0"/>
        <w:ind w:left="567" w:hanging="567"/>
        <w:jc w:val="both"/>
      </w:pPr>
      <w:r w:rsidRPr="00A605BB">
        <w:t>Padgett, R.C. and Donald, W.E. (202</w:t>
      </w:r>
      <w:r w:rsidR="0060598A" w:rsidRPr="00A605BB">
        <w:t>3</w:t>
      </w:r>
      <w:r w:rsidRPr="00A605BB">
        <w:t>), “</w:t>
      </w:r>
      <w:r w:rsidR="0060598A" w:rsidRPr="00A605BB">
        <w:t xml:space="preserve">Preparing graduates for sustainable careers: A case of ‘The Global Marketing Professional’ module”, </w:t>
      </w:r>
      <w:r w:rsidRPr="00A605BB">
        <w:rPr>
          <w:i/>
          <w:iCs/>
        </w:rPr>
        <w:t>Higher Education, Skills and Work-Based Learning</w:t>
      </w:r>
      <w:r w:rsidRPr="00A605BB">
        <w:t xml:space="preserve">, </w:t>
      </w:r>
      <w:r w:rsidR="0060598A" w:rsidRPr="00A605BB">
        <w:t xml:space="preserve">Vol. 13 No. 1, pp. 22-35. </w:t>
      </w:r>
    </w:p>
    <w:p w14:paraId="312CA9AE" w14:textId="00F801B2" w:rsidR="00526D41" w:rsidRPr="00A605BB" w:rsidRDefault="00526D41" w:rsidP="00526D41">
      <w:pPr>
        <w:autoSpaceDE w:val="0"/>
        <w:autoSpaceDN w:val="0"/>
        <w:adjustRightInd w:val="0"/>
        <w:ind w:left="567"/>
        <w:jc w:val="both"/>
      </w:pPr>
      <w:proofErr w:type="spellStart"/>
      <w:r w:rsidRPr="00A605BB">
        <w:t>doi</w:t>
      </w:r>
      <w:proofErr w:type="spellEnd"/>
      <w:r w:rsidRPr="00A605BB">
        <w:t>: 10.1108/HESWBL-03-2022-0073</w:t>
      </w:r>
    </w:p>
    <w:p w14:paraId="6EF59655" w14:textId="5CC672CB" w:rsidR="002902D3" w:rsidRPr="00A605BB" w:rsidRDefault="002902D3" w:rsidP="00EA55C9">
      <w:pPr>
        <w:autoSpaceDE w:val="0"/>
        <w:autoSpaceDN w:val="0"/>
        <w:adjustRightInd w:val="0"/>
        <w:ind w:left="567" w:hanging="567"/>
        <w:jc w:val="both"/>
      </w:pPr>
      <w:proofErr w:type="spellStart"/>
      <w:r w:rsidRPr="00A605BB">
        <w:t>Paulhus</w:t>
      </w:r>
      <w:proofErr w:type="spellEnd"/>
      <w:r w:rsidRPr="00A605BB">
        <w:t xml:space="preserve">, D.L. (1984), “Two-component models of socially desirable responding”, </w:t>
      </w:r>
      <w:r w:rsidRPr="00A605BB">
        <w:rPr>
          <w:i/>
          <w:iCs/>
        </w:rPr>
        <w:t>Journal of Personality and Social Psychology</w:t>
      </w:r>
      <w:r w:rsidRPr="00A605BB">
        <w:t xml:space="preserve">, Vol. 46 No. 3, p. 598. </w:t>
      </w:r>
    </w:p>
    <w:p w14:paraId="416FCDCC" w14:textId="65EE9D4D" w:rsidR="00EA55C9" w:rsidRPr="00A605BB" w:rsidRDefault="00EA55C9" w:rsidP="00EA55C9">
      <w:pPr>
        <w:autoSpaceDE w:val="0"/>
        <w:autoSpaceDN w:val="0"/>
        <w:adjustRightInd w:val="0"/>
        <w:ind w:left="567" w:hanging="567"/>
        <w:jc w:val="both"/>
      </w:pPr>
      <w:proofErr w:type="spellStart"/>
      <w:r w:rsidRPr="00A605BB">
        <w:t>Römgens</w:t>
      </w:r>
      <w:proofErr w:type="spellEnd"/>
      <w:r w:rsidRPr="00A605BB">
        <w:t xml:space="preserve">, I., </w:t>
      </w:r>
      <w:proofErr w:type="spellStart"/>
      <w:r w:rsidRPr="00A605BB">
        <w:t>Scoupe</w:t>
      </w:r>
      <w:proofErr w:type="spellEnd"/>
      <w:r w:rsidRPr="00A605BB">
        <w:t xml:space="preserve">, R. and </w:t>
      </w:r>
      <w:proofErr w:type="spellStart"/>
      <w:r w:rsidRPr="00A605BB">
        <w:t>Beausaert</w:t>
      </w:r>
      <w:proofErr w:type="spellEnd"/>
      <w:r w:rsidRPr="00A605BB">
        <w:t>, S. (2020), “</w:t>
      </w:r>
      <w:proofErr w:type="spellStart"/>
      <w:r w:rsidRPr="00A605BB">
        <w:t>Unraveling</w:t>
      </w:r>
      <w:proofErr w:type="spellEnd"/>
      <w:r w:rsidRPr="00A605BB">
        <w:t xml:space="preserve"> the concept of employability, bringing together research on employability in higher education and the workplace”, </w:t>
      </w:r>
      <w:r w:rsidRPr="00A605BB">
        <w:rPr>
          <w:i/>
          <w:iCs/>
        </w:rPr>
        <w:t>Studies in Higher Education</w:t>
      </w:r>
      <w:r w:rsidRPr="00A605BB">
        <w:t>, Vol. 45 No. 12, pp. 2588-2603</w:t>
      </w:r>
      <w:r w:rsidR="00585750" w:rsidRPr="00A605BB">
        <w:t>.</w:t>
      </w:r>
      <w:r w:rsidRPr="00A605BB">
        <w:t xml:space="preserve"> </w:t>
      </w:r>
    </w:p>
    <w:p w14:paraId="5E0F2F6B" w14:textId="452702FC" w:rsidR="00EA55C9" w:rsidRPr="00A605BB" w:rsidRDefault="00EA55C9" w:rsidP="00EA55C9">
      <w:pPr>
        <w:autoSpaceDE w:val="0"/>
        <w:autoSpaceDN w:val="0"/>
        <w:adjustRightInd w:val="0"/>
        <w:ind w:left="567"/>
        <w:jc w:val="both"/>
      </w:pPr>
      <w:proofErr w:type="spellStart"/>
      <w:r w:rsidRPr="00A605BB">
        <w:t>doi</w:t>
      </w:r>
      <w:proofErr w:type="spellEnd"/>
      <w:r w:rsidRPr="00A605BB">
        <w:t>: 10.1080/03075079.2019.1623770</w:t>
      </w:r>
    </w:p>
    <w:p w14:paraId="6CBB953E" w14:textId="7B60AD23" w:rsidR="00EA55C9" w:rsidRPr="00A605BB" w:rsidRDefault="00EA55C9" w:rsidP="00EA55C9">
      <w:pPr>
        <w:ind w:left="560" w:hanging="560"/>
        <w:jc w:val="both"/>
      </w:pPr>
      <w:r w:rsidRPr="00A605BB">
        <w:t xml:space="preserve">Schultz, T.W. (1961), “Investment in human capital”, </w:t>
      </w:r>
      <w:r w:rsidRPr="00A605BB">
        <w:rPr>
          <w:i/>
          <w:iCs/>
        </w:rPr>
        <w:t>The American Economic Review</w:t>
      </w:r>
      <w:r w:rsidRPr="00A605BB">
        <w:t>, Vol. 11 No. (1), pp. 1-17.</w:t>
      </w:r>
    </w:p>
    <w:p w14:paraId="38C35813" w14:textId="44D6C588" w:rsidR="007108B1" w:rsidRPr="00A605BB" w:rsidRDefault="007108B1" w:rsidP="001D3D9B">
      <w:pPr>
        <w:autoSpaceDE w:val="0"/>
        <w:autoSpaceDN w:val="0"/>
        <w:adjustRightInd w:val="0"/>
        <w:ind w:left="567" w:hanging="567"/>
        <w:jc w:val="both"/>
      </w:pPr>
      <w:bookmarkStart w:id="16" w:name="_Hlk130064028"/>
      <w:r w:rsidRPr="00A605BB">
        <w:lastRenderedPageBreak/>
        <w:t xml:space="preserve">Sin, C. and Tavares, O. (2020), </w:t>
      </w:r>
      <w:r w:rsidR="001D3D9B" w:rsidRPr="00A605BB">
        <w:t>“</w:t>
      </w:r>
      <w:r w:rsidRPr="00A605BB">
        <w:t>Introduction</w:t>
      </w:r>
      <w:r w:rsidR="001D3D9B" w:rsidRPr="00A605BB">
        <w:t>”,</w:t>
      </w:r>
      <w:r w:rsidRPr="00A605BB">
        <w:t xml:space="preserve"> </w:t>
      </w:r>
      <w:r w:rsidR="001D3D9B" w:rsidRPr="00A605BB">
        <w:t>i</w:t>
      </w:r>
      <w:r w:rsidRPr="00A605BB">
        <w:t>n Cardoso,</w:t>
      </w:r>
      <w:r w:rsidR="001D3D9B" w:rsidRPr="00A605BB">
        <w:t xml:space="preserve"> S., </w:t>
      </w:r>
      <w:r w:rsidRPr="00A605BB">
        <w:t>Tavares,</w:t>
      </w:r>
      <w:r w:rsidR="001D3D9B" w:rsidRPr="00A605BB">
        <w:t xml:space="preserve"> O., </w:t>
      </w:r>
      <w:r w:rsidRPr="00A605BB">
        <w:t>Sin,</w:t>
      </w:r>
      <w:r w:rsidR="001D3D9B" w:rsidRPr="00A605BB">
        <w:t xml:space="preserve"> C. and </w:t>
      </w:r>
      <w:r w:rsidRPr="00A605BB">
        <w:t xml:space="preserve"> Carvalho</w:t>
      </w:r>
      <w:r w:rsidR="001D3D9B" w:rsidRPr="00A605BB">
        <w:t>, T.</w:t>
      </w:r>
      <w:r w:rsidRPr="00A605BB">
        <w:t xml:space="preserve"> (Eds), </w:t>
      </w:r>
      <w:r w:rsidRPr="00A605BB">
        <w:rPr>
          <w:i/>
          <w:iCs/>
        </w:rPr>
        <w:t>Structural and Institutional Transformations in Doctoral Education: Social, Political and Student Expectations</w:t>
      </w:r>
      <w:r w:rsidR="001D3D9B" w:rsidRPr="00A605BB">
        <w:t xml:space="preserve">, </w:t>
      </w:r>
      <w:r w:rsidRPr="00A605BB">
        <w:t>Palgrave Macmillan</w:t>
      </w:r>
      <w:r w:rsidR="001D3D9B" w:rsidRPr="00A605BB">
        <w:t xml:space="preserve">, </w:t>
      </w:r>
      <w:r w:rsidR="001D3D9B" w:rsidRPr="00A605BB">
        <w:br/>
        <w:t>pp. 1-10</w:t>
      </w:r>
      <w:r w:rsidRPr="00A605BB">
        <w:t xml:space="preserve">. </w:t>
      </w:r>
      <w:proofErr w:type="spellStart"/>
      <w:r w:rsidRPr="00A605BB">
        <w:t>doi</w:t>
      </w:r>
      <w:proofErr w:type="spellEnd"/>
      <w:r w:rsidRPr="00A605BB">
        <w:t>: 10.1007/978-3-030-38046-5_1</w:t>
      </w:r>
    </w:p>
    <w:bookmarkEnd w:id="16"/>
    <w:p w14:paraId="77DDDAC2" w14:textId="77777777" w:rsidR="006054E7" w:rsidRPr="00A605BB" w:rsidRDefault="00C239D9" w:rsidP="006054E7">
      <w:pPr>
        <w:autoSpaceDE w:val="0"/>
        <w:autoSpaceDN w:val="0"/>
        <w:adjustRightInd w:val="0"/>
        <w:ind w:left="567" w:hanging="567"/>
        <w:jc w:val="both"/>
      </w:pPr>
      <w:r w:rsidRPr="00A605BB">
        <w:t xml:space="preserve">Smith, J. (2021), “Work placements”, available from </w:t>
      </w:r>
      <w:hyperlink r:id="rId15" w:history="1">
        <w:r w:rsidRPr="00A605BB">
          <w:rPr>
            <w:rStyle w:val="Hyperlink"/>
          </w:rPr>
          <w:t>https://www.prospects.ac.uk/jobs-and-work-experience/work-experience-and-internships/work-placements</w:t>
        </w:r>
      </w:hyperlink>
    </w:p>
    <w:p w14:paraId="66A525B9" w14:textId="4F01170B" w:rsidR="004F69B4" w:rsidRPr="00A605BB" w:rsidRDefault="004F69B4" w:rsidP="006054E7">
      <w:pPr>
        <w:autoSpaceDE w:val="0"/>
        <w:autoSpaceDN w:val="0"/>
        <w:adjustRightInd w:val="0"/>
        <w:ind w:left="567" w:hanging="567"/>
        <w:jc w:val="both"/>
      </w:pPr>
      <w:r w:rsidRPr="00A605BB">
        <w:t xml:space="preserve">St Clair-Thompson, H. and </w:t>
      </w:r>
      <w:proofErr w:type="spellStart"/>
      <w:r w:rsidRPr="00A605BB">
        <w:t>Chivers</w:t>
      </w:r>
      <w:proofErr w:type="spellEnd"/>
      <w:r w:rsidRPr="00A605BB">
        <w:t xml:space="preserve">, C. (2019), “Perceived advantages and disadvantages of taking a psychology professional placement year”, </w:t>
      </w:r>
      <w:r w:rsidRPr="00A605BB">
        <w:rPr>
          <w:i/>
          <w:iCs/>
        </w:rPr>
        <w:t>Higher Education, Skills, and Work-Based Learning</w:t>
      </w:r>
      <w:r w:rsidRPr="00A605BB">
        <w:t xml:space="preserve">, Vol. 9 No. 3, pp. 456-467. </w:t>
      </w:r>
    </w:p>
    <w:p w14:paraId="4D4B53A1" w14:textId="3FDB99B9" w:rsidR="004F69B4" w:rsidRPr="00A605BB" w:rsidRDefault="004F69B4" w:rsidP="004F69B4">
      <w:pPr>
        <w:autoSpaceDE w:val="0"/>
        <w:autoSpaceDN w:val="0"/>
        <w:adjustRightInd w:val="0"/>
        <w:ind w:left="567"/>
        <w:jc w:val="both"/>
        <w:rPr>
          <w:i/>
          <w:iCs/>
        </w:rPr>
      </w:pPr>
      <w:proofErr w:type="spellStart"/>
      <w:r w:rsidRPr="00A605BB">
        <w:t>doi</w:t>
      </w:r>
      <w:proofErr w:type="spellEnd"/>
      <w:r w:rsidRPr="00A605BB">
        <w:t>: 10.1108/HESWBL-06-2018-0065</w:t>
      </w:r>
    </w:p>
    <w:p w14:paraId="06308E2A" w14:textId="4E133A8D" w:rsidR="004F69B4" w:rsidRPr="00A605BB" w:rsidRDefault="004F69B4" w:rsidP="00EA55C9">
      <w:pPr>
        <w:autoSpaceDE w:val="0"/>
        <w:autoSpaceDN w:val="0"/>
        <w:adjustRightInd w:val="0"/>
        <w:ind w:left="567" w:hanging="567"/>
        <w:jc w:val="both"/>
      </w:pPr>
      <w:r w:rsidRPr="00A605BB">
        <w:t xml:space="preserve">Succi, C. and </w:t>
      </w:r>
      <w:proofErr w:type="spellStart"/>
      <w:r w:rsidRPr="00A605BB">
        <w:t>Canovi</w:t>
      </w:r>
      <w:proofErr w:type="spellEnd"/>
      <w:r w:rsidRPr="00A605BB">
        <w:t xml:space="preserve">, M. (2020), “Soft skills to enhance graduate employability: Comparing students and employers’ perceptions”, </w:t>
      </w:r>
      <w:r w:rsidRPr="00A605BB">
        <w:rPr>
          <w:i/>
          <w:iCs/>
        </w:rPr>
        <w:t>Studies in Higher Education</w:t>
      </w:r>
      <w:r w:rsidRPr="00A605BB">
        <w:t xml:space="preserve">, Vol. 45 No. 9, pp.1834-1847. </w:t>
      </w:r>
      <w:proofErr w:type="spellStart"/>
      <w:r w:rsidRPr="00A605BB">
        <w:t>doi</w:t>
      </w:r>
      <w:proofErr w:type="spellEnd"/>
      <w:r w:rsidRPr="00A605BB">
        <w:t>: 10.1080/03075079.2019.1585420</w:t>
      </w:r>
    </w:p>
    <w:p w14:paraId="46837B7D" w14:textId="118DEBE3" w:rsidR="004F69B4" w:rsidRPr="00A605BB" w:rsidRDefault="004F69B4" w:rsidP="00EA55C9">
      <w:pPr>
        <w:autoSpaceDE w:val="0"/>
        <w:autoSpaceDN w:val="0"/>
        <w:adjustRightInd w:val="0"/>
        <w:ind w:left="567" w:hanging="567"/>
        <w:jc w:val="both"/>
      </w:pPr>
      <w:r w:rsidRPr="00A605BB">
        <w:t xml:space="preserve">Teng, C.W.C, Lim, R.B.T., Chow, D.W.S., </w:t>
      </w:r>
      <w:proofErr w:type="spellStart"/>
      <w:r w:rsidRPr="00A605BB">
        <w:t>Narayanasamy</w:t>
      </w:r>
      <w:proofErr w:type="spellEnd"/>
      <w:r w:rsidRPr="00A605BB">
        <w:t xml:space="preserve">, S., </w:t>
      </w:r>
      <w:proofErr w:type="spellStart"/>
      <w:r w:rsidRPr="00A605BB">
        <w:t>Liow</w:t>
      </w:r>
      <w:proofErr w:type="spellEnd"/>
      <w:r w:rsidRPr="00A605BB">
        <w:t xml:space="preserve">, C.H and Lee, </w:t>
      </w:r>
      <w:r w:rsidRPr="00A605BB">
        <w:br/>
        <w:t xml:space="preserve">J.J-M. (2022), “Internships before and during COVID-19: Experiences and perceptions of undergraduate interns and supervisors”, </w:t>
      </w:r>
      <w:r w:rsidRPr="00A605BB">
        <w:rPr>
          <w:i/>
          <w:iCs/>
        </w:rPr>
        <w:t>Higher Education, Skills, and Work-Based Learning</w:t>
      </w:r>
      <w:r w:rsidRPr="00A605BB">
        <w:t xml:space="preserve">, Vol. 12 No. 3, pp. 459-474. </w:t>
      </w:r>
    </w:p>
    <w:p w14:paraId="6308E801" w14:textId="21BC0E76" w:rsidR="004F69B4" w:rsidRPr="00A605BB" w:rsidRDefault="004F69B4" w:rsidP="004F69B4">
      <w:pPr>
        <w:autoSpaceDE w:val="0"/>
        <w:autoSpaceDN w:val="0"/>
        <w:adjustRightInd w:val="0"/>
        <w:ind w:left="567"/>
        <w:jc w:val="both"/>
      </w:pPr>
      <w:proofErr w:type="spellStart"/>
      <w:r w:rsidRPr="00A605BB">
        <w:t>doi</w:t>
      </w:r>
      <w:proofErr w:type="spellEnd"/>
      <w:r w:rsidRPr="00A605BB">
        <w:t>: 10.1108/HESWBL-05-2021-0104</w:t>
      </w:r>
    </w:p>
    <w:p w14:paraId="2C0003F4" w14:textId="077D0A83" w:rsidR="00EA55C9" w:rsidRPr="00A605BB" w:rsidRDefault="00EA55C9" w:rsidP="00EA55C9">
      <w:pPr>
        <w:autoSpaceDE w:val="0"/>
        <w:autoSpaceDN w:val="0"/>
        <w:adjustRightInd w:val="0"/>
        <w:ind w:left="567" w:hanging="567"/>
        <w:jc w:val="both"/>
      </w:pPr>
      <w:r w:rsidRPr="00A605BB">
        <w:t xml:space="preserve">Tomlinson, M. (2017), “Forms of graduate capital and their relationship to graduate employability”, </w:t>
      </w:r>
      <w:r w:rsidRPr="00A605BB">
        <w:rPr>
          <w:i/>
          <w:iCs/>
        </w:rPr>
        <w:t>Education + Training</w:t>
      </w:r>
      <w:r w:rsidRPr="00A605BB">
        <w:t>, Vol. 59 No. 4, pp. 338-352.</w:t>
      </w:r>
    </w:p>
    <w:p w14:paraId="206B8DE2" w14:textId="77F19E99" w:rsidR="00EA55C9" w:rsidRPr="00A605BB" w:rsidRDefault="00EA55C9" w:rsidP="00EA55C9">
      <w:pPr>
        <w:autoSpaceDE w:val="0"/>
        <w:autoSpaceDN w:val="0"/>
        <w:adjustRightInd w:val="0"/>
        <w:ind w:left="567" w:hanging="567"/>
        <w:jc w:val="both"/>
      </w:pPr>
      <w:r w:rsidRPr="00A605BB">
        <w:t xml:space="preserve">Useem, M. and Karabel, J. (1986), “Pathways to top corporate management”, </w:t>
      </w:r>
      <w:r w:rsidRPr="00A605BB">
        <w:rPr>
          <w:i/>
          <w:iCs/>
        </w:rPr>
        <w:t>American Sociological Review</w:t>
      </w:r>
      <w:r w:rsidRPr="00A605BB">
        <w:t>, Vol. 51 No. 2, pp. 184-200.</w:t>
      </w:r>
    </w:p>
    <w:p w14:paraId="163F6B7A" w14:textId="0DCBF231" w:rsidR="00EA55C9" w:rsidRPr="00A605BB" w:rsidRDefault="00EA55C9" w:rsidP="00EA55C9">
      <w:pPr>
        <w:autoSpaceDE w:val="0"/>
        <w:autoSpaceDN w:val="0"/>
        <w:adjustRightInd w:val="0"/>
        <w:ind w:left="567" w:hanging="567"/>
        <w:jc w:val="both"/>
      </w:pPr>
      <w:r w:rsidRPr="00A605BB">
        <w:t xml:space="preserve">Van der Heijden, B.I.J.M. and De Vos, A. (2015), “Sustainable careers: introductory chapter”, in De Vos, A. and Van der Heijden, B.I.J.M. (Eds), </w:t>
      </w:r>
      <w:r w:rsidRPr="00A605BB">
        <w:rPr>
          <w:i/>
          <w:iCs/>
        </w:rPr>
        <w:t>Handbook of Research on Sustainable Careers</w:t>
      </w:r>
      <w:r w:rsidRPr="00A605BB">
        <w:t>, Edward Elgar Publishing, pp. 1-19</w:t>
      </w:r>
      <w:r w:rsidR="00585750" w:rsidRPr="00A605BB">
        <w:t>.</w:t>
      </w:r>
      <w:r w:rsidRPr="00A605BB">
        <w:t xml:space="preserve"> </w:t>
      </w:r>
    </w:p>
    <w:p w14:paraId="5811DE16" w14:textId="04AA446F" w:rsidR="002A50F9" w:rsidRPr="00A605BB" w:rsidRDefault="00EA55C9" w:rsidP="00D52626">
      <w:pPr>
        <w:autoSpaceDE w:val="0"/>
        <w:autoSpaceDN w:val="0"/>
        <w:adjustRightInd w:val="0"/>
        <w:ind w:left="567"/>
        <w:jc w:val="both"/>
      </w:pPr>
      <w:proofErr w:type="spellStart"/>
      <w:r w:rsidRPr="00A605BB">
        <w:lastRenderedPageBreak/>
        <w:t>doi</w:t>
      </w:r>
      <w:proofErr w:type="spellEnd"/>
      <w:r w:rsidRPr="00A605BB">
        <w:t>: 10.4337/9781782547037.00006</w:t>
      </w:r>
    </w:p>
    <w:p w14:paraId="7C460926" w14:textId="77777777" w:rsidR="002E75F9" w:rsidRPr="00A605BB" w:rsidRDefault="002E75F9" w:rsidP="002E75F9">
      <w:pPr>
        <w:autoSpaceDE w:val="0"/>
        <w:autoSpaceDN w:val="0"/>
        <w:adjustRightInd w:val="0"/>
        <w:ind w:left="567" w:hanging="567"/>
        <w:jc w:val="both"/>
      </w:pPr>
      <w:proofErr w:type="spellStart"/>
      <w:r w:rsidRPr="00A605BB">
        <w:t>Wehr</w:t>
      </w:r>
      <w:proofErr w:type="spellEnd"/>
      <w:r w:rsidRPr="00A605BB">
        <w:t xml:space="preserve">-Flowers, E. (2006). Differences between male and female students’ confidence, anxiety, and attitude toward learning jazz improvisation”, </w:t>
      </w:r>
      <w:r w:rsidRPr="00A605BB">
        <w:rPr>
          <w:i/>
          <w:iCs/>
        </w:rPr>
        <w:t>Journal of Research in Music Education</w:t>
      </w:r>
      <w:r w:rsidRPr="00A605BB">
        <w:t xml:space="preserve">, Vol. 54 No. 4, pp. 337-349. </w:t>
      </w:r>
      <w:proofErr w:type="spellStart"/>
      <w:r w:rsidRPr="00A605BB">
        <w:t>doi</w:t>
      </w:r>
      <w:proofErr w:type="spellEnd"/>
      <w:r w:rsidRPr="00A605BB">
        <w:t xml:space="preserve">: </w:t>
      </w:r>
      <w:hyperlink r:id="rId16" w:history="1">
        <w:r w:rsidRPr="00A605BB">
          <w:t>10.1177/002242940605400406</w:t>
        </w:r>
      </w:hyperlink>
    </w:p>
    <w:p w14:paraId="7A006595" w14:textId="77777777" w:rsidR="002E75F9" w:rsidRPr="00A605BB" w:rsidRDefault="002E75F9" w:rsidP="00D52626">
      <w:pPr>
        <w:autoSpaceDE w:val="0"/>
        <w:autoSpaceDN w:val="0"/>
        <w:adjustRightInd w:val="0"/>
        <w:ind w:left="567"/>
        <w:jc w:val="both"/>
      </w:pPr>
    </w:p>
    <w:p w14:paraId="4E8F2F88" w14:textId="77777777" w:rsidR="002A50F9" w:rsidRPr="00A605BB" w:rsidRDefault="002A50F9">
      <w:pPr>
        <w:spacing w:line="240" w:lineRule="auto"/>
      </w:pPr>
      <w:r w:rsidRPr="00A605BB">
        <w:br w:type="page"/>
      </w:r>
    </w:p>
    <w:p w14:paraId="088FCEE3" w14:textId="341D2C57" w:rsidR="002A50F9" w:rsidRPr="00A605BB" w:rsidRDefault="002A50F9" w:rsidP="002A50F9">
      <w:pPr>
        <w:spacing w:line="240" w:lineRule="auto"/>
        <w:rPr>
          <w:b/>
          <w:bCs/>
        </w:rPr>
      </w:pPr>
      <w:r w:rsidRPr="00A605BB">
        <w:rPr>
          <w:b/>
          <w:bCs/>
        </w:rPr>
        <w:lastRenderedPageBreak/>
        <w:t xml:space="preserve">Table 1. </w:t>
      </w:r>
    </w:p>
    <w:p w14:paraId="10007CDC" w14:textId="77777777" w:rsidR="002A50F9" w:rsidRPr="00A605BB" w:rsidRDefault="002A50F9" w:rsidP="002A50F9">
      <w:pPr>
        <w:spacing w:line="240" w:lineRule="auto"/>
        <w:rPr>
          <w:b/>
          <w:bCs/>
        </w:rPr>
      </w:pPr>
    </w:p>
    <w:p w14:paraId="7DC2C5B5" w14:textId="01D722FF" w:rsidR="002A50F9" w:rsidRPr="00A605BB" w:rsidRDefault="002A50F9" w:rsidP="002A50F9">
      <w:pPr>
        <w:spacing w:line="276" w:lineRule="auto"/>
      </w:pPr>
      <w:r w:rsidRPr="00A605BB">
        <w:t>The ‘Great Eight’ Competency Factors (</w:t>
      </w:r>
      <w:r w:rsidR="00E12C86" w:rsidRPr="00A605BB">
        <w:t>Bartram, 2005, p. 1187).</w:t>
      </w:r>
    </w:p>
    <w:p w14:paraId="35663AE6" w14:textId="2DEE4E1E" w:rsidR="00E12C86" w:rsidRPr="00A605BB" w:rsidRDefault="00E12C86" w:rsidP="002A50F9">
      <w:pPr>
        <w:spacing w:line="276" w:lineRule="auto"/>
      </w:pPr>
    </w:p>
    <w:tbl>
      <w:tblPr>
        <w:tblStyle w:val="TableGrid"/>
        <w:tblW w:w="0" w:type="auto"/>
        <w:tblLook w:val="04A0" w:firstRow="1" w:lastRow="0" w:firstColumn="1" w:lastColumn="0" w:noHBand="0" w:noVBand="1"/>
      </w:tblPr>
      <w:tblGrid>
        <w:gridCol w:w="523"/>
        <w:gridCol w:w="2874"/>
        <w:gridCol w:w="4863"/>
      </w:tblGrid>
      <w:tr w:rsidR="00E12C86" w:rsidRPr="00A605BB" w14:paraId="34E934CC" w14:textId="77777777" w:rsidTr="006D7477">
        <w:tc>
          <w:tcPr>
            <w:tcW w:w="523" w:type="dxa"/>
          </w:tcPr>
          <w:p w14:paraId="69476BD7" w14:textId="3BCBA91A" w:rsidR="00E12C86" w:rsidRPr="00A605BB" w:rsidRDefault="00E12C86" w:rsidP="006D7477">
            <w:pPr>
              <w:spacing w:line="240" w:lineRule="auto"/>
              <w:rPr>
                <w:rFonts w:ascii="Times New Roman" w:hAnsi="Times New Roman" w:cs="Times New Roman"/>
                <w:b/>
                <w:bCs/>
                <w:sz w:val="22"/>
                <w:szCs w:val="22"/>
              </w:rPr>
            </w:pPr>
            <w:r w:rsidRPr="00A605BB">
              <w:rPr>
                <w:rFonts w:ascii="Times New Roman" w:hAnsi="Times New Roman" w:cs="Times New Roman"/>
                <w:b/>
                <w:bCs/>
                <w:sz w:val="22"/>
                <w:szCs w:val="22"/>
              </w:rPr>
              <w:t>ID</w:t>
            </w:r>
          </w:p>
        </w:tc>
        <w:tc>
          <w:tcPr>
            <w:tcW w:w="2874" w:type="dxa"/>
          </w:tcPr>
          <w:p w14:paraId="3FFAEF72" w14:textId="6D8DF5B5" w:rsidR="00E12C86" w:rsidRPr="00A605BB" w:rsidRDefault="00E12C86" w:rsidP="006D7477">
            <w:pPr>
              <w:spacing w:line="240" w:lineRule="auto"/>
              <w:rPr>
                <w:rFonts w:ascii="Times New Roman" w:hAnsi="Times New Roman" w:cs="Times New Roman"/>
                <w:b/>
                <w:bCs/>
                <w:sz w:val="22"/>
                <w:szCs w:val="22"/>
              </w:rPr>
            </w:pPr>
            <w:r w:rsidRPr="00A605BB">
              <w:rPr>
                <w:rFonts w:ascii="Times New Roman" w:hAnsi="Times New Roman" w:cs="Times New Roman"/>
                <w:b/>
                <w:bCs/>
                <w:sz w:val="22"/>
                <w:szCs w:val="22"/>
              </w:rPr>
              <w:t>Competency Domain</w:t>
            </w:r>
          </w:p>
        </w:tc>
        <w:tc>
          <w:tcPr>
            <w:tcW w:w="4863" w:type="dxa"/>
          </w:tcPr>
          <w:p w14:paraId="18C0BB96" w14:textId="2E59E325" w:rsidR="00E12C86" w:rsidRPr="00A605BB" w:rsidRDefault="00E12C86" w:rsidP="006D7477">
            <w:pPr>
              <w:spacing w:line="240" w:lineRule="auto"/>
              <w:rPr>
                <w:rFonts w:ascii="Times New Roman" w:hAnsi="Times New Roman" w:cs="Times New Roman"/>
                <w:b/>
                <w:bCs/>
                <w:sz w:val="22"/>
                <w:szCs w:val="22"/>
              </w:rPr>
            </w:pPr>
            <w:r w:rsidRPr="00A605BB">
              <w:rPr>
                <w:rFonts w:ascii="Times New Roman" w:hAnsi="Times New Roman" w:cs="Times New Roman"/>
                <w:b/>
                <w:bCs/>
                <w:sz w:val="22"/>
                <w:szCs w:val="22"/>
              </w:rPr>
              <w:t>Competency Domain Definition</w:t>
            </w:r>
          </w:p>
        </w:tc>
      </w:tr>
      <w:tr w:rsidR="00E12C86" w:rsidRPr="00A605BB" w14:paraId="16902D00" w14:textId="77777777" w:rsidTr="006D7477">
        <w:tc>
          <w:tcPr>
            <w:tcW w:w="523" w:type="dxa"/>
          </w:tcPr>
          <w:p w14:paraId="688647C4" w14:textId="0F2317A0" w:rsidR="00E12C86" w:rsidRPr="00A605BB" w:rsidRDefault="00E12C86" w:rsidP="006D7477">
            <w:pPr>
              <w:spacing w:line="240" w:lineRule="auto"/>
              <w:rPr>
                <w:rFonts w:ascii="Times New Roman" w:hAnsi="Times New Roman" w:cs="Times New Roman"/>
                <w:sz w:val="22"/>
                <w:szCs w:val="22"/>
              </w:rPr>
            </w:pPr>
            <w:r w:rsidRPr="00A605BB">
              <w:rPr>
                <w:rFonts w:ascii="Times New Roman" w:hAnsi="Times New Roman" w:cs="Times New Roman"/>
                <w:sz w:val="22"/>
                <w:szCs w:val="22"/>
              </w:rPr>
              <w:t>1</w:t>
            </w:r>
          </w:p>
        </w:tc>
        <w:tc>
          <w:tcPr>
            <w:tcW w:w="2874" w:type="dxa"/>
          </w:tcPr>
          <w:p w14:paraId="719B3EA3" w14:textId="740114C2" w:rsidR="00E12C86" w:rsidRPr="00A605BB" w:rsidRDefault="00E12C86" w:rsidP="006D7477">
            <w:pPr>
              <w:spacing w:line="240" w:lineRule="auto"/>
              <w:rPr>
                <w:rFonts w:ascii="Times New Roman" w:hAnsi="Times New Roman" w:cs="Times New Roman"/>
                <w:sz w:val="22"/>
                <w:szCs w:val="22"/>
              </w:rPr>
            </w:pPr>
            <w:r w:rsidRPr="00A605BB">
              <w:rPr>
                <w:rFonts w:ascii="Times New Roman" w:hAnsi="Times New Roman" w:cs="Times New Roman"/>
                <w:sz w:val="22"/>
                <w:szCs w:val="22"/>
              </w:rPr>
              <w:t>Leading and deciding</w:t>
            </w:r>
          </w:p>
        </w:tc>
        <w:tc>
          <w:tcPr>
            <w:tcW w:w="4863" w:type="dxa"/>
          </w:tcPr>
          <w:p w14:paraId="6BBEECD2" w14:textId="1100A8EC" w:rsidR="00E12C86" w:rsidRPr="00A605BB" w:rsidRDefault="00012F2E" w:rsidP="006D7477">
            <w:pPr>
              <w:spacing w:line="240" w:lineRule="auto"/>
              <w:rPr>
                <w:rFonts w:ascii="Times New Roman" w:hAnsi="Times New Roman" w:cs="Times New Roman"/>
                <w:sz w:val="22"/>
                <w:szCs w:val="22"/>
              </w:rPr>
            </w:pPr>
            <w:r w:rsidRPr="00A605BB">
              <w:rPr>
                <w:rFonts w:ascii="Times New Roman" w:hAnsi="Times New Roman" w:cs="Times New Roman"/>
                <w:sz w:val="22"/>
                <w:szCs w:val="22"/>
                <w:shd w:val="clear" w:color="auto" w:fill="FFFFFF"/>
              </w:rPr>
              <w:t>Takes control and exercises leadership. Initiates action, gives direction, and takes responsibility.</w:t>
            </w:r>
          </w:p>
        </w:tc>
      </w:tr>
      <w:tr w:rsidR="00E12C86" w:rsidRPr="00A605BB" w14:paraId="6A6A0AA2" w14:textId="77777777" w:rsidTr="006D7477">
        <w:tc>
          <w:tcPr>
            <w:tcW w:w="523" w:type="dxa"/>
          </w:tcPr>
          <w:p w14:paraId="6E62C13F" w14:textId="504E0C0C" w:rsidR="00E12C86" w:rsidRPr="00A605BB" w:rsidRDefault="00E12C86" w:rsidP="006D7477">
            <w:pPr>
              <w:spacing w:line="240" w:lineRule="auto"/>
              <w:rPr>
                <w:rFonts w:ascii="Times New Roman" w:hAnsi="Times New Roman" w:cs="Times New Roman"/>
                <w:sz w:val="22"/>
                <w:szCs w:val="22"/>
              </w:rPr>
            </w:pPr>
            <w:r w:rsidRPr="00A605BB">
              <w:rPr>
                <w:rFonts w:ascii="Times New Roman" w:hAnsi="Times New Roman" w:cs="Times New Roman"/>
                <w:sz w:val="22"/>
                <w:szCs w:val="22"/>
              </w:rPr>
              <w:t>2</w:t>
            </w:r>
          </w:p>
        </w:tc>
        <w:tc>
          <w:tcPr>
            <w:tcW w:w="2874" w:type="dxa"/>
          </w:tcPr>
          <w:p w14:paraId="27D83611" w14:textId="027C1C9F" w:rsidR="00E12C86" w:rsidRPr="00A605BB" w:rsidRDefault="00E12C86" w:rsidP="006D7477">
            <w:pPr>
              <w:spacing w:line="240" w:lineRule="auto"/>
              <w:rPr>
                <w:rFonts w:ascii="Times New Roman" w:hAnsi="Times New Roman" w:cs="Times New Roman"/>
                <w:sz w:val="22"/>
                <w:szCs w:val="22"/>
              </w:rPr>
            </w:pPr>
            <w:r w:rsidRPr="00A605BB">
              <w:rPr>
                <w:rFonts w:ascii="Times New Roman" w:hAnsi="Times New Roman" w:cs="Times New Roman"/>
                <w:sz w:val="22"/>
                <w:szCs w:val="22"/>
              </w:rPr>
              <w:t>Supporting and cooperating</w:t>
            </w:r>
          </w:p>
        </w:tc>
        <w:tc>
          <w:tcPr>
            <w:tcW w:w="4863" w:type="dxa"/>
          </w:tcPr>
          <w:p w14:paraId="2C9EFD59" w14:textId="145A9007" w:rsidR="00E12C86" w:rsidRPr="00A605BB" w:rsidRDefault="00012F2E" w:rsidP="006D7477">
            <w:pPr>
              <w:spacing w:line="240" w:lineRule="auto"/>
              <w:rPr>
                <w:rFonts w:ascii="Times New Roman" w:hAnsi="Times New Roman" w:cs="Times New Roman"/>
                <w:sz w:val="22"/>
                <w:szCs w:val="22"/>
              </w:rPr>
            </w:pPr>
            <w:r w:rsidRPr="00A605BB">
              <w:rPr>
                <w:rFonts w:ascii="Times New Roman" w:hAnsi="Times New Roman" w:cs="Times New Roman"/>
                <w:sz w:val="22"/>
                <w:szCs w:val="22"/>
              </w:rPr>
              <w:t>Supports others and shows respect and positive regard for them in social situations. Puts people first, working effectively with individuals and teams, clients, and staff. Behaves consistently with clear personal values that complement those of the organi</w:t>
            </w:r>
            <w:r w:rsidR="006D7477" w:rsidRPr="00A605BB">
              <w:rPr>
                <w:rFonts w:ascii="Times New Roman" w:hAnsi="Times New Roman" w:cs="Times New Roman"/>
                <w:sz w:val="22"/>
                <w:szCs w:val="22"/>
              </w:rPr>
              <w:t>s</w:t>
            </w:r>
            <w:r w:rsidRPr="00A605BB">
              <w:rPr>
                <w:rFonts w:ascii="Times New Roman" w:hAnsi="Times New Roman" w:cs="Times New Roman"/>
                <w:sz w:val="22"/>
                <w:szCs w:val="22"/>
              </w:rPr>
              <w:t>ation.</w:t>
            </w:r>
          </w:p>
        </w:tc>
      </w:tr>
      <w:tr w:rsidR="00E12C86" w:rsidRPr="00A605BB" w14:paraId="3832AB1A" w14:textId="77777777" w:rsidTr="006D7477">
        <w:tc>
          <w:tcPr>
            <w:tcW w:w="523" w:type="dxa"/>
          </w:tcPr>
          <w:p w14:paraId="5899C153" w14:textId="5D3107AB" w:rsidR="00E12C86" w:rsidRPr="00A605BB" w:rsidRDefault="00E12C86" w:rsidP="006D7477">
            <w:pPr>
              <w:spacing w:line="240" w:lineRule="auto"/>
              <w:rPr>
                <w:rFonts w:ascii="Times New Roman" w:hAnsi="Times New Roman" w:cs="Times New Roman"/>
                <w:sz w:val="22"/>
                <w:szCs w:val="22"/>
              </w:rPr>
            </w:pPr>
            <w:r w:rsidRPr="00A605BB">
              <w:rPr>
                <w:rFonts w:ascii="Times New Roman" w:hAnsi="Times New Roman" w:cs="Times New Roman"/>
                <w:sz w:val="22"/>
                <w:szCs w:val="22"/>
              </w:rPr>
              <w:t>3</w:t>
            </w:r>
          </w:p>
        </w:tc>
        <w:tc>
          <w:tcPr>
            <w:tcW w:w="2874" w:type="dxa"/>
          </w:tcPr>
          <w:p w14:paraId="1D595220" w14:textId="5D9C84A6" w:rsidR="00E12C86" w:rsidRPr="00A605BB" w:rsidRDefault="00E12C86" w:rsidP="006D7477">
            <w:pPr>
              <w:spacing w:line="240" w:lineRule="auto"/>
              <w:rPr>
                <w:rFonts w:ascii="Times New Roman" w:hAnsi="Times New Roman" w:cs="Times New Roman"/>
                <w:sz w:val="22"/>
                <w:szCs w:val="22"/>
              </w:rPr>
            </w:pPr>
            <w:r w:rsidRPr="00A605BB">
              <w:rPr>
                <w:rFonts w:ascii="Times New Roman" w:hAnsi="Times New Roman" w:cs="Times New Roman"/>
                <w:sz w:val="22"/>
                <w:szCs w:val="22"/>
              </w:rPr>
              <w:t>Interacting and presenting</w:t>
            </w:r>
          </w:p>
        </w:tc>
        <w:tc>
          <w:tcPr>
            <w:tcW w:w="4863" w:type="dxa"/>
          </w:tcPr>
          <w:p w14:paraId="06B06581" w14:textId="71540959" w:rsidR="00E12C86" w:rsidRPr="00A605BB" w:rsidRDefault="006D7477" w:rsidP="006D7477">
            <w:pPr>
              <w:spacing w:line="240" w:lineRule="auto"/>
              <w:rPr>
                <w:rFonts w:ascii="Times New Roman" w:hAnsi="Times New Roman" w:cs="Times New Roman"/>
                <w:sz w:val="22"/>
                <w:szCs w:val="22"/>
              </w:rPr>
            </w:pPr>
            <w:r w:rsidRPr="00A605BB">
              <w:rPr>
                <w:rFonts w:ascii="Times New Roman" w:hAnsi="Times New Roman" w:cs="Times New Roman"/>
                <w:sz w:val="22"/>
                <w:szCs w:val="22"/>
                <w:shd w:val="clear" w:color="auto" w:fill="FFFFFF"/>
              </w:rPr>
              <w:t>Communicates and networks effectively. Successfully persuades and influences others. Relates to others in a confident, relaxed manner.</w:t>
            </w:r>
          </w:p>
        </w:tc>
      </w:tr>
      <w:tr w:rsidR="00E12C86" w:rsidRPr="00A605BB" w14:paraId="78A9C665" w14:textId="77777777" w:rsidTr="006D7477">
        <w:tc>
          <w:tcPr>
            <w:tcW w:w="523" w:type="dxa"/>
          </w:tcPr>
          <w:p w14:paraId="49147CEF" w14:textId="3D0006C2" w:rsidR="00E12C86" w:rsidRPr="00A605BB" w:rsidRDefault="00E12C86" w:rsidP="006D7477">
            <w:pPr>
              <w:spacing w:line="240" w:lineRule="auto"/>
              <w:rPr>
                <w:rFonts w:ascii="Times New Roman" w:hAnsi="Times New Roman" w:cs="Times New Roman"/>
                <w:sz w:val="22"/>
                <w:szCs w:val="22"/>
              </w:rPr>
            </w:pPr>
            <w:r w:rsidRPr="00A605BB">
              <w:rPr>
                <w:rFonts w:ascii="Times New Roman" w:hAnsi="Times New Roman" w:cs="Times New Roman"/>
                <w:sz w:val="22"/>
                <w:szCs w:val="22"/>
              </w:rPr>
              <w:t>4</w:t>
            </w:r>
          </w:p>
        </w:tc>
        <w:tc>
          <w:tcPr>
            <w:tcW w:w="2874" w:type="dxa"/>
          </w:tcPr>
          <w:p w14:paraId="74084BC5" w14:textId="1D9A7202" w:rsidR="00E12C86" w:rsidRPr="00A605BB" w:rsidRDefault="00E12C86" w:rsidP="006D7477">
            <w:pPr>
              <w:spacing w:line="240" w:lineRule="auto"/>
              <w:rPr>
                <w:rFonts w:ascii="Times New Roman" w:hAnsi="Times New Roman" w:cs="Times New Roman"/>
                <w:sz w:val="22"/>
                <w:szCs w:val="22"/>
              </w:rPr>
            </w:pPr>
            <w:r w:rsidRPr="00A605BB">
              <w:rPr>
                <w:rFonts w:ascii="Times New Roman" w:hAnsi="Times New Roman" w:cs="Times New Roman"/>
                <w:sz w:val="22"/>
                <w:szCs w:val="22"/>
              </w:rPr>
              <w:t>Analysis and interpreting</w:t>
            </w:r>
          </w:p>
        </w:tc>
        <w:tc>
          <w:tcPr>
            <w:tcW w:w="4863" w:type="dxa"/>
          </w:tcPr>
          <w:p w14:paraId="7D4FC79D" w14:textId="4E472BF6" w:rsidR="00E12C86" w:rsidRPr="00A605BB" w:rsidRDefault="006D7477" w:rsidP="006D7477">
            <w:pPr>
              <w:spacing w:line="240" w:lineRule="auto"/>
              <w:rPr>
                <w:rFonts w:ascii="Times New Roman" w:hAnsi="Times New Roman" w:cs="Times New Roman"/>
                <w:sz w:val="22"/>
                <w:szCs w:val="22"/>
              </w:rPr>
            </w:pPr>
            <w:r w:rsidRPr="00A605BB">
              <w:rPr>
                <w:rFonts w:ascii="Times New Roman" w:hAnsi="Times New Roman" w:cs="Times New Roman"/>
                <w:sz w:val="22"/>
                <w:szCs w:val="22"/>
              </w:rPr>
              <w:t>Shows evidence of clear analytical thinking. Gets to the heart of complex problems and issues. Applies own expertise effectively. Quickly takes on new technology. Communicates well in writing.</w:t>
            </w:r>
          </w:p>
        </w:tc>
      </w:tr>
      <w:tr w:rsidR="00E12C86" w:rsidRPr="00A605BB" w14:paraId="063E3FD6" w14:textId="77777777" w:rsidTr="006D7477">
        <w:tc>
          <w:tcPr>
            <w:tcW w:w="523" w:type="dxa"/>
          </w:tcPr>
          <w:p w14:paraId="3AD3BC5E" w14:textId="45101FEF" w:rsidR="00E12C86" w:rsidRPr="00A605BB" w:rsidRDefault="00E12C86" w:rsidP="006D7477">
            <w:pPr>
              <w:spacing w:line="240" w:lineRule="auto"/>
              <w:rPr>
                <w:rFonts w:ascii="Times New Roman" w:hAnsi="Times New Roman" w:cs="Times New Roman"/>
                <w:sz w:val="22"/>
                <w:szCs w:val="22"/>
              </w:rPr>
            </w:pPr>
            <w:r w:rsidRPr="00A605BB">
              <w:rPr>
                <w:rFonts w:ascii="Times New Roman" w:hAnsi="Times New Roman" w:cs="Times New Roman"/>
                <w:sz w:val="22"/>
                <w:szCs w:val="22"/>
              </w:rPr>
              <w:t>5</w:t>
            </w:r>
          </w:p>
        </w:tc>
        <w:tc>
          <w:tcPr>
            <w:tcW w:w="2874" w:type="dxa"/>
          </w:tcPr>
          <w:p w14:paraId="6734C884" w14:textId="3209BE3B" w:rsidR="00E12C86" w:rsidRPr="00A605BB" w:rsidRDefault="00E12C86" w:rsidP="006D7477">
            <w:pPr>
              <w:spacing w:line="240" w:lineRule="auto"/>
              <w:rPr>
                <w:rFonts w:ascii="Times New Roman" w:hAnsi="Times New Roman" w:cs="Times New Roman"/>
                <w:sz w:val="22"/>
                <w:szCs w:val="22"/>
              </w:rPr>
            </w:pPr>
            <w:r w:rsidRPr="00A605BB">
              <w:rPr>
                <w:rFonts w:ascii="Times New Roman" w:hAnsi="Times New Roman" w:cs="Times New Roman"/>
                <w:sz w:val="22"/>
                <w:szCs w:val="22"/>
              </w:rPr>
              <w:t>Creating and conceptualising</w:t>
            </w:r>
          </w:p>
        </w:tc>
        <w:tc>
          <w:tcPr>
            <w:tcW w:w="4863" w:type="dxa"/>
          </w:tcPr>
          <w:p w14:paraId="6EFD4B4A" w14:textId="5F32A79E" w:rsidR="00E12C86" w:rsidRPr="00A605BB" w:rsidRDefault="006D7477" w:rsidP="006D7477">
            <w:pPr>
              <w:spacing w:line="240" w:lineRule="auto"/>
              <w:rPr>
                <w:rFonts w:ascii="Times New Roman" w:hAnsi="Times New Roman" w:cs="Times New Roman"/>
                <w:sz w:val="22"/>
                <w:szCs w:val="22"/>
              </w:rPr>
            </w:pPr>
            <w:r w:rsidRPr="00A605BB">
              <w:rPr>
                <w:rFonts w:ascii="Times New Roman" w:hAnsi="Times New Roman" w:cs="Times New Roman"/>
                <w:sz w:val="22"/>
                <w:szCs w:val="22"/>
              </w:rPr>
              <w:t>Works well in situations requiring openness to new ideas and experiences. Seeks out learning opportunities. Handles situations and problems with innovation and creativity. Thinks broadly and strategically. Supports and drives organi</w:t>
            </w:r>
            <w:r w:rsidR="009453E8" w:rsidRPr="00A605BB">
              <w:rPr>
                <w:rFonts w:ascii="Times New Roman" w:hAnsi="Times New Roman" w:cs="Times New Roman"/>
                <w:sz w:val="22"/>
                <w:szCs w:val="22"/>
              </w:rPr>
              <w:t>s</w:t>
            </w:r>
            <w:r w:rsidRPr="00A605BB">
              <w:rPr>
                <w:rFonts w:ascii="Times New Roman" w:hAnsi="Times New Roman" w:cs="Times New Roman"/>
                <w:sz w:val="22"/>
                <w:szCs w:val="22"/>
              </w:rPr>
              <w:t>ational change.</w:t>
            </w:r>
          </w:p>
        </w:tc>
      </w:tr>
      <w:tr w:rsidR="00E12C86" w:rsidRPr="00A605BB" w14:paraId="13DEBEC5" w14:textId="77777777" w:rsidTr="006D7477">
        <w:tc>
          <w:tcPr>
            <w:tcW w:w="523" w:type="dxa"/>
          </w:tcPr>
          <w:p w14:paraId="3A4C4167" w14:textId="16A5FD67" w:rsidR="00E12C86" w:rsidRPr="00A605BB" w:rsidRDefault="00E12C86" w:rsidP="006D7477">
            <w:pPr>
              <w:spacing w:line="240" w:lineRule="auto"/>
              <w:rPr>
                <w:rFonts w:ascii="Times New Roman" w:hAnsi="Times New Roman" w:cs="Times New Roman"/>
                <w:sz w:val="22"/>
                <w:szCs w:val="22"/>
              </w:rPr>
            </w:pPr>
            <w:r w:rsidRPr="00A605BB">
              <w:rPr>
                <w:rFonts w:ascii="Times New Roman" w:hAnsi="Times New Roman" w:cs="Times New Roman"/>
                <w:sz w:val="22"/>
                <w:szCs w:val="22"/>
              </w:rPr>
              <w:t>6</w:t>
            </w:r>
          </w:p>
        </w:tc>
        <w:tc>
          <w:tcPr>
            <w:tcW w:w="2874" w:type="dxa"/>
          </w:tcPr>
          <w:p w14:paraId="2DCBE197" w14:textId="67EE414E" w:rsidR="00E12C86" w:rsidRPr="00A605BB" w:rsidRDefault="00E12C86" w:rsidP="006D7477">
            <w:pPr>
              <w:spacing w:line="240" w:lineRule="auto"/>
              <w:rPr>
                <w:rFonts w:ascii="Times New Roman" w:hAnsi="Times New Roman" w:cs="Times New Roman"/>
                <w:sz w:val="22"/>
                <w:szCs w:val="22"/>
              </w:rPr>
            </w:pPr>
            <w:r w:rsidRPr="00A605BB">
              <w:rPr>
                <w:rFonts w:ascii="Times New Roman" w:hAnsi="Times New Roman" w:cs="Times New Roman"/>
                <w:sz w:val="22"/>
                <w:szCs w:val="22"/>
              </w:rPr>
              <w:t>Organising and execution</w:t>
            </w:r>
          </w:p>
        </w:tc>
        <w:tc>
          <w:tcPr>
            <w:tcW w:w="4863" w:type="dxa"/>
          </w:tcPr>
          <w:p w14:paraId="019A348D" w14:textId="211338B9" w:rsidR="00E12C86" w:rsidRPr="00A605BB" w:rsidRDefault="006D7477" w:rsidP="006D7477">
            <w:pPr>
              <w:spacing w:line="240" w:lineRule="auto"/>
              <w:rPr>
                <w:rFonts w:ascii="Times New Roman" w:hAnsi="Times New Roman" w:cs="Times New Roman"/>
                <w:sz w:val="22"/>
                <w:szCs w:val="22"/>
              </w:rPr>
            </w:pPr>
            <w:proofErr w:type="gramStart"/>
            <w:r w:rsidRPr="00A605BB">
              <w:rPr>
                <w:rFonts w:ascii="Times New Roman" w:hAnsi="Times New Roman" w:cs="Times New Roman"/>
                <w:sz w:val="22"/>
                <w:szCs w:val="22"/>
              </w:rPr>
              <w:t>Plans ahead</w:t>
            </w:r>
            <w:proofErr w:type="gramEnd"/>
            <w:r w:rsidRPr="00A605BB">
              <w:rPr>
                <w:rFonts w:ascii="Times New Roman" w:hAnsi="Times New Roman" w:cs="Times New Roman"/>
                <w:sz w:val="22"/>
                <w:szCs w:val="22"/>
              </w:rPr>
              <w:t xml:space="preserve"> and works in a systematic and organi</w:t>
            </w:r>
            <w:r w:rsidR="009453E8" w:rsidRPr="00A605BB">
              <w:rPr>
                <w:rFonts w:ascii="Times New Roman" w:hAnsi="Times New Roman" w:cs="Times New Roman"/>
                <w:sz w:val="22"/>
                <w:szCs w:val="22"/>
              </w:rPr>
              <w:t>s</w:t>
            </w:r>
            <w:r w:rsidRPr="00A605BB">
              <w:rPr>
                <w:rFonts w:ascii="Times New Roman" w:hAnsi="Times New Roman" w:cs="Times New Roman"/>
                <w:sz w:val="22"/>
                <w:szCs w:val="22"/>
              </w:rPr>
              <w:t xml:space="preserve">ed way. Follows directions and procedures. Focuses on customer satisfaction and delivers a quality service or product to the agreed standards. </w:t>
            </w:r>
          </w:p>
        </w:tc>
      </w:tr>
      <w:tr w:rsidR="00E12C86" w:rsidRPr="00A605BB" w14:paraId="3A547452" w14:textId="77777777" w:rsidTr="006D7477">
        <w:tc>
          <w:tcPr>
            <w:tcW w:w="523" w:type="dxa"/>
          </w:tcPr>
          <w:p w14:paraId="34634DF0" w14:textId="78F70945" w:rsidR="00E12C86" w:rsidRPr="00A605BB" w:rsidRDefault="00E12C86" w:rsidP="006D7477">
            <w:pPr>
              <w:spacing w:line="240" w:lineRule="auto"/>
              <w:rPr>
                <w:rFonts w:ascii="Times New Roman" w:hAnsi="Times New Roman" w:cs="Times New Roman"/>
                <w:sz w:val="22"/>
                <w:szCs w:val="22"/>
              </w:rPr>
            </w:pPr>
            <w:r w:rsidRPr="00A605BB">
              <w:rPr>
                <w:rFonts w:ascii="Times New Roman" w:hAnsi="Times New Roman" w:cs="Times New Roman"/>
                <w:sz w:val="22"/>
                <w:szCs w:val="22"/>
              </w:rPr>
              <w:t>7</w:t>
            </w:r>
          </w:p>
        </w:tc>
        <w:tc>
          <w:tcPr>
            <w:tcW w:w="2874" w:type="dxa"/>
          </w:tcPr>
          <w:p w14:paraId="663A4BA1" w14:textId="1A75CDC2" w:rsidR="00E12C86" w:rsidRPr="00A605BB" w:rsidRDefault="00E12C86" w:rsidP="006D7477">
            <w:pPr>
              <w:spacing w:line="240" w:lineRule="auto"/>
              <w:rPr>
                <w:rFonts w:ascii="Times New Roman" w:hAnsi="Times New Roman" w:cs="Times New Roman"/>
                <w:sz w:val="22"/>
                <w:szCs w:val="22"/>
              </w:rPr>
            </w:pPr>
            <w:r w:rsidRPr="00A605BB">
              <w:rPr>
                <w:rFonts w:ascii="Times New Roman" w:hAnsi="Times New Roman" w:cs="Times New Roman"/>
                <w:sz w:val="22"/>
                <w:szCs w:val="22"/>
              </w:rPr>
              <w:t>Adapting and coping</w:t>
            </w:r>
          </w:p>
        </w:tc>
        <w:tc>
          <w:tcPr>
            <w:tcW w:w="4863" w:type="dxa"/>
          </w:tcPr>
          <w:p w14:paraId="65745101" w14:textId="77A48D02" w:rsidR="00E12C86" w:rsidRPr="00A605BB" w:rsidRDefault="006D7477" w:rsidP="006D7477">
            <w:pPr>
              <w:spacing w:line="240" w:lineRule="auto"/>
              <w:rPr>
                <w:rFonts w:ascii="Times New Roman" w:hAnsi="Times New Roman" w:cs="Times New Roman"/>
                <w:sz w:val="22"/>
                <w:szCs w:val="22"/>
              </w:rPr>
            </w:pPr>
            <w:r w:rsidRPr="00A605BB">
              <w:rPr>
                <w:rFonts w:ascii="Times New Roman" w:hAnsi="Times New Roman" w:cs="Times New Roman"/>
                <w:sz w:val="22"/>
                <w:szCs w:val="22"/>
                <w:shd w:val="clear" w:color="auto" w:fill="FFFFFF"/>
              </w:rPr>
              <w:t>Adapts and responds well to change. Manages pressure effectively and copes well with setbacks.</w:t>
            </w:r>
          </w:p>
        </w:tc>
      </w:tr>
      <w:tr w:rsidR="00E12C86" w:rsidRPr="00A605BB" w14:paraId="29021242" w14:textId="77777777" w:rsidTr="006D7477">
        <w:tc>
          <w:tcPr>
            <w:tcW w:w="523" w:type="dxa"/>
          </w:tcPr>
          <w:p w14:paraId="2049D896" w14:textId="382B8664" w:rsidR="00E12C86" w:rsidRPr="00A605BB" w:rsidRDefault="00E12C86" w:rsidP="006D7477">
            <w:pPr>
              <w:spacing w:line="240" w:lineRule="auto"/>
              <w:rPr>
                <w:rFonts w:ascii="Times New Roman" w:hAnsi="Times New Roman" w:cs="Times New Roman"/>
                <w:sz w:val="22"/>
                <w:szCs w:val="22"/>
              </w:rPr>
            </w:pPr>
            <w:r w:rsidRPr="00A605BB">
              <w:rPr>
                <w:rFonts w:ascii="Times New Roman" w:hAnsi="Times New Roman" w:cs="Times New Roman"/>
                <w:sz w:val="22"/>
                <w:szCs w:val="22"/>
              </w:rPr>
              <w:t>8</w:t>
            </w:r>
          </w:p>
        </w:tc>
        <w:tc>
          <w:tcPr>
            <w:tcW w:w="2874" w:type="dxa"/>
          </w:tcPr>
          <w:p w14:paraId="1A51C0E2" w14:textId="60B1CE72" w:rsidR="00E12C86" w:rsidRPr="00A605BB" w:rsidRDefault="00E12C86" w:rsidP="006D7477">
            <w:pPr>
              <w:spacing w:line="240" w:lineRule="auto"/>
              <w:rPr>
                <w:rFonts w:ascii="Times New Roman" w:hAnsi="Times New Roman" w:cs="Times New Roman"/>
                <w:sz w:val="22"/>
                <w:szCs w:val="22"/>
              </w:rPr>
            </w:pPr>
            <w:r w:rsidRPr="00A605BB">
              <w:rPr>
                <w:rFonts w:ascii="Times New Roman" w:hAnsi="Times New Roman" w:cs="Times New Roman"/>
                <w:sz w:val="22"/>
                <w:szCs w:val="22"/>
              </w:rPr>
              <w:t>Enterprising and performance</w:t>
            </w:r>
          </w:p>
        </w:tc>
        <w:tc>
          <w:tcPr>
            <w:tcW w:w="4863" w:type="dxa"/>
          </w:tcPr>
          <w:p w14:paraId="4D614E34" w14:textId="6A9A9EA1" w:rsidR="00E12C86" w:rsidRPr="00A605BB" w:rsidRDefault="006D7477" w:rsidP="006D7477">
            <w:pPr>
              <w:spacing w:line="240" w:lineRule="auto"/>
              <w:rPr>
                <w:rFonts w:ascii="Times New Roman" w:hAnsi="Times New Roman" w:cs="Times New Roman"/>
                <w:sz w:val="22"/>
                <w:szCs w:val="22"/>
              </w:rPr>
            </w:pPr>
            <w:r w:rsidRPr="00A605BB">
              <w:rPr>
                <w:rFonts w:ascii="Times New Roman" w:hAnsi="Times New Roman" w:cs="Times New Roman"/>
                <w:sz w:val="22"/>
                <w:szCs w:val="22"/>
              </w:rPr>
              <w:t>Focuses on results and achieving personal work objectives. Works best when work is related closely to results and the impact of personal efforts is obvious. Shows an understanding of business, commerce, and finance. Seeks opportunities for self-development and career advancement.</w:t>
            </w:r>
          </w:p>
        </w:tc>
      </w:tr>
    </w:tbl>
    <w:p w14:paraId="68890A90" w14:textId="615D2E0A" w:rsidR="002A50F9" w:rsidRPr="00A605BB" w:rsidRDefault="002A50F9">
      <w:pPr>
        <w:spacing w:line="240" w:lineRule="auto"/>
      </w:pPr>
      <w:r w:rsidRPr="00A605BB">
        <w:br w:type="page"/>
      </w:r>
    </w:p>
    <w:p w14:paraId="3CB20AE9" w14:textId="77777777" w:rsidR="00557226" w:rsidRPr="00A605BB" w:rsidRDefault="00557226" w:rsidP="00D52626">
      <w:pPr>
        <w:autoSpaceDE w:val="0"/>
        <w:autoSpaceDN w:val="0"/>
        <w:adjustRightInd w:val="0"/>
        <w:ind w:left="567"/>
        <w:jc w:val="both"/>
        <w:sectPr w:rsidR="00557226" w:rsidRPr="00A605BB" w:rsidSect="00612182">
          <w:headerReference w:type="default" r:id="rId17"/>
          <w:headerReference w:type="first" r:id="rId18"/>
          <w:pgSz w:w="11901" w:h="16840" w:code="9"/>
          <w:pgMar w:top="1418" w:right="1701" w:bottom="1418" w:left="1701" w:header="709" w:footer="709" w:gutter="0"/>
          <w:pgNumType w:start="1"/>
          <w:cols w:space="708"/>
          <w:docGrid w:linePitch="360"/>
        </w:sectPr>
      </w:pPr>
    </w:p>
    <w:p w14:paraId="21B8EC08" w14:textId="1082B180" w:rsidR="001A0AFA" w:rsidRPr="00A605BB" w:rsidRDefault="001A0AFA" w:rsidP="002F5032">
      <w:pPr>
        <w:spacing w:line="240" w:lineRule="auto"/>
        <w:rPr>
          <w:b/>
          <w:bCs/>
        </w:rPr>
      </w:pPr>
      <w:r w:rsidRPr="00A605BB">
        <w:rPr>
          <w:b/>
          <w:bCs/>
        </w:rPr>
        <w:lastRenderedPageBreak/>
        <w:t xml:space="preserve">Table </w:t>
      </w:r>
      <w:r w:rsidR="002A50F9" w:rsidRPr="00A605BB">
        <w:rPr>
          <w:b/>
          <w:bCs/>
        </w:rPr>
        <w:t>2</w:t>
      </w:r>
      <w:r w:rsidRPr="00A605BB">
        <w:rPr>
          <w:b/>
          <w:bCs/>
        </w:rPr>
        <w:t xml:space="preserve">. </w:t>
      </w:r>
    </w:p>
    <w:p w14:paraId="4E43C5BF" w14:textId="77777777" w:rsidR="001A0AFA" w:rsidRPr="00A605BB" w:rsidRDefault="001A0AFA" w:rsidP="002F5032">
      <w:pPr>
        <w:spacing w:line="240" w:lineRule="auto"/>
        <w:rPr>
          <w:b/>
          <w:bCs/>
        </w:rPr>
      </w:pPr>
    </w:p>
    <w:p w14:paraId="19061E3C" w14:textId="5A21699A" w:rsidR="001A0AFA" w:rsidRPr="00A605BB" w:rsidRDefault="001A0AFA" w:rsidP="005109FB">
      <w:pPr>
        <w:spacing w:line="276" w:lineRule="auto"/>
      </w:pPr>
      <w:r w:rsidRPr="00A605BB">
        <w:t xml:space="preserve">Means and standard deviations </w:t>
      </w:r>
      <w:r w:rsidR="00617CC8" w:rsidRPr="00A605BB">
        <w:t>for students and their managers, for each competency, at each time point</w:t>
      </w:r>
      <w:r w:rsidR="00006539" w:rsidRPr="00A605BB">
        <w:t>.</w:t>
      </w:r>
      <w:r w:rsidR="00617CC8" w:rsidRPr="00A605BB">
        <w:t xml:space="preserve"> </w:t>
      </w:r>
    </w:p>
    <w:tbl>
      <w:tblPr>
        <w:tblStyle w:val="TableGrid"/>
        <w:tblpPr w:leftFromText="180" w:rightFromText="180" w:vertAnchor="page" w:horzAnchor="margin" w:tblpY="2941"/>
        <w:tblW w:w="138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954"/>
        <w:gridCol w:w="1030"/>
        <w:gridCol w:w="479"/>
        <w:gridCol w:w="803"/>
        <w:gridCol w:w="745"/>
        <w:gridCol w:w="940"/>
        <w:gridCol w:w="642"/>
        <w:gridCol w:w="10"/>
        <w:gridCol w:w="478"/>
        <w:gridCol w:w="940"/>
        <w:gridCol w:w="719"/>
        <w:gridCol w:w="940"/>
        <w:gridCol w:w="789"/>
      </w:tblGrid>
      <w:tr w:rsidR="008A24E2" w:rsidRPr="00A605BB" w14:paraId="1CC01612" w14:textId="1D6535B6" w:rsidTr="00812E82">
        <w:trPr>
          <w:trHeight w:val="273"/>
        </w:trPr>
        <w:tc>
          <w:tcPr>
            <w:tcW w:w="4395" w:type="dxa"/>
            <w:tcBorders>
              <w:top w:val="single" w:sz="4" w:space="0" w:color="auto"/>
            </w:tcBorders>
          </w:tcPr>
          <w:p w14:paraId="3168C1F4" w14:textId="79C33D79" w:rsidR="008A24E2" w:rsidRPr="00A605BB" w:rsidRDefault="008A24E2" w:rsidP="00006539">
            <w:pPr>
              <w:autoSpaceDE w:val="0"/>
              <w:autoSpaceDN w:val="0"/>
              <w:adjustRightInd w:val="0"/>
              <w:spacing w:line="360" w:lineRule="auto"/>
              <w:jc w:val="both"/>
              <w:rPr>
                <w:rFonts w:ascii="Times New Roman" w:hAnsi="Times New Roman" w:cs="Times New Roman"/>
                <w:sz w:val="22"/>
                <w:szCs w:val="22"/>
              </w:rPr>
            </w:pPr>
            <w:bookmarkStart w:id="17" w:name="_Hlk126667205"/>
          </w:p>
        </w:tc>
        <w:tc>
          <w:tcPr>
            <w:tcW w:w="1984" w:type="dxa"/>
            <w:gridSpan w:val="2"/>
            <w:tcBorders>
              <w:top w:val="single" w:sz="4" w:space="0" w:color="auto"/>
            </w:tcBorders>
          </w:tcPr>
          <w:p w14:paraId="72E1A689" w14:textId="4C5A7271" w:rsidR="008A24E2" w:rsidRPr="00A605BB" w:rsidRDefault="008A24E2" w:rsidP="00006539">
            <w:pPr>
              <w:autoSpaceDE w:val="0"/>
              <w:autoSpaceDN w:val="0"/>
              <w:adjustRightInd w:val="0"/>
              <w:spacing w:line="276" w:lineRule="auto"/>
              <w:jc w:val="center"/>
              <w:rPr>
                <w:rFonts w:ascii="Times New Roman" w:hAnsi="Times New Roman" w:cs="Times New Roman"/>
                <w:b/>
                <w:bCs/>
                <w:sz w:val="22"/>
                <w:szCs w:val="22"/>
              </w:rPr>
            </w:pPr>
            <w:r w:rsidRPr="00A605BB">
              <w:rPr>
                <w:rFonts w:ascii="Times New Roman" w:hAnsi="Times New Roman" w:cs="Times New Roman"/>
                <w:b/>
                <w:bCs/>
                <w:sz w:val="22"/>
                <w:szCs w:val="22"/>
              </w:rPr>
              <w:t>Pre-Placement</w:t>
            </w:r>
          </w:p>
        </w:tc>
        <w:tc>
          <w:tcPr>
            <w:tcW w:w="479" w:type="dxa"/>
            <w:tcBorders>
              <w:top w:val="single" w:sz="4" w:space="0" w:color="auto"/>
            </w:tcBorders>
          </w:tcPr>
          <w:p w14:paraId="2E0064FD" w14:textId="77777777" w:rsidR="008A24E2" w:rsidRPr="00A605BB" w:rsidRDefault="008A24E2" w:rsidP="00006539">
            <w:pPr>
              <w:autoSpaceDE w:val="0"/>
              <w:autoSpaceDN w:val="0"/>
              <w:adjustRightInd w:val="0"/>
              <w:spacing w:line="276" w:lineRule="auto"/>
              <w:jc w:val="center"/>
              <w:rPr>
                <w:rFonts w:ascii="Times New Roman" w:hAnsi="Times New Roman" w:cs="Times New Roman"/>
                <w:b/>
                <w:bCs/>
                <w:sz w:val="22"/>
                <w:szCs w:val="22"/>
              </w:rPr>
            </w:pPr>
          </w:p>
        </w:tc>
        <w:tc>
          <w:tcPr>
            <w:tcW w:w="3140" w:type="dxa"/>
            <w:gridSpan w:val="5"/>
            <w:tcBorders>
              <w:top w:val="single" w:sz="4" w:space="0" w:color="auto"/>
            </w:tcBorders>
          </w:tcPr>
          <w:p w14:paraId="499B5809" w14:textId="07BE639E" w:rsidR="008A24E2" w:rsidRPr="00A605BB" w:rsidRDefault="008A24E2" w:rsidP="00006539">
            <w:pPr>
              <w:autoSpaceDE w:val="0"/>
              <w:autoSpaceDN w:val="0"/>
              <w:adjustRightInd w:val="0"/>
              <w:spacing w:line="276" w:lineRule="auto"/>
              <w:jc w:val="center"/>
              <w:rPr>
                <w:rFonts w:ascii="Times New Roman" w:hAnsi="Times New Roman" w:cs="Times New Roman"/>
                <w:b/>
                <w:bCs/>
                <w:sz w:val="22"/>
                <w:szCs w:val="22"/>
              </w:rPr>
            </w:pPr>
            <w:r w:rsidRPr="00A605BB">
              <w:rPr>
                <w:rFonts w:ascii="Times New Roman" w:hAnsi="Times New Roman" w:cs="Times New Roman"/>
                <w:b/>
                <w:bCs/>
                <w:sz w:val="22"/>
                <w:szCs w:val="22"/>
              </w:rPr>
              <w:t>Mid-Placement</w:t>
            </w:r>
          </w:p>
        </w:tc>
        <w:tc>
          <w:tcPr>
            <w:tcW w:w="478" w:type="dxa"/>
            <w:tcBorders>
              <w:top w:val="single" w:sz="4" w:space="0" w:color="auto"/>
            </w:tcBorders>
          </w:tcPr>
          <w:p w14:paraId="4C2FA49B" w14:textId="77777777" w:rsidR="008A24E2" w:rsidRPr="00A605BB" w:rsidRDefault="008A24E2" w:rsidP="00006539">
            <w:pPr>
              <w:autoSpaceDE w:val="0"/>
              <w:autoSpaceDN w:val="0"/>
              <w:adjustRightInd w:val="0"/>
              <w:spacing w:line="276" w:lineRule="auto"/>
              <w:jc w:val="center"/>
              <w:rPr>
                <w:rFonts w:ascii="Times New Roman" w:hAnsi="Times New Roman" w:cs="Times New Roman"/>
                <w:b/>
                <w:bCs/>
                <w:sz w:val="22"/>
                <w:szCs w:val="22"/>
              </w:rPr>
            </w:pPr>
          </w:p>
        </w:tc>
        <w:tc>
          <w:tcPr>
            <w:tcW w:w="3388" w:type="dxa"/>
            <w:gridSpan w:val="4"/>
            <w:tcBorders>
              <w:top w:val="single" w:sz="4" w:space="0" w:color="auto"/>
            </w:tcBorders>
          </w:tcPr>
          <w:p w14:paraId="4ECA4C5A" w14:textId="2B468A2D" w:rsidR="008A24E2" w:rsidRPr="00A605BB" w:rsidRDefault="008A24E2" w:rsidP="00006539">
            <w:pPr>
              <w:autoSpaceDE w:val="0"/>
              <w:autoSpaceDN w:val="0"/>
              <w:adjustRightInd w:val="0"/>
              <w:spacing w:line="276" w:lineRule="auto"/>
              <w:jc w:val="center"/>
              <w:rPr>
                <w:rFonts w:ascii="Times New Roman" w:hAnsi="Times New Roman" w:cs="Times New Roman"/>
                <w:b/>
                <w:bCs/>
                <w:sz w:val="22"/>
                <w:szCs w:val="22"/>
              </w:rPr>
            </w:pPr>
            <w:r w:rsidRPr="00A605BB">
              <w:rPr>
                <w:rFonts w:ascii="Times New Roman" w:hAnsi="Times New Roman" w:cs="Times New Roman"/>
                <w:b/>
                <w:bCs/>
                <w:sz w:val="22"/>
                <w:szCs w:val="22"/>
              </w:rPr>
              <w:t>End-of-Placement</w:t>
            </w:r>
          </w:p>
        </w:tc>
      </w:tr>
      <w:tr w:rsidR="008A24E2" w:rsidRPr="00A605BB" w14:paraId="4CA3C5B7" w14:textId="56D560A0" w:rsidTr="00812E82">
        <w:trPr>
          <w:trHeight w:val="317"/>
        </w:trPr>
        <w:tc>
          <w:tcPr>
            <w:tcW w:w="4395" w:type="dxa"/>
          </w:tcPr>
          <w:p w14:paraId="6C789919" w14:textId="77777777" w:rsidR="008A24E2" w:rsidRPr="00A605BB" w:rsidRDefault="008A24E2" w:rsidP="00006539">
            <w:pPr>
              <w:autoSpaceDE w:val="0"/>
              <w:autoSpaceDN w:val="0"/>
              <w:adjustRightInd w:val="0"/>
              <w:spacing w:line="276" w:lineRule="auto"/>
              <w:jc w:val="both"/>
              <w:rPr>
                <w:rFonts w:ascii="Times New Roman" w:hAnsi="Times New Roman" w:cs="Times New Roman"/>
                <w:sz w:val="22"/>
                <w:szCs w:val="22"/>
              </w:rPr>
            </w:pPr>
          </w:p>
        </w:tc>
        <w:tc>
          <w:tcPr>
            <w:tcW w:w="1984" w:type="dxa"/>
            <w:gridSpan w:val="2"/>
          </w:tcPr>
          <w:p w14:paraId="433593FE" w14:textId="3360B70F" w:rsidR="008A24E2" w:rsidRPr="00A605BB" w:rsidRDefault="008A24E2" w:rsidP="00006539">
            <w:pPr>
              <w:autoSpaceDE w:val="0"/>
              <w:autoSpaceDN w:val="0"/>
              <w:adjustRightInd w:val="0"/>
              <w:spacing w:line="276" w:lineRule="auto"/>
              <w:jc w:val="center"/>
              <w:rPr>
                <w:rFonts w:ascii="Times New Roman" w:hAnsi="Times New Roman" w:cs="Times New Roman"/>
                <w:b/>
                <w:bCs/>
                <w:sz w:val="22"/>
                <w:szCs w:val="22"/>
              </w:rPr>
            </w:pPr>
            <w:r w:rsidRPr="00A605BB">
              <w:rPr>
                <w:rFonts w:ascii="Times New Roman" w:hAnsi="Times New Roman" w:cs="Times New Roman"/>
                <w:b/>
                <w:bCs/>
                <w:sz w:val="22"/>
                <w:szCs w:val="22"/>
              </w:rPr>
              <w:t>Student</w:t>
            </w:r>
          </w:p>
        </w:tc>
        <w:tc>
          <w:tcPr>
            <w:tcW w:w="479" w:type="dxa"/>
          </w:tcPr>
          <w:p w14:paraId="45EA6626" w14:textId="77777777" w:rsidR="008A24E2" w:rsidRPr="00A605BB" w:rsidRDefault="008A24E2" w:rsidP="00006539">
            <w:pPr>
              <w:autoSpaceDE w:val="0"/>
              <w:autoSpaceDN w:val="0"/>
              <w:adjustRightInd w:val="0"/>
              <w:spacing w:line="276" w:lineRule="auto"/>
              <w:jc w:val="center"/>
              <w:rPr>
                <w:rFonts w:ascii="Times New Roman" w:hAnsi="Times New Roman" w:cs="Times New Roman"/>
                <w:b/>
                <w:bCs/>
                <w:sz w:val="22"/>
                <w:szCs w:val="22"/>
              </w:rPr>
            </w:pPr>
          </w:p>
        </w:tc>
        <w:tc>
          <w:tcPr>
            <w:tcW w:w="1548" w:type="dxa"/>
            <w:gridSpan w:val="2"/>
          </w:tcPr>
          <w:p w14:paraId="0C73253C" w14:textId="2FA0C676" w:rsidR="008A24E2" w:rsidRPr="00A605BB" w:rsidRDefault="008A24E2" w:rsidP="00006539">
            <w:pPr>
              <w:autoSpaceDE w:val="0"/>
              <w:autoSpaceDN w:val="0"/>
              <w:adjustRightInd w:val="0"/>
              <w:spacing w:line="276" w:lineRule="auto"/>
              <w:jc w:val="center"/>
              <w:rPr>
                <w:rFonts w:ascii="Times New Roman" w:hAnsi="Times New Roman" w:cs="Times New Roman"/>
                <w:b/>
                <w:bCs/>
                <w:sz w:val="22"/>
                <w:szCs w:val="22"/>
              </w:rPr>
            </w:pPr>
            <w:r w:rsidRPr="00A605BB">
              <w:rPr>
                <w:rFonts w:ascii="Times New Roman" w:hAnsi="Times New Roman" w:cs="Times New Roman"/>
                <w:b/>
                <w:bCs/>
                <w:sz w:val="22"/>
                <w:szCs w:val="22"/>
              </w:rPr>
              <w:t>Student</w:t>
            </w:r>
          </w:p>
        </w:tc>
        <w:tc>
          <w:tcPr>
            <w:tcW w:w="1582" w:type="dxa"/>
            <w:gridSpan w:val="2"/>
          </w:tcPr>
          <w:p w14:paraId="0E4DE53A" w14:textId="34B2A6BC" w:rsidR="008A24E2" w:rsidRPr="00A605BB" w:rsidRDefault="008A24E2" w:rsidP="00006539">
            <w:pPr>
              <w:autoSpaceDE w:val="0"/>
              <w:autoSpaceDN w:val="0"/>
              <w:adjustRightInd w:val="0"/>
              <w:spacing w:line="276" w:lineRule="auto"/>
              <w:jc w:val="center"/>
              <w:rPr>
                <w:rFonts w:ascii="Times New Roman" w:hAnsi="Times New Roman" w:cs="Times New Roman"/>
                <w:b/>
                <w:bCs/>
                <w:sz w:val="22"/>
                <w:szCs w:val="22"/>
              </w:rPr>
            </w:pPr>
            <w:r w:rsidRPr="00A605BB">
              <w:rPr>
                <w:rFonts w:ascii="Times New Roman" w:hAnsi="Times New Roman" w:cs="Times New Roman"/>
                <w:b/>
                <w:bCs/>
                <w:sz w:val="22"/>
                <w:szCs w:val="22"/>
              </w:rPr>
              <w:t>Manager</w:t>
            </w:r>
          </w:p>
        </w:tc>
        <w:tc>
          <w:tcPr>
            <w:tcW w:w="488" w:type="dxa"/>
            <w:gridSpan w:val="2"/>
          </w:tcPr>
          <w:p w14:paraId="7042559D" w14:textId="77777777" w:rsidR="008A24E2" w:rsidRPr="00A605BB" w:rsidRDefault="008A24E2" w:rsidP="00006539">
            <w:pPr>
              <w:autoSpaceDE w:val="0"/>
              <w:autoSpaceDN w:val="0"/>
              <w:adjustRightInd w:val="0"/>
              <w:spacing w:line="276" w:lineRule="auto"/>
              <w:jc w:val="center"/>
              <w:rPr>
                <w:rFonts w:ascii="Times New Roman" w:hAnsi="Times New Roman" w:cs="Times New Roman"/>
                <w:b/>
                <w:bCs/>
                <w:sz w:val="22"/>
                <w:szCs w:val="22"/>
              </w:rPr>
            </w:pPr>
          </w:p>
        </w:tc>
        <w:tc>
          <w:tcPr>
            <w:tcW w:w="1659" w:type="dxa"/>
            <w:gridSpan w:val="2"/>
          </w:tcPr>
          <w:p w14:paraId="3DCE7EF6" w14:textId="1C472425" w:rsidR="008A24E2" w:rsidRPr="00A605BB" w:rsidRDefault="008A24E2" w:rsidP="00006539">
            <w:pPr>
              <w:autoSpaceDE w:val="0"/>
              <w:autoSpaceDN w:val="0"/>
              <w:adjustRightInd w:val="0"/>
              <w:spacing w:line="276" w:lineRule="auto"/>
              <w:jc w:val="center"/>
              <w:rPr>
                <w:rFonts w:ascii="Times New Roman" w:hAnsi="Times New Roman" w:cs="Times New Roman"/>
                <w:b/>
                <w:bCs/>
                <w:sz w:val="22"/>
                <w:szCs w:val="22"/>
              </w:rPr>
            </w:pPr>
            <w:r w:rsidRPr="00A605BB">
              <w:rPr>
                <w:rFonts w:ascii="Times New Roman" w:hAnsi="Times New Roman" w:cs="Times New Roman"/>
                <w:b/>
                <w:bCs/>
                <w:sz w:val="22"/>
                <w:szCs w:val="22"/>
              </w:rPr>
              <w:t>Student</w:t>
            </w:r>
          </w:p>
        </w:tc>
        <w:tc>
          <w:tcPr>
            <w:tcW w:w="1729" w:type="dxa"/>
            <w:gridSpan w:val="2"/>
          </w:tcPr>
          <w:p w14:paraId="52E8AF3E" w14:textId="654B2479" w:rsidR="008A24E2" w:rsidRPr="00A605BB" w:rsidRDefault="008A24E2" w:rsidP="00006539">
            <w:pPr>
              <w:autoSpaceDE w:val="0"/>
              <w:autoSpaceDN w:val="0"/>
              <w:adjustRightInd w:val="0"/>
              <w:spacing w:line="276" w:lineRule="auto"/>
              <w:jc w:val="center"/>
              <w:rPr>
                <w:rFonts w:ascii="Times New Roman" w:hAnsi="Times New Roman" w:cs="Times New Roman"/>
                <w:b/>
                <w:bCs/>
                <w:sz w:val="22"/>
                <w:szCs w:val="22"/>
              </w:rPr>
            </w:pPr>
            <w:r w:rsidRPr="00A605BB">
              <w:rPr>
                <w:rFonts w:ascii="Times New Roman" w:hAnsi="Times New Roman" w:cs="Times New Roman"/>
                <w:b/>
                <w:bCs/>
                <w:sz w:val="22"/>
                <w:szCs w:val="22"/>
              </w:rPr>
              <w:t>Manager</w:t>
            </w:r>
          </w:p>
        </w:tc>
      </w:tr>
      <w:tr w:rsidR="008A24E2" w:rsidRPr="00A605BB" w14:paraId="29CD02D6" w14:textId="5A1EFAA6" w:rsidTr="00812E82">
        <w:trPr>
          <w:trHeight w:val="450"/>
        </w:trPr>
        <w:tc>
          <w:tcPr>
            <w:tcW w:w="4395" w:type="dxa"/>
            <w:tcBorders>
              <w:bottom w:val="single" w:sz="4" w:space="0" w:color="auto"/>
            </w:tcBorders>
          </w:tcPr>
          <w:p w14:paraId="5600FA1F" w14:textId="5A7242E9" w:rsidR="008A24E2" w:rsidRPr="00A605BB" w:rsidRDefault="008A24E2" w:rsidP="00006539">
            <w:pPr>
              <w:autoSpaceDE w:val="0"/>
              <w:autoSpaceDN w:val="0"/>
              <w:adjustRightInd w:val="0"/>
              <w:spacing w:line="276" w:lineRule="auto"/>
              <w:jc w:val="both"/>
              <w:rPr>
                <w:rFonts w:ascii="Times New Roman" w:hAnsi="Times New Roman" w:cs="Times New Roman"/>
                <w:b/>
                <w:bCs/>
                <w:sz w:val="22"/>
                <w:szCs w:val="22"/>
              </w:rPr>
            </w:pPr>
            <w:r w:rsidRPr="00A605BB">
              <w:rPr>
                <w:rFonts w:ascii="Times New Roman" w:hAnsi="Times New Roman" w:cs="Times New Roman"/>
                <w:b/>
                <w:bCs/>
                <w:sz w:val="22"/>
                <w:szCs w:val="22"/>
              </w:rPr>
              <w:t>Competency</w:t>
            </w:r>
          </w:p>
        </w:tc>
        <w:tc>
          <w:tcPr>
            <w:tcW w:w="954" w:type="dxa"/>
            <w:tcBorders>
              <w:bottom w:val="single" w:sz="4" w:space="0" w:color="auto"/>
            </w:tcBorders>
          </w:tcPr>
          <w:p w14:paraId="7E885525" w14:textId="3BD73623" w:rsidR="008A24E2" w:rsidRPr="00A605BB" w:rsidRDefault="008A24E2" w:rsidP="00006539">
            <w:pPr>
              <w:autoSpaceDE w:val="0"/>
              <w:autoSpaceDN w:val="0"/>
              <w:adjustRightInd w:val="0"/>
              <w:spacing w:line="276" w:lineRule="auto"/>
              <w:jc w:val="center"/>
              <w:rPr>
                <w:rFonts w:ascii="Times New Roman" w:hAnsi="Times New Roman" w:cs="Times New Roman"/>
                <w:b/>
                <w:bCs/>
                <w:sz w:val="22"/>
                <w:szCs w:val="22"/>
              </w:rPr>
            </w:pPr>
            <w:r w:rsidRPr="00A605BB">
              <w:rPr>
                <w:rFonts w:ascii="Times New Roman" w:hAnsi="Times New Roman" w:cs="Times New Roman"/>
                <w:b/>
                <w:bCs/>
                <w:sz w:val="22"/>
                <w:szCs w:val="22"/>
              </w:rPr>
              <w:t>Mean</w:t>
            </w:r>
          </w:p>
        </w:tc>
        <w:tc>
          <w:tcPr>
            <w:tcW w:w="1030" w:type="dxa"/>
            <w:tcBorders>
              <w:bottom w:val="single" w:sz="4" w:space="0" w:color="auto"/>
            </w:tcBorders>
          </w:tcPr>
          <w:p w14:paraId="4F375D22" w14:textId="4827E240" w:rsidR="008A24E2" w:rsidRPr="00A605BB" w:rsidRDefault="008A24E2" w:rsidP="00006539">
            <w:pPr>
              <w:autoSpaceDE w:val="0"/>
              <w:autoSpaceDN w:val="0"/>
              <w:adjustRightInd w:val="0"/>
              <w:spacing w:line="276" w:lineRule="auto"/>
              <w:jc w:val="center"/>
              <w:rPr>
                <w:rFonts w:ascii="Times New Roman" w:hAnsi="Times New Roman" w:cs="Times New Roman"/>
                <w:b/>
                <w:bCs/>
                <w:sz w:val="22"/>
                <w:szCs w:val="22"/>
              </w:rPr>
            </w:pPr>
            <w:r w:rsidRPr="00A605BB">
              <w:rPr>
                <w:rFonts w:ascii="Times New Roman" w:hAnsi="Times New Roman" w:cs="Times New Roman"/>
                <w:b/>
                <w:bCs/>
                <w:sz w:val="22"/>
                <w:szCs w:val="22"/>
              </w:rPr>
              <w:t>SD</w:t>
            </w:r>
          </w:p>
        </w:tc>
        <w:tc>
          <w:tcPr>
            <w:tcW w:w="479" w:type="dxa"/>
            <w:tcBorders>
              <w:bottom w:val="single" w:sz="4" w:space="0" w:color="auto"/>
            </w:tcBorders>
          </w:tcPr>
          <w:p w14:paraId="7AC81EEB" w14:textId="77777777" w:rsidR="008A24E2" w:rsidRPr="00A605BB" w:rsidRDefault="008A24E2" w:rsidP="00006539">
            <w:pPr>
              <w:autoSpaceDE w:val="0"/>
              <w:autoSpaceDN w:val="0"/>
              <w:adjustRightInd w:val="0"/>
              <w:spacing w:line="276" w:lineRule="auto"/>
              <w:jc w:val="center"/>
              <w:rPr>
                <w:rFonts w:ascii="Times New Roman" w:hAnsi="Times New Roman" w:cs="Times New Roman"/>
                <w:b/>
                <w:bCs/>
                <w:sz w:val="22"/>
                <w:szCs w:val="22"/>
              </w:rPr>
            </w:pPr>
          </w:p>
        </w:tc>
        <w:tc>
          <w:tcPr>
            <w:tcW w:w="803" w:type="dxa"/>
            <w:tcBorders>
              <w:bottom w:val="single" w:sz="4" w:space="0" w:color="auto"/>
            </w:tcBorders>
          </w:tcPr>
          <w:p w14:paraId="19FCC263" w14:textId="5ACCB853" w:rsidR="008A24E2" w:rsidRPr="00A605BB" w:rsidRDefault="008A24E2" w:rsidP="00006539">
            <w:pPr>
              <w:autoSpaceDE w:val="0"/>
              <w:autoSpaceDN w:val="0"/>
              <w:adjustRightInd w:val="0"/>
              <w:spacing w:line="276" w:lineRule="auto"/>
              <w:jc w:val="center"/>
              <w:rPr>
                <w:rFonts w:ascii="Times New Roman" w:hAnsi="Times New Roman" w:cs="Times New Roman"/>
                <w:b/>
                <w:bCs/>
                <w:sz w:val="22"/>
                <w:szCs w:val="22"/>
              </w:rPr>
            </w:pPr>
            <w:r w:rsidRPr="00A605BB">
              <w:rPr>
                <w:rFonts w:ascii="Times New Roman" w:hAnsi="Times New Roman" w:cs="Times New Roman"/>
                <w:b/>
                <w:bCs/>
                <w:sz w:val="22"/>
                <w:szCs w:val="22"/>
              </w:rPr>
              <w:t>Mean</w:t>
            </w:r>
          </w:p>
        </w:tc>
        <w:tc>
          <w:tcPr>
            <w:tcW w:w="745" w:type="dxa"/>
            <w:tcBorders>
              <w:bottom w:val="single" w:sz="4" w:space="0" w:color="auto"/>
            </w:tcBorders>
          </w:tcPr>
          <w:p w14:paraId="10BA0C10" w14:textId="410857E6" w:rsidR="008A24E2" w:rsidRPr="00A605BB" w:rsidRDefault="008A24E2" w:rsidP="00006539">
            <w:pPr>
              <w:autoSpaceDE w:val="0"/>
              <w:autoSpaceDN w:val="0"/>
              <w:adjustRightInd w:val="0"/>
              <w:spacing w:line="276" w:lineRule="auto"/>
              <w:jc w:val="center"/>
              <w:rPr>
                <w:rFonts w:ascii="Times New Roman" w:hAnsi="Times New Roman" w:cs="Times New Roman"/>
                <w:b/>
                <w:bCs/>
                <w:sz w:val="22"/>
                <w:szCs w:val="22"/>
              </w:rPr>
            </w:pPr>
            <w:r w:rsidRPr="00A605BB">
              <w:rPr>
                <w:rFonts w:ascii="Times New Roman" w:hAnsi="Times New Roman" w:cs="Times New Roman"/>
                <w:b/>
                <w:bCs/>
                <w:sz w:val="22"/>
                <w:szCs w:val="22"/>
              </w:rPr>
              <w:t>SD</w:t>
            </w:r>
          </w:p>
        </w:tc>
        <w:tc>
          <w:tcPr>
            <w:tcW w:w="940" w:type="dxa"/>
            <w:tcBorders>
              <w:bottom w:val="single" w:sz="4" w:space="0" w:color="auto"/>
            </w:tcBorders>
          </w:tcPr>
          <w:p w14:paraId="4C6D68DA" w14:textId="52636E70" w:rsidR="008A24E2" w:rsidRPr="00A605BB" w:rsidRDefault="008A24E2" w:rsidP="00006539">
            <w:pPr>
              <w:autoSpaceDE w:val="0"/>
              <w:autoSpaceDN w:val="0"/>
              <w:adjustRightInd w:val="0"/>
              <w:spacing w:line="276" w:lineRule="auto"/>
              <w:jc w:val="center"/>
              <w:rPr>
                <w:rFonts w:ascii="Times New Roman" w:hAnsi="Times New Roman" w:cs="Times New Roman"/>
                <w:b/>
                <w:bCs/>
                <w:sz w:val="22"/>
                <w:szCs w:val="22"/>
              </w:rPr>
            </w:pPr>
            <w:r w:rsidRPr="00A605BB">
              <w:rPr>
                <w:rFonts w:ascii="Times New Roman" w:hAnsi="Times New Roman" w:cs="Times New Roman"/>
                <w:b/>
                <w:bCs/>
                <w:sz w:val="22"/>
                <w:szCs w:val="22"/>
              </w:rPr>
              <w:t>Mean</w:t>
            </w:r>
          </w:p>
        </w:tc>
        <w:tc>
          <w:tcPr>
            <w:tcW w:w="642" w:type="dxa"/>
            <w:tcBorders>
              <w:bottom w:val="single" w:sz="4" w:space="0" w:color="auto"/>
            </w:tcBorders>
          </w:tcPr>
          <w:p w14:paraId="1C5C3F06" w14:textId="0782AA56" w:rsidR="008A24E2" w:rsidRPr="00A605BB" w:rsidRDefault="008A24E2" w:rsidP="00006539">
            <w:pPr>
              <w:autoSpaceDE w:val="0"/>
              <w:autoSpaceDN w:val="0"/>
              <w:adjustRightInd w:val="0"/>
              <w:spacing w:line="276" w:lineRule="auto"/>
              <w:jc w:val="center"/>
              <w:rPr>
                <w:rFonts w:ascii="Times New Roman" w:hAnsi="Times New Roman" w:cs="Times New Roman"/>
                <w:b/>
                <w:bCs/>
                <w:sz w:val="22"/>
                <w:szCs w:val="22"/>
              </w:rPr>
            </w:pPr>
            <w:r w:rsidRPr="00A605BB">
              <w:rPr>
                <w:rFonts w:ascii="Times New Roman" w:hAnsi="Times New Roman" w:cs="Times New Roman"/>
                <w:b/>
                <w:bCs/>
                <w:sz w:val="22"/>
                <w:szCs w:val="22"/>
              </w:rPr>
              <w:t>SD</w:t>
            </w:r>
          </w:p>
        </w:tc>
        <w:tc>
          <w:tcPr>
            <w:tcW w:w="488" w:type="dxa"/>
            <w:gridSpan w:val="2"/>
            <w:tcBorders>
              <w:bottom w:val="single" w:sz="4" w:space="0" w:color="auto"/>
            </w:tcBorders>
          </w:tcPr>
          <w:p w14:paraId="1BE1AA9F" w14:textId="77777777" w:rsidR="008A24E2" w:rsidRPr="00A605BB" w:rsidRDefault="008A24E2" w:rsidP="00006539">
            <w:pPr>
              <w:autoSpaceDE w:val="0"/>
              <w:autoSpaceDN w:val="0"/>
              <w:adjustRightInd w:val="0"/>
              <w:spacing w:line="276" w:lineRule="auto"/>
              <w:jc w:val="center"/>
              <w:rPr>
                <w:rFonts w:ascii="Times New Roman" w:hAnsi="Times New Roman" w:cs="Times New Roman"/>
                <w:b/>
                <w:bCs/>
                <w:sz w:val="22"/>
                <w:szCs w:val="22"/>
              </w:rPr>
            </w:pPr>
          </w:p>
        </w:tc>
        <w:tc>
          <w:tcPr>
            <w:tcW w:w="940" w:type="dxa"/>
            <w:tcBorders>
              <w:bottom w:val="single" w:sz="4" w:space="0" w:color="auto"/>
            </w:tcBorders>
          </w:tcPr>
          <w:p w14:paraId="19EA9C21" w14:textId="2AB2793C" w:rsidR="008A24E2" w:rsidRPr="00A605BB" w:rsidRDefault="008A24E2" w:rsidP="00006539">
            <w:pPr>
              <w:autoSpaceDE w:val="0"/>
              <w:autoSpaceDN w:val="0"/>
              <w:adjustRightInd w:val="0"/>
              <w:spacing w:line="276" w:lineRule="auto"/>
              <w:jc w:val="center"/>
              <w:rPr>
                <w:rFonts w:ascii="Times New Roman" w:hAnsi="Times New Roman" w:cs="Times New Roman"/>
                <w:b/>
                <w:bCs/>
                <w:sz w:val="22"/>
                <w:szCs w:val="22"/>
              </w:rPr>
            </w:pPr>
            <w:r w:rsidRPr="00A605BB">
              <w:rPr>
                <w:rFonts w:ascii="Times New Roman" w:hAnsi="Times New Roman" w:cs="Times New Roman"/>
                <w:b/>
                <w:bCs/>
                <w:sz w:val="22"/>
                <w:szCs w:val="22"/>
              </w:rPr>
              <w:t>Mean</w:t>
            </w:r>
          </w:p>
        </w:tc>
        <w:tc>
          <w:tcPr>
            <w:tcW w:w="719" w:type="dxa"/>
            <w:tcBorders>
              <w:bottom w:val="single" w:sz="4" w:space="0" w:color="auto"/>
            </w:tcBorders>
          </w:tcPr>
          <w:p w14:paraId="096E5673" w14:textId="151A56DD" w:rsidR="008A24E2" w:rsidRPr="00A605BB" w:rsidRDefault="008A24E2" w:rsidP="00006539">
            <w:pPr>
              <w:autoSpaceDE w:val="0"/>
              <w:autoSpaceDN w:val="0"/>
              <w:adjustRightInd w:val="0"/>
              <w:spacing w:line="276" w:lineRule="auto"/>
              <w:jc w:val="center"/>
              <w:rPr>
                <w:rFonts w:ascii="Times New Roman" w:hAnsi="Times New Roman" w:cs="Times New Roman"/>
                <w:b/>
                <w:bCs/>
                <w:sz w:val="22"/>
                <w:szCs w:val="22"/>
              </w:rPr>
            </w:pPr>
            <w:r w:rsidRPr="00A605BB">
              <w:rPr>
                <w:rFonts w:ascii="Times New Roman" w:hAnsi="Times New Roman" w:cs="Times New Roman"/>
                <w:b/>
                <w:bCs/>
                <w:sz w:val="22"/>
                <w:szCs w:val="22"/>
              </w:rPr>
              <w:t>SD</w:t>
            </w:r>
          </w:p>
        </w:tc>
        <w:tc>
          <w:tcPr>
            <w:tcW w:w="940" w:type="dxa"/>
            <w:tcBorders>
              <w:bottom w:val="single" w:sz="4" w:space="0" w:color="auto"/>
            </w:tcBorders>
          </w:tcPr>
          <w:p w14:paraId="426463FE" w14:textId="5BDC13D4" w:rsidR="008A24E2" w:rsidRPr="00A605BB" w:rsidRDefault="008A24E2" w:rsidP="00006539">
            <w:pPr>
              <w:autoSpaceDE w:val="0"/>
              <w:autoSpaceDN w:val="0"/>
              <w:adjustRightInd w:val="0"/>
              <w:spacing w:line="276" w:lineRule="auto"/>
              <w:jc w:val="center"/>
              <w:rPr>
                <w:rFonts w:ascii="Times New Roman" w:hAnsi="Times New Roman" w:cs="Times New Roman"/>
                <w:b/>
                <w:bCs/>
                <w:sz w:val="22"/>
                <w:szCs w:val="22"/>
              </w:rPr>
            </w:pPr>
            <w:r w:rsidRPr="00A605BB">
              <w:rPr>
                <w:rFonts w:ascii="Times New Roman" w:hAnsi="Times New Roman" w:cs="Times New Roman"/>
                <w:b/>
                <w:bCs/>
                <w:sz w:val="22"/>
                <w:szCs w:val="22"/>
              </w:rPr>
              <w:t>Mean</w:t>
            </w:r>
          </w:p>
        </w:tc>
        <w:tc>
          <w:tcPr>
            <w:tcW w:w="789" w:type="dxa"/>
            <w:tcBorders>
              <w:bottom w:val="single" w:sz="4" w:space="0" w:color="auto"/>
            </w:tcBorders>
          </w:tcPr>
          <w:p w14:paraId="71829C1A" w14:textId="609A94E0" w:rsidR="008A24E2" w:rsidRPr="00A605BB" w:rsidRDefault="008A24E2" w:rsidP="00006539">
            <w:pPr>
              <w:autoSpaceDE w:val="0"/>
              <w:autoSpaceDN w:val="0"/>
              <w:adjustRightInd w:val="0"/>
              <w:spacing w:line="276" w:lineRule="auto"/>
              <w:jc w:val="center"/>
              <w:rPr>
                <w:rFonts w:ascii="Times New Roman" w:hAnsi="Times New Roman" w:cs="Times New Roman"/>
                <w:b/>
                <w:bCs/>
                <w:sz w:val="22"/>
                <w:szCs w:val="22"/>
              </w:rPr>
            </w:pPr>
            <w:r w:rsidRPr="00A605BB">
              <w:rPr>
                <w:rFonts w:ascii="Times New Roman" w:hAnsi="Times New Roman" w:cs="Times New Roman"/>
                <w:b/>
                <w:bCs/>
                <w:sz w:val="22"/>
                <w:szCs w:val="22"/>
              </w:rPr>
              <w:t>SD</w:t>
            </w:r>
          </w:p>
        </w:tc>
      </w:tr>
      <w:tr w:rsidR="008A24E2" w:rsidRPr="00A605BB" w14:paraId="066F65EA" w14:textId="08377B63" w:rsidTr="00812E82">
        <w:trPr>
          <w:trHeight w:val="618"/>
        </w:trPr>
        <w:tc>
          <w:tcPr>
            <w:tcW w:w="4395" w:type="dxa"/>
            <w:tcBorders>
              <w:top w:val="single" w:sz="4" w:space="0" w:color="auto"/>
            </w:tcBorders>
          </w:tcPr>
          <w:p w14:paraId="101B5F39" w14:textId="58246A95" w:rsidR="008A24E2" w:rsidRPr="00A605BB" w:rsidRDefault="008A24E2" w:rsidP="00006539">
            <w:pPr>
              <w:autoSpaceDE w:val="0"/>
              <w:autoSpaceDN w:val="0"/>
              <w:adjustRightInd w:val="0"/>
              <w:spacing w:before="240" w:after="240" w:line="276" w:lineRule="auto"/>
              <w:rPr>
                <w:rFonts w:ascii="Times New Roman" w:hAnsi="Times New Roman" w:cs="Times New Roman"/>
                <w:b/>
                <w:bCs/>
                <w:sz w:val="22"/>
                <w:szCs w:val="22"/>
              </w:rPr>
            </w:pPr>
            <w:r w:rsidRPr="00A605BB">
              <w:rPr>
                <w:rFonts w:ascii="Times New Roman" w:hAnsi="Times New Roman" w:cs="Times New Roman"/>
                <w:b/>
                <w:bCs/>
                <w:sz w:val="22"/>
                <w:szCs w:val="22"/>
              </w:rPr>
              <w:t>1. Leading and Deciding</w:t>
            </w:r>
          </w:p>
        </w:tc>
        <w:tc>
          <w:tcPr>
            <w:tcW w:w="954" w:type="dxa"/>
            <w:tcBorders>
              <w:top w:val="single" w:sz="4" w:space="0" w:color="auto"/>
            </w:tcBorders>
          </w:tcPr>
          <w:p w14:paraId="558E8F03" w14:textId="3968DDE3" w:rsidR="008A24E2" w:rsidRPr="00A605BB" w:rsidRDefault="008A24E2" w:rsidP="00006539">
            <w:pPr>
              <w:autoSpaceDE w:val="0"/>
              <w:autoSpaceDN w:val="0"/>
              <w:adjustRightInd w:val="0"/>
              <w:spacing w:before="240" w:after="240" w:line="276" w:lineRule="auto"/>
              <w:jc w:val="center"/>
              <w:rPr>
                <w:rFonts w:ascii="Times New Roman" w:hAnsi="Times New Roman" w:cs="Times New Roman"/>
                <w:sz w:val="22"/>
                <w:szCs w:val="22"/>
              </w:rPr>
            </w:pPr>
            <w:r w:rsidRPr="00A605BB">
              <w:rPr>
                <w:rFonts w:ascii="Times New Roman" w:hAnsi="Times New Roman" w:cs="Times New Roman"/>
                <w:sz w:val="22"/>
                <w:szCs w:val="22"/>
              </w:rPr>
              <w:t>3.46</w:t>
            </w:r>
          </w:p>
        </w:tc>
        <w:tc>
          <w:tcPr>
            <w:tcW w:w="1030" w:type="dxa"/>
            <w:tcBorders>
              <w:top w:val="single" w:sz="4" w:space="0" w:color="auto"/>
            </w:tcBorders>
          </w:tcPr>
          <w:p w14:paraId="591142B3" w14:textId="54FAF641" w:rsidR="008A24E2" w:rsidRPr="00A605BB" w:rsidRDefault="008A24E2" w:rsidP="00006539">
            <w:pPr>
              <w:autoSpaceDE w:val="0"/>
              <w:autoSpaceDN w:val="0"/>
              <w:adjustRightInd w:val="0"/>
              <w:spacing w:before="240" w:after="240" w:line="276" w:lineRule="auto"/>
              <w:jc w:val="center"/>
              <w:rPr>
                <w:rFonts w:ascii="Times New Roman" w:hAnsi="Times New Roman" w:cs="Times New Roman"/>
                <w:sz w:val="22"/>
                <w:szCs w:val="22"/>
              </w:rPr>
            </w:pPr>
            <w:r w:rsidRPr="00A605BB">
              <w:rPr>
                <w:rFonts w:ascii="Times New Roman" w:hAnsi="Times New Roman" w:cs="Times New Roman"/>
                <w:sz w:val="22"/>
                <w:szCs w:val="22"/>
              </w:rPr>
              <w:t>.51</w:t>
            </w:r>
          </w:p>
        </w:tc>
        <w:tc>
          <w:tcPr>
            <w:tcW w:w="479" w:type="dxa"/>
            <w:tcBorders>
              <w:top w:val="single" w:sz="4" w:space="0" w:color="auto"/>
            </w:tcBorders>
          </w:tcPr>
          <w:p w14:paraId="50A92CD3" w14:textId="77777777" w:rsidR="008A24E2" w:rsidRPr="00A605BB" w:rsidRDefault="008A24E2" w:rsidP="00006539">
            <w:pPr>
              <w:autoSpaceDE w:val="0"/>
              <w:autoSpaceDN w:val="0"/>
              <w:adjustRightInd w:val="0"/>
              <w:spacing w:before="240" w:after="240" w:line="276" w:lineRule="auto"/>
              <w:jc w:val="center"/>
              <w:rPr>
                <w:rFonts w:ascii="Times New Roman" w:hAnsi="Times New Roman" w:cs="Times New Roman"/>
                <w:sz w:val="22"/>
                <w:szCs w:val="22"/>
              </w:rPr>
            </w:pPr>
          </w:p>
        </w:tc>
        <w:tc>
          <w:tcPr>
            <w:tcW w:w="803" w:type="dxa"/>
            <w:tcBorders>
              <w:top w:val="single" w:sz="4" w:space="0" w:color="auto"/>
            </w:tcBorders>
          </w:tcPr>
          <w:p w14:paraId="0638BA5A" w14:textId="7BC85D1D" w:rsidR="008A24E2" w:rsidRPr="00A605BB" w:rsidRDefault="008A24E2" w:rsidP="00006539">
            <w:pPr>
              <w:autoSpaceDE w:val="0"/>
              <w:autoSpaceDN w:val="0"/>
              <w:adjustRightInd w:val="0"/>
              <w:spacing w:before="240" w:after="240" w:line="276" w:lineRule="auto"/>
              <w:jc w:val="center"/>
              <w:rPr>
                <w:rFonts w:ascii="Times New Roman" w:hAnsi="Times New Roman" w:cs="Times New Roman"/>
                <w:sz w:val="22"/>
                <w:szCs w:val="22"/>
              </w:rPr>
            </w:pPr>
            <w:r w:rsidRPr="00A605BB">
              <w:rPr>
                <w:rFonts w:ascii="Times New Roman" w:hAnsi="Times New Roman" w:cs="Times New Roman"/>
                <w:sz w:val="22"/>
                <w:szCs w:val="22"/>
              </w:rPr>
              <w:t>3.51</w:t>
            </w:r>
          </w:p>
        </w:tc>
        <w:tc>
          <w:tcPr>
            <w:tcW w:w="745" w:type="dxa"/>
            <w:tcBorders>
              <w:top w:val="single" w:sz="4" w:space="0" w:color="auto"/>
            </w:tcBorders>
          </w:tcPr>
          <w:p w14:paraId="4951C2B2" w14:textId="5EE6DE7F" w:rsidR="008A24E2" w:rsidRPr="00A605BB" w:rsidRDefault="008A24E2" w:rsidP="00006539">
            <w:pPr>
              <w:autoSpaceDE w:val="0"/>
              <w:autoSpaceDN w:val="0"/>
              <w:adjustRightInd w:val="0"/>
              <w:spacing w:before="240" w:after="240" w:line="276" w:lineRule="auto"/>
              <w:jc w:val="center"/>
              <w:rPr>
                <w:rFonts w:ascii="Times New Roman" w:hAnsi="Times New Roman" w:cs="Times New Roman"/>
                <w:sz w:val="22"/>
                <w:szCs w:val="22"/>
              </w:rPr>
            </w:pPr>
            <w:r w:rsidRPr="00A605BB">
              <w:rPr>
                <w:rFonts w:ascii="Times New Roman" w:hAnsi="Times New Roman" w:cs="Times New Roman"/>
                <w:sz w:val="22"/>
                <w:szCs w:val="22"/>
              </w:rPr>
              <w:t>.49</w:t>
            </w:r>
          </w:p>
        </w:tc>
        <w:tc>
          <w:tcPr>
            <w:tcW w:w="940" w:type="dxa"/>
            <w:tcBorders>
              <w:top w:val="single" w:sz="4" w:space="0" w:color="auto"/>
            </w:tcBorders>
          </w:tcPr>
          <w:p w14:paraId="60A702C0" w14:textId="2AE33F26" w:rsidR="008A24E2" w:rsidRPr="00A605BB" w:rsidRDefault="008A24E2" w:rsidP="00006539">
            <w:pPr>
              <w:autoSpaceDE w:val="0"/>
              <w:autoSpaceDN w:val="0"/>
              <w:adjustRightInd w:val="0"/>
              <w:spacing w:before="240" w:after="240" w:line="276" w:lineRule="auto"/>
              <w:jc w:val="center"/>
              <w:rPr>
                <w:rFonts w:ascii="Times New Roman" w:hAnsi="Times New Roman" w:cs="Times New Roman"/>
                <w:sz w:val="22"/>
                <w:szCs w:val="22"/>
              </w:rPr>
            </w:pPr>
            <w:r w:rsidRPr="00A605BB">
              <w:rPr>
                <w:rFonts w:ascii="Times New Roman" w:hAnsi="Times New Roman" w:cs="Times New Roman"/>
                <w:sz w:val="22"/>
                <w:szCs w:val="22"/>
              </w:rPr>
              <w:t>3.62</w:t>
            </w:r>
          </w:p>
        </w:tc>
        <w:tc>
          <w:tcPr>
            <w:tcW w:w="642" w:type="dxa"/>
            <w:tcBorders>
              <w:top w:val="single" w:sz="4" w:space="0" w:color="auto"/>
            </w:tcBorders>
          </w:tcPr>
          <w:p w14:paraId="022162A9" w14:textId="065F217B" w:rsidR="008A24E2" w:rsidRPr="00A605BB" w:rsidRDefault="008A24E2" w:rsidP="00006539">
            <w:pPr>
              <w:autoSpaceDE w:val="0"/>
              <w:autoSpaceDN w:val="0"/>
              <w:adjustRightInd w:val="0"/>
              <w:spacing w:before="240" w:after="240" w:line="276" w:lineRule="auto"/>
              <w:jc w:val="center"/>
              <w:rPr>
                <w:rFonts w:ascii="Times New Roman" w:hAnsi="Times New Roman" w:cs="Times New Roman"/>
                <w:sz w:val="22"/>
                <w:szCs w:val="22"/>
              </w:rPr>
            </w:pPr>
            <w:r w:rsidRPr="00A605BB">
              <w:rPr>
                <w:rFonts w:ascii="Times New Roman" w:hAnsi="Times New Roman" w:cs="Times New Roman"/>
                <w:sz w:val="22"/>
                <w:szCs w:val="22"/>
              </w:rPr>
              <w:t>.60</w:t>
            </w:r>
          </w:p>
        </w:tc>
        <w:tc>
          <w:tcPr>
            <w:tcW w:w="488" w:type="dxa"/>
            <w:gridSpan w:val="2"/>
            <w:tcBorders>
              <w:top w:val="single" w:sz="4" w:space="0" w:color="auto"/>
            </w:tcBorders>
          </w:tcPr>
          <w:p w14:paraId="29A40340" w14:textId="77777777" w:rsidR="008A24E2" w:rsidRPr="00A605BB" w:rsidRDefault="008A24E2" w:rsidP="00006539">
            <w:pPr>
              <w:autoSpaceDE w:val="0"/>
              <w:autoSpaceDN w:val="0"/>
              <w:adjustRightInd w:val="0"/>
              <w:spacing w:before="240" w:after="240" w:line="276" w:lineRule="auto"/>
              <w:jc w:val="center"/>
              <w:rPr>
                <w:rFonts w:ascii="Times New Roman" w:hAnsi="Times New Roman" w:cs="Times New Roman"/>
                <w:sz w:val="22"/>
                <w:szCs w:val="22"/>
              </w:rPr>
            </w:pPr>
          </w:p>
        </w:tc>
        <w:tc>
          <w:tcPr>
            <w:tcW w:w="940" w:type="dxa"/>
            <w:tcBorders>
              <w:top w:val="single" w:sz="4" w:space="0" w:color="auto"/>
            </w:tcBorders>
          </w:tcPr>
          <w:p w14:paraId="55D297E1" w14:textId="3E7856BA" w:rsidR="008A24E2" w:rsidRPr="00A605BB" w:rsidRDefault="008A24E2" w:rsidP="00006539">
            <w:pPr>
              <w:autoSpaceDE w:val="0"/>
              <w:autoSpaceDN w:val="0"/>
              <w:adjustRightInd w:val="0"/>
              <w:spacing w:before="240" w:after="240" w:line="276" w:lineRule="auto"/>
              <w:jc w:val="center"/>
              <w:rPr>
                <w:rFonts w:ascii="Times New Roman" w:hAnsi="Times New Roman" w:cs="Times New Roman"/>
                <w:sz w:val="22"/>
                <w:szCs w:val="22"/>
              </w:rPr>
            </w:pPr>
            <w:r w:rsidRPr="00A605BB">
              <w:rPr>
                <w:rFonts w:ascii="Times New Roman" w:hAnsi="Times New Roman" w:cs="Times New Roman"/>
                <w:sz w:val="22"/>
                <w:szCs w:val="22"/>
              </w:rPr>
              <w:t>3.79</w:t>
            </w:r>
          </w:p>
        </w:tc>
        <w:tc>
          <w:tcPr>
            <w:tcW w:w="719" w:type="dxa"/>
            <w:tcBorders>
              <w:top w:val="single" w:sz="4" w:space="0" w:color="auto"/>
            </w:tcBorders>
          </w:tcPr>
          <w:p w14:paraId="17798186" w14:textId="25398BE5" w:rsidR="008A24E2" w:rsidRPr="00A605BB" w:rsidRDefault="008A24E2" w:rsidP="00006539">
            <w:pPr>
              <w:autoSpaceDE w:val="0"/>
              <w:autoSpaceDN w:val="0"/>
              <w:adjustRightInd w:val="0"/>
              <w:spacing w:before="240" w:after="240" w:line="276" w:lineRule="auto"/>
              <w:jc w:val="center"/>
              <w:rPr>
                <w:rFonts w:ascii="Times New Roman" w:hAnsi="Times New Roman" w:cs="Times New Roman"/>
                <w:sz w:val="22"/>
                <w:szCs w:val="22"/>
              </w:rPr>
            </w:pPr>
            <w:r w:rsidRPr="00A605BB">
              <w:rPr>
                <w:rFonts w:ascii="Times New Roman" w:hAnsi="Times New Roman" w:cs="Times New Roman"/>
                <w:sz w:val="22"/>
                <w:szCs w:val="22"/>
              </w:rPr>
              <w:t>.49</w:t>
            </w:r>
          </w:p>
        </w:tc>
        <w:tc>
          <w:tcPr>
            <w:tcW w:w="940" w:type="dxa"/>
            <w:tcBorders>
              <w:top w:val="single" w:sz="4" w:space="0" w:color="auto"/>
            </w:tcBorders>
          </w:tcPr>
          <w:p w14:paraId="6F638112" w14:textId="3680987C" w:rsidR="008A24E2" w:rsidRPr="00A605BB" w:rsidRDefault="008A24E2" w:rsidP="00006539">
            <w:pPr>
              <w:autoSpaceDE w:val="0"/>
              <w:autoSpaceDN w:val="0"/>
              <w:adjustRightInd w:val="0"/>
              <w:spacing w:before="240" w:after="240" w:line="276" w:lineRule="auto"/>
              <w:jc w:val="center"/>
              <w:rPr>
                <w:rFonts w:ascii="Times New Roman" w:hAnsi="Times New Roman" w:cs="Times New Roman"/>
                <w:sz w:val="22"/>
                <w:szCs w:val="22"/>
              </w:rPr>
            </w:pPr>
            <w:r w:rsidRPr="00A605BB">
              <w:rPr>
                <w:rFonts w:ascii="Times New Roman" w:hAnsi="Times New Roman" w:cs="Times New Roman"/>
                <w:sz w:val="22"/>
                <w:szCs w:val="22"/>
              </w:rPr>
              <w:t>3.89</w:t>
            </w:r>
          </w:p>
        </w:tc>
        <w:tc>
          <w:tcPr>
            <w:tcW w:w="789" w:type="dxa"/>
            <w:tcBorders>
              <w:top w:val="single" w:sz="4" w:space="0" w:color="auto"/>
            </w:tcBorders>
          </w:tcPr>
          <w:p w14:paraId="53853764" w14:textId="57F913C1" w:rsidR="008A24E2" w:rsidRPr="00A605BB" w:rsidRDefault="008A24E2" w:rsidP="00006539">
            <w:pPr>
              <w:autoSpaceDE w:val="0"/>
              <w:autoSpaceDN w:val="0"/>
              <w:adjustRightInd w:val="0"/>
              <w:spacing w:before="240" w:after="240" w:line="276" w:lineRule="auto"/>
              <w:jc w:val="center"/>
              <w:rPr>
                <w:rFonts w:ascii="Times New Roman" w:hAnsi="Times New Roman" w:cs="Times New Roman"/>
                <w:sz w:val="22"/>
                <w:szCs w:val="22"/>
              </w:rPr>
            </w:pPr>
            <w:r w:rsidRPr="00A605BB">
              <w:rPr>
                <w:rFonts w:ascii="Times New Roman" w:hAnsi="Times New Roman" w:cs="Times New Roman"/>
                <w:sz w:val="22"/>
                <w:szCs w:val="22"/>
              </w:rPr>
              <w:t>.57</w:t>
            </w:r>
          </w:p>
        </w:tc>
      </w:tr>
      <w:tr w:rsidR="008A24E2" w:rsidRPr="00A605BB" w14:paraId="6EBD41A3" w14:textId="2ED63AF8" w:rsidTr="00812E82">
        <w:trPr>
          <w:trHeight w:val="526"/>
        </w:trPr>
        <w:tc>
          <w:tcPr>
            <w:tcW w:w="4395" w:type="dxa"/>
          </w:tcPr>
          <w:p w14:paraId="7AA578ED" w14:textId="01E73100" w:rsidR="008A24E2" w:rsidRPr="00A605BB" w:rsidRDefault="008A24E2" w:rsidP="005109FB">
            <w:pPr>
              <w:autoSpaceDE w:val="0"/>
              <w:autoSpaceDN w:val="0"/>
              <w:adjustRightInd w:val="0"/>
              <w:spacing w:after="240" w:line="276" w:lineRule="auto"/>
              <w:rPr>
                <w:rFonts w:ascii="Times New Roman" w:hAnsi="Times New Roman" w:cs="Times New Roman"/>
                <w:b/>
                <w:bCs/>
                <w:sz w:val="22"/>
                <w:szCs w:val="22"/>
              </w:rPr>
            </w:pPr>
            <w:r w:rsidRPr="00A605BB">
              <w:rPr>
                <w:rFonts w:ascii="Times New Roman" w:hAnsi="Times New Roman" w:cs="Times New Roman"/>
                <w:b/>
                <w:bCs/>
                <w:sz w:val="22"/>
                <w:szCs w:val="22"/>
              </w:rPr>
              <w:t>2. Supporting and cooperating</w:t>
            </w:r>
          </w:p>
        </w:tc>
        <w:tc>
          <w:tcPr>
            <w:tcW w:w="954" w:type="dxa"/>
          </w:tcPr>
          <w:p w14:paraId="2DA55E35" w14:textId="481D3B51" w:rsidR="008A24E2" w:rsidRPr="00A605BB" w:rsidRDefault="008A24E2" w:rsidP="005109FB">
            <w:pPr>
              <w:autoSpaceDE w:val="0"/>
              <w:autoSpaceDN w:val="0"/>
              <w:adjustRightInd w:val="0"/>
              <w:spacing w:after="240" w:line="276" w:lineRule="auto"/>
              <w:jc w:val="center"/>
              <w:rPr>
                <w:rFonts w:ascii="Times New Roman" w:hAnsi="Times New Roman" w:cs="Times New Roman"/>
                <w:sz w:val="22"/>
                <w:szCs w:val="22"/>
              </w:rPr>
            </w:pPr>
            <w:r w:rsidRPr="00A605BB">
              <w:rPr>
                <w:rFonts w:ascii="Times New Roman" w:hAnsi="Times New Roman" w:cs="Times New Roman"/>
                <w:sz w:val="22"/>
                <w:szCs w:val="22"/>
              </w:rPr>
              <w:t>3.89</w:t>
            </w:r>
          </w:p>
        </w:tc>
        <w:tc>
          <w:tcPr>
            <w:tcW w:w="1030" w:type="dxa"/>
          </w:tcPr>
          <w:p w14:paraId="3C1BD05A" w14:textId="5F7DAE03" w:rsidR="008A24E2" w:rsidRPr="00A605BB" w:rsidRDefault="008A24E2" w:rsidP="005109FB">
            <w:pPr>
              <w:autoSpaceDE w:val="0"/>
              <w:autoSpaceDN w:val="0"/>
              <w:adjustRightInd w:val="0"/>
              <w:spacing w:after="240" w:line="276" w:lineRule="auto"/>
              <w:jc w:val="center"/>
              <w:rPr>
                <w:rFonts w:ascii="Times New Roman" w:hAnsi="Times New Roman" w:cs="Times New Roman"/>
                <w:sz w:val="22"/>
                <w:szCs w:val="22"/>
              </w:rPr>
            </w:pPr>
            <w:r w:rsidRPr="00A605BB">
              <w:rPr>
                <w:rFonts w:ascii="Times New Roman" w:hAnsi="Times New Roman" w:cs="Times New Roman"/>
                <w:sz w:val="22"/>
                <w:szCs w:val="22"/>
              </w:rPr>
              <w:t>.45</w:t>
            </w:r>
          </w:p>
        </w:tc>
        <w:tc>
          <w:tcPr>
            <w:tcW w:w="479" w:type="dxa"/>
          </w:tcPr>
          <w:p w14:paraId="78659A7F" w14:textId="77777777" w:rsidR="008A24E2" w:rsidRPr="00A605BB" w:rsidRDefault="008A24E2" w:rsidP="005109FB">
            <w:pPr>
              <w:autoSpaceDE w:val="0"/>
              <w:autoSpaceDN w:val="0"/>
              <w:adjustRightInd w:val="0"/>
              <w:spacing w:after="240" w:line="276" w:lineRule="auto"/>
              <w:jc w:val="center"/>
              <w:rPr>
                <w:rFonts w:ascii="Times New Roman" w:hAnsi="Times New Roman" w:cs="Times New Roman"/>
                <w:sz w:val="22"/>
                <w:szCs w:val="22"/>
              </w:rPr>
            </w:pPr>
          </w:p>
        </w:tc>
        <w:tc>
          <w:tcPr>
            <w:tcW w:w="803" w:type="dxa"/>
          </w:tcPr>
          <w:p w14:paraId="1214CFE9" w14:textId="7920BFA8" w:rsidR="008A24E2" w:rsidRPr="00A605BB" w:rsidRDefault="008A24E2" w:rsidP="005109FB">
            <w:pPr>
              <w:autoSpaceDE w:val="0"/>
              <w:autoSpaceDN w:val="0"/>
              <w:adjustRightInd w:val="0"/>
              <w:spacing w:after="240" w:line="276" w:lineRule="auto"/>
              <w:jc w:val="center"/>
              <w:rPr>
                <w:rFonts w:ascii="Times New Roman" w:hAnsi="Times New Roman" w:cs="Times New Roman"/>
                <w:sz w:val="22"/>
                <w:szCs w:val="22"/>
              </w:rPr>
            </w:pPr>
            <w:r w:rsidRPr="00A605BB">
              <w:rPr>
                <w:rFonts w:ascii="Times New Roman" w:hAnsi="Times New Roman" w:cs="Times New Roman"/>
                <w:sz w:val="22"/>
                <w:szCs w:val="22"/>
              </w:rPr>
              <w:t>3.95</w:t>
            </w:r>
          </w:p>
        </w:tc>
        <w:tc>
          <w:tcPr>
            <w:tcW w:w="745" w:type="dxa"/>
          </w:tcPr>
          <w:p w14:paraId="4378CE7F" w14:textId="506CA33B" w:rsidR="008A24E2" w:rsidRPr="00A605BB" w:rsidRDefault="008A24E2" w:rsidP="005109FB">
            <w:pPr>
              <w:autoSpaceDE w:val="0"/>
              <w:autoSpaceDN w:val="0"/>
              <w:adjustRightInd w:val="0"/>
              <w:spacing w:after="240" w:line="276" w:lineRule="auto"/>
              <w:jc w:val="center"/>
              <w:rPr>
                <w:rFonts w:ascii="Times New Roman" w:hAnsi="Times New Roman" w:cs="Times New Roman"/>
                <w:sz w:val="22"/>
                <w:szCs w:val="22"/>
              </w:rPr>
            </w:pPr>
            <w:r w:rsidRPr="00A605BB">
              <w:rPr>
                <w:rFonts w:ascii="Times New Roman" w:hAnsi="Times New Roman" w:cs="Times New Roman"/>
                <w:sz w:val="22"/>
                <w:szCs w:val="22"/>
              </w:rPr>
              <w:t>.42</w:t>
            </w:r>
          </w:p>
        </w:tc>
        <w:tc>
          <w:tcPr>
            <w:tcW w:w="940" w:type="dxa"/>
          </w:tcPr>
          <w:p w14:paraId="0C96C877" w14:textId="6A6DA342" w:rsidR="008A24E2" w:rsidRPr="00A605BB" w:rsidRDefault="008A24E2" w:rsidP="005109FB">
            <w:pPr>
              <w:autoSpaceDE w:val="0"/>
              <w:autoSpaceDN w:val="0"/>
              <w:adjustRightInd w:val="0"/>
              <w:spacing w:after="240" w:line="276" w:lineRule="auto"/>
              <w:jc w:val="center"/>
              <w:rPr>
                <w:rFonts w:ascii="Times New Roman" w:hAnsi="Times New Roman" w:cs="Times New Roman"/>
                <w:sz w:val="22"/>
                <w:szCs w:val="22"/>
              </w:rPr>
            </w:pPr>
            <w:r w:rsidRPr="00A605BB">
              <w:rPr>
                <w:rFonts w:ascii="Times New Roman" w:hAnsi="Times New Roman" w:cs="Times New Roman"/>
                <w:sz w:val="22"/>
                <w:szCs w:val="22"/>
              </w:rPr>
              <w:t>4.00</w:t>
            </w:r>
          </w:p>
        </w:tc>
        <w:tc>
          <w:tcPr>
            <w:tcW w:w="642" w:type="dxa"/>
          </w:tcPr>
          <w:p w14:paraId="0F95270B" w14:textId="51FC90B8" w:rsidR="008A24E2" w:rsidRPr="00A605BB" w:rsidRDefault="008A24E2" w:rsidP="005109FB">
            <w:pPr>
              <w:autoSpaceDE w:val="0"/>
              <w:autoSpaceDN w:val="0"/>
              <w:adjustRightInd w:val="0"/>
              <w:spacing w:after="240" w:line="276" w:lineRule="auto"/>
              <w:jc w:val="center"/>
              <w:rPr>
                <w:rFonts w:ascii="Times New Roman" w:hAnsi="Times New Roman" w:cs="Times New Roman"/>
                <w:sz w:val="22"/>
                <w:szCs w:val="22"/>
              </w:rPr>
            </w:pPr>
            <w:r w:rsidRPr="00A605BB">
              <w:rPr>
                <w:rFonts w:ascii="Times New Roman" w:hAnsi="Times New Roman" w:cs="Times New Roman"/>
                <w:sz w:val="22"/>
                <w:szCs w:val="22"/>
              </w:rPr>
              <w:t>.51</w:t>
            </w:r>
          </w:p>
        </w:tc>
        <w:tc>
          <w:tcPr>
            <w:tcW w:w="488" w:type="dxa"/>
            <w:gridSpan w:val="2"/>
          </w:tcPr>
          <w:p w14:paraId="28A176B9" w14:textId="77777777" w:rsidR="008A24E2" w:rsidRPr="00A605BB" w:rsidRDefault="008A24E2" w:rsidP="005109FB">
            <w:pPr>
              <w:autoSpaceDE w:val="0"/>
              <w:autoSpaceDN w:val="0"/>
              <w:adjustRightInd w:val="0"/>
              <w:spacing w:after="240" w:line="276" w:lineRule="auto"/>
              <w:jc w:val="center"/>
              <w:rPr>
                <w:rFonts w:ascii="Times New Roman" w:hAnsi="Times New Roman" w:cs="Times New Roman"/>
                <w:sz w:val="22"/>
                <w:szCs w:val="22"/>
              </w:rPr>
            </w:pPr>
          </w:p>
        </w:tc>
        <w:tc>
          <w:tcPr>
            <w:tcW w:w="940" w:type="dxa"/>
          </w:tcPr>
          <w:p w14:paraId="6807921B" w14:textId="204F98B1" w:rsidR="008A24E2" w:rsidRPr="00A605BB" w:rsidRDefault="008A24E2" w:rsidP="005109FB">
            <w:pPr>
              <w:autoSpaceDE w:val="0"/>
              <w:autoSpaceDN w:val="0"/>
              <w:adjustRightInd w:val="0"/>
              <w:spacing w:after="240" w:line="276" w:lineRule="auto"/>
              <w:jc w:val="center"/>
              <w:rPr>
                <w:rFonts w:ascii="Times New Roman" w:hAnsi="Times New Roman" w:cs="Times New Roman"/>
                <w:sz w:val="22"/>
                <w:szCs w:val="22"/>
              </w:rPr>
            </w:pPr>
            <w:r w:rsidRPr="00A605BB">
              <w:rPr>
                <w:rFonts w:ascii="Times New Roman" w:hAnsi="Times New Roman" w:cs="Times New Roman"/>
                <w:sz w:val="22"/>
                <w:szCs w:val="22"/>
              </w:rPr>
              <w:t>4.12</w:t>
            </w:r>
          </w:p>
        </w:tc>
        <w:tc>
          <w:tcPr>
            <w:tcW w:w="719" w:type="dxa"/>
          </w:tcPr>
          <w:p w14:paraId="2DA2A7A6" w14:textId="33F00DED" w:rsidR="008A24E2" w:rsidRPr="00A605BB" w:rsidRDefault="008A24E2" w:rsidP="005109FB">
            <w:pPr>
              <w:autoSpaceDE w:val="0"/>
              <w:autoSpaceDN w:val="0"/>
              <w:adjustRightInd w:val="0"/>
              <w:spacing w:after="240" w:line="276" w:lineRule="auto"/>
              <w:jc w:val="center"/>
              <w:rPr>
                <w:rFonts w:ascii="Times New Roman" w:hAnsi="Times New Roman" w:cs="Times New Roman"/>
                <w:sz w:val="22"/>
                <w:szCs w:val="22"/>
              </w:rPr>
            </w:pPr>
            <w:r w:rsidRPr="00A605BB">
              <w:rPr>
                <w:rFonts w:ascii="Times New Roman" w:hAnsi="Times New Roman" w:cs="Times New Roman"/>
                <w:sz w:val="22"/>
                <w:szCs w:val="22"/>
              </w:rPr>
              <w:t>.42</w:t>
            </w:r>
          </w:p>
        </w:tc>
        <w:tc>
          <w:tcPr>
            <w:tcW w:w="940" w:type="dxa"/>
          </w:tcPr>
          <w:p w14:paraId="2A76C3B8" w14:textId="084C9A96" w:rsidR="008A24E2" w:rsidRPr="00A605BB" w:rsidRDefault="008A24E2" w:rsidP="005109FB">
            <w:pPr>
              <w:autoSpaceDE w:val="0"/>
              <w:autoSpaceDN w:val="0"/>
              <w:adjustRightInd w:val="0"/>
              <w:spacing w:after="240" w:line="276" w:lineRule="auto"/>
              <w:jc w:val="center"/>
              <w:rPr>
                <w:rFonts w:ascii="Times New Roman" w:hAnsi="Times New Roman" w:cs="Times New Roman"/>
                <w:sz w:val="22"/>
                <w:szCs w:val="22"/>
              </w:rPr>
            </w:pPr>
            <w:r w:rsidRPr="00A605BB">
              <w:rPr>
                <w:rFonts w:ascii="Times New Roman" w:hAnsi="Times New Roman" w:cs="Times New Roman"/>
                <w:sz w:val="22"/>
                <w:szCs w:val="22"/>
              </w:rPr>
              <w:t>4.23</w:t>
            </w:r>
          </w:p>
        </w:tc>
        <w:tc>
          <w:tcPr>
            <w:tcW w:w="789" w:type="dxa"/>
          </w:tcPr>
          <w:p w14:paraId="6BA112C9" w14:textId="505AF4A3" w:rsidR="008A24E2" w:rsidRPr="00A605BB" w:rsidRDefault="008A24E2" w:rsidP="005109FB">
            <w:pPr>
              <w:autoSpaceDE w:val="0"/>
              <w:autoSpaceDN w:val="0"/>
              <w:adjustRightInd w:val="0"/>
              <w:spacing w:after="240" w:line="276" w:lineRule="auto"/>
              <w:jc w:val="center"/>
              <w:rPr>
                <w:rFonts w:ascii="Times New Roman" w:hAnsi="Times New Roman" w:cs="Times New Roman"/>
                <w:sz w:val="22"/>
                <w:szCs w:val="22"/>
              </w:rPr>
            </w:pPr>
            <w:r w:rsidRPr="00A605BB">
              <w:rPr>
                <w:rFonts w:ascii="Times New Roman" w:hAnsi="Times New Roman" w:cs="Times New Roman"/>
                <w:sz w:val="22"/>
                <w:szCs w:val="22"/>
              </w:rPr>
              <w:t>.50</w:t>
            </w:r>
          </w:p>
        </w:tc>
      </w:tr>
      <w:tr w:rsidR="008A24E2" w:rsidRPr="00A605BB" w14:paraId="5E0550FA" w14:textId="06ED38C1" w:rsidTr="00812E82">
        <w:tc>
          <w:tcPr>
            <w:tcW w:w="4395" w:type="dxa"/>
          </w:tcPr>
          <w:p w14:paraId="6D8C0612" w14:textId="34FC5CE3" w:rsidR="008A24E2" w:rsidRPr="00A605BB" w:rsidRDefault="008A24E2" w:rsidP="005109FB">
            <w:pPr>
              <w:autoSpaceDE w:val="0"/>
              <w:autoSpaceDN w:val="0"/>
              <w:adjustRightInd w:val="0"/>
              <w:spacing w:after="240" w:line="276" w:lineRule="auto"/>
              <w:rPr>
                <w:rFonts w:ascii="Times New Roman" w:hAnsi="Times New Roman" w:cs="Times New Roman"/>
                <w:b/>
                <w:bCs/>
                <w:sz w:val="22"/>
                <w:szCs w:val="22"/>
              </w:rPr>
            </w:pPr>
            <w:r w:rsidRPr="00A605BB">
              <w:rPr>
                <w:rFonts w:ascii="Times New Roman" w:hAnsi="Times New Roman" w:cs="Times New Roman"/>
                <w:b/>
                <w:bCs/>
                <w:sz w:val="22"/>
                <w:szCs w:val="22"/>
              </w:rPr>
              <w:t xml:space="preserve">3. Interacting and </w:t>
            </w:r>
            <w:r w:rsidR="0058443F" w:rsidRPr="00A605BB">
              <w:rPr>
                <w:rFonts w:ascii="Times New Roman" w:hAnsi="Times New Roman" w:cs="Times New Roman"/>
                <w:b/>
                <w:bCs/>
                <w:sz w:val="22"/>
                <w:szCs w:val="22"/>
              </w:rPr>
              <w:t>presenting</w:t>
            </w:r>
          </w:p>
        </w:tc>
        <w:tc>
          <w:tcPr>
            <w:tcW w:w="954" w:type="dxa"/>
          </w:tcPr>
          <w:p w14:paraId="1D5D9C2D" w14:textId="2B945154" w:rsidR="008A24E2" w:rsidRPr="00A605BB" w:rsidRDefault="008A24E2" w:rsidP="005109FB">
            <w:pPr>
              <w:autoSpaceDE w:val="0"/>
              <w:autoSpaceDN w:val="0"/>
              <w:adjustRightInd w:val="0"/>
              <w:spacing w:after="240" w:line="276" w:lineRule="auto"/>
              <w:jc w:val="center"/>
              <w:rPr>
                <w:rFonts w:ascii="Times New Roman" w:hAnsi="Times New Roman" w:cs="Times New Roman"/>
                <w:sz w:val="22"/>
                <w:szCs w:val="22"/>
              </w:rPr>
            </w:pPr>
            <w:r w:rsidRPr="00A605BB">
              <w:rPr>
                <w:rFonts w:ascii="Times New Roman" w:hAnsi="Times New Roman" w:cs="Times New Roman"/>
                <w:sz w:val="22"/>
                <w:szCs w:val="22"/>
              </w:rPr>
              <w:t>3.36</w:t>
            </w:r>
          </w:p>
        </w:tc>
        <w:tc>
          <w:tcPr>
            <w:tcW w:w="1030" w:type="dxa"/>
          </w:tcPr>
          <w:p w14:paraId="2B3D25B1" w14:textId="12D9B796" w:rsidR="008A24E2" w:rsidRPr="00A605BB" w:rsidRDefault="008A24E2" w:rsidP="005109FB">
            <w:pPr>
              <w:autoSpaceDE w:val="0"/>
              <w:autoSpaceDN w:val="0"/>
              <w:adjustRightInd w:val="0"/>
              <w:spacing w:after="240" w:line="276" w:lineRule="auto"/>
              <w:jc w:val="center"/>
              <w:rPr>
                <w:rFonts w:ascii="Times New Roman" w:hAnsi="Times New Roman" w:cs="Times New Roman"/>
                <w:sz w:val="22"/>
                <w:szCs w:val="22"/>
              </w:rPr>
            </w:pPr>
            <w:r w:rsidRPr="00A605BB">
              <w:rPr>
                <w:rFonts w:ascii="Times New Roman" w:hAnsi="Times New Roman" w:cs="Times New Roman"/>
                <w:sz w:val="22"/>
                <w:szCs w:val="22"/>
              </w:rPr>
              <w:t>.50</w:t>
            </w:r>
          </w:p>
        </w:tc>
        <w:tc>
          <w:tcPr>
            <w:tcW w:w="479" w:type="dxa"/>
          </w:tcPr>
          <w:p w14:paraId="0823BF00" w14:textId="77777777" w:rsidR="008A24E2" w:rsidRPr="00A605BB" w:rsidRDefault="008A24E2" w:rsidP="005109FB">
            <w:pPr>
              <w:autoSpaceDE w:val="0"/>
              <w:autoSpaceDN w:val="0"/>
              <w:adjustRightInd w:val="0"/>
              <w:spacing w:after="240" w:line="276" w:lineRule="auto"/>
              <w:jc w:val="center"/>
              <w:rPr>
                <w:rFonts w:ascii="Times New Roman" w:hAnsi="Times New Roman" w:cs="Times New Roman"/>
                <w:sz w:val="22"/>
                <w:szCs w:val="22"/>
              </w:rPr>
            </w:pPr>
          </w:p>
        </w:tc>
        <w:tc>
          <w:tcPr>
            <w:tcW w:w="803" w:type="dxa"/>
          </w:tcPr>
          <w:p w14:paraId="63DBCBBE" w14:textId="7E25B87E" w:rsidR="008A24E2" w:rsidRPr="00A605BB" w:rsidRDefault="008A24E2" w:rsidP="005109FB">
            <w:pPr>
              <w:autoSpaceDE w:val="0"/>
              <w:autoSpaceDN w:val="0"/>
              <w:adjustRightInd w:val="0"/>
              <w:spacing w:after="240" w:line="276" w:lineRule="auto"/>
              <w:jc w:val="center"/>
              <w:rPr>
                <w:rFonts w:ascii="Times New Roman" w:hAnsi="Times New Roman" w:cs="Times New Roman"/>
                <w:sz w:val="22"/>
                <w:szCs w:val="22"/>
              </w:rPr>
            </w:pPr>
            <w:r w:rsidRPr="00A605BB">
              <w:rPr>
                <w:rFonts w:ascii="Times New Roman" w:hAnsi="Times New Roman" w:cs="Times New Roman"/>
                <w:sz w:val="22"/>
                <w:szCs w:val="22"/>
              </w:rPr>
              <w:t>3.45</w:t>
            </w:r>
          </w:p>
        </w:tc>
        <w:tc>
          <w:tcPr>
            <w:tcW w:w="745" w:type="dxa"/>
          </w:tcPr>
          <w:p w14:paraId="02242D11" w14:textId="5182B284" w:rsidR="008A24E2" w:rsidRPr="00A605BB" w:rsidRDefault="008A24E2" w:rsidP="005109FB">
            <w:pPr>
              <w:autoSpaceDE w:val="0"/>
              <w:autoSpaceDN w:val="0"/>
              <w:adjustRightInd w:val="0"/>
              <w:spacing w:after="240" w:line="276" w:lineRule="auto"/>
              <w:jc w:val="center"/>
              <w:rPr>
                <w:rFonts w:ascii="Times New Roman" w:hAnsi="Times New Roman" w:cs="Times New Roman"/>
                <w:sz w:val="22"/>
                <w:szCs w:val="22"/>
              </w:rPr>
            </w:pPr>
            <w:r w:rsidRPr="00A605BB">
              <w:rPr>
                <w:rFonts w:ascii="Times New Roman" w:hAnsi="Times New Roman" w:cs="Times New Roman"/>
                <w:sz w:val="22"/>
                <w:szCs w:val="22"/>
              </w:rPr>
              <w:t>.48</w:t>
            </w:r>
          </w:p>
        </w:tc>
        <w:tc>
          <w:tcPr>
            <w:tcW w:w="940" w:type="dxa"/>
          </w:tcPr>
          <w:p w14:paraId="40E18E03" w14:textId="1CF5C0AE" w:rsidR="008A24E2" w:rsidRPr="00A605BB" w:rsidRDefault="008A24E2" w:rsidP="005109FB">
            <w:pPr>
              <w:autoSpaceDE w:val="0"/>
              <w:autoSpaceDN w:val="0"/>
              <w:adjustRightInd w:val="0"/>
              <w:spacing w:after="240" w:line="276" w:lineRule="auto"/>
              <w:jc w:val="center"/>
              <w:rPr>
                <w:rFonts w:ascii="Times New Roman" w:hAnsi="Times New Roman" w:cs="Times New Roman"/>
                <w:sz w:val="22"/>
                <w:szCs w:val="22"/>
              </w:rPr>
            </w:pPr>
            <w:r w:rsidRPr="00A605BB">
              <w:rPr>
                <w:rFonts w:ascii="Times New Roman" w:hAnsi="Times New Roman" w:cs="Times New Roman"/>
                <w:sz w:val="22"/>
                <w:szCs w:val="22"/>
              </w:rPr>
              <w:t>3.62</w:t>
            </w:r>
          </w:p>
        </w:tc>
        <w:tc>
          <w:tcPr>
            <w:tcW w:w="642" w:type="dxa"/>
          </w:tcPr>
          <w:p w14:paraId="2811E2B5" w14:textId="6A6688F4" w:rsidR="008A24E2" w:rsidRPr="00A605BB" w:rsidRDefault="008A24E2" w:rsidP="005109FB">
            <w:pPr>
              <w:autoSpaceDE w:val="0"/>
              <w:autoSpaceDN w:val="0"/>
              <w:adjustRightInd w:val="0"/>
              <w:spacing w:after="240" w:line="276" w:lineRule="auto"/>
              <w:jc w:val="center"/>
              <w:rPr>
                <w:rFonts w:ascii="Times New Roman" w:hAnsi="Times New Roman" w:cs="Times New Roman"/>
                <w:sz w:val="22"/>
                <w:szCs w:val="22"/>
              </w:rPr>
            </w:pPr>
            <w:r w:rsidRPr="00A605BB">
              <w:rPr>
                <w:rFonts w:ascii="Times New Roman" w:hAnsi="Times New Roman" w:cs="Times New Roman"/>
                <w:sz w:val="22"/>
                <w:szCs w:val="22"/>
              </w:rPr>
              <w:t>.55</w:t>
            </w:r>
          </w:p>
        </w:tc>
        <w:tc>
          <w:tcPr>
            <w:tcW w:w="488" w:type="dxa"/>
            <w:gridSpan w:val="2"/>
          </w:tcPr>
          <w:p w14:paraId="3AC0C984" w14:textId="77777777" w:rsidR="008A24E2" w:rsidRPr="00A605BB" w:rsidRDefault="008A24E2" w:rsidP="005109FB">
            <w:pPr>
              <w:autoSpaceDE w:val="0"/>
              <w:autoSpaceDN w:val="0"/>
              <w:adjustRightInd w:val="0"/>
              <w:spacing w:after="240" w:line="276" w:lineRule="auto"/>
              <w:jc w:val="center"/>
              <w:rPr>
                <w:rFonts w:ascii="Times New Roman" w:hAnsi="Times New Roman" w:cs="Times New Roman"/>
                <w:sz w:val="22"/>
                <w:szCs w:val="22"/>
              </w:rPr>
            </w:pPr>
          </w:p>
        </w:tc>
        <w:tc>
          <w:tcPr>
            <w:tcW w:w="940" w:type="dxa"/>
          </w:tcPr>
          <w:p w14:paraId="51330D86" w14:textId="36E999DF" w:rsidR="008A24E2" w:rsidRPr="00A605BB" w:rsidRDefault="008A24E2" w:rsidP="005109FB">
            <w:pPr>
              <w:autoSpaceDE w:val="0"/>
              <w:autoSpaceDN w:val="0"/>
              <w:adjustRightInd w:val="0"/>
              <w:spacing w:after="240" w:line="276" w:lineRule="auto"/>
              <w:jc w:val="center"/>
              <w:rPr>
                <w:rFonts w:ascii="Times New Roman" w:hAnsi="Times New Roman" w:cs="Times New Roman"/>
                <w:sz w:val="22"/>
                <w:szCs w:val="22"/>
              </w:rPr>
            </w:pPr>
            <w:r w:rsidRPr="00A605BB">
              <w:rPr>
                <w:rFonts w:ascii="Times New Roman" w:hAnsi="Times New Roman" w:cs="Times New Roman"/>
                <w:sz w:val="22"/>
                <w:szCs w:val="22"/>
              </w:rPr>
              <w:t>3.70</w:t>
            </w:r>
          </w:p>
        </w:tc>
        <w:tc>
          <w:tcPr>
            <w:tcW w:w="719" w:type="dxa"/>
          </w:tcPr>
          <w:p w14:paraId="5F4C89E5" w14:textId="5E33ED96" w:rsidR="008A24E2" w:rsidRPr="00A605BB" w:rsidRDefault="008A24E2" w:rsidP="005109FB">
            <w:pPr>
              <w:autoSpaceDE w:val="0"/>
              <w:autoSpaceDN w:val="0"/>
              <w:adjustRightInd w:val="0"/>
              <w:spacing w:after="240" w:line="276" w:lineRule="auto"/>
              <w:jc w:val="center"/>
              <w:rPr>
                <w:rFonts w:ascii="Times New Roman" w:hAnsi="Times New Roman" w:cs="Times New Roman"/>
                <w:sz w:val="22"/>
                <w:szCs w:val="22"/>
              </w:rPr>
            </w:pPr>
            <w:r w:rsidRPr="00A605BB">
              <w:rPr>
                <w:rFonts w:ascii="Times New Roman" w:hAnsi="Times New Roman" w:cs="Times New Roman"/>
                <w:sz w:val="22"/>
                <w:szCs w:val="22"/>
              </w:rPr>
              <w:t>.47</w:t>
            </w:r>
          </w:p>
        </w:tc>
        <w:tc>
          <w:tcPr>
            <w:tcW w:w="940" w:type="dxa"/>
          </w:tcPr>
          <w:p w14:paraId="00E105F7" w14:textId="1C1FE662" w:rsidR="008A24E2" w:rsidRPr="00A605BB" w:rsidRDefault="008A24E2" w:rsidP="005109FB">
            <w:pPr>
              <w:autoSpaceDE w:val="0"/>
              <w:autoSpaceDN w:val="0"/>
              <w:adjustRightInd w:val="0"/>
              <w:spacing w:after="240" w:line="276" w:lineRule="auto"/>
              <w:jc w:val="center"/>
              <w:rPr>
                <w:rFonts w:ascii="Times New Roman" w:hAnsi="Times New Roman" w:cs="Times New Roman"/>
                <w:sz w:val="22"/>
                <w:szCs w:val="22"/>
              </w:rPr>
            </w:pPr>
            <w:r w:rsidRPr="00A605BB">
              <w:rPr>
                <w:rFonts w:ascii="Times New Roman" w:hAnsi="Times New Roman" w:cs="Times New Roman"/>
                <w:sz w:val="22"/>
                <w:szCs w:val="22"/>
              </w:rPr>
              <w:t>3.91</w:t>
            </w:r>
          </w:p>
        </w:tc>
        <w:tc>
          <w:tcPr>
            <w:tcW w:w="789" w:type="dxa"/>
          </w:tcPr>
          <w:p w14:paraId="55A70A52" w14:textId="5B2051CE" w:rsidR="008A24E2" w:rsidRPr="00A605BB" w:rsidRDefault="008A24E2" w:rsidP="005109FB">
            <w:pPr>
              <w:autoSpaceDE w:val="0"/>
              <w:autoSpaceDN w:val="0"/>
              <w:adjustRightInd w:val="0"/>
              <w:spacing w:after="240" w:line="276" w:lineRule="auto"/>
              <w:jc w:val="center"/>
              <w:rPr>
                <w:rFonts w:ascii="Times New Roman" w:hAnsi="Times New Roman" w:cs="Times New Roman"/>
                <w:sz w:val="22"/>
                <w:szCs w:val="22"/>
              </w:rPr>
            </w:pPr>
            <w:r w:rsidRPr="00A605BB">
              <w:rPr>
                <w:rFonts w:ascii="Times New Roman" w:hAnsi="Times New Roman" w:cs="Times New Roman"/>
                <w:sz w:val="22"/>
                <w:szCs w:val="22"/>
              </w:rPr>
              <w:t>.53</w:t>
            </w:r>
          </w:p>
        </w:tc>
      </w:tr>
      <w:tr w:rsidR="008A24E2" w:rsidRPr="00A605BB" w14:paraId="4F40AE8B" w14:textId="51D95C3D" w:rsidTr="00812E82">
        <w:tc>
          <w:tcPr>
            <w:tcW w:w="4395" w:type="dxa"/>
          </w:tcPr>
          <w:p w14:paraId="0D006D2D" w14:textId="0CD156E9" w:rsidR="008A24E2" w:rsidRPr="00A605BB" w:rsidRDefault="008A24E2" w:rsidP="005109FB">
            <w:pPr>
              <w:autoSpaceDE w:val="0"/>
              <w:autoSpaceDN w:val="0"/>
              <w:adjustRightInd w:val="0"/>
              <w:spacing w:after="240" w:line="276" w:lineRule="auto"/>
              <w:rPr>
                <w:rFonts w:ascii="Times New Roman" w:hAnsi="Times New Roman" w:cs="Times New Roman"/>
                <w:b/>
                <w:bCs/>
                <w:sz w:val="22"/>
                <w:szCs w:val="22"/>
              </w:rPr>
            </w:pPr>
            <w:r w:rsidRPr="00A605BB">
              <w:rPr>
                <w:rFonts w:ascii="Times New Roman" w:hAnsi="Times New Roman" w:cs="Times New Roman"/>
                <w:b/>
                <w:bCs/>
                <w:sz w:val="22"/>
                <w:szCs w:val="22"/>
              </w:rPr>
              <w:t>4. Analysing and interpreting</w:t>
            </w:r>
          </w:p>
        </w:tc>
        <w:tc>
          <w:tcPr>
            <w:tcW w:w="954" w:type="dxa"/>
          </w:tcPr>
          <w:p w14:paraId="2D834A4F" w14:textId="2A03D993" w:rsidR="008A24E2" w:rsidRPr="00A605BB" w:rsidRDefault="008A24E2" w:rsidP="005109FB">
            <w:pPr>
              <w:autoSpaceDE w:val="0"/>
              <w:autoSpaceDN w:val="0"/>
              <w:adjustRightInd w:val="0"/>
              <w:spacing w:after="240" w:line="276" w:lineRule="auto"/>
              <w:jc w:val="center"/>
              <w:rPr>
                <w:rFonts w:ascii="Times New Roman" w:hAnsi="Times New Roman" w:cs="Times New Roman"/>
                <w:sz w:val="22"/>
                <w:szCs w:val="22"/>
              </w:rPr>
            </w:pPr>
            <w:r w:rsidRPr="00A605BB">
              <w:rPr>
                <w:rFonts w:ascii="Times New Roman" w:hAnsi="Times New Roman" w:cs="Times New Roman"/>
                <w:sz w:val="22"/>
                <w:szCs w:val="22"/>
              </w:rPr>
              <w:t>3.49</w:t>
            </w:r>
          </w:p>
        </w:tc>
        <w:tc>
          <w:tcPr>
            <w:tcW w:w="1030" w:type="dxa"/>
          </w:tcPr>
          <w:p w14:paraId="20C678C4" w14:textId="13A430A4" w:rsidR="008A24E2" w:rsidRPr="00A605BB" w:rsidRDefault="008A24E2" w:rsidP="005109FB">
            <w:pPr>
              <w:autoSpaceDE w:val="0"/>
              <w:autoSpaceDN w:val="0"/>
              <w:adjustRightInd w:val="0"/>
              <w:spacing w:after="240" w:line="276" w:lineRule="auto"/>
              <w:jc w:val="center"/>
              <w:rPr>
                <w:rFonts w:ascii="Times New Roman" w:hAnsi="Times New Roman" w:cs="Times New Roman"/>
                <w:sz w:val="22"/>
                <w:szCs w:val="22"/>
              </w:rPr>
            </w:pPr>
            <w:r w:rsidRPr="00A605BB">
              <w:rPr>
                <w:rFonts w:ascii="Times New Roman" w:hAnsi="Times New Roman" w:cs="Times New Roman"/>
                <w:sz w:val="22"/>
                <w:szCs w:val="22"/>
              </w:rPr>
              <w:t>.52</w:t>
            </w:r>
          </w:p>
        </w:tc>
        <w:tc>
          <w:tcPr>
            <w:tcW w:w="479" w:type="dxa"/>
          </w:tcPr>
          <w:p w14:paraId="1443B7EE" w14:textId="77777777" w:rsidR="008A24E2" w:rsidRPr="00A605BB" w:rsidRDefault="008A24E2" w:rsidP="005109FB">
            <w:pPr>
              <w:autoSpaceDE w:val="0"/>
              <w:autoSpaceDN w:val="0"/>
              <w:adjustRightInd w:val="0"/>
              <w:spacing w:after="240" w:line="276" w:lineRule="auto"/>
              <w:jc w:val="center"/>
              <w:rPr>
                <w:rFonts w:ascii="Times New Roman" w:hAnsi="Times New Roman" w:cs="Times New Roman"/>
                <w:sz w:val="22"/>
                <w:szCs w:val="22"/>
              </w:rPr>
            </w:pPr>
          </w:p>
        </w:tc>
        <w:tc>
          <w:tcPr>
            <w:tcW w:w="803" w:type="dxa"/>
          </w:tcPr>
          <w:p w14:paraId="7913B64A" w14:textId="22BEFEDA" w:rsidR="008A24E2" w:rsidRPr="00A605BB" w:rsidRDefault="008A24E2" w:rsidP="005109FB">
            <w:pPr>
              <w:autoSpaceDE w:val="0"/>
              <w:autoSpaceDN w:val="0"/>
              <w:adjustRightInd w:val="0"/>
              <w:spacing w:after="240" w:line="276" w:lineRule="auto"/>
              <w:jc w:val="center"/>
              <w:rPr>
                <w:rFonts w:ascii="Times New Roman" w:hAnsi="Times New Roman" w:cs="Times New Roman"/>
                <w:sz w:val="22"/>
                <w:szCs w:val="22"/>
              </w:rPr>
            </w:pPr>
            <w:r w:rsidRPr="00A605BB">
              <w:rPr>
                <w:rFonts w:ascii="Times New Roman" w:hAnsi="Times New Roman" w:cs="Times New Roman"/>
                <w:sz w:val="22"/>
                <w:szCs w:val="22"/>
              </w:rPr>
              <w:t>3.74</w:t>
            </w:r>
          </w:p>
        </w:tc>
        <w:tc>
          <w:tcPr>
            <w:tcW w:w="745" w:type="dxa"/>
          </w:tcPr>
          <w:p w14:paraId="044532D7" w14:textId="39D634C7" w:rsidR="008A24E2" w:rsidRPr="00A605BB" w:rsidRDefault="008A24E2" w:rsidP="005109FB">
            <w:pPr>
              <w:autoSpaceDE w:val="0"/>
              <w:autoSpaceDN w:val="0"/>
              <w:adjustRightInd w:val="0"/>
              <w:spacing w:after="240" w:line="276" w:lineRule="auto"/>
              <w:jc w:val="center"/>
              <w:rPr>
                <w:rFonts w:ascii="Times New Roman" w:hAnsi="Times New Roman" w:cs="Times New Roman"/>
                <w:sz w:val="22"/>
                <w:szCs w:val="22"/>
              </w:rPr>
            </w:pPr>
            <w:r w:rsidRPr="00A605BB">
              <w:rPr>
                <w:rFonts w:ascii="Times New Roman" w:hAnsi="Times New Roman" w:cs="Times New Roman"/>
                <w:sz w:val="22"/>
                <w:szCs w:val="22"/>
              </w:rPr>
              <w:t>.47</w:t>
            </w:r>
          </w:p>
        </w:tc>
        <w:tc>
          <w:tcPr>
            <w:tcW w:w="940" w:type="dxa"/>
          </w:tcPr>
          <w:p w14:paraId="6DBC229E" w14:textId="04D8A658" w:rsidR="008A24E2" w:rsidRPr="00A605BB" w:rsidRDefault="008A24E2" w:rsidP="005109FB">
            <w:pPr>
              <w:autoSpaceDE w:val="0"/>
              <w:autoSpaceDN w:val="0"/>
              <w:adjustRightInd w:val="0"/>
              <w:spacing w:after="240" w:line="276" w:lineRule="auto"/>
              <w:jc w:val="center"/>
              <w:rPr>
                <w:rFonts w:ascii="Times New Roman" w:hAnsi="Times New Roman" w:cs="Times New Roman"/>
                <w:sz w:val="22"/>
                <w:szCs w:val="22"/>
              </w:rPr>
            </w:pPr>
            <w:r w:rsidRPr="00A605BB">
              <w:rPr>
                <w:rFonts w:ascii="Times New Roman" w:hAnsi="Times New Roman" w:cs="Times New Roman"/>
                <w:sz w:val="22"/>
                <w:szCs w:val="22"/>
              </w:rPr>
              <w:t>3.82</w:t>
            </w:r>
          </w:p>
        </w:tc>
        <w:tc>
          <w:tcPr>
            <w:tcW w:w="642" w:type="dxa"/>
          </w:tcPr>
          <w:p w14:paraId="6588F04C" w14:textId="39BCD3CE" w:rsidR="008A24E2" w:rsidRPr="00A605BB" w:rsidRDefault="008A24E2" w:rsidP="005109FB">
            <w:pPr>
              <w:autoSpaceDE w:val="0"/>
              <w:autoSpaceDN w:val="0"/>
              <w:adjustRightInd w:val="0"/>
              <w:spacing w:after="240" w:line="276" w:lineRule="auto"/>
              <w:jc w:val="center"/>
              <w:rPr>
                <w:rFonts w:ascii="Times New Roman" w:hAnsi="Times New Roman" w:cs="Times New Roman"/>
                <w:sz w:val="22"/>
                <w:szCs w:val="22"/>
              </w:rPr>
            </w:pPr>
            <w:r w:rsidRPr="00A605BB">
              <w:rPr>
                <w:rFonts w:ascii="Times New Roman" w:hAnsi="Times New Roman" w:cs="Times New Roman"/>
                <w:sz w:val="22"/>
                <w:szCs w:val="22"/>
              </w:rPr>
              <w:t>.56</w:t>
            </w:r>
          </w:p>
        </w:tc>
        <w:tc>
          <w:tcPr>
            <w:tcW w:w="488" w:type="dxa"/>
            <w:gridSpan w:val="2"/>
          </w:tcPr>
          <w:p w14:paraId="22B5793C" w14:textId="77777777" w:rsidR="008A24E2" w:rsidRPr="00A605BB" w:rsidRDefault="008A24E2" w:rsidP="005109FB">
            <w:pPr>
              <w:autoSpaceDE w:val="0"/>
              <w:autoSpaceDN w:val="0"/>
              <w:adjustRightInd w:val="0"/>
              <w:spacing w:after="240" w:line="276" w:lineRule="auto"/>
              <w:jc w:val="center"/>
              <w:rPr>
                <w:rFonts w:ascii="Times New Roman" w:hAnsi="Times New Roman" w:cs="Times New Roman"/>
                <w:sz w:val="22"/>
                <w:szCs w:val="22"/>
              </w:rPr>
            </w:pPr>
          </w:p>
        </w:tc>
        <w:tc>
          <w:tcPr>
            <w:tcW w:w="940" w:type="dxa"/>
          </w:tcPr>
          <w:p w14:paraId="517778D6" w14:textId="1DD580A8" w:rsidR="008A24E2" w:rsidRPr="00A605BB" w:rsidRDefault="008A24E2" w:rsidP="005109FB">
            <w:pPr>
              <w:autoSpaceDE w:val="0"/>
              <w:autoSpaceDN w:val="0"/>
              <w:adjustRightInd w:val="0"/>
              <w:spacing w:after="240" w:line="276" w:lineRule="auto"/>
              <w:jc w:val="center"/>
              <w:rPr>
                <w:rFonts w:ascii="Times New Roman" w:hAnsi="Times New Roman" w:cs="Times New Roman"/>
                <w:sz w:val="22"/>
                <w:szCs w:val="22"/>
              </w:rPr>
            </w:pPr>
            <w:r w:rsidRPr="00A605BB">
              <w:rPr>
                <w:rFonts w:ascii="Times New Roman" w:hAnsi="Times New Roman" w:cs="Times New Roman"/>
                <w:sz w:val="22"/>
                <w:szCs w:val="22"/>
              </w:rPr>
              <w:t>3.97</w:t>
            </w:r>
          </w:p>
        </w:tc>
        <w:tc>
          <w:tcPr>
            <w:tcW w:w="719" w:type="dxa"/>
          </w:tcPr>
          <w:p w14:paraId="6B916614" w14:textId="3F4BB072" w:rsidR="008A24E2" w:rsidRPr="00A605BB" w:rsidRDefault="008A24E2" w:rsidP="005109FB">
            <w:pPr>
              <w:autoSpaceDE w:val="0"/>
              <w:autoSpaceDN w:val="0"/>
              <w:adjustRightInd w:val="0"/>
              <w:spacing w:after="240" w:line="276" w:lineRule="auto"/>
              <w:jc w:val="center"/>
              <w:rPr>
                <w:rFonts w:ascii="Times New Roman" w:hAnsi="Times New Roman" w:cs="Times New Roman"/>
                <w:sz w:val="22"/>
                <w:szCs w:val="22"/>
              </w:rPr>
            </w:pPr>
            <w:r w:rsidRPr="00A605BB">
              <w:rPr>
                <w:rFonts w:ascii="Times New Roman" w:hAnsi="Times New Roman" w:cs="Times New Roman"/>
                <w:sz w:val="22"/>
                <w:szCs w:val="22"/>
              </w:rPr>
              <w:t>.48</w:t>
            </w:r>
          </w:p>
        </w:tc>
        <w:tc>
          <w:tcPr>
            <w:tcW w:w="940" w:type="dxa"/>
          </w:tcPr>
          <w:p w14:paraId="24B87147" w14:textId="25DB3894" w:rsidR="008A24E2" w:rsidRPr="00A605BB" w:rsidRDefault="008A24E2" w:rsidP="005109FB">
            <w:pPr>
              <w:autoSpaceDE w:val="0"/>
              <w:autoSpaceDN w:val="0"/>
              <w:adjustRightInd w:val="0"/>
              <w:spacing w:after="240" w:line="276" w:lineRule="auto"/>
              <w:jc w:val="center"/>
              <w:rPr>
                <w:rFonts w:ascii="Times New Roman" w:hAnsi="Times New Roman" w:cs="Times New Roman"/>
                <w:sz w:val="22"/>
                <w:szCs w:val="22"/>
              </w:rPr>
            </w:pPr>
            <w:r w:rsidRPr="00A605BB">
              <w:rPr>
                <w:rFonts w:ascii="Times New Roman" w:hAnsi="Times New Roman" w:cs="Times New Roman"/>
                <w:sz w:val="22"/>
                <w:szCs w:val="22"/>
              </w:rPr>
              <w:t>4.06</w:t>
            </w:r>
          </w:p>
        </w:tc>
        <w:tc>
          <w:tcPr>
            <w:tcW w:w="789" w:type="dxa"/>
          </w:tcPr>
          <w:p w14:paraId="1AB4843A" w14:textId="5DDE46C9" w:rsidR="008A24E2" w:rsidRPr="00A605BB" w:rsidRDefault="008A24E2" w:rsidP="005109FB">
            <w:pPr>
              <w:autoSpaceDE w:val="0"/>
              <w:autoSpaceDN w:val="0"/>
              <w:adjustRightInd w:val="0"/>
              <w:spacing w:after="240" w:line="276" w:lineRule="auto"/>
              <w:jc w:val="center"/>
              <w:rPr>
                <w:rFonts w:ascii="Times New Roman" w:hAnsi="Times New Roman" w:cs="Times New Roman"/>
                <w:sz w:val="22"/>
                <w:szCs w:val="22"/>
              </w:rPr>
            </w:pPr>
            <w:r w:rsidRPr="00A605BB">
              <w:rPr>
                <w:rFonts w:ascii="Times New Roman" w:hAnsi="Times New Roman" w:cs="Times New Roman"/>
                <w:sz w:val="22"/>
                <w:szCs w:val="22"/>
              </w:rPr>
              <w:t>.51</w:t>
            </w:r>
          </w:p>
        </w:tc>
      </w:tr>
      <w:tr w:rsidR="008A24E2" w:rsidRPr="00A605BB" w14:paraId="207C4E24" w14:textId="2ED8F492" w:rsidTr="00812E82">
        <w:tc>
          <w:tcPr>
            <w:tcW w:w="4395" w:type="dxa"/>
          </w:tcPr>
          <w:p w14:paraId="7F74E023" w14:textId="4A60F606" w:rsidR="008A24E2" w:rsidRPr="00A605BB" w:rsidRDefault="008D552C" w:rsidP="005109FB">
            <w:pPr>
              <w:autoSpaceDE w:val="0"/>
              <w:autoSpaceDN w:val="0"/>
              <w:adjustRightInd w:val="0"/>
              <w:spacing w:after="240" w:line="276" w:lineRule="auto"/>
              <w:rPr>
                <w:rFonts w:ascii="Times New Roman" w:hAnsi="Times New Roman" w:cs="Times New Roman"/>
                <w:b/>
                <w:bCs/>
                <w:sz w:val="22"/>
                <w:szCs w:val="22"/>
              </w:rPr>
            </w:pPr>
            <w:r w:rsidRPr="00A605BB">
              <w:rPr>
                <w:rFonts w:ascii="Times New Roman" w:hAnsi="Times New Roman" w:cs="Times New Roman"/>
                <w:b/>
                <w:bCs/>
                <w:sz w:val="22"/>
                <w:szCs w:val="22"/>
              </w:rPr>
              <w:t xml:space="preserve">5. </w:t>
            </w:r>
            <w:r w:rsidR="008A24E2" w:rsidRPr="00A605BB">
              <w:rPr>
                <w:rFonts w:ascii="Times New Roman" w:hAnsi="Times New Roman" w:cs="Times New Roman"/>
                <w:b/>
                <w:bCs/>
                <w:sz w:val="22"/>
                <w:szCs w:val="22"/>
              </w:rPr>
              <w:t>Creating and conceptualising</w:t>
            </w:r>
          </w:p>
        </w:tc>
        <w:tc>
          <w:tcPr>
            <w:tcW w:w="954" w:type="dxa"/>
          </w:tcPr>
          <w:p w14:paraId="1FF228AC" w14:textId="3F1EB6BD" w:rsidR="008A24E2" w:rsidRPr="00A605BB" w:rsidRDefault="008A24E2" w:rsidP="005109FB">
            <w:pPr>
              <w:autoSpaceDE w:val="0"/>
              <w:autoSpaceDN w:val="0"/>
              <w:adjustRightInd w:val="0"/>
              <w:spacing w:after="240" w:line="276" w:lineRule="auto"/>
              <w:jc w:val="center"/>
              <w:rPr>
                <w:rFonts w:ascii="Times New Roman" w:hAnsi="Times New Roman" w:cs="Times New Roman"/>
                <w:sz w:val="22"/>
                <w:szCs w:val="22"/>
              </w:rPr>
            </w:pPr>
            <w:r w:rsidRPr="00A605BB">
              <w:rPr>
                <w:rFonts w:ascii="Times New Roman" w:hAnsi="Times New Roman" w:cs="Times New Roman"/>
                <w:sz w:val="22"/>
                <w:szCs w:val="22"/>
              </w:rPr>
              <w:t>3.50</w:t>
            </w:r>
          </w:p>
        </w:tc>
        <w:tc>
          <w:tcPr>
            <w:tcW w:w="1030" w:type="dxa"/>
          </w:tcPr>
          <w:p w14:paraId="280F15AB" w14:textId="3FBC71D5" w:rsidR="008A24E2" w:rsidRPr="00A605BB" w:rsidRDefault="008A24E2" w:rsidP="005109FB">
            <w:pPr>
              <w:autoSpaceDE w:val="0"/>
              <w:autoSpaceDN w:val="0"/>
              <w:adjustRightInd w:val="0"/>
              <w:spacing w:after="240" w:line="276" w:lineRule="auto"/>
              <w:jc w:val="center"/>
              <w:rPr>
                <w:rFonts w:ascii="Times New Roman" w:hAnsi="Times New Roman" w:cs="Times New Roman"/>
                <w:sz w:val="22"/>
                <w:szCs w:val="22"/>
              </w:rPr>
            </w:pPr>
            <w:r w:rsidRPr="00A605BB">
              <w:rPr>
                <w:rFonts w:ascii="Times New Roman" w:hAnsi="Times New Roman" w:cs="Times New Roman"/>
                <w:sz w:val="22"/>
                <w:szCs w:val="22"/>
              </w:rPr>
              <w:t>.51</w:t>
            </w:r>
          </w:p>
        </w:tc>
        <w:tc>
          <w:tcPr>
            <w:tcW w:w="479" w:type="dxa"/>
          </w:tcPr>
          <w:p w14:paraId="15C728F4" w14:textId="77777777" w:rsidR="008A24E2" w:rsidRPr="00A605BB" w:rsidRDefault="008A24E2" w:rsidP="005109FB">
            <w:pPr>
              <w:autoSpaceDE w:val="0"/>
              <w:autoSpaceDN w:val="0"/>
              <w:adjustRightInd w:val="0"/>
              <w:spacing w:after="240" w:line="276" w:lineRule="auto"/>
              <w:jc w:val="center"/>
              <w:rPr>
                <w:rFonts w:ascii="Times New Roman" w:hAnsi="Times New Roman" w:cs="Times New Roman"/>
                <w:sz w:val="22"/>
                <w:szCs w:val="22"/>
              </w:rPr>
            </w:pPr>
          </w:p>
        </w:tc>
        <w:tc>
          <w:tcPr>
            <w:tcW w:w="803" w:type="dxa"/>
          </w:tcPr>
          <w:p w14:paraId="65BF0A06" w14:textId="2D865712" w:rsidR="008A24E2" w:rsidRPr="00A605BB" w:rsidRDefault="008A24E2" w:rsidP="005109FB">
            <w:pPr>
              <w:autoSpaceDE w:val="0"/>
              <w:autoSpaceDN w:val="0"/>
              <w:adjustRightInd w:val="0"/>
              <w:spacing w:after="240" w:line="276" w:lineRule="auto"/>
              <w:jc w:val="center"/>
              <w:rPr>
                <w:rFonts w:ascii="Times New Roman" w:hAnsi="Times New Roman" w:cs="Times New Roman"/>
                <w:sz w:val="22"/>
                <w:szCs w:val="22"/>
              </w:rPr>
            </w:pPr>
            <w:r w:rsidRPr="00A605BB">
              <w:rPr>
                <w:rFonts w:ascii="Times New Roman" w:hAnsi="Times New Roman" w:cs="Times New Roman"/>
                <w:sz w:val="22"/>
                <w:szCs w:val="22"/>
              </w:rPr>
              <w:t>3.65</w:t>
            </w:r>
          </w:p>
        </w:tc>
        <w:tc>
          <w:tcPr>
            <w:tcW w:w="745" w:type="dxa"/>
          </w:tcPr>
          <w:p w14:paraId="6CF07E44" w14:textId="61B86A33" w:rsidR="008A24E2" w:rsidRPr="00A605BB" w:rsidRDefault="008A24E2" w:rsidP="005109FB">
            <w:pPr>
              <w:autoSpaceDE w:val="0"/>
              <w:autoSpaceDN w:val="0"/>
              <w:adjustRightInd w:val="0"/>
              <w:spacing w:after="240" w:line="276" w:lineRule="auto"/>
              <w:jc w:val="center"/>
              <w:rPr>
                <w:rFonts w:ascii="Times New Roman" w:hAnsi="Times New Roman" w:cs="Times New Roman"/>
                <w:sz w:val="22"/>
                <w:szCs w:val="22"/>
              </w:rPr>
            </w:pPr>
            <w:r w:rsidRPr="00A605BB">
              <w:rPr>
                <w:rFonts w:ascii="Times New Roman" w:hAnsi="Times New Roman" w:cs="Times New Roman"/>
                <w:sz w:val="22"/>
                <w:szCs w:val="22"/>
              </w:rPr>
              <w:t>.48</w:t>
            </w:r>
          </w:p>
        </w:tc>
        <w:tc>
          <w:tcPr>
            <w:tcW w:w="940" w:type="dxa"/>
          </w:tcPr>
          <w:p w14:paraId="6128DABB" w14:textId="266A8AAC" w:rsidR="008A24E2" w:rsidRPr="00A605BB" w:rsidRDefault="008A24E2" w:rsidP="005109FB">
            <w:pPr>
              <w:autoSpaceDE w:val="0"/>
              <w:autoSpaceDN w:val="0"/>
              <w:adjustRightInd w:val="0"/>
              <w:spacing w:after="240" w:line="276" w:lineRule="auto"/>
              <w:jc w:val="center"/>
              <w:rPr>
                <w:rFonts w:ascii="Times New Roman" w:hAnsi="Times New Roman" w:cs="Times New Roman"/>
                <w:sz w:val="22"/>
                <w:szCs w:val="22"/>
              </w:rPr>
            </w:pPr>
            <w:r w:rsidRPr="00A605BB">
              <w:rPr>
                <w:rFonts w:ascii="Times New Roman" w:hAnsi="Times New Roman" w:cs="Times New Roman"/>
                <w:sz w:val="22"/>
                <w:szCs w:val="22"/>
              </w:rPr>
              <w:t>3.79</w:t>
            </w:r>
          </w:p>
        </w:tc>
        <w:tc>
          <w:tcPr>
            <w:tcW w:w="642" w:type="dxa"/>
          </w:tcPr>
          <w:p w14:paraId="775C24A7" w14:textId="01479352" w:rsidR="008A24E2" w:rsidRPr="00A605BB" w:rsidRDefault="008A24E2" w:rsidP="005109FB">
            <w:pPr>
              <w:autoSpaceDE w:val="0"/>
              <w:autoSpaceDN w:val="0"/>
              <w:adjustRightInd w:val="0"/>
              <w:spacing w:after="240" w:line="276" w:lineRule="auto"/>
              <w:jc w:val="center"/>
              <w:rPr>
                <w:rFonts w:ascii="Times New Roman" w:hAnsi="Times New Roman" w:cs="Times New Roman"/>
                <w:sz w:val="22"/>
                <w:szCs w:val="22"/>
              </w:rPr>
            </w:pPr>
            <w:r w:rsidRPr="00A605BB">
              <w:rPr>
                <w:rFonts w:ascii="Times New Roman" w:hAnsi="Times New Roman" w:cs="Times New Roman"/>
                <w:sz w:val="22"/>
                <w:szCs w:val="22"/>
              </w:rPr>
              <w:t>.62</w:t>
            </w:r>
          </w:p>
        </w:tc>
        <w:tc>
          <w:tcPr>
            <w:tcW w:w="488" w:type="dxa"/>
            <w:gridSpan w:val="2"/>
          </w:tcPr>
          <w:p w14:paraId="7CD20699" w14:textId="77777777" w:rsidR="008A24E2" w:rsidRPr="00A605BB" w:rsidRDefault="008A24E2" w:rsidP="005109FB">
            <w:pPr>
              <w:autoSpaceDE w:val="0"/>
              <w:autoSpaceDN w:val="0"/>
              <w:adjustRightInd w:val="0"/>
              <w:spacing w:after="240" w:line="276" w:lineRule="auto"/>
              <w:jc w:val="center"/>
              <w:rPr>
                <w:rFonts w:ascii="Times New Roman" w:hAnsi="Times New Roman" w:cs="Times New Roman"/>
                <w:sz w:val="22"/>
                <w:szCs w:val="22"/>
              </w:rPr>
            </w:pPr>
          </w:p>
        </w:tc>
        <w:tc>
          <w:tcPr>
            <w:tcW w:w="940" w:type="dxa"/>
          </w:tcPr>
          <w:p w14:paraId="24F70A03" w14:textId="1AA3110E" w:rsidR="008A24E2" w:rsidRPr="00A605BB" w:rsidRDefault="008A24E2" w:rsidP="005109FB">
            <w:pPr>
              <w:autoSpaceDE w:val="0"/>
              <w:autoSpaceDN w:val="0"/>
              <w:adjustRightInd w:val="0"/>
              <w:spacing w:after="240" w:line="276" w:lineRule="auto"/>
              <w:jc w:val="center"/>
              <w:rPr>
                <w:rFonts w:ascii="Times New Roman" w:hAnsi="Times New Roman" w:cs="Times New Roman"/>
                <w:sz w:val="22"/>
                <w:szCs w:val="22"/>
              </w:rPr>
            </w:pPr>
            <w:r w:rsidRPr="00A605BB">
              <w:rPr>
                <w:rFonts w:ascii="Times New Roman" w:hAnsi="Times New Roman" w:cs="Times New Roman"/>
                <w:sz w:val="22"/>
                <w:szCs w:val="22"/>
              </w:rPr>
              <w:t>3.84</w:t>
            </w:r>
          </w:p>
        </w:tc>
        <w:tc>
          <w:tcPr>
            <w:tcW w:w="719" w:type="dxa"/>
          </w:tcPr>
          <w:p w14:paraId="4B5FD61B" w14:textId="3193864B" w:rsidR="008A24E2" w:rsidRPr="00A605BB" w:rsidRDefault="008A24E2" w:rsidP="005109FB">
            <w:pPr>
              <w:autoSpaceDE w:val="0"/>
              <w:autoSpaceDN w:val="0"/>
              <w:adjustRightInd w:val="0"/>
              <w:spacing w:after="240" w:line="276" w:lineRule="auto"/>
              <w:jc w:val="center"/>
              <w:rPr>
                <w:rFonts w:ascii="Times New Roman" w:hAnsi="Times New Roman" w:cs="Times New Roman"/>
                <w:sz w:val="22"/>
                <w:szCs w:val="22"/>
              </w:rPr>
            </w:pPr>
            <w:r w:rsidRPr="00A605BB">
              <w:rPr>
                <w:rFonts w:ascii="Times New Roman" w:hAnsi="Times New Roman" w:cs="Times New Roman"/>
                <w:sz w:val="22"/>
                <w:szCs w:val="22"/>
              </w:rPr>
              <w:t>.49</w:t>
            </w:r>
          </w:p>
        </w:tc>
        <w:tc>
          <w:tcPr>
            <w:tcW w:w="940" w:type="dxa"/>
          </w:tcPr>
          <w:p w14:paraId="4FB7F481" w14:textId="74555C69" w:rsidR="008A24E2" w:rsidRPr="00A605BB" w:rsidRDefault="008A24E2" w:rsidP="005109FB">
            <w:pPr>
              <w:autoSpaceDE w:val="0"/>
              <w:autoSpaceDN w:val="0"/>
              <w:adjustRightInd w:val="0"/>
              <w:spacing w:after="240" w:line="276" w:lineRule="auto"/>
              <w:jc w:val="center"/>
              <w:rPr>
                <w:rFonts w:ascii="Times New Roman" w:hAnsi="Times New Roman" w:cs="Times New Roman"/>
                <w:sz w:val="22"/>
                <w:szCs w:val="22"/>
              </w:rPr>
            </w:pPr>
            <w:r w:rsidRPr="00A605BB">
              <w:rPr>
                <w:rFonts w:ascii="Times New Roman" w:hAnsi="Times New Roman" w:cs="Times New Roman"/>
                <w:sz w:val="22"/>
                <w:szCs w:val="22"/>
              </w:rPr>
              <w:t>4.00</w:t>
            </w:r>
          </w:p>
        </w:tc>
        <w:tc>
          <w:tcPr>
            <w:tcW w:w="789" w:type="dxa"/>
          </w:tcPr>
          <w:p w14:paraId="542B4BD8" w14:textId="7CA99AB0" w:rsidR="008A24E2" w:rsidRPr="00A605BB" w:rsidRDefault="008A24E2" w:rsidP="005109FB">
            <w:pPr>
              <w:autoSpaceDE w:val="0"/>
              <w:autoSpaceDN w:val="0"/>
              <w:adjustRightInd w:val="0"/>
              <w:spacing w:after="240" w:line="276" w:lineRule="auto"/>
              <w:jc w:val="center"/>
              <w:rPr>
                <w:rFonts w:ascii="Times New Roman" w:hAnsi="Times New Roman" w:cs="Times New Roman"/>
                <w:sz w:val="22"/>
                <w:szCs w:val="22"/>
              </w:rPr>
            </w:pPr>
            <w:r w:rsidRPr="00A605BB">
              <w:rPr>
                <w:rFonts w:ascii="Times New Roman" w:hAnsi="Times New Roman" w:cs="Times New Roman"/>
                <w:sz w:val="22"/>
                <w:szCs w:val="22"/>
              </w:rPr>
              <w:t>.58</w:t>
            </w:r>
          </w:p>
        </w:tc>
      </w:tr>
      <w:tr w:rsidR="008A24E2" w:rsidRPr="00A605BB" w14:paraId="40A3C8C8" w14:textId="56E14A7E" w:rsidTr="00812E82">
        <w:tc>
          <w:tcPr>
            <w:tcW w:w="4395" w:type="dxa"/>
          </w:tcPr>
          <w:p w14:paraId="5BCE7A3E" w14:textId="7370B738" w:rsidR="008A24E2" w:rsidRPr="00A605BB" w:rsidRDefault="008A24E2" w:rsidP="005109FB">
            <w:pPr>
              <w:autoSpaceDE w:val="0"/>
              <w:autoSpaceDN w:val="0"/>
              <w:adjustRightInd w:val="0"/>
              <w:spacing w:after="240" w:line="276" w:lineRule="auto"/>
              <w:rPr>
                <w:rFonts w:ascii="Times New Roman" w:hAnsi="Times New Roman" w:cs="Times New Roman"/>
                <w:b/>
                <w:bCs/>
                <w:sz w:val="22"/>
                <w:szCs w:val="22"/>
              </w:rPr>
            </w:pPr>
            <w:r w:rsidRPr="00A605BB">
              <w:rPr>
                <w:rFonts w:ascii="Times New Roman" w:hAnsi="Times New Roman" w:cs="Times New Roman"/>
                <w:b/>
                <w:bCs/>
                <w:sz w:val="22"/>
                <w:szCs w:val="22"/>
              </w:rPr>
              <w:t>6. Organising and executing</w:t>
            </w:r>
          </w:p>
        </w:tc>
        <w:tc>
          <w:tcPr>
            <w:tcW w:w="954" w:type="dxa"/>
          </w:tcPr>
          <w:p w14:paraId="4762B74F" w14:textId="28F25348" w:rsidR="008A24E2" w:rsidRPr="00A605BB" w:rsidRDefault="008A24E2" w:rsidP="005109FB">
            <w:pPr>
              <w:autoSpaceDE w:val="0"/>
              <w:autoSpaceDN w:val="0"/>
              <w:adjustRightInd w:val="0"/>
              <w:spacing w:after="240" w:line="276" w:lineRule="auto"/>
              <w:jc w:val="center"/>
              <w:rPr>
                <w:rFonts w:ascii="Times New Roman" w:hAnsi="Times New Roman" w:cs="Times New Roman"/>
                <w:sz w:val="22"/>
                <w:szCs w:val="22"/>
              </w:rPr>
            </w:pPr>
            <w:r w:rsidRPr="00A605BB">
              <w:rPr>
                <w:rFonts w:ascii="Times New Roman" w:hAnsi="Times New Roman" w:cs="Times New Roman"/>
                <w:sz w:val="22"/>
                <w:szCs w:val="22"/>
              </w:rPr>
              <w:t>3.84</w:t>
            </w:r>
          </w:p>
        </w:tc>
        <w:tc>
          <w:tcPr>
            <w:tcW w:w="1030" w:type="dxa"/>
          </w:tcPr>
          <w:p w14:paraId="311F3402" w14:textId="78ECAD8A" w:rsidR="008A24E2" w:rsidRPr="00A605BB" w:rsidRDefault="008A24E2" w:rsidP="005109FB">
            <w:pPr>
              <w:autoSpaceDE w:val="0"/>
              <w:autoSpaceDN w:val="0"/>
              <w:adjustRightInd w:val="0"/>
              <w:spacing w:after="240" w:line="276" w:lineRule="auto"/>
              <w:jc w:val="center"/>
              <w:rPr>
                <w:rFonts w:ascii="Times New Roman" w:hAnsi="Times New Roman" w:cs="Times New Roman"/>
                <w:sz w:val="22"/>
                <w:szCs w:val="22"/>
              </w:rPr>
            </w:pPr>
            <w:r w:rsidRPr="00A605BB">
              <w:rPr>
                <w:rFonts w:ascii="Times New Roman" w:hAnsi="Times New Roman" w:cs="Times New Roman"/>
                <w:sz w:val="22"/>
                <w:szCs w:val="22"/>
              </w:rPr>
              <w:t>.52</w:t>
            </w:r>
          </w:p>
        </w:tc>
        <w:tc>
          <w:tcPr>
            <w:tcW w:w="479" w:type="dxa"/>
          </w:tcPr>
          <w:p w14:paraId="489526A3" w14:textId="77777777" w:rsidR="008A24E2" w:rsidRPr="00A605BB" w:rsidRDefault="008A24E2" w:rsidP="005109FB">
            <w:pPr>
              <w:autoSpaceDE w:val="0"/>
              <w:autoSpaceDN w:val="0"/>
              <w:adjustRightInd w:val="0"/>
              <w:spacing w:after="240" w:line="276" w:lineRule="auto"/>
              <w:jc w:val="center"/>
              <w:rPr>
                <w:rFonts w:ascii="Times New Roman" w:hAnsi="Times New Roman" w:cs="Times New Roman"/>
                <w:sz w:val="22"/>
                <w:szCs w:val="22"/>
              </w:rPr>
            </w:pPr>
          </w:p>
        </w:tc>
        <w:tc>
          <w:tcPr>
            <w:tcW w:w="803" w:type="dxa"/>
          </w:tcPr>
          <w:p w14:paraId="151AF032" w14:textId="200A5CC1" w:rsidR="008A24E2" w:rsidRPr="00A605BB" w:rsidRDefault="008A24E2" w:rsidP="005109FB">
            <w:pPr>
              <w:autoSpaceDE w:val="0"/>
              <w:autoSpaceDN w:val="0"/>
              <w:adjustRightInd w:val="0"/>
              <w:spacing w:after="240" w:line="276" w:lineRule="auto"/>
              <w:jc w:val="center"/>
              <w:rPr>
                <w:rFonts w:ascii="Times New Roman" w:hAnsi="Times New Roman" w:cs="Times New Roman"/>
                <w:sz w:val="22"/>
                <w:szCs w:val="22"/>
              </w:rPr>
            </w:pPr>
            <w:r w:rsidRPr="00A605BB">
              <w:rPr>
                <w:rFonts w:ascii="Times New Roman" w:hAnsi="Times New Roman" w:cs="Times New Roman"/>
                <w:sz w:val="22"/>
                <w:szCs w:val="22"/>
              </w:rPr>
              <w:t>3.93</w:t>
            </w:r>
          </w:p>
        </w:tc>
        <w:tc>
          <w:tcPr>
            <w:tcW w:w="745" w:type="dxa"/>
          </w:tcPr>
          <w:p w14:paraId="457D5BDF" w14:textId="2296BAAD" w:rsidR="008A24E2" w:rsidRPr="00A605BB" w:rsidRDefault="008A24E2" w:rsidP="005109FB">
            <w:pPr>
              <w:autoSpaceDE w:val="0"/>
              <w:autoSpaceDN w:val="0"/>
              <w:adjustRightInd w:val="0"/>
              <w:spacing w:after="240" w:line="276" w:lineRule="auto"/>
              <w:jc w:val="center"/>
              <w:rPr>
                <w:rFonts w:ascii="Times New Roman" w:hAnsi="Times New Roman" w:cs="Times New Roman"/>
                <w:sz w:val="22"/>
                <w:szCs w:val="22"/>
              </w:rPr>
            </w:pPr>
            <w:r w:rsidRPr="00A605BB">
              <w:rPr>
                <w:rFonts w:ascii="Times New Roman" w:hAnsi="Times New Roman" w:cs="Times New Roman"/>
                <w:sz w:val="22"/>
                <w:szCs w:val="22"/>
              </w:rPr>
              <w:t>.45</w:t>
            </w:r>
          </w:p>
        </w:tc>
        <w:tc>
          <w:tcPr>
            <w:tcW w:w="940" w:type="dxa"/>
          </w:tcPr>
          <w:p w14:paraId="753A4C35" w14:textId="7974DACC" w:rsidR="008A24E2" w:rsidRPr="00A605BB" w:rsidRDefault="008A24E2" w:rsidP="005109FB">
            <w:pPr>
              <w:autoSpaceDE w:val="0"/>
              <w:autoSpaceDN w:val="0"/>
              <w:adjustRightInd w:val="0"/>
              <w:spacing w:after="240" w:line="276" w:lineRule="auto"/>
              <w:jc w:val="center"/>
              <w:rPr>
                <w:rFonts w:ascii="Times New Roman" w:hAnsi="Times New Roman" w:cs="Times New Roman"/>
                <w:sz w:val="22"/>
                <w:szCs w:val="22"/>
              </w:rPr>
            </w:pPr>
            <w:r w:rsidRPr="00A605BB">
              <w:rPr>
                <w:rFonts w:ascii="Times New Roman" w:hAnsi="Times New Roman" w:cs="Times New Roman"/>
                <w:sz w:val="22"/>
                <w:szCs w:val="22"/>
              </w:rPr>
              <w:t>3.93</w:t>
            </w:r>
          </w:p>
        </w:tc>
        <w:tc>
          <w:tcPr>
            <w:tcW w:w="642" w:type="dxa"/>
          </w:tcPr>
          <w:p w14:paraId="588A710F" w14:textId="04B8E866" w:rsidR="008A24E2" w:rsidRPr="00A605BB" w:rsidRDefault="008A24E2" w:rsidP="005109FB">
            <w:pPr>
              <w:autoSpaceDE w:val="0"/>
              <w:autoSpaceDN w:val="0"/>
              <w:adjustRightInd w:val="0"/>
              <w:spacing w:after="240" w:line="276" w:lineRule="auto"/>
              <w:jc w:val="center"/>
              <w:rPr>
                <w:rFonts w:ascii="Times New Roman" w:hAnsi="Times New Roman" w:cs="Times New Roman"/>
                <w:sz w:val="22"/>
                <w:szCs w:val="22"/>
              </w:rPr>
            </w:pPr>
            <w:r w:rsidRPr="00A605BB">
              <w:rPr>
                <w:rFonts w:ascii="Times New Roman" w:hAnsi="Times New Roman" w:cs="Times New Roman"/>
                <w:sz w:val="22"/>
                <w:szCs w:val="22"/>
              </w:rPr>
              <w:t>.60</w:t>
            </w:r>
          </w:p>
        </w:tc>
        <w:tc>
          <w:tcPr>
            <w:tcW w:w="488" w:type="dxa"/>
            <w:gridSpan w:val="2"/>
          </w:tcPr>
          <w:p w14:paraId="7E7C5F76" w14:textId="77777777" w:rsidR="008A24E2" w:rsidRPr="00A605BB" w:rsidRDefault="008A24E2" w:rsidP="005109FB">
            <w:pPr>
              <w:autoSpaceDE w:val="0"/>
              <w:autoSpaceDN w:val="0"/>
              <w:adjustRightInd w:val="0"/>
              <w:spacing w:after="240" w:line="276" w:lineRule="auto"/>
              <w:jc w:val="center"/>
              <w:rPr>
                <w:rFonts w:ascii="Times New Roman" w:hAnsi="Times New Roman" w:cs="Times New Roman"/>
                <w:sz w:val="22"/>
                <w:szCs w:val="22"/>
              </w:rPr>
            </w:pPr>
          </w:p>
        </w:tc>
        <w:tc>
          <w:tcPr>
            <w:tcW w:w="940" w:type="dxa"/>
          </w:tcPr>
          <w:p w14:paraId="52202431" w14:textId="00CE1EB3" w:rsidR="008A24E2" w:rsidRPr="00A605BB" w:rsidRDefault="008A24E2" w:rsidP="005109FB">
            <w:pPr>
              <w:autoSpaceDE w:val="0"/>
              <w:autoSpaceDN w:val="0"/>
              <w:adjustRightInd w:val="0"/>
              <w:spacing w:after="240" w:line="276" w:lineRule="auto"/>
              <w:jc w:val="center"/>
              <w:rPr>
                <w:rFonts w:ascii="Times New Roman" w:hAnsi="Times New Roman" w:cs="Times New Roman"/>
                <w:sz w:val="22"/>
                <w:szCs w:val="22"/>
              </w:rPr>
            </w:pPr>
            <w:r w:rsidRPr="00A605BB">
              <w:rPr>
                <w:rFonts w:ascii="Times New Roman" w:hAnsi="Times New Roman" w:cs="Times New Roman"/>
                <w:sz w:val="22"/>
                <w:szCs w:val="22"/>
              </w:rPr>
              <w:t>4.12</w:t>
            </w:r>
          </w:p>
        </w:tc>
        <w:tc>
          <w:tcPr>
            <w:tcW w:w="719" w:type="dxa"/>
          </w:tcPr>
          <w:p w14:paraId="1AB077C8" w14:textId="1CAB4B7C" w:rsidR="008A24E2" w:rsidRPr="00A605BB" w:rsidRDefault="008A24E2" w:rsidP="005109FB">
            <w:pPr>
              <w:autoSpaceDE w:val="0"/>
              <w:autoSpaceDN w:val="0"/>
              <w:adjustRightInd w:val="0"/>
              <w:spacing w:after="240" w:line="276" w:lineRule="auto"/>
              <w:jc w:val="center"/>
              <w:rPr>
                <w:rFonts w:ascii="Times New Roman" w:hAnsi="Times New Roman" w:cs="Times New Roman"/>
                <w:sz w:val="22"/>
                <w:szCs w:val="22"/>
              </w:rPr>
            </w:pPr>
            <w:r w:rsidRPr="00A605BB">
              <w:rPr>
                <w:rFonts w:ascii="Times New Roman" w:hAnsi="Times New Roman" w:cs="Times New Roman"/>
                <w:sz w:val="22"/>
                <w:szCs w:val="22"/>
              </w:rPr>
              <w:t>.47</w:t>
            </w:r>
          </w:p>
        </w:tc>
        <w:tc>
          <w:tcPr>
            <w:tcW w:w="940" w:type="dxa"/>
          </w:tcPr>
          <w:p w14:paraId="2D1D32AF" w14:textId="6145012F" w:rsidR="008A24E2" w:rsidRPr="00A605BB" w:rsidRDefault="008A24E2" w:rsidP="005109FB">
            <w:pPr>
              <w:autoSpaceDE w:val="0"/>
              <w:autoSpaceDN w:val="0"/>
              <w:adjustRightInd w:val="0"/>
              <w:spacing w:after="240" w:line="276" w:lineRule="auto"/>
              <w:jc w:val="center"/>
              <w:rPr>
                <w:rFonts w:ascii="Times New Roman" w:hAnsi="Times New Roman" w:cs="Times New Roman"/>
                <w:sz w:val="22"/>
                <w:szCs w:val="22"/>
              </w:rPr>
            </w:pPr>
            <w:r w:rsidRPr="00A605BB">
              <w:rPr>
                <w:rFonts w:ascii="Times New Roman" w:hAnsi="Times New Roman" w:cs="Times New Roman"/>
                <w:sz w:val="22"/>
                <w:szCs w:val="22"/>
              </w:rPr>
              <w:t>4.15</w:t>
            </w:r>
          </w:p>
        </w:tc>
        <w:tc>
          <w:tcPr>
            <w:tcW w:w="789" w:type="dxa"/>
          </w:tcPr>
          <w:p w14:paraId="1BF39BAB" w14:textId="3A8A9426" w:rsidR="008A24E2" w:rsidRPr="00A605BB" w:rsidRDefault="008A24E2" w:rsidP="005109FB">
            <w:pPr>
              <w:autoSpaceDE w:val="0"/>
              <w:autoSpaceDN w:val="0"/>
              <w:adjustRightInd w:val="0"/>
              <w:spacing w:after="240" w:line="276" w:lineRule="auto"/>
              <w:jc w:val="center"/>
              <w:rPr>
                <w:rFonts w:ascii="Times New Roman" w:hAnsi="Times New Roman" w:cs="Times New Roman"/>
                <w:sz w:val="22"/>
                <w:szCs w:val="22"/>
              </w:rPr>
            </w:pPr>
            <w:r w:rsidRPr="00A605BB">
              <w:rPr>
                <w:rFonts w:ascii="Times New Roman" w:hAnsi="Times New Roman" w:cs="Times New Roman"/>
                <w:sz w:val="22"/>
                <w:szCs w:val="22"/>
              </w:rPr>
              <w:t>.57</w:t>
            </w:r>
          </w:p>
        </w:tc>
      </w:tr>
      <w:tr w:rsidR="008A24E2" w:rsidRPr="00A605BB" w14:paraId="7B2C0DF8" w14:textId="23B8D279" w:rsidTr="00812E82">
        <w:tc>
          <w:tcPr>
            <w:tcW w:w="4395" w:type="dxa"/>
          </w:tcPr>
          <w:p w14:paraId="665A7998" w14:textId="15DFEE65" w:rsidR="008A24E2" w:rsidRPr="00A605BB" w:rsidRDefault="008A24E2" w:rsidP="005109FB">
            <w:pPr>
              <w:autoSpaceDE w:val="0"/>
              <w:autoSpaceDN w:val="0"/>
              <w:adjustRightInd w:val="0"/>
              <w:spacing w:after="240" w:line="276" w:lineRule="auto"/>
              <w:rPr>
                <w:rFonts w:ascii="Times New Roman" w:hAnsi="Times New Roman" w:cs="Times New Roman"/>
                <w:b/>
                <w:bCs/>
                <w:sz w:val="22"/>
                <w:szCs w:val="22"/>
              </w:rPr>
            </w:pPr>
            <w:r w:rsidRPr="00A605BB">
              <w:rPr>
                <w:rFonts w:ascii="Times New Roman" w:hAnsi="Times New Roman" w:cs="Times New Roman"/>
                <w:b/>
                <w:bCs/>
                <w:sz w:val="22"/>
                <w:szCs w:val="22"/>
              </w:rPr>
              <w:t>7. Adapting and coping</w:t>
            </w:r>
          </w:p>
        </w:tc>
        <w:tc>
          <w:tcPr>
            <w:tcW w:w="954" w:type="dxa"/>
          </w:tcPr>
          <w:p w14:paraId="33C286E7" w14:textId="6C62A853" w:rsidR="008A24E2" w:rsidRPr="00A605BB" w:rsidRDefault="008A24E2" w:rsidP="005109FB">
            <w:pPr>
              <w:autoSpaceDE w:val="0"/>
              <w:autoSpaceDN w:val="0"/>
              <w:adjustRightInd w:val="0"/>
              <w:spacing w:after="240" w:line="276" w:lineRule="auto"/>
              <w:jc w:val="center"/>
              <w:rPr>
                <w:rFonts w:ascii="Times New Roman" w:hAnsi="Times New Roman" w:cs="Times New Roman"/>
                <w:sz w:val="22"/>
                <w:szCs w:val="22"/>
              </w:rPr>
            </w:pPr>
            <w:r w:rsidRPr="00A605BB">
              <w:rPr>
                <w:rFonts w:ascii="Times New Roman" w:hAnsi="Times New Roman" w:cs="Times New Roman"/>
                <w:sz w:val="22"/>
                <w:szCs w:val="22"/>
              </w:rPr>
              <w:t>3.55</w:t>
            </w:r>
          </w:p>
        </w:tc>
        <w:tc>
          <w:tcPr>
            <w:tcW w:w="1030" w:type="dxa"/>
          </w:tcPr>
          <w:p w14:paraId="48BE15A6" w14:textId="5B826F69" w:rsidR="008A24E2" w:rsidRPr="00A605BB" w:rsidRDefault="008A24E2" w:rsidP="005109FB">
            <w:pPr>
              <w:autoSpaceDE w:val="0"/>
              <w:autoSpaceDN w:val="0"/>
              <w:adjustRightInd w:val="0"/>
              <w:spacing w:after="240" w:line="276" w:lineRule="auto"/>
              <w:jc w:val="center"/>
              <w:rPr>
                <w:rFonts w:ascii="Times New Roman" w:hAnsi="Times New Roman" w:cs="Times New Roman"/>
                <w:sz w:val="22"/>
                <w:szCs w:val="22"/>
              </w:rPr>
            </w:pPr>
            <w:r w:rsidRPr="00A605BB">
              <w:rPr>
                <w:rFonts w:ascii="Times New Roman" w:hAnsi="Times New Roman" w:cs="Times New Roman"/>
                <w:sz w:val="22"/>
                <w:szCs w:val="22"/>
              </w:rPr>
              <w:t>.51</w:t>
            </w:r>
          </w:p>
        </w:tc>
        <w:tc>
          <w:tcPr>
            <w:tcW w:w="479" w:type="dxa"/>
          </w:tcPr>
          <w:p w14:paraId="18DC3A43" w14:textId="77777777" w:rsidR="008A24E2" w:rsidRPr="00A605BB" w:rsidRDefault="008A24E2" w:rsidP="005109FB">
            <w:pPr>
              <w:autoSpaceDE w:val="0"/>
              <w:autoSpaceDN w:val="0"/>
              <w:adjustRightInd w:val="0"/>
              <w:spacing w:after="240" w:line="276" w:lineRule="auto"/>
              <w:jc w:val="center"/>
              <w:rPr>
                <w:rFonts w:ascii="Times New Roman" w:hAnsi="Times New Roman" w:cs="Times New Roman"/>
                <w:sz w:val="22"/>
                <w:szCs w:val="22"/>
              </w:rPr>
            </w:pPr>
          </w:p>
        </w:tc>
        <w:tc>
          <w:tcPr>
            <w:tcW w:w="803" w:type="dxa"/>
          </w:tcPr>
          <w:p w14:paraId="3F5150F4" w14:textId="7A3686BF" w:rsidR="008A24E2" w:rsidRPr="00A605BB" w:rsidRDefault="008A24E2" w:rsidP="005109FB">
            <w:pPr>
              <w:autoSpaceDE w:val="0"/>
              <w:autoSpaceDN w:val="0"/>
              <w:adjustRightInd w:val="0"/>
              <w:spacing w:after="240" w:line="276" w:lineRule="auto"/>
              <w:jc w:val="center"/>
              <w:rPr>
                <w:rFonts w:ascii="Times New Roman" w:hAnsi="Times New Roman" w:cs="Times New Roman"/>
                <w:sz w:val="22"/>
                <w:szCs w:val="22"/>
              </w:rPr>
            </w:pPr>
            <w:r w:rsidRPr="00A605BB">
              <w:rPr>
                <w:rFonts w:ascii="Times New Roman" w:hAnsi="Times New Roman" w:cs="Times New Roman"/>
                <w:sz w:val="22"/>
                <w:szCs w:val="22"/>
              </w:rPr>
              <w:t>3.73</w:t>
            </w:r>
          </w:p>
        </w:tc>
        <w:tc>
          <w:tcPr>
            <w:tcW w:w="745" w:type="dxa"/>
          </w:tcPr>
          <w:p w14:paraId="2D9B7DB4" w14:textId="73556E0A" w:rsidR="008A24E2" w:rsidRPr="00A605BB" w:rsidRDefault="008A24E2" w:rsidP="005109FB">
            <w:pPr>
              <w:autoSpaceDE w:val="0"/>
              <w:autoSpaceDN w:val="0"/>
              <w:adjustRightInd w:val="0"/>
              <w:spacing w:after="240" w:line="276" w:lineRule="auto"/>
              <w:jc w:val="center"/>
              <w:rPr>
                <w:rFonts w:ascii="Times New Roman" w:hAnsi="Times New Roman" w:cs="Times New Roman"/>
                <w:sz w:val="22"/>
                <w:szCs w:val="22"/>
              </w:rPr>
            </w:pPr>
            <w:r w:rsidRPr="00A605BB">
              <w:rPr>
                <w:rFonts w:ascii="Times New Roman" w:hAnsi="Times New Roman" w:cs="Times New Roman"/>
                <w:sz w:val="22"/>
                <w:szCs w:val="22"/>
              </w:rPr>
              <w:t>.46</w:t>
            </w:r>
          </w:p>
        </w:tc>
        <w:tc>
          <w:tcPr>
            <w:tcW w:w="940" w:type="dxa"/>
          </w:tcPr>
          <w:p w14:paraId="41322CCB" w14:textId="79D90C92" w:rsidR="008A24E2" w:rsidRPr="00A605BB" w:rsidRDefault="008A24E2" w:rsidP="005109FB">
            <w:pPr>
              <w:autoSpaceDE w:val="0"/>
              <w:autoSpaceDN w:val="0"/>
              <w:adjustRightInd w:val="0"/>
              <w:spacing w:after="240" w:line="276" w:lineRule="auto"/>
              <w:jc w:val="center"/>
              <w:rPr>
                <w:rFonts w:ascii="Times New Roman" w:hAnsi="Times New Roman" w:cs="Times New Roman"/>
                <w:sz w:val="22"/>
                <w:szCs w:val="22"/>
              </w:rPr>
            </w:pPr>
            <w:r w:rsidRPr="00A605BB">
              <w:rPr>
                <w:rFonts w:ascii="Times New Roman" w:hAnsi="Times New Roman" w:cs="Times New Roman"/>
                <w:sz w:val="22"/>
                <w:szCs w:val="22"/>
              </w:rPr>
              <w:t>3.91</w:t>
            </w:r>
          </w:p>
        </w:tc>
        <w:tc>
          <w:tcPr>
            <w:tcW w:w="642" w:type="dxa"/>
          </w:tcPr>
          <w:p w14:paraId="3CED4FBF" w14:textId="3BEA2985" w:rsidR="008A24E2" w:rsidRPr="00A605BB" w:rsidRDefault="008A24E2" w:rsidP="005109FB">
            <w:pPr>
              <w:autoSpaceDE w:val="0"/>
              <w:autoSpaceDN w:val="0"/>
              <w:adjustRightInd w:val="0"/>
              <w:spacing w:after="240" w:line="276" w:lineRule="auto"/>
              <w:jc w:val="center"/>
              <w:rPr>
                <w:rFonts w:ascii="Times New Roman" w:hAnsi="Times New Roman" w:cs="Times New Roman"/>
                <w:sz w:val="22"/>
                <w:szCs w:val="22"/>
              </w:rPr>
            </w:pPr>
            <w:r w:rsidRPr="00A605BB">
              <w:rPr>
                <w:rFonts w:ascii="Times New Roman" w:hAnsi="Times New Roman" w:cs="Times New Roman"/>
                <w:sz w:val="22"/>
                <w:szCs w:val="22"/>
              </w:rPr>
              <w:t>.53</w:t>
            </w:r>
          </w:p>
        </w:tc>
        <w:tc>
          <w:tcPr>
            <w:tcW w:w="488" w:type="dxa"/>
            <w:gridSpan w:val="2"/>
          </w:tcPr>
          <w:p w14:paraId="313A1BF9" w14:textId="77777777" w:rsidR="008A24E2" w:rsidRPr="00A605BB" w:rsidRDefault="008A24E2" w:rsidP="005109FB">
            <w:pPr>
              <w:autoSpaceDE w:val="0"/>
              <w:autoSpaceDN w:val="0"/>
              <w:adjustRightInd w:val="0"/>
              <w:spacing w:after="240" w:line="276" w:lineRule="auto"/>
              <w:jc w:val="center"/>
              <w:rPr>
                <w:rFonts w:ascii="Times New Roman" w:hAnsi="Times New Roman" w:cs="Times New Roman"/>
                <w:sz w:val="22"/>
                <w:szCs w:val="22"/>
              </w:rPr>
            </w:pPr>
          </w:p>
        </w:tc>
        <w:tc>
          <w:tcPr>
            <w:tcW w:w="940" w:type="dxa"/>
          </w:tcPr>
          <w:p w14:paraId="771930B8" w14:textId="418F4AEC" w:rsidR="008A24E2" w:rsidRPr="00A605BB" w:rsidRDefault="008A24E2" w:rsidP="005109FB">
            <w:pPr>
              <w:autoSpaceDE w:val="0"/>
              <w:autoSpaceDN w:val="0"/>
              <w:adjustRightInd w:val="0"/>
              <w:spacing w:after="240" w:line="276" w:lineRule="auto"/>
              <w:jc w:val="center"/>
              <w:rPr>
                <w:rFonts w:ascii="Times New Roman" w:hAnsi="Times New Roman" w:cs="Times New Roman"/>
                <w:sz w:val="22"/>
                <w:szCs w:val="22"/>
              </w:rPr>
            </w:pPr>
            <w:r w:rsidRPr="00A605BB">
              <w:rPr>
                <w:rFonts w:ascii="Times New Roman" w:hAnsi="Times New Roman" w:cs="Times New Roman"/>
                <w:sz w:val="22"/>
                <w:szCs w:val="22"/>
              </w:rPr>
              <w:t>3.95</w:t>
            </w:r>
          </w:p>
        </w:tc>
        <w:tc>
          <w:tcPr>
            <w:tcW w:w="719" w:type="dxa"/>
          </w:tcPr>
          <w:p w14:paraId="3D533D75" w14:textId="1BFBCDBA" w:rsidR="008A24E2" w:rsidRPr="00A605BB" w:rsidRDefault="008A24E2" w:rsidP="005109FB">
            <w:pPr>
              <w:autoSpaceDE w:val="0"/>
              <w:autoSpaceDN w:val="0"/>
              <w:adjustRightInd w:val="0"/>
              <w:spacing w:after="240" w:line="276" w:lineRule="auto"/>
              <w:jc w:val="center"/>
              <w:rPr>
                <w:rFonts w:ascii="Times New Roman" w:hAnsi="Times New Roman" w:cs="Times New Roman"/>
                <w:sz w:val="22"/>
                <w:szCs w:val="22"/>
              </w:rPr>
            </w:pPr>
            <w:r w:rsidRPr="00A605BB">
              <w:rPr>
                <w:rFonts w:ascii="Times New Roman" w:hAnsi="Times New Roman" w:cs="Times New Roman"/>
                <w:sz w:val="22"/>
                <w:szCs w:val="22"/>
              </w:rPr>
              <w:t>.46</w:t>
            </w:r>
          </w:p>
        </w:tc>
        <w:tc>
          <w:tcPr>
            <w:tcW w:w="940" w:type="dxa"/>
          </w:tcPr>
          <w:p w14:paraId="7B67CB9B" w14:textId="0D2E316A" w:rsidR="008A24E2" w:rsidRPr="00A605BB" w:rsidRDefault="008A24E2" w:rsidP="005109FB">
            <w:pPr>
              <w:autoSpaceDE w:val="0"/>
              <w:autoSpaceDN w:val="0"/>
              <w:adjustRightInd w:val="0"/>
              <w:spacing w:after="240" w:line="276" w:lineRule="auto"/>
              <w:jc w:val="center"/>
              <w:rPr>
                <w:rFonts w:ascii="Times New Roman" w:hAnsi="Times New Roman" w:cs="Times New Roman"/>
                <w:sz w:val="22"/>
                <w:szCs w:val="22"/>
              </w:rPr>
            </w:pPr>
            <w:r w:rsidRPr="00A605BB">
              <w:rPr>
                <w:rFonts w:ascii="Times New Roman" w:hAnsi="Times New Roman" w:cs="Times New Roman"/>
                <w:sz w:val="22"/>
                <w:szCs w:val="22"/>
              </w:rPr>
              <w:t>4.12</w:t>
            </w:r>
          </w:p>
        </w:tc>
        <w:tc>
          <w:tcPr>
            <w:tcW w:w="789" w:type="dxa"/>
          </w:tcPr>
          <w:p w14:paraId="046F2728" w14:textId="225DCC06" w:rsidR="008A24E2" w:rsidRPr="00A605BB" w:rsidRDefault="008A24E2" w:rsidP="005109FB">
            <w:pPr>
              <w:autoSpaceDE w:val="0"/>
              <w:autoSpaceDN w:val="0"/>
              <w:adjustRightInd w:val="0"/>
              <w:spacing w:after="240" w:line="276" w:lineRule="auto"/>
              <w:jc w:val="center"/>
              <w:rPr>
                <w:rFonts w:ascii="Times New Roman" w:hAnsi="Times New Roman" w:cs="Times New Roman"/>
                <w:sz w:val="22"/>
                <w:szCs w:val="22"/>
              </w:rPr>
            </w:pPr>
            <w:r w:rsidRPr="00A605BB">
              <w:rPr>
                <w:rFonts w:ascii="Times New Roman" w:hAnsi="Times New Roman" w:cs="Times New Roman"/>
                <w:sz w:val="22"/>
                <w:szCs w:val="22"/>
              </w:rPr>
              <w:t>.56</w:t>
            </w:r>
          </w:p>
        </w:tc>
      </w:tr>
      <w:tr w:rsidR="008A24E2" w:rsidRPr="00A605BB" w14:paraId="02D6BB6C" w14:textId="2D18D5A8" w:rsidTr="00812E82">
        <w:tc>
          <w:tcPr>
            <w:tcW w:w="4395" w:type="dxa"/>
            <w:tcBorders>
              <w:bottom w:val="single" w:sz="4" w:space="0" w:color="auto"/>
            </w:tcBorders>
          </w:tcPr>
          <w:p w14:paraId="6420CD7D" w14:textId="5E9252D1" w:rsidR="008A24E2" w:rsidRPr="00A605BB" w:rsidRDefault="008A24E2" w:rsidP="005109FB">
            <w:pPr>
              <w:autoSpaceDE w:val="0"/>
              <w:autoSpaceDN w:val="0"/>
              <w:adjustRightInd w:val="0"/>
              <w:spacing w:after="240" w:line="276" w:lineRule="auto"/>
              <w:rPr>
                <w:rFonts w:ascii="Times New Roman" w:hAnsi="Times New Roman" w:cs="Times New Roman"/>
                <w:b/>
                <w:bCs/>
                <w:sz w:val="22"/>
                <w:szCs w:val="22"/>
              </w:rPr>
            </w:pPr>
            <w:r w:rsidRPr="00A605BB">
              <w:rPr>
                <w:rFonts w:ascii="Times New Roman" w:hAnsi="Times New Roman" w:cs="Times New Roman"/>
                <w:b/>
                <w:bCs/>
                <w:sz w:val="22"/>
                <w:szCs w:val="22"/>
              </w:rPr>
              <w:t>8. Enterprising and performing</w:t>
            </w:r>
          </w:p>
        </w:tc>
        <w:tc>
          <w:tcPr>
            <w:tcW w:w="954" w:type="dxa"/>
            <w:tcBorders>
              <w:bottom w:val="single" w:sz="4" w:space="0" w:color="auto"/>
            </w:tcBorders>
          </w:tcPr>
          <w:p w14:paraId="731FC15C" w14:textId="4E396DF7" w:rsidR="008A24E2" w:rsidRPr="00A605BB" w:rsidRDefault="008A24E2" w:rsidP="005109FB">
            <w:pPr>
              <w:autoSpaceDE w:val="0"/>
              <w:autoSpaceDN w:val="0"/>
              <w:adjustRightInd w:val="0"/>
              <w:spacing w:after="240" w:line="276" w:lineRule="auto"/>
              <w:jc w:val="center"/>
              <w:rPr>
                <w:rFonts w:ascii="Times New Roman" w:hAnsi="Times New Roman" w:cs="Times New Roman"/>
                <w:sz w:val="22"/>
                <w:szCs w:val="22"/>
              </w:rPr>
            </w:pPr>
            <w:r w:rsidRPr="00A605BB">
              <w:rPr>
                <w:rFonts w:ascii="Times New Roman" w:hAnsi="Times New Roman" w:cs="Times New Roman"/>
                <w:sz w:val="22"/>
                <w:szCs w:val="22"/>
              </w:rPr>
              <w:t>3.76</w:t>
            </w:r>
          </w:p>
        </w:tc>
        <w:tc>
          <w:tcPr>
            <w:tcW w:w="1030" w:type="dxa"/>
            <w:tcBorders>
              <w:bottom w:val="single" w:sz="4" w:space="0" w:color="auto"/>
            </w:tcBorders>
          </w:tcPr>
          <w:p w14:paraId="2449E115" w14:textId="04B024F6" w:rsidR="008A24E2" w:rsidRPr="00A605BB" w:rsidRDefault="008A24E2" w:rsidP="005109FB">
            <w:pPr>
              <w:autoSpaceDE w:val="0"/>
              <w:autoSpaceDN w:val="0"/>
              <w:adjustRightInd w:val="0"/>
              <w:spacing w:after="240" w:line="276" w:lineRule="auto"/>
              <w:jc w:val="center"/>
              <w:rPr>
                <w:rFonts w:ascii="Times New Roman" w:hAnsi="Times New Roman" w:cs="Times New Roman"/>
                <w:sz w:val="22"/>
                <w:szCs w:val="22"/>
              </w:rPr>
            </w:pPr>
            <w:r w:rsidRPr="00A605BB">
              <w:rPr>
                <w:rFonts w:ascii="Times New Roman" w:hAnsi="Times New Roman" w:cs="Times New Roman"/>
                <w:sz w:val="22"/>
                <w:szCs w:val="22"/>
              </w:rPr>
              <w:t>.58</w:t>
            </w:r>
          </w:p>
        </w:tc>
        <w:tc>
          <w:tcPr>
            <w:tcW w:w="479" w:type="dxa"/>
            <w:tcBorders>
              <w:bottom w:val="single" w:sz="4" w:space="0" w:color="auto"/>
            </w:tcBorders>
          </w:tcPr>
          <w:p w14:paraId="0AFAAAFB" w14:textId="77777777" w:rsidR="008A24E2" w:rsidRPr="00A605BB" w:rsidRDefault="008A24E2" w:rsidP="005109FB">
            <w:pPr>
              <w:autoSpaceDE w:val="0"/>
              <w:autoSpaceDN w:val="0"/>
              <w:adjustRightInd w:val="0"/>
              <w:spacing w:after="240" w:line="276" w:lineRule="auto"/>
              <w:jc w:val="center"/>
              <w:rPr>
                <w:rFonts w:ascii="Times New Roman" w:hAnsi="Times New Roman" w:cs="Times New Roman"/>
                <w:sz w:val="22"/>
                <w:szCs w:val="22"/>
              </w:rPr>
            </w:pPr>
          </w:p>
        </w:tc>
        <w:tc>
          <w:tcPr>
            <w:tcW w:w="803" w:type="dxa"/>
            <w:tcBorders>
              <w:bottom w:val="single" w:sz="4" w:space="0" w:color="auto"/>
            </w:tcBorders>
          </w:tcPr>
          <w:p w14:paraId="414CA371" w14:textId="11EB4D21" w:rsidR="008A24E2" w:rsidRPr="00A605BB" w:rsidRDefault="008A24E2" w:rsidP="005109FB">
            <w:pPr>
              <w:autoSpaceDE w:val="0"/>
              <w:autoSpaceDN w:val="0"/>
              <w:adjustRightInd w:val="0"/>
              <w:spacing w:after="240" w:line="276" w:lineRule="auto"/>
              <w:jc w:val="center"/>
              <w:rPr>
                <w:rFonts w:ascii="Times New Roman" w:hAnsi="Times New Roman" w:cs="Times New Roman"/>
                <w:sz w:val="22"/>
                <w:szCs w:val="22"/>
              </w:rPr>
            </w:pPr>
            <w:r w:rsidRPr="00A605BB">
              <w:rPr>
                <w:rFonts w:ascii="Times New Roman" w:hAnsi="Times New Roman" w:cs="Times New Roman"/>
                <w:sz w:val="22"/>
                <w:szCs w:val="22"/>
              </w:rPr>
              <w:t>3.80</w:t>
            </w:r>
          </w:p>
        </w:tc>
        <w:tc>
          <w:tcPr>
            <w:tcW w:w="745" w:type="dxa"/>
            <w:tcBorders>
              <w:bottom w:val="single" w:sz="4" w:space="0" w:color="auto"/>
            </w:tcBorders>
          </w:tcPr>
          <w:p w14:paraId="34270476" w14:textId="630E77C4" w:rsidR="008A24E2" w:rsidRPr="00A605BB" w:rsidRDefault="008A24E2" w:rsidP="005109FB">
            <w:pPr>
              <w:autoSpaceDE w:val="0"/>
              <w:autoSpaceDN w:val="0"/>
              <w:adjustRightInd w:val="0"/>
              <w:spacing w:after="240" w:line="276" w:lineRule="auto"/>
              <w:jc w:val="center"/>
              <w:rPr>
                <w:rFonts w:ascii="Times New Roman" w:hAnsi="Times New Roman" w:cs="Times New Roman"/>
                <w:sz w:val="22"/>
                <w:szCs w:val="22"/>
              </w:rPr>
            </w:pPr>
            <w:r w:rsidRPr="00A605BB">
              <w:rPr>
                <w:rFonts w:ascii="Times New Roman" w:hAnsi="Times New Roman" w:cs="Times New Roman"/>
                <w:sz w:val="22"/>
                <w:szCs w:val="22"/>
              </w:rPr>
              <w:t>.56</w:t>
            </w:r>
          </w:p>
        </w:tc>
        <w:tc>
          <w:tcPr>
            <w:tcW w:w="940" w:type="dxa"/>
            <w:tcBorders>
              <w:bottom w:val="single" w:sz="4" w:space="0" w:color="auto"/>
            </w:tcBorders>
          </w:tcPr>
          <w:p w14:paraId="57E2F79C" w14:textId="40A5FFFA" w:rsidR="008A24E2" w:rsidRPr="00A605BB" w:rsidRDefault="008A24E2" w:rsidP="005109FB">
            <w:pPr>
              <w:autoSpaceDE w:val="0"/>
              <w:autoSpaceDN w:val="0"/>
              <w:adjustRightInd w:val="0"/>
              <w:spacing w:after="240" w:line="276" w:lineRule="auto"/>
              <w:jc w:val="center"/>
              <w:rPr>
                <w:rFonts w:ascii="Times New Roman" w:hAnsi="Times New Roman" w:cs="Times New Roman"/>
                <w:sz w:val="22"/>
                <w:szCs w:val="22"/>
              </w:rPr>
            </w:pPr>
            <w:r w:rsidRPr="00A605BB">
              <w:rPr>
                <w:rFonts w:ascii="Times New Roman" w:hAnsi="Times New Roman" w:cs="Times New Roman"/>
                <w:sz w:val="22"/>
                <w:szCs w:val="22"/>
              </w:rPr>
              <w:t>3.88</w:t>
            </w:r>
          </w:p>
        </w:tc>
        <w:tc>
          <w:tcPr>
            <w:tcW w:w="642" w:type="dxa"/>
            <w:tcBorders>
              <w:bottom w:val="single" w:sz="4" w:space="0" w:color="auto"/>
            </w:tcBorders>
          </w:tcPr>
          <w:p w14:paraId="39420638" w14:textId="7887A63F" w:rsidR="008A24E2" w:rsidRPr="00A605BB" w:rsidRDefault="008A24E2" w:rsidP="005109FB">
            <w:pPr>
              <w:autoSpaceDE w:val="0"/>
              <w:autoSpaceDN w:val="0"/>
              <w:adjustRightInd w:val="0"/>
              <w:spacing w:after="240" w:line="276" w:lineRule="auto"/>
              <w:jc w:val="center"/>
              <w:rPr>
                <w:rFonts w:ascii="Times New Roman" w:hAnsi="Times New Roman" w:cs="Times New Roman"/>
                <w:sz w:val="22"/>
                <w:szCs w:val="22"/>
              </w:rPr>
            </w:pPr>
            <w:r w:rsidRPr="00A605BB">
              <w:rPr>
                <w:rFonts w:ascii="Times New Roman" w:hAnsi="Times New Roman" w:cs="Times New Roman"/>
                <w:sz w:val="22"/>
                <w:szCs w:val="22"/>
              </w:rPr>
              <w:t>.73</w:t>
            </w:r>
          </w:p>
        </w:tc>
        <w:tc>
          <w:tcPr>
            <w:tcW w:w="488" w:type="dxa"/>
            <w:gridSpan w:val="2"/>
            <w:tcBorders>
              <w:bottom w:val="single" w:sz="4" w:space="0" w:color="auto"/>
            </w:tcBorders>
          </w:tcPr>
          <w:p w14:paraId="49084084" w14:textId="77777777" w:rsidR="008A24E2" w:rsidRPr="00A605BB" w:rsidRDefault="008A24E2" w:rsidP="005109FB">
            <w:pPr>
              <w:autoSpaceDE w:val="0"/>
              <w:autoSpaceDN w:val="0"/>
              <w:adjustRightInd w:val="0"/>
              <w:spacing w:after="240" w:line="276" w:lineRule="auto"/>
              <w:jc w:val="center"/>
              <w:rPr>
                <w:rFonts w:ascii="Times New Roman" w:hAnsi="Times New Roman" w:cs="Times New Roman"/>
                <w:sz w:val="22"/>
                <w:szCs w:val="22"/>
              </w:rPr>
            </w:pPr>
          </w:p>
        </w:tc>
        <w:tc>
          <w:tcPr>
            <w:tcW w:w="940" w:type="dxa"/>
            <w:tcBorders>
              <w:bottom w:val="single" w:sz="4" w:space="0" w:color="auto"/>
            </w:tcBorders>
          </w:tcPr>
          <w:p w14:paraId="34F5776C" w14:textId="11FD99F7" w:rsidR="008A24E2" w:rsidRPr="00A605BB" w:rsidRDefault="008A24E2" w:rsidP="005109FB">
            <w:pPr>
              <w:autoSpaceDE w:val="0"/>
              <w:autoSpaceDN w:val="0"/>
              <w:adjustRightInd w:val="0"/>
              <w:spacing w:after="240" w:line="276" w:lineRule="auto"/>
              <w:jc w:val="center"/>
              <w:rPr>
                <w:rFonts w:ascii="Times New Roman" w:hAnsi="Times New Roman" w:cs="Times New Roman"/>
                <w:sz w:val="22"/>
                <w:szCs w:val="22"/>
              </w:rPr>
            </w:pPr>
            <w:r w:rsidRPr="00A605BB">
              <w:rPr>
                <w:rFonts w:ascii="Times New Roman" w:hAnsi="Times New Roman" w:cs="Times New Roman"/>
                <w:sz w:val="22"/>
                <w:szCs w:val="22"/>
              </w:rPr>
              <w:t>3.99</w:t>
            </w:r>
          </w:p>
        </w:tc>
        <w:tc>
          <w:tcPr>
            <w:tcW w:w="719" w:type="dxa"/>
            <w:tcBorders>
              <w:bottom w:val="single" w:sz="4" w:space="0" w:color="auto"/>
            </w:tcBorders>
          </w:tcPr>
          <w:p w14:paraId="553AE9D0" w14:textId="5DACABBB" w:rsidR="008A24E2" w:rsidRPr="00A605BB" w:rsidRDefault="008A24E2" w:rsidP="005109FB">
            <w:pPr>
              <w:autoSpaceDE w:val="0"/>
              <w:autoSpaceDN w:val="0"/>
              <w:adjustRightInd w:val="0"/>
              <w:spacing w:after="240" w:line="276" w:lineRule="auto"/>
              <w:jc w:val="center"/>
              <w:rPr>
                <w:rFonts w:ascii="Times New Roman" w:hAnsi="Times New Roman" w:cs="Times New Roman"/>
                <w:sz w:val="22"/>
                <w:szCs w:val="22"/>
              </w:rPr>
            </w:pPr>
            <w:r w:rsidRPr="00A605BB">
              <w:rPr>
                <w:rFonts w:ascii="Times New Roman" w:hAnsi="Times New Roman" w:cs="Times New Roman"/>
                <w:sz w:val="22"/>
                <w:szCs w:val="22"/>
              </w:rPr>
              <w:t>.53</w:t>
            </w:r>
          </w:p>
        </w:tc>
        <w:tc>
          <w:tcPr>
            <w:tcW w:w="940" w:type="dxa"/>
            <w:tcBorders>
              <w:bottom w:val="single" w:sz="4" w:space="0" w:color="auto"/>
            </w:tcBorders>
          </w:tcPr>
          <w:p w14:paraId="1ACC78A1" w14:textId="6CA1FDD6" w:rsidR="008A24E2" w:rsidRPr="00A605BB" w:rsidRDefault="008A24E2" w:rsidP="005109FB">
            <w:pPr>
              <w:autoSpaceDE w:val="0"/>
              <w:autoSpaceDN w:val="0"/>
              <w:adjustRightInd w:val="0"/>
              <w:spacing w:after="240" w:line="276" w:lineRule="auto"/>
              <w:jc w:val="center"/>
              <w:rPr>
                <w:rFonts w:ascii="Times New Roman" w:hAnsi="Times New Roman" w:cs="Times New Roman"/>
                <w:sz w:val="22"/>
                <w:szCs w:val="22"/>
              </w:rPr>
            </w:pPr>
            <w:r w:rsidRPr="00A605BB">
              <w:rPr>
                <w:rFonts w:ascii="Times New Roman" w:hAnsi="Times New Roman" w:cs="Times New Roman"/>
                <w:sz w:val="22"/>
                <w:szCs w:val="22"/>
              </w:rPr>
              <w:t>4.00</w:t>
            </w:r>
          </w:p>
        </w:tc>
        <w:tc>
          <w:tcPr>
            <w:tcW w:w="789" w:type="dxa"/>
            <w:tcBorders>
              <w:bottom w:val="single" w:sz="4" w:space="0" w:color="auto"/>
            </w:tcBorders>
          </w:tcPr>
          <w:p w14:paraId="2CC94854" w14:textId="37C3B57D" w:rsidR="008A24E2" w:rsidRPr="00A605BB" w:rsidRDefault="008A24E2" w:rsidP="005109FB">
            <w:pPr>
              <w:autoSpaceDE w:val="0"/>
              <w:autoSpaceDN w:val="0"/>
              <w:adjustRightInd w:val="0"/>
              <w:spacing w:after="240" w:line="276" w:lineRule="auto"/>
              <w:jc w:val="center"/>
              <w:rPr>
                <w:rFonts w:ascii="Times New Roman" w:hAnsi="Times New Roman" w:cs="Times New Roman"/>
                <w:sz w:val="22"/>
                <w:szCs w:val="22"/>
              </w:rPr>
            </w:pPr>
            <w:r w:rsidRPr="00A605BB">
              <w:rPr>
                <w:rFonts w:ascii="Times New Roman" w:hAnsi="Times New Roman" w:cs="Times New Roman"/>
                <w:sz w:val="22"/>
                <w:szCs w:val="22"/>
              </w:rPr>
              <w:t>.82</w:t>
            </w:r>
          </w:p>
        </w:tc>
      </w:tr>
      <w:bookmarkEnd w:id="17"/>
    </w:tbl>
    <w:p w14:paraId="2B008C19" w14:textId="266C36E0" w:rsidR="007951A8" w:rsidRPr="00A605BB" w:rsidRDefault="007951A8" w:rsidP="005109FB">
      <w:pPr>
        <w:spacing w:line="276" w:lineRule="auto"/>
      </w:pPr>
    </w:p>
    <w:p w14:paraId="2081F86F" w14:textId="3524719F" w:rsidR="001A0AFA" w:rsidRPr="00A605BB" w:rsidRDefault="001A0AFA" w:rsidP="005109FB">
      <w:pPr>
        <w:spacing w:line="276" w:lineRule="auto"/>
      </w:pPr>
    </w:p>
    <w:p w14:paraId="4422B529" w14:textId="58E8021B" w:rsidR="00325F04" w:rsidRPr="00A605BB" w:rsidRDefault="00325F04">
      <w:pPr>
        <w:spacing w:line="240" w:lineRule="auto"/>
      </w:pPr>
      <w:r w:rsidRPr="00A605BB">
        <w:br w:type="page"/>
      </w:r>
    </w:p>
    <w:p w14:paraId="036F01AD" w14:textId="3590864F" w:rsidR="00B4473C" w:rsidRPr="00A605BB" w:rsidRDefault="00B4473C" w:rsidP="00B4473C">
      <w:pPr>
        <w:pStyle w:val="pf0"/>
        <w:rPr>
          <w:rStyle w:val="cf01"/>
          <w:rFonts w:ascii="Times New Roman" w:hAnsi="Times New Roman" w:cs="Times New Roman"/>
          <w:b/>
          <w:bCs/>
          <w:sz w:val="24"/>
          <w:szCs w:val="24"/>
        </w:rPr>
      </w:pPr>
      <w:r w:rsidRPr="00A605BB">
        <w:rPr>
          <w:rStyle w:val="cf01"/>
          <w:rFonts w:ascii="Times New Roman" w:hAnsi="Times New Roman" w:cs="Times New Roman"/>
          <w:b/>
          <w:bCs/>
          <w:sz w:val="24"/>
          <w:szCs w:val="24"/>
        </w:rPr>
        <w:lastRenderedPageBreak/>
        <w:t xml:space="preserve">Table </w:t>
      </w:r>
      <w:r w:rsidR="002A50F9" w:rsidRPr="00A605BB">
        <w:rPr>
          <w:rStyle w:val="cf01"/>
          <w:rFonts w:ascii="Times New Roman" w:hAnsi="Times New Roman" w:cs="Times New Roman"/>
          <w:b/>
          <w:bCs/>
          <w:sz w:val="24"/>
          <w:szCs w:val="24"/>
        </w:rPr>
        <w:t>3</w:t>
      </w:r>
      <w:r w:rsidRPr="00A605BB">
        <w:rPr>
          <w:rStyle w:val="cf01"/>
          <w:rFonts w:ascii="Times New Roman" w:hAnsi="Times New Roman" w:cs="Times New Roman"/>
          <w:b/>
          <w:bCs/>
          <w:sz w:val="24"/>
          <w:szCs w:val="24"/>
        </w:rPr>
        <w:t>.</w:t>
      </w:r>
    </w:p>
    <w:p w14:paraId="78A735F9" w14:textId="662B419B" w:rsidR="00B4473C" w:rsidRPr="00A605BB" w:rsidRDefault="00B4473C" w:rsidP="00B4473C">
      <w:pPr>
        <w:pStyle w:val="pf0"/>
        <w:rPr>
          <w:rStyle w:val="cf01"/>
          <w:rFonts w:ascii="Times New Roman" w:hAnsi="Times New Roman" w:cs="Times New Roman"/>
          <w:sz w:val="24"/>
          <w:szCs w:val="24"/>
        </w:rPr>
      </w:pPr>
      <w:r w:rsidRPr="00A605BB">
        <w:rPr>
          <w:rStyle w:val="cf01"/>
          <w:rFonts w:ascii="Times New Roman" w:hAnsi="Times New Roman" w:cs="Times New Roman"/>
          <w:sz w:val="24"/>
          <w:szCs w:val="24"/>
        </w:rPr>
        <w:t xml:space="preserve">Repeated </w:t>
      </w:r>
      <w:r w:rsidR="00C67A74" w:rsidRPr="00A605BB">
        <w:rPr>
          <w:rStyle w:val="cf01"/>
          <w:rFonts w:ascii="Times New Roman" w:hAnsi="Times New Roman" w:cs="Times New Roman"/>
          <w:sz w:val="24"/>
          <w:szCs w:val="24"/>
        </w:rPr>
        <w:t>m</w:t>
      </w:r>
      <w:r w:rsidRPr="00A605BB">
        <w:rPr>
          <w:rStyle w:val="cf01"/>
          <w:rFonts w:ascii="Times New Roman" w:hAnsi="Times New Roman" w:cs="Times New Roman"/>
          <w:sz w:val="24"/>
          <w:szCs w:val="24"/>
        </w:rPr>
        <w:t xml:space="preserve">easures </w:t>
      </w:r>
      <w:r w:rsidR="004F186D" w:rsidRPr="00A605BB">
        <w:rPr>
          <w:rStyle w:val="cf01"/>
          <w:rFonts w:ascii="Times New Roman" w:hAnsi="Times New Roman" w:cs="Times New Roman"/>
          <w:sz w:val="24"/>
          <w:szCs w:val="24"/>
        </w:rPr>
        <w:t xml:space="preserve">of </w:t>
      </w:r>
      <w:r w:rsidR="009869FA" w:rsidRPr="00A605BB">
        <w:rPr>
          <w:rStyle w:val="cf01"/>
          <w:rFonts w:ascii="Times New Roman" w:hAnsi="Times New Roman" w:cs="Times New Roman"/>
          <w:sz w:val="24"/>
          <w:szCs w:val="24"/>
        </w:rPr>
        <w:t xml:space="preserve">one-way </w:t>
      </w:r>
      <w:r w:rsidRPr="00A605BB">
        <w:rPr>
          <w:rStyle w:val="cf01"/>
          <w:rFonts w:ascii="Times New Roman" w:hAnsi="Times New Roman" w:cs="Times New Roman"/>
          <w:sz w:val="24"/>
          <w:szCs w:val="24"/>
        </w:rPr>
        <w:t>ANOVA</w:t>
      </w:r>
      <w:r w:rsidR="00695064" w:rsidRPr="00A605BB">
        <w:rPr>
          <w:rStyle w:val="cf01"/>
          <w:rFonts w:ascii="Times New Roman" w:hAnsi="Times New Roman" w:cs="Times New Roman"/>
          <w:sz w:val="24"/>
          <w:szCs w:val="24"/>
        </w:rPr>
        <w:t>s,</w:t>
      </w:r>
      <w:r w:rsidRPr="00A605BB">
        <w:rPr>
          <w:rStyle w:val="cf01"/>
          <w:rFonts w:ascii="Times New Roman" w:hAnsi="Times New Roman" w:cs="Times New Roman"/>
          <w:sz w:val="24"/>
          <w:szCs w:val="24"/>
        </w:rPr>
        <w:t xml:space="preserve"> compar</w:t>
      </w:r>
      <w:r w:rsidR="00695064" w:rsidRPr="00A605BB">
        <w:rPr>
          <w:rStyle w:val="cf01"/>
          <w:rFonts w:ascii="Times New Roman" w:hAnsi="Times New Roman" w:cs="Times New Roman"/>
          <w:sz w:val="24"/>
          <w:szCs w:val="24"/>
        </w:rPr>
        <w:t>ing</w:t>
      </w:r>
      <w:r w:rsidRPr="00A605BB">
        <w:rPr>
          <w:rStyle w:val="cf01"/>
          <w:rFonts w:ascii="Times New Roman" w:hAnsi="Times New Roman" w:cs="Times New Roman"/>
          <w:sz w:val="24"/>
          <w:szCs w:val="24"/>
        </w:rPr>
        <w:t xml:space="preserve"> </w:t>
      </w:r>
      <w:r w:rsidR="00695064" w:rsidRPr="00A605BB">
        <w:rPr>
          <w:rStyle w:val="cf01"/>
          <w:rFonts w:ascii="Times New Roman" w:hAnsi="Times New Roman" w:cs="Times New Roman"/>
          <w:sz w:val="24"/>
          <w:szCs w:val="24"/>
        </w:rPr>
        <w:t xml:space="preserve">competency development over time </w:t>
      </w:r>
      <w:r w:rsidRPr="00A605BB">
        <w:rPr>
          <w:rStyle w:val="cf01"/>
          <w:rFonts w:ascii="Times New Roman" w:hAnsi="Times New Roman" w:cs="Times New Roman"/>
          <w:sz w:val="24"/>
          <w:szCs w:val="24"/>
        </w:rPr>
        <w:t>for the students as a group (H1a-h)</w:t>
      </w:r>
    </w:p>
    <w:tbl>
      <w:tblPr>
        <w:tblStyle w:val="ListTable6Colorful"/>
        <w:tblW w:w="14034" w:type="dxa"/>
        <w:tblLook w:val="04A0" w:firstRow="1" w:lastRow="0" w:firstColumn="1" w:lastColumn="0" w:noHBand="0" w:noVBand="1"/>
      </w:tblPr>
      <w:tblGrid>
        <w:gridCol w:w="3504"/>
        <w:gridCol w:w="1036"/>
        <w:gridCol w:w="968"/>
        <w:gridCol w:w="1389"/>
        <w:gridCol w:w="1123"/>
        <w:gridCol w:w="979"/>
        <w:gridCol w:w="999"/>
        <w:gridCol w:w="636"/>
        <w:gridCol w:w="1699"/>
        <w:gridCol w:w="1701"/>
      </w:tblGrid>
      <w:tr w:rsidR="006A38F5" w:rsidRPr="00A605BB" w14:paraId="6F3F573C" w14:textId="77777777" w:rsidTr="006A38F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04" w:type="dxa"/>
            <w:tcBorders>
              <w:top w:val="single" w:sz="4" w:space="0" w:color="auto"/>
              <w:bottom w:val="nil"/>
            </w:tcBorders>
            <w:shd w:val="clear" w:color="auto" w:fill="auto"/>
          </w:tcPr>
          <w:p w14:paraId="2B929024" w14:textId="77777777" w:rsidR="006A38F5" w:rsidRPr="00A605BB" w:rsidRDefault="006A38F5" w:rsidP="008C7542">
            <w:pPr>
              <w:autoSpaceDE w:val="0"/>
              <w:autoSpaceDN w:val="0"/>
              <w:adjustRightInd w:val="0"/>
              <w:spacing w:line="276" w:lineRule="auto"/>
              <w:jc w:val="both"/>
              <w:rPr>
                <w:b w:val="0"/>
                <w:bCs w:val="0"/>
                <w:sz w:val="22"/>
                <w:szCs w:val="22"/>
              </w:rPr>
            </w:pPr>
          </w:p>
        </w:tc>
        <w:tc>
          <w:tcPr>
            <w:tcW w:w="7130" w:type="dxa"/>
            <w:gridSpan w:val="7"/>
            <w:tcBorders>
              <w:top w:val="single" w:sz="4" w:space="0" w:color="auto"/>
              <w:bottom w:val="nil"/>
            </w:tcBorders>
            <w:shd w:val="clear" w:color="auto" w:fill="auto"/>
            <w:vAlign w:val="center"/>
          </w:tcPr>
          <w:p w14:paraId="1D3AA7C2" w14:textId="1CC292FE" w:rsidR="006A38F5" w:rsidRPr="00A605BB" w:rsidRDefault="006A38F5" w:rsidP="006A38F5">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sz w:val="22"/>
                <w:szCs w:val="22"/>
              </w:rPr>
            </w:pPr>
            <w:r w:rsidRPr="00A605BB">
              <w:rPr>
                <w:sz w:val="22"/>
                <w:szCs w:val="22"/>
              </w:rPr>
              <w:t>Main Effect (</w:t>
            </w:r>
            <w:r w:rsidRPr="00A605BB">
              <w:rPr>
                <w:b w:val="0"/>
                <w:bCs w:val="0"/>
                <w:sz w:val="22"/>
                <w:szCs w:val="22"/>
              </w:rPr>
              <w:t>Pre-End</w:t>
            </w:r>
            <w:r w:rsidRPr="00A605BB">
              <w:rPr>
                <w:sz w:val="22"/>
                <w:szCs w:val="22"/>
              </w:rPr>
              <w:t>)</w:t>
            </w:r>
          </w:p>
        </w:tc>
        <w:tc>
          <w:tcPr>
            <w:tcW w:w="1699" w:type="dxa"/>
            <w:tcBorders>
              <w:top w:val="single" w:sz="4" w:space="0" w:color="auto"/>
              <w:bottom w:val="nil"/>
            </w:tcBorders>
            <w:shd w:val="clear" w:color="auto" w:fill="auto"/>
          </w:tcPr>
          <w:p w14:paraId="5F873BE4" w14:textId="77777777" w:rsidR="006A38F5" w:rsidRPr="00A605BB" w:rsidRDefault="006A38F5" w:rsidP="006730B3">
            <w:pPr>
              <w:spacing w:line="276" w:lineRule="auto"/>
              <w:jc w:val="center"/>
              <w:cnfStyle w:val="100000000000" w:firstRow="1" w:lastRow="0" w:firstColumn="0" w:lastColumn="0" w:oddVBand="0" w:evenVBand="0" w:oddHBand="0" w:evenHBand="0" w:firstRowFirstColumn="0" w:firstRowLastColumn="0" w:lastRowFirstColumn="0" w:lastRowLastColumn="0"/>
              <w:rPr>
                <w:b w:val="0"/>
                <w:bCs w:val="0"/>
                <w:sz w:val="22"/>
                <w:szCs w:val="22"/>
              </w:rPr>
            </w:pPr>
            <w:r w:rsidRPr="00A605BB">
              <w:rPr>
                <w:b w:val="0"/>
                <w:bCs w:val="0"/>
                <w:sz w:val="22"/>
                <w:szCs w:val="22"/>
              </w:rPr>
              <w:t xml:space="preserve">Pairwise comparisons </w:t>
            </w:r>
            <w:r w:rsidRPr="00A605BB">
              <w:rPr>
                <w:b w:val="0"/>
                <w:bCs w:val="0"/>
                <w:sz w:val="22"/>
                <w:szCs w:val="22"/>
                <w:vertAlign w:val="superscript"/>
              </w:rPr>
              <w:t>b</w:t>
            </w:r>
          </w:p>
          <w:p w14:paraId="6E428255" w14:textId="62117DDB" w:rsidR="006A38F5" w:rsidRPr="00A605BB" w:rsidRDefault="006A38F5" w:rsidP="006730B3">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b w:val="0"/>
                <w:bCs w:val="0"/>
                <w:sz w:val="22"/>
                <w:szCs w:val="22"/>
              </w:rPr>
            </w:pPr>
            <w:r w:rsidRPr="00A605BB">
              <w:rPr>
                <w:sz w:val="22"/>
                <w:szCs w:val="22"/>
              </w:rPr>
              <w:t>(</w:t>
            </w:r>
            <w:r w:rsidRPr="00A605BB">
              <w:rPr>
                <w:b w:val="0"/>
                <w:bCs w:val="0"/>
                <w:sz w:val="22"/>
                <w:szCs w:val="22"/>
              </w:rPr>
              <w:t>Pre</w:t>
            </w:r>
            <w:r w:rsidRPr="00A605BB">
              <w:rPr>
                <w:sz w:val="22"/>
                <w:szCs w:val="22"/>
              </w:rPr>
              <w:t>-</w:t>
            </w:r>
            <w:r w:rsidRPr="00A605BB">
              <w:rPr>
                <w:b w:val="0"/>
                <w:bCs w:val="0"/>
                <w:sz w:val="22"/>
                <w:szCs w:val="22"/>
              </w:rPr>
              <w:t>Mid</w:t>
            </w:r>
            <w:r w:rsidRPr="00A605BB">
              <w:rPr>
                <w:sz w:val="22"/>
                <w:szCs w:val="22"/>
              </w:rPr>
              <w:t>)</w:t>
            </w:r>
          </w:p>
        </w:tc>
        <w:tc>
          <w:tcPr>
            <w:tcW w:w="1701" w:type="dxa"/>
            <w:tcBorders>
              <w:top w:val="single" w:sz="4" w:space="0" w:color="auto"/>
              <w:bottom w:val="nil"/>
            </w:tcBorders>
            <w:shd w:val="clear" w:color="auto" w:fill="auto"/>
          </w:tcPr>
          <w:p w14:paraId="4F2AB704" w14:textId="77777777" w:rsidR="006A38F5" w:rsidRPr="00A605BB" w:rsidRDefault="006A38F5" w:rsidP="006730B3">
            <w:pPr>
              <w:spacing w:line="276" w:lineRule="auto"/>
              <w:jc w:val="center"/>
              <w:cnfStyle w:val="100000000000" w:firstRow="1" w:lastRow="0" w:firstColumn="0" w:lastColumn="0" w:oddVBand="0" w:evenVBand="0" w:oddHBand="0" w:evenHBand="0" w:firstRowFirstColumn="0" w:firstRowLastColumn="0" w:lastRowFirstColumn="0" w:lastRowLastColumn="0"/>
              <w:rPr>
                <w:b w:val="0"/>
                <w:bCs w:val="0"/>
                <w:sz w:val="22"/>
                <w:szCs w:val="22"/>
              </w:rPr>
            </w:pPr>
            <w:r w:rsidRPr="00A605BB">
              <w:rPr>
                <w:b w:val="0"/>
                <w:bCs w:val="0"/>
                <w:sz w:val="22"/>
                <w:szCs w:val="22"/>
              </w:rPr>
              <w:t xml:space="preserve">Pairwise comparisons </w:t>
            </w:r>
            <w:r w:rsidRPr="00A605BB">
              <w:rPr>
                <w:b w:val="0"/>
                <w:bCs w:val="0"/>
                <w:sz w:val="22"/>
                <w:szCs w:val="22"/>
                <w:vertAlign w:val="superscript"/>
              </w:rPr>
              <w:t>b</w:t>
            </w:r>
          </w:p>
          <w:p w14:paraId="088EF450" w14:textId="34BBEF6B" w:rsidR="006A38F5" w:rsidRPr="00A605BB" w:rsidRDefault="006A38F5" w:rsidP="006730B3">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b w:val="0"/>
                <w:bCs w:val="0"/>
                <w:sz w:val="22"/>
                <w:szCs w:val="22"/>
              </w:rPr>
            </w:pPr>
            <w:r w:rsidRPr="00A605BB">
              <w:rPr>
                <w:sz w:val="22"/>
                <w:szCs w:val="22"/>
              </w:rPr>
              <w:t>(</w:t>
            </w:r>
            <w:r w:rsidRPr="00A605BB">
              <w:rPr>
                <w:b w:val="0"/>
                <w:bCs w:val="0"/>
                <w:sz w:val="22"/>
                <w:szCs w:val="22"/>
              </w:rPr>
              <w:t>Mid</w:t>
            </w:r>
            <w:r w:rsidRPr="00A605BB">
              <w:rPr>
                <w:sz w:val="22"/>
                <w:szCs w:val="22"/>
              </w:rPr>
              <w:t>-</w:t>
            </w:r>
            <w:r w:rsidRPr="00A605BB">
              <w:rPr>
                <w:b w:val="0"/>
                <w:bCs w:val="0"/>
                <w:sz w:val="22"/>
                <w:szCs w:val="22"/>
              </w:rPr>
              <w:t>End</w:t>
            </w:r>
            <w:r w:rsidRPr="00A605BB">
              <w:rPr>
                <w:sz w:val="22"/>
                <w:szCs w:val="22"/>
              </w:rPr>
              <w:t>)</w:t>
            </w:r>
          </w:p>
        </w:tc>
      </w:tr>
      <w:tr w:rsidR="00EC1D66" w:rsidRPr="00A605BB" w14:paraId="486DB1FE" w14:textId="037E08F6" w:rsidTr="006A38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04" w:type="dxa"/>
            <w:tcBorders>
              <w:top w:val="nil"/>
              <w:bottom w:val="single" w:sz="4" w:space="0" w:color="auto"/>
            </w:tcBorders>
            <w:shd w:val="clear" w:color="auto" w:fill="auto"/>
          </w:tcPr>
          <w:p w14:paraId="51C7D5A1" w14:textId="0E5121CB" w:rsidR="00D863F6" w:rsidRPr="00A605BB" w:rsidRDefault="004F186D" w:rsidP="008C7542">
            <w:pPr>
              <w:autoSpaceDE w:val="0"/>
              <w:autoSpaceDN w:val="0"/>
              <w:adjustRightInd w:val="0"/>
              <w:spacing w:line="276" w:lineRule="auto"/>
              <w:jc w:val="both"/>
              <w:rPr>
                <w:b w:val="0"/>
                <w:bCs w:val="0"/>
                <w:sz w:val="22"/>
                <w:szCs w:val="22"/>
              </w:rPr>
            </w:pPr>
            <w:r w:rsidRPr="00A605BB">
              <w:rPr>
                <w:sz w:val="22"/>
                <w:szCs w:val="22"/>
              </w:rPr>
              <w:t xml:space="preserve">Hypothesis and </w:t>
            </w:r>
            <w:r w:rsidR="00696B0E" w:rsidRPr="00A605BB">
              <w:rPr>
                <w:sz w:val="22"/>
                <w:szCs w:val="22"/>
              </w:rPr>
              <w:t>Competency</w:t>
            </w:r>
          </w:p>
        </w:tc>
        <w:tc>
          <w:tcPr>
            <w:tcW w:w="1036" w:type="dxa"/>
            <w:tcBorders>
              <w:top w:val="nil"/>
              <w:bottom w:val="single" w:sz="4" w:space="0" w:color="auto"/>
            </w:tcBorders>
            <w:shd w:val="clear" w:color="auto" w:fill="auto"/>
          </w:tcPr>
          <w:p w14:paraId="7AAFA75C" w14:textId="6CB5629A" w:rsidR="00D863F6" w:rsidRPr="00A605BB" w:rsidRDefault="00D863F6" w:rsidP="008C7542">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b/>
                <w:bCs/>
                <w:sz w:val="22"/>
                <w:szCs w:val="22"/>
              </w:rPr>
            </w:pPr>
            <w:r w:rsidRPr="00A605BB">
              <w:rPr>
                <w:b/>
                <w:bCs/>
                <w:sz w:val="22"/>
                <w:szCs w:val="22"/>
              </w:rPr>
              <w:t>N</w:t>
            </w:r>
          </w:p>
        </w:tc>
        <w:tc>
          <w:tcPr>
            <w:tcW w:w="968" w:type="dxa"/>
            <w:tcBorders>
              <w:top w:val="nil"/>
              <w:bottom w:val="single" w:sz="4" w:space="0" w:color="auto"/>
            </w:tcBorders>
            <w:shd w:val="clear" w:color="auto" w:fill="auto"/>
          </w:tcPr>
          <w:p w14:paraId="7A5B5388" w14:textId="3A877C13" w:rsidR="00D863F6" w:rsidRPr="00A605BB" w:rsidRDefault="00D863F6" w:rsidP="008C7542">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b/>
                <w:bCs/>
                <w:i/>
                <w:iCs/>
                <w:sz w:val="22"/>
                <w:szCs w:val="22"/>
              </w:rPr>
            </w:pPr>
            <w:proofErr w:type="spellStart"/>
            <w:r w:rsidRPr="00A605BB">
              <w:rPr>
                <w:b/>
                <w:bCs/>
                <w:i/>
                <w:iCs/>
                <w:sz w:val="22"/>
                <w:szCs w:val="22"/>
              </w:rPr>
              <w:t>df</w:t>
            </w:r>
            <w:proofErr w:type="spellEnd"/>
          </w:p>
        </w:tc>
        <w:tc>
          <w:tcPr>
            <w:tcW w:w="1389" w:type="dxa"/>
            <w:tcBorders>
              <w:top w:val="nil"/>
              <w:bottom w:val="single" w:sz="4" w:space="0" w:color="auto"/>
            </w:tcBorders>
            <w:shd w:val="clear" w:color="auto" w:fill="auto"/>
          </w:tcPr>
          <w:p w14:paraId="2F5C1BD5" w14:textId="21DC3A75" w:rsidR="00D863F6" w:rsidRPr="00A605BB" w:rsidRDefault="00D863F6" w:rsidP="008C7542">
            <w:pPr>
              <w:spacing w:line="276" w:lineRule="auto"/>
              <w:jc w:val="center"/>
              <w:cnfStyle w:val="000000100000" w:firstRow="0" w:lastRow="0" w:firstColumn="0" w:lastColumn="0" w:oddVBand="0" w:evenVBand="0" w:oddHBand="1" w:evenHBand="0" w:firstRowFirstColumn="0" w:firstRowLastColumn="0" w:lastRowFirstColumn="0" w:lastRowLastColumn="0"/>
              <w:rPr>
                <w:b/>
                <w:bCs/>
                <w:i/>
                <w:iCs/>
                <w:sz w:val="22"/>
                <w:szCs w:val="22"/>
              </w:rPr>
            </w:pPr>
            <w:r w:rsidRPr="00A605BB">
              <w:rPr>
                <w:b/>
                <w:bCs/>
                <w:i/>
                <w:iCs/>
                <w:sz w:val="22"/>
                <w:szCs w:val="22"/>
              </w:rPr>
              <w:t>Sum of Squares</w:t>
            </w:r>
          </w:p>
        </w:tc>
        <w:tc>
          <w:tcPr>
            <w:tcW w:w="1123" w:type="dxa"/>
            <w:tcBorders>
              <w:top w:val="nil"/>
              <w:bottom w:val="single" w:sz="4" w:space="0" w:color="auto"/>
            </w:tcBorders>
            <w:shd w:val="clear" w:color="auto" w:fill="auto"/>
          </w:tcPr>
          <w:p w14:paraId="4D213A7D" w14:textId="3A53150B" w:rsidR="00D863F6" w:rsidRPr="00A605BB" w:rsidRDefault="00D863F6" w:rsidP="008C7542">
            <w:pPr>
              <w:spacing w:line="276" w:lineRule="auto"/>
              <w:jc w:val="center"/>
              <w:cnfStyle w:val="000000100000" w:firstRow="0" w:lastRow="0" w:firstColumn="0" w:lastColumn="0" w:oddVBand="0" w:evenVBand="0" w:oddHBand="1" w:evenHBand="0" w:firstRowFirstColumn="0" w:firstRowLastColumn="0" w:lastRowFirstColumn="0" w:lastRowLastColumn="0"/>
              <w:rPr>
                <w:b/>
                <w:bCs/>
                <w:i/>
                <w:iCs/>
                <w:sz w:val="22"/>
                <w:szCs w:val="22"/>
              </w:rPr>
            </w:pPr>
            <w:r w:rsidRPr="00A605BB">
              <w:rPr>
                <w:b/>
                <w:bCs/>
                <w:i/>
                <w:iCs/>
                <w:sz w:val="22"/>
                <w:szCs w:val="22"/>
              </w:rPr>
              <w:t>Mean of Squares</w:t>
            </w:r>
          </w:p>
        </w:tc>
        <w:tc>
          <w:tcPr>
            <w:tcW w:w="979" w:type="dxa"/>
            <w:tcBorders>
              <w:top w:val="nil"/>
              <w:bottom w:val="single" w:sz="4" w:space="0" w:color="auto"/>
            </w:tcBorders>
            <w:shd w:val="clear" w:color="auto" w:fill="auto"/>
          </w:tcPr>
          <w:p w14:paraId="1CA084A4" w14:textId="30CA509F" w:rsidR="00D863F6" w:rsidRPr="00A605BB" w:rsidRDefault="00D863F6" w:rsidP="008C7542">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b/>
                <w:bCs/>
                <w:sz w:val="22"/>
                <w:szCs w:val="22"/>
              </w:rPr>
            </w:pPr>
            <w:r w:rsidRPr="00A605BB">
              <w:rPr>
                <w:b/>
                <w:bCs/>
                <w:sz w:val="22"/>
                <w:szCs w:val="22"/>
              </w:rPr>
              <w:t>F</w:t>
            </w:r>
          </w:p>
        </w:tc>
        <w:tc>
          <w:tcPr>
            <w:tcW w:w="999" w:type="dxa"/>
            <w:tcBorders>
              <w:top w:val="nil"/>
              <w:bottom w:val="single" w:sz="4" w:space="0" w:color="auto"/>
            </w:tcBorders>
            <w:shd w:val="clear" w:color="auto" w:fill="auto"/>
          </w:tcPr>
          <w:p w14:paraId="550D4159" w14:textId="694A43FA" w:rsidR="00D863F6" w:rsidRPr="00A605BB" w:rsidRDefault="00453C94" w:rsidP="008C7542">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b/>
                <w:bCs/>
                <w:sz w:val="22"/>
                <w:szCs w:val="22"/>
              </w:rPr>
            </w:pPr>
            <w:r w:rsidRPr="00A605BB">
              <w:rPr>
                <w:b/>
                <w:bCs/>
                <w:i/>
                <w:iCs/>
                <w:sz w:val="22"/>
                <w:szCs w:val="22"/>
              </w:rPr>
              <w:t>p</w:t>
            </w:r>
            <w:r w:rsidRPr="00A605BB">
              <w:rPr>
                <w:b/>
                <w:bCs/>
                <w:sz w:val="22"/>
                <w:szCs w:val="22"/>
              </w:rPr>
              <w:t xml:space="preserve"> </w:t>
            </w:r>
            <w:r w:rsidRPr="00A605BB">
              <w:rPr>
                <w:b/>
                <w:bCs/>
                <w:sz w:val="22"/>
                <w:szCs w:val="22"/>
                <w:vertAlign w:val="superscript"/>
              </w:rPr>
              <w:t>a</w:t>
            </w:r>
          </w:p>
        </w:tc>
        <w:tc>
          <w:tcPr>
            <w:tcW w:w="636" w:type="dxa"/>
            <w:tcBorders>
              <w:top w:val="nil"/>
              <w:bottom w:val="single" w:sz="4" w:space="0" w:color="auto"/>
            </w:tcBorders>
            <w:shd w:val="clear" w:color="auto" w:fill="auto"/>
          </w:tcPr>
          <w:p w14:paraId="7890CEE4" w14:textId="6C3B8A5B" w:rsidR="00D863F6" w:rsidRPr="00A605BB" w:rsidRDefault="00D863F6" w:rsidP="008C7542">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b/>
                <w:bCs/>
                <w:sz w:val="22"/>
                <w:szCs w:val="22"/>
              </w:rPr>
            </w:pPr>
            <w:r w:rsidRPr="00A605BB">
              <w:rPr>
                <w:sz w:val="22"/>
                <w:szCs w:val="22"/>
              </w:rPr>
              <w:t>η2</w:t>
            </w:r>
          </w:p>
        </w:tc>
        <w:tc>
          <w:tcPr>
            <w:tcW w:w="1699" w:type="dxa"/>
            <w:tcBorders>
              <w:top w:val="nil"/>
              <w:bottom w:val="single" w:sz="4" w:space="0" w:color="auto"/>
            </w:tcBorders>
            <w:shd w:val="clear" w:color="auto" w:fill="auto"/>
          </w:tcPr>
          <w:p w14:paraId="42A39531" w14:textId="42F1976A" w:rsidR="00D863F6" w:rsidRPr="00A605BB" w:rsidRDefault="00441BBF" w:rsidP="008C7542">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b/>
                <w:bCs/>
                <w:i/>
                <w:iCs/>
                <w:sz w:val="22"/>
                <w:szCs w:val="22"/>
              </w:rPr>
            </w:pPr>
            <w:r w:rsidRPr="00A605BB">
              <w:rPr>
                <w:b/>
                <w:bCs/>
                <w:i/>
                <w:iCs/>
                <w:sz w:val="22"/>
                <w:szCs w:val="22"/>
              </w:rPr>
              <w:t>p</w:t>
            </w:r>
          </w:p>
        </w:tc>
        <w:tc>
          <w:tcPr>
            <w:tcW w:w="1701" w:type="dxa"/>
            <w:tcBorders>
              <w:top w:val="nil"/>
              <w:bottom w:val="single" w:sz="4" w:space="0" w:color="auto"/>
            </w:tcBorders>
            <w:shd w:val="clear" w:color="auto" w:fill="auto"/>
          </w:tcPr>
          <w:p w14:paraId="54A5F51E" w14:textId="3004CB22" w:rsidR="00D863F6" w:rsidRPr="00A605BB" w:rsidRDefault="00441BBF" w:rsidP="008C7542">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b/>
                <w:bCs/>
                <w:i/>
                <w:iCs/>
                <w:sz w:val="22"/>
                <w:szCs w:val="22"/>
              </w:rPr>
            </w:pPr>
            <w:r w:rsidRPr="00A605BB">
              <w:rPr>
                <w:b/>
                <w:bCs/>
                <w:i/>
                <w:iCs/>
                <w:sz w:val="22"/>
                <w:szCs w:val="22"/>
              </w:rPr>
              <w:t>p</w:t>
            </w:r>
          </w:p>
        </w:tc>
      </w:tr>
      <w:tr w:rsidR="006A38F5" w:rsidRPr="00A605BB" w14:paraId="357A9729" w14:textId="4AADE9A9" w:rsidTr="006A38F5">
        <w:trPr>
          <w:trHeight w:val="300"/>
        </w:trPr>
        <w:tc>
          <w:tcPr>
            <w:cnfStyle w:val="001000000000" w:firstRow="0" w:lastRow="0" w:firstColumn="1" w:lastColumn="0" w:oddVBand="0" w:evenVBand="0" w:oddHBand="0" w:evenHBand="0" w:firstRowFirstColumn="0" w:firstRowLastColumn="0" w:lastRowFirstColumn="0" w:lastRowLastColumn="0"/>
            <w:tcW w:w="3504" w:type="dxa"/>
            <w:tcBorders>
              <w:top w:val="single" w:sz="4" w:space="0" w:color="auto"/>
            </w:tcBorders>
            <w:shd w:val="clear" w:color="auto" w:fill="auto"/>
          </w:tcPr>
          <w:p w14:paraId="0F60DDC4" w14:textId="6820E5D5" w:rsidR="00D863F6" w:rsidRPr="00A605BB" w:rsidRDefault="004F186D" w:rsidP="005D4E58">
            <w:pPr>
              <w:autoSpaceDE w:val="0"/>
              <w:autoSpaceDN w:val="0"/>
              <w:adjustRightInd w:val="0"/>
              <w:spacing w:before="240" w:line="276" w:lineRule="auto"/>
              <w:rPr>
                <w:sz w:val="22"/>
                <w:szCs w:val="22"/>
              </w:rPr>
            </w:pPr>
            <w:r w:rsidRPr="00A605BB">
              <w:rPr>
                <w:sz w:val="22"/>
                <w:szCs w:val="22"/>
              </w:rPr>
              <w:t>H</w:t>
            </w:r>
            <w:r w:rsidR="00D863F6" w:rsidRPr="00A605BB">
              <w:rPr>
                <w:sz w:val="22"/>
                <w:szCs w:val="22"/>
              </w:rPr>
              <w:t>1</w:t>
            </w:r>
            <w:r w:rsidRPr="00A605BB">
              <w:rPr>
                <w:sz w:val="22"/>
                <w:szCs w:val="22"/>
              </w:rPr>
              <w:t>a</w:t>
            </w:r>
            <w:r w:rsidR="00D863F6" w:rsidRPr="00A605BB">
              <w:rPr>
                <w:sz w:val="22"/>
                <w:szCs w:val="22"/>
              </w:rPr>
              <w:t xml:space="preserve">. Leading and </w:t>
            </w:r>
            <w:r w:rsidR="00201890" w:rsidRPr="00A605BB">
              <w:rPr>
                <w:sz w:val="22"/>
                <w:szCs w:val="22"/>
              </w:rPr>
              <w:t>d</w:t>
            </w:r>
            <w:r w:rsidR="00D863F6" w:rsidRPr="00A605BB">
              <w:rPr>
                <w:sz w:val="22"/>
                <w:szCs w:val="22"/>
              </w:rPr>
              <w:t>eciding</w:t>
            </w:r>
          </w:p>
        </w:tc>
        <w:tc>
          <w:tcPr>
            <w:tcW w:w="1036" w:type="dxa"/>
            <w:tcBorders>
              <w:top w:val="single" w:sz="4" w:space="0" w:color="auto"/>
            </w:tcBorders>
            <w:shd w:val="clear" w:color="auto" w:fill="auto"/>
          </w:tcPr>
          <w:p w14:paraId="58C0DD71" w14:textId="3CFA7C81" w:rsidR="00D863F6" w:rsidRPr="00A605BB" w:rsidRDefault="00D863F6" w:rsidP="003767B2">
            <w:pPr>
              <w:autoSpaceDE w:val="0"/>
              <w:autoSpaceDN w:val="0"/>
              <w:adjustRightInd w:val="0"/>
              <w:spacing w:before="240"/>
              <w:jc w:val="center"/>
              <w:cnfStyle w:val="000000000000" w:firstRow="0" w:lastRow="0" w:firstColumn="0" w:lastColumn="0" w:oddVBand="0" w:evenVBand="0" w:oddHBand="0" w:evenHBand="0" w:firstRowFirstColumn="0" w:firstRowLastColumn="0" w:lastRowFirstColumn="0" w:lastRowLastColumn="0"/>
              <w:rPr>
                <w:i/>
                <w:iCs/>
                <w:sz w:val="22"/>
                <w:szCs w:val="22"/>
              </w:rPr>
            </w:pPr>
            <w:r w:rsidRPr="00A605BB">
              <w:rPr>
                <w:i/>
                <w:iCs/>
                <w:sz w:val="22"/>
                <w:szCs w:val="22"/>
              </w:rPr>
              <w:t>618</w:t>
            </w:r>
          </w:p>
        </w:tc>
        <w:tc>
          <w:tcPr>
            <w:tcW w:w="968" w:type="dxa"/>
            <w:tcBorders>
              <w:top w:val="single" w:sz="4" w:space="0" w:color="auto"/>
            </w:tcBorders>
            <w:shd w:val="clear" w:color="auto" w:fill="auto"/>
          </w:tcPr>
          <w:p w14:paraId="12285CF5" w14:textId="0A845A84" w:rsidR="00D863F6" w:rsidRPr="00A605BB" w:rsidRDefault="00D863F6" w:rsidP="003767B2">
            <w:pPr>
              <w:autoSpaceDE w:val="0"/>
              <w:autoSpaceDN w:val="0"/>
              <w:adjustRightInd w:val="0"/>
              <w:spacing w:before="240"/>
              <w:jc w:val="center"/>
              <w:cnfStyle w:val="000000000000" w:firstRow="0" w:lastRow="0" w:firstColumn="0" w:lastColumn="0" w:oddVBand="0" w:evenVBand="0" w:oddHBand="0" w:evenHBand="0" w:firstRowFirstColumn="0" w:firstRowLastColumn="0" w:lastRowFirstColumn="0" w:lastRowLastColumn="0"/>
              <w:rPr>
                <w:i/>
                <w:iCs/>
                <w:sz w:val="22"/>
                <w:szCs w:val="22"/>
              </w:rPr>
            </w:pPr>
            <w:r w:rsidRPr="00A605BB">
              <w:rPr>
                <w:i/>
                <w:iCs/>
                <w:sz w:val="22"/>
                <w:szCs w:val="22"/>
              </w:rPr>
              <w:t>1.93</w:t>
            </w:r>
          </w:p>
        </w:tc>
        <w:tc>
          <w:tcPr>
            <w:tcW w:w="1389" w:type="dxa"/>
            <w:tcBorders>
              <w:top w:val="single" w:sz="4" w:space="0" w:color="auto"/>
            </w:tcBorders>
            <w:shd w:val="clear" w:color="auto" w:fill="auto"/>
          </w:tcPr>
          <w:p w14:paraId="6DAA5818" w14:textId="095C6BC4" w:rsidR="00D863F6" w:rsidRPr="00A605BB" w:rsidRDefault="00D863F6" w:rsidP="003767B2">
            <w:pPr>
              <w:spacing w:before="240"/>
              <w:jc w:val="center"/>
              <w:cnfStyle w:val="000000000000" w:firstRow="0" w:lastRow="0" w:firstColumn="0" w:lastColumn="0" w:oddVBand="0" w:evenVBand="0" w:oddHBand="0" w:evenHBand="0" w:firstRowFirstColumn="0" w:firstRowLastColumn="0" w:lastRowFirstColumn="0" w:lastRowLastColumn="0"/>
              <w:rPr>
                <w:i/>
                <w:iCs/>
                <w:sz w:val="22"/>
                <w:szCs w:val="22"/>
              </w:rPr>
            </w:pPr>
            <w:r w:rsidRPr="00A605BB">
              <w:rPr>
                <w:i/>
                <w:iCs/>
                <w:sz w:val="22"/>
                <w:szCs w:val="22"/>
              </w:rPr>
              <w:t>39.68</w:t>
            </w:r>
          </w:p>
        </w:tc>
        <w:tc>
          <w:tcPr>
            <w:tcW w:w="1123" w:type="dxa"/>
            <w:tcBorders>
              <w:top w:val="single" w:sz="4" w:space="0" w:color="auto"/>
            </w:tcBorders>
            <w:shd w:val="clear" w:color="auto" w:fill="auto"/>
          </w:tcPr>
          <w:p w14:paraId="0AD02D3B" w14:textId="3682BE77" w:rsidR="00D863F6" w:rsidRPr="00A605BB" w:rsidRDefault="00D863F6" w:rsidP="003767B2">
            <w:pPr>
              <w:spacing w:before="240"/>
              <w:jc w:val="center"/>
              <w:cnfStyle w:val="000000000000" w:firstRow="0" w:lastRow="0" w:firstColumn="0" w:lastColumn="0" w:oddVBand="0" w:evenVBand="0" w:oddHBand="0" w:evenHBand="0" w:firstRowFirstColumn="0" w:firstRowLastColumn="0" w:lastRowFirstColumn="0" w:lastRowLastColumn="0"/>
              <w:rPr>
                <w:i/>
                <w:iCs/>
                <w:sz w:val="22"/>
                <w:szCs w:val="22"/>
              </w:rPr>
            </w:pPr>
            <w:r w:rsidRPr="00A605BB">
              <w:rPr>
                <w:i/>
                <w:iCs/>
                <w:sz w:val="22"/>
                <w:szCs w:val="22"/>
              </w:rPr>
              <w:t>20.62</w:t>
            </w:r>
          </w:p>
        </w:tc>
        <w:tc>
          <w:tcPr>
            <w:tcW w:w="979" w:type="dxa"/>
            <w:tcBorders>
              <w:top w:val="single" w:sz="4" w:space="0" w:color="auto"/>
            </w:tcBorders>
            <w:shd w:val="clear" w:color="auto" w:fill="auto"/>
          </w:tcPr>
          <w:p w14:paraId="3182D1AF" w14:textId="71BACC8A" w:rsidR="00D863F6" w:rsidRPr="00A605BB" w:rsidRDefault="00D863F6" w:rsidP="003767B2">
            <w:pPr>
              <w:autoSpaceDE w:val="0"/>
              <w:autoSpaceDN w:val="0"/>
              <w:adjustRightInd w:val="0"/>
              <w:spacing w:before="240"/>
              <w:jc w:val="center"/>
              <w:cnfStyle w:val="000000000000" w:firstRow="0" w:lastRow="0" w:firstColumn="0" w:lastColumn="0" w:oddVBand="0" w:evenVBand="0" w:oddHBand="0" w:evenHBand="0" w:firstRowFirstColumn="0" w:firstRowLastColumn="0" w:lastRowFirstColumn="0" w:lastRowLastColumn="0"/>
              <w:rPr>
                <w:i/>
                <w:iCs/>
                <w:sz w:val="22"/>
                <w:szCs w:val="22"/>
              </w:rPr>
            </w:pPr>
            <w:r w:rsidRPr="00A605BB">
              <w:rPr>
                <w:i/>
                <w:iCs/>
                <w:sz w:val="22"/>
                <w:szCs w:val="22"/>
              </w:rPr>
              <w:t>146.65</w:t>
            </w:r>
          </w:p>
        </w:tc>
        <w:tc>
          <w:tcPr>
            <w:tcW w:w="999" w:type="dxa"/>
            <w:tcBorders>
              <w:top w:val="single" w:sz="4" w:space="0" w:color="auto"/>
            </w:tcBorders>
            <w:shd w:val="clear" w:color="auto" w:fill="auto"/>
          </w:tcPr>
          <w:p w14:paraId="02B306A3" w14:textId="623C47F3" w:rsidR="00D863F6" w:rsidRPr="00A605BB" w:rsidRDefault="00D863F6" w:rsidP="003767B2">
            <w:pPr>
              <w:autoSpaceDE w:val="0"/>
              <w:autoSpaceDN w:val="0"/>
              <w:adjustRightInd w:val="0"/>
              <w:spacing w:before="240"/>
              <w:jc w:val="center"/>
              <w:cnfStyle w:val="000000000000" w:firstRow="0" w:lastRow="0" w:firstColumn="0" w:lastColumn="0" w:oddVBand="0" w:evenVBand="0" w:oddHBand="0" w:evenHBand="0" w:firstRowFirstColumn="0" w:firstRowLastColumn="0" w:lastRowFirstColumn="0" w:lastRowLastColumn="0"/>
              <w:rPr>
                <w:sz w:val="22"/>
                <w:szCs w:val="22"/>
              </w:rPr>
            </w:pPr>
            <w:r w:rsidRPr="00A605BB">
              <w:rPr>
                <w:sz w:val="22"/>
                <w:szCs w:val="22"/>
              </w:rPr>
              <w:t>&lt;.001</w:t>
            </w:r>
          </w:p>
        </w:tc>
        <w:tc>
          <w:tcPr>
            <w:tcW w:w="636" w:type="dxa"/>
            <w:tcBorders>
              <w:top w:val="single" w:sz="4" w:space="0" w:color="auto"/>
            </w:tcBorders>
            <w:shd w:val="clear" w:color="auto" w:fill="auto"/>
          </w:tcPr>
          <w:p w14:paraId="29124973" w14:textId="772E5E25" w:rsidR="00D863F6" w:rsidRPr="00A605BB" w:rsidRDefault="00D863F6" w:rsidP="003767B2">
            <w:pPr>
              <w:autoSpaceDE w:val="0"/>
              <w:autoSpaceDN w:val="0"/>
              <w:adjustRightInd w:val="0"/>
              <w:spacing w:before="240"/>
              <w:jc w:val="center"/>
              <w:cnfStyle w:val="000000000000" w:firstRow="0" w:lastRow="0" w:firstColumn="0" w:lastColumn="0" w:oddVBand="0" w:evenVBand="0" w:oddHBand="0" w:evenHBand="0" w:firstRowFirstColumn="0" w:firstRowLastColumn="0" w:lastRowFirstColumn="0" w:lastRowLastColumn="0"/>
              <w:rPr>
                <w:sz w:val="22"/>
                <w:szCs w:val="22"/>
              </w:rPr>
            </w:pPr>
            <w:r w:rsidRPr="00A605BB">
              <w:rPr>
                <w:sz w:val="22"/>
                <w:szCs w:val="22"/>
              </w:rPr>
              <w:t>.19</w:t>
            </w:r>
          </w:p>
        </w:tc>
        <w:tc>
          <w:tcPr>
            <w:tcW w:w="1699" w:type="dxa"/>
            <w:tcBorders>
              <w:top w:val="single" w:sz="4" w:space="0" w:color="auto"/>
            </w:tcBorders>
            <w:shd w:val="clear" w:color="auto" w:fill="auto"/>
          </w:tcPr>
          <w:p w14:paraId="1690F990" w14:textId="20D8B911" w:rsidR="00D863F6" w:rsidRPr="00A605BB" w:rsidRDefault="00D863F6" w:rsidP="003767B2">
            <w:pPr>
              <w:autoSpaceDE w:val="0"/>
              <w:autoSpaceDN w:val="0"/>
              <w:adjustRightInd w:val="0"/>
              <w:spacing w:before="240"/>
              <w:jc w:val="center"/>
              <w:cnfStyle w:val="000000000000" w:firstRow="0" w:lastRow="0" w:firstColumn="0" w:lastColumn="0" w:oddVBand="0" w:evenVBand="0" w:oddHBand="0" w:evenHBand="0" w:firstRowFirstColumn="0" w:firstRowLastColumn="0" w:lastRowFirstColumn="0" w:lastRowLastColumn="0"/>
              <w:rPr>
                <w:i/>
                <w:iCs/>
                <w:sz w:val="22"/>
                <w:szCs w:val="22"/>
              </w:rPr>
            </w:pPr>
            <w:r w:rsidRPr="00A605BB">
              <w:rPr>
                <w:i/>
                <w:iCs/>
                <w:sz w:val="22"/>
                <w:szCs w:val="22"/>
              </w:rPr>
              <w:t>.087</w:t>
            </w:r>
            <w:r w:rsidR="00C603D6" w:rsidRPr="00A605BB">
              <w:rPr>
                <w:i/>
                <w:iCs/>
                <w:sz w:val="22"/>
                <w:szCs w:val="22"/>
              </w:rPr>
              <w:t xml:space="preserve"> ns</w:t>
            </w:r>
          </w:p>
        </w:tc>
        <w:tc>
          <w:tcPr>
            <w:tcW w:w="1701" w:type="dxa"/>
            <w:tcBorders>
              <w:top w:val="single" w:sz="4" w:space="0" w:color="auto"/>
            </w:tcBorders>
            <w:shd w:val="clear" w:color="auto" w:fill="auto"/>
          </w:tcPr>
          <w:p w14:paraId="7AEEA55B" w14:textId="54B0337F" w:rsidR="00D863F6" w:rsidRPr="00A605BB" w:rsidRDefault="00D863F6" w:rsidP="003767B2">
            <w:pPr>
              <w:autoSpaceDE w:val="0"/>
              <w:autoSpaceDN w:val="0"/>
              <w:adjustRightInd w:val="0"/>
              <w:spacing w:before="240"/>
              <w:jc w:val="center"/>
              <w:cnfStyle w:val="000000000000" w:firstRow="0" w:lastRow="0" w:firstColumn="0" w:lastColumn="0" w:oddVBand="0" w:evenVBand="0" w:oddHBand="0" w:evenHBand="0" w:firstRowFirstColumn="0" w:firstRowLastColumn="0" w:lastRowFirstColumn="0" w:lastRowLastColumn="0"/>
              <w:rPr>
                <w:i/>
                <w:iCs/>
                <w:sz w:val="22"/>
                <w:szCs w:val="22"/>
              </w:rPr>
            </w:pPr>
            <w:r w:rsidRPr="00A605BB">
              <w:rPr>
                <w:i/>
                <w:iCs/>
                <w:sz w:val="22"/>
                <w:szCs w:val="22"/>
              </w:rPr>
              <w:t>&lt;.001</w:t>
            </w:r>
          </w:p>
        </w:tc>
      </w:tr>
      <w:tr w:rsidR="00EC1D66" w:rsidRPr="00A605BB" w14:paraId="389F64C9" w14:textId="031A305D" w:rsidTr="006A38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04" w:type="dxa"/>
            <w:shd w:val="clear" w:color="auto" w:fill="auto"/>
          </w:tcPr>
          <w:p w14:paraId="48AC8A45" w14:textId="233A8521" w:rsidR="00D863F6" w:rsidRPr="00A605BB" w:rsidRDefault="004F186D" w:rsidP="005D4E58">
            <w:pPr>
              <w:autoSpaceDE w:val="0"/>
              <w:autoSpaceDN w:val="0"/>
              <w:adjustRightInd w:val="0"/>
              <w:spacing w:line="276" w:lineRule="auto"/>
              <w:rPr>
                <w:sz w:val="22"/>
                <w:szCs w:val="22"/>
              </w:rPr>
            </w:pPr>
            <w:r w:rsidRPr="00A605BB">
              <w:rPr>
                <w:sz w:val="22"/>
                <w:szCs w:val="22"/>
              </w:rPr>
              <w:t>H1b</w:t>
            </w:r>
            <w:r w:rsidR="00D863F6" w:rsidRPr="00A605BB">
              <w:rPr>
                <w:sz w:val="22"/>
                <w:szCs w:val="22"/>
              </w:rPr>
              <w:t>. Supporting and cooperating</w:t>
            </w:r>
          </w:p>
        </w:tc>
        <w:tc>
          <w:tcPr>
            <w:tcW w:w="1036" w:type="dxa"/>
            <w:shd w:val="clear" w:color="auto" w:fill="auto"/>
          </w:tcPr>
          <w:p w14:paraId="03913A8D" w14:textId="724A6D84" w:rsidR="00D863F6" w:rsidRPr="00A605BB" w:rsidRDefault="00523452" w:rsidP="003767B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i/>
                <w:iCs/>
                <w:sz w:val="22"/>
                <w:szCs w:val="22"/>
              </w:rPr>
            </w:pPr>
            <w:r w:rsidRPr="00A605BB">
              <w:rPr>
                <w:i/>
                <w:iCs/>
                <w:sz w:val="22"/>
                <w:szCs w:val="22"/>
              </w:rPr>
              <w:t>618</w:t>
            </w:r>
          </w:p>
        </w:tc>
        <w:tc>
          <w:tcPr>
            <w:tcW w:w="968" w:type="dxa"/>
            <w:shd w:val="clear" w:color="auto" w:fill="auto"/>
          </w:tcPr>
          <w:p w14:paraId="1E415887" w14:textId="701398C6" w:rsidR="00D863F6" w:rsidRPr="00A605BB" w:rsidRDefault="00FB6D24" w:rsidP="003767B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i/>
                <w:iCs/>
                <w:sz w:val="22"/>
                <w:szCs w:val="22"/>
              </w:rPr>
            </w:pPr>
            <w:r w:rsidRPr="00A605BB">
              <w:rPr>
                <w:i/>
                <w:iCs/>
                <w:sz w:val="22"/>
                <w:szCs w:val="22"/>
              </w:rPr>
              <w:t>1.</w:t>
            </w:r>
            <w:r w:rsidR="00523452" w:rsidRPr="00A605BB">
              <w:rPr>
                <w:i/>
                <w:iCs/>
                <w:sz w:val="22"/>
                <w:szCs w:val="22"/>
              </w:rPr>
              <w:t>91</w:t>
            </w:r>
          </w:p>
        </w:tc>
        <w:tc>
          <w:tcPr>
            <w:tcW w:w="1389" w:type="dxa"/>
            <w:shd w:val="clear" w:color="auto" w:fill="auto"/>
          </w:tcPr>
          <w:p w14:paraId="642294F8" w14:textId="503B6777" w:rsidR="00D863F6" w:rsidRPr="00A605BB" w:rsidRDefault="00523452" w:rsidP="003767B2">
            <w:pPr>
              <w:jc w:val="center"/>
              <w:cnfStyle w:val="000000100000" w:firstRow="0" w:lastRow="0" w:firstColumn="0" w:lastColumn="0" w:oddVBand="0" w:evenVBand="0" w:oddHBand="1" w:evenHBand="0" w:firstRowFirstColumn="0" w:firstRowLastColumn="0" w:lastRowFirstColumn="0" w:lastRowLastColumn="0"/>
              <w:rPr>
                <w:i/>
                <w:iCs/>
                <w:sz w:val="22"/>
                <w:szCs w:val="22"/>
              </w:rPr>
            </w:pPr>
            <w:r w:rsidRPr="00A605BB">
              <w:rPr>
                <w:i/>
                <w:iCs/>
                <w:sz w:val="22"/>
                <w:szCs w:val="22"/>
              </w:rPr>
              <w:t>19.41</w:t>
            </w:r>
          </w:p>
        </w:tc>
        <w:tc>
          <w:tcPr>
            <w:tcW w:w="1123" w:type="dxa"/>
            <w:shd w:val="clear" w:color="auto" w:fill="auto"/>
          </w:tcPr>
          <w:p w14:paraId="0F29F0ED" w14:textId="37786ED0" w:rsidR="00D863F6" w:rsidRPr="00A605BB" w:rsidRDefault="00EC1D66" w:rsidP="003767B2">
            <w:pPr>
              <w:jc w:val="center"/>
              <w:cnfStyle w:val="000000100000" w:firstRow="0" w:lastRow="0" w:firstColumn="0" w:lastColumn="0" w:oddVBand="0" w:evenVBand="0" w:oddHBand="1" w:evenHBand="0" w:firstRowFirstColumn="0" w:firstRowLastColumn="0" w:lastRowFirstColumn="0" w:lastRowLastColumn="0"/>
              <w:rPr>
                <w:i/>
                <w:iCs/>
                <w:sz w:val="22"/>
                <w:szCs w:val="22"/>
              </w:rPr>
            </w:pPr>
            <w:r w:rsidRPr="00A605BB">
              <w:rPr>
                <w:i/>
                <w:iCs/>
                <w:sz w:val="22"/>
                <w:szCs w:val="22"/>
              </w:rPr>
              <w:t>10.16</w:t>
            </w:r>
          </w:p>
        </w:tc>
        <w:tc>
          <w:tcPr>
            <w:tcW w:w="979" w:type="dxa"/>
            <w:shd w:val="clear" w:color="auto" w:fill="auto"/>
          </w:tcPr>
          <w:p w14:paraId="4BEDF641" w14:textId="4D1A5FE3" w:rsidR="00D863F6" w:rsidRPr="00A605BB" w:rsidRDefault="00EC1D66" w:rsidP="003767B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i/>
                <w:iCs/>
                <w:sz w:val="22"/>
                <w:szCs w:val="22"/>
              </w:rPr>
            </w:pPr>
            <w:r w:rsidRPr="00A605BB">
              <w:rPr>
                <w:i/>
                <w:iCs/>
                <w:sz w:val="22"/>
                <w:szCs w:val="22"/>
              </w:rPr>
              <w:t>102.21</w:t>
            </w:r>
          </w:p>
        </w:tc>
        <w:tc>
          <w:tcPr>
            <w:tcW w:w="999" w:type="dxa"/>
            <w:shd w:val="clear" w:color="auto" w:fill="auto"/>
          </w:tcPr>
          <w:p w14:paraId="030CF2D5" w14:textId="311F94B4" w:rsidR="00D863F6" w:rsidRPr="00A605BB" w:rsidRDefault="00F85339" w:rsidP="003767B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sz w:val="22"/>
                <w:szCs w:val="22"/>
              </w:rPr>
            </w:pPr>
            <w:r w:rsidRPr="00A605BB">
              <w:rPr>
                <w:sz w:val="22"/>
                <w:szCs w:val="22"/>
              </w:rPr>
              <w:t>&lt;.001</w:t>
            </w:r>
          </w:p>
        </w:tc>
        <w:tc>
          <w:tcPr>
            <w:tcW w:w="636" w:type="dxa"/>
            <w:shd w:val="clear" w:color="auto" w:fill="auto"/>
          </w:tcPr>
          <w:p w14:paraId="22CC9957" w14:textId="4E43E877" w:rsidR="00D863F6" w:rsidRPr="00A605BB" w:rsidRDefault="00F85339" w:rsidP="003767B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sz w:val="22"/>
                <w:szCs w:val="22"/>
              </w:rPr>
            </w:pPr>
            <w:r w:rsidRPr="00A605BB">
              <w:rPr>
                <w:sz w:val="22"/>
                <w:szCs w:val="22"/>
              </w:rPr>
              <w:t>.1</w:t>
            </w:r>
            <w:r w:rsidR="00EC1D66" w:rsidRPr="00A605BB">
              <w:rPr>
                <w:sz w:val="22"/>
                <w:szCs w:val="22"/>
              </w:rPr>
              <w:t>4</w:t>
            </w:r>
          </w:p>
        </w:tc>
        <w:tc>
          <w:tcPr>
            <w:tcW w:w="1699" w:type="dxa"/>
            <w:shd w:val="clear" w:color="auto" w:fill="auto"/>
          </w:tcPr>
          <w:p w14:paraId="4E3E2DC6" w14:textId="54164207" w:rsidR="00D863F6" w:rsidRPr="00A605BB" w:rsidRDefault="003B6994" w:rsidP="003767B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i/>
                <w:iCs/>
                <w:sz w:val="22"/>
                <w:szCs w:val="22"/>
              </w:rPr>
            </w:pPr>
            <w:r w:rsidRPr="00A605BB">
              <w:rPr>
                <w:i/>
                <w:iCs/>
                <w:sz w:val="22"/>
                <w:szCs w:val="22"/>
              </w:rPr>
              <w:t>&lt;.001</w:t>
            </w:r>
          </w:p>
        </w:tc>
        <w:tc>
          <w:tcPr>
            <w:tcW w:w="1701" w:type="dxa"/>
            <w:shd w:val="clear" w:color="auto" w:fill="auto"/>
          </w:tcPr>
          <w:p w14:paraId="4F8A3A52" w14:textId="23E3BBE8" w:rsidR="00D863F6" w:rsidRPr="00A605BB" w:rsidRDefault="002273FF" w:rsidP="003767B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i/>
                <w:iCs/>
                <w:sz w:val="22"/>
                <w:szCs w:val="22"/>
              </w:rPr>
            </w:pPr>
            <w:r w:rsidRPr="00A605BB">
              <w:rPr>
                <w:i/>
                <w:iCs/>
                <w:sz w:val="22"/>
                <w:szCs w:val="22"/>
              </w:rPr>
              <w:t>&lt;</w:t>
            </w:r>
            <w:r w:rsidR="00327480" w:rsidRPr="00A605BB">
              <w:rPr>
                <w:i/>
                <w:iCs/>
                <w:sz w:val="22"/>
                <w:szCs w:val="22"/>
              </w:rPr>
              <w:t>.001</w:t>
            </w:r>
          </w:p>
        </w:tc>
      </w:tr>
      <w:tr w:rsidR="006A38F5" w:rsidRPr="00A605BB" w14:paraId="5705792E" w14:textId="13D53ECA" w:rsidTr="006A38F5">
        <w:trPr>
          <w:trHeight w:val="300"/>
        </w:trPr>
        <w:tc>
          <w:tcPr>
            <w:cnfStyle w:val="001000000000" w:firstRow="0" w:lastRow="0" w:firstColumn="1" w:lastColumn="0" w:oddVBand="0" w:evenVBand="0" w:oddHBand="0" w:evenHBand="0" w:firstRowFirstColumn="0" w:firstRowLastColumn="0" w:lastRowFirstColumn="0" w:lastRowLastColumn="0"/>
            <w:tcW w:w="3504" w:type="dxa"/>
            <w:shd w:val="clear" w:color="auto" w:fill="auto"/>
          </w:tcPr>
          <w:p w14:paraId="7FB4BF33" w14:textId="19AFEBB5" w:rsidR="00D863F6" w:rsidRPr="00A605BB" w:rsidRDefault="004F186D" w:rsidP="005D4E58">
            <w:pPr>
              <w:autoSpaceDE w:val="0"/>
              <w:autoSpaceDN w:val="0"/>
              <w:adjustRightInd w:val="0"/>
              <w:spacing w:line="276" w:lineRule="auto"/>
              <w:rPr>
                <w:sz w:val="22"/>
                <w:szCs w:val="22"/>
              </w:rPr>
            </w:pPr>
            <w:r w:rsidRPr="00A605BB">
              <w:rPr>
                <w:sz w:val="22"/>
                <w:szCs w:val="22"/>
              </w:rPr>
              <w:t>H1c</w:t>
            </w:r>
            <w:r w:rsidR="00D863F6" w:rsidRPr="00A605BB">
              <w:rPr>
                <w:sz w:val="22"/>
                <w:szCs w:val="22"/>
              </w:rPr>
              <w:t xml:space="preserve">. Interacting and </w:t>
            </w:r>
            <w:r w:rsidR="0058443F" w:rsidRPr="00A605BB">
              <w:rPr>
                <w:sz w:val="22"/>
                <w:szCs w:val="22"/>
              </w:rPr>
              <w:t>presenting</w:t>
            </w:r>
          </w:p>
        </w:tc>
        <w:tc>
          <w:tcPr>
            <w:tcW w:w="1036" w:type="dxa"/>
            <w:shd w:val="clear" w:color="auto" w:fill="auto"/>
          </w:tcPr>
          <w:p w14:paraId="08FFE479" w14:textId="65DD22D5" w:rsidR="00D863F6" w:rsidRPr="00A605BB" w:rsidRDefault="00D02FB6" w:rsidP="003767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i/>
                <w:iCs/>
                <w:sz w:val="22"/>
                <w:szCs w:val="22"/>
              </w:rPr>
            </w:pPr>
            <w:r w:rsidRPr="00A605BB">
              <w:rPr>
                <w:i/>
                <w:iCs/>
                <w:sz w:val="22"/>
                <w:szCs w:val="22"/>
              </w:rPr>
              <w:t>618</w:t>
            </w:r>
          </w:p>
        </w:tc>
        <w:tc>
          <w:tcPr>
            <w:tcW w:w="968" w:type="dxa"/>
            <w:shd w:val="clear" w:color="auto" w:fill="auto"/>
          </w:tcPr>
          <w:p w14:paraId="54180961" w14:textId="6F129836" w:rsidR="00D863F6" w:rsidRPr="00A605BB" w:rsidRDefault="00D02FB6" w:rsidP="003767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i/>
                <w:iCs/>
                <w:sz w:val="22"/>
                <w:szCs w:val="22"/>
              </w:rPr>
            </w:pPr>
            <w:r w:rsidRPr="00A605BB">
              <w:rPr>
                <w:i/>
                <w:iCs/>
                <w:sz w:val="22"/>
                <w:szCs w:val="22"/>
              </w:rPr>
              <w:t>1.91</w:t>
            </w:r>
          </w:p>
        </w:tc>
        <w:tc>
          <w:tcPr>
            <w:tcW w:w="1389" w:type="dxa"/>
            <w:shd w:val="clear" w:color="auto" w:fill="auto"/>
          </w:tcPr>
          <w:p w14:paraId="18D84C9C" w14:textId="40FCF599" w:rsidR="00D863F6" w:rsidRPr="00A605BB" w:rsidRDefault="00D02FB6" w:rsidP="003767B2">
            <w:pPr>
              <w:jc w:val="center"/>
              <w:cnfStyle w:val="000000000000" w:firstRow="0" w:lastRow="0" w:firstColumn="0" w:lastColumn="0" w:oddVBand="0" w:evenVBand="0" w:oddHBand="0" w:evenHBand="0" w:firstRowFirstColumn="0" w:firstRowLastColumn="0" w:lastRowFirstColumn="0" w:lastRowLastColumn="0"/>
              <w:rPr>
                <w:i/>
                <w:iCs/>
                <w:sz w:val="22"/>
                <w:szCs w:val="22"/>
              </w:rPr>
            </w:pPr>
            <w:r w:rsidRPr="00A605BB">
              <w:rPr>
                <w:i/>
                <w:iCs/>
                <w:sz w:val="22"/>
                <w:szCs w:val="22"/>
              </w:rPr>
              <w:t>39.89</w:t>
            </w:r>
          </w:p>
        </w:tc>
        <w:tc>
          <w:tcPr>
            <w:tcW w:w="1123" w:type="dxa"/>
            <w:shd w:val="clear" w:color="auto" w:fill="auto"/>
          </w:tcPr>
          <w:p w14:paraId="2DE096F1" w14:textId="0F01E4B5" w:rsidR="00D863F6" w:rsidRPr="00A605BB" w:rsidRDefault="005263EF" w:rsidP="003767B2">
            <w:pPr>
              <w:jc w:val="center"/>
              <w:cnfStyle w:val="000000000000" w:firstRow="0" w:lastRow="0" w:firstColumn="0" w:lastColumn="0" w:oddVBand="0" w:evenVBand="0" w:oddHBand="0" w:evenHBand="0" w:firstRowFirstColumn="0" w:firstRowLastColumn="0" w:lastRowFirstColumn="0" w:lastRowLastColumn="0"/>
              <w:rPr>
                <w:i/>
                <w:iCs/>
                <w:sz w:val="22"/>
                <w:szCs w:val="22"/>
              </w:rPr>
            </w:pPr>
            <w:r w:rsidRPr="00A605BB">
              <w:rPr>
                <w:i/>
                <w:iCs/>
                <w:sz w:val="22"/>
                <w:szCs w:val="22"/>
              </w:rPr>
              <w:t>20.90</w:t>
            </w:r>
          </w:p>
        </w:tc>
        <w:tc>
          <w:tcPr>
            <w:tcW w:w="979" w:type="dxa"/>
            <w:shd w:val="clear" w:color="auto" w:fill="auto"/>
          </w:tcPr>
          <w:p w14:paraId="392CB6C4" w14:textId="7D4650B3" w:rsidR="00D863F6" w:rsidRPr="00A605BB" w:rsidRDefault="005263EF" w:rsidP="003767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i/>
                <w:iCs/>
                <w:sz w:val="22"/>
                <w:szCs w:val="22"/>
              </w:rPr>
            </w:pPr>
            <w:r w:rsidRPr="00A605BB">
              <w:rPr>
                <w:i/>
                <w:iCs/>
                <w:sz w:val="22"/>
                <w:szCs w:val="22"/>
              </w:rPr>
              <w:t>182.54</w:t>
            </w:r>
          </w:p>
        </w:tc>
        <w:tc>
          <w:tcPr>
            <w:tcW w:w="999" w:type="dxa"/>
            <w:shd w:val="clear" w:color="auto" w:fill="auto"/>
          </w:tcPr>
          <w:p w14:paraId="036C3F98" w14:textId="031D5DBD" w:rsidR="00D863F6" w:rsidRPr="00A605BB" w:rsidRDefault="00E91036" w:rsidP="003767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2"/>
                <w:szCs w:val="22"/>
              </w:rPr>
            </w:pPr>
            <w:r w:rsidRPr="00A605BB">
              <w:rPr>
                <w:sz w:val="22"/>
                <w:szCs w:val="22"/>
              </w:rPr>
              <w:t>&lt;.001</w:t>
            </w:r>
          </w:p>
        </w:tc>
        <w:tc>
          <w:tcPr>
            <w:tcW w:w="636" w:type="dxa"/>
            <w:shd w:val="clear" w:color="auto" w:fill="auto"/>
          </w:tcPr>
          <w:p w14:paraId="6AD05B25" w14:textId="3F820D84" w:rsidR="00D863F6" w:rsidRPr="00A605BB" w:rsidRDefault="00E91036" w:rsidP="003767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2"/>
                <w:szCs w:val="22"/>
              </w:rPr>
            </w:pPr>
            <w:r w:rsidRPr="00A605BB">
              <w:rPr>
                <w:sz w:val="22"/>
                <w:szCs w:val="22"/>
              </w:rPr>
              <w:t>.2</w:t>
            </w:r>
            <w:r w:rsidR="005263EF" w:rsidRPr="00A605BB">
              <w:rPr>
                <w:sz w:val="22"/>
                <w:szCs w:val="22"/>
              </w:rPr>
              <w:t>3</w:t>
            </w:r>
          </w:p>
        </w:tc>
        <w:tc>
          <w:tcPr>
            <w:tcW w:w="1699" w:type="dxa"/>
            <w:shd w:val="clear" w:color="auto" w:fill="auto"/>
          </w:tcPr>
          <w:p w14:paraId="34D86E22" w14:textId="6C3D9DFD" w:rsidR="00D863F6" w:rsidRPr="00A605BB" w:rsidRDefault="00E91036" w:rsidP="003767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i/>
                <w:iCs/>
                <w:sz w:val="22"/>
                <w:szCs w:val="22"/>
              </w:rPr>
            </w:pPr>
            <w:r w:rsidRPr="00A605BB">
              <w:rPr>
                <w:i/>
                <w:iCs/>
                <w:sz w:val="22"/>
                <w:szCs w:val="22"/>
              </w:rPr>
              <w:t>&lt;.001</w:t>
            </w:r>
          </w:p>
        </w:tc>
        <w:tc>
          <w:tcPr>
            <w:tcW w:w="1701" w:type="dxa"/>
            <w:shd w:val="clear" w:color="auto" w:fill="auto"/>
          </w:tcPr>
          <w:p w14:paraId="2E7E1F4A" w14:textId="12E2DA77" w:rsidR="00D863F6" w:rsidRPr="00A605BB" w:rsidRDefault="00E91036" w:rsidP="003767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i/>
                <w:iCs/>
                <w:sz w:val="22"/>
                <w:szCs w:val="22"/>
              </w:rPr>
            </w:pPr>
            <w:r w:rsidRPr="00A605BB">
              <w:rPr>
                <w:i/>
                <w:iCs/>
                <w:sz w:val="22"/>
                <w:szCs w:val="22"/>
              </w:rPr>
              <w:t>&lt;.001</w:t>
            </w:r>
          </w:p>
        </w:tc>
      </w:tr>
      <w:tr w:rsidR="00EC1D66" w:rsidRPr="00A605BB" w14:paraId="3FE8398D" w14:textId="0C366C5A" w:rsidTr="006A38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04" w:type="dxa"/>
            <w:shd w:val="clear" w:color="auto" w:fill="auto"/>
          </w:tcPr>
          <w:p w14:paraId="1E9C6031" w14:textId="3E17C9DD" w:rsidR="00454940" w:rsidRPr="00A605BB" w:rsidRDefault="004F186D" w:rsidP="005D4E58">
            <w:pPr>
              <w:autoSpaceDE w:val="0"/>
              <w:autoSpaceDN w:val="0"/>
              <w:adjustRightInd w:val="0"/>
              <w:spacing w:line="276" w:lineRule="auto"/>
              <w:rPr>
                <w:sz w:val="22"/>
                <w:szCs w:val="22"/>
              </w:rPr>
            </w:pPr>
            <w:r w:rsidRPr="00A605BB">
              <w:rPr>
                <w:sz w:val="22"/>
                <w:szCs w:val="22"/>
              </w:rPr>
              <w:t xml:space="preserve">H1d. </w:t>
            </w:r>
            <w:r w:rsidR="00454940" w:rsidRPr="00A605BB">
              <w:rPr>
                <w:sz w:val="22"/>
                <w:szCs w:val="22"/>
              </w:rPr>
              <w:t>Analysing and interpreting</w:t>
            </w:r>
          </w:p>
        </w:tc>
        <w:tc>
          <w:tcPr>
            <w:tcW w:w="1036" w:type="dxa"/>
            <w:shd w:val="clear" w:color="auto" w:fill="auto"/>
          </w:tcPr>
          <w:p w14:paraId="6F19F364" w14:textId="2E37931A" w:rsidR="00454940" w:rsidRPr="00A605BB" w:rsidRDefault="00454940" w:rsidP="003767B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i/>
                <w:iCs/>
                <w:sz w:val="22"/>
                <w:szCs w:val="22"/>
              </w:rPr>
            </w:pPr>
            <w:r w:rsidRPr="00A605BB">
              <w:rPr>
                <w:i/>
                <w:iCs/>
                <w:sz w:val="22"/>
                <w:szCs w:val="22"/>
              </w:rPr>
              <w:t>618</w:t>
            </w:r>
          </w:p>
        </w:tc>
        <w:tc>
          <w:tcPr>
            <w:tcW w:w="968" w:type="dxa"/>
            <w:shd w:val="clear" w:color="auto" w:fill="auto"/>
          </w:tcPr>
          <w:p w14:paraId="7023044D" w14:textId="6B2FD1E0" w:rsidR="00454940" w:rsidRPr="00A605BB" w:rsidRDefault="00454940" w:rsidP="003767B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i/>
                <w:iCs/>
                <w:sz w:val="22"/>
                <w:szCs w:val="22"/>
              </w:rPr>
            </w:pPr>
            <w:r w:rsidRPr="00A605BB">
              <w:rPr>
                <w:i/>
                <w:iCs/>
                <w:sz w:val="22"/>
                <w:szCs w:val="22"/>
              </w:rPr>
              <w:t>1.86</w:t>
            </w:r>
          </w:p>
        </w:tc>
        <w:tc>
          <w:tcPr>
            <w:tcW w:w="1389" w:type="dxa"/>
            <w:shd w:val="clear" w:color="auto" w:fill="auto"/>
          </w:tcPr>
          <w:p w14:paraId="52020972" w14:textId="21E4B724" w:rsidR="00454940" w:rsidRPr="00A605BB" w:rsidRDefault="00454940" w:rsidP="003767B2">
            <w:pPr>
              <w:jc w:val="center"/>
              <w:cnfStyle w:val="000000100000" w:firstRow="0" w:lastRow="0" w:firstColumn="0" w:lastColumn="0" w:oddVBand="0" w:evenVBand="0" w:oddHBand="1" w:evenHBand="0" w:firstRowFirstColumn="0" w:firstRowLastColumn="0" w:lastRowFirstColumn="0" w:lastRowLastColumn="0"/>
              <w:rPr>
                <w:i/>
                <w:iCs/>
                <w:sz w:val="22"/>
                <w:szCs w:val="22"/>
              </w:rPr>
            </w:pPr>
            <w:r w:rsidRPr="00A605BB">
              <w:rPr>
                <w:i/>
                <w:iCs/>
                <w:sz w:val="22"/>
                <w:szCs w:val="22"/>
              </w:rPr>
              <w:t>74.85</w:t>
            </w:r>
          </w:p>
        </w:tc>
        <w:tc>
          <w:tcPr>
            <w:tcW w:w="1123" w:type="dxa"/>
            <w:shd w:val="clear" w:color="auto" w:fill="auto"/>
          </w:tcPr>
          <w:p w14:paraId="0CBEC650" w14:textId="360BC478" w:rsidR="00454940" w:rsidRPr="00A605BB" w:rsidRDefault="00454940" w:rsidP="003767B2">
            <w:pPr>
              <w:jc w:val="center"/>
              <w:cnfStyle w:val="000000100000" w:firstRow="0" w:lastRow="0" w:firstColumn="0" w:lastColumn="0" w:oddVBand="0" w:evenVBand="0" w:oddHBand="1" w:evenHBand="0" w:firstRowFirstColumn="0" w:firstRowLastColumn="0" w:lastRowFirstColumn="0" w:lastRowLastColumn="0"/>
              <w:rPr>
                <w:i/>
                <w:iCs/>
                <w:sz w:val="22"/>
                <w:szCs w:val="22"/>
              </w:rPr>
            </w:pPr>
            <w:r w:rsidRPr="00A605BB">
              <w:rPr>
                <w:i/>
                <w:iCs/>
                <w:sz w:val="22"/>
                <w:szCs w:val="22"/>
              </w:rPr>
              <w:t>40.36</w:t>
            </w:r>
          </w:p>
        </w:tc>
        <w:tc>
          <w:tcPr>
            <w:tcW w:w="979" w:type="dxa"/>
            <w:shd w:val="clear" w:color="auto" w:fill="auto"/>
          </w:tcPr>
          <w:p w14:paraId="0A68E946" w14:textId="3063147E" w:rsidR="00454940" w:rsidRPr="00A605BB" w:rsidRDefault="00454940" w:rsidP="003767B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i/>
                <w:iCs/>
                <w:sz w:val="22"/>
                <w:szCs w:val="22"/>
              </w:rPr>
            </w:pPr>
            <w:r w:rsidRPr="00A605BB">
              <w:rPr>
                <w:i/>
                <w:iCs/>
                <w:sz w:val="22"/>
                <w:szCs w:val="22"/>
              </w:rPr>
              <w:t>303.43</w:t>
            </w:r>
          </w:p>
        </w:tc>
        <w:tc>
          <w:tcPr>
            <w:tcW w:w="999" w:type="dxa"/>
            <w:shd w:val="clear" w:color="auto" w:fill="auto"/>
          </w:tcPr>
          <w:p w14:paraId="75C9DA19" w14:textId="262220E6" w:rsidR="00454940" w:rsidRPr="00A605BB" w:rsidRDefault="00454940" w:rsidP="003767B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sz w:val="22"/>
                <w:szCs w:val="22"/>
              </w:rPr>
            </w:pPr>
            <w:r w:rsidRPr="00A605BB">
              <w:rPr>
                <w:sz w:val="22"/>
                <w:szCs w:val="22"/>
              </w:rPr>
              <w:t>&lt;.001</w:t>
            </w:r>
          </w:p>
        </w:tc>
        <w:tc>
          <w:tcPr>
            <w:tcW w:w="636" w:type="dxa"/>
            <w:shd w:val="clear" w:color="auto" w:fill="auto"/>
          </w:tcPr>
          <w:p w14:paraId="5BC0EFB6" w14:textId="74E5BBA8" w:rsidR="00454940" w:rsidRPr="00A605BB" w:rsidRDefault="00454940" w:rsidP="003767B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sz w:val="22"/>
                <w:szCs w:val="22"/>
              </w:rPr>
            </w:pPr>
            <w:r w:rsidRPr="00A605BB">
              <w:rPr>
                <w:sz w:val="22"/>
                <w:szCs w:val="22"/>
              </w:rPr>
              <w:t>.33</w:t>
            </w:r>
          </w:p>
        </w:tc>
        <w:tc>
          <w:tcPr>
            <w:tcW w:w="1699" w:type="dxa"/>
            <w:shd w:val="clear" w:color="auto" w:fill="auto"/>
          </w:tcPr>
          <w:p w14:paraId="7BD298FA" w14:textId="3445CEDD" w:rsidR="00454940" w:rsidRPr="00A605BB" w:rsidRDefault="00454940" w:rsidP="003767B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i/>
                <w:iCs/>
                <w:sz w:val="22"/>
                <w:szCs w:val="22"/>
              </w:rPr>
            </w:pPr>
            <w:r w:rsidRPr="00A605BB">
              <w:rPr>
                <w:i/>
                <w:iCs/>
                <w:sz w:val="22"/>
                <w:szCs w:val="22"/>
              </w:rPr>
              <w:t>&lt;.001</w:t>
            </w:r>
          </w:p>
        </w:tc>
        <w:tc>
          <w:tcPr>
            <w:tcW w:w="1701" w:type="dxa"/>
            <w:shd w:val="clear" w:color="auto" w:fill="auto"/>
          </w:tcPr>
          <w:p w14:paraId="6EBC3AC8" w14:textId="751DD025" w:rsidR="00454940" w:rsidRPr="00A605BB" w:rsidRDefault="00454940" w:rsidP="003767B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i/>
                <w:iCs/>
                <w:sz w:val="22"/>
                <w:szCs w:val="22"/>
              </w:rPr>
            </w:pPr>
            <w:r w:rsidRPr="00A605BB">
              <w:rPr>
                <w:i/>
                <w:iCs/>
                <w:sz w:val="22"/>
                <w:szCs w:val="22"/>
              </w:rPr>
              <w:t>&lt;.001</w:t>
            </w:r>
          </w:p>
        </w:tc>
      </w:tr>
      <w:tr w:rsidR="006A38F5" w:rsidRPr="00A605BB" w14:paraId="639FF310" w14:textId="5C56A6A7" w:rsidTr="006A38F5">
        <w:trPr>
          <w:trHeight w:val="300"/>
        </w:trPr>
        <w:tc>
          <w:tcPr>
            <w:cnfStyle w:val="001000000000" w:firstRow="0" w:lastRow="0" w:firstColumn="1" w:lastColumn="0" w:oddVBand="0" w:evenVBand="0" w:oddHBand="0" w:evenHBand="0" w:firstRowFirstColumn="0" w:firstRowLastColumn="0" w:lastRowFirstColumn="0" w:lastRowLastColumn="0"/>
            <w:tcW w:w="3504" w:type="dxa"/>
            <w:shd w:val="clear" w:color="auto" w:fill="auto"/>
          </w:tcPr>
          <w:p w14:paraId="7FE5D284" w14:textId="4C58401F" w:rsidR="00416C5A" w:rsidRPr="00A605BB" w:rsidRDefault="004F186D" w:rsidP="005D4E58">
            <w:pPr>
              <w:autoSpaceDE w:val="0"/>
              <w:autoSpaceDN w:val="0"/>
              <w:adjustRightInd w:val="0"/>
              <w:spacing w:line="276" w:lineRule="auto"/>
              <w:ind w:left="23"/>
              <w:rPr>
                <w:sz w:val="22"/>
                <w:szCs w:val="22"/>
              </w:rPr>
            </w:pPr>
            <w:r w:rsidRPr="00A605BB">
              <w:rPr>
                <w:sz w:val="22"/>
                <w:szCs w:val="22"/>
              </w:rPr>
              <w:t>H1e.</w:t>
            </w:r>
            <w:r w:rsidR="00416C5A" w:rsidRPr="00A605BB">
              <w:rPr>
                <w:sz w:val="22"/>
                <w:szCs w:val="22"/>
              </w:rPr>
              <w:t xml:space="preserve"> Creating and conceptualising</w:t>
            </w:r>
          </w:p>
        </w:tc>
        <w:tc>
          <w:tcPr>
            <w:tcW w:w="1036" w:type="dxa"/>
            <w:shd w:val="clear" w:color="auto" w:fill="auto"/>
          </w:tcPr>
          <w:p w14:paraId="646F2218" w14:textId="78CFF30F" w:rsidR="00416C5A" w:rsidRPr="00A605BB" w:rsidRDefault="00416C5A" w:rsidP="003767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2"/>
                <w:szCs w:val="22"/>
              </w:rPr>
            </w:pPr>
            <w:r w:rsidRPr="00A605BB">
              <w:rPr>
                <w:sz w:val="22"/>
                <w:szCs w:val="22"/>
              </w:rPr>
              <w:t>618</w:t>
            </w:r>
          </w:p>
        </w:tc>
        <w:tc>
          <w:tcPr>
            <w:tcW w:w="968" w:type="dxa"/>
            <w:shd w:val="clear" w:color="auto" w:fill="auto"/>
          </w:tcPr>
          <w:p w14:paraId="2ECA0232" w14:textId="2A8E3A14" w:rsidR="00416C5A" w:rsidRPr="00A605BB" w:rsidRDefault="00416C5A" w:rsidP="003767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2"/>
                <w:szCs w:val="22"/>
              </w:rPr>
            </w:pPr>
            <w:r w:rsidRPr="00A605BB">
              <w:rPr>
                <w:sz w:val="22"/>
                <w:szCs w:val="22"/>
              </w:rPr>
              <w:t>1.88</w:t>
            </w:r>
          </w:p>
        </w:tc>
        <w:tc>
          <w:tcPr>
            <w:tcW w:w="1389" w:type="dxa"/>
            <w:shd w:val="clear" w:color="auto" w:fill="auto"/>
          </w:tcPr>
          <w:p w14:paraId="122F2E22" w14:textId="36C53C70" w:rsidR="00416C5A" w:rsidRPr="00A605BB" w:rsidRDefault="00416C5A" w:rsidP="003767B2">
            <w:pPr>
              <w:jc w:val="center"/>
              <w:cnfStyle w:val="000000000000" w:firstRow="0" w:lastRow="0" w:firstColumn="0" w:lastColumn="0" w:oddVBand="0" w:evenVBand="0" w:oddHBand="0" w:evenHBand="0" w:firstRowFirstColumn="0" w:firstRowLastColumn="0" w:lastRowFirstColumn="0" w:lastRowLastColumn="0"/>
              <w:rPr>
                <w:sz w:val="22"/>
                <w:szCs w:val="22"/>
              </w:rPr>
            </w:pPr>
            <w:r w:rsidRPr="00A605BB">
              <w:rPr>
                <w:sz w:val="22"/>
                <w:szCs w:val="22"/>
              </w:rPr>
              <w:t>33.93</w:t>
            </w:r>
          </w:p>
        </w:tc>
        <w:tc>
          <w:tcPr>
            <w:tcW w:w="1123" w:type="dxa"/>
            <w:shd w:val="clear" w:color="auto" w:fill="auto"/>
          </w:tcPr>
          <w:p w14:paraId="67CE368C" w14:textId="44A2187D" w:rsidR="00416C5A" w:rsidRPr="00A605BB" w:rsidRDefault="00416C5A" w:rsidP="003767B2">
            <w:pPr>
              <w:jc w:val="center"/>
              <w:cnfStyle w:val="000000000000" w:firstRow="0" w:lastRow="0" w:firstColumn="0" w:lastColumn="0" w:oddVBand="0" w:evenVBand="0" w:oddHBand="0" w:evenHBand="0" w:firstRowFirstColumn="0" w:firstRowLastColumn="0" w:lastRowFirstColumn="0" w:lastRowLastColumn="0"/>
              <w:rPr>
                <w:sz w:val="22"/>
                <w:szCs w:val="22"/>
              </w:rPr>
            </w:pPr>
            <w:r w:rsidRPr="00A605BB">
              <w:rPr>
                <w:sz w:val="22"/>
                <w:szCs w:val="22"/>
              </w:rPr>
              <w:t>18.08</w:t>
            </w:r>
          </w:p>
        </w:tc>
        <w:tc>
          <w:tcPr>
            <w:tcW w:w="979" w:type="dxa"/>
            <w:shd w:val="clear" w:color="auto" w:fill="auto"/>
          </w:tcPr>
          <w:p w14:paraId="16C315E7" w14:textId="5D2D649E" w:rsidR="00416C5A" w:rsidRPr="00A605BB" w:rsidRDefault="00416C5A" w:rsidP="003767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2"/>
                <w:szCs w:val="22"/>
              </w:rPr>
            </w:pPr>
            <w:r w:rsidRPr="00A605BB">
              <w:rPr>
                <w:sz w:val="22"/>
                <w:szCs w:val="22"/>
              </w:rPr>
              <w:t>126.14</w:t>
            </w:r>
          </w:p>
        </w:tc>
        <w:tc>
          <w:tcPr>
            <w:tcW w:w="999" w:type="dxa"/>
            <w:shd w:val="clear" w:color="auto" w:fill="auto"/>
          </w:tcPr>
          <w:p w14:paraId="552BFB4F" w14:textId="1CA189B9" w:rsidR="00416C5A" w:rsidRPr="00A605BB" w:rsidRDefault="00416C5A" w:rsidP="003767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2"/>
                <w:szCs w:val="22"/>
              </w:rPr>
            </w:pPr>
            <w:r w:rsidRPr="00A605BB">
              <w:rPr>
                <w:sz w:val="22"/>
                <w:szCs w:val="22"/>
              </w:rPr>
              <w:t>&lt;.001</w:t>
            </w:r>
          </w:p>
        </w:tc>
        <w:tc>
          <w:tcPr>
            <w:tcW w:w="636" w:type="dxa"/>
            <w:shd w:val="clear" w:color="auto" w:fill="auto"/>
          </w:tcPr>
          <w:p w14:paraId="1354EEFA" w14:textId="63497ABA" w:rsidR="00416C5A" w:rsidRPr="00A605BB" w:rsidRDefault="00416C5A" w:rsidP="003767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2"/>
                <w:szCs w:val="22"/>
              </w:rPr>
            </w:pPr>
            <w:r w:rsidRPr="00A605BB">
              <w:rPr>
                <w:sz w:val="22"/>
                <w:szCs w:val="22"/>
              </w:rPr>
              <w:t>.17</w:t>
            </w:r>
          </w:p>
        </w:tc>
        <w:tc>
          <w:tcPr>
            <w:tcW w:w="1699" w:type="dxa"/>
            <w:shd w:val="clear" w:color="auto" w:fill="auto"/>
          </w:tcPr>
          <w:p w14:paraId="5036834F" w14:textId="6F1EC916" w:rsidR="00416C5A" w:rsidRPr="00A605BB" w:rsidRDefault="00416C5A" w:rsidP="003767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2"/>
                <w:szCs w:val="22"/>
              </w:rPr>
            </w:pPr>
            <w:r w:rsidRPr="00A605BB">
              <w:rPr>
                <w:i/>
                <w:iCs/>
                <w:sz w:val="22"/>
                <w:szCs w:val="22"/>
              </w:rPr>
              <w:t>&lt;.001</w:t>
            </w:r>
          </w:p>
        </w:tc>
        <w:tc>
          <w:tcPr>
            <w:tcW w:w="1701" w:type="dxa"/>
            <w:shd w:val="clear" w:color="auto" w:fill="auto"/>
          </w:tcPr>
          <w:p w14:paraId="3DA8A514" w14:textId="0B154775" w:rsidR="00416C5A" w:rsidRPr="00A605BB" w:rsidRDefault="00416C5A" w:rsidP="003767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2"/>
                <w:szCs w:val="22"/>
              </w:rPr>
            </w:pPr>
            <w:r w:rsidRPr="00A605BB">
              <w:rPr>
                <w:i/>
                <w:iCs/>
                <w:sz w:val="22"/>
                <w:szCs w:val="22"/>
              </w:rPr>
              <w:t>&lt;.001</w:t>
            </w:r>
          </w:p>
        </w:tc>
      </w:tr>
      <w:tr w:rsidR="00EC1D66" w:rsidRPr="00A605BB" w14:paraId="55437180" w14:textId="759700A2" w:rsidTr="006A38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04" w:type="dxa"/>
            <w:shd w:val="clear" w:color="auto" w:fill="auto"/>
          </w:tcPr>
          <w:p w14:paraId="04578DC5" w14:textId="4A99967B" w:rsidR="00C710A5" w:rsidRPr="00A605BB" w:rsidRDefault="004F186D" w:rsidP="005D4E58">
            <w:pPr>
              <w:autoSpaceDE w:val="0"/>
              <w:autoSpaceDN w:val="0"/>
              <w:adjustRightInd w:val="0"/>
              <w:spacing w:line="276" w:lineRule="auto"/>
              <w:ind w:left="23"/>
              <w:rPr>
                <w:sz w:val="22"/>
                <w:szCs w:val="22"/>
              </w:rPr>
            </w:pPr>
            <w:r w:rsidRPr="00A605BB">
              <w:rPr>
                <w:sz w:val="22"/>
                <w:szCs w:val="22"/>
              </w:rPr>
              <w:t>H1f</w:t>
            </w:r>
            <w:r w:rsidR="00C710A5" w:rsidRPr="00A605BB">
              <w:rPr>
                <w:sz w:val="22"/>
                <w:szCs w:val="22"/>
              </w:rPr>
              <w:t>. Organising and executing</w:t>
            </w:r>
          </w:p>
        </w:tc>
        <w:tc>
          <w:tcPr>
            <w:tcW w:w="1036" w:type="dxa"/>
            <w:shd w:val="clear" w:color="auto" w:fill="auto"/>
          </w:tcPr>
          <w:p w14:paraId="51E6E990" w14:textId="5516BE27" w:rsidR="00C710A5" w:rsidRPr="00A605BB" w:rsidRDefault="00C710A5" w:rsidP="003767B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sz w:val="22"/>
                <w:szCs w:val="22"/>
              </w:rPr>
            </w:pPr>
            <w:r w:rsidRPr="00A605BB">
              <w:rPr>
                <w:sz w:val="22"/>
                <w:szCs w:val="22"/>
              </w:rPr>
              <w:t>618</w:t>
            </w:r>
          </w:p>
        </w:tc>
        <w:tc>
          <w:tcPr>
            <w:tcW w:w="968" w:type="dxa"/>
            <w:shd w:val="clear" w:color="auto" w:fill="auto"/>
          </w:tcPr>
          <w:p w14:paraId="31CEC7F5" w14:textId="2B59B3BA" w:rsidR="00C710A5" w:rsidRPr="00A605BB" w:rsidRDefault="00C710A5" w:rsidP="003767B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sz w:val="22"/>
                <w:szCs w:val="22"/>
              </w:rPr>
            </w:pPr>
            <w:r w:rsidRPr="00A605BB">
              <w:rPr>
                <w:sz w:val="22"/>
                <w:szCs w:val="22"/>
              </w:rPr>
              <w:t>1.85</w:t>
            </w:r>
          </w:p>
        </w:tc>
        <w:tc>
          <w:tcPr>
            <w:tcW w:w="1389" w:type="dxa"/>
            <w:shd w:val="clear" w:color="auto" w:fill="auto"/>
          </w:tcPr>
          <w:p w14:paraId="6278F892" w14:textId="26F11082" w:rsidR="00C710A5" w:rsidRPr="00A605BB" w:rsidRDefault="00C710A5" w:rsidP="003767B2">
            <w:pPr>
              <w:jc w:val="center"/>
              <w:cnfStyle w:val="000000100000" w:firstRow="0" w:lastRow="0" w:firstColumn="0" w:lastColumn="0" w:oddVBand="0" w:evenVBand="0" w:oddHBand="1" w:evenHBand="0" w:firstRowFirstColumn="0" w:firstRowLastColumn="0" w:lastRowFirstColumn="0" w:lastRowLastColumn="0"/>
              <w:rPr>
                <w:sz w:val="22"/>
                <w:szCs w:val="22"/>
              </w:rPr>
            </w:pPr>
            <w:r w:rsidRPr="00A605BB">
              <w:rPr>
                <w:sz w:val="22"/>
                <w:szCs w:val="22"/>
              </w:rPr>
              <w:t>24.66</w:t>
            </w:r>
          </w:p>
        </w:tc>
        <w:tc>
          <w:tcPr>
            <w:tcW w:w="1123" w:type="dxa"/>
            <w:shd w:val="clear" w:color="auto" w:fill="auto"/>
          </w:tcPr>
          <w:p w14:paraId="52B4EA55" w14:textId="2A424084" w:rsidR="00C710A5" w:rsidRPr="00A605BB" w:rsidRDefault="00C710A5" w:rsidP="003767B2">
            <w:pPr>
              <w:jc w:val="center"/>
              <w:cnfStyle w:val="000000100000" w:firstRow="0" w:lastRow="0" w:firstColumn="0" w:lastColumn="0" w:oddVBand="0" w:evenVBand="0" w:oddHBand="1" w:evenHBand="0" w:firstRowFirstColumn="0" w:firstRowLastColumn="0" w:lastRowFirstColumn="0" w:lastRowLastColumn="0"/>
              <w:rPr>
                <w:sz w:val="22"/>
                <w:szCs w:val="22"/>
              </w:rPr>
            </w:pPr>
            <w:r w:rsidRPr="00A605BB">
              <w:rPr>
                <w:sz w:val="22"/>
                <w:szCs w:val="22"/>
              </w:rPr>
              <w:t>13.35</w:t>
            </w:r>
          </w:p>
        </w:tc>
        <w:tc>
          <w:tcPr>
            <w:tcW w:w="979" w:type="dxa"/>
            <w:shd w:val="clear" w:color="auto" w:fill="auto"/>
          </w:tcPr>
          <w:p w14:paraId="2DE672A5" w14:textId="44CA36B0" w:rsidR="00C710A5" w:rsidRPr="00A605BB" w:rsidRDefault="00C710A5" w:rsidP="003767B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sz w:val="22"/>
                <w:szCs w:val="22"/>
              </w:rPr>
            </w:pPr>
            <w:r w:rsidRPr="00A605BB">
              <w:rPr>
                <w:sz w:val="22"/>
                <w:szCs w:val="22"/>
              </w:rPr>
              <w:t>104.05</w:t>
            </w:r>
          </w:p>
        </w:tc>
        <w:tc>
          <w:tcPr>
            <w:tcW w:w="999" w:type="dxa"/>
            <w:shd w:val="clear" w:color="auto" w:fill="auto"/>
          </w:tcPr>
          <w:p w14:paraId="7CC8E0A1" w14:textId="1B03B687" w:rsidR="00C710A5" w:rsidRPr="00A605BB" w:rsidRDefault="00C710A5" w:rsidP="003767B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sz w:val="22"/>
                <w:szCs w:val="22"/>
              </w:rPr>
            </w:pPr>
            <w:r w:rsidRPr="00A605BB">
              <w:rPr>
                <w:sz w:val="22"/>
                <w:szCs w:val="22"/>
              </w:rPr>
              <w:t>&lt;.001</w:t>
            </w:r>
          </w:p>
        </w:tc>
        <w:tc>
          <w:tcPr>
            <w:tcW w:w="636" w:type="dxa"/>
            <w:shd w:val="clear" w:color="auto" w:fill="auto"/>
          </w:tcPr>
          <w:p w14:paraId="415E85A3" w14:textId="72D2709C" w:rsidR="00C710A5" w:rsidRPr="00A605BB" w:rsidRDefault="00C710A5" w:rsidP="003767B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sz w:val="22"/>
                <w:szCs w:val="22"/>
              </w:rPr>
            </w:pPr>
            <w:r w:rsidRPr="00A605BB">
              <w:rPr>
                <w:sz w:val="22"/>
                <w:szCs w:val="22"/>
              </w:rPr>
              <w:t>.14</w:t>
            </w:r>
          </w:p>
        </w:tc>
        <w:tc>
          <w:tcPr>
            <w:tcW w:w="1699" w:type="dxa"/>
            <w:shd w:val="clear" w:color="auto" w:fill="auto"/>
          </w:tcPr>
          <w:p w14:paraId="6022A10E" w14:textId="37E83328" w:rsidR="00C710A5" w:rsidRPr="00A605BB" w:rsidRDefault="00C710A5" w:rsidP="003767B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sz w:val="22"/>
                <w:szCs w:val="22"/>
              </w:rPr>
            </w:pPr>
            <w:r w:rsidRPr="00A605BB">
              <w:rPr>
                <w:i/>
                <w:iCs/>
                <w:sz w:val="22"/>
                <w:szCs w:val="22"/>
              </w:rPr>
              <w:t>&lt;.001</w:t>
            </w:r>
          </w:p>
        </w:tc>
        <w:tc>
          <w:tcPr>
            <w:tcW w:w="1701" w:type="dxa"/>
            <w:shd w:val="clear" w:color="auto" w:fill="auto"/>
          </w:tcPr>
          <w:p w14:paraId="44CC0E38" w14:textId="61FF655D" w:rsidR="00C710A5" w:rsidRPr="00A605BB" w:rsidRDefault="00C710A5" w:rsidP="003767B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sz w:val="22"/>
                <w:szCs w:val="22"/>
              </w:rPr>
            </w:pPr>
            <w:r w:rsidRPr="00A605BB">
              <w:rPr>
                <w:i/>
                <w:iCs/>
                <w:sz w:val="22"/>
                <w:szCs w:val="22"/>
              </w:rPr>
              <w:t>&lt;.001</w:t>
            </w:r>
          </w:p>
        </w:tc>
      </w:tr>
      <w:tr w:rsidR="006A38F5" w:rsidRPr="00A605BB" w14:paraId="069AF753" w14:textId="4341FC33" w:rsidTr="006A38F5">
        <w:trPr>
          <w:trHeight w:val="300"/>
        </w:trPr>
        <w:tc>
          <w:tcPr>
            <w:cnfStyle w:val="001000000000" w:firstRow="0" w:lastRow="0" w:firstColumn="1" w:lastColumn="0" w:oddVBand="0" w:evenVBand="0" w:oddHBand="0" w:evenHBand="0" w:firstRowFirstColumn="0" w:firstRowLastColumn="0" w:lastRowFirstColumn="0" w:lastRowLastColumn="0"/>
            <w:tcW w:w="3504" w:type="dxa"/>
            <w:shd w:val="clear" w:color="auto" w:fill="auto"/>
          </w:tcPr>
          <w:p w14:paraId="17661E55" w14:textId="5E138875" w:rsidR="00D86793" w:rsidRPr="00A605BB" w:rsidRDefault="004F186D" w:rsidP="005D4E58">
            <w:pPr>
              <w:autoSpaceDE w:val="0"/>
              <w:autoSpaceDN w:val="0"/>
              <w:adjustRightInd w:val="0"/>
              <w:spacing w:after="240" w:line="276" w:lineRule="auto"/>
              <w:rPr>
                <w:sz w:val="22"/>
                <w:szCs w:val="22"/>
              </w:rPr>
            </w:pPr>
            <w:r w:rsidRPr="00A605BB">
              <w:rPr>
                <w:sz w:val="22"/>
                <w:szCs w:val="22"/>
              </w:rPr>
              <w:t>H1g</w:t>
            </w:r>
            <w:r w:rsidR="00D86793" w:rsidRPr="00A605BB">
              <w:rPr>
                <w:sz w:val="22"/>
                <w:szCs w:val="22"/>
              </w:rPr>
              <w:t>. Adapting and</w:t>
            </w:r>
            <w:r w:rsidR="009703C2" w:rsidRPr="00A605BB">
              <w:rPr>
                <w:sz w:val="22"/>
                <w:szCs w:val="22"/>
              </w:rPr>
              <w:t xml:space="preserve"> </w:t>
            </w:r>
            <w:r w:rsidR="00D86793" w:rsidRPr="00A605BB">
              <w:rPr>
                <w:sz w:val="22"/>
                <w:szCs w:val="22"/>
              </w:rPr>
              <w:t>coping</w:t>
            </w:r>
          </w:p>
        </w:tc>
        <w:tc>
          <w:tcPr>
            <w:tcW w:w="1036" w:type="dxa"/>
            <w:shd w:val="clear" w:color="auto" w:fill="auto"/>
          </w:tcPr>
          <w:p w14:paraId="02827E5A" w14:textId="1EFC6F22" w:rsidR="00D86793" w:rsidRPr="00A605BB" w:rsidRDefault="00D86793" w:rsidP="003767B2">
            <w:pPr>
              <w:autoSpaceDE w:val="0"/>
              <w:autoSpaceDN w:val="0"/>
              <w:adjustRightInd w:val="0"/>
              <w:spacing w:after="240" w:line="27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A605BB">
              <w:rPr>
                <w:sz w:val="22"/>
                <w:szCs w:val="22"/>
              </w:rPr>
              <w:t>618</w:t>
            </w:r>
          </w:p>
        </w:tc>
        <w:tc>
          <w:tcPr>
            <w:tcW w:w="968" w:type="dxa"/>
            <w:shd w:val="clear" w:color="auto" w:fill="auto"/>
          </w:tcPr>
          <w:p w14:paraId="06AFF9DD" w14:textId="1D34BF88" w:rsidR="00D86793" w:rsidRPr="00A605BB" w:rsidRDefault="00D86793" w:rsidP="003767B2">
            <w:pPr>
              <w:autoSpaceDE w:val="0"/>
              <w:autoSpaceDN w:val="0"/>
              <w:adjustRightInd w:val="0"/>
              <w:spacing w:after="240" w:line="27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A605BB">
              <w:rPr>
                <w:sz w:val="22"/>
                <w:szCs w:val="22"/>
              </w:rPr>
              <w:t>1.83</w:t>
            </w:r>
          </w:p>
        </w:tc>
        <w:tc>
          <w:tcPr>
            <w:tcW w:w="1389" w:type="dxa"/>
            <w:shd w:val="clear" w:color="auto" w:fill="auto"/>
          </w:tcPr>
          <w:p w14:paraId="2A0F0D81" w14:textId="577D5F62" w:rsidR="00D86793" w:rsidRPr="00A605BB" w:rsidRDefault="00D86793" w:rsidP="003767B2">
            <w:pPr>
              <w:spacing w:after="240" w:line="27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A605BB">
              <w:rPr>
                <w:sz w:val="22"/>
                <w:szCs w:val="22"/>
              </w:rPr>
              <w:t>51.88</w:t>
            </w:r>
          </w:p>
        </w:tc>
        <w:tc>
          <w:tcPr>
            <w:tcW w:w="1123" w:type="dxa"/>
            <w:shd w:val="clear" w:color="auto" w:fill="auto"/>
          </w:tcPr>
          <w:p w14:paraId="26CFD8F9" w14:textId="17F7812A" w:rsidR="00D86793" w:rsidRPr="00A605BB" w:rsidRDefault="00D86793" w:rsidP="003767B2">
            <w:pPr>
              <w:spacing w:after="240" w:line="27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A605BB">
              <w:rPr>
                <w:sz w:val="22"/>
                <w:szCs w:val="22"/>
              </w:rPr>
              <w:t>28.38</w:t>
            </w:r>
          </w:p>
        </w:tc>
        <w:tc>
          <w:tcPr>
            <w:tcW w:w="979" w:type="dxa"/>
            <w:shd w:val="clear" w:color="auto" w:fill="auto"/>
          </w:tcPr>
          <w:p w14:paraId="43A66CC2" w14:textId="7398FFB5" w:rsidR="00D86793" w:rsidRPr="00A605BB" w:rsidRDefault="00D86793" w:rsidP="003767B2">
            <w:pPr>
              <w:autoSpaceDE w:val="0"/>
              <w:autoSpaceDN w:val="0"/>
              <w:adjustRightInd w:val="0"/>
              <w:spacing w:after="240" w:line="27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A605BB">
              <w:rPr>
                <w:sz w:val="22"/>
                <w:szCs w:val="22"/>
              </w:rPr>
              <w:t>208.19</w:t>
            </w:r>
          </w:p>
        </w:tc>
        <w:tc>
          <w:tcPr>
            <w:tcW w:w="999" w:type="dxa"/>
            <w:shd w:val="clear" w:color="auto" w:fill="auto"/>
          </w:tcPr>
          <w:p w14:paraId="62A72C0F" w14:textId="7624D674" w:rsidR="00D86793" w:rsidRPr="00A605BB" w:rsidRDefault="00D86793" w:rsidP="003767B2">
            <w:pPr>
              <w:autoSpaceDE w:val="0"/>
              <w:autoSpaceDN w:val="0"/>
              <w:adjustRightInd w:val="0"/>
              <w:spacing w:after="240" w:line="27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A605BB">
              <w:rPr>
                <w:sz w:val="22"/>
                <w:szCs w:val="22"/>
              </w:rPr>
              <w:t>&lt;.001</w:t>
            </w:r>
          </w:p>
        </w:tc>
        <w:tc>
          <w:tcPr>
            <w:tcW w:w="636" w:type="dxa"/>
            <w:shd w:val="clear" w:color="auto" w:fill="auto"/>
          </w:tcPr>
          <w:p w14:paraId="425236A2" w14:textId="4C8E1918" w:rsidR="00D86793" w:rsidRPr="00A605BB" w:rsidRDefault="00D86793" w:rsidP="003767B2">
            <w:pPr>
              <w:autoSpaceDE w:val="0"/>
              <w:autoSpaceDN w:val="0"/>
              <w:adjustRightInd w:val="0"/>
              <w:spacing w:after="240" w:line="27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A605BB">
              <w:rPr>
                <w:sz w:val="22"/>
                <w:szCs w:val="22"/>
              </w:rPr>
              <w:t>.25</w:t>
            </w:r>
          </w:p>
        </w:tc>
        <w:tc>
          <w:tcPr>
            <w:tcW w:w="1699" w:type="dxa"/>
            <w:shd w:val="clear" w:color="auto" w:fill="auto"/>
          </w:tcPr>
          <w:p w14:paraId="6D853AF3" w14:textId="06E0FC18" w:rsidR="00D86793" w:rsidRPr="00A605BB" w:rsidRDefault="00D86793" w:rsidP="003767B2">
            <w:pPr>
              <w:autoSpaceDE w:val="0"/>
              <w:autoSpaceDN w:val="0"/>
              <w:adjustRightInd w:val="0"/>
              <w:spacing w:after="240" w:line="27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A605BB">
              <w:rPr>
                <w:i/>
                <w:iCs/>
                <w:sz w:val="22"/>
                <w:szCs w:val="22"/>
              </w:rPr>
              <w:t>&lt;.001</w:t>
            </w:r>
          </w:p>
        </w:tc>
        <w:tc>
          <w:tcPr>
            <w:tcW w:w="1701" w:type="dxa"/>
            <w:shd w:val="clear" w:color="auto" w:fill="auto"/>
          </w:tcPr>
          <w:p w14:paraId="59ED0ED2" w14:textId="0033E0E4" w:rsidR="00D86793" w:rsidRPr="00A605BB" w:rsidRDefault="00D86793" w:rsidP="003767B2">
            <w:pPr>
              <w:autoSpaceDE w:val="0"/>
              <w:autoSpaceDN w:val="0"/>
              <w:adjustRightInd w:val="0"/>
              <w:spacing w:after="240" w:line="27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A605BB">
              <w:rPr>
                <w:i/>
                <w:iCs/>
                <w:sz w:val="22"/>
                <w:szCs w:val="22"/>
              </w:rPr>
              <w:t>&lt;.001</w:t>
            </w:r>
          </w:p>
        </w:tc>
      </w:tr>
      <w:tr w:rsidR="00EC1D66" w:rsidRPr="00A605BB" w14:paraId="5A47086E" w14:textId="126AD1B5" w:rsidTr="006A38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04" w:type="dxa"/>
            <w:shd w:val="clear" w:color="auto" w:fill="auto"/>
          </w:tcPr>
          <w:p w14:paraId="020EE048" w14:textId="29719A4A" w:rsidR="00D86793" w:rsidRPr="00A605BB" w:rsidRDefault="004F186D" w:rsidP="005D4E58">
            <w:pPr>
              <w:autoSpaceDE w:val="0"/>
              <w:autoSpaceDN w:val="0"/>
              <w:adjustRightInd w:val="0"/>
              <w:spacing w:line="276" w:lineRule="auto"/>
              <w:rPr>
                <w:sz w:val="22"/>
                <w:szCs w:val="22"/>
              </w:rPr>
            </w:pPr>
            <w:r w:rsidRPr="00A605BB">
              <w:rPr>
                <w:sz w:val="22"/>
                <w:szCs w:val="22"/>
              </w:rPr>
              <w:t>H1h</w:t>
            </w:r>
            <w:r w:rsidR="00D86793" w:rsidRPr="00A605BB">
              <w:rPr>
                <w:sz w:val="22"/>
                <w:szCs w:val="22"/>
              </w:rPr>
              <w:t>. Enterprising and performing</w:t>
            </w:r>
          </w:p>
        </w:tc>
        <w:tc>
          <w:tcPr>
            <w:tcW w:w="1036" w:type="dxa"/>
            <w:shd w:val="clear" w:color="auto" w:fill="auto"/>
          </w:tcPr>
          <w:p w14:paraId="0A7F749A" w14:textId="07986454" w:rsidR="00D86793" w:rsidRPr="00A605BB" w:rsidRDefault="008D2E11" w:rsidP="003767B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sz w:val="22"/>
                <w:szCs w:val="22"/>
              </w:rPr>
            </w:pPr>
            <w:r w:rsidRPr="00A605BB">
              <w:rPr>
                <w:sz w:val="22"/>
                <w:szCs w:val="22"/>
              </w:rPr>
              <w:t>618</w:t>
            </w:r>
          </w:p>
        </w:tc>
        <w:tc>
          <w:tcPr>
            <w:tcW w:w="968" w:type="dxa"/>
            <w:shd w:val="clear" w:color="auto" w:fill="auto"/>
          </w:tcPr>
          <w:p w14:paraId="4491FFF9" w14:textId="1836F1A4" w:rsidR="00D86793" w:rsidRPr="00A605BB" w:rsidRDefault="003545A5" w:rsidP="003767B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sz w:val="22"/>
                <w:szCs w:val="22"/>
              </w:rPr>
            </w:pPr>
            <w:r w:rsidRPr="00A605BB">
              <w:rPr>
                <w:sz w:val="22"/>
                <w:szCs w:val="22"/>
              </w:rPr>
              <w:t>1.94</w:t>
            </w:r>
          </w:p>
        </w:tc>
        <w:tc>
          <w:tcPr>
            <w:tcW w:w="1389" w:type="dxa"/>
            <w:shd w:val="clear" w:color="auto" w:fill="auto"/>
          </w:tcPr>
          <w:p w14:paraId="118BA770" w14:textId="18370D21" w:rsidR="00D86793" w:rsidRPr="00A605BB" w:rsidRDefault="003545A5" w:rsidP="003767B2">
            <w:pPr>
              <w:jc w:val="center"/>
              <w:cnfStyle w:val="000000100000" w:firstRow="0" w:lastRow="0" w:firstColumn="0" w:lastColumn="0" w:oddVBand="0" w:evenVBand="0" w:oddHBand="1" w:evenHBand="0" w:firstRowFirstColumn="0" w:firstRowLastColumn="0" w:lastRowFirstColumn="0" w:lastRowLastColumn="0"/>
              <w:rPr>
                <w:sz w:val="22"/>
                <w:szCs w:val="22"/>
              </w:rPr>
            </w:pPr>
            <w:r w:rsidRPr="00A605BB">
              <w:rPr>
                <w:sz w:val="22"/>
                <w:szCs w:val="22"/>
              </w:rPr>
              <w:t>19.39</w:t>
            </w:r>
          </w:p>
        </w:tc>
        <w:tc>
          <w:tcPr>
            <w:tcW w:w="1123" w:type="dxa"/>
            <w:shd w:val="clear" w:color="auto" w:fill="auto"/>
          </w:tcPr>
          <w:p w14:paraId="569B9DB9" w14:textId="31913471" w:rsidR="00D86793" w:rsidRPr="00A605BB" w:rsidRDefault="003545A5" w:rsidP="003767B2">
            <w:pPr>
              <w:jc w:val="center"/>
              <w:cnfStyle w:val="000000100000" w:firstRow="0" w:lastRow="0" w:firstColumn="0" w:lastColumn="0" w:oddVBand="0" w:evenVBand="0" w:oddHBand="1" w:evenHBand="0" w:firstRowFirstColumn="0" w:firstRowLastColumn="0" w:lastRowFirstColumn="0" w:lastRowLastColumn="0"/>
              <w:rPr>
                <w:sz w:val="22"/>
                <w:szCs w:val="22"/>
              </w:rPr>
            </w:pPr>
            <w:r w:rsidRPr="00A605BB">
              <w:rPr>
                <w:sz w:val="22"/>
                <w:szCs w:val="22"/>
              </w:rPr>
              <w:t>9.98</w:t>
            </w:r>
          </w:p>
        </w:tc>
        <w:tc>
          <w:tcPr>
            <w:tcW w:w="979" w:type="dxa"/>
            <w:shd w:val="clear" w:color="auto" w:fill="auto"/>
          </w:tcPr>
          <w:p w14:paraId="0FBED551" w14:textId="242098E8" w:rsidR="00D86793" w:rsidRPr="00A605BB" w:rsidRDefault="003545A5" w:rsidP="003767B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sz w:val="22"/>
                <w:szCs w:val="22"/>
              </w:rPr>
            </w:pPr>
            <w:r w:rsidRPr="00A605BB">
              <w:rPr>
                <w:sz w:val="22"/>
                <w:szCs w:val="22"/>
              </w:rPr>
              <w:t>65.61</w:t>
            </w:r>
          </w:p>
        </w:tc>
        <w:tc>
          <w:tcPr>
            <w:tcW w:w="999" w:type="dxa"/>
            <w:shd w:val="clear" w:color="auto" w:fill="auto"/>
          </w:tcPr>
          <w:p w14:paraId="270A4FE2" w14:textId="1C00C623" w:rsidR="00D86793" w:rsidRPr="00A605BB" w:rsidRDefault="003545A5" w:rsidP="003767B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sz w:val="22"/>
                <w:szCs w:val="22"/>
              </w:rPr>
            </w:pPr>
            <w:r w:rsidRPr="00A605BB">
              <w:rPr>
                <w:sz w:val="22"/>
                <w:szCs w:val="22"/>
              </w:rPr>
              <w:t>&lt;.001</w:t>
            </w:r>
          </w:p>
        </w:tc>
        <w:tc>
          <w:tcPr>
            <w:tcW w:w="636" w:type="dxa"/>
            <w:shd w:val="clear" w:color="auto" w:fill="auto"/>
          </w:tcPr>
          <w:p w14:paraId="51A75835" w14:textId="6411BC54" w:rsidR="00D86793" w:rsidRPr="00A605BB" w:rsidRDefault="003545A5" w:rsidP="003767B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sz w:val="22"/>
                <w:szCs w:val="22"/>
              </w:rPr>
            </w:pPr>
            <w:r w:rsidRPr="00A605BB">
              <w:rPr>
                <w:sz w:val="22"/>
                <w:szCs w:val="22"/>
              </w:rPr>
              <w:t>.</w:t>
            </w:r>
            <w:r w:rsidR="00D42940" w:rsidRPr="00A605BB">
              <w:rPr>
                <w:sz w:val="22"/>
                <w:szCs w:val="22"/>
              </w:rPr>
              <w:t>10</w:t>
            </w:r>
          </w:p>
        </w:tc>
        <w:tc>
          <w:tcPr>
            <w:tcW w:w="1699" w:type="dxa"/>
            <w:shd w:val="clear" w:color="auto" w:fill="auto"/>
          </w:tcPr>
          <w:p w14:paraId="0F6A8701" w14:textId="0E371719" w:rsidR="00D86793" w:rsidRPr="00A605BB" w:rsidRDefault="00D42940" w:rsidP="003767B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sz w:val="22"/>
                <w:szCs w:val="22"/>
              </w:rPr>
            </w:pPr>
            <w:r w:rsidRPr="00A605BB">
              <w:rPr>
                <w:sz w:val="22"/>
                <w:szCs w:val="22"/>
              </w:rPr>
              <w:t>.04</w:t>
            </w:r>
            <w:r w:rsidR="002545B9" w:rsidRPr="00A605BB">
              <w:rPr>
                <w:sz w:val="22"/>
                <w:szCs w:val="22"/>
              </w:rPr>
              <w:t>0</w:t>
            </w:r>
          </w:p>
        </w:tc>
        <w:tc>
          <w:tcPr>
            <w:tcW w:w="1701" w:type="dxa"/>
            <w:shd w:val="clear" w:color="auto" w:fill="auto"/>
          </w:tcPr>
          <w:p w14:paraId="4E3FE3CD" w14:textId="3A367360" w:rsidR="00D86793" w:rsidRPr="00A605BB" w:rsidRDefault="008B05B1" w:rsidP="003767B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sz w:val="22"/>
                <w:szCs w:val="22"/>
              </w:rPr>
            </w:pPr>
            <w:r w:rsidRPr="00A605BB">
              <w:rPr>
                <w:sz w:val="22"/>
                <w:szCs w:val="22"/>
              </w:rPr>
              <w:t>&lt;.001</w:t>
            </w:r>
          </w:p>
        </w:tc>
      </w:tr>
    </w:tbl>
    <w:p w14:paraId="17F38668" w14:textId="77777777" w:rsidR="00617CC8" w:rsidRPr="00A605BB" w:rsidRDefault="00617CC8" w:rsidP="006730B3">
      <w:pPr>
        <w:autoSpaceDE w:val="0"/>
        <w:autoSpaceDN w:val="0"/>
        <w:adjustRightInd w:val="0"/>
        <w:jc w:val="both"/>
        <w:rPr>
          <w:i/>
          <w:iCs/>
        </w:rPr>
      </w:pPr>
    </w:p>
    <w:p w14:paraId="24137F2B" w14:textId="7E862060" w:rsidR="00EF0EC8" w:rsidRPr="00A605BB" w:rsidRDefault="00617CC8" w:rsidP="006730B3">
      <w:pPr>
        <w:autoSpaceDE w:val="0"/>
        <w:autoSpaceDN w:val="0"/>
        <w:adjustRightInd w:val="0"/>
        <w:jc w:val="both"/>
      </w:pPr>
      <w:r w:rsidRPr="00A605BB">
        <w:rPr>
          <w:i/>
          <w:iCs/>
        </w:rPr>
        <w:t xml:space="preserve">Notes: </w:t>
      </w:r>
      <w:proofErr w:type="spellStart"/>
      <w:proofErr w:type="gramStart"/>
      <w:r w:rsidR="006414DB" w:rsidRPr="00A605BB">
        <w:rPr>
          <w:vertAlign w:val="superscript"/>
        </w:rPr>
        <w:t>a</w:t>
      </w:r>
      <w:proofErr w:type="spellEnd"/>
      <w:proofErr w:type="gramEnd"/>
      <w:r w:rsidR="00D6403A" w:rsidRPr="00A605BB">
        <w:t xml:space="preserve"> Adjustment for multiple comparisons: Bonferroni.</w:t>
      </w:r>
      <w:r w:rsidRPr="00A605BB">
        <w:t xml:space="preserve"> </w:t>
      </w:r>
      <w:r w:rsidR="006414DB" w:rsidRPr="00A605BB">
        <w:rPr>
          <w:vertAlign w:val="superscript"/>
        </w:rPr>
        <w:t>b</w:t>
      </w:r>
      <w:r w:rsidR="006414DB" w:rsidRPr="00A605BB">
        <w:t xml:space="preserve"> </w:t>
      </w:r>
      <w:r w:rsidR="00457610" w:rsidRPr="00A605BB">
        <w:t>Greenhouse-</w:t>
      </w:r>
      <w:proofErr w:type="spellStart"/>
      <w:r w:rsidR="00457610" w:rsidRPr="00A605BB">
        <w:t>Geisser</w:t>
      </w:r>
      <w:proofErr w:type="spellEnd"/>
      <w:r w:rsidR="00457610" w:rsidRPr="00A605BB">
        <w:t xml:space="preserve"> sphericity correction applied</w:t>
      </w:r>
      <w:r w:rsidR="007505E1" w:rsidRPr="00A605BB">
        <w:t>.</w:t>
      </w:r>
      <w:r w:rsidR="00EF0EC8" w:rsidRPr="00A605BB">
        <w:br w:type="page"/>
      </w:r>
    </w:p>
    <w:p w14:paraId="715B828C" w14:textId="580E17DD" w:rsidR="00C67A74" w:rsidRPr="00A605BB" w:rsidRDefault="00C67A74" w:rsidP="0071548A">
      <w:pPr>
        <w:spacing w:line="240" w:lineRule="auto"/>
        <w:rPr>
          <w:b/>
          <w:bCs/>
        </w:rPr>
      </w:pPr>
      <w:r w:rsidRPr="00A605BB">
        <w:rPr>
          <w:b/>
          <w:bCs/>
        </w:rPr>
        <w:lastRenderedPageBreak/>
        <w:t xml:space="preserve">Table </w:t>
      </w:r>
      <w:r w:rsidR="002A50F9" w:rsidRPr="00A605BB">
        <w:rPr>
          <w:b/>
          <w:bCs/>
        </w:rPr>
        <w:t>4</w:t>
      </w:r>
      <w:r w:rsidRPr="00A605BB">
        <w:rPr>
          <w:b/>
          <w:bCs/>
        </w:rPr>
        <w:t>.</w:t>
      </w:r>
    </w:p>
    <w:p w14:paraId="5974660A" w14:textId="77777777" w:rsidR="0071548A" w:rsidRPr="00A605BB" w:rsidRDefault="0071548A" w:rsidP="0071548A">
      <w:pPr>
        <w:spacing w:line="240" w:lineRule="auto"/>
      </w:pPr>
    </w:p>
    <w:p w14:paraId="03100F75" w14:textId="67821C87" w:rsidR="00204288" w:rsidRPr="00A605BB" w:rsidRDefault="00C67A74" w:rsidP="0071548A">
      <w:pPr>
        <w:spacing w:line="240" w:lineRule="auto"/>
      </w:pPr>
      <w:r w:rsidRPr="00A605BB">
        <w:t>Repeated measures ANOVAs, compari</w:t>
      </w:r>
      <w:r w:rsidR="009869FA" w:rsidRPr="00A605BB">
        <w:t xml:space="preserve">ng </w:t>
      </w:r>
      <w:r w:rsidR="009711BF" w:rsidRPr="00A605BB">
        <w:t xml:space="preserve">whether </w:t>
      </w:r>
      <w:r w:rsidR="009869FA" w:rsidRPr="00A605BB">
        <w:t xml:space="preserve">Student and Line Manager’s ratings of </w:t>
      </w:r>
      <w:r w:rsidR="0071548A" w:rsidRPr="00A605BB">
        <w:t xml:space="preserve">student </w:t>
      </w:r>
      <w:r w:rsidR="009869FA" w:rsidRPr="00A605BB">
        <w:t xml:space="preserve">competency </w:t>
      </w:r>
      <w:r w:rsidR="009711BF" w:rsidRPr="00A605BB">
        <w:t>are different, and whether these</w:t>
      </w:r>
      <w:r w:rsidR="00AC6882" w:rsidRPr="00A605BB">
        <w:t xml:space="preserve"> are different </w:t>
      </w:r>
      <w:r w:rsidR="009869FA" w:rsidRPr="00A605BB">
        <w:t>over time</w:t>
      </w:r>
      <w:r w:rsidR="005C6C6B" w:rsidRPr="00A605BB">
        <w:t xml:space="preserve"> (H2a-h)</w:t>
      </w:r>
      <w:r w:rsidR="009869FA" w:rsidRPr="00A605BB">
        <w:t xml:space="preserve">. </w:t>
      </w:r>
    </w:p>
    <w:p w14:paraId="6202CE99" w14:textId="667DC546" w:rsidR="0011001D" w:rsidRPr="00A605BB" w:rsidRDefault="0011001D" w:rsidP="0071548A">
      <w:pPr>
        <w:spacing w:line="240" w:lineRule="auto"/>
      </w:pPr>
    </w:p>
    <w:tbl>
      <w:tblPr>
        <w:tblStyle w:val="ListTable6Colorful"/>
        <w:tblW w:w="14595" w:type="dxa"/>
        <w:tblLayout w:type="fixed"/>
        <w:tblLook w:val="04A0" w:firstRow="1" w:lastRow="0" w:firstColumn="1" w:lastColumn="0" w:noHBand="0" w:noVBand="1"/>
      </w:tblPr>
      <w:tblGrid>
        <w:gridCol w:w="1701"/>
        <w:gridCol w:w="576"/>
        <w:gridCol w:w="531"/>
        <w:gridCol w:w="878"/>
        <w:gridCol w:w="850"/>
        <w:gridCol w:w="709"/>
        <w:gridCol w:w="709"/>
        <w:gridCol w:w="424"/>
        <w:gridCol w:w="851"/>
        <w:gridCol w:w="709"/>
        <w:gridCol w:w="709"/>
        <w:gridCol w:w="711"/>
        <w:gridCol w:w="422"/>
        <w:gridCol w:w="850"/>
        <w:gridCol w:w="709"/>
        <w:gridCol w:w="567"/>
        <w:gridCol w:w="702"/>
        <w:gridCol w:w="6"/>
        <w:gridCol w:w="986"/>
        <w:gridCol w:w="6"/>
        <w:gridCol w:w="983"/>
        <w:gridCol w:w="6"/>
      </w:tblGrid>
      <w:tr w:rsidR="00410954" w:rsidRPr="00A605BB" w14:paraId="38AE944C" w14:textId="77777777" w:rsidTr="004E41BE">
        <w:trPr>
          <w:gridAfter w:val="1"/>
          <w:cnfStyle w:val="100000000000" w:firstRow="1" w:lastRow="0" w:firstColumn="0" w:lastColumn="0" w:oddVBand="0" w:evenVBand="0" w:oddHBand="0" w:evenHBand="0" w:firstRowFirstColumn="0" w:firstRowLastColumn="0" w:lastRowFirstColumn="0" w:lastRowLastColumn="0"/>
          <w:wAfter w:w="6" w:type="dxa"/>
          <w:trHeight w:val="30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000000" w:themeColor="text1"/>
              <w:bottom w:val="nil"/>
            </w:tcBorders>
            <w:shd w:val="clear" w:color="auto" w:fill="auto"/>
            <w:noWrap/>
          </w:tcPr>
          <w:p w14:paraId="189AF3B8" w14:textId="77777777" w:rsidR="00410954" w:rsidRPr="00A605BB" w:rsidRDefault="00410954" w:rsidP="00644588">
            <w:pPr>
              <w:spacing w:line="240" w:lineRule="auto"/>
              <w:jc w:val="center"/>
              <w:rPr>
                <w:sz w:val="20"/>
                <w:szCs w:val="20"/>
              </w:rPr>
            </w:pPr>
          </w:p>
        </w:tc>
        <w:tc>
          <w:tcPr>
            <w:tcW w:w="576" w:type="dxa"/>
            <w:tcBorders>
              <w:top w:val="single" w:sz="4" w:space="0" w:color="000000" w:themeColor="text1"/>
              <w:bottom w:val="nil"/>
            </w:tcBorders>
            <w:shd w:val="clear" w:color="auto" w:fill="auto"/>
            <w:noWrap/>
          </w:tcPr>
          <w:p w14:paraId="0B84981D" w14:textId="77777777" w:rsidR="00410954" w:rsidRPr="00A605BB" w:rsidRDefault="00410954" w:rsidP="00644588">
            <w:pPr>
              <w:spacing w:line="240" w:lineRule="auto"/>
              <w:jc w:val="center"/>
              <w:cnfStyle w:val="100000000000" w:firstRow="1" w:lastRow="0" w:firstColumn="0" w:lastColumn="0" w:oddVBand="0" w:evenVBand="0" w:oddHBand="0" w:evenHBand="0" w:firstRowFirstColumn="0" w:firstRowLastColumn="0" w:lastRowFirstColumn="0" w:lastRowLastColumn="0"/>
              <w:rPr>
                <w:sz w:val="20"/>
                <w:szCs w:val="20"/>
              </w:rPr>
            </w:pPr>
          </w:p>
        </w:tc>
        <w:tc>
          <w:tcPr>
            <w:tcW w:w="3677" w:type="dxa"/>
            <w:gridSpan w:val="5"/>
            <w:tcBorders>
              <w:top w:val="single" w:sz="4" w:space="0" w:color="000000" w:themeColor="text1"/>
              <w:bottom w:val="nil"/>
            </w:tcBorders>
            <w:shd w:val="clear" w:color="auto" w:fill="auto"/>
            <w:noWrap/>
          </w:tcPr>
          <w:p w14:paraId="6B44BC2F" w14:textId="77777777" w:rsidR="00410954" w:rsidRPr="00A605BB" w:rsidRDefault="00410954" w:rsidP="00644588">
            <w:pPr>
              <w:spacing w:line="240" w:lineRule="auto"/>
              <w:jc w:val="center"/>
              <w:cnfStyle w:val="100000000000" w:firstRow="1" w:lastRow="0" w:firstColumn="0" w:lastColumn="0" w:oddVBand="0" w:evenVBand="0" w:oddHBand="0" w:evenHBand="0" w:firstRowFirstColumn="0" w:firstRowLastColumn="0" w:lastRowFirstColumn="0" w:lastRowLastColumn="0"/>
              <w:rPr>
                <w:sz w:val="20"/>
                <w:szCs w:val="20"/>
              </w:rPr>
            </w:pPr>
            <w:r w:rsidRPr="00A605BB">
              <w:rPr>
                <w:sz w:val="20"/>
                <w:szCs w:val="20"/>
              </w:rPr>
              <w:t>Within Persons Main Effect</w:t>
            </w:r>
          </w:p>
          <w:p w14:paraId="66630E56" w14:textId="49981AB0" w:rsidR="00410954" w:rsidRPr="00A605BB" w:rsidRDefault="00410954" w:rsidP="00644588">
            <w:pPr>
              <w:spacing w:line="240" w:lineRule="auto"/>
              <w:jc w:val="center"/>
              <w:cnfStyle w:val="100000000000" w:firstRow="1" w:lastRow="0" w:firstColumn="0" w:lastColumn="0" w:oddVBand="0" w:evenVBand="0" w:oddHBand="0" w:evenHBand="0" w:firstRowFirstColumn="0" w:firstRowLastColumn="0" w:lastRowFirstColumn="0" w:lastRowLastColumn="0"/>
              <w:rPr>
                <w:sz w:val="20"/>
                <w:szCs w:val="20"/>
              </w:rPr>
            </w:pPr>
            <w:r w:rsidRPr="00A605BB">
              <w:rPr>
                <w:sz w:val="20"/>
                <w:szCs w:val="20"/>
              </w:rPr>
              <w:t>(time)</w:t>
            </w:r>
          </w:p>
        </w:tc>
        <w:tc>
          <w:tcPr>
            <w:tcW w:w="3404" w:type="dxa"/>
            <w:gridSpan w:val="5"/>
            <w:tcBorders>
              <w:top w:val="single" w:sz="4" w:space="0" w:color="000000" w:themeColor="text1"/>
              <w:bottom w:val="nil"/>
            </w:tcBorders>
            <w:shd w:val="clear" w:color="auto" w:fill="auto"/>
            <w:noWrap/>
          </w:tcPr>
          <w:p w14:paraId="527B0BF4" w14:textId="4BF9E3E5" w:rsidR="00410954" w:rsidRPr="00A605BB" w:rsidRDefault="00410954" w:rsidP="00644588">
            <w:pPr>
              <w:spacing w:line="240" w:lineRule="auto"/>
              <w:jc w:val="center"/>
              <w:cnfStyle w:val="100000000000" w:firstRow="1" w:lastRow="0" w:firstColumn="0" w:lastColumn="0" w:oddVBand="0" w:evenVBand="0" w:oddHBand="0" w:evenHBand="0" w:firstRowFirstColumn="0" w:firstRowLastColumn="0" w:lastRowFirstColumn="0" w:lastRowLastColumn="0"/>
              <w:rPr>
                <w:sz w:val="20"/>
                <w:szCs w:val="20"/>
              </w:rPr>
            </w:pPr>
            <w:r w:rsidRPr="00A605BB">
              <w:rPr>
                <w:sz w:val="20"/>
                <w:szCs w:val="20"/>
              </w:rPr>
              <w:t>Within Persons Main Effect</w:t>
            </w:r>
          </w:p>
          <w:p w14:paraId="487FA17D" w14:textId="4AA9836A" w:rsidR="00410954" w:rsidRPr="00A605BB" w:rsidRDefault="00410954" w:rsidP="00644588">
            <w:pPr>
              <w:spacing w:line="240" w:lineRule="auto"/>
              <w:jc w:val="center"/>
              <w:cnfStyle w:val="100000000000" w:firstRow="1" w:lastRow="0" w:firstColumn="0" w:lastColumn="0" w:oddVBand="0" w:evenVBand="0" w:oddHBand="0" w:evenHBand="0" w:firstRowFirstColumn="0" w:firstRowLastColumn="0" w:lastRowFirstColumn="0" w:lastRowLastColumn="0"/>
              <w:rPr>
                <w:sz w:val="20"/>
                <w:szCs w:val="20"/>
              </w:rPr>
            </w:pPr>
            <w:r w:rsidRPr="00A605BB">
              <w:rPr>
                <w:sz w:val="20"/>
                <w:szCs w:val="20"/>
              </w:rPr>
              <w:t>(</w:t>
            </w:r>
            <w:r w:rsidR="00E26F72" w:rsidRPr="00A605BB">
              <w:rPr>
                <w:sz w:val="20"/>
                <w:szCs w:val="20"/>
              </w:rPr>
              <w:t>group</w:t>
            </w:r>
            <w:r w:rsidRPr="00A605BB">
              <w:rPr>
                <w:sz w:val="20"/>
                <w:szCs w:val="20"/>
              </w:rPr>
              <w:t>)</w:t>
            </w:r>
          </w:p>
        </w:tc>
        <w:tc>
          <w:tcPr>
            <w:tcW w:w="5231" w:type="dxa"/>
            <w:gridSpan w:val="9"/>
            <w:tcBorders>
              <w:top w:val="single" w:sz="4" w:space="0" w:color="000000" w:themeColor="text1"/>
              <w:bottom w:val="nil"/>
            </w:tcBorders>
            <w:shd w:val="clear" w:color="auto" w:fill="auto"/>
            <w:noWrap/>
          </w:tcPr>
          <w:p w14:paraId="668BDD97" w14:textId="44AB7B14" w:rsidR="00410954" w:rsidRPr="00A605BB" w:rsidRDefault="00410954" w:rsidP="00644588">
            <w:pPr>
              <w:spacing w:line="240" w:lineRule="auto"/>
              <w:jc w:val="center"/>
              <w:cnfStyle w:val="100000000000" w:firstRow="1" w:lastRow="0" w:firstColumn="0" w:lastColumn="0" w:oddVBand="0" w:evenVBand="0" w:oddHBand="0" w:evenHBand="0" w:firstRowFirstColumn="0" w:firstRowLastColumn="0" w:lastRowFirstColumn="0" w:lastRowLastColumn="0"/>
              <w:rPr>
                <w:sz w:val="20"/>
                <w:szCs w:val="20"/>
              </w:rPr>
            </w:pPr>
            <w:r w:rsidRPr="00A605BB">
              <w:rPr>
                <w:sz w:val="20"/>
                <w:szCs w:val="20"/>
              </w:rPr>
              <w:t>Within Persons Interaction Effect</w:t>
            </w:r>
          </w:p>
          <w:p w14:paraId="1008434D" w14:textId="4546A479" w:rsidR="00410954" w:rsidRPr="00A605BB" w:rsidRDefault="00410954" w:rsidP="00644588">
            <w:pPr>
              <w:spacing w:line="240" w:lineRule="auto"/>
              <w:jc w:val="center"/>
              <w:cnfStyle w:val="100000000000" w:firstRow="1" w:lastRow="0" w:firstColumn="0" w:lastColumn="0" w:oddVBand="0" w:evenVBand="0" w:oddHBand="0" w:evenHBand="0" w:firstRowFirstColumn="0" w:firstRowLastColumn="0" w:lastRowFirstColumn="0" w:lastRowLastColumn="0"/>
              <w:rPr>
                <w:sz w:val="20"/>
                <w:szCs w:val="20"/>
              </w:rPr>
            </w:pPr>
            <w:r w:rsidRPr="00A605BB">
              <w:rPr>
                <w:sz w:val="20"/>
                <w:szCs w:val="20"/>
              </w:rPr>
              <w:t>(time*</w:t>
            </w:r>
            <w:r w:rsidR="00E26F72" w:rsidRPr="00A605BB">
              <w:rPr>
                <w:sz w:val="20"/>
                <w:szCs w:val="20"/>
              </w:rPr>
              <w:t>group</w:t>
            </w:r>
            <w:r w:rsidRPr="00A605BB">
              <w:rPr>
                <w:sz w:val="20"/>
                <w:szCs w:val="20"/>
              </w:rPr>
              <w:t>)</w:t>
            </w:r>
          </w:p>
        </w:tc>
      </w:tr>
      <w:tr w:rsidR="004E41BE" w:rsidRPr="00A605BB" w14:paraId="26D74D60" w14:textId="77777777" w:rsidTr="004E41BE">
        <w:trPr>
          <w:gridAfter w:val="1"/>
          <w:cnfStyle w:val="000000100000" w:firstRow="0" w:lastRow="0" w:firstColumn="0" w:lastColumn="0" w:oddVBand="0" w:evenVBand="0" w:oddHBand="1" w:evenHBand="0" w:firstRowFirstColumn="0" w:firstRowLastColumn="0" w:lastRowFirstColumn="0" w:lastRowLastColumn="0"/>
          <w:wAfter w:w="6" w:type="dxa"/>
          <w:trHeight w:val="853"/>
        </w:trPr>
        <w:tc>
          <w:tcPr>
            <w:cnfStyle w:val="001000000000" w:firstRow="0" w:lastRow="0" w:firstColumn="1" w:lastColumn="0" w:oddVBand="0" w:evenVBand="0" w:oddHBand="0" w:evenHBand="0" w:firstRowFirstColumn="0" w:firstRowLastColumn="0" w:lastRowFirstColumn="0" w:lastRowLastColumn="0"/>
            <w:tcW w:w="1701" w:type="dxa"/>
            <w:tcBorders>
              <w:top w:val="nil"/>
            </w:tcBorders>
            <w:shd w:val="clear" w:color="auto" w:fill="auto"/>
            <w:noWrap/>
          </w:tcPr>
          <w:p w14:paraId="71F39049" w14:textId="77777777" w:rsidR="00410954" w:rsidRPr="00A605BB" w:rsidRDefault="00410954" w:rsidP="00644588">
            <w:pPr>
              <w:spacing w:line="240" w:lineRule="auto"/>
              <w:jc w:val="center"/>
              <w:rPr>
                <w:sz w:val="20"/>
                <w:szCs w:val="20"/>
              </w:rPr>
            </w:pPr>
          </w:p>
        </w:tc>
        <w:tc>
          <w:tcPr>
            <w:tcW w:w="576" w:type="dxa"/>
            <w:tcBorders>
              <w:top w:val="nil"/>
            </w:tcBorders>
            <w:shd w:val="clear" w:color="auto" w:fill="auto"/>
            <w:noWrap/>
          </w:tcPr>
          <w:p w14:paraId="27F32FDD" w14:textId="77777777" w:rsidR="00410954" w:rsidRPr="00A605BB" w:rsidRDefault="00410954" w:rsidP="00644588">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3677" w:type="dxa"/>
            <w:gridSpan w:val="5"/>
            <w:tcBorders>
              <w:top w:val="nil"/>
            </w:tcBorders>
            <w:shd w:val="clear" w:color="auto" w:fill="auto"/>
            <w:noWrap/>
          </w:tcPr>
          <w:p w14:paraId="37800821" w14:textId="77777777" w:rsidR="00410954" w:rsidRPr="00A605BB" w:rsidRDefault="00410954" w:rsidP="00644588">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3404" w:type="dxa"/>
            <w:gridSpan w:val="5"/>
            <w:tcBorders>
              <w:top w:val="nil"/>
            </w:tcBorders>
            <w:shd w:val="clear" w:color="auto" w:fill="auto"/>
            <w:noWrap/>
          </w:tcPr>
          <w:p w14:paraId="45C4A178" w14:textId="77777777" w:rsidR="00410954" w:rsidRPr="00A605BB" w:rsidRDefault="00410954" w:rsidP="00644588">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3250" w:type="dxa"/>
            <w:gridSpan w:val="5"/>
            <w:tcBorders>
              <w:top w:val="nil"/>
            </w:tcBorders>
            <w:shd w:val="clear" w:color="auto" w:fill="auto"/>
            <w:noWrap/>
          </w:tcPr>
          <w:p w14:paraId="23735D60" w14:textId="77777777" w:rsidR="00410954" w:rsidRPr="00A605BB" w:rsidRDefault="00410954" w:rsidP="00644588">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992" w:type="dxa"/>
            <w:gridSpan w:val="2"/>
            <w:tcBorders>
              <w:top w:val="nil"/>
            </w:tcBorders>
            <w:shd w:val="clear" w:color="auto" w:fill="auto"/>
            <w:noWrap/>
          </w:tcPr>
          <w:p w14:paraId="3105ECDF" w14:textId="4755783D" w:rsidR="00410954" w:rsidRPr="00A605BB" w:rsidRDefault="00644588" w:rsidP="00644588">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A605BB">
              <w:rPr>
                <w:sz w:val="20"/>
                <w:szCs w:val="20"/>
              </w:rPr>
              <w:t>Mid-</w:t>
            </w:r>
            <w:r w:rsidR="00410954" w:rsidRPr="00A605BB">
              <w:rPr>
                <w:sz w:val="20"/>
                <w:szCs w:val="20"/>
              </w:rPr>
              <w:t>*</w:t>
            </w:r>
          </w:p>
          <w:p w14:paraId="1BD1EB1E" w14:textId="699E7EAA" w:rsidR="00410954" w:rsidRPr="00A605BB" w:rsidRDefault="00A5568F" w:rsidP="00644588">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A605BB">
              <w:rPr>
                <w:sz w:val="20"/>
                <w:szCs w:val="20"/>
              </w:rPr>
              <w:t>group</w:t>
            </w:r>
          </w:p>
        </w:tc>
        <w:tc>
          <w:tcPr>
            <w:tcW w:w="989" w:type="dxa"/>
            <w:gridSpan w:val="2"/>
            <w:tcBorders>
              <w:top w:val="nil"/>
            </w:tcBorders>
            <w:shd w:val="clear" w:color="auto" w:fill="auto"/>
            <w:noWrap/>
          </w:tcPr>
          <w:p w14:paraId="4E04B28D" w14:textId="78673243" w:rsidR="00410954" w:rsidRPr="00A605BB" w:rsidRDefault="00644588" w:rsidP="00644588">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A605BB">
              <w:rPr>
                <w:sz w:val="20"/>
                <w:szCs w:val="20"/>
              </w:rPr>
              <w:t>End-</w:t>
            </w:r>
            <w:r w:rsidR="00410954" w:rsidRPr="00A605BB">
              <w:rPr>
                <w:sz w:val="20"/>
                <w:szCs w:val="20"/>
              </w:rPr>
              <w:t>*</w:t>
            </w:r>
          </w:p>
          <w:p w14:paraId="5F359D10" w14:textId="1EB81468" w:rsidR="00410954" w:rsidRPr="00A605BB" w:rsidRDefault="00A5568F" w:rsidP="00644588">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A605BB">
              <w:rPr>
                <w:sz w:val="20"/>
                <w:szCs w:val="20"/>
              </w:rPr>
              <w:t>group</w:t>
            </w:r>
          </w:p>
        </w:tc>
      </w:tr>
      <w:tr w:rsidR="005F60A3" w:rsidRPr="00A605BB" w14:paraId="0869B8D7" w14:textId="77777777" w:rsidTr="004E41BE">
        <w:trPr>
          <w:trHeight w:val="300"/>
        </w:trPr>
        <w:tc>
          <w:tcPr>
            <w:cnfStyle w:val="001000000000" w:firstRow="0" w:lastRow="0" w:firstColumn="1" w:lastColumn="0" w:oddVBand="0" w:evenVBand="0" w:oddHBand="0" w:evenHBand="0" w:firstRowFirstColumn="0" w:firstRowLastColumn="0" w:lastRowFirstColumn="0" w:lastRowLastColumn="0"/>
            <w:tcW w:w="1701" w:type="dxa"/>
            <w:tcBorders>
              <w:bottom w:val="single" w:sz="4" w:space="0" w:color="auto"/>
            </w:tcBorders>
            <w:shd w:val="clear" w:color="auto" w:fill="auto"/>
            <w:noWrap/>
          </w:tcPr>
          <w:p w14:paraId="1C7BE893" w14:textId="3C10A1C8" w:rsidR="00410954" w:rsidRPr="00A605BB" w:rsidRDefault="004F186D" w:rsidP="00644588">
            <w:pPr>
              <w:spacing w:line="240" w:lineRule="auto"/>
              <w:rPr>
                <w:sz w:val="20"/>
                <w:szCs w:val="20"/>
              </w:rPr>
            </w:pPr>
            <w:r w:rsidRPr="00A605BB">
              <w:rPr>
                <w:sz w:val="20"/>
                <w:szCs w:val="20"/>
              </w:rPr>
              <w:t>Hypothesis</w:t>
            </w:r>
          </w:p>
        </w:tc>
        <w:tc>
          <w:tcPr>
            <w:tcW w:w="576" w:type="dxa"/>
            <w:tcBorders>
              <w:bottom w:val="single" w:sz="4" w:space="0" w:color="auto"/>
            </w:tcBorders>
            <w:shd w:val="clear" w:color="auto" w:fill="auto"/>
            <w:noWrap/>
          </w:tcPr>
          <w:p w14:paraId="58961562" w14:textId="77777777" w:rsidR="00410954" w:rsidRPr="00A605BB" w:rsidRDefault="00410954" w:rsidP="00644588">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A605BB">
              <w:rPr>
                <w:sz w:val="20"/>
                <w:szCs w:val="20"/>
              </w:rPr>
              <w:t>N</w:t>
            </w:r>
          </w:p>
        </w:tc>
        <w:tc>
          <w:tcPr>
            <w:tcW w:w="531" w:type="dxa"/>
            <w:tcBorders>
              <w:bottom w:val="single" w:sz="4" w:space="0" w:color="auto"/>
            </w:tcBorders>
            <w:shd w:val="clear" w:color="auto" w:fill="auto"/>
            <w:noWrap/>
          </w:tcPr>
          <w:p w14:paraId="10BF4378" w14:textId="77777777" w:rsidR="00410954" w:rsidRPr="00A605BB" w:rsidRDefault="00410954" w:rsidP="00644588">
            <w:pPr>
              <w:spacing w:line="240" w:lineRule="auto"/>
              <w:jc w:val="center"/>
              <w:cnfStyle w:val="000000000000" w:firstRow="0" w:lastRow="0" w:firstColumn="0" w:lastColumn="0" w:oddVBand="0" w:evenVBand="0" w:oddHBand="0" w:evenHBand="0" w:firstRowFirstColumn="0" w:firstRowLastColumn="0" w:lastRowFirstColumn="0" w:lastRowLastColumn="0"/>
              <w:rPr>
                <w:i/>
                <w:iCs/>
                <w:sz w:val="20"/>
                <w:szCs w:val="20"/>
              </w:rPr>
            </w:pPr>
            <w:proofErr w:type="spellStart"/>
            <w:r w:rsidRPr="00A605BB">
              <w:rPr>
                <w:i/>
                <w:iCs/>
                <w:sz w:val="20"/>
                <w:szCs w:val="20"/>
              </w:rPr>
              <w:t>df</w:t>
            </w:r>
            <w:proofErr w:type="spellEnd"/>
          </w:p>
        </w:tc>
        <w:tc>
          <w:tcPr>
            <w:tcW w:w="878" w:type="dxa"/>
            <w:tcBorders>
              <w:bottom w:val="single" w:sz="4" w:space="0" w:color="auto"/>
            </w:tcBorders>
            <w:shd w:val="clear" w:color="auto" w:fill="auto"/>
            <w:noWrap/>
          </w:tcPr>
          <w:p w14:paraId="148C1788" w14:textId="77777777" w:rsidR="00410954" w:rsidRPr="00A605BB" w:rsidRDefault="00410954" w:rsidP="00644588">
            <w:pPr>
              <w:spacing w:line="240" w:lineRule="auto"/>
              <w:jc w:val="center"/>
              <w:cnfStyle w:val="000000000000" w:firstRow="0" w:lastRow="0" w:firstColumn="0" w:lastColumn="0" w:oddVBand="0" w:evenVBand="0" w:oddHBand="0" w:evenHBand="0" w:firstRowFirstColumn="0" w:firstRowLastColumn="0" w:lastRowFirstColumn="0" w:lastRowLastColumn="0"/>
              <w:rPr>
                <w:i/>
                <w:iCs/>
                <w:sz w:val="20"/>
                <w:szCs w:val="20"/>
              </w:rPr>
            </w:pPr>
            <w:r w:rsidRPr="00A605BB">
              <w:rPr>
                <w:i/>
                <w:iCs/>
                <w:sz w:val="20"/>
                <w:szCs w:val="20"/>
              </w:rPr>
              <w:t>Mean of Squares</w:t>
            </w:r>
          </w:p>
        </w:tc>
        <w:tc>
          <w:tcPr>
            <w:tcW w:w="850" w:type="dxa"/>
            <w:tcBorders>
              <w:bottom w:val="single" w:sz="4" w:space="0" w:color="auto"/>
            </w:tcBorders>
            <w:shd w:val="clear" w:color="auto" w:fill="auto"/>
            <w:noWrap/>
          </w:tcPr>
          <w:p w14:paraId="5D6F7414" w14:textId="77777777" w:rsidR="00410954" w:rsidRPr="00A605BB" w:rsidRDefault="00410954" w:rsidP="00644588">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A605BB">
              <w:rPr>
                <w:sz w:val="20"/>
                <w:szCs w:val="20"/>
              </w:rPr>
              <w:t>F</w:t>
            </w:r>
          </w:p>
        </w:tc>
        <w:tc>
          <w:tcPr>
            <w:tcW w:w="709" w:type="dxa"/>
            <w:tcBorders>
              <w:bottom w:val="single" w:sz="4" w:space="0" w:color="auto"/>
            </w:tcBorders>
            <w:shd w:val="clear" w:color="auto" w:fill="auto"/>
            <w:noWrap/>
          </w:tcPr>
          <w:p w14:paraId="17C4FB89" w14:textId="77777777" w:rsidR="00410954" w:rsidRPr="00A605BB" w:rsidRDefault="00410954" w:rsidP="00644588">
            <w:pPr>
              <w:spacing w:line="240" w:lineRule="auto"/>
              <w:jc w:val="center"/>
              <w:cnfStyle w:val="000000000000" w:firstRow="0" w:lastRow="0" w:firstColumn="0" w:lastColumn="0" w:oddVBand="0" w:evenVBand="0" w:oddHBand="0" w:evenHBand="0" w:firstRowFirstColumn="0" w:firstRowLastColumn="0" w:lastRowFirstColumn="0" w:lastRowLastColumn="0"/>
              <w:rPr>
                <w:i/>
                <w:iCs/>
                <w:sz w:val="20"/>
                <w:szCs w:val="20"/>
              </w:rPr>
            </w:pPr>
            <w:r w:rsidRPr="00A605BB">
              <w:rPr>
                <w:i/>
                <w:iCs/>
                <w:sz w:val="20"/>
                <w:szCs w:val="20"/>
              </w:rPr>
              <w:t>p</w:t>
            </w:r>
          </w:p>
        </w:tc>
        <w:tc>
          <w:tcPr>
            <w:tcW w:w="709" w:type="dxa"/>
            <w:tcBorders>
              <w:bottom w:val="single" w:sz="4" w:space="0" w:color="auto"/>
            </w:tcBorders>
            <w:shd w:val="clear" w:color="auto" w:fill="auto"/>
            <w:noWrap/>
          </w:tcPr>
          <w:p w14:paraId="7AF26931" w14:textId="77777777" w:rsidR="00410954" w:rsidRPr="00A605BB" w:rsidRDefault="00410954" w:rsidP="00644588">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A605BB">
              <w:rPr>
                <w:sz w:val="20"/>
                <w:szCs w:val="20"/>
              </w:rPr>
              <w:t>η2</w:t>
            </w:r>
          </w:p>
        </w:tc>
        <w:tc>
          <w:tcPr>
            <w:tcW w:w="424" w:type="dxa"/>
            <w:tcBorders>
              <w:bottom w:val="single" w:sz="4" w:space="0" w:color="auto"/>
            </w:tcBorders>
            <w:shd w:val="clear" w:color="auto" w:fill="auto"/>
            <w:noWrap/>
          </w:tcPr>
          <w:p w14:paraId="40BA865F" w14:textId="77777777" w:rsidR="00410954" w:rsidRPr="00A605BB" w:rsidRDefault="00410954" w:rsidP="00644588">
            <w:pPr>
              <w:spacing w:line="240" w:lineRule="auto"/>
              <w:jc w:val="center"/>
              <w:cnfStyle w:val="000000000000" w:firstRow="0" w:lastRow="0" w:firstColumn="0" w:lastColumn="0" w:oddVBand="0" w:evenVBand="0" w:oddHBand="0" w:evenHBand="0" w:firstRowFirstColumn="0" w:firstRowLastColumn="0" w:lastRowFirstColumn="0" w:lastRowLastColumn="0"/>
              <w:rPr>
                <w:i/>
                <w:iCs/>
                <w:sz w:val="20"/>
                <w:szCs w:val="20"/>
              </w:rPr>
            </w:pPr>
            <w:proofErr w:type="spellStart"/>
            <w:r w:rsidRPr="00A605BB">
              <w:rPr>
                <w:i/>
                <w:iCs/>
                <w:sz w:val="20"/>
                <w:szCs w:val="20"/>
              </w:rPr>
              <w:t>df</w:t>
            </w:r>
            <w:proofErr w:type="spellEnd"/>
          </w:p>
        </w:tc>
        <w:tc>
          <w:tcPr>
            <w:tcW w:w="851" w:type="dxa"/>
            <w:tcBorders>
              <w:bottom w:val="single" w:sz="4" w:space="0" w:color="auto"/>
            </w:tcBorders>
            <w:shd w:val="clear" w:color="auto" w:fill="auto"/>
            <w:noWrap/>
          </w:tcPr>
          <w:p w14:paraId="4EC1B0DE" w14:textId="77777777" w:rsidR="00410954" w:rsidRPr="00A605BB" w:rsidRDefault="00410954" w:rsidP="00644588">
            <w:pPr>
              <w:spacing w:line="240" w:lineRule="auto"/>
              <w:jc w:val="center"/>
              <w:cnfStyle w:val="000000000000" w:firstRow="0" w:lastRow="0" w:firstColumn="0" w:lastColumn="0" w:oddVBand="0" w:evenVBand="0" w:oddHBand="0" w:evenHBand="0" w:firstRowFirstColumn="0" w:firstRowLastColumn="0" w:lastRowFirstColumn="0" w:lastRowLastColumn="0"/>
              <w:rPr>
                <w:i/>
                <w:iCs/>
                <w:sz w:val="20"/>
                <w:szCs w:val="20"/>
              </w:rPr>
            </w:pPr>
            <w:r w:rsidRPr="00A605BB">
              <w:rPr>
                <w:i/>
                <w:iCs/>
                <w:sz w:val="20"/>
                <w:szCs w:val="20"/>
              </w:rPr>
              <w:t>Mean of squares</w:t>
            </w:r>
          </w:p>
        </w:tc>
        <w:tc>
          <w:tcPr>
            <w:tcW w:w="709" w:type="dxa"/>
            <w:tcBorders>
              <w:bottom w:val="single" w:sz="4" w:space="0" w:color="auto"/>
            </w:tcBorders>
            <w:shd w:val="clear" w:color="auto" w:fill="auto"/>
            <w:noWrap/>
          </w:tcPr>
          <w:p w14:paraId="77AB23FD" w14:textId="77777777" w:rsidR="00410954" w:rsidRPr="00A605BB" w:rsidRDefault="00410954" w:rsidP="00644588">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A605BB">
              <w:rPr>
                <w:sz w:val="20"/>
                <w:szCs w:val="20"/>
              </w:rPr>
              <w:t>F</w:t>
            </w:r>
          </w:p>
        </w:tc>
        <w:tc>
          <w:tcPr>
            <w:tcW w:w="709" w:type="dxa"/>
            <w:tcBorders>
              <w:bottom w:val="single" w:sz="4" w:space="0" w:color="auto"/>
            </w:tcBorders>
            <w:shd w:val="clear" w:color="auto" w:fill="auto"/>
            <w:noWrap/>
          </w:tcPr>
          <w:p w14:paraId="7B909DF6" w14:textId="77777777" w:rsidR="00410954" w:rsidRPr="00A605BB" w:rsidRDefault="00410954" w:rsidP="00644588">
            <w:pPr>
              <w:spacing w:line="240" w:lineRule="auto"/>
              <w:jc w:val="center"/>
              <w:cnfStyle w:val="000000000000" w:firstRow="0" w:lastRow="0" w:firstColumn="0" w:lastColumn="0" w:oddVBand="0" w:evenVBand="0" w:oddHBand="0" w:evenHBand="0" w:firstRowFirstColumn="0" w:firstRowLastColumn="0" w:lastRowFirstColumn="0" w:lastRowLastColumn="0"/>
              <w:rPr>
                <w:i/>
                <w:iCs/>
                <w:sz w:val="20"/>
                <w:szCs w:val="20"/>
              </w:rPr>
            </w:pPr>
            <w:r w:rsidRPr="00A605BB">
              <w:rPr>
                <w:i/>
                <w:iCs/>
                <w:sz w:val="20"/>
                <w:szCs w:val="20"/>
              </w:rPr>
              <w:t>p</w:t>
            </w:r>
          </w:p>
        </w:tc>
        <w:tc>
          <w:tcPr>
            <w:tcW w:w="711" w:type="dxa"/>
            <w:tcBorders>
              <w:bottom w:val="single" w:sz="4" w:space="0" w:color="auto"/>
            </w:tcBorders>
            <w:shd w:val="clear" w:color="auto" w:fill="auto"/>
            <w:noWrap/>
          </w:tcPr>
          <w:p w14:paraId="7608ECB6" w14:textId="77777777" w:rsidR="00410954" w:rsidRPr="00A605BB" w:rsidRDefault="00410954" w:rsidP="00644588">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A605BB">
              <w:rPr>
                <w:sz w:val="20"/>
                <w:szCs w:val="20"/>
              </w:rPr>
              <w:t>η2</w:t>
            </w:r>
          </w:p>
        </w:tc>
        <w:tc>
          <w:tcPr>
            <w:tcW w:w="422" w:type="dxa"/>
            <w:tcBorders>
              <w:bottom w:val="single" w:sz="4" w:space="0" w:color="auto"/>
            </w:tcBorders>
            <w:shd w:val="clear" w:color="auto" w:fill="auto"/>
            <w:noWrap/>
          </w:tcPr>
          <w:p w14:paraId="4F6DF62E" w14:textId="77777777" w:rsidR="00410954" w:rsidRPr="00A605BB" w:rsidRDefault="00410954" w:rsidP="00644588">
            <w:pPr>
              <w:spacing w:line="240" w:lineRule="auto"/>
              <w:jc w:val="center"/>
              <w:cnfStyle w:val="000000000000" w:firstRow="0" w:lastRow="0" w:firstColumn="0" w:lastColumn="0" w:oddVBand="0" w:evenVBand="0" w:oddHBand="0" w:evenHBand="0" w:firstRowFirstColumn="0" w:firstRowLastColumn="0" w:lastRowFirstColumn="0" w:lastRowLastColumn="0"/>
              <w:rPr>
                <w:i/>
                <w:iCs/>
                <w:sz w:val="20"/>
                <w:szCs w:val="20"/>
              </w:rPr>
            </w:pPr>
            <w:proofErr w:type="spellStart"/>
            <w:r w:rsidRPr="00A605BB">
              <w:rPr>
                <w:i/>
                <w:iCs/>
                <w:sz w:val="20"/>
                <w:szCs w:val="20"/>
              </w:rPr>
              <w:t>df</w:t>
            </w:r>
            <w:proofErr w:type="spellEnd"/>
          </w:p>
        </w:tc>
        <w:tc>
          <w:tcPr>
            <w:tcW w:w="850" w:type="dxa"/>
            <w:tcBorders>
              <w:bottom w:val="single" w:sz="4" w:space="0" w:color="auto"/>
            </w:tcBorders>
            <w:shd w:val="clear" w:color="auto" w:fill="auto"/>
            <w:noWrap/>
          </w:tcPr>
          <w:p w14:paraId="488A2A7D" w14:textId="77777777" w:rsidR="00410954" w:rsidRPr="00A605BB" w:rsidRDefault="00410954" w:rsidP="00644588">
            <w:pPr>
              <w:spacing w:line="240" w:lineRule="auto"/>
              <w:jc w:val="center"/>
              <w:cnfStyle w:val="000000000000" w:firstRow="0" w:lastRow="0" w:firstColumn="0" w:lastColumn="0" w:oddVBand="0" w:evenVBand="0" w:oddHBand="0" w:evenHBand="0" w:firstRowFirstColumn="0" w:firstRowLastColumn="0" w:lastRowFirstColumn="0" w:lastRowLastColumn="0"/>
              <w:rPr>
                <w:i/>
                <w:iCs/>
                <w:sz w:val="20"/>
                <w:szCs w:val="20"/>
              </w:rPr>
            </w:pPr>
            <w:r w:rsidRPr="00A605BB">
              <w:rPr>
                <w:i/>
                <w:iCs/>
                <w:sz w:val="20"/>
                <w:szCs w:val="20"/>
              </w:rPr>
              <w:t>Mean of squares</w:t>
            </w:r>
          </w:p>
        </w:tc>
        <w:tc>
          <w:tcPr>
            <w:tcW w:w="709" w:type="dxa"/>
            <w:tcBorders>
              <w:bottom w:val="single" w:sz="4" w:space="0" w:color="auto"/>
            </w:tcBorders>
            <w:shd w:val="clear" w:color="auto" w:fill="auto"/>
            <w:noWrap/>
          </w:tcPr>
          <w:p w14:paraId="778CC6D6" w14:textId="77777777" w:rsidR="00410954" w:rsidRPr="00A605BB" w:rsidRDefault="00410954" w:rsidP="00644588">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A605BB">
              <w:rPr>
                <w:sz w:val="20"/>
                <w:szCs w:val="20"/>
              </w:rPr>
              <w:t>F</w:t>
            </w:r>
          </w:p>
        </w:tc>
        <w:tc>
          <w:tcPr>
            <w:tcW w:w="567" w:type="dxa"/>
            <w:tcBorders>
              <w:bottom w:val="single" w:sz="4" w:space="0" w:color="auto"/>
            </w:tcBorders>
            <w:shd w:val="clear" w:color="auto" w:fill="auto"/>
            <w:noWrap/>
          </w:tcPr>
          <w:p w14:paraId="6EB5003E" w14:textId="77777777" w:rsidR="00410954" w:rsidRPr="00A605BB" w:rsidRDefault="00410954" w:rsidP="00644588">
            <w:pPr>
              <w:spacing w:line="240" w:lineRule="auto"/>
              <w:jc w:val="center"/>
              <w:cnfStyle w:val="000000000000" w:firstRow="0" w:lastRow="0" w:firstColumn="0" w:lastColumn="0" w:oddVBand="0" w:evenVBand="0" w:oddHBand="0" w:evenHBand="0" w:firstRowFirstColumn="0" w:firstRowLastColumn="0" w:lastRowFirstColumn="0" w:lastRowLastColumn="0"/>
              <w:rPr>
                <w:i/>
                <w:iCs/>
                <w:sz w:val="20"/>
                <w:szCs w:val="20"/>
              </w:rPr>
            </w:pPr>
            <w:r w:rsidRPr="00A605BB">
              <w:rPr>
                <w:i/>
                <w:iCs/>
                <w:sz w:val="20"/>
                <w:szCs w:val="20"/>
              </w:rPr>
              <w:t>p</w:t>
            </w:r>
          </w:p>
        </w:tc>
        <w:tc>
          <w:tcPr>
            <w:tcW w:w="708" w:type="dxa"/>
            <w:gridSpan w:val="2"/>
            <w:tcBorders>
              <w:bottom w:val="single" w:sz="4" w:space="0" w:color="auto"/>
            </w:tcBorders>
            <w:shd w:val="clear" w:color="auto" w:fill="auto"/>
            <w:noWrap/>
          </w:tcPr>
          <w:p w14:paraId="30D73825" w14:textId="77777777" w:rsidR="00410954" w:rsidRPr="00A605BB" w:rsidRDefault="00410954" w:rsidP="00644588">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A605BB">
              <w:rPr>
                <w:sz w:val="20"/>
                <w:szCs w:val="20"/>
              </w:rPr>
              <w:t>η2</w:t>
            </w:r>
          </w:p>
        </w:tc>
        <w:tc>
          <w:tcPr>
            <w:tcW w:w="992" w:type="dxa"/>
            <w:gridSpan w:val="2"/>
            <w:tcBorders>
              <w:bottom w:val="single" w:sz="4" w:space="0" w:color="auto"/>
            </w:tcBorders>
            <w:shd w:val="clear" w:color="auto" w:fill="auto"/>
            <w:noWrap/>
          </w:tcPr>
          <w:p w14:paraId="4B91B364" w14:textId="77777777" w:rsidR="00410954" w:rsidRPr="00A605BB" w:rsidRDefault="00410954" w:rsidP="00644588">
            <w:pPr>
              <w:spacing w:line="240" w:lineRule="auto"/>
              <w:jc w:val="center"/>
              <w:cnfStyle w:val="000000000000" w:firstRow="0" w:lastRow="0" w:firstColumn="0" w:lastColumn="0" w:oddVBand="0" w:evenVBand="0" w:oddHBand="0" w:evenHBand="0" w:firstRowFirstColumn="0" w:firstRowLastColumn="0" w:lastRowFirstColumn="0" w:lastRowLastColumn="0"/>
              <w:rPr>
                <w:i/>
                <w:iCs/>
                <w:sz w:val="20"/>
                <w:szCs w:val="20"/>
              </w:rPr>
            </w:pPr>
            <w:r w:rsidRPr="00A605BB">
              <w:rPr>
                <w:i/>
                <w:iCs/>
                <w:sz w:val="20"/>
                <w:szCs w:val="20"/>
              </w:rPr>
              <w:t>p</w:t>
            </w:r>
          </w:p>
        </w:tc>
        <w:tc>
          <w:tcPr>
            <w:tcW w:w="989" w:type="dxa"/>
            <w:gridSpan w:val="2"/>
            <w:tcBorders>
              <w:bottom w:val="single" w:sz="4" w:space="0" w:color="auto"/>
            </w:tcBorders>
            <w:shd w:val="clear" w:color="auto" w:fill="auto"/>
            <w:noWrap/>
          </w:tcPr>
          <w:p w14:paraId="2F9BD5E7" w14:textId="77777777" w:rsidR="00410954" w:rsidRPr="00A605BB" w:rsidRDefault="00410954" w:rsidP="00644588">
            <w:pPr>
              <w:spacing w:line="240" w:lineRule="auto"/>
              <w:jc w:val="center"/>
              <w:cnfStyle w:val="000000000000" w:firstRow="0" w:lastRow="0" w:firstColumn="0" w:lastColumn="0" w:oddVBand="0" w:evenVBand="0" w:oddHBand="0" w:evenHBand="0" w:firstRowFirstColumn="0" w:firstRowLastColumn="0" w:lastRowFirstColumn="0" w:lastRowLastColumn="0"/>
              <w:rPr>
                <w:i/>
                <w:iCs/>
                <w:sz w:val="20"/>
                <w:szCs w:val="20"/>
              </w:rPr>
            </w:pPr>
            <w:r w:rsidRPr="00A605BB">
              <w:rPr>
                <w:i/>
                <w:iCs/>
                <w:sz w:val="20"/>
                <w:szCs w:val="20"/>
              </w:rPr>
              <w:t>p</w:t>
            </w:r>
          </w:p>
        </w:tc>
      </w:tr>
      <w:tr w:rsidR="004E41BE" w:rsidRPr="00A605BB" w14:paraId="0F3E9C88" w14:textId="77777777" w:rsidTr="004E41B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auto"/>
            </w:tcBorders>
            <w:shd w:val="clear" w:color="auto" w:fill="auto"/>
            <w:noWrap/>
            <w:hideMark/>
          </w:tcPr>
          <w:p w14:paraId="5AE4D33D" w14:textId="236A8931" w:rsidR="00410954" w:rsidRPr="00A605BB" w:rsidRDefault="004F186D" w:rsidP="004545EF">
            <w:pPr>
              <w:spacing w:before="240" w:after="240" w:line="240" w:lineRule="auto"/>
              <w:jc w:val="center"/>
              <w:rPr>
                <w:sz w:val="20"/>
                <w:szCs w:val="20"/>
              </w:rPr>
            </w:pPr>
            <w:r w:rsidRPr="00A605BB">
              <w:rPr>
                <w:sz w:val="20"/>
                <w:szCs w:val="20"/>
              </w:rPr>
              <w:t>H2a</w:t>
            </w:r>
          </w:p>
        </w:tc>
        <w:tc>
          <w:tcPr>
            <w:tcW w:w="576" w:type="dxa"/>
            <w:tcBorders>
              <w:top w:val="single" w:sz="4" w:space="0" w:color="auto"/>
            </w:tcBorders>
            <w:shd w:val="clear" w:color="auto" w:fill="auto"/>
            <w:noWrap/>
            <w:hideMark/>
          </w:tcPr>
          <w:p w14:paraId="1788C1C6" w14:textId="77777777" w:rsidR="00410954" w:rsidRPr="00A605BB" w:rsidRDefault="00410954" w:rsidP="004E41BE">
            <w:pPr>
              <w:spacing w:before="240" w:after="24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A605BB">
              <w:rPr>
                <w:sz w:val="20"/>
                <w:szCs w:val="20"/>
              </w:rPr>
              <w:t>406</w:t>
            </w:r>
          </w:p>
        </w:tc>
        <w:tc>
          <w:tcPr>
            <w:tcW w:w="531" w:type="dxa"/>
            <w:tcBorders>
              <w:top w:val="single" w:sz="4" w:space="0" w:color="auto"/>
            </w:tcBorders>
            <w:shd w:val="clear" w:color="auto" w:fill="auto"/>
            <w:noWrap/>
            <w:hideMark/>
          </w:tcPr>
          <w:p w14:paraId="747E9102" w14:textId="77777777" w:rsidR="00410954" w:rsidRPr="00A605BB" w:rsidRDefault="00410954" w:rsidP="004E41BE">
            <w:pPr>
              <w:spacing w:before="240" w:after="24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A605BB">
              <w:rPr>
                <w:sz w:val="20"/>
                <w:szCs w:val="20"/>
              </w:rPr>
              <w:t>1</w:t>
            </w:r>
          </w:p>
        </w:tc>
        <w:tc>
          <w:tcPr>
            <w:tcW w:w="878" w:type="dxa"/>
            <w:tcBorders>
              <w:top w:val="single" w:sz="4" w:space="0" w:color="auto"/>
            </w:tcBorders>
            <w:shd w:val="clear" w:color="auto" w:fill="auto"/>
            <w:noWrap/>
            <w:hideMark/>
          </w:tcPr>
          <w:p w14:paraId="368DEFE4" w14:textId="77777777" w:rsidR="00410954" w:rsidRPr="00A605BB" w:rsidRDefault="00410954" w:rsidP="004E41BE">
            <w:pPr>
              <w:spacing w:before="240" w:after="24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A605BB">
              <w:rPr>
                <w:sz w:val="20"/>
                <w:szCs w:val="20"/>
              </w:rPr>
              <w:t>36.57</w:t>
            </w:r>
          </w:p>
        </w:tc>
        <w:tc>
          <w:tcPr>
            <w:tcW w:w="850" w:type="dxa"/>
            <w:tcBorders>
              <w:top w:val="single" w:sz="4" w:space="0" w:color="auto"/>
            </w:tcBorders>
            <w:shd w:val="clear" w:color="auto" w:fill="auto"/>
            <w:noWrap/>
            <w:hideMark/>
          </w:tcPr>
          <w:p w14:paraId="7E38C289" w14:textId="795A64BC" w:rsidR="00410954" w:rsidRPr="00A605BB" w:rsidRDefault="00410954" w:rsidP="004E41BE">
            <w:pPr>
              <w:spacing w:before="240" w:after="24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A605BB">
              <w:rPr>
                <w:sz w:val="20"/>
                <w:szCs w:val="20"/>
              </w:rPr>
              <w:t>225.06</w:t>
            </w:r>
          </w:p>
        </w:tc>
        <w:tc>
          <w:tcPr>
            <w:tcW w:w="709" w:type="dxa"/>
            <w:tcBorders>
              <w:top w:val="single" w:sz="4" w:space="0" w:color="auto"/>
            </w:tcBorders>
            <w:shd w:val="clear" w:color="auto" w:fill="auto"/>
            <w:noWrap/>
            <w:hideMark/>
          </w:tcPr>
          <w:p w14:paraId="628BF143" w14:textId="77777777" w:rsidR="00410954" w:rsidRPr="00A605BB" w:rsidRDefault="00410954" w:rsidP="004E41BE">
            <w:pPr>
              <w:spacing w:before="240" w:after="24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A605BB">
              <w:rPr>
                <w:sz w:val="20"/>
                <w:szCs w:val="20"/>
              </w:rPr>
              <w:t>&lt;.001</w:t>
            </w:r>
          </w:p>
        </w:tc>
        <w:tc>
          <w:tcPr>
            <w:tcW w:w="709" w:type="dxa"/>
            <w:tcBorders>
              <w:top w:val="single" w:sz="4" w:space="0" w:color="auto"/>
            </w:tcBorders>
            <w:shd w:val="clear" w:color="auto" w:fill="auto"/>
            <w:noWrap/>
            <w:hideMark/>
          </w:tcPr>
          <w:p w14:paraId="2DB37BF8" w14:textId="77777777" w:rsidR="00410954" w:rsidRPr="00A605BB" w:rsidRDefault="00410954" w:rsidP="004E41BE">
            <w:pPr>
              <w:spacing w:before="240" w:after="24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A605BB">
              <w:rPr>
                <w:sz w:val="20"/>
                <w:szCs w:val="20"/>
              </w:rPr>
              <w:t>0.36</w:t>
            </w:r>
          </w:p>
        </w:tc>
        <w:tc>
          <w:tcPr>
            <w:tcW w:w="424" w:type="dxa"/>
            <w:tcBorders>
              <w:top w:val="single" w:sz="4" w:space="0" w:color="auto"/>
            </w:tcBorders>
            <w:shd w:val="clear" w:color="auto" w:fill="auto"/>
            <w:noWrap/>
            <w:hideMark/>
          </w:tcPr>
          <w:p w14:paraId="59A7B0C2" w14:textId="77777777" w:rsidR="00410954" w:rsidRPr="00A605BB" w:rsidRDefault="00410954" w:rsidP="004E41BE">
            <w:pPr>
              <w:spacing w:before="240" w:after="24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A605BB">
              <w:rPr>
                <w:sz w:val="20"/>
                <w:szCs w:val="20"/>
              </w:rPr>
              <w:t>1</w:t>
            </w:r>
          </w:p>
        </w:tc>
        <w:tc>
          <w:tcPr>
            <w:tcW w:w="851" w:type="dxa"/>
            <w:tcBorders>
              <w:top w:val="single" w:sz="4" w:space="0" w:color="auto"/>
            </w:tcBorders>
            <w:shd w:val="clear" w:color="auto" w:fill="auto"/>
            <w:noWrap/>
            <w:hideMark/>
          </w:tcPr>
          <w:p w14:paraId="1134F040" w14:textId="77777777" w:rsidR="00410954" w:rsidRPr="00A605BB" w:rsidRDefault="00410954" w:rsidP="004E41BE">
            <w:pPr>
              <w:spacing w:before="240" w:after="24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A605BB">
              <w:rPr>
                <w:sz w:val="20"/>
                <w:szCs w:val="20"/>
              </w:rPr>
              <w:t>8.89</w:t>
            </w:r>
          </w:p>
        </w:tc>
        <w:tc>
          <w:tcPr>
            <w:tcW w:w="709" w:type="dxa"/>
            <w:tcBorders>
              <w:top w:val="single" w:sz="4" w:space="0" w:color="auto"/>
            </w:tcBorders>
            <w:shd w:val="clear" w:color="auto" w:fill="auto"/>
            <w:noWrap/>
            <w:hideMark/>
          </w:tcPr>
          <w:p w14:paraId="36F17EB3" w14:textId="77777777" w:rsidR="00410954" w:rsidRPr="00A605BB" w:rsidRDefault="00410954" w:rsidP="004E41BE">
            <w:pPr>
              <w:spacing w:before="240" w:after="24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A605BB">
              <w:rPr>
                <w:sz w:val="20"/>
                <w:szCs w:val="20"/>
              </w:rPr>
              <w:t>33.74</w:t>
            </w:r>
          </w:p>
        </w:tc>
        <w:tc>
          <w:tcPr>
            <w:tcW w:w="709" w:type="dxa"/>
            <w:tcBorders>
              <w:top w:val="single" w:sz="4" w:space="0" w:color="auto"/>
            </w:tcBorders>
            <w:shd w:val="clear" w:color="auto" w:fill="auto"/>
            <w:noWrap/>
            <w:hideMark/>
          </w:tcPr>
          <w:p w14:paraId="69965C63" w14:textId="77777777" w:rsidR="00410954" w:rsidRPr="00A605BB" w:rsidRDefault="00410954" w:rsidP="004E41BE">
            <w:pPr>
              <w:spacing w:before="240" w:after="24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A605BB">
              <w:rPr>
                <w:sz w:val="20"/>
                <w:szCs w:val="20"/>
              </w:rPr>
              <w:t>&lt;.001</w:t>
            </w:r>
          </w:p>
        </w:tc>
        <w:tc>
          <w:tcPr>
            <w:tcW w:w="711" w:type="dxa"/>
            <w:tcBorders>
              <w:top w:val="single" w:sz="4" w:space="0" w:color="auto"/>
            </w:tcBorders>
            <w:shd w:val="clear" w:color="auto" w:fill="auto"/>
            <w:noWrap/>
            <w:hideMark/>
          </w:tcPr>
          <w:p w14:paraId="4863271E" w14:textId="77777777" w:rsidR="00410954" w:rsidRPr="00A605BB" w:rsidRDefault="00410954" w:rsidP="004E41BE">
            <w:pPr>
              <w:spacing w:before="240" w:after="24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A605BB">
              <w:rPr>
                <w:sz w:val="20"/>
                <w:szCs w:val="20"/>
              </w:rPr>
              <w:t>0.08</w:t>
            </w:r>
          </w:p>
        </w:tc>
        <w:tc>
          <w:tcPr>
            <w:tcW w:w="422" w:type="dxa"/>
            <w:tcBorders>
              <w:top w:val="single" w:sz="4" w:space="0" w:color="auto"/>
            </w:tcBorders>
            <w:shd w:val="clear" w:color="auto" w:fill="auto"/>
            <w:noWrap/>
            <w:hideMark/>
          </w:tcPr>
          <w:p w14:paraId="1EE08BFB" w14:textId="77777777" w:rsidR="00410954" w:rsidRPr="00A605BB" w:rsidRDefault="00410954" w:rsidP="004E41BE">
            <w:pPr>
              <w:spacing w:before="240" w:after="24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A605BB">
              <w:rPr>
                <w:sz w:val="20"/>
                <w:szCs w:val="20"/>
              </w:rPr>
              <w:t>1</w:t>
            </w:r>
          </w:p>
        </w:tc>
        <w:tc>
          <w:tcPr>
            <w:tcW w:w="850" w:type="dxa"/>
            <w:tcBorders>
              <w:top w:val="single" w:sz="4" w:space="0" w:color="auto"/>
            </w:tcBorders>
            <w:shd w:val="clear" w:color="auto" w:fill="auto"/>
            <w:noWrap/>
            <w:hideMark/>
          </w:tcPr>
          <w:p w14:paraId="2766ED1C" w14:textId="7CF5F150" w:rsidR="00410954" w:rsidRPr="00A605BB" w:rsidRDefault="00410954" w:rsidP="004E41BE">
            <w:pPr>
              <w:spacing w:before="240" w:after="24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A605BB">
              <w:rPr>
                <w:sz w:val="20"/>
                <w:szCs w:val="20"/>
              </w:rPr>
              <w:t>0.50</w:t>
            </w:r>
          </w:p>
        </w:tc>
        <w:tc>
          <w:tcPr>
            <w:tcW w:w="709" w:type="dxa"/>
            <w:tcBorders>
              <w:top w:val="single" w:sz="4" w:space="0" w:color="auto"/>
            </w:tcBorders>
            <w:shd w:val="clear" w:color="auto" w:fill="auto"/>
            <w:noWrap/>
            <w:hideMark/>
          </w:tcPr>
          <w:p w14:paraId="32A3053E" w14:textId="77777777" w:rsidR="00410954" w:rsidRPr="00A605BB" w:rsidRDefault="00410954" w:rsidP="004E41BE">
            <w:pPr>
              <w:spacing w:before="240" w:after="24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A605BB">
              <w:rPr>
                <w:sz w:val="20"/>
                <w:szCs w:val="20"/>
              </w:rPr>
              <w:t>4.22</w:t>
            </w:r>
          </w:p>
        </w:tc>
        <w:tc>
          <w:tcPr>
            <w:tcW w:w="567" w:type="dxa"/>
            <w:tcBorders>
              <w:top w:val="single" w:sz="4" w:space="0" w:color="auto"/>
            </w:tcBorders>
            <w:shd w:val="clear" w:color="auto" w:fill="auto"/>
            <w:noWrap/>
            <w:hideMark/>
          </w:tcPr>
          <w:p w14:paraId="330CEC99" w14:textId="77777777" w:rsidR="00410954" w:rsidRPr="00A605BB" w:rsidRDefault="00410954" w:rsidP="004E41BE">
            <w:pPr>
              <w:spacing w:before="240" w:after="24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A605BB">
              <w:rPr>
                <w:sz w:val="20"/>
                <w:szCs w:val="20"/>
              </w:rPr>
              <w:t>0.04</w:t>
            </w:r>
          </w:p>
        </w:tc>
        <w:tc>
          <w:tcPr>
            <w:tcW w:w="708" w:type="dxa"/>
            <w:gridSpan w:val="2"/>
            <w:tcBorders>
              <w:top w:val="single" w:sz="4" w:space="0" w:color="auto"/>
            </w:tcBorders>
            <w:shd w:val="clear" w:color="auto" w:fill="auto"/>
            <w:noWrap/>
            <w:hideMark/>
          </w:tcPr>
          <w:p w14:paraId="11DD7197" w14:textId="190514AF" w:rsidR="00410954" w:rsidRPr="00A605BB" w:rsidRDefault="00E1191C" w:rsidP="004E41BE">
            <w:pPr>
              <w:spacing w:before="240" w:after="24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A605BB">
              <w:rPr>
                <w:sz w:val="20"/>
                <w:szCs w:val="20"/>
              </w:rPr>
              <w:t>0</w:t>
            </w:r>
            <w:r w:rsidR="00410954" w:rsidRPr="00A605BB">
              <w:rPr>
                <w:sz w:val="20"/>
                <w:szCs w:val="20"/>
              </w:rPr>
              <w:t>.01</w:t>
            </w:r>
          </w:p>
        </w:tc>
        <w:tc>
          <w:tcPr>
            <w:tcW w:w="992" w:type="dxa"/>
            <w:gridSpan w:val="2"/>
            <w:tcBorders>
              <w:top w:val="single" w:sz="4" w:space="0" w:color="auto"/>
            </w:tcBorders>
            <w:shd w:val="clear" w:color="auto" w:fill="auto"/>
            <w:noWrap/>
            <w:hideMark/>
          </w:tcPr>
          <w:p w14:paraId="775B76AF" w14:textId="77777777" w:rsidR="00410954" w:rsidRPr="00A605BB" w:rsidRDefault="00410954" w:rsidP="004E41BE">
            <w:pPr>
              <w:spacing w:before="240" w:after="24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A605BB">
              <w:rPr>
                <w:sz w:val="20"/>
                <w:szCs w:val="20"/>
              </w:rPr>
              <w:t>&lt;.001</w:t>
            </w:r>
          </w:p>
        </w:tc>
        <w:tc>
          <w:tcPr>
            <w:tcW w:w="989" w:type="dxa"/>
            <w:gridSpan w:val="2"/>
            <w:tcBorders>
              <w:top w:val="single" w:sz="4" w:space="0" w:color="auto"/>
            </w:tcBorders>
            <w:shd w:val="clear" w:color="auto" w:fill="auto"/>
            <w:noWrap/>
            <w:hideMark/>
          </w:tcPr>
          <w:p w14:paraId="0AE506B2" w14:textId="77777777" w:rsidR="00410954" w:rsidRPr="00A605BB" w:rsidRDefault="00410954" w:rsidP="004E41BE">
            <w:pPr>
              <w:spacing w:before="240" w:after="24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A605BB">
              <w:rPr>
                <w:sz w:val="20"/>
                <w:szCs w:val="20"/>
              </w:rPr>
              <w:t>&lt;.001</w:t>
            </w:r>
          </w:p>
        </w:tc>
      </w:tr>
      <w:tr w:rsidR="00410954" w:rsidRPr="00A605BB" w14:paraId="79DEA8E3" w14:textId="77777777" w:rsidTr="004E41BE">
        <w:trPr>
          <w:trHeight w:val="300"/>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noWrap/>
            <w:hideMark/>
          </w:tcPr>
          <w:p w14:paraId="7007B3EB" w14:textId="63A8E8BF" w:rsidR="00410954" w:rsidRPr="00A605BB" w:rsidRDefault="004F186D" w:rsidP="004545EF">
            <w:pPr>
              <w:spacing w:after="240" w:line="240" w:lineRule="auto"/>
              <w:jc w:val="center"/>
              <w:rPr>
                <w:sz w:val="20"/>
                <w:szCs w:val="20"/>
              </w:rPr>
            </w:pPr>
            <w:r w:rsidRPr="00A605BB">
              <w:rPr>
                <w:sz w:val="20"/>
                <w:szCs w:val="20"/>
              </w:rPr>
              <w:t>H2b</w:t>
            </w:r>
          </w:p>
        </w:tc>
        <w:tc>
          <w:tcPr>
            <w:tcW w:w="576" w:type="dxa"/>
            <w:shd w:val="clear" w:color="auto" w:fill="auto"/>
            <w:noWrap/>
            <w:hideMark/>
          </w:tcPr>
          <w:p w14:paraId="728E2625" w14:textId="77777777" w:rsidR="00410954" w:rsidRPr="00A605BB" w:rsidRDefault="00410954" w:rsidP="00644588">
            <w:pPr>
              <w:spacing w:after="24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A605BB">
              <w:rPr>
                <w:sz w:val="20"/>
                <w:szCs w:val="20"/>
              </w:rPr>
              <w:t>406</w:t>
            </w:r>
          </w:p>
        </w:tc>
        <w:tc>
          <w:tcPr>
            <w:tcW w:w="531" w:type="dxa"/>
            <w:shd w:val="clear" w:color="auto" w:fill="auto"/>
            <w:noWrap/>
            <w:hideMark/>
          </w:tcPr>
          <w:p w14:paraId="525A494F" w14:textId="77777777" w:rsidR="00410954" w:rsidRPr="00A605BB" w:rsidRDefault="00410954" w:rsidP="00644588">
            <w:pPr>
              <w:spacing w:after="24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A605BB">
              <w:rPr>
                <w:sz w:val="20"/>
                <w:szCs w:val="20"/>
              </w:rPr>
              <w:t>1</w:t>
            </w:r>
          </w:p>
        </w:tc>
        <w:tc>
          <w:tcPr>
            <w:tcW w:w="878" w:type="dxa"/>
            <w:shd w:val="clear" w:color="auto" w:fill="auto"/>
            <w:noWrap/>
            <w:hideMark/>
          </w:tcPr>
          <w:p w14:paraId="6CBB3CE1" w14:textId="77777777" w:rsidR="00410954" w:rsidRPr="00A605BB" w:rsidRDefault="00410954" w:rsidP="00644588">
            <w:pPr>
              <w:spacing w:after="24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A605BB">
              <w:rPr>
                <w:sz w:val="20"/>
                <w:szCs w:val="20"/>
              </w:rPr>
              <w:t>18.51</w:t>
            </w:r>
          </w:p>
        </w:tc>
        <w:tc>
          <w:tcPr>
            <w:tcW w:w="850" w:type="dxa"/>
            <w:shd w:val="clear" w:color="auto" w:fill="auto"/>
            <w:noWrap/>
            <w:hideMark/>
          </w:tcPr>
          <w:p w14:paraId="661B7421" w14:textId="1BD76959" w:rsidR="00410954" w:rsidRPr="00A605BB" w:rsidRDefault="00410954" w:rsidP="00644588">
            <w:pPr>
              <w:spacing w:after="24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A605BB">
              <w:rPr>
                <w:sz w:val="20"/>
                <w:szCs w:val="20"/>
              </w:rPr>
              <w:t>141.3</w:t>
            </w:r>
            <w:r w:rsidR="002545B9" w:rsidRPr="00A605BB">
              <w:rPr>
                <w:sz w:val="20"/>
                <w:szCs w:val="20"/>
              </w:rPr>
              <w:t>0</w:t>
            </w:r>
          </w:p>
        </w:tc>
        <w:tc>
          <w:tcPr>
            <w:tcW w:w="709" w:type="dxa"/>
            <w:shd w:val="clear" w:color="auto" w:fill="auto"/>
            <w:noWrap/>
            <w:hideMark/>
          </w:tcPr>
          <w:p w14:paraId="46430183" w14:textId="77777777" w:rsidR="00410954" w:rsidRPr="00A605BB" w:rsidRDefault="00410954" w:rsidP="00644588">
            <w:pPr>
              <w:spacing w:after="24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A605BB">
              <w:rPr>
                <w:sz w:val="20"/>
                <w:szCs w:val="20"/>
              </w:rPr>
              <w:t>&lt;.001</w:t>
            </w:r>
          </w:p>
        </w:tc>
        <w:tc>
          <w:tcPr>
            <w:tcW w:w="709" w:type="dxa"/>
            <w:shd w:val="clear" w:color="auto" w:fill="auto"/>
            <w:noWrap/>
            <w:hideMark/>
          </w:tcPr>
          <w:p w14:paraId="139DCB2B" w14:textId="77777777" w:rsidR="00410954" w:rsidRPr="00A605BB" w:rsidRDefault="00410954" w:rsidP="00644588">
            <w:pPr>
              <w:spacing w:after="24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A605BB">
              <w:rPr>
                <w:sz w:val="20"/>
                <w:szCs w:val="20"/>
              </w:rPr>
              <w:t>0.26</w:t>
            </w:r>
          </w:p>
        </w:tc>
        <w:tc>
          <w:tcPr>
            <w:tcW w:w="424" w:type="dxa"/>
            <w:shd w:val="clear" w:color="auto" w:fill="auto"/>
            <w:noWrap/>
            <w:hideMark/>
          </w:tcPr>
          <w:p w14:paraId="2787FC86" w14:textId="77777777" w:rsidR="00410954" w:rsidRPr="00A605BB" w:rsidRDefault="00410954" w:rsidP="00644588">
            <w:pPr>
              <w:spacing w:after="24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A605BB">
              <w:rPr>
                <w:sz w:val="20"/>
                <w:szCs w:val="20"/>
              </w:rPr>
              <w:t>1</w:t>
            </w:r>
          </w:p>
        </w:tc>
        <w:tc>
          <w:tcPr>
            <w:tcW w:w="851" w:type="dxa"/>
            <w:shd w:val="clear" w:color="auto" w:fill="auto"/>
            <w:noWrap/>
            <w:hideMark/>
          </w:tcPr>
          <w:p w14:paraId="26EF7A98" w14:textId="77777777" w:rsidR="00410954" w:rsidRPr="00A605BB" w:rsidRDefault="00410954" w:rsidP="00644588">
            <w:pPr>
              <w:spacing w:after="24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A605BB">
              <w:rPr>
                <w:sz w:val="20"/>
                <w:szCs w:val="20"/>
              </w:rPr>
              <w:t>5.83</w:t>
            </w:r>
          </w:p>
        </w:tc>
        <w:tc>
          <w:tcPr>
            <w:tcW w:w="709" w:type="dxa"/>
            <w:shd w:val="clear" w:color="auto" w:fill="auto"/>
            <w:noWrap/>
            <w:hideMark/>
          </w:tcPr>
          <w:p w14:paraId="4C3EF1DC" w14:textId="77777777" w:rsidR="00410954" w:rsidRPr="00A605BB" w:rsidRDefault="00410954" w:rsidP="00644588">
            <w:pPr>
              <w:spacing w:after="24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A605BB">
              <w:rPr>
                <w:sz w:val="20"/>
                <w:szCs w:val="20"/>
              </w:rPr>
              <w:t>26.98</w:t>
            </w:r>
          </w:p>
        </w:tc>
        <w:tc>
          <w:tcPr>
            <w:tcW w:w="709" w:type="dxa"/>
            <w:shd w:val="clear" w:color="auto" w:fill="auto"/>
            <w:noWrap/>
            <w:hideMark/>
          </w:tcPr>
          <w:p w14:paraId="25D15A31" w14:textId="77777777" w:rsidR="00410954" w:rsidRPr="00A605BB" w:rsidRDefault="00410954" w:rsidP="00644588">
            <w:pPr>
              <w:spacing w:after="24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A605BB">
              <w:rPr>
                <w:sz w:val="20"/>
                <w:szCs w:val="20"/>
              </w:rPr>
              <w:t>&lt;.001</w:t>
            </w:r>
          </w:p>
        </w:tc>
        <w:tc>
          <w:tcPr>
            <w:tcW w:w="711" w:type="dxa"/>
            <w:shd w:val="clear" w:color="auto" w:fill="auto"/>
            <w:noWrap/>
            <w:hideMark/>
          </w:tcPr>
          <w:p w14:paraId="6B7DD866" w14:textId="77777777" w:rsidR="00410954" w:rsidRPr="00A605BB" w:rsidRDefault="00410954" w:rsidP="00644588">
            <w:pPr>
              <w:spacing w:after="24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A605BB">
              <w:rPr>
                <w:sz w:val="20"/>
                <w:szCs w:val="20"/>
              </w:rPr>
              <w:t>0.06</w:t>
            </w:r>
          </w:p>
        </w:tc>
        <w:tc>
          <w:tcPr>
            <w:tcW w:w="422" w:type="dxa"/>
            <w:shd w:val="clear" w:color="auto" w:fill="auto"/>
            <w:noWrap/>
            <w:hideMark/>
          </w:tcPr>
          <w:p w14:paraId="55E3AFA6" w14:textId="77777777" w:rsidR="00410954" w:rsidRPr="00A605BB" w:rsidRDefault="00410954" w:rsidP="00644588">
            <w:pPr>
              <w:spacing w:after="24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A605BB">
              <w:rPr>
                <w:sz w:val="20"/>
                <w:szCs w:val="20"/>
              </w:rPr>
              <w:t>1</w:t>
            </w:r>
          </w:p>
        </w:tc>
        <w:tc>
          <w:tcPr>
            <w:tcW w:w="850" w:type="dxa"/>
            <w:shd w:val="clear" w:color="auto" w:fill="auto"/>
            <w:noWrap/>
            <w:hideMark/>
          </w:tcPr>
          <w:p w14:paraId="1AD6510B" w14:textId="77777777" w:rsidR="00410954" w:rsidRPr="00A605BB" w:rsidRDefault="00410954" w:rsidP="00644588">
            <w:pPr>
              <w:spacing w:after="24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A605BB">
              <w:rPr>
                <w:sz w:val="20"/>
                <w:szCs w:val="20"/>
              </w:rPr>
              <w:t>0.00</w:t>
            </w:r>
          </w:p>
        </w:tc>
        <w:tc>
          <w:tcPr>
            <w:tcW w:w="709" w:type="dxa"/>
            <w:shd w:val="clear" w:color="auto" w:fill="auto"/>
            <w:noWrap/>
            <w:hideMark/>
          </w:tcPr>
          <w:p w14:paraId="2AEFCF64" w14:textId="426B2A21" w:rsidR="00410954" w:rsidRPr="00A605BB" w:rsidRDefault="00410954" w:rsidP="00644588">
            <w:pPr>
              <w:spacing w:after="24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A605BB">
              <w:rPr>
                <w:sz w:val="20"/>
                <w:szCs w:val="20"/>
              </w:rPr>
              <w:t>0</w:t>
            </w:r>
            <w:r w:rsidR="002545B9" w:rsidRPr="00A605BB">
              <w:rPr>
                <w:sz w:val="20"/>
                <w:szCs w:val="20"/>
              </w:rPr>
              <w:t>.00</w:t>
            </w:r>
          </w:p>
        </w:tc>
        <w:tc>
          <w:tcPr>
            <w:tcW w:w="567" w:type="dxa"/>
            <w:shd w:val="clear" w:color="auto" w:fill="auto"/>
            <w:noWrap/>
            <w:hideMark/>
          </w:tcPr>
          <w:p w14:paraId="4CF3F23D" w14:textId="061383E0" w:rsidR="00410954" w:rsidRPr="00A605BB" w:rsidRDefault="00410954" w:rsidP="00644588">
            <w:pPr>
              <w:spacing w:after="24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A605BB">
              <w:rPr>
                <w:sz w:val="20"/>
                <w:szCs w:val="20"/>
              </w:rPr>
              <w:t>ns</w:t>
            </w:r>
          </w:p>
        </w:tc>
        <w:tc>
          <w:tcPr>
            <w:tcW w:w="708" w:type="dxa"/>
            <w:gridSpan w:val="2"/>
            <w:shd w:val="clear" w:color="auto" w:fill="auto"/>
            <w:noWrap/>
            <w:hideMark/>
          </w:tcPr>
          <w:p w14:paraId="45A0EFDE" w14:textId="42D0A58B" w:rsidR="00410954" w:rsidRPr="00A605BB" w:rsidRDefault="00E1191C" w:rsidP="00644588">
            <w:pPr>
              <w:spacing w:after="24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A605BB">
              <w:rPr>
                <w:sz w:val="20"/>
                <w:szCs w:val="20"/>
              </w:rPr>
              <w:t>0</w:t>
            </w:r>
            <w:r w:rsidR="00410954" w:rsidRPr="00A605BB">
              <w:rPr>
                <w:sz w:val="20"/>
                <w:szCs w:val="20"/>
              </w:rPr>
              <w:t>.00</w:t>
            </w:r>
          </w:p>
        </w:tc>
        <w:tc>
          <w:tcPr>
            <w:tcW w:w="992" w:type="dxa"/>
            <w:gridSpan w:val="2"/>
            <w:shd w:val="clear" w:color="auto" w:fill="auto"/>
            <w:noWrap/>
            <w:hideMark/>
          </w:tcPr>
          <w:p w14:paraId="4A1EEC18" w14:textId="77777777" w:rsidR="00410954" w:rsidRPr="00A605BB" w:rsidRDefault="00410954" w:rsidP="00644588">
            <w:pPr>
              <w:spacing w:after="24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A605BB">
              <w:rPr>
                <w:sz w:val="20"/>
                <w:szCs w:val="20"/>
              </w:rPr>
              <w:t>ns</w:t>
            </w:r>
          </w:p>
        </w:tc>
        <w:tc>
          <w:tcPr>
            <w:tcW w:w="989" w:type="dxa"/>
            <w:gridSpan w:val="2"/>
            <w:shd w:val="clear" w:color="auto" w:fill="auto"/>
            <w:noWrap/>
            <w:hideMark/>
          </w:tcPr>
          <w:p w14:paraId="1F542365" w14:textId="77777777" w:rsidR="00410954" w:rsidRPr="00A605BB" w:rsidRDefault="00410954" w:rsidP="00644588">
            <w:pPr>
              <w:spacing w:after="24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A605BB">
              <w:rPr>
                <w:sz w:val="20"/>
                <w:szCs w:val="20"/>
              </w:rPr>
              <w:t>ns</w:t>
            </w:r>
          </w:p>
        </w:tc>
      </w:tr>
      <w:tr w:rsidR="004E41BE" w:rsidRPr="00A605BB" w14:paraId="08B8EF97" w14:textId="77777777" w:rsidTr="004E41B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noWrap/>
            <w:hideMark/>
          </w:tcPr>
          <w:p w14:paraId="6E020C71" w14:textId="51488265" w:rsidR="00410954" w:rsidRPr="00A605BB" w:rsidRDefault="004F186D" w:rsidP="004545EF">
            <w:pPr>
              <w:spacing w:after="240" w:line="240" w:lineRule="auto"/>
              <w:jc w:val="center"/>
              <w:rPr>
                <w:sz w:val="20"/>
                <w:szCs w:val="20"/>
              </w:rPr>
            </w:pPr>
            <w:r w:rsidRPr="00A605BB">
              <w:rPr>
                <w:sz w:val="20"/>
                <w:szCs w:val="20"/>
              </w:rPr>
              <w:t>H2c</w:t>
            </w:r>
          </w:p>
        </w:tc>
        <w:tc>
          <w:tcPr>
            <w:tcW w:w="576" w:type="dxa"/>
            <w:shd w:val="clear" w:color="auto" w:fill="auto"/>
            <w:noWrap/>
            <w:hideMark/>
          </w:tcPr>
          <w:p w14:paraId="5FA42E2E" w14:textId="77777777" w:rsidR="00410954" w:rsidRPr="00A605BB" w:rsidRDefault="00410954" w:rsidP="00644588">
            <w:pPr>
              <w:spacing w:after="24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A605BB">
              <w:rPr>
                <w:sz w:val="20"/>
                <w:szCs w:val="20"/>
              </w:rPr>
              <w:t>408</w:t>
            </w:r>
          </w:p>
        </w:tc>
        <w:tc>
          <w:tcPr>
            <w:tcW w:w="531" w:type="dxa"/>
            <w:shd w:val="clear" w:color="auto" w:fill="auto"/>
            <w:noWrap/>
            <w:hideMark/>
          </w:tcPr>
          <w:p w14:paraId="388C808A" w14:textId="77777777" w:rsidR="00410954" w:rsidRPr="00A605BB" w:rsidRDefault="00410954" w:rsidP="00644588">
            <w:pPr>
              <w:spacing w:after="24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A605BB">
              <w:rPr>
                <w:sz w:val="20"/>
                <w:szCs w:val="20"/>
              </w:rPr>
              <w:t>1</w:t>
            </w:r>
          </w:p>
        </w:tc>
        <w:tc>
          <w:tcPr>
            <w:tcW w:w="878" w:type="dxa"/>
            <w:shd w:val="clear" w:color="auto" w:fill="auto"/>
            <w:noWrap/>
            <w:hideMark/>
          </w:tcPr>
          <w:p w14:paraId="012C0235" w14:textId="77777777" w:rsidR="00410954" w:rsidRPr="00A605BB" w:rsidRDefault="00410954" w:rsidP="00644588">
            <w:pPr>
              <w:spacing w:after="24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A605BB">
              <w:rPr>
                <w:sz w:val="20"/>
                <w:szCs w:val="20"/>
              </w:rPr>
              <w:t>33.85</w:t>
            </w:r>
          </w:p>
        </w:tc>
        <w:tc>
          <w:tcPr>
            <w:tcW w:w="850" w:type="dxa"/>
            <w:shd w:val="clear" w:color="auto" w:fill="auto"/>
            <w:noWrap/>
            <w:hideMark/>
          </w:tcPr>
          <w:p w14:paraId="105D5717" w14:textId="77777777" w:rsidR="00410954" w:rsidRPr="00A605BB" w:rsidRDefault="00410954" w:rsidP="00644588">
            <w:pPr>
              <w:spacing w:after="24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A605BB">
              <w:rPr>
                <w:sz w:val="20"/>
                <w:szCs w:val="20"/>
              </w:rPr>
              <w:t>252.88</w:t>
            </w:r>
          </w:p>
        </w:tc>
        <w:tc>
          <w:tcPr>
            <w:tcW w:w="709" w:type="dxa"/>
            <w:shd w:val="clear" w:color="auto" w:fill="auto"/>
            <w:noWrap/>
            <w:hideMark/>
          </w:tcPr>
          <w:p w14:paraId="67E2CACC" w14:textId="77777777" w:rsidR="00410954" w:rsidRPr="00A605BB" w:rsidRDefault="00410954" w:rsidP="00644588">
            <w:pPr>
              <w:spacing w:after="24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A605BB">
              <w:rPr>
                <w:sz w:val="20"/>
                <w:szCs w:val="20"/>
              </w:rPr>
              <w:t>&lt;.001</w:t>
            </w:r>
          </w:p>
        </w:tc>
        <w:tc>
          <w:tcPr>
            <w:tcW w:w="709" w:type="dxa"/>
            <w:shd w:val="clear" w:color="auto" w:fill="auto"/>
            <w:noWrap/>
            <w:hideMark/>
          </w:tcPr>
          <w:p w14:paraId="028AD75B" w14:textId="77777777" w:rsidR="00410954" w:rsidRPr="00A605BB" w:rsidRDefault="00410954" w:rsidP="00644588">
            <w:pPr>
              <w:spacing w:after="24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A605BB">
              <w:rPr>
                <w:sz w:val="20"/>
                <w:szCs w:val="20"/>
              </w:rPr>
              <w:t>0.38</w:t>
            </w:r>
          </w:p>
        </w:tc>
        <w:tc>
          <w:tcPr>
            <w:tcW w:w="424" w:type="dxa"/>
            <w:shd w:val="clear" w:color="auto" w:fill="auto"/>
            <w:noWrap/>
            <w:hideMark/>
          </w:tcPr>
          <w:p w14:paraId="237474C2" w14:textId="77777777" w:rsidR="00410954" w:rsidRPr="00A605BB" w:rsidRDefault="00410954" w:rsidP="00644588">
            <w:pPr>
              <w:spacing w:after="24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A605BB">
              <w:rPr>
                <w:sz w:val="20"/>
                <w:szCs w:val="20"/>
              </w:rPr>
              <w:t>1</w:t>
            </w:r>
          </w:p>
        </w:tc>
        <w:tc>
          <w:tcPr>
            <w:tcW w:w="851" w:type="dxa"/>
            <w:shd w:val="clear" w:color="auto" w:fill="auto"/>
            <w:noWrap/>
            <w:hideMark/>
          </w:tcPr>
          <w:p w14:paraId="45B000E2" w14:textId="3F872AD5" w:rsidR="00410954" w:rsidRPr="00A605BB" w:rsidRDefault="00410954" w:rsidP="00644588">
            <w:pPr>
              <w:spacing w:after="24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A605BB">
              <w:rPr>
                <w:sz w:val="20"/>
                <w:szCs w:val="20"/>
              </w:rPr>
              <w:t>19</w:t>
            </w:r>
            <w:r w:rsidR="002545B9" w:rsidRPr="00A605BB">
              <w:rPr>
                <w:sz w:val="20"/>
                <w:szCs w:val="20"/>
              </w:rPr>
              <w:t>.00</w:t>
            </w:r>
          </w:p>
        </w:tc>
        <w:tc>
          <w:tcPr>
            <w:tcW w:w="709" w:type="dxa"/>
            <w:shd w:val="clear" w:color="auto" w:fill="auto"/>
            <w:noWrap/>
            <w:hideMark/>
          </w:tcPr>
          <w:p w14:paraId="0C1EB6BF" w14:textId="77777777" w:rsidR="00410954" w:rsidRPr="00A605BB" w:rsidRDefault="00410954" w:rsidP="00644588">
            <w:pPr>
              <w:spacing w:after="24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A605BB">
              <w:rPr>
                <w:sz w:val="20"/>
                <w:szCs w:val="20"/>
              </w:rPr>
              <w:t>74.41</w:t>
            </w:r>
          </w:p>
        </w:tc>
        <w:tc>
          <w:tcPr>
            <w:tcW w:w="709" w:type="dxa"/>
            <w:shd w:val="clear" w:color="auto" w:fill="auto"/>
            <w:noWrap/>
            <w:hideMark/>
          </w:tcPr>
          <w:p w14:paraId="11556C4C" w14:textId="77777777" w:rsidR="00410954" w:rsidRPr="00A605BB" w:rsidRDefault="00410954" w:rsidP="00644588">
            <w:pPr>
              <w:spacing w:after="24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A605BB">
              <w:rPr>
                <w:sz w:val="20"/>
                <w:szCs w:val="20"/>
              </w:rPr>
              <w:t>&lt;.001</w:t>
            </w:r>
          </w:p>
        </w:tc>
        <w:tc>
          <w:tcPr>
            <w:tcW w:w="711" w:type="dxa"/>
            <w:shd w:val="clear" w:color="auto" w:fill="auto"/>
            <w:noWrap/>
            <w:hideMark/>
          </w:tcPr>
          <w:p w14:paraId="152847D9" w14:textId="77777777" w:rsidR="00410954" w:rsidRPr="00A605BB" w:rsidRDefault="00410954" w:rsidP="00644588">
            <w:pPr>
              <w:spacing w:after="24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A605BB">
              <w:rPr>
                <w:sz w:val="20"/>
                <w:szCs w:val="20"/>
              </w:rPr>
              <w:t>0.16</w:t>
            </w:r>
          </w:p>
        </w:tc>
        <w:tc>
          <w:tcPr>
            <w:tcW w:w="422" w:type="dxa"/>
            <w:shd w:val="clear" w:color="auto" w:fill="auto"/>
            <w:noWrap/>
            <w:hideMark/>
          </w:tcPr>
          <w:p w14:paraId="45591810" w14:textId="77777777" w:rsidR="00410954" w:rsidRPr="00A605BB" w:rsidRDefault="00410954" w:rsidP="00644588">
            <w:pPr>
              <w:spacing w:after="24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A605BB">
              <w:rPr>
                <w:sz w:val="20"/>
                <w:szCs w:val="20"/>
              </w:rPr>
              <w:t>1</w:t>
            </w:r>
          </w:p>
        </w:tc>
        <w:tc>
          <w:tcPr>
            <w:tcW w:w="850" w:type="dxa"/>
            <w:shd w:val="clear" w:color="auto" w:fill="auto"/>
            <w:noWrap/>
            <w:hideMark/>
          </w:tcPr>
          <w:p w14:paraId="05FCFB8D" w14:textId="77777777" w:rsidR="00410954" w:rsidRPr="00A605BB" w:rsidRDefault="00410954" w:rsidP="00644588">
            <w:pPr>
              <w:spacing w:after="24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A605BB">
              <w:rPr>
                <w:sz w:val="20"/>
                <w:szCs w:val="20"/>
              </w:rPr>
              <w:t>0.05</w:t>
            </w:r>
          </w:p>
        </w:tc>
        <w:tc>
          <w:tcPr>
            <w:tcW w:w="709" w:type="dxa"/>
            <w:shd w:val="clear" w:color="auto" w:fill="auto"/>
            <w:noWrap/>
            <w:hideMark/>
          </w:tcPr>
          <w:p w14:paraId="554B0C9D" w14:textId="77777777" w:rsidR="00410954" w:rsidRPr="00A605BB" w:rsidRDefault="00410954" w:rsidP="00644588">
            <w:pPr>
              <w:spacing w:after="24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A605BB">
              <w:rPr>
                <w:sz w:val="20"/>
                <w:szCs w:val="20"/>
              </w:rPr>
              <w:t>0.53</w:t>
            </w:r>
          </w:p>
        </w:tc>
        <w:tc>
          <w:tcPr>
            <w:tcW w:w="567" w:type="dxa"/>
            <w:shd w:val="clear" w:color="auto" w:fill="auto"/>
            <w:noWrap/>
            <w:hideMark/>
          </w:tcPr>
          <w:p w14:paraId="3B2FCC4F" w14:textId="71A4C0D5" w:rsidR="00410954" w:rsidRPr="00A605BB" w:rsidRDefault="00410954" w:rsidP="00644588">
            <w:pPr>
              <w:spacing w:after="24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A605BB">
              <w:rPr>
                <w:sz w:val="20"/>
                <w:szCs w:val="20"/>
              </w:rPr>
              <w:t>ns</w:t>
            </w:r>
          </w:p>
        </w:tc>
        <w:tc>
          <w:tcPr>
            <w:tcW w:w="708" w:type="dxa"/>
            <w:gridSpan w:val="2"/>
            <w:shd w:val="clear" w:color="auto" w:fill="auto"/>
            <w:noWrap/>
            <w:hideMark/>
          </w:tcPr>
          <w:p w14:paraId="33BDD468" w14:textId="23442DBB" w:rsidR="00410954" w:rsidRPr="00A605BB" w:rsidRDefault="00E1191C" w:rsidP="00644588">
            <w:pPr>
              <w:spacing w:after="24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A605BB">
              <w:rPr>
                <w:sz w:val="20"/>
                <w:szCs w:val="20"/>
              </w:rPr>
              <w:t>0</w:t>
            </w:r>
            <w:r w:rsidR="00410954" w:rsidRPr="00A605BB">
              <w:rPr>
                <w:sz w:val="20"/>
                <w:szCs w:val="20"/>
              </w:rPr>
              <w:t>.00</w:t>
            </w:r>
          </w:p>
        </w:tc>
        <w:tc>
          <w:tcPr>
            <w:tcW w:w="992" w:type="dxa"/>
            <w:gridSpan w:val="2"/>
            <w:shd w:val="clear" w:color="auto" w:fill="auto"/>
            <w:noWrap/>
            <w:hideMark/>
          </w:tcPr>
          <w:p w14:paraId="148A6E3A" w14:textId="77777777" w:rsidR="00410954" w:rsidRPr="00A605BB" w:rsidRDefault="00410954" w:rsidP="00644588">
            <w:pPr>
              <w:spacing w:after="24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A605BB">
              <w:rPr>
                <w:sz w:val="20"/>
                <w:szCs w:val="20"/>
              </w:rPr>
              <w:t>ns</w:t>
            </w:r>
          </w:p>
        </w:tc>
        <w:tc>
          <w:tcPr>
            <w:tcW w:w="989" w:type="dxa"/>
            <w:gridSpan w:val="2"/>
            <w:shd w:val="clear" w:color="auto" w:fill="auto"/>
            <w:noWrap/>
            <w:hideMark/>
          </w:tcPr>
          <w:p w14:paraId="1DB375BF" w14:textId="77777777" w:rsidR="00410954" w:rsidRPr="00A605BB" w:rsidRDefault="00410954" w:rsidP="00644588">
            <w:pPr>
              <w:spacing w:after="24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A605BB">
              <w:rPr>
                <w:sz w:val="20"/>
                <w:szCs w:val="20"/>
              </w:rPr>
              <w:t>ns</w:t>
            </w:r>
          </w:p>
        </w:tc>
      </w:tr>
      <w:tr w:rsidR="00410954" w:rsidRPr="00A605BB" w14:paraId="3D9FCC7D" w14:textId="77777777" w:rsidTr="004E41BE">
        <w:trPr>
          <w:trHeight w:val="300"/>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noWrap/>
            <w:hideMark/>
          </w:tcPr>
          <w:p w14:paraId="39CC271B" w14:textId="7F6C0AC8" w:rsidR="00410954" w:rsidRPr="00A605BB" w:rsidRDefault="004F186D" w:rsidP="004545EF">
            <w:pPr>
              <w:spacing w:after="240" w:line="240" w:lineRule="auto"/>
              <w:jc w:val="center"/>
              <w:rPr>
                <w:sz w:val="20"/>
                <w:szCs w:val="20"/>
              </w:rPr>
            </w:pPr>
            <w:r w:rsidRPr="00A605BB">
              <w:rPr>
                <w:sz w:val="20"/>
                <w:szCs w:val="20"/>
              </w:rPr>
              <w:t>H2d</w:t>
            </w:r>
          </w:p>
        </w:tc>
        <w:tc>
          <w:tcPr>
            <w:tcW w:w="576" w:type="dxa"/>
            <w:shd w:val="clear" w:color="auto" w:fill="auto"/>
            <w:noWrap/>
            <w:hideMark/>
          </w:tcPr>
          <w:p w14:paraId="680519F0" w14:textId="77777777" w:rsidR="00410954" w:rsidRPr="00A605BB" w:rsidRDefault="00410954" w:rsidP="00644588">
            <w:pPr>
              <w:spacing w:after="24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A605BB">
              <w:rPr>
                <w:sz w:val="20"/>
                <w:szCs w:val="20"/>
              </w:rPr>
              <w:t>405</w:t>
            </w:r>
          </w:p>
        </w:tc>
        <w:tc>
          <w:tcPr>
            <w:tcW w:w="531" w:type="dxa"/>
            <w:shd w:val="clear" w:color="auto" w:fill="auto"/>
            <w:noWrap/>
            <w:hideMark/>
          </w:tcPr>
          <w:p w14:paraId="26C0F1F1" w14:textId="77777777" w:rsidR="00410954" w:rsidRPr="00A605BB" w:rsidRDefault="00410954" w:rsidP="00644588">
            <w:pPr>
              <w:spacing w:after="24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A605BB">
              <w:rPr>
                <w:sz w:val="20"/>
                <w:szCs w:val="20"/>
              </w:rPr>
              <w:t>1</w:t>
            </w:r>
          </w:p>
        </w:tc>
        <w:tc>
          <w:tcPr>
            <w:tcW w:w="878" w:type="dxa"/>
            <w:shd w:val="clear" w:color="auto" w:fill="auto"/>
            <w:noWrap/>
            <w:hideMark/>
          </w:tcPr>
          <w:p w14:paraId="530E77A7" w14:textId="77777777" w:rsidR="00410954" w:rsidRPr="00A605BB" w:rsidRDefault="00410954" w:rsidP="00644588">
            <w:pPr>
              <w:spacing w:after="24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A605BB">
              <w:rPr>
                <w:sz w:val="20"/>
                <w:szCs w:val="20"/>
              </w:rPr>
              <w:t>24.73</w:t>
            </w:r>
          </w:p>
        </w:tc>
        <w:tc>
          <w:tcPr>
            <w:tcW w:w="850" w:type="dxa"/>
            <w:shd w:val="clear" w:color="auto" w:fill="auto"/>
            <w:noWrap/>
            <w:hideMark/>
          </w:tcPr>
          <w:p w14:paraId="6D1117FC" w14:textId="727DC876" w:rsidR="00410954" w:rsidRPr="00A605BB" w:rsidRDefault="00410954" w:rsidP="00644588">
            <w:pPr>
              <w:spacing w:after="24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A605BB">
              <w:rPr>
                <w:sz w:val="20"/>
                <w:szCs w:val="20"/>
              </w:rPr>
              <w:t>179.6</w:t>
            </w:r>
            <w:r w:rsidR="002545B9" w:rsidRPr="00A605BB">
              <w:rPr>
                <w:sz w:val="20"/>
                <w:szCs w:val="20"/>
              </w:rPr>
              <w:t>0</w:t>
            </w:r>
          </w:p>
        </w:tc>
        <w:tc>
          <w:tcPr>
            <w:tcW w:w="709" w:type="dxa"/>
            <w:shd w:val="clear" w:color="auto" w:fill="auto"/>
            <w:noWrap/>
            <w:hideMark/>
          </w:tcPr>
          <w:p w14:paraId="43D201FA" w14:textId="77777777" w:rsidR="00410954" w:rsidRPr="00A605BB" w:rsidRDefault="00410954" w:rsidP="00644588">
            <w:pPr>
              <w:spacing w:after="24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A605BB">
              <w:rPr>
                <w:sz w:val="20"/>
                <w:szCs w:val="20"/>
              </w:rPr>
              <w:t>&lt;.001</w:t>
            </w:r>
          </w:p>
        </w:tc>
        <w:tc>
          <w:tcPr>
            <w:tcW w:w="709" w:type="dxa"/>
            <w:shd w:val="clear" w:color="auto" w:fill="auto"/>
            <w:noWrap/>
            <w:hideMark/>
          </w:tcPr>
          <w:p w14:paraId="6AA2AF28" w14:textId="77777777" w:rsidR="00410954" w:rsidRPr="00A605BB" w:rsidRDefault="00410954" w:rsidP="00644588">
            <w:pPr>
              <w:spacing w:after="24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A605BB">
              <w:rPr>
                <w:sz w:val="20"/>
                <w:szCs w:val="20"/>
              </w:rPr>
              <w:t>0.31</w:t>
            </w:r>
          </w:p>
        </w:tc>
        <w:tc>
          <w:tcPr>
            <w:tcW w:w="424" w:type="dxa"/>
            <w:shd w:val="clear" w:color="auto" w:fill="auto"/>
            <w:noWrap/>
            <w:hideMark/>
          </w:tcPr>
          <w:p w14:paraId="7E267B7A" w14:textId="77777777" w:rsidR="00410954" w:rsidRPr="00A605BB" w:rsidRDefault="00410954" w:rsidP="00644588">
            <w:pPr>
              <w:spacing w:after="24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A605BB">
              <w:rPr>
                <w:sz w:val="20"/>
                <w:szCs w:val="20"/>
              </w:rPr>
              <w:t>1</w:t>
            </w:r>
          </w:p>
        </w:tc>
        <w:tc>
          <w:tcPr>
            <w:tcW w:w="851" w:type="dxa"/>
            <w:shd w:val="clear" w:color="auto" w:fill="auto"/>
            <w:noWrap/>
            <w:hideMark/>
          </w:tcPr>
          <w:p w14:paraId="255BF161" w14:textId="77777777" w:rsidR="00410954" w:rsidRPr="00A605BB" w:rsidRDefault="00410954" w:rsidP="00644588">
            <w:pPr>
              <w:spacing w:after="24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A605BB">
              <w:rPr>
                <w:sz w:val="20"/>
                <w:szCs w:val="20"/>
              </w:rPr>
              <w:t>3.08</w:t>
            </w:r>
          </w:p>
        </w:tc>
        <w:tc>
          <w:tcPr>
            <w:tcW w:w="709" w:type="dxa"/>
            <w:shd w:val="clear" w:color="auto" w:fill="auto"/>
            <w:noWrap/>
            <w:hideMark/>
          </w:tcPr>
          <w:p w14:paraId="5347EC08" w14:textId="77777777" w:rsidR="00410954" w:rsidRPr="00A605BB" w:rsidRDefault="00410954" w:rsidP="00644588">
            <w:pPr>
              <w:spacing w:after="24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A605BB">
              <w:rPr>
                <w:sz w:val="20"/>
                <w:szCs w:val="20"/>
              </w:rPr>
              <w:t>12.49</w:t>
            </w:r>
          </w:p>
        </w:tc>
        <w:tc>
          <w:tcPr>
            <w:tcW w:w="709" w:type="dxa"/>
            <w:shd w:val="clear" w:color="auto" w:fill="auto"/>
            <w:noWrap/>
            <w:hideMark/>
          </w:tcPr>
          <w:p w14:paraId="0936C7ED" w14:textId="77777777" w:rsidR="00410954" w:rsidRPr="00A605BB" w:rsidRDefault="00410954" w:rsidP="00644588">
            <w:pPr>
              <w:spacing w:after="24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A605BB">
              <w:rPr>
                <w:sz w:val="20"/>
                <w:szCs w:val="20"/>
              </w:rPr>
              <w:t>&lt;.001</w:t>
            </w:r>
          </w:p>
        </w:tc>
        <w:tc>
          <w:tcPr>
            <w:tcW w:w="711" w:type="dxa"/>
            <w:shd w:val="clear" w:color="auto" w:fill="auto"/>
            <w:noWrap/>
            <w:hideMark/>
          </w:tcPr>
          <w:p w14:paraId="15A07A7C" w14:textId="77777777" w:rsidR="00410954" w:rsidRPr="00A605BB" w:rsidRDefault="00410954" w:rsidP="00644588">
            <w:pPr>
              <w:spacing w:after="24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A605BB">
              <w:rPr>
                <w:sz w:val="20"/>
                <w:szCs w:val="20"/>
              </w:rPr>
              <w:t>0.03</w:t>
            </w:r>
          </w:p>
        </w:tc>
        <w:tc>
          <w:tcPr>
            <w:tcW w:w="422" w:type="dxa"/>
            <w:shd w:val="clear" w:color="auto" w:fill="auto"/>
            <w:noWrap/>
            <w:hideMark/>
          </w:tcPr>
          <w:p w14:paraId="4887A10B" w14:textId="77777777" w:rsidR="00410954" w:rsidRPr="00A605BB" w:rsidRDefault="00410954" w:rsidP="00644588">
            <w:pPr>
              <w:spacing w:after="24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A605BB">
              <w:rPr>
                <w:sz w:val="20"/>
                <w:szCs w:val="20"/>
              </w:rPr>
              <w:t>1</w:t>
            </w:r>
          </w:p>
        </w:tc>
        <w:tc>
          <w:tcPr>
            <w:tcW w:w="850" w:type="dxa"/>
            <w:shd w:val="clear" w:color="auto" w:fill="auto"/>
            <w:noWrap/>
            <w:hideMark/>
          </w:tcPr>
          <w:p w14:paraId="1639ED1A" w14:textId="77777777" w:rsidR="00410954" w:rsidRPr="00A605BB" w:rsidRDefault="00410954" w:rsidP="00644588">
            <w:pPr>
              <w:spacing w:after="24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A605BB">
              <w:rPr>
                <w:sz w:val="20"/>
                <w:szCs w:val="20"/>
              </w:rPr>
              <w:t>0.16</w:t>
            </w:r>
          </w:p>
        </w:tc>
        <w:tc>
          <w:tcPr>
            <w:tcW w:w="709" w:type="dxa"/>
            <w:shd w:val="clear" w:color="auto" w:fill="auto"/>
            <w:noWrap/>
            <w:hideMark/>
          </w:tcPr>
          <w:p w14:paraId="4749CA93" w14:textId="77777777" w:rsidR="00410954" w:rsidRPr="00A605BB" w:rsidRDefault="00410954" w:rsidP="00644588">
            <w:pPr>
              <w:spacing w:after="24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A605BB">
              <w:rPr>
                <w:sz w:val="20"/>
                <w:szCs w:val="20"/>
              </w:rPr>
              <w:t>1.51</w:t>
            </w:r>
          </w:p>
        </w:tc>
        <w:tc>
          <w:tcPr>
            <w:tcW w:w="567" w:type="dxa"/>
            <w:shd w:val="clear" w:color="auto" w:fill="auto"/>
            <w:noWrap/>
            <w:hideMark/>
          </w:tcPr>
          <w:p w14:paraId="74ED31DB" w14:textId="0EBB6139" w:rsidR="00410954" w:rsidRPr="00A605BB" w:rsidRDefault="00410954" w:rsidP="00644588">
            <w:pPr>
              <w:spacing w:after="24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A605BB">
              <w:rPr>
                <w:sz w:val="20"/>
                <w:szCs w:val="20"/>
              </w:rPr>
              <w:t>ns</w:t>
            </w:r>
          </w:p>
        </w:tc>
        <w:tc>
          <w:tcPr>
            <w:tcW w:w="708" w:type="dxa"/>
            <w:gridSpan w:val="2"/>
            <w:shd w:val="clear" w:color="auto" w:fill="auto"/>
            <w:noWrap/>
            <w:hideMark/>
          </w:tcPr>
          <w:p w14:paraId="4A9E9133" w14:textId="533357EB" w:rsidR="00410954" w:rsidRPr="00A605BB" w:rsidRDefault="00E1191C" w:rsidP="00644588">
            <w:pPr>
              <w:spacing w:after="24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A605BB">
              <w:rPr>
                <w:sz w:val="20"/>
                <w:szCs w:val="20"/>
              </w:rPr>
              <w:t>0</w:t>
            </w:r>
            <w:r w:rsidR="00410954" w:rsidRPr="00A605BB">
              <w:rPr>
                <w:sz w:val="20"/>
                <w:szCs w:val="20"/>
              </w:rPr>
              <w:t>.0</w:t>
            </w:r>
            <w:r w:rsidR="00E25DFD" w:rsidRPr="00A605BB">
              <w:rPr>
                <w:sz w:val="20"/>
                <w:szCs w:val="20"/>
              </w:rPr>
              <w:t>0</w:t>
            </w:r>
          </w:p>
        </w:tc>
        <w:tc>
          <w:tcPr>
            <w:tcW w:w="992" w:type="dxa"/>
            <w:gridSpan w:val="2"/>
            <w:shd w:val="clear" w:color="auto" w:fill="auto"/>
            <w:noWrap/>
            <w:hideMark/>
          </w:tcPr>
          <w:p w14:paraId="40352812" w14:textId="77777777" w:rsidR="00410954" w:rsidRPr="00A605BB" w:rsidRDefault="00410954" w:rsidP="00644588">
            <w:pPr>
              <w:spacing w:after="24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A605BB">
              <w:rPr>
                <w:sz w:val="20"/>
                <w:szCs w:val="20"/>
              </w:rPr>
              <w:t>ns</w:t>
            </w:r>
          </w:p>
        </w:tc>
        <w:tc>
          <w:tcPr>
            <w:tcW w:w="989" w:type="dxa"/>
            <w:gridSpan w:val="2"/>
            <w:shd w:val="clear" w:color="auto" w:fill="auto"/>
            <w:noWrap/>
            <w:hideMark/>
          </w:tcPr>
          <w:p w14:paraId="524F0C83" w14:textId="77777777" w:rsidR="00410954" w:rsidRPr="00A605BB" w:rsidRDefault="00410954" w:rsidP="00644588">
            <w:pPr>
              <w:spacing w:after="24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A605BB">
              <w:rPr>
                <w:sz w:val="20"/>
                <w:szCs w:val="20"/>
              </w:rPr>
              <w:t>ns</w:t>
            </w:r>
          </w:p>
        </w:tc>
      </w:tr>
      <w:tr w:rsidR="004E41BE" w:rsidRPr="00A605BB" w14:paraId="3D953D22" w14:textId="77777777" w:rsidTr="004E41B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noWrap/>
            <w:hideMark/>
          </w:tcPr>
          <w:p w14:paraId="3674BB84" w14:textId="15F3621F" w:rsidR="00410954" w:rsidRPr="00A605BB" w:rsidRDefault="004F186D" w:rsidP="004545EF">
            <w:pPr>
              <w:spacing w:after="240" w:line="240" w:lineRule="auto"/>
              <w:jc w:val="center"/>
              <w:rPr>
                <w:sz w:val="20"/>
                <w:szCs w:val="20"/>
              </w:rPr>
            </w:pPr>
            <w:r w:rsidRPr="00A605BB">
              <w:rPr>
                <w:sz w:val="20"/>
                <w:szCs w:val="20"/>
              </w:rPr>
              <w:t>H2e</w:t>
            </w:r>
          </w:p>
        </w:tc>
        <w:tc>
          <w:tcPr>
            <w:tcW w:w="576" w:type="dxa"/>
            <w:shd w:val="clear" w:color="auto" w:fill="auto"/>
            <w:noWrap/>
            <w:hideMark/>
          </w:tcPr>
          <w:p w14:paraId="374A8434" w14:textId="77777777" w:rsidR="00410954" w:rsidRPr="00A605BB" w:rsidRDefault="00410954" w:rsidP="00644588">
            <w:pPr>
              <w:spacing w:after="24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A605BB">
              <w:rPr>
                <w:sz w:val="20"/>
                <w:szCs w:val="20"/>
              </w:rPr>
              <w:t>406</w:t>
            </w:r>
          </w:p>
        </w:tc>
        <w:tc>
          <w:tcPr>
            <w:tcW w:w="531" w:type="dxa"/>
            <w:shd w:val="clear" w:color="auto" w:fill="auto"/>
            <w:noWrap/>
            <w:hideMark/>
          </w:tcPr>
          <w:p w14:paraId="40BEA325" w14:textId="77777777" w:rsidR="00410954" w:rsidRPr="00A605BB" w:rsidRDefault="00410954" w:rsidP="00644588">
            <w:pPr>
              <w:spacing w:after="24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A605BB">
              <w:rPr>
                <w:sz w:val="20"/>
                <w:szCs w:val="20"/>
              </w:rPr>
              <w:t>1</w:t>
            </w:r>
          </w:p>
        </w:tc>
        <w:tc>
          <w:tcPr>
            <w:tcW w:w="878" w:type="dxa"/>
            <w:shd w:val="clear" w:color="auto" w:fill="auto"/>
            <w:noWrap/>
            <w:hideMark/>
          </w:tcPr>
          <w:p w14:paraId="6C859DA0" w14:textId="77777777" w:rsidR="00410954" w:rsidRPr="00A605BB" w:rsidRDefault="00410954" w:rsidP="00644588">
            <w:pPr>
              <w:spacing w:after="24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A605BB">
              <w:rPr>
                <w:sz w:val="20"/>
                <w:szCs w:val="20"/>
              </w:rPr>
              <w:t>18.59</w:t>
            </w:r>
          </w:p>
        </w:tc>
        <w:tc>
          <w:tcPr>
            <w:tcW w:w="850" w:type="dxa"/>
            <w:shd w:val="clear" w:color="auto" w:fill="auto"/>
            <w:noWrap/>
            <w:hideMark/>
          </w:tcPr>
          <w:p w14:paraId="5CFD0580" w14:textId="77777777" w:rsidR="00410954" w:rsidRPr="00A605BB" w:rsidRDefault="00410954" w:rsidP="00644588">
            <w:pPr>
              <w:spacing w:after="24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A605BB">
              <w:rPr>
                <w:sz w:val="20"/>
                <w:szCs w:val="20"/>
              </w:rPr>
              <w:t>117.52</w:t>
            </w:r>
          </w:p>
        </w:tc>
        <w:tc>
          <w:tcPr>
            <w:tcW w:w="709" w:type="dxa"/>
            <w:shd w:val="clear" w:color="auto" w:fill="auto"/>
            <w:noWrap/>
            <w:hideMark/>
          </w:tcPr>
          <w:p w14:paraId="71C8DB6F" w14:textId="77777777" w:rsidR="00410954" w:rsidRPr="00A605BB" w:rsidRDefault="00410954" w:rsidP="00644588">
            <w:pPr>
              <w:spacing w:after="24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A605BB">
              <w:rPr>
                <w:sz w:val="20"/>
                <w:szCs w:val="20"/>
              </w:rPr>
              <w:t>&lt;.001</w:t>
            </w:r>
          </w:p>
        </w:tc>
        <w:tc>
          <w:tcPr>
            <w:tcW w:w="709" w:type="dxa"/>
            <w:shd w:val="clear" w:color="auto" w:fill="auto"/>
            <w:noWrap/>
            <w:hideMark/>
          </w:tcPr>
          <w:p w14:paraId="41972CA8" w14:textId="08B6C33B" w:rsidR="00410954" w:rsidRPr="00A605BB" w:rsidRDefault="00410954" w:rsidP="00644588">
            <w:pPr>
              <w:spacing w:after="24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A605BB">
              <w:rPr>
                <w:sz w:val="20"/>
                <w:szCs w:val="20"/>
              </w:rPr>
              <w:t>0.2</w:t>
            </w:r>
            <w:r w:rsidR="002545B9" w:rsidRPr="00A605BB">
              <w:rPr>
                <w:sz w:val="20"/>
                <w:szCs w:val="20"/>
              </w:rPr>
              <w:t>3</w:t>
            </w:r>
          </w:p>
        </w:tc>
        <w:tc>
          <w:tcPr>
            <w:tcW w:w="424" w:type="dxa"/>
            <w:shd w:val="clear" w:color="auto" w:fill="auto"/>
            <w:noWrap/>
            <w:hideMark/>
          </w:tcPr>
          <w:p w14:paraId="5F990245" w14:textId="77777777" w:rsidR="00410954" w:rsidRPr="00A605BB" w:rsidRDefault="00410954" w:rsidP="00644588">
            <w:pPr>
              <w:spacing w:after="24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A605BB">
              <w:rPr>
                <w:sz w:val="20"/>
                <w:szCs w:val="20"/>
              </w:rPr>
              <w:t>1</w:t>
            </w:r>
          </w:p>
        </w:tc>
        <w:tc>
          <w:tcPr>
            <w:tcW w:w="851" w:type="dxa"/>
            <w:shd w:val="clear" w:color="auto" w:fill="auto"/>
            <w:noWrap/>
            <w:hideMark/>
          </w:tcPr>
          <w:p w14:paraId="0BF8F7B9" w14:textId="77777777" w:rsidR="00410954" w:rsidRPr="00A605BB" w:rsidRDefault="00410954" w:rsidP="00644588">
            <w:pPr>
              <w:spacing w:after="24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A605BB">
              <w:rPr>
                <w:sz w:val="20"/>
                <w:szCs w:val="20"/>
              </w:rPr>
              <w:t>15.49</w:t>
            </w:r>
          </w:p>
        </w:tc>
        <w:tc>
          <w:tcPr>
            <w:tcW w:w="709" w:type="dxa"/>
            <w:shd w:val="clear" w:color="auto" w:fill="auto"/>
            <w:noWrap/>
            <w:hideMark/>
          </w:tcPr>
          <w:p w14:paraId="694421D6" w14:textId="77777777" w:rsidR="00410954" w:rsidRPr="00A605BB" w:rsidRDefault="00410954" w:rsidP="00644588">
            <w:pPr>
              <w:spacing w:after="24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A605BB">
              <w:rPr>
                <w:sz w:val="20"/>
                <w:szCs w:val="20"/>
              </w:rPr>
              <w:t>48.47</w:t>
            </w:r>
          </w:p>
        </w:tc>
        <w:tc>
          <w:tcPr>
            <w:tcW w:w="709" w:type="dxa"/>
            <w:shd w:val="clear" w:color="auto" w:fill="auto"/>
            <w:noWrap/>
            <w:hideMark/>
          </w:tcPr>
          <w:p w14:paraId="75D30055" w14:textId="77777777" w:rsidR="00410954" w:rsidRPr="00A605BB" w:rsidRDefault="00410954" w:rsidP="00644588">
            <w:pPr>
              <w:spacing w:after="24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A605BB">
              <w:rPr>
                <w:sz w:val="20"/>
                <w:szCs w:val="20"/>
              </w:rPr>
              <w:t>&lt;.001</w:t>
            </w:r>
          </w:p>
        </w:tc>
        <w:tc>
          <w:tcPr>
            <w:tcW w:w="711" w:type="dxa"/>
            <w:shd w:val="clear" w:color="auto" w:fill="auto"/>
            <w:noWrap/>
            <w:hideMark/>
          </w:tcPr>
          <w:p w14:paraId="3AC0A4CE" w14:textId="77777777" w:rsidR="00410954" w:rsidRPr="00A605BB" w:rsidRDefault="00410954" w:rsidP="00644588">
            <w:pPr>
              <w:spacing w:after="24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A605BB">
              <w:rPr>
                <w:sz w:val="20"/>
                <w:szCs w:val="20"/>
              </w:rPr>
              <w:t>0.11</w:t>
            </w:r>
          </w:p>
        </w:tc>
        <w:tc>
          <w:tcPr>
            <w:tcW w:w="422" w:type="dxa"/>
            <w:shd w:val="clear" w:color="auto" w:fill="auto"/>
            <w:noWrap/>
            <w:hideMark/>
          </w:tcPr>
          <w:p w14:paraId="0B7F4A48" w14:textId="77777777" w:rsidR="00410954" w:rsidRPr="00A605BB" w:rsidRDefault="00410954" w:rsidP="00644588">
            <w:pPr>
              <w:spacing w:after="24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A605BB">
              <w:rPr>
                <w:sz w:val="20"/>
                <w:szCs w:val="20"/>
              </w:rPr>
              <w:t>1</w:t>
            </w:r>
          </w:p>
        </w:tc>
        <w:tc>
          <w:tcPr>
            <w:tcW w:w="850" w:type="dxa"/>
            <w:shd w:val="clear" w:color="auto" w:fill="auto"/>
            <w:noWrap/>
            <w:hideMark/>
          </w:tcPr>
          <w:p w14:paraId="2D515EA9" w14:textId="3D5DDF78" w:rsidR="00410954" w:rsidRPr="00A605BB" w:rsidRDefault="00410954" w:rsidP="00644588">
            <w:pPr>
              <w:spacing w:after="24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A605BB">
              <w:rPr>
                <w:sz w:val="20"/>
                <w:szCs w:val="20"/>
              </w:rPr>
              <w:t>0.07</w:t>
            </w:r>
          </w:p>
        </w:tc>
        <w:tc>
          <w:tcPr>
            <w:tcW w:w="709" w:type="dxa"/>
            <w:shd w:val="clear" w:color="auto" w:fill="auto"/>
            <w:noWrap/>
            <w:hideMark/>
          </w:tcPr>
          <w:p w14:paraId="25A93D35" w14:textId="351EEB29" w:rsidR="00410954" w:rsidRPr="00A605BB" w:rsidRDefault="00410954" w:rsidP="00644588">
            <w:pPr>
              <w:spacing w:after="24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A605BB">
              <w:rPr>
                <w:sz w:val="20"/>
                <w:szCs w:val="20"/>
              </w:rPr>
              <w:t>0.5</w:t>
            </w:r>
            <w:r w:rsidR="00E1191C" w:rsidRPr="00A605BB">
              <w:rPr>
                <w:sz w:val="20"/>
                <w:szCs w:val="20"/>
              </w:rPr>
              <w:t>9</w:t>
            </w:r>
          </w:p>
        </w:tc>
        <w:tc>
          <w:tcPr>
            <w:tcW w:w="567" w:type="dxa"/>
            <w:shd w:val="clear" w:color="auto" w:fill="auto"/>
            <w:noWrap/>
            <w:hideMark/>
          </w:tcPr>
          <w:p w14:paraId="689DDC7D" w14:textId="3F9258B8" w:rsidR="00410954" w:rsidRPr="00A605BB" w:rsidRDefault="00410954" w:rsidP="00644588">
            <w:pPr>
              <w:spacing w:after="24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A605BB">
              <w:rPr>
                <w:sz w:val="20"/>
                <w:szCs w:val="20"/>
              </w:rPr>
              <w:t>ns</w:t>
            </w:r>
          </w:p>
        </w:tc>
        <w:tc>
          <w:tcPr>
            <w:tcW w:w="708" w:type="dxa"/>
            <w:gridSpan w:val="2"/>
            <w:shd w:val="clear" w:color="auto" w:fill="auto"/>
            <w:noWrap/>
            <w:hideMark/>
          </w:tcPr>
          <w:p w14:paraId="0B209722" w14:textId="05DD6860" w:rsidR="00410954" w:rsidRPr="00A605BB" w:rsidRDefault="00E1191C" w:rsidP="00644588">
            <w:pPr>
              <w:spacing w:after="24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A605BB">
              <w:rPr>
                <w:sz w:val="20"/>
                <w:szCs w:val="20"/>
              </w:rPr>
              <w:t>0</w:t>
            </w:r>
            <w:r w:rsidR="00410954" w:rsidRPr="00A605BB">
              <w:rPr>
                <w:sz w:val="20"/>
                <w:szCs w:val="20"/>
              </w:rPr>
              <w:t>.0</w:t>
            </w:r>
            <w:r w:rsidR="00E25DFD" w:rsidRPr="00A605BB">
              <w:rPr>
                <w:sz w:val="20"/>
                <w:szCs w:val="20"/>
              </w:rPr>
              <w:t>0</w:t>
            </w:r>
          </w:p>
        </w:tc>
        <w:tc>
          <w:tcPr>
            <w:tcW w:w="992" w:type="dxa"/>
            <w:gridSpan w:val="2"/>
            <w:shd w:val="clear" w:color="auto" w:fill="auto"/>
            <w:noWrap/>
            <w:hideMark/>
          </w:tcPr>
          <w:p w14:paraId="7C52A028" w14:textId="77777777" w:rsidR="00410954" w:rsidRPr="00A605BB" w:rsidRDefault="00410954" w:rsidP="00644588">
            <w:pPr>
              <w:spacing w:after="24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A605BB">
              <w:rPr>
                <w:sz w:val="20"/>
                <w:szCs w:val="20"/>
              </w:rPr>
              <w:t>ns</w:t>
            </w:r>
          </w:p>
        </w:tc>
        <w:tc>
          <w:tcPr>
            <w:tcW w:w="989" w:type="dxa"/>
            <w:gridSpan w:val="2"/>
            <w:shd w:val="clear" w:color="auto" w:fill="auto"/>
            <w:noWrap/>
            <w:hideMark/>
          </w:tcPr>
          <w:p w14:paraId="08D71033" w14:textId="77777777" w:rsidR="00410954" w:rsidRPr="00A605BB" w:rsidRDefault="00410954" w:rsidP="00644588">
            <w:pPr>
              <w:spacing w:after="24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A605BB">
              <w:rPr>
                <w:sz w:val="20"/>
                <w:szCs w:val="20"/>
              </w:rPr>
              <w:t>ns</w:t>
            </w:r>
          </w:p>
        </w:tc>
      </w:tr>
      <w:tr w:rsidR="00410954" w:rsidRPr="00A605BB" w14:paraId="49691D2E" w14:textId="77777777" w:rsidTr="004E41BE">
        <w:trPr>
          <w:trHeight w:val="300"/>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noWrap/>
            <w:hideMark/>
          </w:tcPr>
          <w:p w14:paraId="21571B91" w14:textId="740F3010" w:rsidR="00410954" w:rsidRPr="00A605BB" w:rsidRDefault="004F186D" w:rsidP="004545EF">
            <w:pPr>
              <w:spacing w:after="240" w:line="240" w:lineRule="auto"/>
              <w:jc w:val="center"/>
              <w:rPr>
                <w:sz w:val="20"/>
                <w:szCs w:val="20"/>
              </w:rPr>
            </w:pPr>
            <w:r w:rsidRPr="00A605BB">
              <w:rPr>
                <w:sz w:val="20"/>
                <w:szCs w:val="20"/>
              </w:rPr>
              <w:t>H2f</w:t>
            </w:r>
          </w:p>
        </w:tc>
        <w:tc>
          <w:tcPr>
            <w:tcW w:w="576" w:type="dxa"/>
            <w:shd w:val="clear" w:color="auto" w:fill="auto"/>
            <w:noWrap/>
            <w:hideMark/>
          </w:tcPr>
          <w:p w14:paraId="25C957D4" w14:textId="77777777" w:rsidR="00410954" w:rsidRPr="00A605BB" w:rsidRDefault="00410954" w:rsidP="00644588">
            <w:pPr>
              <w:spacing w:after="24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A605BB">
              <w:rPr>
                <w:sz w:val="20"/>
                <w:szCs w:val="20"/>
              </w:rPr>
              <w:t>405</w:t>
            </w:r>
          </w:p>
        </w:tc>
        <w:tc>
          <w:tcPr>
            <w:tcW w:w="531" w:type="dxa"/>
            <w:shd w:val="clear" w:color="auto" w:fill="auto"/>
            <w:noWrap/>
            <w:hideMark/>
          </w:tcPr>
          <w:p w14:paraId="383B24CD" w14:textId="77777777" w:rsidR="00410954" w:rsidRPr="00A605BB" w:rsidRDefault="00410954" w:rsidP="00644588">
            <w:pPr>
              <w:spacing w:after="24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A605BB">
              <w:rPr>
                <w:sz w:val="20"/>
                <w:szCs w:val="20"/>
              </w:rPr>
              <w:t>1</w:t>
            </w:r>
          </w:p>
        </w:tc>
        <w:tc>
          <w:tcPr>
            <w:tcW w:w="878" w:type="dxa"/>
            <w:shd w:val="clear" w:color="auto" w:fill="auto"/>
            <w:noWrap/>
            <w:hideMark/>
          </w:tcPr>
          <w:p w14:paraId="4FFF9C92" w14:textId="77777777" w:rsidR="00410954" w:rsidRPr="00A605BB" w:rsidRDefault="00410954" w:rsidP="00644588">
            <w:pPr>
              <w:spacing w:after="24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A605BB">
              <w:rPr>
                <w:sz w:val="20"/>
                <w:szCs w:val="20"/>
              </w:rPr>
              <w:t>19.19</w:t>
            </w:r>
          </w:p>
        </w:tc>
        <w:tc>
          <w:tcPr>
            <w:tcW w:w="850" w:type="dxa"/>
            <w:shd w:val="clear" w:color="auto" w:fill="auto"/>
            <w:noWrap/>
            <w:hideMark/>
          </w:tcPr>
          <w:p w14:paraId="1C266D8D" w14:textId="77777777" w:rsidR="00410954" w:rsidRPr="00A605BB" w:rsidRDefault="00410954" w:rsidP="00644588">
            <w:pPr>
              <w:spacing w:after="24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A605BB">
              <w:rPr>
                <w:sz w:val="20"/>
                <w:szCs w:val="20"/>
              </w:rPr>
              <w:t>132.86</w:t>
            </w:r>
          </w:p>
        </w:tc>
        <w:tc>
          <w:tcPr>
            <w:tcW w:w="709" w:type="dxa"/>
            <w:shd w:val="clear" w:color="auto" w:fill="auto"/>
            <w:noWrap/>
            <w:hideMark/>
          </w:tcPr>
          <w:p w14:paraId="09456BE7" w14:textId="77777777" w:rsidR="00410954" w:rsidRPr="00A605BB" w:rsidRDefault="00410954" w:rsidP="00644588">
            <w:pPr>
              <w:spacing w:after="24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A605BB">
              <w:rPr>
                <w:sz w:val="20"/>
                <w:szCs w:val="20"/>
              </w:rPr>
              <w:t>&lt;.001</w:t>
            </w:r>
          </w:p>
        </w:tc>
        <w:tc>
          <w:tcPr>
            <w:tcW w:w="709" w:type="dxa"/>
            <w:shd w:val="clear" w:color="auto" w:fill="auto"/>
            <w:noWrap/>
            <w:hideMark/>
          </w:tcPr>
          <w:p w14:paraId="474940CE" w14:textId="77777777" w:rsidR="00410954" w:rsidRPr="00A605BB" w:rsidRDefault="00410954" w:rsidP="00644588">
            <w:pPr>
              <w:spacing w:after="24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A605BB">
              <w:rPr>
                <w:sz w:val="20"/>
                <w:szCs w:val="20"/>
              </w:rPr>
              <w:t>0.25</w:t>
            </w:r>
          </w:p>
        </w:tc>
        <w:tc>
          <w:tcPr>
            <w:tcW w:w="424" w:type="dxa"/>
            <w:shd w:val="clear" w:color="auto" w:fill="auto"/>
            <w:noWrap/>
            <w:hideMark/>
          </w:tcPr>
          <w:p w14:paraId="6047E80A" w14:textId="77777777" w:rsidR="00410954" w:rsidRPr="00A605BB" w:rsidRDefault="00410954" w:rsidP="00644588">
            <w:pPr>
              <w:spacing w:after="24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A605BB">
              <w:rPr>
                <w:sz w:val="20"/>
                <w:szCs w:val="20"/>
              </w:rPr>
              <w:t>1</w:t>
            </w:r>
          </w:p>
        </w:tc>
        <w:tc>
          <w:tcPr>
            <w:tcW w:w="851" w:type="dxa"/>
            <w:shd w:val="clear" w:color="auto" w:fill="auto"/>
            <w:noWrap/>
            <w:hideMark/>
          </w:tcPr>
          <w:p w14:paraId="419DB33B" w14:textId="1C1830D4" w:rsidR="00410954" w:rsidRPr="00A605BB" w:rsidRDefault="00410954" w:rsidP="00644588">
            <w:pPr>
              <w:spacing w:after="24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A605BB">
              <w:rPr>
                <w:sz w:val="20"/>
                <w:szCs w:val="20"/>
              </w:rPr>
              <w:t>0.</w:t>
            </w:r>
            <w:r w:rsidR="002545B9" w:rsidRPr="00A605BB">
              <w:rPr>
                <w:sz w:val="20"/>
                <w:szCs w:val="20"/>
              </w:rPr>
              <w:t>10</w:t>
            </w:r>
          </w:p>
        </w:tc>
        <w:tc>
          <w:tcPr>
            <w:tcW w:w="709" w:type="dxa"/>
            <w:shd w:val="clear" w:color="auto" w:fill="auto"/>
            <w:noWrap/>
            <w:hideMark/>
          </w:tcPr>
          <w:p w14:paraId="59F1B1FA" w14:textId="67160423" w:rsidR="00410954" w:rsidRPr="00A605BB" w:rsidRDefault="00410954" w:rsidP="00644588">
            <w:pPr>
              <w:spacing w:after="24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A605BB">
              <w:rPr>
                <w:sz w:val="20"/>
                <w:szCs w:val="20"/>
              </w:rPr>
              <w:t>0.39</w:t>
            </w:r>
          </w:p>
        </w:tc>
        <w:tc>
          <w:tcPr>
            <w:tcW w:w="709" w:type="dxa"/>
            <w:shd w:val="clear" w:color="auto" w:fill="auto"/>
            <w:noWrap/>
            <w:hideMark/>
          </w:tcPr>
          <w:p w14:paraId="2845B1F7" w14:textId="7C92EC59" w:rsidR="00410954" w:rsidRPr="00A605BB" w:rsidRDefault="00410954" w:rsidP="00644588">
            <w:pPr>
              <w:spacing w:after="24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A605BB">
              <w:rPr>
                <w:sz w:val="20"/>
                <w:szCs w:val="20"/>
              </w:rPr>
              <w:t>ns</w:t>
            </w:r>
          </w:p>
        </w:tc>
        <w:tc>
          <w:tcPr>
            <w:tcW w:w="711" w:type="dxa"/>
            <w:shd w:val="clear" w:color="auto" w:fill="auto"/>
            <w:noWrap/>
            <w:hideMark/>
          </w:tcPr>
          <w:p w14:paraId="14C92B06" w14:textId="6BFE658B" w:rsidR="00410954" w:rsidRPr="00A605BB" w:rsidRDefault="00410954" w:rsidP="00644588">
            <w:pPr>
              <w:spacing w:after="24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A605BB">
              <w:rPr>
                <w:sz w:val="20"/>
                <w:szCs w:val="20"/>
              </w:rPr>
              <w:t>0.00</w:t>
            </w:r>
          </w:p>
        </w:tc>
        <w:tc>
          <w:tcPr>
            <w:tcW w:w="422" w:type="dxa"/>
            <w:shd w:val="clear" w:color="auto" w:fill="auto"/>
            <w:noWrap/>
            <w:hideMark/>
          </w:tcPr>
          <w:p w14:paraId="048433F0" w14:textId="522DBF75" w:rsidR="00410954" w:rsidRPr="00A605BB" w:rsidRDefault="002545B9" w:rsidP="00644588">
            <w:pPr>
              <w:spacing w:after="24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A605BB">
              <w:rPr>
                <w:sz w:val="20"/>
                <w:szCs w:val="20"/>
              </w:rPr>
              <w:t>1</w:t>
            </w:r>
          </w:p>
        </w:tc>
        <w:tc>
          <w:tcPr>
            <w:tcW w:w="850" w:type="dxa"/>
            <w:shd w:val="clear" w:color="auto" w:fill="auto"/>
            <w:noWrap/>
            <w:hideMark/>
          </w:tcPr>
          <w:p w14:paraId="5EC93ED9" w14:textId="04309068" w:rsidR="00410954" w:rsidRPr="00A605BB" w:rsidRDefault="00410954" w:rsidP="00644588">
            <w:pPr>
              <w:spacing w:after="24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A605BB">
              <w:rPr>
                <w:sz w:val="20"/>
                <w:szCs w:val="20"/>
              </w:rPr>
              <w:t>0.00</w:t>
            </w:r>
          </w:p>
        </w:tc>
        <w:tc>
          <w:tcPr>
            <w:tcW w:w="709" w:type="dxa"/>
            <w:shd w:val="clear" w:color="auto" w:fill="auto"/>
            <w:noWrap/>
            <w:hideMark/>
          </w:tcPr>
          <w:p w14:paraId="697D01AB" w14:textId="77777777" w:rsidR="00410954" w:rsidRPr="00A605BB" w:rsidRDefault="00410954" w:rsidP="00644588">
            <w:pPr>
              <w:spacing w:after="24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A605BB">
              <w:rPr>
                <w:sz w:val="20"/>
                <w:szCs w:val="20"/>
              </w:rPr>
              <w:t>0.01</w:t>
            </w:r>
          </w:p>
        </w:tc>
        <w:tc>
          <w:tcPr>
            <w:tcW w:w="567" w:type="dxa"/>
            <w:shd w:val="clear" w:color="auto" w:fill="auto"/>
            <w:noWrap/>
            <w:hideMark/>
          </w:tcPr>
          <w:p w14:paraId="7BB5DA1B" w14:textId="34E45D39" w:rsidR="00410954" w:rsidRPr="00A605BB" w:rsidRDefault="00410954" w:rsidP="00644588">
            <w:pPr>
              <w:spacing w:after="24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A605BB">
              <w:rPr>
                <w:sz w:val="20"/>
                <w:szCs w:val="20"/>
              </w:rPr>
              <w:t>ns</w:t>
            </w:r>
          </w:p>
        </w:tc>
        <w:tc>
          <w:tcPr>
            <w:tcW w:w="708" w:type="dxa"/>
            <w:gridSpan w:val="2"/>
            <w:shd w:val="clear" w:color="auto" w:fill="auto"/>
            <w:noWrap/>
            <w:hideMark/>
          </w:tcPr>
          <w:p w14:paraId="0A7D279C" w14:textId="710E891C" w:rsidR="00410954" w:rsidRPr="00A605BB" w:rsidRDefault="00E1191C" w:rsidP="00644588">
            <w:pPr>
              <w:spacing w:after="24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A605BB">
              <w:rPr>
                <w:sz w:val="20"/>
                <w:szCs w:val="20"/>
              </w:rPr>
              <w:t>0</w:t>
            </w:r>
            <w:r w:rsidR="00E25DFD" w:rsidRPr="00A605BB">
              <w:rPr>
                <w:sz w:val="20"/>
                <w:szCs w:val="20"/>
              </w:rPr>
              <w:t>.00</w:t>
            </w:r>
          </w:p>
        </w:tc>
        <w:tc>
          <w:tcPr>
            <w:tcW w:w="992" w:type="dxa"/>
            <w:gridSpan w:val="2"/>
            <w:shd w:val="clear" w:color="auto" w:fill="auto"/>
            <w:noWrap/>
            <w:hideMark/>
          </w:tcPr>
          <w:p w14:paraId="7E65516D" w14:textId="77777777" w:rsidR="00410954" w:rsidRPr="00A605BB" w:rsidRDefault="00410954" w:rsidP="00644588">
            <w:pPr>
              <w:spacing w:after="24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A605BB">
              <w:rPr>
                <w:sz w:val="20"/>
                <w:szCs w:val="20"/>
              </w:rPr>
              <w:t>ns</w:t>
            </w:r>
          </w:p>
        </w:tc>
        <w:tc>
          <w:tcPr>
            <w:tcW w:w="989" w:type="dxa"/>
            <w:gridSpan w:val="2"/>
            <w:shd w:val="clear" w:color="auto" w:fill="auto"/>
            <w:noWrap/>
            <w:hideMark/>
          </w:tcPr>
          <w:p w14:paraId="0FF1C6ED" w14:textId="77777777" w:rsidR="00410954" w:rsidRPr="00A605BB" w:rsidRDefault="00410954" w:rsidP="00644588">
            <w:pPr>
              <w:spacing w:after="24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A605BB">
              <w:rPr>
                <w:sz w:val="20"/>
                <w:szCs w:val="20"/>
              </w:rPr>
              <w:t>ns</w:t>
            </w:r>
          </w:p>
        </w:tc>
      </w:tr>
      <w:tr w:rsidR="004E41BE" w:rsidRPr="00A605BB" w14:paraId="1133094F" w14:textId="77777777" w:rsidTr="004E41B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noWrap/>
            <w:hideMark/>
          </w:tcPr>
          <w:p w14:paraId="6091588F" w14:textId="686FEB6B" w:rsidR="00410954" w:rsidRPr="00A605BB" w:rsidRDefault="004F186D" w:rsidP="004545EF">
            <w:pPr>
              <w:spacing w:after="240" w:line="240" w:lineRule="auto"/>
              <w:jc w:val="center"/>
              <w:rPr>
                <w:sz w:val="20"/>
                <w:szCs w:val="20"/>
              </w:rPr>
            </w:pPr>
            <w:r w:rsidRPr="00A605BB">
              <w:rPr>
                <w:sz w:val="20"/>
                <w:szCs w:val="20"/>
              </w:rPr>
              <w:t>H2g</w:t>
            </w:r>
          </w:p>
        </w:tc>
        <w:tc>
          <w:tcPr>
            <w:tcW w:w="576" w:type="dxa"/>
            <w:shd w:val="clear" w:color="auto" w:fill="auto"/>
            <w:noWrap/>
            <w:hideMark/>
          </w:tcPr>
          <w:p w14:paraId="42FF408A" w14:textId="77777777" w:rsidR="00410954" w:rsidRPr="00A605BB" w:rsidRDefault="00410954" w:rsidP="00644588">
            <w:pPr>
              <w:spacing w:after="24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A605BB">
              <w:rPr>
                <w:sz w:val="20"/>
                <w:szCs w:val="20"/>
              </w:rPr>
              <w:t>408</w:t>
            </w:r>
          </w:p>
        </w:tc>
        <w:tc>
          <w:tcPr>
            <w:tcW w:w="531" w:type="dxa"/>
            <w:shd w:val="clear" w:color="auto" w:fill="auto"/>
            <w:noWrap/>
            <w:hideMark/>
          </w:tcPr>
          <w:p w14:paraId="555BB8C3" w14:textId="77777777" w:rsidR="00410954" w:rsidRPr="00A605BB" w:rsidRDefault="00410954" w:rsidP="00644588">
            <w:pPr>
              <w:spacing w:after="24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A605BB">
              <w:rPr>
                <w:sz w:val="20"/>
                <w:szCs w:val="20"/>
              </w:rPr>
              <w:t>1</w:t>
            </w:r>
          </w:p>
        </w:tc>
        <w:tc>
          <w:tcPr>
            <w:tcW w:w="878" w:type="dxa"/>
            <w:shd w:val="clear" w:color="auto" w:fill="auto"/>
            <w:noWrap/>
            <w:hideMark/>
          </w:tcPr>
          <w:p w14:paraId="3ACBE762" w14:textId="77777777" w:rsidR="00410954" w:rsidRPr="00A605BB" w:rsidRDefault="00410954" w:rsidP="00644588">
            <w:pPr>
              <w:spacing w:after="24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A605BB">
              <w:rPr>
                <w:sz w:val="20"/>
                <w:szCs w:val="20"/>
              </w:rPr>
              <w:t>21.84</w:t>
            </w:r>
          </w:p>
        </w:tc>
        <w:tc>
          <w:tcPr>
            <w:tcW w:w="850" w:type="dxa"/>
            <w:shd w:val="clear" w:color="auto" w:fill="auto"/>
            <w:noWrap/>
            <w:hideMark/>
          </w:tcPr>
          <w:p w14:paraId="3B786C93" w14:textId="77777777" w:rsidR="00410954" w:rsidRPr="00A605BB" w:rsidRDefault="00410954" w:rsidP="00644588">
            <w:pPr>
              <w:spacing w:after="24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A605BB">
              <w:rPr>
                <w:sz w:val="20"/>
                <w:szCs w:val="20"/>
              </w:rPr>
              <w:t>154.31</w:t>
            </w:r>
          </w:p>
        </w:tc>
        <w:tc>
          <w:tcPr>
            <w:tcW w:w="709" w:type="dxa"/>
            <w:shd w:val="clear" w:color="auto" w:fill="auto"/>
            <w:noWrap/>
            <w:hideMark/>
          </w:tcPr>
          <w:p w14:paraId="15EA124E" w14:textId="77777777" w:rsidR="00410954" w:rsidRPr="00A605BB" w:rsidRDefault="00410954" w:rsidP="00644588">
            <w:pPr>
              <w:spacing w:after="24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A605BB">
              <w:rPr>
                <w:sz w:val="20"/>
                <w:szCs w:val="20"/>
              </w:rPr>
              <w:t>&lt;.001</w:t>
            </w:r>
          </w:p>
        </w:tc>
        <w:tc>
          <w:tcPr>
            <w:tcW w:w="709" w:type="dxa"/>
            <w:shd w:val="clear" w:color="auto" w:fill="auto"/>
            <w:noWrap/>
            <w:hideMark/>
          </w:tcPr>
          <w:p w14:paraId="4FCCF814" w14:textId="77777777" w:rsidR="00410954" w:rsidRPr="00A605BB" w:rsidRDefault="00410954" w:rsidP="00644588">
            <w:pPr>
              <w:spacing w:after="24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A605BB">
              <w:rPr>
                <w:sz w:val="20"/>
                <w:szCs w:val="20"/>
              </w:rPr>
              <w:t>0.26</w:t>
            </w:r>
          </w:p>
        </w:tc>
        <w:tc>
          <w:tcPr>
            <w:tcW w:w="424" w:type="dxa"/>
            <w:shd w:val="clear" w:color="auto" w:fill="auto"/>
            <w:noWrap/>
            <w:hideMark/>
          </w:tcPr>
          <w:p w14:paraId="0555E485" w14:textId="77777777" w:rsidR="00410954" w:rsidRPr="00A605BB" w:rsidRDefault="00410954" w:rsidP="00644588">
            <w:pPr>
              <w:spacing w:after="24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A605BB">
              <w:rPr>
                <w:sz w:val="20"/>
                <w:szCs w:val="20"/>
              </w:rPr>
              <w:t>1</w:t>
            </w:r>
          </w:p>
        </w:tc>
        <w:tc>
          <w:tcPr>
            <w:tcW w:w="851" w:type="dxa"/>
            <w:shd w:val="clear" w:color="auto" w:fill="auto"/>
            <w:noWrap/>
            <w:hideMark/>
          </w:tcPr>
          <w:p w14:paraId="4B2C8035" w14:textId="77777777" w:rsidR="00410954" w:rsidRPr="00A605BB" w:rsidRDefault="00410954" w:rsidP="00644588">
            <w:pPr>
              <w:spacing w:after="24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A605BB">
              <w:rPr>
                <w:sz w:val="20"/>
                <w:szCs w:val="20"/>
              </w:rPr>
              <w:t>12.71</w:t>
            </w:r>
          </w:p>
        </w:tc>
        <w:tc>
          <w:tcPr>
            <w:tcW w:w="709" w:type="dxa"/>
            <w:shd w:val="clear" w:color="auto" w:fill="auto"/>
            <w:noWrap/>
            <w:hideMark/>
          </w:tcPr>
          <w:p w14:paraId="053F4C72" w14:textId="77777777" w:rsidR="00410954" w:rsidRPr="00A605BB" w:rsidRDefault="00410954" w:rsidP="00644588">
            <w:pPr>
              <w:spacing w:after="24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A605BB">
              <w:rPr>
                <w:sz w:val="20"/>
                <w:szCs w:val="20"/>
              </w:rPr>
              <w:t>46.98</w:t>
            </w:r>
          </w:p>
        </w:tc>
        <w:tc>
          <w:tcPr>
            <w:tcW w:w="709" w:type="dxa"/>
            <w:shd w:val="clear" w:color="auto" w:fill="auto"/>
            <w:noWrap/>
            <w:hideMark/>
          </w:tcPr>
          <w:p w14:paraId="68646710" w14:textId="77777777" w:rsidR="00410954" w:rsidRPr="00A605BB" w:rsidRDefault="00410954" w:rsidP="00644588">
            <w:pPr>
              <w:spacing w:after="24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A605BB">
              <w:rPr>
                <w:sz w:val="20"/>
                <w:szCs w:val="20"/>
              </w:rPr>
              <w:t>&lt;.001</w:t>
            </w:r>
          </w:p>
        </w:tc>
        <w:tc>
          <w:tcPr>
            <w:tcW w:w="711" w:type="dxa"/>
            <w:shd w:val="clear" w:color="auto" w:fill="auto"/>
            <w:noWrap/>
            <w:hideMark/>
          </w:tcPr>
          <w:p w14:paraId="6ED2ACBF" w14:textId="52A9ABB9" w:rsidR="00410954" w:rsidRPr="00A605BB" w:rsidRDefault="00410954" w:rsidP="00644588">
            <w:pPr>
              <w:spacing w:after="24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A605BB">
              <w:rPr>
                <w:sz w:val="20"/>
                <w:szCs w:val="20"/>
              </w:rPr>
              <w:t>0.1</w:t>
            </w:r>
            <w:r w:rsidR="002545B9" w:rsidRPr="00A605BB">
              <w:rPr>
                <w:sz w:val="20"/>
                <w:szCs w:val="20"/>
              </w:rPr>
              <w:t>0</w:t>
            </w:r>
          </w:p>
        </w:tc>
        <w:tc>
          <w:tcPr>
            <w:tcW w:w="422" w:type="dxa"/>
            <w:shd w:val="clear" w:color="auto" w:fill="auto"/>
            <w:noWrap/>
            <w:hideMark/>
          </w:tcPr>
          <w:p w14:paraId="233A16B9" w14:textId="77777777" w:rsidR="00410954" w:rsidRPr="00A605BB" w:rsidRDefault="00410954" w:rsidP="00644588">
            <w:pPr>
              <w:spacing w:after="24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A605BB">
              <w:rPr>
                <w:sz w:val="20"/>
                <w:szCs w:val="20"/>
              </w:rPr>
              <w:t>1</w:t>
            </w:r>
          </w:p>
        </w:tc>
        <w:tc>
          <w:tcPr>
            <w:tcW w:w="850" w:type="dxa"/>
            <w:shd w:val="clear" w:color="auto" w:fill="auto"/>
            <w:noWrap/>
            <w:hideMark/>
          </w:tcPr>
          <w:p w14:paraId="06866A16" w14:textId="77777777" w:rsidR="00410954" w:rsidRPr="00A605BB" w:rsidRDefault="00410954" w:rsidP="00644588">
            <w:pPr>
              <w:spacing w:after="24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A605BB">
              <w:rPr>
                <w:sz w:val="20"/>
                <w:szCs w:val="20"/>
              </w:rPr>
              <w:t>0.01</w:t>
            </w:r>
          </w:p>
        </w:tc>
        <w:tc>
          <w:tcPr>
            <w:tcW w:w="709" w:type="dxa"/>
            <w:shd w:val="clear" w:color="auto" w:fill="auto"/>
            <w:noWrap/>
            <w:hideMark/>
          </w:tcPr>
          <w:p w14:paraId="6DA08E47" w14:textId="243C158C" w:rsidR="00410954" w:rsidRPr="00A605BB" w:rsidRDefault="00410954" w:rsidP="00644588">
            <w:pPr>
              <w:spacing w:after="24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A605BB">
              <w:rPr>
                <w:sz w:val="20"/>
                <w:szCs w:val="20"/>
              </w:rPr>
              <w:t>0.11</w:t>
            </w:r>
          </w:p>
        </w:tc>
        <w:tc>
          <w:tcPr>
            <w:tcW w:w="567" w:type="dxa"/>
            <w:shd w:val="clear" w:color="auto" w:fill="auto"/>
            <w:noWrap/>
            <w:hideMark/>
          </w:tcPr>
          <w:p w14:paraId="437F3427" w14:textId="55D24342" w:rsidR="00410954" w:rsidRPr="00A605BB" w:rsidRDefault="00410954" w:rsidP="00644588">
            <w:pPr>
              <w:spacing w:after="24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A605BB">
              <w:rPr>
                <w:sz w:val="20"/>
                <w:szCs w:val="20"/>
              </w:rPr>
              <w:t>ns</w:t>
            </w:r>
          </w:p>
        </w:tc>
        <w:tc>
          <w:tcPr>
            <w:tcW w:w="708" w:type="dxa"/>
            <w:gridSpan w:val="2"/>
            <w:shd w:val="clear" w:color="auto" w:fill="auto"/>
            <w:noWrap/>
            <w:hideMark/>
          </w:tcPr>
          <w:p w14:paraId="0200877A" w14:textId="08E8C162" w:rsidR="00410954" w:rsidRPr="00A605BB" w:rsidRDefault="00410954" w:rsidP="00644588">
            <w:pPr>
              <w:spacing w:after="24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A605BB">
              <w:rPr>
                <w:sz w:val="20"/>
                <w:szCs w:val="20"/>
              </w:rPr>
              <w:t>0</w:t>
            </w:r>
            <w:r w:rsidR="00E1191C" w:rsidRPr="00A605BB">
              <w:rPr>
                <w:sz w:val="20"/>
                <w:szCs w:val="20"/>
              </w:rPr>
              <w:t>.00</w:t>
            </w:r>
          </w:p>
        </w:tc>
        <w:tc>
          <w:tcPr>
            <w:tcW w:w="992" w:type="dxa"/>
            <w:gridSpan w:val="2"/>
            <w:shd w:val="clear" w:color="auto" w:fill="auto"/>
            <w:noWrap/>
            <w:hideMark/>
          </w:tcPr>
          <w:p w14:paraId="6959F57C" w14:textId="77777777" w:rsidR="00410954" w:rsidRPr="00A605BB" w:rsidRDefault="00410954" w:rsidP="00644588">
            <w:pPr>
              <w:spacing w:after="24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A605BB">
              <w:rPr>
                <w:sz w:val="20"/>
                <w:szCs w:val="20"/>
              </w:rPr>
              <w:t>ns</w:t>
            </w:r>
          </w:p>
        </w:tc>
        <w:tc>
          <w:tcPr>
            <w:tcW w:w="989" w:type="dxa"/>
            <w:gridSpan w:val="2"/>
            <w:shd w:val="clear" w:color="auto" w:fill="auto"/>
            <w:noWrap/>
            <w:hideMark/>
          </w:tcPr>
          <w:p w14:paraId="3B2B8FA9" w14:textId="77777777" w:rsidR="00410954" w:rsidRPr="00A605BB" w:rsidRDefault="00410954" w:rsidP="00644588">
            <w:pPr>
              <w:spacing w:after="24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A605BB">
              <w:rPr>
                <w:sz w:val="20"/>
                <w:szCs w:val="20"/>
              </w:rPr>
              <w:t>ns</w:t>
            </w:r>
          </w:p>
        </w:tc>
      </w:tr>
      <w:tr w:rsidR="00410954" w:rsidRPr="00A605BB" w14:paraId="7D4E7C21" w14:textId="77777777" w:rsidTr="004E41BE">
        <w:trPr>
          <w:trHeight w:val="300"/>
        </w:trPr>
        <w:tc>
          <w:tcPr>
            <w:cnfStyle w:val="001000000000" w:firstRow="0" w:lastRow="0" w:firstColumn="1" w:lastColumn="0" w:oddVBand="0" w:evenVBand="0" w:oddHBand="0" w:evenHBand="0" w:firstRowFirstColumn="0" w:firstRowLastColumn="0" w:lastRowFirstColumn="0" w:lastRowLastColumn="0"/>
            <w:tcW w:w="1701" w:type="dxa"/>
            <w:noWrap/>
            <w:hideMark/>
          </w:tcPr>
          <w:p w14:paraId="6DF8D70A" w14:textId="63B0F91D" w:rsidR="00410954" w:rsidRPr="00A605BB" w:rsidRDefault="004F186D" w:rsidP="004545EF">
            <w:pPr>
              <w:spacing w:after="240" w:line="240" w:lineRule="auto"/>
              <w:jc w:val="center"/>
              <w:rPr>
                <w:sz w:val="20"/>
                <w:szCs w:val="20"/>
              </w:rPr>
            </w:pPr>
            <w:r w:rsidRPr="00A605BB">
              <w:rPr>
                <w:sz w:val="20"/>
                <w:szCs w:val="20"/>
              </w:rPr>
              <w:t>H2h</w:t>
            </w:r>
          </w:p>
        </w:tc>
        <w:tc>
          <w:tcPr>
            <w:tcW w:w="576" w:type="dxa"/>
            <w:noWrap/>
            <w:hideMark/>
          </w:tcPr>
          <w:p w14:paraId="7E5E9570" w14:textId="77777777" w:rsidR="00410954" w:rsidRPr="00A605BB" w:rsidRDefault="00410954" w:rsidP="00644588">
            <w:pPr>
              <w:spacing w:after="24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A605BB">
              <w:rPr>
                <w:sz w:val="20"/>
                <w:szCs w:val="20"/>
              </w:rPr>
              <w:t>405</w:t>
            </w:r>
          </w:p>
        </w:tc>
        <w:tc>
          <w:tcPr>
            <w:tcW w:w="531" w:type="dxa"/>
            <w:noWrap/>
            <w:hideMark/>
          </w:tcPr>
          <w:p w14:paraId="0D97DECE" w14:textId="77777777" w:rsidR="00410954" w:rsidRPr="00A605BB" w:rsidRDefault="00410954" w:rsidP="00644588">
            <w:pPr>
              <w:spacing w:after="24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A605BB">
              <w:rPr>
                <w:sz w:val="20"/>
                <w:szCs w:val="20"/>
              </w:rPr>
              <w:t>1</w:t>
            </w:r>
          </w:p>
        </w:tc>
        <w:tc>
          <w:tcPr>
            <w:tcW w:w="878" w:type="dxa"/>
            <w:noWrap/>
            <w:hideMark/>
          </w:tcPr>
          <w:p w14:paraId="164B34B8" w14:textId="77777777" w:rsidR="00410954" w:rsidRPr="00A605BB" w:rsidRDefault="00410954" w:rsidP="00644588">
            <w:pPr>
              <w:spacing w:after="24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A605BB">
              <w:rPr>
                <w:sz w:val="20"/>
                <w:szCs w:val="20"/>
              </w:rPr>
              <w:t>25.43</w:t>
            </w:r>
          </w:p>
        </w:tc>
        <w:tc>
          <w:tcPr>
            <w:tcW w:w="850" w:type="dxa"/>
            <w:noWrap/>
            <w:hideMark/>
          </w:tcPr>
          <w:p w14:paraId="5E322CF1" w14:textId="77777777" w:rsidR="00410954" w:rsidRPr="00A605BB" w:rsidRDefault="00410954" w:rsidP="00644588">
            <w:pPr>
              <w:spacing w:after="24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A605BB">
              <w:rPr>
                <w:sz w:val="20"/>
                <w:szCs w:val="20"/>
              </w:rPr>
              <w:t>122.06</w:t>
            </w:r>
          </w:p>
        </w:tc>
        <w:tc>
          <w:tcPr>
            <w:tcW w:w="709" w:type="dxa"/>
            <w:noWrap/>
            <w:hideMark/>
          </w:tcPr>
          <w:p w14:paraId="45F2F8EF" w14:textId="77777777" w:rsidR="00410954" w:rsidRPr="00A605BB" w:rsidRDefault="00410954" w:rsidP="00644588">
            <w:pPr>
              <w:spacing w:after="24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A605BB">
              <w:rPr>
                <w:sz w:val="20"/>
                <w:szCs w:val="20"/>
              </w:rPr>
              <w:t>&lt;.001</w:t>
            </w:r>
          </w:p>
        </w:tc>
        <w:tc>
          <w:tcPr>
            <w:tcW w:w="709" w:type="dxa"/>
            <w:noWrap/>
            <w:hideMark/>
          </w:tcPr>
          <w:p w14:paraId="1544CB6F" w14:textId="77777777" w:rsidR="00410954" w:rsidRPr="00A605BB" w:rsidRDefault="00410954" w:rsidP="00644588">
            <w:pPr>
              <w:spacing w:after="24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A605BB">
              <w:rPr>
                <w:sz w:val="20"/>
                <w:szCs w:val="20"/>
              </w:rPr>
              <w:t>0.23</w:t>
            </w:r>
          </w:p>
        </w:tc>
        <w:tc>
          <w:tcPr>
            <w:tcW w:w="424" w:type="dxa"/>
            <w:noWrap/>
            <w:hideMark/>
          </w:tcPr>
          <w:p w14:paraId="0B3D164D" w14:textId="77777777" w:rsidR="00410954" w:rsidRPr="00A605BB" w:rsidRDefault="00410954" w:rsidP="00644588">
            <w:pPr>
              <w:spacing w:after="24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A605BB">
              <w:rPr>
                <w:sz w:val="20"/>
                <w:szCs w:val="20"/>
              </w:rPr>
              <w:t>1</w:t>
            </w:r>
          </w:p>
        </w:tc>
        <w:tc>
          <w:tcPr>
            <w:tcW w:w="851" w:type="dxa"/>
            <w:noWrap/>
            <w:hideMark/>
          </w:tcPr>
          <w:p w14:paraId="418D4B8F" w14:textId="77777777" w:rsidR="00410954" w:rsidRPr="00A605BB" w:rsidRDefault="00410954" w:rsidP="00644588">
            <w:pPr>
              <w:spacing w:after="24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A605BB">
              <w:rPr>
                <w:sz w:val="20"/>
                <w:szCs w:val="20"/>
              </w:rPr>
              <w:t>2.04</w:t>
            </w:r>
          </w:p>
        </w:tc>
        <w:tc>
          <w:tcPr>
            <w:tcW w:w="709" w:type="dxa"/>
            <w:noWrap/>
            <w:hideMark/>
          </w:tcPr>
          <w:p w14:paraId="649880A4" w14:textId="77777777" w:rsidR="00410954" w:rsidRPr="00A605BB" w:rsidRDefault="00410954" w:rsidP="00644588">
            <w:pPr>
              <w:spacing w:after="24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A605BB">
              <w:rPr>
                <w:sz w:val="20"/>
                <w:szCs w:val="20"/>
              </w:rPr>
              <w:t>5.66</w:t>
            </w:r>
          </w:p>
        </w:tc>
        <w:tc>
          <w:tcPr>
            <w:tcW w:w="709" w:type="dxa"/>
            <w:noWrap/>
            <w:hideMark/>
          </w:tcPr>
          <w:p w14:paraId="498C0FA9" w14:textId="77777777" w:rsidR="00410954" w:rsidRPr="00A605BB" w:rsidRDefault="00410954" w:rsidP="00644588">
            <w:pPr>
              <w:spacing w:after="24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A605BB">
              <w:rPr>
                <w:sz w:val="20"/>
                <w:szCs w:val="20"/>
              </w:rPr>
              <w:t>0.02</w:t>
            </w:r>
          </w:p>
        </w:tc>
        <w:tc>
          <w:tcPr>
            <w:tcW w:w="711" w:type="dxa"/>
            <w:noWrap/>
            <w:hideMark/>
          </w:tcPr>
          <w:p w14:paraId="1D419872" w14:textId="77777777" w:rsidR="00410954" w:rsidRPr="00A605BB" w:rsidRDefault="00410954" w:rsidP="00644588">
            <w:pPr>
              <w:spacing w:after="24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A605BB">
              <w:rPr>
                <w:sz w:val="20"/>
                <w:szCs w:val="20"/>
              </w:rPr>
              <w:t>0.01</w:t>
            </w:r>
          </w:p>
        </w:tc>
        <w:tc>
          <w:tcPr>
            <w:tcW w:w="422" w:type="dxa"/>
            <w:noWrap/>
            <w:hideMark/>
          </w:tcPr>
          <w:p w14:paraId="7881FCEA" w14:textId="77777777" w:rsidR="00410954" w:rsidRPr="00A605BB" w:rsidRDefault="00410954" w:rsidP="00644588">
            <w:pPr>
              <w:spacing w:after="24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A605BB">
              <w:rPr>
                <w:sz w:val="20"/>
                <w:szCs w:val="20"/>
              </w:rPr>
              <w:t>1</w:t>
            </w:r>
          </w:p>
        </w:tc>
        <w:tc>
          <w:tcPr>
            <w:tcW w:w="850" w:type="dxa"/>
            <w:noWrap/>
            <w:hideMark/>
          </w:tcPr>
          <w:p w14:paraId="2DD0A35B" w14:textId="77777777" w:rsidR="00410954" w:rsidRPr="00A605BB" w:rsidRDefault="00410954" w:rsidP="00644588">
            <w:pPr>
              <w:spacing w:after="24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A605BB">
              <w:rPr>
                <w:sz w:val="20"/>
                <w:szCs w:val="20"/>
              </w:rPr>
              <w:t>0.86</w:t>
            </w:r>
          </w:p>
        </w:tc>
        <w:tc>
          <w:tcPr>
            <w:tcW w:w="709" w:type="dxa"/>
            <w:noWrap/>
            <w:hideMark/>
          </w:tcPr>
          <w:p w14:paraId="3817A7C3" w14:textId="77777777" w:rsidR="00410954" w:rsidRPr="00A605BB" w:rsidRDefault="00410954" w:rsidP="00644588">
            <w:pPr>
              <w:spacing w:after="24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A605BB">
              <w:rPr>
                <w:sz w:val="20"/>
                <w:szCs w:val="20"/>
              </w:rPr>
              <w:t>5.59</w:t>
            </w:r>
          </w:p>
        </w:tc>
        <w:tc>
          <w:tcPr>
            <w:tcW w:w="567" w:type="dxa"/>
            <w:noWrap/>
            <w:hideMark/>
          </w:tcPr>
          <w:p w14:paraId="7E8BA52C" w14:textId="77777777" w:rsidR="00410954" w:rsidRPr="00A605BB" w:rsidRDefault="00410954" w:rsidP="00644588">
            <w:pPr>
              <w:spacing w:after="24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A605BB">
              <w:rPr>
                <w:sz w:val="20"/>
                <w:szCs w:val="20"/>
              </w:rPr>
              <w:t>0.02</w:t>
            </w:r>
          </w:p>
        </w:tc>
        <w:tc>
          <w:tcPr>
            <w:tcW w:w="708" w:type="dxa"/>
            <w:gridSpan w:val="2"/>
            <w:noWrap/>
            <w:hideMark/>
          </w:tcPr>
          <w:p w14:paraId="4E4C982C" w14:textId="77777777" w:rsidR="00410954" w:rsidRPr="00A605BB" w:rsidRDefault="00410954" w:rsidP="00644588">
            <w:pPr>
              <w:spacing w:after="24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A605BB">
              <w:rPr>
                <w:sz w:val="20"/>
                <w:szCs w:val="20"/>
              </w:rPr>
              <w:t>0.01</w:t>
            </w:r>
          </w:p>
        </w:tc>
        <w:tc>
          <w:tcPr>
            <w:tcW w:w="992" w:type="dxa"/>
            <w:gridSpan w:val="2"/>
            <w:noWrap/>
            <w:hideMark/>
          </w:tcPr>
          <w:p w14:paraId="6B76AE51" w14:textId="17327F1F" w:rsidR="00410954" w:rsidRPr="00A605BB" w:rsidRDefault="00410954" w:rsidP="00644588">
            <w:pPr>
              <w:spacing w:after="24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A605BB">
              <w:rPr>
                <w:sz w:val="20"/>
                <w:szCs w:val="20"/>
              </w:rPr>
              <w:t>ns</w:t>
            </w:r>
          </w:p>
        </w:tc>
        <w:tc>
          <w:tcPr>
            <w:tcW w:w="989" w:type="dxa"/>
            <w:gridSpan w:val="2"/>
            <w:noWrap/>
            <w:hideMark/>
          </w:tcPr>
          <w:p w14:paraId="430A4D91" w14:textId="77777777" w:rsidR="00410954" w:rsidRPr="00A605BB" w:rsidRDefault="00410954" w:rsidP="00644588">
            <w:pPr>
              <w:spacing w:after="24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A605BB">
              <w:rPr>
                <w:sz w:val="20"/>
                <w:szCs w:val="20"/>
              </w:rPr>
              <w:t>&lt;.001</w:t>
            </w:r>
          </w:p>
        </w:tc>
      </w:tr>
    </w:tbl>
    <w:p w14:paraId="359160E9" w14:textId="522FE1A2" w:rsidR="0011001D" w:rsidRPr="00A605BB" w:rsidRDefault="0011001D" w:rsidP="0071548A">
      <w:pPr>
        <w:spacing w:line="240" w:lineRule="auto"/>
      </w:pPr>
    </w:p>
    <w:p w14:paraId="4621B6CB" w14:textId="77777777" w:rsidR="004545EF" w:rsidRPr="00A605BB" w:rsidRDefault="005F60A3" w:rsidP="004545EF">
      <w:pPr>
        <w:autoSpaceDE w:val="0"/>
        <w:autoSpaceDN w:val="0"/>
        <w:adjustRightInd w:val="0"/>
        <w:spacing w:line="240" w:lineRule="auto"/>
        <w:jc w:val="both"/>
        <w:rPr>
          <w:sz w:val="20"/>
          <w:szCs w:val="20"/>
        </w:rPr>
      </w:pPr>
      <w:r w:rsidRPr="00A605BB">
        <w:rPr>
          <w:i/>
          <w:iCs/>
          <w:sz w:val="20"/>
          <w:szCs w:val="20"/>
        </w:rPr>
        <w:t xml:space="preserve">Notes: </w:t>
      </w:r>
      <w:proofErr w:type="spellStart"/>
      <w:proofErr w:type="gramStart"/>
      <w:r w:rsidRPr="00A605BB">
        <w:rPr>
          <w:sz w:val="20"/>
          <w:szCs w:val="20"/>
          <w:vertAlign w:val="superscript"/>
        </w:rPr>
        <w:t>a</w:t>
      </w:r>
      <w:proofErr w:type="spellEnd"/>
      <w:proofErr w:type="gramEnd"/>
      <w:r w:rsidRPr="00A605BB">
        <w:rPr>
          <w:sz w:val="20"/>
          <w:szCs w:val="20"/>
        </w:rPr>
        <w:t xml:space="preserve"> Adjustment for multiple comparisons: Bonferroni.</w:t>
      </w:r>
      <w:r w:rsidR="004545EF" w:rsidRPr="00A605BB">
        <w:rPr>
          <w:sz w:val="20"/>
          <w:szCs w:val="20"/>
        </w:rPr>
        <w:t xml:space="preserve"> </w:t>
      </w:r>
    </w:p>
    <w:p w14:paraId="47AAB903" w14:textId="71687280" w:rsidR="0002402B" w:rsidRPr="00A605BB" w:rsidRDefault="004545EF" w:rsidP="004545EF">
      <w:pPr>
        <w:autoSpaceDE w:val="0"/>
        <w:autoSpaceDN w:val="0"/>
        <w:adjustRightInd w:val="0"/>
        <w:spacing w:line="240" w:lineRule="auto"/>
        <w:jc w:val="both"/>
      </w:pPr>
      <w:r w:rsidRPr="00A605BB">
        <w:rPr>
          <w:i/>
          <w:iCs/>
          <w:sz w:val="20"/>
          <w:szCs w:val="20"/>
        </w:rPr>
        <w:t>Competency Key</w:t>
      </w:r>
      <w:r w:rsidRPr="00A605BB">
        <w:rPr>
          <w:sz w:val="20"/>
          <w:szCs w:val="20"/>
        </w:rPr>
        <w:t xml:space="preserve">: </w:t>
      </w:r>
      <w:r w:rsidR="004F186D" w:rsidRPr="00A605BB">
        <w:rPr>
          <w:sz w:val="20"/>
          <w:szCs w:val="20"/>
        </w:rPr>
        <w:t>(H2a</w:t>
      </w:r>
      <w:r w:rsidRPr="00A605BB">
        <w:rPr>
          <w:rFonts w:eastAsia="TimesNRMTStd-Regular"/>
          <w:sz w:val="20"/>
          <w:szCs w:val="20"/>
        </w:rPr>
        <w:t>) leading and deciding, (</w:t>
      </w:r>
      <w:r w:rsidR="004F186D" w:rsidRPr="00A605BB">
        <w:rPr>
          <w:rFonts w:eastAsia="TimesNRMTStd-Regular"/>
          <w:sz w:val="20"/>
          <w:szCs w:val="20"/>
        </w:rPr>
        <w:t>H2b</w:t>
      </w:r>
      <w:r w:rsidRPr="00A605BB">
        <w:rPr>
          <w:rFonts w:eastAsia="TimesNRMTStd-Regular"/>
          <w:sz w:val="20"/>
          <w:szCs w:val="20"/>
        </w:rPr>
        <w:t>) supporting and cooperating, (</w:t>
      </w:r>
      <w:r w:rsidR="004F186D" w:rsidRPr="00A605BB">
        <w:rPr>
          <w:rFonts w:eastAsia="TimesNRMTStd-Regular"/>
          <w:sz w:val="20"/>
          <w:szCs w:val="20"/>
        </w:rPr>
        <w:t>H2c</w:t>
      </w:r>
      <w:r w:rsidRPr="00A605BB">
        <w:rPr>
          <w:rFonts w:eastAsia="TimesNRMTStd-Regular"/>
          <w:sz w:val="20"/>
          <w:szCs w:val="20"/>
        </w:rPr>
        <w:t>) interacting and presenting, (</w:t>
      </w:r>
      <w:r w:rsidR="004F186D" w:rsidRPr="00A605BB">
        <w:rPr>
          <w:rFonts w:eastAsia="TimesNRMTStd-Regular"/>
          <w:sz w:val="20"/>
          <w:szCs w:val="20"/>
        </w:rPr>
        <w:t>H2d</w:t>
      </w:r>
      <w:r w:rsidRPr="00A605BB">
        <w:rPr>
          <w:rFonts w:eastAsia="TimesNRMTStd-Regular"/>
          <w:sz w:val="20"/>
          <w:szCs w:val="20"/>
        </w:rPr>
        <w:t>) analysing and interpreting, (</w:t>
      </w:r>
      <w:r w:rsidR="004F186D" w:rsidRPr="00A605BB">
        <w:rPr>
          <w:rFonts w:eastAsia="TimesNRMTStd-Regular"/>
          <w:sz w:val="20"/>
          <w:szCs w:val="20"/>
        </w:rPr>
        <w:t>H2e</w:t>
      </w:r>
      <w:r w:rsidRPr="00A605BB">
        <w:rPr>
          <w:rFonts w:eastAsia="TimesNRMTStd-Regular"/>
          <w:sz w:val="20"/>
          <w:szCs w:val="20"/>
        </w:rPr>
        <w:t>) creating and conceptualising,</w:t>
      </w:r>
      <w:r w:rsidR="004F186D" w:rsidRPr="00A605BB">
        <w:rPr>
          <w:rFonts w:eastAsia="TimesNRMTStd-Regular"/>
          <w:sz w:val="20"/>
          <w:szCs w:val="20"/>
        </w:rPr>
        <w:t xml:space="preserve"> </w:t>
      </w:r>
      <w:r w:rsidRPr="00A605BB">
        <w:rPr>
          <w:rFonts w:eastAsia="TimesNRMTStd-Regular"/>
          <w:sz w:val="20"/>
          <w:szCs w:val="20"/>
        </w:rPr>
        <w:t>(</w:t>
      </w:r>
      <w:r w:rsidR="004F186D" w:rsidRPr="00A605BB">
        <w:rPr>
          <w:rFonts w:eastAsia="TimesNRMTStd-Regular"/>
          <w:sz w:val="20"/>
          <w:szCs w:val="20"/>
        </w:rPr>
        <w:t>H2f</w:t>
      </w:r>
      <w:r w:rsidRPr="00A605BB">
        <w:rPr>
          <w:rFonts w:eastAsia="TimesNRMTStd-Regular"/>
          <w:sz w:val="20"/>
          <w:szCs w:val="20"/>
        </w:rPr>
        <w:t>) organising and executing, (</w:t>
      </w:r>
      <w:r w:rsidR="004F186D" w:rsidRPr="00A605BB">
        <w:rPr>
          <w:rFonts w:eastAsia="TimesNRMTStd-Regular"/>
          <w:sz w:val="20"/>
          <w:szCs w:val="20"/>
        </w:rPr>
        <w:t>H2g</w:t>
      </w:r>
      <w:r w:rsidRPr="00A605BB">
        <w:rPr>
          <w:rFonts w:eastAsia="TimesNRMTStd-Regular"/>
          <w:sz w:val="20"/>
          <w:szCs w:val="20"/>
        </w:rPr>
        <w:t>) adapting and coping, and (</w:t>
      </w:r>
      <w:r w:rsidR="004F186D" w:rsidRPr="00A605BB">
        <w:rPr>
          <w:rFonts w:eastAsia="TimesNRMTStd-Regular"/>
          <w:sz w:val="20"/>
          <w:szCs w:val="20"/>
        </w:rPr>
        <w:t>H2h</w:t>
      </w:r>
      <w:r w:rsidRPr="00A605BB">
        <w:rPr>
          <w:rFonts w:eastAsia="TimesNRMTStd-Regular"/>
          <w:sz w:val="20"/>
          <w:szCs w:val="20"/>
        </w:rPr>
        <w:t>) enterprising and performance.</w:t>
      </w:r>
      <w:r w:rsidR="0002402B" w:rsidRPr="00A605BB">
        <w:br w:type="page"/>
      </w:r>
    </w:p>
    <w:p w14:paraId="01AEE377" w14:textId="6BA0F874" w:rsidR="00161AFE" w:rsidRPr="00A605BB" w:rsidRDefault="00B064E1" w:rsidP="00E1191C">
      <w:pPr>
        <w:autoSpaceDE w:val="0"/>
        <w:autoSpaceDN w:val="0"/>
        <w:adjustRightInd w:val="0"/>
        <w:jc w:val="both"/>
        <w:rPr>
          <w:b/>
          <w:bCs/>
        </w:rPr>
      </w:pPr>
      <w:r w:rsidRPr="00A605BB">
        <w:rPr>
          <w:b/>
          <w:bCs/>
        </w:rPr>
        <w:lastRenderedPageBreak/>
        <w:t xml:space="preserve">Figure </w:t>
      </w:r>
      <w:r w:rsidR="007505E1" w:rsidRPr="00A605BB">
        <w:rPr>
          <w:b/>
          <w:bCs/>
        </w:rPr>
        <w:t>1</w:t>
      </w:r>
      <w:r w:rsidRPr="00A605BB">
        <w:rPr>
          <w:b/>
          <w:bCs/>
        </w:rPr>
        <w:t>.</w:t>
      </w:r>
    </w:p>
    <w:p w14:paraId="673906BD" w14:textId="06A4B7DB" w:rsidR="00B064E1" w:rsidRPr="00A605BB" w:rsidRDefault="006053A1" w:rsidP="00E1191C">
      <w:pPr>
        <w:autoSpaceDE w:val="0"/>
        <w:autoSpaceDN w:val="0"/>
        <w:adjustRightInd w:val="0"/>
        <w:jc w:val="both"/>
      </w:pPr>
      <w:r w:rsidRPr="00A605BB">
        <w:t xml:space="preserve">Students’ self-reported competency development across the Great </w:t>
      </w:r>
      <w:r w:rsidR="004F186D" w:rsidRPr="00A605BB">
        <w:t>8</w:t>
      </w:r>
      <w:r w:rsidRPr="00A605BB">
        <w:t xml:space="preserve"> sub-scales</w:t>
      </w:r>
      <w:r w:rsidR="004F186D" w:rsidRPr="00A605BB">
        <w:t>.</w:t>
      </w:r>
    </w:p>
    <w:p w14:paraId="71BCE045" w14:textId="1E99E6A9" w:rsidR="007505E1" w:rsidRPr="00A605BB" w:rsidRDefault="006053A1" w:rsidP="00E1191C">
      <w:pPr>
        <w:autoSpaceDE w:val="0"/>
        <w:autoSpaceDN w:val="0"/>
        <w:adjustRightInd w:val="0"/>
        <w:jc w:val="both"/>
      </w:pPr>
      <w:r w:rsidRPr="00A605BB">
        <w:rPr>
          <w:noProof/>
        </w:rPr>
        <w:drawing>
          <wp:inline distT="0" distB="0" distL="0" distR="0" wp14:anchorId="3FEBE40C" wp14:editId="6355C933">
            <wp:extent cx="6538595" cy="4314825"/>
            <wp:effectExtent l="0" t="0" r="14605" b="9525"/>
            <wp:docPr id="3" name="Chart 3">
              <a:extLst xmlns:a="http://schemas.openxmlformats.org/drawingml/2006/main">
                <a:ext uri="{FF2B5EF4-FFF2-40B4-BE49-F238E27FC236}">
                  <a16:creationId xmlns:a16="http://schemas.microsoft.com/office/drawing/2014/main" id="{B01A8E9F-70F2-054D-BEE5-8312A271435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132B2B2" w14:textId="77777777" w:rsidR="007505E1" w:rsidRPr="00A605BB" w:rsidRDefault="007505E1">
      <w:pPr>
        <w:spacing w:line="240" w:lineRule="auto"/>
      </w:pPr>
      <w:r w:rsidRPr="00A605BB">
        <w:br w:type="page"/>
      </w:r>
    </w:p>
    <w:p w14:paraId="60FE0D36" w14:textId="1849B901" w:rsidR="007505E1" w:rsidRPr="00A605BB" w:rsidRDefault="007505E1" w:rsidP="007505E1">
      <w:pPr>
        <w:autoSpaceDE w:val="0"/>
        <w:autoSpaceDN w:val="0"/>
        <w:adjustRightInd w:val="0"/>
        <w:jc w:val="both"/>
        <w:rPr>
          <w:b/>
          <w:bCs/>
        </w:rPr>
      </w:pPr>
      <w:r w:rsidRPr="00A605BB">
        <w:rPr>
          <w:b/>
          <w:bCs/>
        </w:rPr>
        <w:lastRenderedPageBreak/>
        <w:t xml:space="preserve">Figure 2. </w:t>
      </w:r>
    </w:p>
    <w:p w14:paraId="0D4DB373" w14:textId="77777777" w:rsidR="007505E1" w:rsidRPr="00A605BB" w:rsidRDefault="007505E1" w:rsidP="007505E1">
      <w:pPr>
        <w:autoSpaceDE w:val="0"/>
        <w:autoSpaceDN w:val="0"/>
        <w:adjustRightInd w:val="0"/>
        <w:jc w:val="both"/>
      </w:pPr>
      <w:r w:rsidRPr="00A605BB">
        <w:t>Radar plot illustrating student and line manager ratings of competency development</w:t>
      </w:r>
    </w:p>
    <w:p w14:paraId="78EA0CA7" w14:textId="3601C5C1" w:rsidR="007505E1" w:rsidRDefault="00F624A7" w:rsidP="007505E1">
      <w:pPr>
        <w:autoSpaceDE w:val="0"/>
        <w:autoSpaceDN w:val="0"/>
        <w:adjustRightInd w:val="0"/>
        <w:jc w:val="both"/>
      </w:pPr>
      <w:r w:rsidRPr="00A605BB">
        <w:rPr>
          <w:noProof/>
        </w:rPr>
        <mc:AlternateContent>
          <mc:Choice Requires="wps">
            <w:drawing>
              <wp:anchor distT="0" distB="0" distL="114300" distR="114300" simplePos="0" relativeHeight="251659264" behindDoc="0" locked="0" layoutInCell="1" allowOverlap="1" wp14:anchorId="781C8126" wp14:editId="686DA015">
                <wp:simplePos x="0" y="0"/>
                <wp:positionH relativeFrom="column">
                  <wp:posOffset>200025</wp:posOffset>
                </wp:positionH>
                <wp:positionV relativeFrom="paragraph">
                  <wp:posOffset>3927475</wp:posOffset>
                </wp:positionV>
                <wp:extent cx="485775" cy="228600"/>
                <wp:effectExtent l="0" t="0" r="0" b="0"/>
                <wp:wrapNone/>
                <wp:docPr id="2" name="TextBox 1">
                  <a:extLst xmlns:a="http://schemas.openxmlformats.org/drawingml/2006/main">
                    <a:ext uri="{FF2B5EF4-FFF2-40B4-BE49-F238E27FC236}">
                      <a16:creationId xmlns:a16="http://schemas.microsoft.com/office/drawing/2014/main" id="{5905EF02-ACCD-219F-F569-2AB52707BF9F}"/>
                    </a:ext>
                  </a:extLst>
                </wp:docPr>
                <wp:cNvGraphicFramePr/>
                <a:graphic xmlns:a="http://schemas.openxmlformats.org/drawingml/2006/main">
                  <a:graphicData uri="http://schemas.microsoft.com/office/word/2010/wordprocessingShape">
                    <wps:wsp>
                      <wps:cNvSpPr txBox="1"/>
                      <wps:spPr>
                        <a:xfrm>
                          <a:off x="0" y="0"/>
                          <a:ext cx="485775" cy="228600"/>
                        </a:xfrm>
                        <a:prstGeom prst="rect">
                          <a:avLst/>
                        </a:prstGeom>
                      </wps:spPr>
                      <wps:txbx>
                        <w:txbxContent>
                          <w:p w14:paraId="43A4501B" w14:textId="77777777" w:rsidR="00F624A7" w:rsidRDefault="00F624A7" w:rsidP="00F624A7">
                            <w:pPr>
                              <w:rPr>
                                <w:rFonts w:asciiTheme="minorHAnsi" w:hAnsi="Calibri" w:cstheme="minorBidi"/>
                                <w:b/>
                                <w:bCs/>
                                <w:sz w:val="22"/>
                                <w:szCs w:val="22"/>
                              </w:rPr>
                            </w:pPr>
                            <w:r w:rsidRPr="007E49C7">
                              <w:rPr>
                                <w:rFonts w:asciiTheme="minorHAnsi" w:hAnsi="Calibri" w:cstheme="minorBidi"/>
                                <w:b/>
                                <w:bCs/>
                                <w:sz w:val="22"/>
                                <w:szCs w:val="22"/>
                                <w:highlight w:val="yellow"/>
                              </w:rPr>
                              <w:t>KEY</w:t>
                            </w:r>
                            <w:r>
                              <w:rPr>
                                <w:rFonts w:asciiTheme="minorHAnsi" w:hAnsi="Calibri" w:cstheme="minorBidi"/>
                                <w:b/>
                                <w:bCs/>
                                <w:sz w:val="22"/>
                                <w:szCs w:val="22"/>
                              </w:rPr>
                              <w:t>:</w:t>
                            </w:r>
                          </w:p>
                        </w:txbxContent>
                      </wps:txbx>
                      <wps:bodyPr vertOverflow="clip" wrap="square" rtlCol="0"/>
                    </wps:wsp>
                  </a:graphicData>
                </a:graphic>
              </wp:anchor>
            </w:drawing>
          </mc:Choice>
          <mc:Fallback>
            <w:pict>
              <v:shapetype w14:anchorId="781C8126" id="_x0000_t202" coordsize="21600,21600" o:spt="202" path="m,l,21600r21600,l21600,xe">
                <v:stroke joinstyle="miter"/>
                <v:path gradientshapeok="t" o:connecttype="rect"/>
              </v:shapetype>
              <v:shape id="TextBox 1" o:spid="_x0000_s1026" type="#_x0000_t202" style="position:absolute;left:0;text-align:left;margin-left:15.75pt;margin-top:309.25pt;width:38.25pt;height:1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" filled="f" stroked="f">
                <v:textbox>
                  <w:txbxContent>
                    <w:p w14:paraId="43A4501B" w14:textId="77777777" w:rsidR="00F624A7" w:rsidRDefault="00F624A7" w:rsidP="00F624A7">
                      <w:pPr>
                        <w:rPr>
                          <w:rFonts w:asciiTheme="minorHAnsi" w:hAnsi="Calibri" w:cstheme="minorBidi"/>
                          <w:b/>
                          <w:bCs/>
                          <w:sz w:val="22"/>
                          <w:szCs w:val="22"/>
                        </w:rPr>
                      </w:pPr>
                      <w:r w:rsidRPr="007E49C7">
                        <w:rPr>
                          <w:rFonts w:asciiTheme="minorHAnsi" w:hAnsi="Calibri" w:cstheme="minorBidi"/>
                          <w:b/>
                          <w:bCs/>
                          <w:sz w:val="22"/>
                          <w:szCs w:val="22"/>
                          <w:highlight w:val="yellow"/>
                        </w:rPr>
                        <w:t>KEY</w:t>
                      </w:r>
                      <w:r>
                        <w:rPr>
                          <w:rFonts w:asciiTheme="minorHAnsi" w:hAnsi="Calibri" w:cstheme="minorBidi"/>
                          <w:b/>
                          <w:bCs/>
                          <w:sz w:val="22"/>
                          <w:szCs w:val="22"/>
                        </w:rPr>
                        <w:t>:</w:t>
                      </w:r>
                    </w:p>
                  </w:txbxContent>
                </v:textbox>
              </v:shape>
            </w:pict>
          </mc:Fallback>
        </mc:AlternateContent>
      </w:r>
      <w:r w:rsidR="007505E1" w:rsidRPr="00A605BB">
        <w:rPr>
          <w:noProof/>
        </w:rPr>
        <w:drawing>
          <wp:inline distT="0" distB="0" distL="0" distR="0" wp14:anchorId="4C11904B" wp14:editId="5EE6DE56">
            <wp:extent cx="6591300" cy="4229100"/>
            <wp:effectExtent l="0" t="0" r="0" b="0"/>
            <wp:docPr id="1" name="Chart 1">
              <a:extLst xmlns:a="http://schemas.openxmlformats.org/drawingml/2006/main">
                <a:ext uri="{FF2B5EF4-FFF2-40B4-BE49-F238E27FC236}">
                  <a16:creationId xmlns:a16="http://schemas.microsoft.com/office/drawing/2014/main" id="{E637803F-317E-385D-3EE7-65A5FA80D9C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4CEDA4F" w14:textId="473E2442" w:rsidR="006053A1" w:rsidRPr="00E1191C" w:rsidRDefault="006053A1" w:rsidP="007505E1">
      <w:pPr>
        <w:spacing w:line="240" w:lineRule="auto"/>
      </w:pPr>
    </w:p>
    <w:sectPr w:rsidR="006053A1" w:rsidRPr="00E1191C" w:rsidSect="00696B0E">
      <w:pgSz w:w="16840" w:h="11901" w:orient="landscape" w:code="9"/>
      <w:pgMar w:top="1701"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43878" w14:textId="77777777" w:rsidR="008974A0" w:rsidRDefault="008974A0" w:rsidP="00AF2C92">
      <w:r>
        <w:separator/>
      </w:r>
    </w:p>
  </w:endnote>
  <w:endnote w:type="continuationSeparator" w:id="0">
    <w:p w14:paraId="512DF152" w14:textId="77777777" w:rsidR="008974A0" w:rsidRDefault="008974A0" w:rsidP="00AF2C92">
      <w:r>
        <w:continuationSeparator/>
      </w:r>
    </w:p>
  </w:endnote>
  <w:endnote w:type="continuationNotice" w:id="1">
    <w:p w14:paraId="2577E229" w14:textId="77777777" w:rsidR="008974A0" w:rsidRDefault="008974A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RMTStd-Regular">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C59D4" w14:textId="77777777" w:rsidR="008974A0" w:rsidRDefault="008974A0" w:rsidP="00AF2C92">
      <w:r>
        <w:separator/>
      </w:r>
    </w:p>
  </w:footnote>
  <w:footnote w:type="continuationSeparator" w:id="0">
    <w:p w14:paraId="14250E8F" w14:textId="77777777" w:rsidR="008974A0" w:rsidRDefault="008974A0" w:rsidP="00AF2C92">
      <w:r>
        <w:continuationSeparator/>
      </w:r>
    </w:p>
  </w:footnote>
  <w:footnote w:type="continuationNotice" w:id="1">
    <w:p w14:paraId="25D72245" w14:textId="77777777" w:rsidR="008974A0" w:rsidRDefault="008974A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943090"/>
      <w:docPartObj>
        <w:docPartGallery w:val="Page Numbers (Top of Page)"/>
        <w:docPartUnique/>
      </w:docPartObj>
    </w:sdtPr>
    <w:sdtContent>
      <w:p w14:paraId="30A59812" w14:textId="77777777" w:rsidR="00847EE0" w:rsidRDefault="00765208" w:rsidP="00923CC9">
        <w:pPr>
          <w:pStyle w:val="Footer"/>
          <w:tabs>
            <w:tab w:val="clear" w:pos="4320"/>
            <w:tab w:val="center" w:pos="8364"/>
          </w:tabs>
        </w:pPr>
        <w:r w:rsidRPr="00765208">
          <w:t>PLACEMENTS AND COMPETENCIES</w:t>
        </w:r>
        <w:r w:rsidR="00923CC9">
          <w:tab/>
        </w:r>
        <w:r w:rsidR="00923CC9" w:rsidRPr="00583BC8">
          <w:fldChar w:fldCharType="begin"/>
        </w:r>
        <w:r w:rsidR="00923CC9" w:rsidRPr="00583BC8">
          <w:instrText xml:space="preserve"> PAGE </w:instrText>
        </w:r>
        <w:r w:rsidR="00923CC9" w:rsidRPr="00583BC8">
          <w:fldChar w:fldCharType="separate"/>
        </w:r>
        <w:r w:rsidR="00923CC9">
          <w:t>1</w:t>
        </w:r>
        <w:r w:rsidR="00923CC9" w:rsidRPr="00583BC8">
          <w:fldChar w:fldCharType="end"/>
        </w:r>
      </w:p>
      <w:p w14:paraId="4418C539" w14:textId="2A87A3D9" w:rsidR="002211DD" w:rsidRPr="00923CC9" w:rsidRDefault="00000000" w:rsidP="00923CC9">
        <w:pPr>
          <w:pStyle w:val="Footer"/>
          <w:tabs>
            <w:tab w:val="clear" w:pos="4320"/>
            <w:tab w:val="center" w:pos="8364"/>
          </w:tabs>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3ED10" w14:textId="08EFBD14" w:rsidR="00696B0E" w:rsidRDefault="00696B0E" w:rsidP="00696B0E">
    <w:pPr>
      <w:pStyle w:val="Header"/>
      <w:tabs>
        <w:tab w:val="clear" w:pos="8640"/>
        <w:tab w:val="right" w:pos="5670"/>
      </w:tabs>
    </w:pPr>
    <w:r w:rsidRPr="00765208">
      <w:t>PLACEMENTS AND COMPETENCIES</w:t>
    </w:r>
    <w:r w:rsidRPr="00583BC8">
      <w:t xml:space="preserve"> </w:t>
    </w:r>
    <w:r>
      <w:tab/>
    </w:r>
    <w:r>
      <w:tab/>
    </w:r>
    <w:r>
      <w:tab/>
    </w:r>
    <w:r>
      <w:tab/>
    </w:r>
    <w:r>
      <w:tab/>
    </w:r>
    <w:r>
      <w:tab/>
    </w:r>
    <w:r w:rsidRPr="00583BC8">
      <w:fldChar w:fldCharType="begin"/>
    </w:r>
    <w:r w:rsidRPr="00583BC8">
      <w:instrText xml:space="preserve"> PAGE </w:instrText>
    </w:r>
    <w:r w:rsidRPr="00583BC8">
      <w:fldChar w:fldCharType="separate"/>
    </w:r>
    <w:r>
      <w:t>22</w:t>
    </w:r>
    <w:r w:rsidRPr="00583BC8">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457979"/>
    <w:multiLevelType w:val="hybridMultilevel"/>
    <w:tmpl w:val="CFEAC9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3D03C4"/>
    <w:multiLevelType w:val="hybridMultilevel"/>
    <w:tmpl w:val="A04E53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5EB60E8"/>
    <w:multiLevelType w:val="hybridMultilevel"/>
    <w:tmpl w:val="A04E53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BD92FEE"/>
    <w:multiLevelType w:val="multilevel"/>
    <w:tmpl w:val="E4A8A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3A2610"/>
    <w:multiLevelType w:val="multilevel"/>
    <w:tmpl w:val="FAF4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E63620"/>
    <w:multiLevelType w:val="hybridMultilevel"/>
    <w:tmpl w:val="B66868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2D04BDC"/>
    <w:multiLevelType w:val="hybridMultilevel"/>
    <w:tmpl w:val="D3087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0E7F2E"/>
    <w:multiLevelType w:val="hybridMultilevel"/>
    <w:tmpl w:val="98F6C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841D6E"/>
    <w:multiLevelType w:val="multilevel"/>
    <w:tmpl w:val="55E83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B34AAB"/>
    <w:multiLevelType w:val="hybridMultilevel"/>
    <w:tmpl w:val="A04E53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7310B09"/>
    <w:multiLevelType w:val="multilevel"/>
    <w:tmpl w:val="F4FE3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B7486E"/>
    <w:multiLevelType w:val="multilevel"/>
    <w:tmpl w:val="B02E4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171C32"/>
    <w:multiLevelType w:val="hybridMultilevel"/>
    <w:tmpl w:val="07302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8106979">
    <w:abstractNumId w:val="4"/>
  </w:num>
  <w:num w:numId="2" w16cid:durableId="1063019303">
    <w:abstractNumId w:val="10"/>
  </w:num>
  <w:num w:numId="3" w16cid:durableId="484199087">
    <w:abstractNumId w:val="14"/>
  </w:num>
  <w:num w:numId="4" w16cid:durableId="1564366827">
    <w:abstractNumId w:val="0"/>
  </w:num>
  <w:num w:numId="5" w16cid:durableId="1240210989">
    <w:abstractNumId w:val="7"/>
  </w:num>
  <w:num w:numId="6" w16cid:durableId="477189072">
    <w:abstractNumId w:val="8"/>
  </w:num>
  <w:num w:numId="7" w16cid:durableId="903872810">
    <w:abstractNumId w:val="13"/>
  </w:num>
  <w:num w:numId="8" w16cid:durableId="1681588804">
    <w:abstractNumId w:val="2"/>
  </w:num>
  <w:num w:numId="9" w16cid:durableId="1123813770">
    <w:abstractNumId w:val="5"/>
  </w:num>
  <w:num w:numId="10" w16cid:durableId="621693952">
    <w:abstractNumId w:val="9"/>
  </w:num>
  <w:num w:numId="11" w16cid:durableId="554583483">
    <w:abstractNumId w:val="12"/>
  </w:num>
  <w:num w:numId="12" w16cid:durableId="714431315">
    <w:abstractNumId w:val="6"/>
  </w:num>
  <w:num w:numId="13" w16cid:durableId="532381306">
    <w:abstractNumId w:val="11"/>
  </w:num>
  <w:num w:numId="14" w16cid:durableId="451286902">
    <w:abstractNumId w:val="1"/>
  </w:num>
  <w:num w:numId="15" w16cid:durableId="1770933189">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LM0Nzc3MbE0MzQ3sLBQ0lEKTi0uzszPAykwtKwFAKxyL+AtAAAA"/>
  </w:docVars>
  <w:rsids>
    <w:rsidRoot w:val="005F328F"/>
    <w:rsid w:val="00001899"/>
    <w:rsid w:val="00003437"/>
    <w:rsid w:val="000049AD"/>
    <w:rsid w:val="00005447"/>
    <w:rsid w:val="000057EC"/>
    <w:rsid w:val="00006539"/>
    <w:rsid w:val="0000681B"/>
    <w:rsid w:val="00012792"/>
    <w:rsid w:val="00012F2E"/>
    <w:rsid w:val="000133C0"/>
    <w:rsid w:val="000134DE"/>
    <w:rsid w:val="00014839"/>
    <w:rsid w:val="00014C4E"/>
    <w:rsid w:val="00015829"/>
    <w:rsid w:val="00017107"/>
    <w:rsid w:val="000202E2"/>
    <w:rsid w:val="00020C57"/>
    <w:rsid w:val="00022441"/>
    <w:rsid w:val="0002261E"/>
    <w:rsid w:val="0002402B"/>
    <w:rsid w:val="00024839"/>
    <w:rsid w:val="00026871"/>
    <w:rsid w:val="00033F13"/>
    <w:rsid w:val="0003412F"/>
    <w:rsid w:val="000348EE"/>
    <w:rsid w:val="00037A98"/>
    <w:rsid w:val="00041097"/>
    <w:rsid w:val="00042310"/>
    <w:rsid w:val="000427FB"/>
    <w:rsid w:val="0004455E"/>
    <w:rsid w:val="00047CB5"/>
    <w:rsid w:val="00047FF9"/>
    <w:rsid w:val="00051FAA"/>
    <w:rsid w:val="000572A9"/>
    <w:rsid w:val="000608FF"/>
    <w:rsid w:val="00061325"/>
    <w:rsid w:val="0006174C"/>
    <w:rsid w:val="0006184D"/>
    <w:rsid w:val="00062858"/>
    <w:rsid w:val="00064FC8"/>
    <w:rsid w:val="00065CB8"/>
    <w:rsid w:val="00066BBE"/>
    <w:rsid w:val="00072E5E"/>
    <w:rsid w:val="000733AC"/>
    <w:rsid w:val="00074B81"/>
    <w:rsid w:val="00074D22"/>
    <w:rsid w:val="00075081"/>
    <w:rsid w:val="0007528A"/>
    <w:rsid w:val="000811AB"/>
    <w:rsid w:val="00083C5F"/>
    <w:rsid w:val="0009172C"/>
    <w:rsid w:val="000930EC"/>
    <w:rsid w:val="00094ED5"/>
    <w:rsid w:val="00095E61"/>
    <w:rsid w:val="000966C1"/>
    <w:rsid w:val="000970AC"/>
    <w:rsid w:val="000A1167"/>
    <w:rsid w:val="000A314C"/>
    <w:rsid w:val="000A318E"/>
    <w:rsid w:val="000A4428"/>
    <w:rsid w:val="000A596E"/>
    <w:rsid w:val="000A64D9"/>
    <w:rsid w:val="000A6D40"/>
    <w:rsid w:val="000A7BC3"/>
    <w:rsid w:val="000B1661"/>
    <w:rsid w:val="000B1901"/>
    <w:rsid w:val="000B1F0B"/>
    <w:rsid w:val="000B2E88"/>
    <w:rsid w:val="000B4603"/>
    <w:rsid w:val="000B7F6F"/>
    <w:rsid w:val="000C09BE"/>
    <w:rsid w:val="000C1380"/>
    <w:rsid w:val="000C2887"/>
    <w:rsid w:val="000C554F"/>
    <w:rsid w:val="000C55F2"/>
    <w:rsid w:val="000C600A"/>
    <w:rsid w:val="000C78B0"/>
    <w:rsid w:val="000D0DC5"/>
    <w:rsid w:val="000D130D"/>
    <w:rsid w:val="000D148A"/>
    <w:rsid w:val="000D15FF"/>
    <w:rsid w:val="000D28DF"/>
    <w:rsid w:val="000D3773"/>
    <w:rsid w:val="000D37C4"/>
    <w:rsid w:val="000D488B"/>
    <w:rsid w:val="000D65BA"/>
    <w:rsid w:val="000D68DF"/>
    <w:rsid w:val="000E138D"/>
    <w:rsid w:val="000E1685"/>
    <w:rsid w:val="000E187A"/>
    <w:rsid w:val="000E2D61"/>
    <w:rsid w:val="000E2FE9"/>
    <w:rsid w:val="000E450E"/>
    <w:rsid w:val="000E6259"/>
    <w:rsid w:val="000F0D13"/>
    <w:rsid w:val="000F1C9C"/>
    <w:rsid w:val="000F1E3F"/>
    <w:rsid w:val="000F4677"/>
    <w:rsid w:val="000F5BE0"/>
    <w:rsid w:val="000F5CA8"/>
    <w:rsid w:val="00100587"/>
    <w:rsid w:val="00102114"/>
    <w:rsid w:val="0010212F"/>
    <w:rsid w:val="0010284E"/>
    <w:rsid w:val="00103122"/>
    <w:rsid w:val="0010336A"/>
    <w:rsid w:val="001041CB"/>
    <w:rsid w:val="001050F1"/>
    <w:rsid w:val="00105AEA"/>
    <w:rsid w:val="00106DAF"/>
    <w:rsid w:val="0011001D"/>
    <w:rsid w:val="001100DD"/>
    <w:rsid w:val="00111C89"/>
    <w:rsid w:val="001133DA"/>
    <w:rsid w:val="00114ABE"/>
    <w:rsid w:val="00116023"/>
    <w:rsid w:val="0012232E"/>
    <w:rsid w:val="001271AB"/>
    <w:rsid w:val="00134A51"/>
    <w:rsid w:val="00136CAE"/>
    <w:rsid w:val="00140727"/>
    <w:rsid w:val="00140D49"/>
    <w:rsid w:val="001427A5"/>
    <w:rsid w:val="001445B2"/>
    <w:rsid w:val="00160628"/>
    <w:rsid w:val="00161344"/>
    <w:rsid w:val="00161AFE"/>
    <w:rsid w:val="00161DA5"/>
    <w:rsid w:val="00162195"/>
    <w:rsid w:val="0016322A"/>
    <w:rsid w:val="00165A21"/>
    <w:rsid w:val="0017020D"/>
    <w:rsid w:val="001705CE"/>
    <w:rsid w:val="00170B89"/>
    <w:rsid w:val="0017714B"/>
    <w:rsid w:val="001804DF"/>
    <w:rsid w:val="00181BDC"/>
    <w:rsid w:val="00181DB0"/>
    <w:rsid w:val="001829E3"/>
    <w:rsid w:val="00182E25"/>
    <w:rsid w:val="001841CA"/>
    <w:rsid w:val="0018635C"/>
    <w:rsid w:val="001864A8"/>
    <w:rsid w:val="0018735A"/>
    <w:rsid w:val="00187738"/>
    <w:rsid w:val="00187C9D"/>
    <w:rsid w:val="00190ACE"/>
    <w:rsid w:val="001924C0"/>
    <w:rsid w:val="00193799"/>
    <w:rsid w:val="001937ED"/>
    <w:rsid w:val="001939A6"/>
    <w:rsid w:val="0019731E"/>
    <w:rsid w:val="00197EE2"/>
    <w:rsid w:val="001A09FE"/>
    <w:rsid w:val="001A0AFA"/>
    <w:rsid w:val="001A1C09"/>
    <w:rsid w:val="001A1C67"/>
    <w:rsid w:val="001A67C9"/>
    <w:rsid w:val="001A69DE"/>
    <w:rsid w:val="001A713C"/>
    <w:rsid w:val="001B1C7C"/>
    <w:rsid w:val="001B398F"/>
    <w:rsid w:val="001B46C6"/>
    <w:rsid w:val="001B4B48"/>
    <w:rsid w:val="001B4D1F"/>
    <w:rsid w:val="001B5A9B"/>
    <w:rsid w:val="001B7681"/>
    <w:rsid w:val="001B7CAE"/>
    <w:rsid w:val="001C075B"/>
    <w:rsid w:val="001C0772"/>
    <w:rsid w:val="001C0D4F"/>
    <w:rsid w:val="001C1BA3"/>
    <w:rsid w:val="001C1DEC"/>
    <w:rsid w:val="001C4D58"/>
    <w:rsid w:val="001C5736"/>
    <w:rsid w:val="001C6346"/>
    <w:rsid w:val="001D3D9B"/>
    <w:rsid w:val="001D647F"/>
    <w:rsid w:val="001D6857"/>
    <w:rsid w:val="001E0572"/>
    <w:rsid w:val="001E0A67"/>
    <w:rsid w:val="001E1028"/>
    <w:rsid w:val="001E14E2"/>
    <w:rsid w:val="001E2C4F"/>
    <w:rsid w:val="001E6302"/>
    <w:rsid w:val="001E709A"/>
    <w:rsid w:val="001E7DCB"/>
    <w:rsid w:val="001F1816"/>
    <w:rsid w:val="001F1E38"/>
    <w:rsid w:val="001F27A9"/>
    <w:rsid w:val="001F2F08"/>
    <w:rsid w:val="001F3411"/>
    <w:rsid w:val="001F4287"/>
    <w:rsid w:val="001F4DBA"/>
    <w:rsid w:val="00201890"/>
    <w:rsid w:val="00203C65"/>
    <w:rsid w:val="0020415E"/>
    <w:rsid w:val="00204288"/>
    <w:rsid w:val="00204FF4"/>
    <w:rsid w:val="0021056E"/>
    <w:rsid w:val="0021075D"/>
    <w:rsid w:val="00210C2F"/>
    <w:rsid w:val="0021165A"/>
    <w:rsid w:val="00211BC9"/>
    <w:rsid w:val="00214347"/>
    <w:rsid w:val="0021620C"/>
    <w:rsid w:val="00216E78"/>
    <w:rsid w:val="00217275"/>
    <w:rsid w:val="002211DD"/>
    <w:rsid w:val="00222A29"/>
    <w:rsid w:val="00224668"/>
    <w:rsid w:val="00225C9B"/>
    <w:rsid w:val="002268EA"/>
    <w:rsid w:val="002273FF"/>
    <w:rsid w:val="002302CF"/>
    <w:rsid w:val="00233514"/>
    <w:rsid w:val="0023429F"/>
    <w:rsid w:val="002367FE"/>
    <w:rsid w:val="00236F4B"/>
    <w:rsid w:val="00242B0D"/>
    <w:rsid w:val="00243C50"/>
    <w:rsid w:val="002466B3"/>
    <w:rsid w:val="002467C6"/>
    <w:rsid w:val="0024692A"/>
    <w:rsid w:val="0025152B"/>
    <w:rsid w:val="00252BBA"/>
    <w:rsid w:val="00253123"/>
    <w:rsid w:val="00253CE9"/>
    <w:rsid w:val="002545B9"/>
    <w:rsid w:val="0025491E"/>
    <w:rsid w:val="002549F3"/>
    <w:rsid w:val="00261B72"/>
    <w:rsid w:val="00264001"/>
    <w:rsid w:val="0026425E"/>
    <w:rsid w:val="00266354"/>
    <w:rsid w:val="00267A18"/>
    <w:rsid w:val="0027046E"/>
    <w:rsid w:val="00273462"/>
    <w:rsid w:val="0027395B"/>
    <w:rsid w:val="0027582B"/>
    <w:rsid w:val="00275854"/>
    <w:rsid w:val="0027768E"/>
    <w:rsid w:val="00283B41"/>
    <w:rsid w:val="00285F28"/>
    <w:rsid w:val="00286398"/>
    <w:rsid w:val="00287951"/>
    <w:rsid w:val="002902D3"/>
    <w:rsid w:val="00291C3D"/>
    <w:rsid w:val="00293E8C"/>
    <w:rsid w:val="002953B5"/>
    <w:rsid w:val="0029556F"/>
    <w:rsid w:val="00297153"/>
    <w:rsid w:val="002A3C42"/>
    <w:rsid w:val="002A50F9"/>
    <w:rsid w:val="002A5C97"/>
    <w:rsid w:val="002A5D75"/>
    <w:rsid w:val="002A69E1"/>
    <w:rsid w:val="002B158F"/>
    <w:rsid w:val="002B1B1A"/>
    <w:rsid w:val="002B44DB"/>
    <w:rsid w:val="002B7228"/>
    <w:rsid w:val="002C53EE"/>
    <w:rsid w:val="002C75FE"/>
    <w:rsid w:val="002D24F7"/>
    <w:rsid w:val="002D2799"/>
    <w:rsid w:val="002D2B9E"/>
    <w:rsid w:val="002D2CD7"/>
    <w:rsid w:val="002D4DDC"/>
    <w:rsid w:val="002D4F75"/>
    <w:rsid w:val="002D54C1"/>
    <w:rsid w:val="002D6493"/>
    <w:rsid w:val="002D7AB6"/>
    <w:rsid w:val="002E06D0"/>
    <w:rsid w:val="002E0C83"/>
    <w:rsid w:val="002E1B2C"/>
    <w:rsid w:val="002E2BA8"/>
    <w:rsid w:val="002E3C27"/>
    <w:rsid w:val="002E403A"/>
    <w:rsid w:val="002E716E"/>
    <w:rsid w:val="002E75F9"/>
    <w:rsid w:val="002E7F3A"/>
    <w:rsid w:val="002F2000"/>
    <w:rsid w:val="002F23EB"/>
    <w:rsid w:val="002F4EDB"/>
    <w:rsid w:val="002F6054"/>
    <w:rsid w:val="0030175C"/>
    <w:rsid w:val="00306AEE"/>
    <w:rsid w:val="00310E13"/>
    <w:rsid w:val="00311DCF"/>
    <w:rsid w:val="00315713"/>
    <w:rsid w:val="0031686C"/>
    <w:rsid w:val="00316FE0"/>
    <w:rsid w:val="003204D2"/>
    <w:rsid w:val="00323865"/>
    <w:rsid w:val="00325247"/>
    <w:rsid w:val="00325F04"/>
    <w:rsid w:val="0032605E"/>
    <w:rsid w:val="00326EF0"/>
    <w:rsid w:val="00327480"/>
    <w:rsid w:val="003275D1"/>
    <w:rsid w:val="00330A08"/>
    <w:rsid w:val="00330B2A"/>
    <w:rsid w:val="003316BA"/>
    <w:rsid w:val="00331B25"/>
    <w:rsid w:val="00331E17"/>
    <w:rsid w:val="00333063"/>
    <w:rsid w:val="003332D0"/>
    <w:rsid w:val="00336782"/>
    <w:rsid w:val="00337082"/>
    <w:rsid w:val="003408E3"/>
    <w:rsid w:val="00341C16"/>
    <w:rsid w:val="00343480"/>
    <w:rsid w:val="00345BA6"/>
    <w:rsid w:val="00345E89"/>
    <w:rsid w:val="003522A1"/>
    <w:rsid w:val="0035254B"/>
    <w:rsid w:val="00353555"/>
    <w:rsid w:val="003545A5"/>
    <w:rsid w:val="003565D4"/>
    <w:rsid w:val="003607FB"/>
    <w:rsid w:val="00360FD5"/>
    <w:rsid w:val="0036272F"/>
    <w:rsid w:val="0036340D"/>
    <w:rsid w:val="003634A5"/>
    <w:rsid w:val="003659C6"/>
    <w:rsid w:val="00366868"/>
    <w:rsid w:val="00367506"/>
    <w:rsid w:val="00370085"/>
    <w:rsid w:val="00372721"/>
    <w:rsid w:val="0037371F"/>
    <w:rsid w:val="00373CF0"/>
    <w:rsid w:val="003744A7"/>
    <w:rsid w:val="00374C06"/>
    <w:rsid w:val="003750E9"/>
    <w:rsid w:val="00376235"/>
    <w:rsid w:val="003767B2"/>
    <w:rsid w:val="00380967"/>
    <w:rsid w:val="00381FB6"/>
    <w:rsid w:val="00382BEA"/>
    <w:rsid w:val="003836D3"/>
    <w:rsid w:val="00383A52"/>
    <w:rsid w:val="00383B3E"/>
    <w:rsid w:val="00391540"/>
    <w:rsid w:val="00391652"/>
    <w:rsid w:val="00392E0B"/>
    <w:rsid w:val="0039507F"/>
    <w:rsid w:val="00396131"/>
    <w:rsid w:val="003A1260"/>
    <w:rsid w:val="003A295F"/>
    <w:rsid w:val="003A41DD"/>
    <w:rsid w:val="003A672B"/>
    <w:rsid w:val="003A7033"/>
    <w:rsid w:val="003B47FE"/>
    <w:rsid w:val="003B5673"/>
    <w:rsid w:val="003B6287"/>
    <w:rsid w:val="003B62C9"/>
    <w:rsid w:val="003B6351"/>
    <w:rsid w:val="003B6994"/>
    <w:rsid w:val="003C393E"/>
    <w:rsid w:val="003C3D22"/>
    <w:rsid w:val="003C607C"/>
    <w:rsid w:val="003C7176"/>
    <w:rsid w:val="003C7D1B"/>
    <w:rsid w:val="003D0929"/>
    <w:rsid w:val="003D4729"/>
    <w:rsid w:val="003D4F38"/>
    <w:rsid w:val="003D6F3A"/>
    <w:rsid w:val="003D7DD6"/>
    <w:rsid w:val="003E489C"/>
    <w:rsid w:val="003E5757"/>
    <w:rsid w:val="003E5AAF"/>
    <w:rsid w:val="003E600D"/>
    <w:rsid w:val="003E64DF"/>
    <w:rsid w:val="003E6A5D"/>
    <w:rsid w:val="003E706D"/>
    <w:rsid w:val="003E7AA2"/>
    <w:rsid w:val="003E7E69"/>
    <w:rsid w:val="003F193A"/>
    <w:rsid w:val="003F4207"/>
    <w:rsid w:val="003F5AAC"/>
    <w:rsid w:val="003F5C46"/>
    <w:rsid w:val="003F61DF"/>
    <w:rsid w:val="003F69B9"/>
    <w:rsid w:val="003F6C15"/>
    <w:rsid w:val="003F7CBB"/>
    <w:rsid w:val="003F7D34"/>
    <w:rsid w:val="003F7EFE"/>
    <w:rsid w:val="0040187C"/>
    <w:rsid w:val="00401932"/>
    <w:rsid w:val="0040352B"/>
    <w:rsid w:val="004035DA"/>
    <w:rsid w:val="0040486C"/>
    <w:rsid w:val="0040682D"/>
    <w:rsid w:val="00410954"/>
    <w:rsid w:val="00412C8E"/>
    <w:rsid w:val="00413C67"/>
    <w:rsid w:val="004144D8"/>
    <w:rsid w:val="0041518D"/>
    <w:rsid w:val="00416C5A"/>
    <w:rsid w:val="00417F19"/>
    <w:rsid w:val="0042221D"/>
    <w:rsid w:val="0042328B"/>
    <w:rsid w:val="00424DD3"/>
    <w:rsid w:val="00424F30"/>
    <w:rsid w:val="004269C5"/>
    <w:rsid w:val="00435939"/>
    <w:rsid w:val="00436B76"/>
    <w:rsid w:val="00437CC7"/>
    <w:rsid w:val="00441BBF"/>
    <w:rsid w:val="00441C1B"/>
    <w:rsid w:val="00442B9C"/>
    <w:rsid w:val="00445EFA"/>
    <w:rsid w:val="0044738A"/>
    <w:rsid w:val="004473D3"/>
    <w:rsid w:val="00452231"/>
    <w:rsid w:val="00453C94"/>
    <w:rsid w:val="00453CF5"/>
    <w:rsid w:val="004545EF"/>
    <w:rsid w:val="00454940"/>
    <w:rsid w:val="00457610"/>
    <w:rsid w:val="00460C13"/>
    <w:rsid w:val="00462B13"/>
    <w:rsid w:val="00462EAA"/>
    <w:rsid w:val="00462F84"/>
    <w:rsid w:val="0046302D"/>
    <w:rsid w:val="00463228"/>
    <w:rsid w:val="00463782"/>
    <w:rsid w:val="004657C6"/>
    <w:rsid w:val="004667E0"/>
    <w:rsid w:val="0046760E"/>
    <w:rsid w:val="00470E10"/>
    <w:rsid w:val="00475B66"/>
    <w:rsid w:val="00477A97"/>
    <w:rsid w:val="00481343"/>
    <w:rsid w:val="004839FA"/>
    <w:rsid w:val="0048549E"/>
    <w:rsid w:val="0048780B"/>
    <w:rsid w:val="00487BEC"/>
    <w:rsid w:val="004930C6"/>
    <w:rsid w:val="00493347"/>
    <w:rsid w:val="00493DC5"/>
    <w:rsid w:val="00495FC0"/>
    <w:rsid w:val="00496092"/>
    <w:rsid w:val="004A08DB"/>
    <w:rsid w:val="004A25D0"/>
    <w:rsid w:val="004A3351"/>
    <w:rsid w:val="004A37E8"/>
    <w:rsid w:val="004A56B0"/>
    <w:rsid w:val="004A7549"/>
    <w:rsid w:val="004B06A2"/>
    <w:rsid w:val="004B09D4"/>
    <w:rsid w:val="004B2305"/>
    <w:rsid w:val="004B2E5A"/>
    <w:rsid w:val="004B309D"/>
    <w:rsid w:val="004B330A"/>
    <w:rsid w:val="004B47DF"/>
    <w:rsid w:val="004B60E3"/>
    <w:rsid w:val="004B7C8E"/>
    <w:rsid w:val="004C3D3C"/>
    <w:rsid w:val="004C4390"/>
    <w:rsid w:val="004C4FBC"/>
    <w:rsid w:val="004D0EDC"/>
    <w:rsid w:val="004D1220"/>
    <w:rsid w:val="004D14B3"/>
    <w:rsid w:val="004D1529"/>
    <w:rsid w:val="004D2253"/>
    <w:rsid w:val="004D4EA3"/>
    <w:rsid w:val="004D5514"/>
    <w:rsid w:val="004D56C3"/>
    <w:rsid w:val="004D76A5"/>
    <w:rsid w:val="004E0338"/>
    <w:rsid w:val="004E12C3"/>
    <w:rsid w:val="004E154B"/>
    <w:rsid w:val="004E1954"/>
    <w:rsid w:val="004E41BE"/>
    <w:rsid w:val="004E49AF"/>
    <w:rsid w:val="004E4FF3"/>
    <w:rsid w:val="004E56A8"/>
    <w:rsid w:val="004E7EFA"/>
    <w:rsid w:val="004F186D"/>
    <w:rsid w:val="004F3B55"/>
    <w:rsid w:val="004F428E"/>
    <w:rsid w:val="004F4AB7"/>
    <w:rsid w:val="004F4E46"/>
    <w:rsid w:val="004F5B5B"/>
    <w:rsid w:val="004F6954"/>
    <w:rsid w:val="004F69B4"/>
    <w:rsid w:val="004F6B7D"/>
    <w:rsid w:val="00500197"/>
    <w:rsid w:val="00500506"/>
    <w:rsid w:val="005015CD"/>
    <w:rsid w:val="005015F6"/>
    <w:rsid w:val="00503089"/>
    <w:rsid w:val="005030C4"/>
    <w:rsid w:val="005031C5"/>
    <w:rsid w:val="005036BD"/>
    <w:rsid w:val="00504D9C"/>
    <w:rsid w:val="00504FDC"/>
    <w:rsid w:val="0050500A"/>
    <w:rsid w:val="00506113"/>
    <w:rsid w:val="005109FB"/>
    <w:rsid w:val="005120CC"/>
    <w:rsid w:val="00512B7B"/>
    <w:rsid w:val="00514EA1"/>
    <w:rsid w:val="00516193"/>
    <w:rsid w:val="0051798B"/>
    <w:rsid w:val="00521F5A"/>
    <w:rsid w:val="00523452"/>
    <w:rsid w:val="00525CA9"/>
    <w:rsid w:val="00525E06"/>
    <w:rsid w:val="005263EF"/>
    <w:rsid w:val="00526454"/>
    <w:rsid w:val="00526D41"/>
    <w:rsid w:val="00531823"/>
    <w:rsid w:val="00531F3D"/>
    <w:rsid w:val="00532600"/>
    <w:rsid w:val="00534759"/>
    <w:rsid w:val="00534ECC"/>
    <w:rsid w:val="0053720D"/>
    <w:rsid w:val="00540EF5"/>
    <w:rsid w:val="00541BF3"/>
    <w:rsid w:val="00541CD3"/>
    <w:rsid w:val="00543652"/>
    <w:rsid w:val="00543D99"/>
    <w:rsid w:val="00544187"/>
    <w:rsid w:val="005476FA"/>
    <w:rsid w:val="00552FEE"/>
    <w:rsid w:val="0055595E"/>
    <w:rsid w:val="00556793"/>
    <w:rsid w:val="00557226"/>
    <w:rsid w:val="00557988"/>
    <w:rsid w:val="00562C49"/>
    <w:rsid w:val="00562DEF"/>
    <w:rsid w:val="0056321A"/>
    <w:rsid w:val="00563A35"/>
    <w:rsid w:val="00565621"/>
    <w:rsid w:val="00566596"/>
    <w:rsid w:val="0057024A"/>
    <w:rsid w:val="0057174E"/>
    <w:rsid w:val="005730F5"/>
    <w:rsid w:val="0057315A"/>
    <w:rsid w:val="00573CB3"/>
    <w:rsid w:val="005741E9"/>
    <w:rsid w:val="005748CF"/>
    <w:rsid w:val="00583354"/>
    <w:rsid w:val="00583A9B"/>
    <w:rsid w:val="00583BC8"/>
    <w:rsid w:val="00584267"/>
    <w:rsid w:val="00584270"/>
    <w:rsid w:val="0058443F"/>
    <w:rsid w:val="00584738"/>
    <w:rsid w:val="00584FF0"/>
    <w:rsid w:val="00585750"/>
    <w:rsid w:val="005920B0"/>
    <w:rsid w:val="005937C1"/>
    <w:rsid w:val="0059380D"/>
    <w:rsid w:val="005945E3"/>
    <w:rsid w:val="00595A8F"/>
    <w:rsid w:val="005970C3"/>
    <w:rsid w:val="005977C2"/>
    <w:rsid w:val="00597BA4"/>
    <w:rsid w:val="00597BF2"/>
    <w:rsid w:val="005A1F54"/>
    <w:rsid w:val="005A2923"/>
    <w:rsid w:val="005A3014"/>
    <w:rsid w:val="005A3020"/>
    <w:rsid w:val="005A3370"/>
    <w:rsid w:val="005A4DB2"/>
    <w:rsid w:val="005A5831"/>
    <w:rsid w:val="005A5865"/>
    <w:rsid w:val="005A64A3"/>
    <w:rsid w:val="005B134E"/>
    <w:rsid w:val="005B1B12"/>
    <w:rsid w:val="005B2039"/>
    <w:rsid w:val="005B344F"/>
    <w:rsid w:val="005B3FBA"/>
    <w:rsid w:val="005B4A1D"/>
    <w:rsid w:val="005B674D"/>
    <w:rsid w:val="005B6884"/>
    <w:rsid w:val="005C056D"/>
    <w:rsid w:val="005C0CBE"/>
    <w:rsid w:val="005C1978"/>
    <w:rsid w:val="005C1FCF"/>
    <w:rsid w:val="005C2021"/>
    <w:rsid w:val="005C3F41"/>
    <w:rsid w:val="005C5C7E"/>
    <w:rsid w:val="005C6C6B"/>
    <w:rsid w:val="005D097C"/>
    <w:rsid w:val="005D1885"/>
    <w:rsid w:val="005D1B53"/>
    <w:rsid w:val="005D3C5A"/>
    <w:rsid w:val="005D3D90"/>
    <w:rsid w:val="005D4A38"/>
    <w:rsid w:val="005D4A67"/>
    <w:rsid w:val="005D4E58"/>
    <w:rsid w:val="005D51C3"/>
    <w:rsid w:val="005E2EEA"/>
    <w:rsid w:val="005E3708"/>
    <w:rsid w:val="005E3815"/>
    <w:rsid w:val="005E3CCD"/>
    <w:rsid w:val="005E3D6B"/>
    <w:rsid w:val="005E5B55"/>
    <w:rsid w:val="005E5E4A"/>
    <w:rsid w:val="005E693D"/>
    <w:rsid w:val="005E7471"/>
    <w:rsid w:val="005E75BF"/>
    <w:rsid w:val="005E7681"/>
    <w:rsid w:val="005F328F"/>
    <w:rsid w:val="005F57BA"/>
    <w:rsid w:val="005F60A3"/>
    <w:rsid w:val="005F61E6"/>
    <w:rsid w:val="005F6C45"/>
    <w:rsid w:val="00600251"/>
    <w:rsid w:val="0060342D"/>
    <w:rsid w:val="00604A7B"/>
    <w:rsid w:val="006053A1"/>
    <w:rsid w:val="006054E7"/>
    <w:rsid w:val="0060598A"/>
    <w:rsid w:val="00605A69"/>
    <w:rsid w:val="00606C54"/>
    <w:rsid w:val="00610AE4"/>
    <w:rsid w:val="0061107C"/>
    <w:rsid w:val="00612182"/>
    <w:rsid w:val="00614375"/>
    <w:rsid w:val="00615B0A"/>
    <w:rsid w:val="006168CF"/>
    <w:rsid w:val="00616A53"/>
    <w:rsid w:val="00617CC8"/>
    <w:rsid w:val="0062011B"/>
    <w:rsid w:val="006235DA"/>
    <w:rsid w:val="00626DE0"/>
    <w:rsid w:val="00630093"/>
    <w:rsid w:val="00630901"/>
    <w:rsid w:val="00631F8E"/>
    <w:rsid w:val="0063495F"/>
    <w:rsid w:val="00636EE9"/>
    <w:rsid w:val="00640950"/>
    <w:rsid w:val="006414DB"/>
    <w:rsid w:val="00641AE7"/>
    <w:rsid w:val="00642629"/>
    <w:rsid w:val="00644588"/>
    <w:rsid w:val="0064782B"/>
    <w:rsid w:val="00647D4F"/>
    <w:rsid w:val="0065293D"/>
    <w:rsid w:val="00653EFC"/>
    <w:rsid w:val="00654021"/>
    <w:rsid w:val="0065588D"/>
    <w:rsid w:val="00661045"/>
    <w:rsid w:val="00661C10"/>
    <w:rsid w:val="006624E0"/>
    <w:rsid w:val="00666DA8"/>
    <w:rsid w:val="00667EA7"/>
    <w:rsid w:val="00671057"/>
    <w:rsid w:val="006720B4"/>
    <w:rsid w:val="006730B3"/>
    <w:rsid w:val="006744D6"/>
    <w:rsid w:val="00675AAF"/>
    <w:rsid w:val="00677367"/>
    <w:rsid w:val="006773E3"/>
    <w:rsid w:val="0068031A"/>
    <w:rsid w:val="00681B2F"/>
    <w:rsid w:val="00682B9E"/>
    <w:rsid w:val="00682C3C"/>
    <w:rsid w:val="0068335F"/>
    <w:rsid w:val="00687217"/>
    <w:rsid w:val="00690460"/>
    <w:rsid w:val="00690AEB"/>
    <w:rsid w:val="00690CD3"/>
    <w:rsid w:val="00693302"/>
    <w:rsid w:val="006934EC"/>
    <w:rsid w:val="006947F2"/>
    <w:rsid w:val="00695064"/>
    <w:rsid w:val="006959CB"/>
    <w:rsid w:val="00695D7C"/>
    <w:rsid w:val="00696392"/>
    <w:rsid w:val="0069640B"/>
    <w:rsid w:val="00696B0E"/>
    <w:rsid w:val="006A0E1C"/>
    <w:rsid w:val="006A0F96"/>
    <w:rsid w:val="006A1B83"/>
    <w:rsid w:val="006A21CD"/>
    <w:rsid w:val="006A38F5"/>
    <w:rsid w:val="006A5918"/>
    <w:rsid w:val="006A7C57"/>
    <w:rsid w:val="006B2142"/>
    <w:rsid w:val="006B21B2"/>
    <w:rsid w:val="006B2BB3"/>
    <w:rsid w:val="006B4A4A"/>
    <w:rsid w:val="006B64D7"/>
    <w:rsid w:val="006C19B2"/>
    <w:rsid w:val="006C4409"/>
    <w:rsid w:val="006C50AE"/>
    <w:rsid w:val="006C5BB8"/>
    <w:rsid w:val="006C6936"/>
    <w:rsid w:val="006C7B01"/>
    <w:rsid w:val="006D0FE8"/>
    <w:rsid w:val="006D3CB1"/>
    <w:rsid w:val="006D4B2B"/>
    <w:rsid w:val="006D4F3C"/>
    <w:rsid w:val="006D5C66"/>
    <w:rsid w:val="006D7002"/>
    <w:rsid w:val="006D7477"/>
    <w:rsid w:val="006D7F16"/>
    <w:rsid w:val="006E0A94"/>
    <w:rsid w:val="006E1B3C"/>
    <w:rsid w:val="006E23FB"/>
    <w:rsid w:val="006E2663"/>
    <w:rsid w:val="006E2A00"/>
    <w:rsid w:val="006E325A"/>
    <w:rsid w:val="006E33EC"/>
    <w:rsid w:val="006E3802"/>
    <w:rsid w:val="006E6C02"/>
    <w:rsid w:val="006F2086"/>
    <w:rsid w:val="006F231A"/>
    <w:rsid w:val="006F33DE"/>
    <w:rsid w:val="006F6B55"/>
    <w:rsid w:val="006F788D"/>
    <w:rsid w:val="006F78E1"/>
    <w:rsid w:val="00700355"/>
    <w:rsid w:val="00701072"/>
    <w:rsid w:val="00702054"/>
    <w:rsid w:val="007035A4"/>
    <w:rsid w:val="00703A2A"/>
    <w:rsid w:val="00710782"/>
    <w:rsid w:val="007108B1"/>
    <w:rsid w:val="00711799"/>
    <w:rsid w:val="007128FB"/>
    <w:rsid w:val="00712B78"/>
    <w:rsid w:val="0071393B"/>
    <w:rsid w:val="00713EE2"/>
    <w:rsid w:val="0071548A"/>
    <w:rsid w:val="00716D30"/>
    <w:rsid w:val="007177FC"/>
    <w:rsid w:val="007201F2"/>
    <w:rsid w:val="00720C5E"/>
    <w:rsid w:val="00721701"/>
    <w:rsid w:val="00731835"/>
    <w:rsid w:val="00731A44"/>
    <w:rsid w:val="007326C3"/>
    <w:rsid w:val="007327BF"/>
    <w:rsid w:val="00732921"/>
    <w:rsid w:val="007341F8"/>
    <w:rsid w:val="00734372"/>
    <w:rsid w:val="00734EB8"/>
    <w:rsid w:val="00735AC9"/>
    <w:rsid w:val="00735F8B"/>
    <w:rsid w:val="0074090B"/>
    <w:rsid w:val="00742D1F"/>
    <w:rsid w:val="007430D3"/>
    <w:rsid w:val="00743EBA"/>
    <w:rsid w:val="00744C8E"/>
    <w:rsid w:val="00745A1F"/>
    <w:rsid w:val="0074707E"/>
    <w:rsid w:val="007505E1"/>
    <w:rsid w:val="00751047"/>
    <w:rsid w:val="007516DC"/>
    <w:rsid w:val="00752E58"/>
    <w:rsid w:val="00753152"/>
    <w:rsid w:val="00753C41"/>
    <w:rsid w:val="00754B80"/>
    <w:rsid w:val="00761918"/>
    <w:rsid w:val="00762F03"/>
    <w:rsid w:val="0076413B"/>
    <w:rsid w:val="007642E9"/>
    <w:rsid w:val="007648AE"/>
    <w:rsid w:val="00764BF8"/>
    <w:rsid w:val="00764D81"/>
    <w:rsid w:val="00765125"/>
    <w:rsid w:val="0076514D"/>
    <w:rsid w:val="00765208"/>
    <w:rsid w:val="0076620C"/>
    <w:rsid w:val="00770156"/>
    <w:rsid w:val="00773D59"/>
    <w:rsid w:val="00777767"/>
    <w:rsid w:val="00780F3E"/>
    <w:rsid w:val="00781003"/>
    <w:rsid w:val="00782979"/>
    <w:rsid w:val="00782F20"/>
    <w:rsid w:val="007831E0"/>
    <w:rsid w:val="00783B3C"/>
    <w:rsid w:val="00784FC2"/>
    <w:rsid w:val="007911FD"/>
    <w:rsid w:val="00793930"/>
    <w:rsid w:val="00793DD1"/>
    <w:rsid w:val="00794FEC"/>
    <w:rsid w:val="007951A8"/>
    <w:rsid w:val="00795DE9"/>
    <w:rsid w:val="007977DD"/>
    <w:rsid w:val="007A003E"/>
    <w:rsid w:val="007A1965"/>
    <w:rsid w:val="007A2096"/>
    <w:rsid w:val="007A2CC7"/>
    <w:rsid w:val="007A2ED1"/>
    <w:rsid w:val="007A4BE6"/>
    <w:rsid w:val="007A5EFE"/>
    <w:rsid w:val="007A742B"/>
    <w:rsid w:val="007A76C1"/>
    <w:rsid w:val="007B0214"/>
    <w:rsid w:val="007B0D45"/>
    <w:rsid w:val="007B0DC6"/>
    <w:rsid w:val="007B1094"/>
    <w:rsid w:val="007B1335"/>
    <w:rsid w:val="007B1762"/>
    <w:rsid w:val="007B2517"/>
    <w:rsid w:val="007B3320"/>
    <w:rsid w:val="007B3644"/>
    <w:rsid w:val="007B3A0C"/>
    <w:rsid w:val="007B68A1"/>
    <w:rsid w:val="007C0A95"/>
    <w:rsid w:val="007C29BB"/>
    <w:rsid w:val="007C2AB4"/>
    <w:rsid w:val="007C301F"/>
    <w:rsid w:val="007C4540"/>
    <w:rsid w:val="007C65AF"/>
    <w:rsid w:val="007D135D"/>
    <w:rsid w:val="007D51FD"/>
    <w:rsid w:val="007D5250"/>
    <w:rsid w:val="007D730F"/>
    <w:rsid w:val="007D7CD8"/>
    <w:rsid w:val="007E3AA7"/>
    <w:rsid w:val="007E49C7"/>
    <w:rsid w:val="007F0226"/>
    <w:rsid w:val="007F1798"/>
    <w:rsid w:val="007F737D"/>
    <w:rsid w:val="00801A7A"/>
    <w:rsid w:val="0080308E"/>
    <w:rsid w:val="00805303"/>
    <w:rsid w:val="00806705"/>
    <w:rsid w:val="00806738"/>
    <w:rsid w:val="00807E8E"/>
    <w:rsid w:val="008101B1"/>
    <w:rsid w:val="008105A9"/>
    <w:rsid w:val="00812E82"/>
    <w:rsid w:val="00814054"/>
    <w:rsid w:val="008140B8"/>
    <w:rsid w:val="0081731D"/>
    <w:rsid w:val="008212F7"/>
    <w:rsid w:val="008216D5"/>
    <w:rsid w:val="008240E9"/>
    <w:rsid w:val="008249CE"/>
    <w:rsid w:val="00824CD4"/>
    <w:rsid w:val="008254FA"/>
    <w:rsid w:val="00825ECC"/>
    <w:rsid w:val="00827888"/>
    <w:rsid w:val="00831A50"/>
    <w:rsid w:val="00831B3C"/>
    <w:rsid w:val="00831C89"/>
    <w:rsid w:val="00832114"/>
    <w:rsid w:val="00834C46"/>
    <w:rsid w:val="0084093E"/>
    <w:rsid w:val="00840D3D"/>
    <w:rsid w:val="00841CE1"/>
    <w:rsid w:val="00845B1E"/>
    <w:rsid w:val="008473D8"/>
    <w:rsid w:val="00847EE0"/>
    <w:rsid w:val="0085007B"/>
    <w:rsid w:val="00850269"/>
    <w:rsid w:val="00850DD3"/>
    <w:rsid w:val="008528DC"/>
    <w:rsid w:val="00852B8C"/>
    <w:rsid w:val="008542AE"/>
    <w:rsid w:val="00854981"/>
    <w:rsid w:val="00860DDE"/>
    <w:rsid w:val="00862F4A"/>
    <w:rsid w:val="00863289"/>
    <w:rsid w:val="00863459"/>
    <w:rsid w:val="008634AB"/>
    <w:rsid w:val="00863757"/>
    <w:rsid w:val="00864B2E"/>
    <w:rsid w:val="00865963"/>
    <w:rsid w:val="008700DB"/>
    <w:rsid w:val="00871C1D"/>
    <w:rsid w:val="0087450E"/>
    <w:rsid w:val="00875A82"/>
    <w:rsid w:val="00876CA3"/>
    <w:rsid w:val="008772FE"/>
    <w:rsid w:val="008775F1"/>
    <w:rsid w:val="00880D4D"/>
    <w:rsid w:val="00881D73"/>
    <w:rsid w:val="008821AE"/>
    <w:rsid w:val="00883D3A"/>
    <w:rsid w:val="008854F7"/>
    <w:rsid w:val="00885A9D"/>
    <w:rsid w:val="00886717"/>
    <w:rsid w:val="00886985"/>
    <w:rsid w:val="008929D2"/>
    <w:rsid w:val="00893636"/>
    <w:rsid w:val="00893B94"/>
    <w:rsid w:val="00896E9D"/>
    <w:rsid w:val="00896F11"/>
    <w:rsid w:val="008974A0"/>
    <w:rsid w:val="008A1049"/>
    <w:rsid w:val="008A1688"/>
    <w:rsid w:val="008A1C98"/>
    <w:rsid w:val="008A1F51"/>
    <w:rsid w:val="008A24E2"/>
    <w:rsid w:val="008A322D"/>
    <w:rsid w:val="008A3308"/>
    <w:rsid w:val="008A4D72"/>
    <w:rsid w:val="008A6285"/>
    <w:rsid w:val="008A63B2"/>
    <w:rsid w:val="008B05B1"/>
    <w:rsid w:val="008B1F89"/>
    <w:rsid w:val="008B2438"/>
    <w:rsid w:val="008B345D"/>
    <w:rsid w:val="008B4837"/>
    <w:rsid w:val="008B6BB7"/>
    <w:rsid w:val="008B6CE6"/>
    <w:rsid w:val="008C0362"/>
    <w:rsid w:val="008C0B6E"/>
    <w:rsid w:val="008C1FC2"/>
    <w:rsid w:val="008C2980"/>
    <w:rsid w:val="008C38F5"/>
    <w:rsid w:val="008C4045"/>
    <w:rsid w:val="008C4DD6"/>
    <w:rsid w:val="008C5387"/>
    <w:rsid w:val="008C5AFB"/>
    <w:rsid w:val="008C7542"/>
    <w:rsid w:val="008C76A5"/>
    <w:rsid w:val="008D07FB"/>
    <w:rsid w:val="008D0C02"/>
    <w:rsid w:val="008D2C36"/>
    <w:rsid w:val="008D2C87"/>
    <w:rsid w:val="008D2D99"/>
    <w:rsid w:val="008D2E11"/>
    <w:rsid w:val="008D357D"/>
    <w:rsid w:val="008D435A"/>
    <w:rsid w:val="008D552C"/>
    <w:rsid w:val="008E0027"/>
    <w:rsid w:val="008E0E60"/>
    <w:rsid w:val="008E29B0"/>
    <w:rsid w:val="008E3294"/>
    <w:rsid w:val="008E387B"/>
    <w:rsid w:val="008E5C6B"/>
    <w:rsid w:val="008E6087"/>
    <w:rsid w:val="008E68E1"/>
    <w:rsid w:val="008E758D"/>
    <w:rsid w:val="008F10A7"/>
    <w:rsid w:val="008F170F"/>
    <w:rsid w:val="008F755D"/>
    <w:rsid w:val="008F7A39"/>
    <w:rsid w:val="009021E8"/>
    <w:rsid w:val="00902411"/>
    <w:rsid w:val="00903C02"/>
    <w:rsid w:val="00904677"/>
    <w:rsid w:val="00905EE2"/>
    <w:rsid w:val="00905F8A"/>
    <w:rsid w:val="009064D7"/>
    <w:rsid w:val="00906F6B"/>
    <w:rsid w:val="00911440"/>
    <w:rsid w:val="00911712"/>
    <w:rsid w:val="00911B27"/>
    <w:rsid w:val="009128D1"/>
    <w:rsid w:val="009170BE"/>
    <w:rsid w:val="00917266"/>
    <w:rsid w:val="00917C9C"/>
    <w:rsid w:val="00920B55"/>
    <w:rsid w:val="00921FF9"/>
    <w:rsid w:val="00923CC9"/>
    <w:rsid w:val="009252F1"/>
    <w:rsid w:val="009262C9"/>
    <w:rsid w:val="00930EB9"/>
    <w:rsid w:val="00933DC7"/>
    <w:rsid w:val="00934267"/>
    <w:rsid w:val="0093621A"/>
    <w:rsid w:val="00937DBC"/>
    <w:rsid w:val="009418F4"/>
    <w:rsid w:val="00942BBC"/>
    <w:rsid w:val="00944180"/>
    <w:rsid w:val="00944AA0"/>
    <w:rsid w:val="009453E8"/>
    <w:rsid w:val="0094685F"/>
    <w:rsid w:val="00947DA2"/>
    <w:rsid w:val="009508FF"/>
    <w:rsid w:val="00951177"/>
    <w:rsid w:val="00954541"/>
    <w:rsid w:val="0095455A"/>
    <w:rsid w:val="0095546E"/>
    <w:rsid w:val="00956053"/>
    <w:rsid w:val="00956897"/>
    <w:rsid w:val="009570CF"/>
    <w:rsid w:val="00957CE1"/>
    <w:rsid w:val="009603AE"/>
    <w:rsid w:val="0096132B"/>
    <w:rsid w:val="00961626"/>
    <w:rsid w:val="00964D44"/>
    <w:rsid w:val="00965321"/>
    <w:rsid w:val="009673E8"/>
    <w:rsid w:val="009703C2"/>
    <w:rsid w:val="009711BF"/>
    <w:rsid w:val="00971969"/>
    <w:rsid w:val="00974DB8"/>
    <w:rsid w:val="00980661"/>
    <w:rsid w:val="0098093B"/>
    <w:rsid w:val="00980A9F"/>
    <w:rsid w:val="009831AD"/>
    <w:rsid w:val="0098553D"/>
    <w:rsid w:val="00986286"/>
    <w:rsid w:val="009869FA"/>
    <w:rsid w:val="009876D4"/>
    <w:rsid w:val="009914A5"/>
    <w:rsid w:val="0099548E"/>
    <w:rsid w:val="009955AE"/>
    <w:rsid w:val="00996456"/>
    <w:rsid w:val="00996A12"/>
    <w:rsid w:val="00997693"/>
    <w:rsid w:val="00997B0F"/>
    <w:rsid w:val="009A0CC3"/>
    <w:rsid w:val="009A1CAD"/>
    <w:rsid w:val="009A3440"/>
    <w:rsid w:val="009A5832"/>
    <w:rsid w:val="009A5F9A"/>
    <w:rsid w:val="009A6838"/>
    <w:rsid w:val="009B1F08"/>
    <w:rsid w:val="009B24B5"/>
    <w:rsid w:val="009B42D8"/>
    <w:rsid w:val="009B4EBC"/>
    <w:rsid w:val="009B5ABB"/>
    <w:rsid w:val="009B726A"/>
    <w:rsid w:val="009B73CE"/>
    <w:rsid w:val="009C2461"/>
    <w:rsid w:val="009C5A15"/>
    <w:rsid w:val="009C5BF8"/>
    <w:rsid w:val="009C6FE2"/>
    <w:rsid w:val="009C7674"/>
    <w:rsid w:val="009D004A"/>
    <w:rsid w:val="009D5880"/>
    <w:rsid w:val="009E1FD4"/>
    <w:rsid w:val="009E31C4"/>
    <w:rsid w:val="009E37F8"/>
    <w:rsid w:val="009E3B07"/>
    <w:rsid w:val="009E4037"/>
    <w:rsid w:val="009E51D1"/>
    <w:rsid w:val="009E5531"/>
    <w:rsid w:val="009E690C"/>
    <w:rsid w:val="009F032E"/>
    <w:rsid w:val="009F171E"/>
    <w:rsid w:val="009F3810"/>
    <w:rsid w:val="009F3D2F"/>
    <w:rsid w:val="009F5152"/>
    <w:rsid w:val="009F6D08"/>
    <w:rsid w:val="009F7052"/>
    <w:rsid w:val="009F794E"/>
    <w:rsid w:val="00A02668"/>
    <w:rsid w:val="00A02801"/>
    <w:rsid w:val="00A06A39"/>
    <w:rsid w:val="00A07481"/>
    <w:rsid w:val="00A07F58"/>
    <w:rsid w:val="00A10E6B"/>
    <w:rsid w:val="00A131CB"/>
    <w:rsid w:val="00A14847"/>
    <w:rsid w:val="00A14A15"/>
    <w:rsid w:val="00A16D6D"/>
    <w:rsid w:val="00A21383"/>
    <w:rsid w:val="00A2199F"/>
    <w:rsid w:val="00A21B31"/>
    <w:rsid w:val="00A231F9"/>
    <w:rsid w:val="00A2360E"/>
    <w:rsid w:val="00A2466F"/>
    <w:rsid w:val="00A253D3"/>
    <w:rsid w:val="00A25FD0"/>
    <w:rsid w:val="00A26E0C"/>
    <w:rsid w:val="00A27A7D"/>
    <w:rsid w:val="00A27B24"/>
    <w:rsid w:val="00A32FCB"/>
    <w:rsid w:val="00A34C25"/>
    <w:rsid w:val="00A3507D"/>
    <w:rsid w:val="00A36651"/>
    <w:rsid w:val="00A3717A"/>
    <w:rsid w:val="00A4088C"/>
    <w:rsid w:val="00A44110"/>
    <w:rsid w:val="00A4456B"/>
    <w:rsid w:val="00A448D4"/>
    <w:rsid w:val="00A44E99"/>
    <w:rsid w:val="00A452E0"/>
    <w:rsid w:val="00A45E63"/>
    <w:rsid w:val="00A46331"/>
    <w:rsid w:val="00A46D26"/>
    <w:rsid w:val="00A506DF"/>
    <w:rsid w:val="00A51EA5"/>
    <w:rsid w:val="00A525AF"/>
    <w:rsid w:val="00A53742"/>
    <w:rsid w:val="00A5568F"/>
    <w:rsid w:val="00A557A1"/>
    <w:rsid w:val="00A55FC9"/>
    <w:rsid w:val="00A56DE5"/>
    <w:rsid w:val="00A57B63"/>
    <w:rsid w:val="00A605BB"/>
    <w:rsid w:val="00A60B07"/>
    <w:rsid w:val="00A63059"/>
    <w:rsid w:val="00A63AE3"/>
    <w:rsid w:val="00A651A4"/>
    <w:rsid w:val="00A65C19"/>
    <w:rsid w:val="00A669C5"/>
    <w:rsid w:val="00A71361"/>
    <w:rsid w:val="00A73158"/>
    <w:rsid w:val="00A746E2"/>
    <w:rsid w:val="00A779E4"/>
    <w:rsid w:val="00A81FF2"/>
    <w:rsid w:val="00A837A0"/>
    <w:rsid w:val="00A83904"/>
    <w:rsid w:val="00A84F23"/>
    <w:rsid w:val="00A90A79"/>
    <w:rsid w:val="00A90AD6"/>
    <w:rsid w:val="00A91830"/>
    <w:rsid w:val="00A91991"/>
    <w:rsid w:val="00A91AFF"/>
    <w:rsid w:val="00A928BE"/>
    <w:rsid w:val="00A93942"/>
    <w:rsid w:val="00A96B30"/>
    <w:rsid w:val="00A971C2"/>
    <w:rsid w:val="00AA1473"/>
    <w:rsid w:val="00AA32CA"/>
    <w:rsid w:val="00AA442D"/>
    <w:rsid w:val="00AA59B5"/>
    <w:rsid w:val="00AA7777"/>
    <w:rsid w:val="00AA7B84"/>
    <w:rsid w:val="00AB177A"/>
    <w:rsid w:val="00AB2232"/>
    <w:rsid w:val="00AB4236"/>
    <w:rsid w:val="00AB4F52"/>
    <w:rsid w:val="00AC0B4C"/>
    <w:rsid w:val="00AC1164"/>
    <w:rsid w:val="00AC2296"/>
    <w:rsid w:val="00AC2754"/>
    <w:rsid w:val="00AC443B"/>
    <w:rsid w:val="00AC48B0"/>
    <w:rsid w:val="00AC4ACD"/>
    <w:rsid w:val="00AC5DFB"/>
    <w:rsid w:val="00AC6882"/>
    <w:rsid w:val="00AD13DC"/>
    <w:rsid w:val="00AD5971"/>
    <w:rsid w:val="00AD6DE2"/>
    <w:rsid w:val="00AE08E9"/>
    <w:rsid w:val="00AE0A40"/>
    <w:rsid w:val="00AE10F9"/>
    <w:rsid w:val="00AE1ED4"/>
    <w:rsid w:val="00AE21E1"/>
    <w:rsid w:val="00AE2F8D"/>
    <w:rsid w:val="00AE31FF"/>
    <w:rsid w:val="00AE3BAE"/>
    <w:rsid w:val="00AE6A21"/>
    <w:rsid w:val="00AF1B95"/>
    <w:rsid w:val="00AF1C8F"/>
    <w:rsid w:val="00AF1CB8"/>
    <w:rsid w:val="00AF2B68"/>
    <w:rsid w:val="00AF2C92"/>
    <w:rsid w:val="00AF373B"/>
    <w:rsid w:val="00AF3EC1"/>
    <w:rsid w:val="00AF5025"/>
    <w:rsid w:val="00AF519F"/>
    <w:rsid w:val="00AF5387"/>
    <w:rsid w:val="00AF55F5"/>
    <w:rsid w:val="00AF7B3A"/>
    <w:rsid w:val="00AF7E86"/>
    <w:rsid w:val="00B024B9"/>
    <w:rsid w:val="00B02837"/>
    <w:rsid w:val="00B04F2C"/>
    <w:rsid w:val="00B064E1"/>
    <w:rsid w:val="00B077FA"/>
    <w:rsid w:val="00B106E7"/>
    <w:rsid w:val="00B107C9"/>
    <w:rsid w:val="00B127D7"/>
    <w:rsid w:val="00B13B0C"/>
    <w:rsid w:val="00B14408"/>
    <w:rsid w:val="00B1453A"/>
    <w:rsid w:val="00B15700"/>
    <w:rsid w:val="00B1749C"/>
    <w:rsid w:val="00B20F82"/>
    <w:rsid w:val="00B23737"/>
    <w:rsid w:val="00B23BA8"/>
    <w:rsid w:val="00B25887"/>
    <w:rsid w:val="00B25BD5"/>
    <w:rsid w:val="00B34079"/>
    <w:rsid w:val="00B3793A"/>
    <w:rsid w:val="00B401BA"/>
    <w:rsid w:val="00B4057B"/>
    <w:rsid w:val="00B407E4"/>
    <w:rsid w:val="00B41EF0"/>
    <w:rsid w:val="00B425B6"/>
    <w:rsid w:val="00B42A72"/>
    <w:rsid w:val="00B43629"/>
    <w:rsid w:val="00B441AE"/>
    <w:rsid w:val="00B4473C"/>
    <w:rsid w:val="00B45A65"/>
    <w:rsid w:val="00B45F33"/>
    <w:rsid w:val="00B46623"/>
    <w:rsid w:val="00B46D50"/>
    <w:rsid w:val="00B476F6"/>
    <w:rsid w:val="00B50410"/>
    <w:rsid w:val="00B52012"/>
    <w:rsid w:val="00B53170"/>
    <w:rsid w:val="00B548B9"/>
    <w:rsid w:val="00B55632"/>
    <w:rsid w:val="00B56DBE"/>
    <w:rsid w:val="00B570AE"/>
    <w:rsid w:val="00B5796B"/>
    <w:rsid w:val="00B62999"/>
    <w:rsid w:val="00B6366F"/>
    <w:rsid w:val="00B63BE3"/>
    <w:rsid w:val="00B64885"/>
    <w:rsid w:val="00B64FA3"/>
    <w:rsid w:val="00B653C9"/>
    <w:rsid w:val="00B66810"/>
    <w:rsid w:val="00B72BE3"/>
    <w:rsid w:val="00B73B80"/>
    <w:rsid w:val="00B770C7"/>
    <w:rsid w:val="00B80E8D"/>
    <w:rsid w:val="00B80F26"/>
    <w:rsid w:val="00B822BD"/>
    <w:rsid w:val="00B83D88"/>
    <w:rsid w:val="00B84223"/>
    <w:rsid w:val="00B842F4"/>
    <w:rsid w:val="00B86A1A"/>
    <w:rsid w:val="00B90532"/>
    <w:rsid w:val="00B91A7B"/>
    <w:rsid w:val="00B929DD"/>
    <w:rsid w:val="00B93AF6"/>
    <w:rsid w:val="00B95043"/>
    <w:rsid w:val="00B95405"/>
    <w:rsid w:val="00B963F1"/>
    <w:rsid w:val="00BA020A"/>
    <w:rsid w:val="00BA33EF"/>
    <w:rsid w:val="00BB025A"/>
    <w:rsid w:val="00BB02A4"/>
    <w:rsid w:val="00BB1270"/>
    <w:rsid w:val="00BB1E44"/>
    <w:rsid w:val="00BB3373"/>
    <w:rsid w:val="00BB5243"/>
    <w:rsid w:val="00BB5267"/>
    <w:rsid w:val="00BB52B8"/>
    <w:rsid w:val="00BB59D8"/>
    <w:rsid w:val="00BB67E0"/>
    <w:rsid w:val="00BB6C02"/>
    <w:rsid w:val="00BB77AD"/>
    <w:rsid w:val="00BB7E69"/>
    <w:rsid w:val="00BC0E51"/>
    <w:rsid w:val="00BC1311"/>
    <w:rsid w:val="00BC3C1F"/>
    <w:rsid w:val="00BC48A8"/>
    <w:rsid w:val="00BC7014"/>
    <w:rsid w:val="00BC7CE7"/>
    <w:rsid w:val="00BD295E"/>
    <w:rsid w:val="00BD2D55"/>
    <w:rsid w:val="00BD4664"/>
    <w:rsid w:val="00BE0933"/>
    <w:rsid w:val="00BE1193"/>
    <w:rsid w:val="00BE1872"/>
    <w:rsid w:val="00BF4849"/>
    <w:rsid w:val="00BF4EA7"/>
    <w:rsid w:val="00BF6525"/>
    <w:rsid w:val="00BF7952"/>
    <w:rsid w:val="00C00E7F"/>
    <w:rsid w:val="00C00EDB"/>
    <w:rsid w:val="00C02863"/>
    <w:rsid w:val="00C02D11"/>
    <w:rsid w:val="00C02D72"/>
    <w:rsid w:val="00C0383A"/>
    <w:rsid w:val="00C067FF"/>
    <w:rsid w:val="00C11C3A"/>
    <w:rsid w:val="00C12862"/>
    <w:rsid w:val="00C12F1C"/>
    <w:rsid w:val="00C13D28"/>
    <w:rsid w:val="00C14585"/>
    <w:rsid w:val="00C14F32"/>
    <w:rsid w:val="00C155F6"/>
    <w:rsid w:val="00C16209"/>
    <w:rsid w:val="00C165A0"/>
    <w:rsid w:val="00C16B0F"/>
    <w:rsid w:val="00C216CE"/>
    <w:rsid w:val="00C2184F"/>
    <w:rsid w:val="00C22A78"/>
    <w:rsid w:val="00C2317B"/>
    <w:rsid w:val="00C239D9"/>
    <w:rsid w:val="00C23C7E"/>
    <w:rsid w:val="00C246C5"/>
    <w:rsid w:val="00C25A82"/>
    <w:rsid w:val="00C30A2A"/>
    <w:rsid w:val="00C30AF0"/>
    <w:rsid w:val="00C32232"/>
    <w:rsid w:val="00C33993"/>
    <w:rsid w:val="00C34FF8"/>
    <w:rsid w:val="00C4069E"/>
    <w:rsid w:val="00C41ADC"/>
    <w:rsid w:val="00C41CC2"/>
    <w:rsid w:val="00C44149"/>
    <w:rsid w:val="00C44410"/>
    <w:rsid w:val="00C44679"/>
    <w:rsid w:val="00C44A15"/>
    <w:rsid w:val="00C4630A"/>
    <w:rsid w:val="00C5025E"/>
    <w:rsid w:val="00C523F0"/>
    <w:rsid w:val="00C526D2"/>
    <w:rsid w:val="00C53A91"/>
    <w:rsid w:val="00C54FD6"/>
    <w:rsid w:val="00C5794E"/>
    <w:rsid w:val="00C57DCF"/>
    <w:rsid w:val="00C603D6"/>
    <w:rsid w:val="00C60968"/>
    <w:rsid w:val="00C60B1C"/>
    <w:rsid w:val="00C6139B"/>
    <w:rsid w:val="00C6249E"/>
    <w:rsid w:val="00C6346E"/>
    <w:rsid w:val="00C63D39"/>
    <w:rsid w:val="00C63EDD"/>
    <w:rsid w:val="00C6466A"/>
    <w:rsid w:val="00C65B36"/>
    <w:rsid w:val="00C661E4"/>
    <w:rsid w:val="00C67A74"/>
    <w:rsid w:val="00C67EB9"/>
    <w:rsid w:val="00C70116"/>
    <w:rsid w:val="00C710A5"/>
    <w:rsid w:val="00C71719"/>
    <w:rsid w:val="00C7292E"/>
    <w:rsid w:val="00C74E88"/>
    <w:rsid w:val="00C80924"/>
    <w:rsid w:val="00C824AC"/>
    <w:rsid w:val="00C8286B"/>
    <w:rsid w:val="00C83A56"/>
    <w:rsid w:val="00C86DF7"/>
    <w:rsid w:val="00C947F8"/>
    <w:rsid w:val="00C9515F"/>
    <w:rsid w:val="00C963C5"/>
    <w:rsid w:val="00CA030C"/>
    <w:rsid w:val="00CA1F41"/>
    <w:rsid w:val="00CA32EE"/>
    <w:rsid w:val="00CA3541"/>
    <w:rsid w:val="00CA412F"/>
    <w:rsid w:val="00CA4D91"/>
    <w:rsid w:val="00CA5678"/>
    <w:rsid w:val="00CA5771"/>
    <w:rsid w:val="00CA68EF"/>
    <w:rsid w:val="00CA6A1A"/>
    <w:rsid w:val="00CA6F9E"/>
    <w:rsid w:val="00CB29C5"/>
    <w:rsid w:val="00CB3DCF"/>
    <w:rsid w:val="00CB3F2B"/>
    <w:rsid w:val="00CB4A53"/>
    <w:rsid w:val="00CB59A7"/>
    <w:rsid w:val="00CB6CC1"/>
    <w:rsid w:val="00CB757C"/>
    <w:rsid w:val="00CC0F0B"/>
    <w:rsid w:val="00CC1E75"/>
    <w:rsid w:val="00CC2E0E"/>
    <w:rsid w:val="00CC361C"/>
    <w:rsid w:val="00CC4414"/>
    <w:rsid w:val="00CC474B"/>
    <w:rsid w:val="00CC540B"/>
    <w:rsid w:val="00CC5490"/>
    <w:rsid w:val="00CC658C"/>
    <w:rsid w:val="00CC67BF"/>
    <w:rsid w:val="00CD0843"/>
    <w:rsid w:val="00CD1637"/>
    <w:rsid w:val="00CD1640"/>
    <w:rsid w:val="00CD3AA5"/>
    <w:rsid w:val="00CD4E31"/>
    <w:rsid w:val="00CD5A78"/>
    <w:rsid w:val="00CD7345"/>
    <w:rsid w:val="00CD75E8"/>
    <w:rsid w:val="00CE261A"/>
    <w:rsid w:val="00CE372E"/>
    <w:rsid w:val="00CE4AC5"/>
    <w:rsid w:val="00CE76E9"/>
    <w:rsid w:val="00CE7ED6"/>
    <w:rsid w:val="00CF0A1B"/>
    <w:rsid w:val="00CF17E9"/>
    <w:rsid w:val="00CF19F6"/>
    <w:rsid w:val="00CF214D"/>
    <w:rsid w:val="00CF2F4F"/>
    <w:rsid w:val="00CF536D"/>
    <w:rsid w:val="00D02E9D"/>
    <w:rsid w:val="00D02FB6"/>
    <w:rsid w:val="00D10CB8"/>
    <w:rsid w:val="00D12806"/>
    <w:rsid w:val="00D12D44"/>
    <w:rsid w:val="00D141CA"/>
    <w:rsid w:val="00D15018"/>
    <w:rsid w:val="00D158AC"/>
    <w:rsid w:val="00D1694C"/>
    <w:rsid w:val="00D20F5E"/>
    <w:rsid w:val="00D216B6"/>
    <w:rsid w:val="00D22A42"/>
    <w:rsid w:val="00D23800"/>
    <w:rsid w:val="00D23B76"/>
    <w:rsid w:val="00D24B4A"/>
    <w:rsid w:val="00D268D6"/>
    <w:rsid w:val="00D2700C"/>
    <w:rsid w:val="00D3144A"/>
    <w:rsid w:val="00D321EF"/>
    <w:rsid w:val="00D35BE6"/>
    <w:rsid w:val="00D379A3"/>
    <w:rsid w:val="00D4091F"/>
    <w:rsid w:val="00D41413"/>
    <w:rsid w:val="00D41902"/>
    <w:rsid w:val="00D41CCF"/>
    <w:rsid w:val="00D42940"/>
    <w:rsid w:val="00D45FF3"/>
    <w:rsid w:val="00D46142"/>
    <w:rsid w:val="00D50D6A"/>
    <w:rsid w:val="00D51293"/>
    <w:rsid w:val="00D512CF"/>
    <w:rsid w:val="00D51F44"/>
    <w:rsid w:val="00D52626"/>
    <w:rsid w:val="00D528B9"/>
    <w:rsid w:val="00D53186"/>
    <w:rsid w:val="00D5487D"/>
    <w:rsid w:val="00D56058"/>
    <w:rsid w:val="00D57E4A"/>
    <w:rsid w:val="00D60140"/>
    <w:rsid w:val="00D6024A"/>
    <w:rsid w:val="00D608B5"/>
    <w:rsid w:val="00D628E6"/>
    <w:rsid w:val="00D6403A"/>
    <w:rsid w:val="00D64739"/>
    <w:rsid w:val="00D70F60"/>
    <w:rsid w:val="00D71F99"/>
    <w:rsid w:val="00D73CA4"/>
    <w:rsid w:val="00D73D71"/>
    <w:rsid w:val="00D74396"/>
    <w:rsid w:val="00D755CD"/>
    <w:rsid w:val="00D75DD5"/>
    <w:rsid w:val="00D765DF"/>
    <w:rsid w:val="00D80284"/>
    <w:rsid w:val="00D81E60"/>
    <w:rsid w:val="00D81F71"/>
    <w:rsid w:val="00D82928"/>
    <w:rsid w:val="00D863F6"/>
    <w:rsid w:val="00D8642D"/>
    <w:rsid w:val="00D86793"/>
    <w:rsid w:val="00D870ED"/>
    <w:rsid w:val="00D90A5E"/>
    <w:rsid w:val="00D91A68"/>
    <w:rsid w:val="00D921C4"/>
    <w:rsid w:val="00D93BFB"/>
    <w:rsid w:val="00D95A68"/>
    <w:rsid w:val="00D9767E"/>
    <w:rsid w:val="00D97F1F"/>
    <w:rsid w:val="00DA1042"/>
    <w:rsid w:val="00DA173B"/>
    <w:rsid w:val="00DA17C7"/>
    <w:rsid w:val="00DA17D5"/>
    <w:rsid w:val="00DA183F"/>
    <w:rsid w:val="00DA1F5E"/>
    <w:rsid w:val="00DA25E4"/>
    <w:rsid w:val="00DA5F96"/>
    <w:rsid w:val="00DA6A9A"/>
    <w:rsid w:val="00DB1EFD"/>
    <w:rsid w:val="00DB3EAF"/>
    <w:rsid w:val="00DB46C6"/>
    <w:rsid w:val="00DB5DCD"/>
    <w:rsid w:val="00DC3203"/>
    <w:rsid w:val="00DC3C99"/>
    <w:rsid w:val="00DC52F5"/>
    <w:rsid w:val="00DC59A4"/>
    <w:rsid w:val="00DC5FD0"/>
    <w:rsid w:val="00DD0354"/>
    <w:rsid w:val="00DD24DA"/>
    <w:rsid w:val="00DD27D7"/>
    <w:rsid w:val="00DD2F9D"/>
    <w:rsid w:val="00DD458C"/>
    <w:rsid w:val="00DD5665"/>
    <w:rsid w:val="00DD6EB3"/>
    <w:rsid w:val="00DD72E9"/>
    <w:rsid w:val="00DD7605"/>
    <w:rsid w:val="00DD7AA2"/>
    <w:rsid w:val="00DE02E6"/>
    <w:rsid w:val="00DE02F1"/>
    <w:rsid w:val="00DE2020"/>
    <w:rsid w:val="00DE2E00"/>
    <w:rsid w:val="00DE2F84"/>
    <w:rsid w:val="00DE3452"/>
    <w:rsid w:val="00DE3476"/>
    <w:rsid w:val="00DE4113"/>
    <w:rsid w:val="00DE454D"/>
    <w:rsid w:val="00DE6D07"/>
    <w:rsid w:val="00DE72E0"/>
    <w:rsid w:val="00DE7BEA"/>
    <w:rsid w:val="00DF0BE9"/>
    <w:rsid w:val="00DF2CE0"/>
    <w:rsid w:val="00DF3119"/>
    <w:rsid w:val="00DF5B84"/>
    <w:rsid w:val="00DF6CBD"/>
    <w:rsid w:val="00DF6D5B"/>
    <w:rsid w:val="00DF7625"/>
    <w:rsid w:val="00DF771B"/>
    <w:rsid w:val="00DF7EE2"/>
    <w:rsid w:val="00E01BAA"/>
    <w:rsid w:val="00E01E97"/>
    <w:rsid w:val="00E0282A"/>
    <w:rsid w:val="00E02F9B"/>
    <w:rsid w:val="00E07E14"/>
    <w:rsid w:val="00E102B2"/>
    <w:rsid w:val="00E1033C"/>
    <w:rsid w:val="00E11769"/>
    <w:rsid w:val="00E118BA"/>
    <w:rsid w:val="00E1191C"/>
    <w:rsid w:val="00E12C86"/>
    <w:rsid w:val="00E130BE"/>
    <w:rsid w:val="00E1327E"/>
    <w:rsid w:val="00E14F94"/>
    <w:rsid w:val="00E17336"/>
    <w:rsid w:val="00E17D15"/>
    <w:rsid w:val="00E20890"/>
    <w:rsid w:val="00E22B95"/>
    <w:rsid w:val="00E24B67"/>
    <w:rsid w:val="00E25DFD"/>
    <w:rsid w:val="00E26955"/>
    <w:rsid w:val="00E26F72"/>
    <w:rsid w:val="00E27281"/>
    <w:rsid w:val="00E30331"/>
    <w:rsid w:val="00E30BB8"/>
    <w:rsid w:val="00E31113"/>
    <w:rsid w:val="00E31F9C"/>
    <w:rsid w:val="00E36306"/>
    <w:rsid w:val="00E40488"/>
    <w:rsid w:val="00E410CF"/>
    <w:rsid w:val="00E4521C"/>
    <w:rsid w:val="00E50367"/>
    <w:rsid w:val="00E51ABA"/>
    <w:rsid w:val="00E524CB"/>
    <w:rsid w:val="00E55EDE"/>
    <w:rsid w:val="00E56C52"/>
    <w:rsid w:val="00E61042"/>
    <w:rsid w:val="00E613EA"/>
    <w:rsid w:val="00E6480B"/>
    <w:rsid w:val="00E64E8B"/>
    <w:rsid w:val="00E65456"/>
    <w:rsid w:val="00E65A91"/>
    <w:rsid w:val="00E66188"/>
    <w:rsid w:val="00E664FB"/>
    <w:rsid w:val="00E672F0"/>
    <w:rsid w:val="00E70373"/>
    <w:rsid w:val="00E71F1F"/>
    <w:rsid w:val="00E725D2"/>
    <w:rsid w:val="00E72E40"/>
    <w:rsid w:val="00E73665"/>
    <w:rsid w:val="00E73999"/>
    <w:rsid w:val="00E73BDC"/>
    <w:rsid w:val="00E73E9E"/>
    <w:rsid w:val="00E748E8"/>
    <w:rsid w:val="00E81660"/>
    <w:rsid w:val="00E8241E"/>
    <w:rsid w:val="00E84862"/>
    <w:rsid w:val="00E850EA"/>
    <w:rsid w:val="00E854FE"/>
    <w:rsid w:val="00E8631B"/>
    <w:rsid w:val="00E87854"/>
    <w:rsid w:val="00E906CC"/>
    <w:rsid w:val="00E907BA"/>
    <w:rsid w:val="00E91036"/>
    <w:rsid w:val="00E939A0"/>
    <w:rsid w:val="00E957B3"/>
    <w:rsid w:val="00E97259"/>
    <w:rsid w:val="00E97E4E"/>
    <w:rsid w:val="00EA06C1"/>
    <w:rsid w:val="00EA1CC2"/>
    <w:rsid w:val="00EA2D76"/>
    <w:rsid w:val="00EA3D5D"/>
    <w:rsid w:val="00EA4644"/>
    <w:rsid w:val="00EA55C9"/>
    <w:rsid w:val="00EA758A"/>
    <w:rsid w:val="00EA781A"/>
    <w:rsid w:val="00EB096F"/>
    <w:rsid w:val="00EB199F"/>
    <w:rsid w:val="00EB21A4"/>
    <w:rsid w:val="00EB27C4"/>
    <w:rsid w:val="00EB5387"/>
    <w:rsid w:val="00EB5C10"/>
    <w:rsid w:val="00EB7308"/>
    <w:rsid w:val="00EB7322"/>
    <w:rsid w:val="00EC0FE9"/>
    <w:rsid w:val="00EC198B"/>
    <w:rsid w:val="00EC1D66"/>
    <w:rsid w:val="00EC22F0"/>
    <w:rsid w:val="00EC2FC7"/>
    <w:rsid w:val="00EC426D"/>
    <w:rsid w:val="00EC571B"/>
    <w:rsid w:val="00EC57D7"/>
    <w:rsid w:val="00EC6385"/>
    <w:rsid w:val="00EC6B51"/>
    <w:rsid w:val="00ED11FB"/>
    <w:rsid w:val="00ED1DE9"/>
    <w:rsid w:val="00ED23D4"/>
    <w:rsid w:val="00ED52D6"/>
    <w:rsid w:val="00ED5E0B"/>
    <w:rsid w:val="00EE2D1B"/>
    <w:rsid w:val="00EE37B6"/>
    <w:rsid w:val="00EE44A0"/>
    <w:rsid w:val="00EF0EC8"/>
    <w:rsid w:val="00EF0F45"/>
    <w:rsid w:val="00EF1E7B"/>
    <w:rsid w:val="00EF48AE"/>
    <w:rsid w:val="00EF7463"/>
    <w:rsid w:val="00EF7971"/>
    <w:rsid w:val="00F002EF"/>
    <w:rsid w:val="00F01EE9"/>
    <w:rsid w:val="00F024FC"/>
    <w:rsid w:val="00F04900"/>
    <w:rsid w:val="00F065A4"/>
    <w:rsid w:val="00F074DF"/>
    <w:rsid w:val="00F126B9"/>
    <w:rsid w:val="00F12715"/>
    <w:rsid w:val="00F13133"/>
    <w:rsid w:val="00F144D5"/>
    <w:rsid w:val="00F146F0"/>
    <w:rsid w:val="00F15039"/>
    <w:rsid w:val="00F20FF3"/>
    <w:rsid w:val="00F21814"/>
    <w:rsid w:val="00F2190B"/>
    <w:rsid w:val="00F228B5"/>
    <w:rsid w:val="00F2389C"/>
    <w:rsid w:val="00F25C67"/>
    <w:rsid w:val="00F2735E"/>
    <w:rsid w:val="00F30DFF"/>
    <w:rsid w:val="00F32484"/>
    <w:rsid w:val="00F32B80"/>
    <w:rsid w:val="00F340EB"/>
    <w:rsid w:val="00F35285"/>
    <w:rsid w:val="00F364C5"/>
    <w:rsid w:val="00F37603"/>
    <w:rsid w:val="00F406AB"/>
    <w:rsid w:val="00F42DC2"/>
    <w:rsid w:val="00F43B9D"/>
    <w:rsid w:val="00F44D5E"/>
    <w:rsid w:val="00F47616"/>
    <w:rsid w:val="00F50411"/>
    <w:rsid w:val="00F53A35"/>
    <w:rsid w:val="00F53F60"/>
    <w:rsid w:val="00F54943"/>
    <w:rsid w:val="00F55A3D"/>
    <w:rsid w:val="00F5744B"/>
    <w:rsid w:val="00F61209"/>
    <w:rsid w:val="00F614AD"/>
    <w:rsid w:val="00F624A7"/>
    <w:rsid w:val="00F6259E"/>
    <w:rsid w:val="00F65DD4"/>
    <w:rsid w:val="00F672B2"/>
    <w:rsid w:val="00F7160C"/>
    <w:rsid w:val="00F71D6E"/>
    <w:rsid w:val="00F7225F"/>
    <w:rsid w:val="00F72A77"/>
    <w:rsid w:val="00F80AEF"/>
    <w:rsid w:val="00F81782"/>
    <w:rsid w:val="00F83973"/>
    <w:rsid w:val="00F84C19"/>
    <w:rsid w:val="00F85339"/>
    <w:rsid w:val="00F859B3"/>
    <w:rsid w:val="00F8720D"/>
    <w:rsid w:val="00F87FA3"/>
    <w:rsid w:val="00F90B82"/>
    <w:rsid w:val="00F93D8C"/>
    <w:rsid w:val="00F949CF"/>
    <w:rsid w:val="00FA3102"/>
    <w:rsid w:val="00FA48D4"/>
    <w:rsid w:val="00FA54FA"/>
    <w:rsid w:val="00FA6D39"/>
    <w:rsid w:val="00FA7609"/>
    <w:rsid w:val="00FA7FBC"/>
    <w:rsid w:val="00FB036D"/>
    <w:rsid w:val="00FB227E"/>
    <w:rsid w:val="00FB2936"/>
    <w:rsid w:val="00FB3D61"/>
    <w:rsid w:val="00FB44CE"/>
    <w:rsid w:val="00FB5009"/>
    <w:rsid w:val="00FB6D24"/>
    <w:rsid w:val="00FB76AB"/>
    <w:rsid w:val="00FD03FE"/>
    <w:rsid w:val="00FD0B5B"/>
    <w:rsid w:val="00FD126E"/>
    <w:rsid w:val="00FD2FCE"/>
    <w:rsid w:val="00FD3C36"/>
    <w:rsid w:val="00FD4D81"/>
    <w:rsid w:val="00FD4E84"/>
    <w:rsid w:val="00FD7498"/>
    <w:rsid w:val="00FD7789"/>
    <w:rsid w:val="00FD7FB3"/>
    <w:rsid w:val="00FE4713"/>
    <w:rsid w:val="00FF186F"/>
    <w:rsid w:val="00FF1F44"/>
    <w:rsid w:val="00FF225E"/>
    <w:rsid w:val="00FF672C"/>
    <w:rsid w:val="00FF6CE8"/>
    <w:rsid w:val="04DE2880"/>
    <w:rsid w:val="1025EF40"/>
    <w:rsid w:val="117CBE63"/>
    <w:rsid w:val="165FA4F0"/>
    <w:rsid w:val="1A37CB3C"/>
    <w:rsid w:val="24D27075"/>
    <w:rsid w:val="29A5E198"/>
    <w:rsid w:val="2F47A010"/>
    <w:rsid w:val="4A32FD5C"/>
    <w:rsid w:val="4AC4720F"/>
    <w:rsid w:val="52125444"/>
    <w:rsid w:val="6669CEF1"/>
    <w:rsid w:val="6CD5CCF0"/>
    <w:rsid w:val="722E9775"/>
    <w:rsid w:val="7555735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42735"/>
  <w14:defaultImageDpi w14:val="330"/>
  <w15:docId w15:val="{3A3505BE-341D-4A1C-99E7-2609F2AF1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6C52"/>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1"/>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3F193A"/>
    <w:rPr>
      <w:rFonts w:eastAsia="Times New Roman"/>
      <w:sz w:val="24"/>
      <w:szCs w:val="24"/>
      <w:lang w:eastAsia="en-GB"/>
    </w:rPr>
  </w:style>
  <w:style w:type="paragraph" w:styleId="Footer">
    <w:name w:val="footer"/>
    <w:basedOn w:val="Normal"/>
    <w:link w:val="FooterChar"/>
    <w:uiPriority w:val="99"/>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uiPriority w:val="99"/>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CommentReference">
    <w:name w:val="annotation reference"/>
    <w:basedOn w:val="DefaultParagraphFont"/>
    <w:uiPriority w:val="99"/>
    <w:semiHidden/>
    <w:unhideWhenUsed/>
    <w:rsid w:val="00392E0B"/>
    <w:rPr>
      <w:sz w:val="16"/>
      <w:szCs w:val="16"/>
    </w:rPr>
  </w:style>
  <w:style w:type="paragraph" w:styleId="CommentText">
    <w:name w:val="annotation text"/>
    <w:basedOn w:val="Normal"/>
    <w:link w:val="CommentTextChar"/>
    <w:uiPriority w:val="99"/>
    <w:unhideWhenUsed/>
    <w:rsid w:val="00392E0B"/>
    <w:pPr>
      <w:spacing w:after="160" w:line="240" w:lineRule="auto"/>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392E0B"/>
    <w:rPr>
      <w:rFonts w:asciiTheme="minorHAnsi" w:eastAsiaTheme="minorHAnsi" w:hAnsiTheme="minorHAnsi" w:cstheme="minorBidi"/>
      <w:lang w:eastAsia="en-US"/>
    </w:rPr>
  </w:style>
  <w:style w:type="character" w:styleId="Hyperlink">
    <w:name w:val="Hyperlink"/>
    <w:basedOn w:val="DefaultParagraphFont"/>
    <w:uiPriority w:val="99"/>
    <w:unhideWhenUsed/>
    <w:rsid w:val="002F2000"/>
    <w:rPr>
      <w:color w:val="0000FF"/>
      <w:u w:val="single"/>
    </w:rPr>
  </w:style>
  <w:style w:type="character" w:styleId="Strong">
    <w:name w:val="Strong"/>
    <w:basedOn w:val="DefaultParagraphFont"/>
    <w:uiPriority w:val="22"/>
    <w:qFormat/>
    <w:rsid w:val="002F2000"/>
    <w:rPr>
      <w:b/>
      <w:bCs/>
    </w:rPr>
  </w:style>
  <w:style w:type="character" w:styleId="Emphasis">
    <w:name w:val="Emphasis"/>
    <w:basedOn w:val="DefaultParagraphFont"/>
    <w:uiPriority w:val="20"/>
    <w:qFormat/>
    <w:rsid w:val="002F2000"/>
    <w:rPr>
      <w:i/>
      <w:iCs/>
    </w:rPr>
  </w:style>
  <w:style w:type="paragraph" w:styleId="CommentSubject">
    <w:name w:val="annotation subject"/>
    <w:basedOn w:val="CommentText"/>
    <w:next w:val="CommentText"/>
    <w:link w:val="CommentSubjectChar"/>
    <w:semiHidden/>
    <w:unhideWhenUsed/>
    <w:rsid w:val="008C38F5"/>
    <w:pPr>
      <w:spacing w:after="0"/>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semiHidden/>
    <w:rsid w:val="008C38F5"/>
    <w:rPr>
      <w:rFonts w:asciiTheme="minorHAnsi" w:eastAsiaTheme="minorHAnsi" w:hAnsiTheme="minorHAnsi" w:cstheme="minorBidi"/>
      <w:b/>
      <w:bCs/>
      <w:lang w:eastAsia="en-US"/>
    </w:rPr>
  </w:style>
  <w:style w:type="character" w:styleId="UnresolvedMention">
    <w:name w:val="Unresolved Mention"/>
    <w:basedOn w:val="DefaultParagraphFont"/>
    <w:uiPriority w:val="99"/>
    <w:semiHidden/>
    <w:unhideWhenUsed/>
    <w:rsid w:val="005A5865"/>
    <w:rPr>
      <w:color w:val="605E5C"/>
      <w:shd w:val="clear" w:color="auto" w:fill="E1DFDD"/>
    </w:rPr>
  </w:style>
  <w:style w:type="paragraph" w:customStyle="1" w:styleId="dx-doi">
    <w:name w:val="dx-doi"/>
    <w:basedOn w:val="Normal"/>
    <w:rsid w:val="00493DC5"/>
    <w:pPr>
      <w:spacing w:before="100" w:beforeAutospacing="1" w:after="100" w:afterAutospacing="1" w:line="240" w:lineRule="auto"/>
    </w:pPr>
  </w:style>
  <w:style w:type="paragraph" w:customStyle="1" w:styleId="nova-legacy-e-listitem">
    <w:name w:val="nova-legacy-e-list__item"/>
    <w:basedOn w:val="Normal"/>
    <w:rsid w:val="000B7F6F"/>
    <w:pPr>
      <w:spacing w:before="100" w:beforeAutospacing="1" w:after="100" w:afterAutospacing="1" w:line="240" w:lineRule="auto"/>
    </w:pPr>
  </w:style>
  <w:style w:type="character" w:customStyle="1" w:styleId="identifier">
    <w:name w:val="identifier"/>
    <w:basedOn w:val="DefaultParagraphFont"/>
    <w:rsid w:val="008A3308"/>
  </w:style>
  <w:style w:type="character" w:customStyle="1" w:styleId="text">
    <w:name w:val="text"/>
    <w:basedOn w:val="DefaultParagraphFont"/>
    <w:rsid w:val="009831AD"/>
  </w:style>
  <w:style w:type="paragraph" w:customStyle="1" w:styleId="TableParagraph">
    <w:name w:val="Table Paragraph"/>
    <w:basedOn w:val="Normal"/>
    <w:uiPriority w:val="1"/>
    <w:qFormat/>
    <w:rsid w:val="005D3C5A"/>
    <w:pPr>
      <w:widowControl w:val="0"/>
      <w:autoSpaceDE w:val="0"/>
      <w:autoSpaceDN w:val="0"/>
      <w:spacing w:line="258" w:lineRule="exact"/>
      <w:ind w:left="110"/>
    </w:pPr>
    <w:rPr>
      <w:sz w:val="22"/>
      <w:szCs w:val="22"/>
      <w:lang w:val="en-US" w:eastAsia="en-US" w:bidi="en-US"/>
    </w:rPr>
  </w:style>
  <w:style w:type="table" w:styleId="TableGrid">
    <w:name w:val="Table Grid"/>
    <w:basedOn w:val="TableNormal"/>
    <w:uiPriority w:val="39"/>
    <w:rsid w:val="000348EE"/>
    <w:rPr>
      <w:rFonts w:asciiTheme="minorHAnsi" w:eastAsiaTheme="minorHAnsi" w:hAnsiTheme="minorHAnsi" w:cstheme="minorBidi"/>
      <w:sz w:val="22"/>
      <w:szCs w:val="22"/>
      <w:lang w:val="en-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rsid w:val="000348EE"/>
    <w:pPr>
      <w:ind w:left="720"/>
      <w:contextualSpacing/>
    </w:pPr>
  </w:style>
  <w:style w:type="character" w:customStyle="1" w:styleId="hlfld-contribauthor">
    <w:name w:val="hlfld-contribauthor"/>
    <w:basedOn w:val="DefaultParagraphFont"/>
    <w:rsid w:val="004F69B4"/>
  </w:style>
  <w:style w:type="character" w:customStyle="1" w:styleId="nlmgiven-names">
    <w:name w:val="nlm_given-names"/>
    <w:basedOn w:val="DefaultParagraphFont"/>
    <w:rsid w:val="004F69B4"/>
  </w:style>
  <w:style w:type="character" w:customStyle="1" w:styleId="nlmyear">
    <w:name w:val="nlm_year"/>
    <w:basedOn w:val="DefaultParagraphFont"/>
    <w:rsid w:val="004F69B4"/>
  </w:style>
  <w:style w:type="character" w:customStyle="1" w:styleId="nlmarticle-title">
    <w:name w:val="nlm_article-title"/>
    <w:basedOn w:val="DefaultParagraphFont"/>
    <w:rsid w:val="004F69B4"/>
  </w:style>
  <w:style w:type="character" w:customStyle="1" w:styleId="nlmfpage">
    <w:name w:val="nlm_fpage"/>
    <w:basedOn w:val="DefaultParagraphFont"/>
    <w:rsid w:val="004F69B4"/>
  </w:style>
  <w:style w:type="character" w:customStyle="1" w:styleId="nlmlpage">
    <w:name w:val="nlm_lpage"/>
    <w:basedOn w:val="DefaultParagraphFont"/>
    <w:rsid w:val="004F69B4"/>
  </w:style>
  <w:style w:type="paragraph" w:styleId="Revision">
    <w:name w:val="Revision"/>
    <w:hidden/>
    <w:semiHidden/>
    <w:rsid w:val="00D41CCF"/>
    <w:rPr>
      <w:sz w:val="24"/>
      <w:szCs w:val="24"/>
    </w:rPr>
  </w:style>
  <w:style w:type="paragraph" w:customStyle="1" w:styleId="pf0">
    <w:name w:val="pf0"/>
    <w:basedOn w:val="Normal"/>
    <w:rsid w:val="00B4473C"/>
    <w:pPr>
      <w:spacing w:before="100" w:beforeAutospacing="1" w:after="100" w:afterAutospacing="1" w:line="240" w:lineRule="auto"/>
    </w:pPr>
  </w:style>
  <w:style w:type="character" w:customStyle="1" w:styleId="cf01">
    <w:name w:val="cf01"/>
    <w:basedOn w:val="DefaultParagraphFont"/>
    <w:rsid w:val="00B4473C"/>
    <w:rPr>
      <w:rFonts w:ascii="Segoe UI" w:hAnsi="Segoe UI" w:cs="Segoe UI" w:hint="default"/>
      <w:sz w:val="18"/>
      <w:szCs w:val="18"/>
    </w:rPr>
  </w:style>
  <w:style w:type="table" w:styleId="ListTable6Colorful">
    <w:name w:val="List Table 6 Colorful"/>
    <w:basedOn w:val="TableNormal"/>
    <w:uiPriority w:val="51"/>
    <w:rsid w:val="0032524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rsid w:val="00224668"/>
    <w:pPr>
      <w:spacing w:before="100" w:beforeAutospacing="1" w:after="100" w:afterAutospacing="1" w:line="240" w:lineRule="auto"/>
    </w:pPr>
  </w:style>
  <w:style w:type="character" w:customStyle="1" w:styleId="apple-tab-span">
    <w:name w:val="apple-tab-span"/>
    <w:basedOn w:val="DefaultParagraphFont"/>
    <w:rsid w:val="002246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6267">
      <w:bodyDiv w:val="1"/>
      <w:marLeft w:val="0"/>
      <w:marRight w:val="0"/>
      <w:marTop w:val="0"/>
      <w:marBottom w:val="0"/>
      <w:divBdr>
        <w:top w:val="none" w:sz="0" w:space="0" w:color="auto"/>
        <w:left w:val="none" w:sz="0" w:space="0" w:color="auto"/>
        <w:bottom w:val="none" w:sz="0" w:space="0" w:color="auto"/>
        <w:right w:val="none" w:sz="0" w:space="0" w:color="auto"/>
      </w:divBdr>
    </w:div>
    <w:div w:id="17589934">
      <w:bodyDiv w:val="1"/>
      <w:marLeft w:val="0"/>
      <w:marRight w:val="0"/>
      <w:marTop w:val="0"/>
      <w:marBottom w:val="0"/>
      <w:divBdr>
        <w:top w:val="none" w:sz="0" w:space="0" w:color="auto"/>
        <w:left w:val="none" w:sz="0" w:space="0" w:color="auto"/>
        <w:bottom w:val="none" w:sz="0" w:space="0" w:color="auto"/>
        <w:right w:val="none" w:sz="0" w:space="0" w:color="auto"/>
      </w:divBdr>
    </w:div>
    <w:div w:id="47611589">
      <w:bodyDiv w:val="1"/>
      <w:marLeft w:val="0"/>
      <w:marRight w:val="0"/>
      <w:marTop w:val="0"/>
      <w:marBottom w:val="0"/>
      <w:divBdr>
        <w:top w:val="none" w:sz="0" w:space="0" w:color="auto"/>
        <w:left w:val="none" w:sz="0" w:space="0" w:color="auto"/>
        <w:bottom w:val="none" w:sz="0" w:space="0" w:color="auto"/>
        <w:right w:val="none" w:sz="0" w:space="0" w:color="auto"/>
      </w:divBdr>
    </w:div>
    <w:div w:id="98915625">
      <w:bodyDiv w:val="1"/>
      <w:marLeft w:val="0"/>
      <w:marRight w:val="0"/>
      <w:marTop w:val="0"/>
      <w:marBottom w:val="0"/>
      <w:divBdr>
        <w:top w:val="none" w:sz="0" w:space="0" w:color="auto"/>
        <w:left w:val="none" w:sz="0" w:space="0" w:color="auto"/>
        <w:bottom w:val="none" w:sz="0" w:space="0" w:color="auto"/>
        <w:right w:val="none" w:sz="0" w:space="0" w:color="auto"/>
      </w:divBdr>
    </w:div>
    <w:div w:id="215626297">
      <w:bodyDiv w:val="1"/>
      <w:marLeft w:val="0"/>
      <w:marRight w:val="0"/>
      <w:marTop w:val="0"/>
      <w:marBottom w:val="0"/>
      <w:divBdr>
        <w:top w:val="none" w:sz="0" w:space="0" w:color="auto"/>
        <w:left w:val="none" w:sz="0" w:space="0" w:color="auto"/>
        <w:bottom w:val="none" w:sz="0" w:space="0" w:color="auto"/>
        <w:right w:val="none" w:sz="0" w:space="0" w:color="auto"/>
      </w:divBdr>
    </w:div>
    <w:div w:id="231426587">
      <w:bodyDiv w:val="1"/>
      <w:marLeft w:val="0"/>
      <w:marRight w:val="0"/>
      <w:marTop w:val="0"/>
      <w:marBottom w:val="0"/>
      <w:divBdr>
        <w:top w:val="none" w:sz="0" w:space="0" w:color="auto"/>
        <w:left w:val="none" w:sz="0" w:space="0" w:color="auto"/>
        <w:bottom w:val="none" w:sz="0" w:space="0" w:color="auto"/>
        <w:right w:val="none" w:sz="0" w:space="0" w:color="auto"/>
      </w:divBdr>
    </w:div>
    <w:div w:id="245112770">
      <w:bodyDiv w:val="1"/>
      <w:marLeft w:val="0"/>
      <w:marRight w:val="0"/>
      <w:marTop w:val="0"/>
      <w:marBottom w:val="0"/>
      <w:divBdr>
        <w:top w:val="none" w:sz="0" w:space="0" w:color="auto"/>
        <w:left w:val="none" w:sz="0" w:space="0" w:color="auto"/>
        <w:bottom w:val="none" w:sz="0" w:space="0" w:color="auto"/>
        <w:right w:val="none" w:sz="0" w:space="0" w:color="auto"/>
      </w:divBdr>
    </w:div>
    <w:div w:id="323748852">
      <w:bodyDiv w:val="1"/>
      <w:marLeft w:val="0"/>
      <w:marRight w:val="0"/>
      <w:marTop w:val="0"/>
      <w:marBottom w:val="0"/>
      <w:divBdr>
        <w:top w:val="none" w:sz="0" w:space="0" w:color="auto"/>
        <w:left w:val="none" w:sz="0" w:space="0" w:color="auto"/>
        <w:bottom w:val="none" w:sz="0" w:space="0" w:color="auto"/>
        <w:right w:val="none" w:sz="0" w:space="0" w:color="auto"/>
      </w:divBdr>
    </w:div>
    <w:div w:id="342510026">
      <w:bodyDiv w:val="1"/>
      <w:marLeft w:val="0"/>
      <w:marRight w:val="0"/>
      <w:marTop w:val="0"/>
      <w:marBottom w:val="0"/>
      <w:divBdr>
        <w:top w:val="none" w:sz="0" w:space="0" w:color="auto"/>
        <w:left w:val="none" w:sz="0" w:space="0" w:color="auto"/>
        <w:bottom w:val="none" w:sz="0" w:space="0" w:color="auto"/>
        <w:right w:val="none" w:sz="0" w:space="0" w:color="auto"/>
      </w:divBdr>
    </w:div>
    <w:div w:id="445588842">
      <w:bodyDiv w:val="1"/>
      <w:marLeft w:val="0"/>
      <w:marRight w:val="0"/>
      <w:marTop w:val="0"/>
      <w:marBottom w:val="0"/>
      <w:divBdr>
        <w:top w:val="none" w:sz="0" w:space="0" w:color="auto"/>
        <w:left w:val="none" w:sz="0" w:space="0" w:color="auto"/>
        <w:bottom w:val="none" w:sz="0" w:space="0" w:color="auto"/>
        <w:right w:val="none" w:sz="0" w:space="0" w:color="auto"/>
      </w:divBdr>
    </w:div>
    <w:div w:id="460879295">
      <w:bodyDiv w:val="1"/>
      <w:marLeft w:val="0"/>
      <w:marRight w:val="0"/>
      <w:marTop w:val="0"/>
      <w:marBottom w:val="0"/>
      <w:divBdr>
        <w:top w:val="none" w:sz="0" w:space="0" w:color="auto"/>
        <w:left w:val="none" w:sz="0" w:space="0" w:color="auto"/>
        <w:bottom w:val="none" w:sz="0" w:space="0" w:color="auto"/>
        <w:right w:val="none" w:sz="0" w:space="0" w:color="auto"/>
      </w:divBdr>
    </w:div>
    <w:div w:id="537278394">
      <w:bodyDiv w:val="1"/>
      <w:marLeft w:val="0"/>
      <w:marRight w:val="0"/>
      <w:marTop w:val="0"/>
      <w:marBottom w:val="0"/>
      <w:divBdr>
        <w:top w:val="none" w:sz="0" w:space="0" w:color="auto"/>
        <w:left w:val="none" w:sz="0" w:space="0" w:color="auto"/>
        <w:bottom w:val="none" w:sz="0" w:space="0" w:color="auto"/>
        <w:right w:val="none" w:sz="0" w:space="0" w:color="auto"/>
      </w:divBdr>
    </w:div>
    <w:div w:id="596444501">
      <w:bodyDiv w:val="1"/>
      <w:marLeft w:val="0"/>
      <w:marRight w:val="0"/>
      <w:marTop w:val="0"/>
      <w:marBottom w:val="0"/>
      <w:divBdr>
        <w:top w:val="none" w:sz="0" w:space="0" w:color="auto"/>
        <w:left w:val="none" w:sz="0" w:space="0" w:color="auto"/>
        <w:bottom w:val="none" w:sz="0" w:space="0" w:color="auto"/>
        <w:right w:val="none" w:sz="0" w:space="0" w:color="auto"/>
      </w:divBdr>
    </w:div>
    <w:div w:id="622615576">
      <w:bodyDiv w:val="1"/>
      <w:marLeft w:val="0"/>
      <w:marRight w:val="0"/>
      <w:marTop w:val="0"/>
      <w:marBottom w:val="0"/>
      <w:divBdr>
        <w:top w:val="none" w:sz="0" w:space="0" w:color="auto"/>
        <w:left w:val="none" w:sz="0" w:space="0" w:color="auto"/>
        <w:bottom w:val="none" w:sz="0" w:space="0" w:color="auto"/>
        <w:right w:val="none" w:sz="0" w:space="0" w:color="auto"/>
      </w:divBdr>
    </w:div>
    <w:div w:id="809202874">
      <w:bodyDiv w:val="1"/>
      <w:marLeft w:val="0"/>
      <w:marRight w:val="0"/>
      <w:marTop w:val="0"/>
      <w:marBottom w:val="0"/>
      <w:divBdr>
        <w:top w:val="none" w:sz="0" w:space="0" w:color="auto"/>
        <w:left w:val="none" w:sz="0" w:space="0" w:color="auto"/>
        <w:bottom w:val="none" w:sz="0" w:space="0" w:color="auto"/>
        <w:right w:val="none" w:sz="0" w:space="0" w:color="auto"/>
      </w:divBdr>
    </w:div>
    <w:div w:id="863707814">
      <w:bodyDiv w:val="1"/>
      <w:marLeft w:val="0"/>
      <w:marRight w:val="0"/>
      <w:marTop w:val="0"/>
      <w:marBottom w:val="0"/>
      <w:divBdr>
        <w:top w:val="none" w:sz="0" w:space="0" w:color="auto"/>
        <w:left w:val="none" w:sz="0" w:space="0" w:color="auto"/>
        <w:bottom w:val="none" w:sz="0" w:space="0" w:color="auto"/>
        <w:right w:val="none" w:sz="0" w:space="0" w:color="auto"/>
      </w:divBdr>
    </w:div>
    <w:div w:id="900872744">
      <w:bodyDiv w:val="1"/>
      <w:marLeft w:val="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918178938">
      <w:bodyDiv w:val="1"/>
      <w:marLeft w:val="0"/>
      <w:marRight w:val="0"/>
      <w:marTop w:val="0"/>
      <w:marBottom w:val="0"/>
      <w:divBdr>
        <w:top w:val="none" w:sz="0" w:space="0" w:color="auto"/>
        <w:left w:val="none" w:sz="0" w:space="0" w:color="auto"/>
        <w:bottom w:val="none" w:sz="0" w:space="0" w:color="auto"/>
        <w:right w:val="none" w:sz="0" w:space="0" w:color="auto"/>
      </w:divBdr>
    </w:div>
    <w:div w:id="1241451320">
      <w:bodyDiv w:val="1"/>
      <w:marLeft w:val="0"/>
      <w:marRight w:val="0"/>
      <w:marTop w:val="0"/>
      <w:marBottom w:val="0"/>
      <w:divBdr>
        <w:top w:val="none" w:sz="0" w:space="0" w:color="auto"/>
        <w:left w:val="none" w:sz="0" w:space="0" w:color="auto"/>
        <w:bottom w:val="none" w:sz="0" w:space="0" w:color="auto"/>
        <w:right w:val="none" w:sz="0" w:space="0" w:color="auto"/>
      </w:divBdr>
    </w:div>
    <w:div w:id="1349482005">
      <w:bodyDiv w:val="1"/>
      <w:marLeft w:val="0"/>
      <w:marRight w:val="0"/>
      <w:marTop w:val="0"/>
      <w:marBottom w:val="0"/>
      <w:divBdr>
        <w:top w:val="none" w:sz="0" w:space="0" w:color="auto"/>
        <w:left w:val="none" w:sz="0" w:space="0" w:color="auto"/>
        <w:bottom w:val="none" w:sz="0" w:space="0" w:color="auto"/>
        <w:right w:val="none" w:sz="0" w:space="0" w:color="auto"/>
      </w:divBdr>
    </w:div>
    <w:div w:id="1379359756">
      <w:bodyDiv w:val="1"/>
      <w:marLeft w:val="0"/>
      <w:marRight w:val="0"/>
      <w:marTop w:val="0"/>
      <w:marBottom w:val="0"/>
      <w:divBdr>
        <w:top w:val="none" w:sz="0" w:space="0" w:color="auto"/>
        <w:left w:val="none" w:sz="0" w:space="0" w:color="auto"/>
        <w:bottom w:val="none" w:sz="0" w:space="0" w:color="auto"/>
        <w:right w:val="none" w:sz="0" w:space="0" w:color="auto"/>
      </w:divBdr>
    </w:div>
    <w:div w:id="1387991465">
      <w:bodyDiv w:val="1"/>
      <w:marLeft w:val="0"/>
      <w:marRight w:val="0"/>
      <w:marTop w:val="0"/>
      <w:marBottom w:val="0"/>
      <w:divBdr>
        <w:top w:val="none" w:sz="0" w:space="0" w:color="auto"/>
        <w:left w:val="none" w:sz="0" w:space="0" w:color="auto"/>
        <w:bottom w:val="none" w:sz="0" w:space="0" w:color="auto"/>
        <w:right w:val="none" w:sz="0" w:space="0" w:color="auto"/>
      </w:divBdr>
    </w:div>
    <w:div w:id="1403137312">
      <w:bodyDiv w:val="1"/>
      <w:marLeft w:val="0"/>
      <w:marRight w:val="0"/>
      <w:marTop w:val="0"/>
      <w:marBottom w:val="0"/>
      <w:divBdr>
        <w:top w:val="none" w:sz="0" w:space="0" w:color="auto"/>
        <w:left w:val="none" w:sz="0" w:space="0" w:color="auto"/>
        <w:bottom w:val="none" w:sz="0" w:space="0" w:color="auto"/>
        <w:right w:val="none" w:sz="0" w:space="0" w:color="auto"/>
      </w:divBdr>
    </w:div>
    <w:div w:id="1413310899">
      <w:bodyDiv w:val="1"/>
      <w:marLeft w:val="0"/>
      <w:marRight w:val="0"/>
      <w:marTop w:val="0"/>
      <w:marBottom w:val="0"/>
      <w:divBdr>
        <w:top w:val="none" w:sz="0" w:space="0" w:color="auto"/>
        <w:left w:val="none" w:sz="0" w:space="0" w:color="auto"/>
        <w:bottom w:val="none" w:sz="0" w:space="0" w:color="auto"/>
        <w:right w:val="none" w:sz="0" w:space="0" w:color="auto"/>
      </w:divBdr>
    </w:div>
    <w:div w:id="1446927021">
      <w:bodyDiv w:val="1"/>
      <w:marLeft w:val="0"/>
      <w:marRight w:val="0"/>
      <w:marTop w:val="0"/>
      <w:marBottom w:val="0"/>
      <w:divBdr>
        <w:top w:val="none" w:sz="0" w:space="0" w:color="auto"/>
        <w:left w:val="none" w:sz="0" w:space="0" w:color="auto"/>
        <w:bottom w:val="none" w:sz="0" w:space="0" w:color="auto"/>
        <w:right w:val="none" w:sz="0" w:space="0" w:color="auto"/>
      </w:divBdr>
    </w:div>
    <w:div w:id="1452163914">
      <w:bodyDiv w:val="1"/>
      <w:marLeft w:val="0"/>
      <w:marRight w:val="0"/>
      <w:marTop w:val="0"/>
      <w:marBottom w:val="0"/>
      <w:divBdr>
        <w:top w:val="none" w:sz="0" w:space="0" w:color="auto"/>
        <w:left w:val="none" w:sz="0" w:space="0" w:color="auto"/>
        <w:bottom w:val="none" w:sz="0" w:space="0" w:color="auto"/>
        <w:right w:val="none" w:sz="0" w:space="0" w:color="auto"/>
      </w:divBdr>
    </w:div>
    <w:div w:id="1580478573">
      <w:bodyDiv w:val="1"/>
      <w:marLeft w:val="0"/>
      <w:marRight w:val="0"/>
      <w:marTop w:val="0"/>
      <w:marBottom w:val="0"/>
      <w:divBdr>
        <w:top w:val="none" w:sz="0" w:space="0" w:color="auto"/>
        <w:left w:val="none" w:sz="0" w:space="0" w:color="auto"/>
        <w:bottom w:val="none" w:sz="0" w:space="0" w:color="auto"/>
        <w:right w:val="none" w:sz="0" w:space="0" w:color="auto"/>
      </w:divBdr>
    </w:div>
    <w:div w:id="1651786598">
      <w:bodyDiv w:val="1"/>
      <w:marLeft w:val="0"/>
      <w:marRight w:val="0"/>
      <w:marTop w:val="0"/>
      <w:marBottom w:val="0"/>
      <w:divBdr>
        <w:top w:val="none" w:sz="0" w:space="0" w:color="auto"/>
        <w:left w:val="none" w:sz="0" w:space="0" w:color="auto"/>
        <w:bottom w:val="none" w:sz="0" w:space="0" w:color="auto"/>
        <w:right w:val="none" w:sz="0" w:space="0" w:color="auto"/>
      </w:divBdr>
    </w:div>
    <w:div w:id="1677417872">
      <w:bodyDiv w:val="1"/>
      <w:marLeft w:val="0"/>
      <w:marRight w:val="0"/>
      <w:marTop w:val="0"/>
      <w:marBottom w:val="0"/>
      <w:divBdr>
        <w:top w:val="none" w:sz="0" w:space="0" w:color="auto"/>
        <w:left w:val="none" w:sz="0" w:space="0" w:color="auto"/>
        <w:bottom w:val="none" w:sz="0" w:space="0" w:color="auto"/>
        <w:right w:val="none" w:sz="0" w:space="0" w:color="auto"/>
      </w:divBdr>
    </w:div>
    <w:div w:id="1687094848">
      <w:bodyDiv w:val="1"/>
      <w:marLeft w:val="0"/>
      <w:marRight w:val="0"/>
      <w:marTop w:val="0"/>
      <w:marBottom w:val="0"/>
      <w:divBdr>
        <w:top w:val="none" w:sz="0" w:space="0" w:color="auto"/>
        <w:left w:val="none" w:sz="0" w:space="0" w:color="auto"/>
        <w:bottom w:val="none" w:sz="0" w:space="0" w:color="auto"/>
        <w:right w:val="none" w:sz="0" w:space="0" w:color="auto"/>
      </w:divBdr>
    </w:div>
    <w:div w:id="1782459279">
      <w:bodyDiv w:val="1"/>
      <w:marLeft w:val="0"/>
      <w:marRight w:val="0"/>
      <w:marTop w:val="0"/>
      <w:marBottom w:val="0"/>
      <w:divBdr>
        <w:top w:val="none" w:sz="0" w:space="0" w:color="auto"/>
        <w:left w:val="none" w:sz="0" w:space="0" w:color="auto"/>
        <w:bottom w:val="none" w:sz="0" w:space="0" w:color="auto"/>
        <w:right w:val="none" w:sz="0" w:space="0" w:color="auto"/>
      </w:divBdr>
    </w:div>
    <w:div w:id="1789814329">
      <w:bodyDiv w:val="1"/>
      <w:marLeft w:val="0"/>
      <w:marRight w:val="0"/>
      <w:marTop w:val="0"/>
      <w:marBottom w:val="0"/>
      <w:divBdr>
        <w:top w:val="none" w:sz="0" w:space="0" w:color="auto"/>
        <w:left w:val="none" w:sz="0" w:space="0" w:color="auto"/>
        <w:bottom w:val="none" w:sz="0" w:space="0" w:color="auto"/>
        <w:right w:val="none" w:sz="0" w:space="0" w:color="auto"/>
      </w:divBdr>
    </w:div>
    <w:div w:id="1824934256">
      <w:bodyDiv w:val="1"/>
      <w:marLeft w:val="0"/>
      <w:marRight w:val="0"/>
      <w:marTop w:val="0"/>
      <w:marBottom w:val="0"/>
      <w:divBdr>
        <w:top w:val="none" w:sz="0" w:space="0" w:color="auto"/>
        <w:left w:val="none" w:sz="0" w:space="0" w:color="auto"/>
        <w:bottom w:val="none" w:sz="0" w:space="0" w:color="auto"/>
        <w:right w:val="none" w:sz="0" w:space="0" w:color="auto"/>
      </w:divBdr>
    </w:div>
    <w:div w:id="1827824107">
      <w:bodyDiv w:val="1"/>
      <w:marLeft w:val="0"/>
      <w:marRight w:val="0"/>
      <w:marTop w:val="0"/>
      <w:marBottom w:val="0"/>
      <w:divBdr>
        <w:top w:val="none" w:sz="0" w:space="0" w:color="auto"/>
        <w:left w:val="none" w:sz="0" w:space="0" w:color="auto"/>
        <w:bottom w:val="none" w:sz="0" w:space="0" w:color="auto"/>
        <w:right w:val="none" w:sz="0" w:space="0" w:color="auto"/>
      </w:divBdr>
    </w:div>
    <w:div w:id="1898322651">
      <w:bodyDiv w:val="1"/>
      <w:marLeft w:val="0"/>
      <w:marRight w:val="0"/>
      <w:marTop w:val="0"/>
      <w:marBottom w:val="0"/>
      <w:divBdr>
        <w:top w:val="none" w:sz="0" w:space="0" w:color="auto"/>
        <w:left w:val="none" w:sz="0" w:space="0" w:color="auto"/>
        <w:bottom w:val="none" w:sz="0" w:space="0" w:color="auto"/>
        <w:right w:val="none" w:sz="0" w:space="0" w:color="auto"/>
      </w:divBdr>
    </w:div>
    <w:div w:id="1924139250">
      <w:bodyDiv w:val="1"/>
      <w:marLeft w:val="0"/>
      <w:marRight w:val="0"/>
      <w:marTop w:val="0"/>
      <w:marBottom w:val="0"/>
      <w:divBdr>
        <w:top w:val="none" w:sz="0" w:space="0" w:color="auto"/>
        <w:left w:val="none" w:sz="0" w:space="0" w:color="auto"/>
        <w:bottom w:val="none" w:sz="0" w:space="0" w:color="auto"/>
        <w:right w:val="none" w:sz="0" w:space="0" w:color="auto"/>
      </w:divBdr>
    </w:div>
    <w:div w:id="1939096968">
      <w:bodyDiv w:val="1"/>
      <w:marLeft w:val="0"/>
      <w:marRight w:val="0"/>
      <w:marTop w:val="0"/>
      <w:marBottom w:val="0"/>
      <w:divBdr>
        <w:top w:val="none" w:sz="0" w:space="0" w:color="auto"/>
        <w:left w:val="none" w:sz="0" w:space="0" w:color="auto"/>
        <w:bottom w:val="none" w:sz="0" w:space="0" w:color="auto"/>
        <w:right w:val="none" w:sz="0" w:space="0" w:color="auto"/>
      </w:divBdr>
    </w:div>
    <w:div w:id="1951164637">
      <w:bodyDiv w:val="1"/>
      <w:marLeft w:val="0"/>
      <w:marRight w:val="0"/>
      <w:marTop w:val="0"/>
      <w:marBottom w:val="0"/>
      <w:divBdr>
        <w:top w:val="none" w:sz="0" w:space="0" w:color="auto"/>
        <w:left w:val="none" w:sz="0" w:space="0" w:color="auto"/>
        <w:bottom w:val="none" w:sz="0" w:space="0" w:color="auto"/>
        <w:right w:val="none" w:sz="0" w:space="0" w:color="auto"/>
      </w:divBdr>
    </w:div>
    <w:div w:id="210888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1748-8583.12334" TargetMode="External"/><Relationship Id="rId13" Type="http://schemas.openxmlformats.org/officeDocument/2006/relationships/hyperlink" Target="https://doi.org/10.1080/13639080.2019.1617841"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080/03075079.2020.1804851"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177/002242940605400406" TargetMode="External"/><Relationship Id="rId20"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03075079.2018.1439719" TargetMode="External"/><Relationship Id="rId5" Type="http://schemas.openxmlformats.org/officeDocument/2006/relationships/webSettings" Target="webSettings.xml"/><Relationship Id="rId15" Type="http://schemas.openxmlformats.org/officeDocument/2006/relationships/hyperlink" Target="https://www.prospects.ac.uk/jobs-and-work-experience/work-experience-and-internships/work-placements" TargetMode="External"/><Relationship Id="rId10" Type="http://schemas.openxmlformats.org/officeDocument/2006/relationships/hyperlink" Target="https://doi.org/10.1177/08948453221077674" TargetMode="External"/><Relationship Id="rId19"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s://doi.org/10.1080/03075079.2017.1294152" TargetMode="External"/><Relationship Id="rId14" Type="http://schemas.openxmlformats.org/officeDocument/2006/relationships/hyperlink" Target="https://doi.org/10.1177/0305735604046099"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don\AppData\Local\Temp\Temp1_TF_Template_Word_Windows_2016.zip\TF_Template_Word_Windows_2016.dotx"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oleObject" Target="https://leeds365-my.sharepoint.com/personal/bushj_leeds_ac_uk/Documents/PAPER%20IDEAS%20AND%20DRAFTS/Papers%20in%20progress/Work%20Placements%20Research/Papers/BAM%202023/Analyses/BAM%202023%20Graph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'[BAM 2023 Graphs.xlsx]Subscale Plots'!$A$9</c:f>
              <c:strCache>
                <c:ptCount val="1"/>
                <c:pt idx="0">
                  <c:v>End</c:v>
                </c:pt>
              </c:strCache>
            </c:strRef>
          </c:tx>
          <c:spPr>
            <a:solidFill>
              <a:schemeClr val="accent1"/>
            </a:solidFill>
            <a:ln>
              <a:noFill/>
            </a:ln>
            <a:effectLst/>
          </c:spPr>
          <c:invertIfNegative val="0"/>
          <c:cat>
            <c:strRef>
              <c:f>'[BAM 2023 Graphs.xlsx]Subscale Plots'!$B$8:$U$8</c:f>
              <c:strCache>
                <c:ptCount val="20"/>
                <c:pt idx="0">
                  <c:v>Deciding and initiating action</c:v>
                </c:pt>
                <c:pt idx="1">
                  <c:v>Leading and supervising</c:v>
                </c:pt>
                <c:pt idx="2">
                  <c:v>Working with people</c:v>
                </c:pt>
                <c:pt idx="3">
                  <c:v>Adhering to values and principles</c:v>
                </c:pt>
                <c:pt idx="4">
                  <c:v>Relating and networking</c:v>
                </c:pt>
                <c:pt idx="5">
                  <c:v>Persuading and influencing</c:v>
                </c:pt>
                <c:pt idx="6">
                  <c:v>Presenting and communicating information</c:v>
                </c:pt>
                <c:pt idx="7">
                  <c:v>Writing and reporting </c:v>
                </c:pt>
                <c:pt idx="8">
                  <c:v>Applying expertise and technology</c:v>
                </c:pt>
                <c:pt idx="9">
                  <c:v>Analysing</c:v>
                </c:pt>
                <c:pt idx="10">
                  <c:v>Learning and researching</c:v>
                </c:pt>
                <c:pt idx="11">
                  <c:v>Creating and innovating</c:v>
                </c:pt>
                <c:pt idx="12">
                  <c:v>Formulating strategies and concepts</c:v>
                </c:pt>
                <c:pt idx="13">
                  <c:v>Planning and organizing</c:v>
                </c:pt>
                <c:pt idx="14">
                  <c:v>Delivering results and meeting customer expectations</c:v>
                </c:pt>
                <c:pt idx="15">
                  <c:v>Following instructions and procedures</c:v>
                </c:pt>
                <c:pt idx="16">
                  <c:v>Adapting and responding to change</c:v>
                </c:pt>
                <c:pt idx="17">
                  <c:v>Coping with pressure and setbacks</c:v>
                </c:pt>
                <c:pt idx="18">
                  <c:v>Achieving personal work goals and objectives</c:v>
                </c:pt>
                <c:pt idx="19">
                  <c:v>Enterprising and performing </c:v>
                </c:pt>
              </c:strCache>
            </c:strRef>
          </c:cat>
          <c:val>
            <c:numRef>
              <c:f>'[BAM 2023 Graphs.xlsx]Subscale Plots'!$B$9:$U$9</c:f>
              <c:numCache>
                <c:formatCode>General</c:formatCode>
                <c:ptCount val="20"/>
                <c:pt idx="0">
                  <c:v>3.984</c:v>
                </c:pt>
                <c:pt idx="1">
                  <c:v>3.4969999999999999</c:v>
                </c:pt>
                <c:pt idx="2">
                  <c:v>4.1139999999999999</c:v>
                </c:pt>
                <c:pt idx="3">
                  <c:v>4.2409999999999997</c:v>
                </c:pt>
                <c:pt idx="4">
                  <c:v>3.8279999999999998</c:v>
                </c:pt>
                <c:pt idx="5">
                  <c:v>3.528</c:v>
                </c:pt>
                <c:pt idx="6">
                  <c:v>3.84</c:v>
                </c:pt>
                <c:pt idx="7">
                  <c:v>4.1479999999999997</c:v>
                </c:pt>
                <c:pt idx="8">
                  <c:v>3.762</c:v>
                </c:pt>
                <c:pt idx="9">
                  <c:v>3.9140000000000001</c:v>
                </c:pt>
                <c:pt idx="10">
                  <c:v>3.992</c:v>
                </c:pt>
                <c:pt idx="11">
                  <c:v>3.4950000000000001</c:v>
                </c:pt>
                <c:pt idx="12">
                  <c:v>3.8530000000000002</c:v>
                </c:pt>
                <c:pt idx="13">
                  <c:v>4.048</c:v>
                </c:pt>
                <c:pt idx="14">
                  <c:v>4.0069999999999997</c:v>
                </c:pt>
                <c:pt idx="15">
                  <c:v>4.3360000000000003</c:v>
                </c:pt>
                <c:pt idx="16">
                  <c:v>3.9889999999999999</c:v>
                </c:pt>
                <c:pt idx="17">
                  <c:v>3.907</c:v>
                </c:pt>
                <c:pt idx="18">
                  <c:v>4.1820000000000004</c:v>
                </c:pt>
                <c:pt idx="19">
                  <c:v>3.43</c:v>
                </c:pt>
              </c:numCache>
            </c:numRef>
          </c:val>
          <c:extLst>
            <c:ext xmlns:c16="http://schemas.microsoft.com/office/drawing/2014/chart" uri="{C3380CC4-5D6E-409C-BE32-E72D297353CC}">
              <c16:uniqueId val="{00000000-D4CD-46A6-814C-04E18EAA30A0}"/>
            </c:ext>
          </c:extLst>
        </c:ser>
        <c:ser>
          <c:idx val="1"/>
          <c:order val="1"/>
          <c:tx>
            <c:strRef>
              <c:f>'[BAM 2023 Graphs.xlsx]Subscale Plots'!$A$10</c:f>
              <c:strCache>
                <c:ptCount val="1"/>
                <c:pt idx="0">
                  <c:v>Mid</c:v>
                </c:pt>
              </c:strCache>
            </c:strRef>
          </c:tx>
          <c:spPr>
            <a:solidFill>
              <a:schemeClr val="accent2"/>
            </a:solidFill>
            <a:ln>
              <a:noFill/>
            </a:ln>
            <a:effectLst/>
          </c:spPr>
          <c:invertIfNegative val="0"/>
          <c:cat>
            <c:strRef>
              <c:f>'[BAM 2023 Graphs.xlsx]Subscale Plots'!$B$8:$U$8</c:f>
              <c:strCache>
                <c:ptCount val="20"/>
                <c:pt idx="0">
                  <c:v>Deciding and initiating action</c:v>
                </c:pt>
                <c:pt idx="1">
                  <c:v>Leading and supervising</c:v>
                </c:pt>
                <c:pt idx="2">
                  <c:v>Working with people</c:v>
                </c:pt>
                <c:pt idx="3">
                  <c:v>Adhering to values and principles</c:v>
                </c:pt>
                <c:pt idx="4">
                  <c:v>Relating and networking</c:v>
                </c:pt>
                <c:pt idx="5">
                  <c:v>Persuading and influencing</c:v>
                </c:pt>
                <c:pt idx="6">
                  <c:v>Presenting and communicating information</c:v>
                </c:pt>
                <c:pt idx="7">
                  <c:v>Writing and reporting </c:v>
                </c:pt>
                <c:pt idx="8">
                  <c:v>Applying expertise and technology</c:v>
                </c:pt>
                <c:pt idx="9">
                  <c:v>Analysing</c:v>
                </c:pt>
                <c:pt idx="10">
                  <c:v>Learning and researching</c:v>
                </c:pt>
                <c:pt idx="11">
                  <c:v>Creating and innovating</c:v>
                </c:pt>
                <c:pt idx="12">
                  <c:v>Formulating strategies and concepts</c:v>
                </c:pt>
                <c:pt idx="13">
                  <c:v>Planning and organizing</c:v>
                </c:pt>
                <c:pt idx="14">
                  <c:v>Delivering results and meeting customer expectations</c:v>
                </c:pt>
                <c:pt idx="15">
                  <c:v>Following instructions and procedures</c:v>
                </c:pt>
                <c:pt idx="16">
                  <c:v>Adapting and responding to change</c:v>
                </c:pt>
                <c:pt idx="17">
                  <c:v>Coping with pressure and setbacks</c:v>
                </c:pt>
                <c:pt idx="18">
                  <c:v>Achieving personal work goals and objectives</c:v>
                </c:pt>
                <c:pt idx="19">
                  <c:v>Enterprising and performing </c:v>
                </c:pt>
              </c:strCache>
            </c:strRef>
          </c:cat>
          <c:val>
            <c:numRef>
              <c:f>'[BAM 2023 Graphs.xlsx]Subscale Plots'!$B$10:$U$10</c:f>
              <c:numCache>
                <c:formatCode>General</c:formatCode>
                <c:ptCount val="20"/>
                <c:pt idx="0">
                  <c:v>3.6850000000000001</c:v>
                </c:pt>
                <c:pt idx="1">
                  <c:v>3.2709999999999999</c:v>
                </c:pt>
                <c:pt idx="2">
                  <c:v>3.9289999999999998</c:v>
                </c:pt>
                <c:pt idx="3">
                  <c:v>4.1680000000000001</c:v>
                </c:pt>
                <c:pt idx="4">
                  <c:v>3.593</c:v>
                </c:pt>
                <c:pt idx="5">
                  <c:v>3.3679999999999999</c:v>
                </c:pt>
                <c:pt idx="6">
                  <c:v>3.516</c:v>
                </c:pt>
                <c:pt idx="7">
                  <c:v>3.9580000000000002</c:v>
                </c:pt>
                <c:pt idx="8">
                  <c:v>3.5049999999999999</c:v>
                </c:pt>
                <c:pt idx="9">
                  <c:v>3.71</c:v>
                </c:pt>
                <c:pt idx="10">
                  <c:v>3.8490000000000002</c:v>
                </c:pt>
                <c:pt idx="11">
                  <c:v>3.2949999999999999</c:v>
                </c:pt>
                <c:pt idx="12">
                  <c:v>3.64</c:v>
                </c:pt>
                <c:pt idx="13">
                  <c:v>3.8639999999999999</c:v>
                </c:pt>
                <c:pt idx="14">
                  <c:v>3.8410000000000002</c:v>
                </c:pt>
                <c:pt idx="15">
                  <c:v>4.2009999999999996</c:v>
                </c:pt>
                <c:pt idx="16">
                  <c:v>3.7919999999999998</c:v>
                </c:pt>
                <c:pt idx="17">
                  <c:v>3.6560000000000001</c:v>
                </c:pt>
                <c:pt idx="18">
                  <c:v>3.9870000000000001</c:v>
                </c:pt>
                <c:pt idx="19">
                  <c:v>3.2869999999999999</c:v>
                </c:pt>
              </c:numCache>
            </c:numRef>
          </c:val>
          <c:extLst>
            <c:ext xmlns:c16="http://schemas.microsoft.com/office/drawing/2014/chart" uri="{C3380CC4-5D6E-409C-BE32-E72D297353CC}">
              <c16:uniqueId val="{00000001-D4CD-46A6-814C-04E18EAA30A0}"/>
            </c:ext>
          </c:extLst>
        </c:ser>
        <c:ser>
          <c:idx val="2"/>
          <c:order val="2"/>
          <c:tx>
            <c:strRef>
              <c:f>'[BAM 2023 Graphs.xlsx]Subscale Plots'!$A$11</c:f>
              <c:strCache>
                <c:ptCount val="1"/>
                <c:pt idx="0">
                  <c:v>Pre</c:v>
                </c:pt>
              </c:strCache>
            </c:strRef>
          </c:tx>
          <c:spPr>
            <a:solidFill>
              <a:schemeClr val="accent3"/>
            </a:solidFill>
            <a:ln>
              <a:noFill/>
            </a:ln>
            <a:effectLst/>
          </c:spPr>
          <c:invertIfNegative val="0"/>
          <c:cat>
            <c:strRef>
              <c:f>'[BAM 2023 Graphs.xlsx]Subscale Plots'!$B$8:$U$8</c:f>
              <c:strCache>
                <c:ptCount val="20"/>
                <c:pt idx="0">
                  <c:v>Deciding and initiating action</c:v>
                </c:pt>
                <c:pt idx="1">
                  <c:v>Leading and supervising</c:v>
                </c:pt>
                <c:pt idx="2">
                  <c:v>Working with people</c:v>
                </c:pt>
                <c:pt idx="3">
                  <c:v>Adhering to values and principles</c:v>
                </c:pt>
                <c:pt idx="4">
                  <c:v>Relating and networking</c:v>
                </c:pt>
                <c:pt idx="5">
                  <c:v>Persuading and influencing</c:v>
                </c:pt>
                <c:pt idx="6">
                  <c:v>Presenting and communicating information</c:v>
                </c:pt>
                <c:pt idx="7">
                  <c:v>Writing and reporting </c:v>
                </c:pt>
                <c:pt idx="8">
                  <c:v>Applying expertise and technology</c:v>
                </c:pt>
                <c:pt idx="9">
                  <c:v>Analysing</c:v>
                </c:pt>
                <c:pt idx="10">
                  <c:v>Learning and researching</c:v>
                </c:pt>
                <c:pt idx="11">
                  <c:v>Creating and innovating</c:v>
                </c:pt>
                <c:pt idx="12">
                  <c:v>Formulating strategies and concepts</c:v>
                </c:pt>
                <c:pt idx="13">
                  <c:v>Planning and organizing</c:v>
                </c:pt>
                <c:pt idx="14">
                  <c:v>Delivering results and meeting customer expectations</c:v>
                </c:pt>
                <c:pt idx="15">
                  <c:v>Following instructions and procedures</c:v>
                </c:pt>
                <c:pt idx="16">
                  <c:v>Adapting and responding to change</c:v>
                </c:pt>
                <c:pt idx="17">
                  <c:v>Coping with pressure and setbacks</c:v>
                </c:pt>
                <c:pt idx="18">
                  <c:v>Achieving personal work goals and objectives</c:v>
                </c:pt>
                <c:pt idx="19">
                  <c:v>Enterprising and performing </c:v>
                </c:pt>
              </c:strCache>
            </c:strRef>
          </c:cat>
          <c:val>
            <c:numRef>
              <c:f>'[BAM 2023 Graphs.xlsx]Subscale Plots'!$B$11:$U$11</c:f>
              <c:numCache>
                <c:formatCode>General</c:formatCode>
                <c:ptCount val="20"/>
                <c:pt idx="0">
                  <c:v>3.5409999999999999</c:v>
                </c:pt>
                <c:pt idx="1">
                  <c:v>3.4049999999999998</c:v>
                </c:pt>
                <c:pt idx="2">
                  <c:v>3.863</c:v>
                </c:pt>
                <c:pt idx="3">
                  <c:v>4.1459999999999999</c:v>
                </c:pt>
                <c:pt idx="4">
                  <c:v>3.4380000000000002</c:v>
                </c:pt>
                <c:pt idx="5">
                  <c:v>3.3010000000000002</c:v>
                </c:pt>
                <c:pt idx="6">
                  <c:v>3.3879999999999999</c:v>
                </c:pt>
                <c:pt idx="7">
                  <c:v>3.8079999999999998</c:v>
                </c:pt>
                <c:pt idx="8">
                  <c:v>3.1640000000000001</c:v>
                </c:pt>
                <c:pt idx="9">
                  <c:v>3.5310000000000001</c:v>
                </c:pt>
                <c:pt idx="10">
                  <c:v>3.6680000000000001</c:v>
                </c:pt>
                <c:pt idx="11">
                  <c:v>3.1429999999999998</c:v>
                </c:pt>
                <c:pt idx="12">
                  <c:v>3.669</c:v>
                </c:pt>
                <c:pt idx="13">
                  <c:v>3.706</c:v>
                </c:pt>
                <c:pt idx="14">
                  <c:v>3.75</c:v>
                </c:pt>
                <c:pt idx="15">
                  <c:v>4.101</c:v>
                </c:pt>
                <c:pt idx="16">
                  <c:v>3.625</c:v>
                </c:pt>
                <c:pt idx="17">
                  <c:v>3.452</c:v>
                </c:pt>
                <c:pt idx="18">
                  <c:v>3.96</c:v>
                </c:pt>
                <c:pt idx="19">
                  <c:v>3.173</c:v>
                </c:pt>
              </c:numCache>
            </c:numRef>
          </c:val>
          <c:extLst>
            <c:ext xmlns:c16="http://schemas.microsoft.com/office/drawing/2014/chart" uri="{C3380CC4-5D6E-409C-BE32-E72D297353CC}">
              <c16:uniqueId val="{00000002-D4CD-46A6-814C-04E18EAA30A0}"/>
            </c:ext>
          </c:extLst>
        </c:ser>
        <c:dLbls>
          <c:showLegendKey val="0"/>
          <c:showVal val="0"/>
          <c:showCatName val="0"/>
          <c:showSerName val="0"/>
          <c:showPercent val="0"/>
          <c:showBubbleSize val="0"/>
        </c:dLbls>
        <c:gapWidth val="182"/>
        <c:axId val="871537488"/>
        <c:axId val="871532080"/>
      </c:barChart>
      <c:catAx>
        <c:axId val="8715374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1532080"/>
        <c:crosses val="autoZero"/>
        <c:auto val="1"/>
        <c:lblAlgn val="ctr"/>
        <c:lblOffset val="100"/>
        <c:noMultiLvlLbl val="0"/>
      </c:catAx>
      <c:valAx>
        <c:axId val="87153208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15374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'Great 8' </a:t>
            </a:r>
          </a:p>
          <a:p>
            <a:pPr>
              <a:defRPr/>
            </a:pPr>
            <a:r>
              <a:rPr lang="en-GB"/>
              <a:t>Competency Development</a:t>
            </a:r>
            <a:r>
              <a:rPr lang="en-GB" baseline="0"/>
              <a:t> Across Placement</a:t>
            </a:r>
            <a:endParaRPr lang="en-GB"/>
          </a:p>
        </c:rich>
      </c:tx>
      <c:layout>
        <c:manualLayout>
          <c:xMode val="edge"/>
          <c:yMode val="edge"/>
          <c:x val="0.26278312515993529"/>
          <c:y val="4.6421663442940041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8761894419320122"/>
          <c:y val="0.21514897678409153"/>
          <c:w val="0.42843015326637662"/>
          <c:h val="0.60245409362514402"/>
        </c:manualLayout>
      </c:layout>
      <c:radarChart>
        <c:radarStyle val="marker"/>
        <c:varyColors val="0"/>
        <c:ser>
          <c:idx val="0"/>
          <c:order val="0"/>
          <c:tx>
            <c:strRef>
              <c:f>'[BAM 2023 Graphs.xlsx]Radar Plots'!$A$7:$B$7</c:f>
              <c:strCache>
                <c:ptCount val="2"/>
                <c:pt idx="0">
                  <c:v>Student</c:v>
                </c:pt>
                <c:pt idx="1">
                  <c:v>Pre</c:v>
                </c:pt>
              </c:strCache>
            </c:strRef>
          </c:tx>
          <c:spPr>
            <a:ln w="28575" cap="rnd">
              <a:solidFill>
                <a:schemeClr val="accent1"/>
              </a:solidFill>
              <a:round/>
            </a:ln>
            <a:effectLst/>
          </c:spPr>
          <c:marker>
            <c:symbol val="none"/>
          </c:marker>
          <c:cat>
            <c:strRef>
              <c:f>'[BAM 2023 Graphs.xlsx]Radar Plots'!$C$6:$J$6</c:f>
              <c:strCache>
                <c:ptCount val="8"/>
                <c:pt idx="0">
                  <c:v>Leading and Deciding</c:v>
                </c:pt>
                <c:pt idx="1">
                  <c:v>Supporting and Cooperating</c:v>
                </c:pt>
                <c:pt idx="2">
                  <c:v>Interacting and Presenting</c:v>
                </c:pt>
                <c:pt idx="3">
                  <c:v>Analysing and Interpreting</c:v>
                </c:pt>
                <c:pt idx="4">
                  <c:v>Creating and Conceptualising</c:v>
                </c:pt>
                <c:pt idx="5">
                  <c:v>Organising and Executing</c:v>
                </c:pt>
                <c:pt idx="6">
                  <c:v>Adapting and Coping</c:v>
                </c:pt>
                <c:pt idx="7">
                  <c:v>Enterprising and Performing</c:v>
                </c:pt>
              </c:strCache>
            </c:strRef>
          </c:cat>
          <c:val>
            <c:numRef>
              <c:f>'[BAM 2023 Graphs.xlsx]Radar Plots'!$C$7:$J$7</c:f>
              <c:numCache>
                <c:formatCode>###0.0000</c:formatCode>
                <c:ptCount val="8"/>
                <c:pt idx="0">
                  <c:v>3.4673728813559328</c:v>
                </c:pt>
                <c:pt idx="1">
                  <c:v>3.8850539291217268</c:v>
                </c:pt>
                <c:pt idx="2">
                  <c:v>3.359724197647926</c:v>
                </c:pt>
                <c:pt idx="3">
                  <c:v>3.4855021711724339</c:v>
                </c:pt>
                <c:pt idx="4">
                  <c:v>3.5052003081664092</c:v>
                </c:pt>
                <c:pt idx="5">
                  <c:v>3.8376669234720087</c:v>
                </c:pt>
                <c:pt idx="6">
                  <c:v>3.5476801917479874</c:v>
                </c:pt>
                <c:pt idx="7">
                  <c:v>3.7573189522342063</c:v>
                </c:pt>
              </c:numCache>
            </c:numRef>
          </c:val>
          <c:extLst>
            <c:ext xmlns:c16="http://schemas.microsoft.com/office/drawing/2014/chart" uri="{C3380CC4-5D6E-409C-BE32-E72D297353CC}">
              <c16:uniqueId val="{00000000-A839-4342-8E7F-DE355F4FE95A}"/>
            </c:ext>
          </c:extLst>
        </c:ser>
        <c:ser>
          <c:idx val="1"/>
          <c:order val="1"/>
          <c:tx>
            <c:strRef>
              <c:f>'[BAM 2023 Graphs.xlsx]Radar Plots'!$A$8:$B$8</c:f>
              <c:strCache>
                <c:ptCount val="2"/>
                <c:pt idx="0">
                  <c:v>Student</c:v>
                </c:pt>
                <c:pt idx="1">
                  <c:v>Mid</c:v>
                </c:pt>
              </c:strCache>
            </c:strRef>
          </c:tx>
          <c:spPr>
            <a:ln w="28575" cap="rnd">
              <a:solidFill>
                <a:schemeClr val="accent2"/>
              </a:solidFill>
              <a:round/>
            </a:ln>
            <a:effectLst/>
          </c:spPr>
          <c:marker>
            <c:symbol val="none"/>
          </c:marker>
          <c:cat>
            <c:strRef>
              <c:f>'[BAM 2023 Graphs.xlsx]Radar Plots'!$C$6:$J$6</c:f>
              <c:strCache>
                <c:ptCount val="8"/>
                <c:pt idx="0">
                  <c:v>Leading and Deciding</c:v>
                </c:pt>
                <c:pt idx="1">
                  <c:v>Supporting and Cooperating</c:v>
                </c:pt>
                <c:pt idx="2">
                  <c:v>Interacting and Presenting</c:v>
                </c:pt>
                <c:pt idx="3">
                  <c:v>Analysing and Interpreting</c:v>
                </c:pt>
                <c:pt idx="4">
                  <c:v>Creating and Conceptualising</c:v>
                </c:pt>
                <c:pt idx="5">
                  <c:v>Organising and Executing</c:v>
                </c:pt>
                <c:pt idx="6">
                  <c:v>Adapting and Coping</c:v>
                </c:pt>
                <c:pt idx="7">
                  <c:v>Enterprising and Performing</c:v>
                </c:pt>
              </c:strCache>
            </c:strRef>
          </c:cat>
          <c:val>
            <c:numRef>
              <c:f>'[BAM 2023 Graphs.xlsx]Radar Plots'!$C$8:$J$8</c:f>
              <c:numCache>
                <c:formatCode>###0.0000</c:formatCode>
                <c:ptCount val="8"/>
                <c:pt idx="0">
                  <c:v>3.5059055118110236</c:v>
                </c:pt>
                <c:pt idx="1">
                  <c:v>3.9474803149606292</c:v>
                </c:pt>
                <c:pt idx="2">
                  <c:v>3.4499453193350824</c:v>
                </c:pt>
                <c:pt idx="3">
                  <c:v>3.7404756223653854</c:v>
                </c:pt>
                <c:pt idx="4">
                  <c:v>3.6454068241469813</c:v>
                </c:pt>
                <c:pt idx="5">
                  <c:v>3.9287073490813653</c:v>
                </c:pt>
                <c:pt idx="6">
                  <c:v>3.7317585301837277</c:v>
                </c:pt>
                <c:pt idx="7">
                  <c:v>3.8039370078740156</c:v>
                </c:pt>
              </c:numCache>
            </c:numRef>
          </c:val>
          <c:extLst>
            <c:ext xmlns:c16="http://schemas.microsoft.com/office/drawing/2014/chart" uri="{C3380CC4-5D6E-409C-BE32-E72D297353CC}">
              <c16:uniqueId val="{00000001-A839-4342-8E7F-DE355F4FE95A}"/>
            </c:ext>
          </c:extLst>
        </c:ser>
        <c:ser>
          <c:idx val="2"/>
          <c:order val="2"/>
          <c:tx>
            <c:strRef>
              <c:f>'[BAM 2023 Graphs.xlsx]Radar Plots'!$A$10:$B$10</c:f>
              <c:strCache>
                <c:ptCount val="2"/>
                <c:pt idx="0">
                  <c:v>Student</c:v>
                </c:pt>
                <c:pt idx="1">
                  <c:v>End</c:v>
                </c:pt>
              </c:strCache>
            </c:strRef>
          </c:tx>
          <c:spPr>
            <a:ln w="28575" cap="rnd">
              <a:solidFill>
                <a:schemeClr val="accent3"/>
              </a:solidFill>
              <a:round/>
            </a:ln>
            <a:effectLst/>
          </c:spPr>
          <c:marker>
            <c:symbol val="none"/>
          </c:marker>
          <c:cat>
            <c:strRef>
              <c:f>'[BAM 2023 Graphs.xlsx]Radar Plots'!$C$6:$J$6</c:f>
              <c:strCache>
                <c:ptCount val="8"/>
                <c:pt idx="0">
                  <c:v>Leading and Deciding</c:v>
                </c:pt>
                <c:pt idx="1">
                  <c:v>Supporting and Cooperating</c:v>
                </c:pt>
                <c:pt idx="2">
                  <c:v>Interacting and Presenting</c:v>
                </c:pt>
                <c:pt idx="3">
                  <c:v>Analysing and Interpreting</c:v>
                </c:pt>
                <c:pt idx="4">
                  <c:v>Creating and Conceptualising</c:v>
                </c:pt>
                <c:pt idx="5">
                  <c:v>Organising and Executing</c:v>
                </c:pt>
                <c:pt idx="6">
                  <c:v>Adapting and Coping</c:v>
                </c:pt>
                <c:pt idx="7">
                  <c:v>Enterprising and Performing</c:v>
                </c:pt>
              </c:strCache>
            </c:strRef>
          </c:cat>
          <c:val>
            <c:numRef>
              <c:f>'[BAM 2023 Graphs.xlsx]Radar Plots'!$C$10:$J$10</c:f>
              <c:numCache>
                <c:formatCode>###0.0000</c:formatCode>
                <c:ptCount val="8"/>
                <c:pt idx="0">
                  <c:v>3.7943740095087164</c:v>
                </c:pt>
                <c:pt idx="1">
                  <c:v>4.1245377707342827</c:v>
                </c:pt>
                <c:pt idx="2">
                  <c:v>3.7044704173269944</c:v>
                </c:pt>
                <c:pt idx="3">
                  <c:v>3.9737629864412733</c:v>
                </c:pt>
                <c:pt idx="4">
                  <c:v>3.8369651347068139</c:v>
                </c:pt>
                <c:pt idx="5">
                  <c:v>4.1195743088571932</c:v>
                </c:pt>
                <c:pt idx="6">
                  <c:v>3.9522803310441983</c:v>
                </c:pt>
                <c:pt idx="7">
                  <c:v>3.9912836767036448</c:v>
                </c:pt>
              </c:numCache>
            </c:numRef>
          </c:val>
          <c:extLst>
            <c:ext xmlns:c16="http://schemas.microsoft.com/office/drawing/2014/chart" uri="{C3380CC4-5D6E-409C-BE32-E72D297353CC}">
              <c16:uniqueId val="{00000002-A839-4342-8E7F-DE355F4FE95A}"/>
            </c:ext>
          </c:extLst>
        </c:ser>
        <c:ser>
          <c:idx val="3"/>
          <c:order val="3"/>
          <c:tx>
            <c:strRef>
              <c:f>'[BAM 2023 Graphs.xlsx]Radar Plots'!$A$9:$B$9</c:f>
              <c:strCache>
                <c:ptCount val="2"/>
                <c:pt idx="0">
                  <c:v>Line Manager</c:v>
                </c:pt>
                <c:pt idx="1">
                  <c:v>Mid</c:v>
                </c:pt>
              </c:strCache>
            </c:strRef>
          </c:tx>
          <c:spPr>
            <a:ln w="28575" cap="rnd">
              <a:solidFill>
                <a:schemeClr val="accent4"/>
              </a:solidFill>
              <a:round/>
            </a:ln>
            <a:effectLst/>
          </c:spPr>
          <c:marker>
            <c:symbol val="none"/>
          </c:marker>
          <c:cat>
            <c:strRef>
              <c:f>'[BAM 2023 Graphs.xlsx]Radar Plots'!$C$6:$J$6</c:f>
              <c:strCache>
                <c:ptCount val="8"/>
                <c:pt idx="0">
                  <c:v>Leading and Deciding</c:v>
                </c:pt>
                <c:pt idx="1">
                  <c:v>Supporting and Cooperating</c:v>
                </c:pt>
                <c:pt idx="2">
                  <c:v>Interacting and Presenting</c:v>
                </c:pt>
                <c:pt idx="3">
                  <c:v>Analysing and Interpreting</c:v>
                </c:pt>
                <c:pt idx="4">
                  <c:v>Creating and Conceptualising</c:v>
                </c:pt>
                <c:pt idx="5">
                  <c:v>Organising and Executing</c:v>
                </c:pt>
                <c:pt idx="6">
                  <c:v>Adapting and Coping</c:v>
                </c:pt>
                <c:pt idx="7">
                  <c:v>Enterprising and Performing</c:v>
                </c:pt>
              </c:strCache>
            </c:strRef>
          </c:cat>
          <c:val>
            <c:numRef>
              <c:f>'[BAM 2023 Graphs.xlsx]Radar Plots'!$C$9:$J$9</c:f>
              <c:numCache>
                <c:formatCode>###0.0000</c:formatCode>
                <c:ptCount val="8"/>
                <c:pt idx="0">
                  <c:v>3.6247719800615119</c:v>
                </c:pt>
                <c:pt idx="1">
                  <c:v>4.0023230296058809</c:v>
                </c:pt>
                <c:pt idx="2">
                  <c:v>3.6209030949558554</c:v>
                </c:pt>
                <c:pt idx="3">
                  <c:v>3.820070661774698</c:v>
                </c:pt>
                <c:pt idx="4">
                  <c:v>3.7941512542517009</c:v>
                </c:pt>
                <c:pt idx="5">
                  <c:v>3.9297342166761817</c:v>
                </c:pt>
                <c:pt idx="6">
                  <c:v>3.9073544388256778</c:v>
                </c:pt>
                <c:pt idx="7">
                  <c:v>3.8843298256802727</c:v>
                </c:pt>
              </c:numCache>
            </c:numRef>
          </c:val>
          <c:extLst>
            <c:ext xmlns:c16="http://schemas.microsoft.com/office/drawing/2014/chart" uri="{C3380CC4-5D6E-409C-BE32-E72D297353CC}">
              <c16:uniqueId val="{00000003-A839-4342-8E7F-DE355F4FE95A}"/>
            </c:ext>
          </c:extLst>
        </c:ser>
        <c:ser>
          <c:idx val="4"/>
          <c:order val="4"/>
          <c:tx>
            <c:strRef>
              <c:f>'[BAM 2023 Graphs.xlsx]Radar Plots'!$A$11:$B$11</c:f>
              <c:strCache>
                <c:ptCount val="2"/>
                <c:pt idx="0">
                  <c:v>Line Manager</c:v>
                </c:pt>
                <c:pt idx="1">
                  <c:v>End</c:v>
                </c:pt>
              </c:strCache>
            </c:strRef>
          </c:tx>
          <c:spPr>
            <a:ln w="28575" cap="rnd">
              <a:solidFill>
                <a:schemeClr val="accent6"/>
              </a:solidFill>
              <a:round/>
            </a:ln>
            <a:effectLst/>
          </c:spPr>
          <c:marker>
            <c:symbol val="none"/>
          </c:marker>
          <c:cat>
            <c:strRef>
              <c:f>'[BAM 2023 Graphs.xlsx]Radar Plots'!$C$6:$J$6</c:f>
              <c:strCache>
                <c:ptCount val="8"/>
                <c:pt idx="0">
                  <c:v>Leading and Deciding</c:v>
                </c:pt>
                <c:pt idx="1">
                  <c:v>Supporting and Cooperating</c:v>
                </c:pt>
                <c:pt idx="2">
                  <c:v>Interacting and Presenting</c:v>
                </c:pt>
                <c:pt idx="3">
                  <c:v>Analysing and Interpreting</c:v>
                </c:pt>
                <c:pt idx="4">
                  <c:v>Creating and Conceptualising</c:v>
                </c:pt>
                <c:pt idx="5">
                  <c:v>Organising and Executing</c:v>
                </c:pt>
                <c:pt idx="6">
                  <c:v>Adapting and Coping</c:v>
                </c:pt>
                <c:pt idx="7">
                  <c:v>Enterprising and Performing</c:v>
                </c:pt>
              </c:strCache>
            </c:strRef>
          </c:cat>
          <c:val>
            <c:numRef>
              <c:f>'[BAM 2023 Graphs.xlsx]Radar Plots'!$C$11:$J$11</c:f>
              <c:numCache>
                <c:formatCode>###0.0000</c:formatCode>
                <c:ptCount val="8"/>
                <c:pt idx="0">
                  <c:v>3.8859984895460697</c:v>
                </c:pt>
                <c:pt idx="1">
                  <c:v>4.2288786060906274</c:v>
                </c:pt>
                <c:pt idx="2">
                  <c:v>3.9087126628322748</c:v>
                </c:pt>
                <c:pt idx="3">
                  <c:v>4.0598609120348241</c:v>
                </c:pt>
                <c:pt idx="4">
                  <c:v>4.0015448319796132</c:v>
                </c:pt>
                <c:pt idx="5">
                  <c:v>4.1466737624137284</c:v>
                </c:pt>
                <c:pt idx="6">
                  <c:v>4.1240590327546851</c:v>
                </c:pt>
                <c:pt idx="7">
                  <c:v>4.0019310399745187</c:v>
                </c:pt>
              </c:numCache>
            </c:numRef>
          </c:val>
          <c:extLst>
            <c:ext xmlns:c16="http://schemas.microsoft.com/office/drawing/2014/chart" uri="{C3380CC4-5D6E-409C-BE32-E72D297353CC}">
              <c16:uniqueId val="{00000004-A839-4342-8E7F-DE355F4FE95A}"/>
            </c:ext>
          </c:extLst>
        </c:ser>
        <c:dLbls>
          <c:showLegendKey val="0"/>
          <c:showVal val="0"/>
          <c:showCatName val="0"/>
          <c:showSerName val="0"/>
          <c:showPercent val="0"/>
          <c:showBubbleSize val="0"/>
        </c:dLbls>
        <c:axId val="1046157856"/>
        <c:axId val="1046150368"/>
      </c:radarChart>
      <c:catAx>
        <c:axId val="10461578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46150368"/>
        <c:crosses val="autoZero"/>
        <c:auto val="1"/>
        <c:lblAlgn val="ctr"/>
        <c:lblOffset val="100"/>
        <c:noMultiLvlLbl val="0"/>
      </c:catAx>
      <c:valAx>
        <c:axId val="1046150368"/>
        <c:scaling>
          <c:orientation val="minMax"/>
          <c:min val="3"/>
        </c:scaling>
        <c:delete val="1"/>
        <c:axPos val="l"/>
        <c:majorGridlines>
          <c:spPr>
            <a:ln w="9525" cap="flat" cmpd="sng" algn="ctr">
              <a:solidFill>
                <a:schemeClr val="tx1">
                  <a:lumMod val="15000"/>
                  <a:lumOff val="85000"/>
                </a:schemeClr>
              </a:solidFill>
              <a:round/>
            </a:ln>
            <a:effectLst/>
          </c:spPr>
        </c:majorGridlines>
        <c:numFmt formatCode="###0.0000" sourceLinked="1"/>
        <c:majorTickMark val="none"/>
        <c:minorTickMark val="none"/>
        <c:tickLblPos val="nextTo"/>
        <c:crossAx val="1046157856"/>
        <c:crosses val="autoZero"/>
        <c:crossBetween val="between"/>
      </c:valAx>
      <c:spPr>
        <a:noFill/>
        <a:ln>
          <a:noFill/>
        </a:ln>
        <a:effectLst/>
      </c:spPr>
    </c:plotArea>
    <c:legend>
      <c:legendPos val="t"/>
      <c:layout>
        <c:manualLayout>
          <c:xMode val="edge"/>
          <c:yMode val="edge"/>
          <c:x val="6.831048846184283E-2"/>
          <c:y val="0.94126510305614808"/>
          <c:w val="0.84870671205410908"/>
          <c:h val="4.352061408184712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2914E-4C3A-4163-A6C9-332A453E9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TF_Template_Word_Windows_2016</Template>
  <TotalTime>173</TotalTime>
  <Pages>32</Pages>
  <Words>7493</Words>
  <Characters>42715</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TF_Template_Word_Windows_2016</vt:lpstr>
    </vt:vector>
  </TitlesOfParts>
  <Company>Informa Plc</Company>
  <LinksUpToDate>false</LinksUpToDate>
  <CharactersWithSpaces>50108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TF_Template_Word_Windows_2016</dc:title>
  <dc:creator>Dr William Donald</dc:creator>
  <cp:lastModifiedBy>Dr William Donald</cp:lastModifiedBy>
  <cp:revision>27</cp:revision>
  <cp:lastPrinted>2011-07-22T14:54:00Z</cp:lastPrinted>
  <dcterms:created xsi:type="dcterms:W3CDTF">2023-03-29T11:46:00Z</dcterms:created>
  <dcterms:modified xsi:type="dcterms:W3CDTF">2023-06-16T14:00:00Z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6acfc4ba3fc18a452470b2110bdb0f102c9282dd95a82b9ab49636060774ef39</vt:lpwstr>
  </property>
  <property fmtid="{D5CDD505-2E9C-101B-9397-08002B2CF9AE}" pid="3" name="Mendeley Document_1">
    <vt:lpwstr>True</vt:lpwstr>
  </property>
  <property fmtid="{D5CDD505-2E9C-101B-9397-08002B2CF9AE}" pid="4" name="Mendeley Unique User Id_1">
    <vt:lpwstr>72701d84-74d1-3803-a13b-192addde3bd4</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