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A5C6A" w14:textId="296B1BED" w:rsidR="00B6574F" w:rsidRPr="000D3AD1" w:rsidRDefault="00B6574F" w:rsidP="00DB5493">
      <w:pPr>
        <w:jc w:val="center"/>
        <w:rPr>
          <w:rFonts w:ascii="Times New Roman" w:hAnsi="Times New Roman" w:cs="Times New Roman"/>
          <w:b/>
          <w:bCs/>
          <w:sz w:val="28"/>
          <w:szCs w:val="28"/>
        </w:rPr>
      </w:pPr>
      <w:r w:rsidRPr="000D3AD1">
        <w:rPr>
          <w:rFonts w:ascii="Times New Roman" w:hAnsi="Times New Roman" w:cs="Times New Roman"/>
          <w:b/>
          <w:bCs/>
          <w:sz w:val="28"/>
          <w:szCs w:val="28"/>
        </w:rPr>
        <w:t xml:space="preserve">Systemic risk contagion of </w:t>
      </w:r>
      <w:r w:rsidR="00CD5545" w:rsidRPr="000D3AD1">
        <w:rPr>
          <w:rFonts w:ascii="Times New Roman" w:hAnsi="Times New Roman" w:cs="Times New Roman"/>
          <w:b/>
          <w:bCs/>
          <w:sz w:val="28"/>
          <w:szCs w:val="28"/>
        </w:rPr>
        <w:t xml:space="preserve">green and Islamic </w:t>
      </w:r>
      <w:r w:rsidRPr="000D3AD1">
        <w:rPr>
          <w:rFonts w:ascii="Times New Roman" w:hAnsi="Times New Roman" w:cs="Times New Roman"/>
          <w:b/>
          <w:bCs/>
          <w:sz w:val="28"/>
          <w:szCs w:val="28"/>
        </w:rPr>
        <w:t xml:space="preserve">markets with </w:t>
      </w:r>
      <w:r w:rsidR="00CD5545" w:rsidRPr="000D3AD1">
        <w:rPr>
          <w:rFonts w:ascii="Times New Roman" w:hAnsi="Times New Roman" w:cs="Times New Roman"/>
          <w:b/>
          <w:bCs/>
          <w:sz w:val="28"/>
          <w:szCs w:val="28"/>
        </w:rPr>
        <w:t xml:space="preserve">conventional </w:t>
      </w:r>
      <w:r w:rsidRPr="000D3AD1">
        <w:rPr>
          <w:rFonts w:ascii="Times New Roman" w:hAnsi="Times New Roman" w:cs="Times New Roman"/>
          <w:b/>
          <w:bCs/>
          <w:sz w:val="28"/>
          <w:szCs w:val="28"/>
        </w:rPr>
        <w:t>markets</w:t>
      </w:r>
    </w:p>
    <w:p w14:paraId="61DE4107" w14:textId="77777777" w:rsidR="00DB3C14" w:rsidRPr="000D3AD1" w:rsidRDefault="00DB3C14" w:rsidP="00DB3C14">
      <w:pPr>
        <w:spacing w:after="0"/>
        <w:jc w:val="center"/>
        <w:rPr>
          <w:rFonts w:ascii="Times New Roman" w:eastAsia="Times New Roman" w:hAnsi="Times New Roman" w:cs="Times New Roman"/>
          <w:b/>
        </w:rPr>
      </w:pPr>
    </w:p>
    <w:p w14:paraId="40A69E7D" w14:textId="77777777" w:rsidR="00F0079D" w:rsidRPr="000D3AD1" w:rsidRDefault="00F0079D" w:rsidP="00F0079D">
      <w:pPr>
        <w:spacing w:after="0"/>
        <w:jc w:val="center"/>
        <w:rPr>
          <w:rFonts w:ascii="Times New Roman" w:eastAsia="Times New Roman" w:hAnsi="Times New Roman" w:cs="Times New Roman"/>
          <w:b/>
        </w:rPr>
      </w:pPr>
    </w:p>
    <w:p w14:paraId="531AE8D1" w14:textId="77777777" w:rsidR="00F0079D" w:rsidRPr="000D3AD1" w:rsidRDefault="00F0079D" w:rsidP="00F0079D">
      <w:pPr>
        <w:spacing w:after="0"/>
        <w:jc w:val="center"/>
        <w:rPr>
          <w:rFonts w:ascii="Times New Roman" w:hAnsi="Times New Roman" w:cs="Times New Roman"/>
          <w:b/>
        </w:rPr>
      </w:pPr>
      <w:r w:rsidRPr="000D3AD1">
        <w:rPr>
          <w:rFonts w:ascii="Times New Roman" w:eastAsia="Times New Roman" w:hAnsi="Times New Roman" w:cs="Times New Roman"/>
          <w:b/>
        </w:rPr>
        <w:t xml:space="preserve">Muhammad </w:t>
      </w:r>
      <w:proofErr w:type="spellStart"/>
      <w:r w:rsidRPr="000D3AD1">
        <w:rPr>
          <w:rFonts w:ascii="Times New Roman" w:eastAsia="Times New Roman" w:hAnsi="Times New Roman" w:cs="Times New Roman"/>
          <w:b/>
        </w:rPr>
        <w:t>Abubakr</w:t>
      </w:r>
      <w:proofErr w:type="spellEnd"/>
      <w:r w:rsidRPr="000D3AD1">
        <w:rPr>
          <w:rFonts w:ascii="Times New Roman" w:eastAsia="Times New Roman" w:hAnsi="Times New Roman" w:cs="Times New Roman"/>
          <w:b/>
        </w:rPr>
        <w:t xml:space="preserve"> Naeem (Corresponding author)</w:t>
      </w:r>
    </w:p>
    <w:p w14:paraId="4A6277BC" w14:textId="77777777" w:rsidR="00F0079D" w:rsidRPr="000D3AD1" w:rsidRDefault="00F0079D" w:rsidP="00F0079D">
      <w:pPr>
        <w:spacing w:after="0"/>
        <w:jc w:val="center"/>
        <w:rPr>
          <w:rFonts w:ascii="Times New Roman" w:eastAsia="Times New Roman" w:hAnsi="Times New Roman" w:cs="Times New Roman"/>
          <w:i/>
          <w:iCs/>
        </w:rPr>
      </w:pPr>
      <w:r w:rsidRPr="000D3AD1">
        <w:rPr>
          <w:rFonts w:ascii="Times New Roman" w:eastAsia="Times New Roman" w:hAnsi="Times New Roman" w:cs="Times New Roman"/>
          <w:i/>
          <w:iCs/>
        </w:rPr>
        <w:t>Accounting and Finance Department, United Arab Emirates University, P.O. Box 15551, Al-Ain, United Arab Emirates</w:t>
      </w:r>
    </w:p>
    <w:p w14:paraId="746911F7" w14:textId="77777777" w:rsidR="00F0079D" w:rsidRPr="000D3AD1" w:rsidRDefault="00F0079D" w:rsidP="00F0079D">
      <w:pPr>
        <w:spacing w:after="0"/>
        <w:jc w:val="center"/>
        <w:rPr>
          <w:rFonts w:ascii="Times New Roman" w:eastAsia="Times New Roman" w:hAnsi="Times New Roman" w:cs="Times New Roman"/>
          <w:b/>
          <w:i/>
          <w:iCs/>
        </w:rPr>
      </w:pPr>
      <w:proofErr w:type="gramStart"/>
      <w:r w:rsidRPr="000D3AD1">
        <w:rPr>
          <w:rFonts w:ascii="Times New Roman" w:hAnsi="Times New Roman" w:cs="Times New Roman"/>
          <w:i/>
          <w:iCs/>
          <w:lang w:val="fr-FR"/>
        </w:rPr>
        <w:t>Email:</w:t>
      </w:r>
      <w:proofErr w:type="gramEnd"/>
      <w:r w:rsidRPr="000D3AD1">
        <w:rPr>
          <w:rFonts w:ascii="Times New Roman" w:hAnsi="Times New Roman" w:cs="Times New Roman"/>
          <w:i/>
          <w:iCs/>
          <w:lang w:val="fr-FR"/>
        </w:rPr>
        <w:t xml:space="preserve"> </w:t>
      </w:r>
      <w:hyperlink r:id="rId7" w:history="1">
        <w:r w:rsidRPr="000D3AD1">
          <w:rPr>
            <w:rStyle w:val="Hyperlink"/>
            <w:rFonts w:ascii="Times New Roman" w:hAnsi="Times New Roman" w:cs="Times New Roman"/>
            <w:lang w:val="fr-FR"/>
          </w:rPr>
          <w:t>m.ab.naeem@gmail.com</w:t>
        </w:r>
      </w:hyperlink>
      <w:r w:rsidRPr="000D3AD1">
        <w:rPr>
          <w:rFonts w:ascii="Times New Roman" w:hAnsi="Times New Roman" w:cs="Times New Roman"/>
          <w:i/>
          <w:iCs/>
          <w:lang w:val="fr-FR"/>
        </w:rPr>
        <w:t xml:space="preserve">; </w:t>
      </w:r>
      <w:hyperlink r:id="rId8" w:history="1">
        <w:r w:rsidRPr="000D3AD1">
          <w:rPr>
            <w:rStyle w:val="Hyperlink"/>
            <w:rFonts w:ascii="Times New Roman" w:hAnsi="Times New Roman" w:cs="Times New Roman"/>
            <w:lang w:val="fr-FR"/>
          </w:rPr>
          <w:t>muhammad.naeem@uaeu.ac.ae</w:t>
        </w:r>
      </w:hyperlink>
    </w:p>
    <w:p w14:paraId="7DE3392C" w14:textId="77777777" w:rsidR="00F0079D" w:rsidRPr="000D3AD1" w:rsidRDefault="00F0079D" w:rsidP="00F0079D">
      <w:pPr>
        <w:spacing w:after="0"/>
        <w:jc w:val="center"/>
        <w:rPr>
          <w:rFonts w:ascii="Times New Roman" w:eastAsia="Times New Roman" w:hAnsi="Times New Roman" w:cs="Times New Roman"/>
          <w:b/>
        </w:rPr>
      </w:pPr>
    </w:p>
    <w:p w14:paraId="11154459" w14:textId="77777777" w:rsidR="00F0079D" w:rsidRPr="000D3AD1" w:rsidRDefault="00F0079D" w:rsidP="00F0079D">
      <w:pPr>
        <w:spacing w:after="0"/>
        <w:jc w:val="center"/>
        <w:rPr>
          <w:rFonts w:ascii="Times New Roman" w:hAnsi="Times New Roman" w:cs="Times New Roman"/>
          <w:b/>
        </w:rPr>
      </w:pPr>
      <w:r w:rsidRPr="000D3AD1">
        <w:rPr>
          <w:rFonts w:ascii="Times New Roman" w:eastAsia="Times New Roman" w:hAnsi="Times New Roman" w:cs="Times New Roman"/>
          <w:b/>
        </w:rPr>
        <w:t>Sitara Karim</w:t>
      </w:r>
    </w:p>
    <w:p w14:paraId="2BE8A856" w14:textId="3124BF98" w:rsidR="00F0079D" w:rsidRPr="000D3AD1" w:rsidRDefault="00633633" w:rsidP="00D23AAD">
      <w:pPr>
        <w:pStyle w:val="NoSpacing"/>
        <w:jc w:val="center"/>
        <w:rPr>
          <w:rFonts w:ascii="Times New Roman" w:eastAsia="Times New Roman" w:hAnsi="Times New Roman" w:cs="Times New Roman"/>
          <w:i/>
          <w:iCs/>
        </w:rPr>
      </w:pPr>
      <w:r>
        <w:rPr>
          <w:rFonts w:ascii="Times New Roman" w:hAnsi="Times New Roman" w:cs="Times New Roman"/>
          <w:i/>
          <w:iCs/>
        </w:rPr>
        <w:t>Department of Finance and Economics, Sunway</w:t>
      </w:r>
      <w:r w:rsidR="00D23AAD" w:rsidRPr="000D3AD1">
        <w:rPr>
          <w:rFonts w:ascii="Times New Roman" w:hAnsi="Times New Roman" w:cs="Times New Roman"/>
          <w:i/>
          <w:iCs/>
        </w:rPr>
        <w:t xml:space="preserve"> Business School,</w:t>
      </w:r>
      <w:r>
        <w:rPr>
          <w:rFonts w:ascii="Times New Roman" w:hAnsi="Times New Roman" w:cs="Times New Roman"/>
          <w:i/>
          <w:iCs/>
        </w:rPr>
        <w:t xml:space="preserve"> Sunway</w:t>
      </w:r>
      <w:r w:rsidR="00D23AAD" w:rsidRPr="000D3AD1">
        <w:rPr>
          <w:rFonts w:ascii="Times New Roman" w:hAnsi="Times New Roman" w:cs="Times New Roman"/>
          <w:i/>
          <w:iCs/>
        </w:rPr>
        <w:t xml:space="preserve"> University</w:t>
      </w:r>
      <w:r>
        <w:rPr>
          <w:rFonts w:ascii="Times New Roman" w:hAnsi="Times New Roman" w:cs="Times New Roman"/>
          <w:i/>
          <w:iCs/>
        </w:rPr>
        <w:t>,</w:t>
      </w:r>
      <w:r w:rsidR="00D23AAD" w:rsidRPr="000D3AD1">
        <w:rPr>
          <w:rFonts w:ascii="Times New Roman" w:hAnsi="Times New Roman" w:cs="Times New Roman"/>
          <w:i/>
          <w:iCs/>
        </w:rPr>
        <w:t xml:space="preserve"> Malaysia</w:t>
      </w:r>
    </w:p>
    <w:p w14:paraId="178EAF81" w14:textId="6D6694B4" w:rsidR="00F0079D" w:rsidRPr="000D3AD1" w:rsidRDefault="00F0079D" w:rsidP="00F0079D">
      <w:pPr>
        <w:spacing w:after="0"/>
        <w:jc w:val="center"/>
        <w:rPr>
          <w:rFonts w:ascii="Times New Roman" w:eastAsia="Times New Roman" w:hAnsi="Times New Roman" w:cs="Times New Roman"/>
          <w:b/>
          <w:i/>
          <w:iCs/>
        </w:rPr>
      </w:pPr>
      <w:r w:rsidRPr="000D3AD1">
        <w:rPr>
          <w:rFonts w:ascii="Times New Roman" w:eastAsia="Times New Roman" w:hAnsi="Times New Roman" w:cs="Times New Roman"/>
          <w:i/>
          <w:iCs/>
        </w:rPr>
        <w:t>Email</w:t>
      </w:r>
      <w:r w:rsidR="00633633">
        <w:rPr>
          <w:rFonts w:ascii="Times New Roman" w:eastAsia="Times New Roman" w:hAnsi="Times New Roman" w:cs="Times New Roman"/>
          <w:i/>
          <w:iCs/>
        </w:rPr>
        <w:t xml:space="preserve">: </w:t>
      </w:r>
      <w:hyperlink r:id="rId9" w:history="1">
        <w:r w:rsidR="00633633" w:rsidRPr="00043B83">
          <w:rPr>
            <w:rStyle w:val="Hyperlink"/>
            <w:rFonts w:ascii="Times New Roman" w:eastAsia="Times New Roman" w:hAnsi="Times New Roman" w:cs="Times New Roman"/>
            <w:i/>
            <w:iCs/>
          </w:rPr>
          <w:t>sitarak@sunway.edu.my</w:t>
        </w:r>
      </w:hyperlink>
      <w:r w:rsidR="00633633">
        <w:rPr>
          <w:rFonts w:ascii="Times New Roman" w:eastAsia="Times New Roman" w:hAnsi="Times New Roman" w:cs="Times New Roman"/>
          <w:i/>
          <w:iCs/>
        </w:rPr>
        <w:t xml:space="preserve"> </w:t>
      </w:r>
    </w:p>
    <w:p w14:paraId="57EFAD8C" w14:textId="77777777" w:rsidR="00F0079D" w:rsidRPr="000D3AD1" w:rsidRDefault="00F0079D" w:rsidP="00F0079D">
      <w:pPr>
        <w:spacing w:after="0"/>
        <w:jc w:val="center"/>
        <w:rPr>
          <w:rFonts w:ascii="Times New Roman" w:hAnsi="Times New Roman" w:cs="Times New Roman"/>
          <w:b/>
        </w:rPr>
      </w:pPr>
    </w:p>
    <w:p w14:paraId="20E1AADA" w14:textId="77777777" w:rsidR="00F0079D" w:rsidRPr="000D3AD1" w:rsidRDefault="00F0079D" w:rsidP="00F0079D">
      <w:pPr>
        <w:spacing w:after="0" w:line="240" w:lineRule="auto"/>
        <w:jc w:val="center"/>
        <w:rPr>
          <w:rFonts w:ascii="Times New Roman" w:hAnsi="Times New Roman" w:cs="Times New Roman"/>
          <w:b/>
          <w:sz w:val="24"/>
          <w:szCs w:val="24"/>
        </w:rPr>
      </w:pPr>
      <w:r w:rsidRPr="000D3AD1">
        <w:rPr>
          <w:rFonts w:ascii="Times New Roman" w:eastAsia="Times New Roman" w:hAnsi="Times New Roman" w:cs="Times New Roman"/>
          <w:b/>
          <w:sz w:val="24"/>
          <w:szCs w:val="24"/>
        </w:rPr>
        <w:t>Larisa </w:t>
      </w:r>
      <w:proofErr w:type="spellStart"/>
      <w:r w:rsidRPr="000D3AD1">
        <w:rPr>
          <w:rFonts w:ascii="Times New Roman" w:eastAsia="Times New Roman" w:hAnsi="Times New Roman" w:cs="Times New Roman"/>
          <w:b/>
          <w:sz w:val="24"/>
          <w:szCs w:val="24"/>
        </w:rPr>
        <w:t>Yarovaya</w:t>
      </w:r>
      <w:proofErr w:type="spellEnd"/>
    </w:p>
    <w:p w14:paraId="0C64429E" w14:textId="77777777" w:rsidR="00F0079D" w:rsidRPr="000D3AD1" w:rsidRDefault="00F0079D" w:rsidP="00F0079D">
      <w:pPr>
        <w:spacing w:after="0" w:line="240" w:lineRule="auto"/>
        <w:jc w:val="center"/>
        <w:rPr>
          <w:rFonts w:ascii="Times New Roman" w:eastAsia="Times New Roman" w:hAnsi="Times New Roman" w:cs="Times New Roman"/>
          <w:i/>
          <w:iCs/>
        </w:rPr>
      </w:pPr>
      <w:r w:rsidRPr="000D3AD1">
        <w:rPr>
          <w:rFonts w:ascii="Times New Roman" w:eastAsia="Times New Roman" w:hAnsi="Times New Roman" w:cs="Times New Roman"/>
          <w:i/>
          <w:iCs/>
        </w:rPr>
        <w:t>The Centre for Digital Finance, Southampton Business School, United Kingdom</w:t>
      </w:r>
    </w:p>
    <w:p w14:paraId="7D5C5D91" w14:textId="77777777" w:rsidR="00F0079D" w:rsidRPr="000D3AD1" w:rsidRDefault="00F0079D" w:rsidP="00F0079D">
      <w:pPr>
        <w:spacing w:after="0"/>
        <w:jc w:val="center"/>
        <w:rPr>
          <w:rStyle w:val="Hyperlink"/>
          <w:rFonts w:ascii="Times New Roman" w:hAnsi="Times New Roman" w:cs="Times New Roman"/>
          <w:i/>
          <w:iCs/>
          <w:lang w:val="fr-FR"/>
        </w:rPr>
      </w:pPr>
      <w:proofErr w:type="gramStart"/>
      <w:r w:rsidRPr="000D3AD1">
        <w:rPr>
          <w:rFonts w:ascii="Times New Roman" w:hAnsi="Times New Roman" w:cs="Times New Roman"/>
          <w:i/>
          <w:iCs/>
          <w:lang w:val="fr-FR"/>
        </w:rPr>
        <w:t>Email:</w:t>
      </w:r>
      <w:proofErr w:type="gramEnd"/>
      <w:r w:rsidRPr="000D3AD1">
        <w:rPr>
          <w:rFonts w:ascii="Times New Roman" w:hAnsi="Times New Roman" w:cs="Times New Roman"/>
          <w:i/>
          <w:iCs/>
          <w:lang w:val="fr-FR"/>
        </w:rPr>
        <w:t xml:space="preserve"> </w:t>
      </w:r>
      <w:r w:rsidRPr="000D3AD1">
        <w:rPr>
          <w:rStyle w:val="Hyperlink"/>
          <w:rFonts w:ascii="Times New Roman" w:eastAsia="Times New Roman" w:hAnsi="Times New Roman" w:cs="Times New Roman"/>
        </w:rPr>
        <w:t>l.yarovaya@soton.ac.uk</w:t>
      </w:r>
    </w:p>
    <w:p w14:paraId="5B7E9064" w14:textId="77777777" w:rsidR="00F0079D" w:rsidRPr="000D3AD1" w:rsidRDefault="00F0079D" w:rsidP="00F0079D">
      <w:pPr>
        <w:spacing w:after="0"/>
        <w:jc w:val="center"/>
        <w:rPr>
          <w:rFonts w:ascii="Times New Roman" w:hAnsi="Times New Roman" w:cs="Times New Roman"/>
          <w:b/>
        </w:rPr>
      </w:pPr>
    </w:p>
    <w:p w14:paraId="21762AF7" w14:textId="77777777" w:rsidR="00F0079D" w:rsidRPr="000D3AD1" w:rsidRDefault="00F0079D" w:rsidP="00F0079D">
      <w:pPr>
        <w:spacing w:after="0"/>
        <w:jc w:val="center"/>
        <w:rPr>
          <w:rFonts w:ascii="Times New Roman" w:hAnsi="Times New Roman" w:cs="Times New Roman"/>
          <w:b/>
        </w:rPr>
      </w:pPr>
      <w:r w:rsidRPr="000D3AD1">
        <w:rPr>
          <w:rFonts w:ascii="Times New Roman" w:hAnsi="Times New Roman" w:cs="Times New Roman"/>
          <w:b/>
        </w:rPr>
        <w:t>Brian M. Lucey</w:t>
      </w:r>
    </w:p>
    <w:p w14:paraId="4D5B0904" w14:textId="77777777" w:rsidR="00F0079D" w:rsidRPr="000D3AD1" w:rsidRDefault="00F0079D" w:rsidP="00F0079D">
      <w:pPr>
        <w:pStyle w:val="Default"/>
        <w:jc w:val="center"/>
        <w:rPr>
          <w:rFonts w:ascii="Times New Roman" w:hAnsi="Times New Roman" w:cs="Times New Roman"/>
          <w:i/>
          <w:iCs/>
          <w:sz w:val="22"/>
          <w:szCs w:val="22"/>
        </w:rPr>
      </w:pPr>
      <w:r w:rsidRPr="000D3AD1">
        <w:rPr>
          <w:rFonts w:ascii="Times New Roman" w:hAnsi="Times New Roman" w:cs="Times New Roman"/>
          <w:i/>
          <w:iCs/>
          <w:sz w:val="22"/>
          <w:szCs w:val="22"/>
        </w:rPr>
        <w:t>Trinity Business School, Trinity College Dublin, Ireland</w:t>
      </w:r>
    </w:p>
    <w:p w14:paraId="3875BCA4" w14:textId="77777777" w:rsidR="00F0079D" w:rsidRPr="000D3AD1" w:rsidRDefault="00F0079D" w:rsidP="00F0079D">
      <w:pPr>
        <w:pStyle w:val="Default"/>
        <w:jc w:val="center"/>
        <w:rPr>
          <w:rFonts w:ascii="Times New Roman" w:hAnsi="Times New Roman" w:cs="Times New Roman"/>
          <w:i/>
          <w:iCs/>
          <w:sz w:val="22"/>
          <w:szCs w:val="22"/>
        </w:rPr>
      </w:pPr>
      <w:r w:rsidRPr="000D3AD1">
        <w:rPr>
          <w:rFonts w:ascii="Times New Roman" w:hAnsi="Times New Roman" w:cs="Times New Roman"/>
          <w:i/>
          <w:iCs/>
          <w:sz w:val="22"/>
          <w:szCs w:val="22"/>
        </w:rPr>
        <w:t>University of Economics Ho Chi Minh City, Ho Chi Minh City, Vietnam</w:t>
      </w:r>
    </w:p>
    <w:p w14:paraId="17D29F6B" w14:textId="7B676549" w:rsidR="00F0079D" w:rsidRPr="000D3AD1" w:rsidRDefault="00F0079D" w:rsidP="00F0079D">
      <w:pPr>
        <w:pStyle w:val="Default"/>
        <w:jc w:val="center"/>
        <w:rPr>
          <w:rFonts w:ascii="Times New Roman" w:hAnsi="Times New Roman" w:cs="Times New Roman"/>
          <w:i/>
          <w:iCs/>
          <w:sz w:val="22"/>
          <w:szCs w:val="22"/>
        </w:rPr>
      </w:pPr>
      <w:r w:rsidRPr="000D3AD1">
        <w:rPr>
          <w:rFonts w:ascii="Times New Roman" w:hAnsi="Times New Roman" w:cs="Times New Roman"/>
          <w:i/>
          <w:iCs/>
          <w:sz w:val="22"/>
          <w:szCs w:val="22"/>
        </w:rPr>
        <w:t>Jiangxi University of Finance and Economics, China</w:t>
      </w:r>
    </w:p>
    <w:p w14:paraId="48A5A0E6" w14:textId="7E9EE19C" w:rsidR="00D23AAD" w:rsidRPr="000D3AD1" w:rsidRDefault="00D23AAD" w:rsidP="00F0079D">
      <w:pPr>
        <w:pStyle w:val="Default"/>
        <w:jc w:val="center"/>
        <w:rPr>
          <w:rFonts w:ascii="Times New Roman" w:hAnsi="Times New Roman" w:cs="Times New Roman"/>
          <w:i/>
          <w:iCs/>
          <w:sz w:val="22"/>
          <w:szCs w:val="22"/>
        </w:rPr>
      </w:pPr>
      <w:r w:rsidRPr="000D3AD1">
        <w:rPr>
          <w:rFonts w:ascii="Times New Roman" w:hAnsi="Times New Roman" w:cs="Times New Roman"/>
          <w:i/>
          <w:iCs/>
          <w:sz w:val="22"/>
          <w:szCs w:val="22"/>
        </w:rPr>
        <w:t>Distinguished Professor of Finance, Abu Dhabi University, United Arab Emirates</w:t>
      </w:r>
    </w:p>
    <w:p w14:paraId="0411D2F1" w14:textId="063A9C6C" w:rsidR="00DB3C14" w:rsidRPr="000D3AD1" w:rsidRDefault="00F0079D" w:rsidP="00F0079D">
      <w:pPr>
        <w:spacing w:after="0"/>
        <w:jc w:val="center"/>
        <w:rPr>
          <w:rFonts w:ascii="Times New Roman" w:eastAsia="Times New Roman" w:hAnsi="Times New Roman" w:cs="Times New Roman"/>
          <w:b/>
        </w:rPr>
      </w:pPr>
      <w:r w:rsidRPr="000D3AD1">
        <w:rPr>
          <w:rFonts w:ascii="Times New Roman" w:hAnsi="Times New Roman" w:cs="Times New Roman"/>
          <w:i/>
          <w:iCs/>
          <w:lang w:val="fr-FR"/>
        </w:rPr>
        <w:t xml:space="preserve">Email: </w:t>
      </w:r>
      <w:hyperlink r:id="rId10" w:history="1">
        <w:r w:rsidRPr="000D3AD1">
          <w:rPr>
            <w:rStyle w:val="Hyperlink"/>
            <w:rFonts w:ascii="Times New Roman" w:hAnsi="Times New Roman" w:cs="Times New Roman"/>
            <w:lang w:val="fr-FR"/>
          </w:rPr>
          <w:t>brian.lucey@tcd.ie</w:t>
        </w:r>
      </w:hyperlink>
    </w:p>
    <w:p w14:paraId="0F1EFDB9" w14:textId="7DDBF6A5" w:rsidR="009E1D10" w:rsidRPr="000D3AD1" w:rsidRDefault="009E1D10" w:rsidP="00DB5493">
      <w:pPr>
        <w:jc w:val="center"/>
        <w:rPr>
          <w:rFonts w:ascii="Times New Roman" w:hAnsi="Times New Roman" w:cs="Times New Roman"/>
          <w:b/>
          <w:bCs/>
          <w:sz w:val="24"/>
          <w:szCs w:val="24"/>
        </w:rPr>
      </w:pPr>
    </w:p>
    <w:p w14:paraId="6FB020AA" w14:textId="234E54FC" w:rsidR="00DB5493" w:rsidRPr="000D3AD1" w:rsidRDefault="00DB5493" w:rsidP="00DB5493">
      <w:pPr>
        <w:jc w:val="center"/>
        <w:rPr>
          <w:rFonts w:ascii="Times New Roman" w:hAnsi="Times New Roman" w:cs="Times New Roman"/>
          <w:b/>
          <w:bCs/>
          <w:sz w:val="24"/>
          <w:szCs w:val="24"/>
        </w:rPr>
      </w:pPr>
      <w:r w:rsidRPr="000D3AD1">
        <w:rPr>
          <w:rFonts w:ascii="Times New Roman" w:hAnsi="Times New Roman" w:cs="Times New Roman"/>
          <w:b/>
          <w:bCs/>
          <w:sz w:val="24"/>
          <w:szCs w:val="24"/>
        </w:rPr>
        <w:t>Abstract</w:t>
      </w:r>
    </w:p>
    <w:p w14:paraId="36EF914F" w14:textId="1B307AA2" w:rsidR="00B2613A" w:rsidRPr="000D3AD1" w:rsidRDefault="003D2D11" w:rsidP="00DB5493">
      <w:pPr>
        <w:jc w:val="both"/>
        <w:rPr>
          <w:rFonts w:ascii="Times New Roman" w:hAnsi="Times New Roman" w:cs="Times New Roman"/>
          <w:sz w:val="24"/>
          <w:szCs w:val="24"/>
        </w:rPr>
      </w:pPr>
      <w:r w:rsidRPr="000D3AD1">
        <w:rPr>
          <w:rFonts w:ascii="Times New Roman" w:hAnsi="Times New Roman" w:cs="Times New Roman"/>
          <w:sz w:val="24"/>
          <w:szCs w:val="24"/>
        </w:rPr>
        <w:t xml:space="preserve">Financial markets are exposed to extreme uncertain circumstances escalating their tail risk. Sustainable, religious, and conventional markets represent three different markets with various characteristics. Motivated with this, the current study measures the </w:t>
      </w:r>
      <w:r w:rsidR="0073584E" w:rsidRPr="000D3AD1">
        <w:rPr>
          <w:rFonts w:ascii="Times New Roman" w:hAnsi="Times New Roman" w:cs="Times New Roman"/>
          <w:sz w:val="24"/>
          <w:szCs w:val="24"/>
        </w:rPr>
        <w:t>tail connectedness between sustainable, religious, and conventional investments by employing a neural network quantile regression approach from</w:t>
      </w:r>
      <w:r w:rsidRPr="000D3AD1">
        <w:rPr>
          <w:rFonts w:ascii="Times New Roman" w:hAnsi="Times New Roman" w:cs="Times New Roman"/>
          <w:sz w:val="24"/>
          <w:szCs w:val="24"/>
        </w:rPr>
        <w:t xml:space="preserve"> December 1, </w:t>
      </w:r>
      <w:proofErr w:type="gramStart"/>
      <w:r w:rsidRPr="000D3AD1">
        <w:rPr>
          <w:rFonts w:ascii="Times New Roman" w:hAnsi="Times New Roman" w:cs="Times New Roman"/>
          <w:sz w:val="24"/>
          <w:szCs w:val="24"/>
        </w:rPr>
        <w:t>2008</w:t>
      </w:r>
      <w:proofErr w:type="gramEnd"/>
      <w:r w:rsidRPr="000D3AD1">
        <w:rPr>
          <w:rFonts w:ascii="Times New Roman" w:hAnsi="Times New Roman" w:cs="Times New Roman"/>
          <w:sz w:val="24"/>
          <w:szCs w:val="24"/>
        </w:rPr>
        <w:t xml:space="preserve"> to May 10, 2021. </w:t>
      </w:r>
      <w:r w:rsidR="00D56E15" w:rsidRPr="000D3AD1">
        <w:rPr>
          <w:rFonts w:ascii="Times New Roman" w:hAnsi="Times New Roman" w:cs="Times New Roman"/>
          <w:sz w:val="24"/>
          <w:szCs w:val="24"/>
        </w:rPr>
        <w:t xml:space="preserve">The neural network recognized religious and conventional investments with maximum </w:t>
      </w:r>
      <w:r w:rsidR="00977A96" w:rsidRPr="000D3AD1">
        <w:rPr>
          <w:rFonts w:ascii="Times New Roman" w:hAnsi="Times New Roman" w:cs="Times New Roman"/>
          <w:sz w:val="24"/>
          <w:szCs w:val="24"/>
        </w:rPr>
        <w:t xml:space="preserve">exposure to </w:t>
      </w:r>
      <w:r w:rsidR="00D56E15" w:rsidRPr="000D3AD1">
        <w:rPr>
          <w:rFonts w:ascii="Times New Roman" w:hAnsi="Times New Roman" w:cs="Times New Roman"/>
          <w:sz w:val="24"/>
          <w:szCs w:val="24"/>
        </w:rPr>
        <w:t xml:space="preserve">tail risk following the crisis periods reflecting strong diversification benefits of sustainable assets. The </w:t>
      </w:r>
      <w:r w:rsidR="00D56E15" w:rsidRPr="000D3AD1">
        <w:rPr>
          <w:rFonts w:ascii="Times New Roman" w:hAnsi="Times New Roman" w:cs="Times New Roman"/>
          <w:i/>
          <w:iCs/>
          <w:sz w:val="24"/>
          <w:szCs w:val="24"/>
        </w:rPr>
        <w:t>Systematic Network Risk Index (SNRI)</w:t>
      </w:r>
      <w:r w:rsidR="00D56E15" w:rsidRPr="000D3AD1">
        <w:rPr>
          <w:rFonts w:ascii="Times New Roman" w:hAnsi="Times New Roman" w:cs="Times New Roman"/>
          <w:sz w:val="24"/>
          <w:szCs w:val="24"/>
        </w:rPr>
        <w:t xml:space="preserve"> spots </w:t>
      </w:r>
      <w:r w:rsidR="0087750D" w:rsidRPr="000D3AD1">
        <w:rPr>
          <w:rFonts w:ascii="Times New Roman" w:hAnsi="Times New Roman" w:cs="Times New Roman"/>
          <w:sz w:val="24"/>
          <w:szCs w:val="24"/>
        </w:rPr>
        <w:t>G</w:t>
      </w:r>
      <w:r w:rsidR="00D56E15" w:rsidRPr="000D3AD1">
        <w:rPr>
          <w:rFonts w:ascii="Times New Roman" w:hAnsi="Times New Roman" w:cs="Times New Roman"/>
          <w:sz w:val="24"/>
          <w:szCs w:val="24"/>
        </w:rPr>
        <w:t xml:space="preserve">lobal </w:t>
      </w:r>
      <w:r w:rsidR="0087750D" w:rsidRPr="000D3AD1">
        <w:rPr>
          <w:rFonts w:ascii="Times New Roman" w:hAnsi="Times New Roman" w:cs="Times New Roman"/>
          <w:sz w:val="24"/>
          <w:szCs w:val="24"/>
        </w:rPr>
        <w:t>F</w:t>
      </w:r>
      <w:r w:rsidR="00D56E15" w:rsidRPr="000D3AD1">
        <w:rPr>
          <w:rFonts w:ascii="Times New Roman" w:hAnsi="Times New Roman" w:cs="Times New Roman"/>
          <w:sz w:val="24"/>
          <w:szCs w:val="24"/>
        </w:rPr>
        <w:t xml:space="preserve">inancial </w:t>
      </w:r>
      <w:r w:rsidR="0087750D" w:rsidRPr="000D3AD1">
        <w:rPr>
          <w:rFonts w:ascii="Times New Roman" w:hAnsi="Times New Roman" w:cs="Times New Roman"/>
          <w:sz w:val="24"/>
          <w:szCs w:val="24"/>
        </w:rPr>
        <w:t>Cr</w:t>
      </w:r>
      <w:r w:rsidR="00D56E15" w:rsidRPr="000D3AD1">
        <w:rPr>
          <w:rFonts w:ascii="Times New Roman" w:hAnsi="Times New Roman" w:cs="Times New Roman"/>
          <w:sz w:val="24"/>
          <w:szCs w:val="24"/>
        </w:rPr>
        <w:t xml:space="preserve">isis, European Debt Crisis, and COVID-19 pandemic as intensive events yielding high tail risk. The </w:t>
      </w:r>
      <w:r w:rsidR="00D56E15" w:rsidRPr="000D3AD1">
        <w:rPr>
          <w:rFonts w:ascii="Times New Roman" w:hAnsi="Times New Roman" w:cs="Times New Roman"/>
          <w:i/>
          <w:iCs/>
          <w:sz w:val="24"/>
          <w:szCs w:val="24"/>
        </w:rPr>
        <w:t>Systematic Fragility Index (SFI)</w:t>
      </w:r>
      <w:r w:rsidR="00D56E15" w:rsidRPr="000D3AD1">
        <w:rPr>
          <w:rFonts w:ascii="Times New Roman" w:hAnsi="Times New Roman" w:cs="Times New Roman"/>
          <w:sz w:val="24"/>
          <w:szCs w:val="24"/>
        </w:rPr>
        <w:t xml:space="preserve"> ranks </w:t>
      </w:r>
      <w:r w:rsidR="0073584E" w:rsidRPr="000D3AD1">
        <w:rPr>
          <w:rFonts w:ascii="Times New Roman" w:hAnsi="Times New Roman" w:cs="Times New Roman"/>
          <w:sz w:val="24"/>
          <w:szCs w:val="24"/>
        </w:rPr>
        <w:t xml:space="preserve">the </w:t>
      </w:r>
      <w:r w:rsidR="00D56E15" w:rsidRPr="000D3AD1">
        <w:rPr>
          <w:rFonts w:ascii="Times New Roman" w:hAnsi="Times New Roman" w:cs="Times New Roman"/>
          <w:sz w:val="24"/>
          <w:szCs w:val="24"/>
        </w:rPr>
        <w:t xml:space="preserve">stock market in the pre-COVID period and Islamic stocks during the COVID sample as </w:t>
      </w:r>
      <w:r w:rsidR="0073584E" w:rsidRPr="000D3AD1">
        <w:rPr>
          <w:rFonts w:ascii="Times New Roman" w:hAnsi="Times New Roman" w:cs="Times New Roman"/>
          <w:sz w:val="24"/>
          <w:szCs w:val="24"/>
        </w:rPr>
        <w:t xml:space="preserve">the </w:t>
      </w:r>
      <w:r w:rsidR="00D56E15" w:rsidRPr="000D3AD1">
        <w:rPr>
          <w:rFonts w:ascii="Times New Roman" w:hAnsi="Times New Roman" w:cs="Times New Roman"/>
          <w:sz w:val="24"/>
          <w:szCs w:val="24"/>
        </w:rPr>
        <w:t>most susceptible markets</w:t>
      </w:r>
      <w:r w:rsidR="00267F64" w:rsidRPr="000D3AD1">
        <w:rPr>
          <w:rFonts w:ascii="Times New Roman" w:hAnsi="Times New Roman" w:cs="Times New Roman"/>
          <w:sz w:val="24"/>
          <w:szCs w:val="24"/>
        </w:rPr>
        <w:t xml:space="preserve">. Conversely, </w:t>
      </w:r>
      <w:r w:rsidR="0073584E" w:rsidRPr="000D3AD1">
        <w:rPr>
          <w:rFonts w:ascii="Times New Roman" w:hAnsi="Times New Roman" w:cs="Times New Roman"/>
          <w:sz w:val="24"/>
          <w:szCs w:val="24"/>
        </w:rPr>
        <w:t xml:space="preserve">the </w:t>
      </w:r>
      <w:r w:rsidR="00267F64" w:rsidRPr="000D3AD1">
        <w:rPr>
          <w:rFonts w:ascii="Times New Roman" w:hAnsi="Times New Roman" w:cs="Times New Roman"/>
          <w:i/>
          <w:iCs/>
          <w:sz w:val="24"/>
          <w:szCs w:val="24"/>
        </w:rPr>
        <w:t>Systematic Hazard Index (SHI)</w:t>
      </w:r>
      <w:r w:rsidR="00267F64" w:rsidRPr="000D3AD1">
        <w:rPr>
          <w:rFonts w:ascii="Times New Roman" w:hAnsi="Times New Roman" w:cs="Times New Roman"/>
          <w:sz w:val="24"/>
          <w:szCs w:val="24"/>
        </w:rPr>
        <w:t xml:space="preserve"> nominates Islamic stocks as the chief risk contributor in the system. </w:t>
      </w:r>
      <w:r w:rsidR="00267F64" w:rsidRPr="00633633">
        <w:rPr>
          <w:rFonts w:ascii="Times New Roman" w:hAnsi="Times New Roman" w:cs="Times New Roman"/>
          <w:color w:val="0000FF"/>
          <w:sz w:val="24"/>
          <w:szCs w:val="24"/>
        </w:rPr>
        <w:t>Given these, we portray various implications for policymakers, regulatory bodies, investors, financial market participants, and portfolio managers to diversify their risk using sustainable/green investments.</w:t>
      </w:r>
      <w:r w:rsidR="00267F64" w:rsidRPr="000D3AD1">
        <w:rPr>
          <w:rFonts w:ascii="Times New Roman" w:hAnsi="Times New Roman" w:cs="Times New Roman"/>
          <w:sz w:val="24"/>
          <w:szCs w:val="24"/>
        </w:rPr>
        <w:t xml:space="preserve"> </w:t>
      </w:r>
    </w:p>
    <w:p w14:paraId="5FE4C130" w14:textId="3EAF5ACF" w:rsidR="00267F64" w:rsidRPr="000D3AD1" w:rsidRDefault="00267F64" w:rsidP="00DB5493">
      <w:pPr>
        <w:jc w:val="both"/>
        <w:rPr>
          <w:rFonts w:ascii="Times New Roman" w:hAnsi="Times New Roman" w:cs="Times New Roman"/>
          <w:sz w:val="24"/>
          <w:szCs w:val="24"/>
        </w:rPr>
      </w:pPr>
      <w:r w:rsidRPr="000D3AD1">
        <w:rPr>
          <w:rFonts w:ascii="Times New Roman" w:hAnsi="Times New Roman" w:cs="Times New Roman"/>
          <w:b/>
          <w:bCs/>
          <w:sz w:val="24"/>
          <w:szCs w:val="24"/>
        </w:rPr>
        <w:t xml:space="preserve">Keywords: </w:t>
      </w:r>
      <w:r w:rsidR="00B107F9" w:rsidRPr="000D3AD1">
        <w:rPr>
          <w:rFonts w:ascii="Times New Roman" w:hAnsi="Times New Roman" w:cs="Times New Roman"/>
          <w:i/>
          <w:iCs/>
          <w:sz w:val="24"/>
          <w:szCs w:val="24"/>
        </w:rPr>
        <w:t xml:space="preserve">COVID-19; </w:t>
      </w:r>
      <w:proofErr w:type="spellStart"/>
      <w:r w:rsidRPr="000D3AD1">
        <w:rPr>
          <w:rFonts w:ascii="Times New Roman" w:hAnsi="Times New Roman" w:cs="Times New Roman"/>
          <w:i/>
          <w:iCs/>
          <w:sz w:val="24"/>
          <w:szCs w:val="24"/>
        </w:rPr>
        <w:t>CoVaR</w:t>
      </w:r>
      <w:proofErr w:type="spellEnd"/>
      <w:r w:rsidRPr="000D3AD1">
        <w:rPr>
          <w:rFonts w:ascii="Times New Roman" w:hAnsi="Times New Roman" w:cs="Times New Roman"/>
          <w:i/>
          <w:iCs/>
          <w:sz w:val="24"/>
          <w:szCs w:val="24"/>
        </w:rPr>
        <w:t>; Neural Networks; Religious Investments; Sustainable Investments</w:t>
      </w:r>
    </w:p>
    <w:p w14:paraId="1966AAC4" w14:textId="77777777" w:rsidR="000D3AD1" w:rsidRPr="000D3AD1" w:rsidRDefault="000D3AD1">
      <w:pPr>
        <w:rPr>
          <w:rFonts w:ascii="Times New Roman" w:hAnsi="Times New Roman" w:cs="Times New Roman"/>
          <w:b/>
          <w:bCs/>
          <w:sz w:val="24"/>
          <w:szCs w:val="24"/>
        </w:rPr>
      </w:pPr>
    </w:p>
    <w:p w14:paraId="5A05E42E" w14:textId="7C221A03" w:rsidR="00DB3C14" w:rsidRPr="000D3AD1" w:rsidRDefault="000D3AD1">
      <w:pPr>
        <w:rPr>
          <w:rFonts w:ascii="Times New Roman" w:hAnsi="Times New Roman" w:cs="Times New Roman"/>
          <w:b/>
          <w:bCs/>
          <w:sz w:val="24"/>
          <w:szCs w:val="24"/>
        </w:rPr>
      </w:pPr>
      <w:r w:rsidRPr="000D3AD1">
        <w:rPr>
          <w:rFonts w:ascii="Times New Roman" w:eastAsia="Calibri" w:hAnsi="Times New Roman" w:cs="Times New Roman"/>
          <w:b/>
          <w:bCs/>
          <w:sz w:val="24"/>
          <w:szCs w:val="26"/>
        </w:rPr>
        <w:t>Declarations of Competing Interest:</w:t>
      </w:r>
      <w:r>
        <w:rPr>
          <w:rFonts w:ascii="Times New Roman" w:eastAsia="Calibri" w:hAnsi="Times New Roman" w:cs="Times New Roman"/>
          <w:b/>
          <w:bCs/>
          <w:sz w:val="24"/>
          <w:szCs w:val="26"/>
        </w:rPr>
        <w:t xml:space="preserve"> </w:t>
      </w:r>
      <w:r w:rsidRPr="000D3AD1">
        <w:rPr>
          <w:rFonts w:ascii="Times New Roman" w:eastAsia="Calibri" w:hAnsi="Times New Roman" w:cs="Times New Roman"/>
          <w:sz w:val="24"/>
          <w:szCs w:val="26"/>
        </w:rPr>
        <w:t>None</w:t>
      </w:r>
      <w:r w:rsidR="00DB3C14" w:rsidRPr="000D3AD1">
        <w:rPr>
          <w:rFonts w:ascii="Times New Roman" w:hAnsi="Times New Roman" w:cs="Times New Roman"/>
          <w:b/>
          <w:bCs/>
          <w:sz w:val="24"/>
          <w:szCs w:val="24"/>
        </w:rPr>
        <w:br w:type="page"/>
      </w:r>
    </w:p>
    <w:p w14:paraId="39DEC2C2" w14:textId="6CE9A257" w:rsidR="001629D3" w:rsidRPr="000D3AD1" w:rsidRDefault="001629D3" w:rsidP="00772600">
      <w:pPr>
        <w:spacing w:line="480" w:lineRule="auto"/>
        <w:rPr>
          <w:rFonts w:ascii="Times New Roman" w:hAnsi="Times New Roman" w:cs="Times New Roman"/>
          <w:b/>
          <w:bCs/>
          <w:sz w:val="24"/>
          <w:szCs w:val="24"/>
        </w:rPr>
      </w:pPr>
      <w:r w:rsidRPr="000D3AD1">
        <w:rPr>
          <w:rFonts w:ascii="Times New Roman" w:hAnsi="Times New Roman" w:cs="Times New Roman"/>
          <w:b/>
          <w:bCs/>
          <w:sz w:val="24"/>
          <w:szCs w:val="24"/>
        </w:rPr>
        <w:lastRenderedPageBreak/>
        <w:t xml:space="preserve">1. Introduction </w:t>
      </w:r>
    </w:p>
    <w:p w14:paraId="21AEC39E" w14:textId="640E7465" w:rsidR="00977A96" w:rsidRPr="000D3AD1" w:rsidRDefault="00977A96" w:rsidP="00977A96">
      <w:pPr>
        <w:spacing w:line="480" w:lineRule="auto"/>
        <w:jc w:val="both"/>
        <w:rPr>
          <w:rFonts w:ascii="Times New Roman" w:hAnsi="Times New Roman" w:cs="Times New Roman"/>
          <w:sz w:val="24"/>
          <w:szCs w:val="24"/>
        </w:rPr>
      </w:pPr>
      <w:r w:rsidRPr="000D3AD1">
        <w:rPr>
          <w:rFonts w:ascii="Times New Roman" w:hAnsi="Times New Roman" w:cs="Times New Roman"/>
          <w:sz w:val="24"/>
          <w:szCs w:val="24"/>
        </w:rPr>
        <w:t>Prevailing uncertainty in the global financial markets ha</w:t>
      </w:r>
      <w:r w:rsidR="0073584E" w:rsidRPr="000D3AD1">
        <w:rPr>
          <w:rFonts w:ascii="Times New Roman" w:hAnsi="Times New Roman" w:cs="Times New Roman"/>
          <w:sz w:val="24"/>
          <w:szCs w:val="24"/>
        </w:rPr>
        <w:t>s</w:t>
      </w:r>
      <w:r w:rsidRPr="000D3AD1">
        <w:rPr>
          <w:rFonts w:ascii="Times New Roman" w:hAnsi="Times New Roman" w:cs="Times New Roman"/>
          <w:sz w:val="24"/>
          <w:szCs w:val="24"/>
        </w:rPr>
        <w:t xml:space="preserve"> spurred the attention of investors, policymakers, regulators, and financial market participants to focus on those investment streams</w:t>
      </w:r>
      <w:r w:rsidR="0073584E" w:rsidRPr="000D3AD1">
        <w:rPr>
          <w:rFonts w:ascii="Times New Roman" w:hAnsi="Times New Roman" w:cs="Times New Roman"/>
          <w:sz w:val="24"/>
          <w:szCs w:val="24"/>
        </w:rPr>
        <w:t>,</w:t>
      </w:r>
      <w:r w:rsidRPr="000D3AD1">
        <w:rPr>
          <w:rFonts w:ascii="Times New Roman" w:hAnsi="Times New Roman" w:cs="Times New Roman"/>
          <w:sz w:val="24"/>
          <w:szCs w:val="24"/>
        </w:rPr>
        <w:t xml:space="preserve"> which considerably reduce the recurring negative impacts of economic and financial instances. </w:t>
      </w:r>
      <w:r w:rsidR="00473005" w:rsidRPr="000D3AD1">
        <w:rPr>
          <w:rFonts w:ascii="Times New Roman" w:hAnsi="Times New Roman" w:cs="Times New Roman"/>
          <w:sz w:val="24"/>
          <w:szCs w:val="24"/>
        </w:rPr>
        <w:t>In this way, comprehending the fat tails of different markets’ returns has become imperative to compute their tail-risk as it is considered one of the key factors to determine asset pricing</w:t>
      </w:r>
      <w:r w:rsidR="006207C7" w:rsidRPr="000D3AD1">
        <w:rPr>
          <w:rFonts w:ascii="Times New Roman" w:hAnsi="Times New Roman" w:cs="Times New Roman"/>
          <w:sz w:val="24"/>
          <w:szCs w:val="24"/>
        </w:rPr>
        <w:t xml:space="preserve"> and reflecting potential threats to the investors if not forecasted properly</w:t>
      </w:r>
      <w:r w:rsidR="003F3905" w:rsidRPr="000D3AD1">
        <w:rPr>
          <w:rFonts w:ascii="Times New Roman" w:hAnsi="Times New Roman" w:cs="Times New Roman"/>
          <w:sz w:val="24"/>
          <w:szCs w:val="24"/>
        </w:rPr>
        <w:t xml:space="preserve"> (Zaremba et al.,</w:t>
      </w:r>
      <w:r w:rsidR="0073584E" w:rsidRPr="000D3AD1">
        <w:rPr>
          <w:rFonts w:ascii="Times New Roman" w:hAnsi="Times New Roman" w:cs="Times New Roman"/>
          <w:sz w:val="24"/>
          <w:szCs w:val="24"/>
        </w:rPr>
        <w:t xml:space="preserve"> </w:t>
      </w:r>
      <w:r w:rsidR="003F3905" w:rsidRPr="000D3AD1">
        <w:rPr>
          <w:rFonts w:ascii="Times New Roman" w:hAnsi="Times New Roman" w:cs="Times New Roman"/>
          <w:sz w:val="24"/>
          <w:szCs w:val="24"/>
        </w:rPr>
        <w:t xml:space="preserve">2021). </w:t>
      </w:r>
      <w:r w:rsidR="00B31BEE" w:rsidRPr="000D3AD1">
        <w:rPr>
          <w:rFonts w:ascii="Times New Roman" w:hAnsi="Times New Roman" w:cs="Times New Roman"/>
          <w:sz w:val="24"/>
          <w:szCs w:val="24"/>
        </w:rPr>
        <w:t>Literature declared multiple uneven circumstances where financial markets, economic growth, and working of different sectors substantially seized (</w:t>
      </w:r>
      <w:proofErr w:type="spellStart"/>
      <w:r w:rsidR="00B31BEE" w:rsidRPr="000D3AD1">
        <w:rPr>
          <w:rFonts w:ascii="Times New Roman" w:hAnsi="Times New Roman" w:cs="Times New Roman"/>
          <w:sz w:val="24"/>
          <w:szCs w:val="24"/>
        </w:rPr>
        <w:t>Abakah</w:t>
      </w:r>
      <w:proofErr w:type="spellEnd"/>
      <w:r w:rsidR="00B31BEE" w:rsidRPr="000D3AD1">
        <w:rPr>
          <w:rFonts w:ascii="Times New Roman" w:hAnsi="Times New Roman" w:cs="Times New Roman"/>
          <w:sz w:val="24"/>
          <w:szCs w:val="24"/>
        </w:rPr>
        <w:t xml:space="preserve"> et al., 2021; </w:t>
      </w:r>
      <w:proofErr w:type="spellStart"/>
      <w:r w:rsidR="00B31BEE" w:rsidRPr="000D3AD1">
        <w:rPr>
          <w:rFonts w:ascii="Times New Roman" w:hAnsi="Times New Roman" w:cs="Times New Roman"/>
          <w:sz w:val="24"/>
          <w:szCs w:val="24"/>
        </w:rPr>
        <w:t>Mensi</w:t>
      </w:r>
      <w:proofErr w:type="spellEnd"/>
      <w:r w:rsidR="00B31BEE" w:rsidRPr="000D3AD1">
        <w:rPr>
          <w:rFonts w:ascii="Times New Roman" w:hAnsi="Times New Roman" w:cs="Times New Roman"/>
          <w:sz w:val="24"/>
          <w:szCs w:val="24"/>
        </w:rPr>
        <w:t xml:space="preserve"> et al., 2021, </w:t>
      </w:r>
      <w:proofErr w:type="spellStart"/>
      <w:r w:rsidR="00B31BEE" w:rsidRPr="000D3AD1">
        <w:rPr>
          <w:rFonts w:ascii="Times New Roman" w:hAnsi="Times New Roman" w:cs="Times New Roman"/>
          <w:sz w:val="24"/>
          <w:szCs w:val="24"/>
        </w:rPr>
        <w:t>Demirer</w:t>
      </w:r>
      <w:proofErr w:type="spellEnd"/>
      <w:r w:rsidR="00B31BEE" w:rsidRPr="000D3AD1">
        <w:rPr>
          <w:rFonts w:ascii="Times New Roman" w:hAnsi="Times New Roman" w:cs="Times New Roman"/>
          <w:sz w:val="24"/>
          <w:szCs w:val="24"/>
        </w:rPr>
        <w:t xml:space="preserve"> et al., 2021). </w:t>
      </w:r>
      <w:r w:rsidR="005441B9" w:rsidRPr="000D3AD1">
        <w:rPr>
          <w:rFonts w:ascii="Times New Roman" w:hAnsi="Times New Roman" w:cs="Times New Roman"/>
          <w:sz w:val="24"/>
          <w:szCs w:val="24"/>
        </w:rPr>
        <w:t xml:space="preserve">The most widely addressed distressed periods in the past two decades are </w:t>
      </w:r>
      <w:r w:rsidR="0073584E" w:rsidRPr="000D3AD1">
        <w:rPr>
          <w:rFonts w:ascii="Times New Roman" w:hAnsi="Times New Roman" w:cs="Times New Roman"/>
          <w:sz w:val="24"/>
          <w:szCs w:val="24"/>
        </w:rPr>
        <w:t xml:space="preserve">the </w:t>
      </w:r>
      <w:r w:rsidR="005441B9" w:rsidRPr="000D3AD1">
        <w:rPr>
          <w:rFonts w:ascii="Times New Roman" w:hAnsi="Times New Roman" w:cs="Times New Roman"/>
          <w:sz w:val="24"/>
          <w:szCs w:val="24"/>
        </w:rPr>
        <w:t xml:space="preserve">Global Financial Crisis, European Debt Crisis, and the recent ongoing COVID-19 pandemic with purportedly extreme recessions for the global economy. The global pandemic of coronavirus is marked as one of the severe contagions with maximum exposure to tail risk. </w:t>
      </w:r>
      <w:r w:rsidR="0073584E" w:rsidRPr="000D3AD1">
        <w:rPr>
          <w:rFonts w:ascii="Times New Roman" w:hAnsi="Times New Roman" w:cs="Times New Roman"/>
          <w:sz w:val="24"/>
          <w:szCs w:val="24"/>
        </w:rPr>
        <w:t>A</w:t>
      </w:r>
      <w:r w:rsidR="005441B9" w:rsidRPr="000D3AD1">
        <w:rPr>
          <w:rFonts w:ascii="Times New Roman" w:hAnsi="Times New Roman" w:cs="Times New Roman"/>
          <w:sz w:val="24"/>
          <w:szCs w:val="24"/>
        </w:rPr>
        <w:t xml:space="preserve"> health pandemic that swiftly switched to </w:t>
      </w:r>
      <w:r w:rsidR="0073584E" w:rsidRPr="000D3AD1">
        <w:rPr>
          <w:rFonts w:ascii="Times New Roman" w:hAnsi="Times New Roman" w:cs="Times New Roman"/>
          <w:sz w:val="24"/>
          <w:szCs w:val="24"/>
        </w:rPr>
        <w:t xml:space="preserve">the </w:t>
      </w:r>
      <w:r w:rsidR="005441B9" w:rsidRPr="000D3AD1">
        <w:rPr>
          <w:rFonts w:ascii="Times New Roman" w:hAnsi="Times New Roman" w:cs="Times New Roman"/>
          <w:sz w:val="24"/>
          <w:szCs w:val="24"/>
        </w:rPr>
        <w:t xml:space="preserve">financial and economic crisis </w:t>
      </w:r>
      <w:r w:rsidR="00F26AD0" w:rsidRPr="000D3AD1">
        <w:rPr>
          <w:rFonts w:ascii="Times New Roman" w:hAnsi="Times New Roman" w:cs="Times New Roman"/>
          <w:sz w:val="24"/>
          <w:szCs w:val="24"/>
        </w:rPr>
        <w:t xml:space="preserve">has disrupted the financial markets with austere challenges. </w:t>
      </w:r>
    </w:p>
    <w:p w14:paraId="6AD64E4C" w14:textId="7D09A2EF" w:rsidR="00F26AD0" w:rsidRPr="007B35AA" w:rsidRDefault="00F26AD0" w:rsidP="00977A96">
      <w:pPr>
        <w:spacing w:line="480" w:lineRule="auto"/>
        <w:jc w:val="both"/>
        <w:rPr>
          <w:rFonts w:ascii="Times New Roman" w:hAnsi="Times New Roman" w:cs="Times New Roman"/>
          <w:color w:val="0000FF"/>
          <w:sz w:val="24"/>
          <w:szCs w:val="24"/>
        </w:rPr>
      </w:pPr>
      <w:bookmarkStart w:id="0" w:name="_Hlk128168362"/>
      <w:r w:rsidRPr="007B35AA">
        <w:rPr>
          <w:rFonts w:ascii="Times New Roman" w:hAnsi="Times New Roman" w:cs="Times New Roman"/>
          <w:color w:val="0000FF"/>
          <w:sz w:val="24"/>
          <w:szCs w:val="24"/>
        </w:rPr>
        <w:t>Financial markets, for example</w:t>
      </w:r>
      <w:r w:rsidR="0073584E" w:rsidRPr="007B35AA">
        <w:rPr>
          <w:rFonts w:ascii="Times New Roman" w:hAnsi="Times New Roman" w:cs="Times New Roman"/>
          <w:color w:val="0000FF"/>
          <w:sz w:val="24"/>
          <w:szCs w:val="24"/>
        </w:rPr>
        <w:t>,</w:t>
      </w:r>
      <w:r w:rsidRPr="007B35AA">
        <w:rPr>
          <w:rFonts w:ascii="Times New Roman" w:hAnsi="Times New Roman" w:cs="Times New Roman"/>
          <w:color w:val="0000FF"/>
          <w:sz w:val="24"/>
          <w:szCs w:val="24"/>
        </w:rPr>
        <w:t xml:space="preserve"> US stock market, suffered extreme declines in just a few weeks</w:t>
      </w:r>
      <w:r w:rsidR="0073584E" w:rsidRPr="007B35AA">
        <w:rPr>
          <w:rFonts w:ascii="Times New Roman" w:hAnsi="Times New Roman" w:cs="Times New Roman"/>
          <w:color w:val="0000FF"/>
          <w:sz w:val="24"/>
          <w:szCs w:val="24"/>
        </w:rPr>
        <w:t>,</w:t>
      </w:r>
      <w:r w:rsidRPr="007B35AA">
        <w:rPr>
          <w:rFonts w:ascii="Times New Roman" w:hAnsi="Times New Roman" w:cs="Times New Roman"/>
          <w:color w:val="0000FF"/>
          <w:sz w:val="24"/>
          <w:szCs w:val="24"/>
        </w:rPr>
        <w:t xml:space="preserve"> elevating fears and tumbling cross-market network (</w:t>
      </w:r>
      <w:r w:rsidR="000B25EF">
        <w:rPr>
          <w:rFonts w:ascii="Times New Roman" w:hAnsi="Times New Roman" w:cs="Times New Roman"/>
          <w:color w:val="0000FF"/>
          <w:sz w:val="24"/>
          <w:szCs w:val="24"/>
        </w:rPr>
        <w:t xml:space="preserve">Chen et al., 2022; Yousaf et al., 2023; </w:t>
      </w:r>
      <w:r w:rsidRPr="007B35AA">
        <w:rPr>
          <w:rFonts w:ascii="Times New Roman" w:hAnsi="Times New Roman" w:cs="Times New Roman"/>
          <w:color w:val="0000FF"/>
          <w:sz w:val="24"/>
          <w:szCs w:val="24"/>
        </w:rPr>
        <w:t xml:space="preserve">Zhang et al., 2020). Similarly, </w:t>
      </w:r>
      <w:r w:rsidR="0073584E" w:rsidRPr="007B35AA">
        <w:rPr>
          <w:rFonts w:ascii="Times New Roman" w:hAnsi="Times New Roman" w:cs="Times New Roman"/>
          <w:color w:val="0000FF"/>
          <w:sz w:val="24"/>
          <w:szCs w:val="24"/>
        </w:rPr>
        <w:t xml:space="preserve">the </w:t>
      </w:r>
      <w:r w:rsidRPr="007B35AA">
        <w:rPr>
          <w:rFonts w:ascii="Times New Roman" w:hAnsi="Times New Roman" w:cs="Times New Roman"/>
          <w:color w:val="0000FF"/>
          <w:sz w:val="24"/>
          <w:szCs w:val="24"/>
        </w:rPr>
        <w:t>bond market experienced liquidity problems during the pandemic (</w:t>
      </w:r>
      <w:r w:rsidR="000B25EF">
        <w:rPr>
          <w:rFonts w:ascii="Times New Roman" w:hAnsi="Times New Roman" w:cs="Times New Roman"/>
          <w:color w:val="0000FF"/>
          <w:sz w:val="24"/>
          <w:szCs w:val="24"/>
        </w:rPr>
        <w:t xml:space="preserve">Liu et al., 2021; </w:t>
      </w:r>
      <w:proofErr w:type="spellStart"/>
      <w:r w:rsidRPr="007B35AA">
        <w:rPr>
          <w:rFonts w:ascii="Times New Roman" w:hAnsi="Times New Roman" w:cs="Times New Roman"/>
          <w:color w:val="0000FF"/>
          <w:sz w:val="24"/>
          <w:szCs w:val="24"/>
        </w:rPr>
        <w:t>Kargar</w:t>
      </w:r>
      <w:proofErr w:type="spellEnd"/>
      <w:r w:rsidRPr="007B35AA">
        <w:rPr>
          <w:rFonts w:ascii="Times New Roman" w:hAnsi="Times New Roman" w:cs="Times New Roman"/>
          <w:color w:val="0000FF"/>
          <w:sz w:val="24"/>
          <w:szCs w:val="24"/>
        </w:rPr>
        <w:t xml:space="preserve"> et al., 2020). In the meantime, several financial markets have been exposed to lower economic activity, financial instability, elevated uncertainty, and risk management. Compar</w:t>
      </w:r>
      <w:r w:rsidR="0073584E" w:rsidRPr="007B35AA">
        <w:rPr>
          <w:rFonts w:ascii="Times New Roman" w:hAnsi="Times New Roman" w:cs="Times New Roman"/>
          <w:color w:val="0000FF"/>
          <w:sz w:val="24"/>
          <w:szCs w:val="24"/>
        </w:rPr>
        <w:t>ed</w:t>
      </w:r>
      <w:r w:rsidRPr="007B35AA">
        <w:rPr>
          <w:rFonts w:ascii="Times New Roman" w:hAnsi="Times New Roman" w:cs="Times New Roman"/>
          <w:color w:val="0000FF"/>
          <w:sz w:val="24"/>
          <w:szCs w:val="24"/>
        </w:rPr>
        <w:t xml:space="preserve"> with the prior pandemics, the COVID-19 pandemic shackled the economy across the globe adversely. The World Bank reported </w:t>
      </w:r>
      <w:r w:rsidR="0073584E" w:rsidRPr="007B35AA">
        <w:rPr>
          <w:rFonts w:ascii="Times New Roman" w:hAnsi="Times New Roman" w:cs="Times New Roman"/>
          <w:color w:val="0000FF"/>
          <w:sz w:val="24"/>
          <w:szCs w:val="24"/>
        </w:rPr>
        <w:t xml:space="preserve">that </w:t>
      </w:r>
      <w:r w:rsidRPr="007B35AA">
        <w:rPr>
          <w:rFonts w:ascii="Times New Roman" w:hAnsi="Times New Roman" w:cs="Times New Roman"/>
          <w:color w:val="0000FF"/>
          <w:sz w:val="24"/>
          <w:szCs w:val="24"/>
        </w:rPr>
        <w:t>global GDP declined by 5.2% in 2020</w:t>
      </w:r>
      <w:r w:rsidR="0073584E" w:rsidRPr="007B35AA">
        <w:rPr>
          <w:rFonts w:ascii="Times New Roman" w:hAnsi="Times New Roman" w:cs="Times New Roman"/>
          <w:color w:val="0000FF"/>
          <w:sz w:val="24"/>
          <w:szCs w:val="24"/>
        </w:rPr>
        <w:t>,</w:t>
      </w:r>
      <w:r w:rsidRPr="007B35AA">
        <w:rPr>
          <w:rFonts w:ascii="Times New Roman" w:hAnsi="Times New Roman" w:cs="Times New Roman"/>
          <w:color w:val="0000FF"/>
          <w:sz w:val="24"/>
          <w:szCs w:val="24"/>
        </w:rPr>
        <w:t xml:space="preserve"> with developed economies dwindling around 7% (</w:t>
      </w:r>
      <w:proofErr w:type="spellStart"/>
      <w:r w:rsidRPr="007B35AA">
        <w:rPr>
          <w:rFonts w:ascii="Times New Roman" w:hAnsi="Times New Roman" w:cs="Times New Roman"/>
          <w:color w:val="0000FF"/>
          <w:sz w:val="24"/>
          <w:szCs w:val="24"/>
        </w:rPr>
        <w:t>Arif</w:t>
      </w:r>
      <w:proofErr w:type="spellEnd"/>
      <w:r w:rsidRPr="007B35AA">
        <w:rPr>
          <w:rFonts w:ascii="Times New Roman" w:hAnsi="Times New Roman" w:cs="Times New Roman"/>
          <w:color w:val="0000FF"/>
          <w:sz w:val="24"/>
          <w:szCs w:val="24"/>
        </w:rPr>
        <w:t xml:space="preserve"> et al., 2021</w:t>
      </w:r>
      <w:r w:rsidR="00087A18" w:rsidRPr="007B35AA">
        <w:rPr>
          <w:rFonts w:ascii="Times New Roman" w:hAnsi="Times New Roman" w:cs="Times New Roman"/>
          <w:color w:val="0000FF"/>
          <w:sz w:val="24"/>
          <w:szCs w:val="24"/>
        </w:rPr>
        <w:t>a</w:t>
      </w:r>
      <w:r w:rsidRPr="007B35AA">
        <w:rPr>
          <w:rFonts w:ascii="Times New Roman" w:hAnsi="Times New Roman" w:cs="Times New Roman"/>
          <w:color w:val="0000FF"/>
          <w:sz w:val="24"/>
          <w:szCs w:val="24"/>
        </w:rPr>
        <w:t xml:space="preserve">). </w:t>
      </w:r>
      <w:r w:rsidR="009B0A99" w:rsidRPr="007B35AA">
        <w:rPr>
          <w:rFonts w:ascii="Times New Roman" w:hAnsi="Times New Roman" w:cs="Times New Roman"/>
          <w:color w:val="0000FF"/>
          <w:sz w:val="24"/>
          <w:szCs w:val="24"/>
        </w:rPr>
        <w:t>Given these distress</w:t>
      </w:r>
      <w:r w:rsidR="0073584E" w:rsidRPr="007B35AA">
        <w:rPr>
          <w:rFonts w:ascii="Times New Roman" w:hAnsi="Times New Roman" w:cs="Times New Roman"/>
          <w:color w:val="0000FF"/>
          <w:sz w:val="24"/>
          <w:szCs w:val="24"/>
        </w:rPr>
        <w:t>ing</w:t>
      </w:r>
      <w:r w:rsidR="009B0A99" w:rsidRPr="007B35AA">
        <w:rPr>
          <w:rFonts w:ascii="Times New Roman" w:hAnsi="Times New Roman" w:cs="Times New Roman"/>
          <w:color w:val="0000FF"/>
          <w:sz w:val="24"/>
          <w:szCs w:val="24"/>
        </w:rPr>
        <w:t xml:space="preserve"> periods, the role of sustainable, religious, and conventional markets is noteworthy in rescuing investments from extreme market settings. </w:t>
      </w:r>
      <w:r w:rsidR="0073584E" w:rsidRPr="007B35AA">
        <w:rPr>
          <w:rFonts w:ascii="Times New Roman" w:hAnsi="Times New Roman" w:cs="Times New Roman"/>
          <w:color w:val="0000FF"/>
          <w:sz w:val="24"/>
          <w:szCs w:val="24"/>
        </w:rPr>
        <w:t>Investors’ rising concern</w:t>
      </w:r>
      <w:r w:rsidR="00BB2EA6" w:rsidRPr="007B35AA">
        <w:rPr>
          <w:rFonts w:ascii="Times New Roman" w:hAnsi="Times New Roman" w:cs="Times New Roman"/>
          <w:color w:val="0000FF"/>
          <w:sz w:val="24"/>
          <w:szCs w:val="24"/>
        </w:rPr>
        <w:t>s toward risk-</w:t>
      </w:r>
      <w:r w:rsidR="00BB2EA6" w:rsidRPr="007B35AA">
        <w:rPr>
          <w:rFonts w:ascii="Times New Roman" w:hAnsi="Times New Roman" w:cs="Times New Roman"/>
          <w:color w:val="0000FF"/>
          <w:sz w:val="24"/>
          <w:szCs w:val="24"/>
        </w:rPr>
        <w:lastRenderedPageBreak/>
        <w:t xml:space="preserve">adjusted portfolios during distressed episodes have resulted in multiple investment opportunities to mitigate tail risk. </w:t>
      </w:r>
    </w:p>
    <w:p w14:paraId="3EDEDFB8" w14:textId="177AC14E" w:rsidR="00BB2EA6" w:rsidRPr="007B35AA" w:rsidRDefault="00C44C1D" w:rsidP="006932BC">
      <w:pPr>
        <w:spacing w:before="240" w:line="480" w:lineRule="auto"/>
        <w:jc w:val="both"/>
        <w:rPr>
          <w:rFonts w:ascii="Times New Roman" w:hAnsi="Times New Roman" w:cs="Times New Roman"/>
          <w:color w:val="0000FF"/>
          <w:sz w:val="24"/>
          <w:szCs w:val="24"/>
        </w:rPr>
      </w:pPr>
      <w:r w:rsidRPr="007B35AA">
        <w:rPr>
          <w:rFonts w:ascii="Times New Roman" w:hAnsi="Times New Roman" w:cs="Times New Roman"/>
          <w:color w:val="0000FF"/>
          <w:sz w:val="24"/>
          <w:szCs w:val="24"/>
        </w:rPr>
        <w:t xml:space="preserve">Since sustainable, religious, and conventional markets represent three different </w:t>
      </w:r>
      <w:r w:rsidR="0073584E" w:rsidRPr="007B35AA">
        <w:rPr>
          <w:rFonts w:ascii="Times New Roman" w:hAnsi="Times New Roman" w:cs="Times New Roman"/>
          <w:color w:val="0000FF"/>
          <w:sz w:val="24"/>
          <w:szCs w:val="24"/>
        </w:rPr>
        <w:t>financial markets addressing environmental/climate, faith-based, and profit-seeking motives of investors, the examination of tail-risk possesse</w:t>
      </w:r>
      <w:r w:rsidR="007A0DFD" w:rsidRPr="007B35AA">
        <w:rPr>
          <w:rFonts w:ascii="Times New Roman" w:hAnsi="Times New Roman" w:cs="Times New Roman"/>
          <w:color w:val="0000FF"/>
          <w:sz w:val="24"/>
          <w:szCs w:val="24"/>
        </w:rPr>
        <w:t xml:space="preserve">s various benefits for investors to diversify their portfolios with appropriate investment strategies. </w:t>
      </w:r>
      <w:r w:rsidR="00F41D61" w:rsidRPr="007B35AA">
        <w:rPr>
          <w:rFonts w:ascii="Times New Roman" w:hAnsi="Times New Roman" w:cs="Times New Roman"/>
          <w:color w:val="0000FF"/>
          <w:sz w:val="24"/>
          <w:szCs w:val="24"/>
        </w:rPr>
        <w:t>Sustainable investments, encompassing sustainability indices, clean energy indices</w:t>
      </w:r>
      <w:r w:rsidR="0073584E" w:rsidRPr="007B35AA">
        <w:rPr>
          <w:rFonts w:ascii="Times New Roman" w:hAnsi="Times New Roman" w:cs="Times New Roman"/>
          <w:color w:val="0000FF"/>
          <w:sz w:val="24"/>
          <w:szCs w:val="24"/>
        </w:rPr>
        <w:t>, and green bonds, have</w:t>
      </w:r>
      <w:r w:rsidR="00F41D61" w:rsidRPr="007B35AA">
        <w:rPr>
          <w:rFonts w:ascii="Times New Roman" w:hAnsi="Times New Roman" w:cs="Times New Roman"/>
          <w:color w:val="0000FF"/>
          <w:sz w:val="24"/>
          <w:szCs w:val="24"/>
        </w:rPr>
        <w:t xml:space="preserve"> emerged as alternative investments showcasing significant diversification and risk-mitigating potential. The growth in these investments during the first half of 2021 shows </w:t>
      </w:r>
      <w:r w:rsidR="0073584E" w:rsidRPr="007B35AA">
        <w:rPr>
          <w:rFonts w:ascii="Times New Roman" w:hAnsi="Times New Roman" w:cs="Times New Roman"/>
          <w:color w:val="0000FF"/>
          <w:sz w:val="24"/>
          <w:szCs w:val="24"/>
        </w:rPr>
        <w:t xml:space="preserve">a </w:t>
      </w:r>
      <w:r w:rsidR="00F41D61" w:rsidRPr="007B35AA">
        <w:rPr>
          <w:rFonts w:ascii="Times New Roman" w:hAnsi="Times New Roman" w:cs="Times New Roman"/>
          <w:color w:val="0000FF"/>
          <w:sz w:val="24"/>
          <w:szCs w:val="24"/>
        </w:rPr>
        <w:t xml:space="preserve">total volume of USD 496.1 billion as they are well-aligned with renewable energy projects, </w:t>
      </w:r>
      <w:proofErr w:type="gramStart"/>
      <w:r w:rsidR="00F41D61" w:rsidRPr="007B35AA">
        <w:rPr>
          <w:rFonts w:ascii="Times New Roman" w:hAnsi="Times New Roman" w:cs="Times New Roman"/>
          <w:color w:val="0000FF"/>
          <w:sz w:val="24"/>
          <w:szCs w:val="24"/>
        </w:rPr>
        <w:t>water</w:t>
      </w:r>
      <w:proofErr w:type="gramEnd"/>
      <w:r w:rsidR="00F41D61" w:rsidRPr="007B35AA">
        <w:rPr>
          <w:rFonts w:ascii="Times New Roman" w:hAnsi="Times New Roman" w:cs="Times New Roman"/>
          <w:color w:val="0000FF"/>
          <w:sz w:val="24"/>
          <w:szCs w:val="24"/>
        </w:rPr>
        <w:t xml:space="preserve"> and waste management, reducing carbon emissions, and enhancing energy efficiency (Naeem et al., 2021a). </w:t>
      </w:r>
      <w:r w:rsidR="00745415" w:rsidRPr="007B35AA">
        <w:rPr>
          <w:rFonts w:ascii="Times New Roman" w:hAnsi="Times New Roman" w:cs="Times New Roman"/>
          <w:color w:val="0000FF"/>
          <w:sz w:val="24"/>
          <w:szCs w:val="24"/>
        </w:rPr>
        <w:t>With this exceptional growth, sustainable markets are projected to achieve the milestone of USD 1 trillion by 2023</w:t>
      </w:r>
      <w:r w:rsidR="00745415" w:rsidRPr="007B35AA">
        <w:rPr>
          <w:rStyle w:val="FootnoteReference"/>
          <w:rFonts w:ascii="Times New Roman" w:hAnsi="Times New Roman" w:cs="Times New Roman"/>
          <w:color w:val="0000FF"/>
          <w:sz w:val="24"/>
          <w:szCs w:val="24"/>
        </w:rPr>
        <w:footnoteReference w:id="1"/>
      </w:r>
      <w:r w:rsidR="00745415" w:rsidRPr="007B35AA">
        <w:rPr>
          <w:rFonts w:ascii="Times New Roman" w:hAnsi="Times New Roman" w:cs="Times New Roman"/>
          <w:color w:val="0000FF"/>
          <w:sz w:val="24"/>
          <w:szCs w:val="24"/>
        </w:rPr>
        <w:t xml:space="preserve">. On the other hand, </w:t>
      </w:r>
      <w:r w:rsidR="00013C17" w:rsidRPr="007B35AA">
        <w:rPr>
          <w:rFonts w:ascii="Times New Roman" w:hAnsi="Times New Roman" w:cs="Times New Roman"/>
          <w:color w:val="0000FF"/>
          <w:sz w:val="24"/>
          <w:szCs w:val="24"/>
        </w:rPr>
        <w:t>religious investments are appealing avenues for faith-based investors due to no involvement of interest rates, low-risk, and presence of underlying assets (</w:t>
      </w:r>
      <w:proofErr w:type="spellStart"/>
      <w:r w:rsidR="00013C17" w:rsidRPr="007B35AA">
        <w:rPr>
          <w:rFonts w:ascii="Times New Roman" w:hAnsi="Times New Roman" w:cs="Times New Roman"/>
          <w:color w:val="0000FF"/>
          <w:sz w:val="24"/>
          <w:szCs w:val="24"/>
        </w:rPr>
        <w:t>Arif</w:t>
      </w:r>
      <w:proofErr w:type="spellEnd"/>
      <w:r w:rsidR="00013C17" w:rsidRPr="007B35AA">
        <w:rPr>
          <w:rFonts w:ascii="Times New Roman" w:hAnsi="Times New Roman" w:cs="Times New Roman"/>
          <w:color w:val="0000FF"/>
          <w:sz w:val="24"/>
          <w:szCs w:val="24"/>
        </w:rPr>
        <w:t xml:space="preserve"> et al., 2021b; Naeem et al., 2021</w:t>
      </w:r>
      <w:r w:rsidR="006932BC" w:rsidRPr="007B35AA">
        <w:rPr>
          <w:rFonts w:ascii="Times New Roman" w:hAnsi="Times New Roman" w:cs="Times New Roman"/>
          <w:color w:val="0000FF"/>
          <w:sz w:val="24"/>
          <w:szCs w:val="24"/>
        </w:rPr>
        <w:t xml:space="preserve">b). </w:t>
      </w:r>
      <w:r w:rsidR="00776E31" w:rsidRPr="007B35AA">
        <w:rPr>
          <w:rFonts w:ascii="Times New Roman" w:hAnsi="Times New Roman" w:cs="Times New Roman"/>
          <w:color w:val="0000FF"/>
          <w:sz w:val="24"/>
          <w:szCs w:val="24"/>
        </w:rPr>
        <w:t>Literature narrates religious investments carrying low risk in the face of economic and financial uncertainties and their stringent compliance with the Islamic Sharia (Azad et al., 2018; Shahzad et al., 201</w:t>
      </w:r>
      <w:r w:rsidR="00087A18" w:rsidRPr="007B35AA">
        <w:rPr>
          <w:rFonts w:ascii="Times New Roman" w:hAnsi="Times New Roman" w:cs="Times New Roman"/>
          <w:color w:val="0000FF"/>
          <w:sz w:val="24"/>
          <w:szCs w:val="24"/>
        </w:rPr>
        <w:t>9</w:t>
      </w:r>
      <w:r w:rsidR="00BE170D">
        <w:rPr>
          <w:rFonts w:ascii="Times New Roman" w:hAnsi="Times New Roman" w:cs="Times New Roman"/>
          <w:color w:val="0000FF"/>
          <w:sz w:val="24"/>
          <w:szCs w:val="24"/>
        </w:rPr>
        <w:t xml:space="preserve">; Yousaf et </w:t>
      </w:r>
      <w:proofErr w:type="spellStart"/>
      <w:r w:rsidR="00BE170D">
        <w:rPr>
          <w:rFonts w:ascii="Times New Roman" w:hAnsi="Times New Roman" w:cs="Times New Roman"/>
          <w:color w:val="0000FF"/>
          <w:sz w:val="24"/>
          <w:szCs w:val="24"/>
        </w:rPr>
        <w:t>al.m</w:t>
      </w:r>
      <w:proofErr w:type="spellEnd"/>
      <w:r w:rsidR="00BE170D">
        <w:rPr>
          <w:rFonts w:ascii="Times New Roman" w:hAnsi="Times New Roman" w:cs="Times New Roman"/>
          <w:color w:val="0000FF"/>
          <w:sz w:val="24"/>
          <w:szCs w:val="24"/>
        </w:rPr>
        <w:t xml:space="preserve"> 2022; Yousaf and </w:t>
      </w:r>
      <w:proofErr w:type="spellStart"/>
      <w:r w:rsidR="00BE170D">
        <w:rPr>
          <w:rFonts w:ascii="Times New Roman" w:hAnsi="Times New Roman" w:cs="Times New Roman"/>
          <w:color w:val="0000FF"/>
          <w:sz w:val="24"/>
          <w:szCs w:val="24"/>
        </w:rPr>
        <w:t>Yarovaya</w:t>
      </w:r>
      <w:proofErr w:type="spellEnd"/>
      <w:r w:rsidR="00BE170D">
        <w:rPr>
          <w:rFonts w:ascii="Times New Roman" w:hAnsi="Times New Roman" w:cs="Times New Roman"/>
          <w:color w:val="0000FF"/>
          <w:sz w:val="24"/>
          <w:szCs w:val="24"/>
        </w:rPr>
        <w:t>, 2022</w:t>
      </w:r>
      <w:r w:rsidR="00776E31" w:rsidRPr="007B35AA">
        <w:rPr>
          <w:rFonts w:ascii="Times New Roman" w:hAnsi="Times New Roman" w:cs="Times New Roman"/>
          <w:color w:val="0000FF"/>
          <w:sz w:val="24"/>
          <w:szCs w:val="24"/>
        </w:rPr>
        <w:t xml:space="preserve">). Thus, </w:t>
      </w:r>
      <w:proofErr w:type="gramStart"/>
      <w:r w:rsidR="0073584E" w:rsidRPr="007B35AA">
        <w:rPr>
          <w:rFonts w:ascii="Times New Roman" w:hAnsi="Times New Roman" w:cs="Times New Roman"/>
          <w:color w:val="0000FF"/>
          <w:sz w:val="24"/>
          <w:szCs w:val="24"/>
        </w:rPr>
        <w:t>sustainable</w:t>
      </w:r>
      <w:proofErr w:type="gramEnd"/>
      <w:r w:rsidR="0073584E" w:rsidRPr="007B35AA">
        <w:rPr>
          <w:rFonts w:ascii="Times New Roman" w:hAnsi="Times New Roman" w:cs="Times New Roman"/>
          <w:color w:val="0000FF"/>
          <w:sz w:val="24"/>
          <w:szCs w:val="24"/>
        </w:rPr>
        <w:t xml:space="preserve"> and religious investments are vital</w:t>
      </w:r>
      <w:r w:rsidR="00776E31" w:rsidRPr="007B35AA">
        <w:rPr>
          <w:rFonts w:ascii="Times New Roman" w:hAnsi="Times New Roman" w:cs="Times New Roman"/>
          <w:color w:val="0000FF"/>
          <w:sz w:val="24"/>
          <w:szCs w:val="24"/>
        </w:rPr>
        <w:t xml:space="preserve"> for investors to overcome the challenges of markets </w:t>
      </w:r>
      <w:r w:rsidR="00E40123" w:rsidRPr="007B35AA">
        <w:rPr>
          <w:rFonts w:ascii="Times New Roman" w:hAnsi="Times New Roman" w:cs="Times New Roman"/>
          <w:color w:val="0000FF"/>
          <w:sz w:val="24"/>
          <w:szCs w:val="24"/>
        </w:rPr>
        <w:t xml:space="preserve">boom and busts. </w:t>
      </w:r>
      <w:r w:rsidR="00DD6311" w:rsidRPr="007B35AA">
        <w:rPr>
          <w:rFonts w:ascii="Times New Roman" w:hAnsi="Times New Roman" w:cs="Times New Roman"/>
          <w:color w:val="0000FF"/>
          <w:sz w:val="24"/>
          <w:szCs w:val="24"/>
        </w:rPr>
        <w:t xml:space="preserve">However, conventional markets exhibit strong market integration in the financial system due to their prevalence and existence </w:t>
      </w:r>
      <w:r w:rsidR="0073584E" w:rsidRPr="007B35AA">
        <w:rPr>
          <w:rFonts w:ascii="Times New Roman" w:hAnsi="Times New Roman" w:cs="Times New Roman"/>
          <w:color w:val="0000FF"/>
          <w:sz w:val="24"/>
          <w:szCs w:val="24"/>
        </w:rPr>
        <w:t>for</w:t>
      </w:r>
      <w:r w:rsidR="00DD6311" w:rsidRPr="007B35AA">
        <w:rPr>
          <w:rFonts w:ascii="Times New Roman" w:hAnsi="Times New Roman" w:cs="Times New Roman"/>
          <w:color w:val="0000FF"/>
          <w:sz w:val="24"/>
          <w:szCs w:val="24"/>
        </w:rPr>
        <w:t xml:space="preserve"> decades (Yoon et al., 2019). </w:t>
      </w:r>
      <w:r w:rsidR="004D3593" w:rsidRPr="007B35AA">
        <w:rPr>
          <w:rFonts w:ascii="Times New Roman" w:hAnsi="Times New Roman" w:cs="Times New Roman"/>
          <w:color w:val="0000FF"/>
          <w:sz w:val="24"/>
          <w:szCs w:val="24"/>
        </w:rPr>
        <w:t>Strong market integration of bond markets, commodities, and stock market</w:t>
      </w:r>
      <w:r w:rsidR="0073584E" w:rsidRPr="007B35AA">
        <w:rPr>
          <w:rFonts w:ascii="Times New Roman" w:hAnsi="Times New Roman" w:cs="Times New Roman"/>
          <w:color w:val="0000FF"/>
          <w:sz w:val="24"/>
          <w:szCs w:val="24"/>
        </w:rPr>
        <w:t>s further incites the study’s current contribution</w:t>
      </w:r>
      <w:r w:rsidR="004D3593" w:rsidRPr="007B35AA">
        <w:rPr>
          <w:rFonts w:ascii="Times New Roman" w:hAnsi="Times New Roman" w:cs="Times New Roman"/>
          <w:color w:val="0000FF"/>
          <w:sz w:val="24"/>
          <w:szCs w:val="24"/>
        </w:rPr>
        <w:t xml:space="preserve"> to measur</w:t>
      </w:r>
      <w:r w:rsidR="0073584E" w:rsidRPr="007B35AA">
        <w:rPr>
          <w:rFonts w:ascii="Times New Roman" w:hAnsi="Times New Roman" w:cs="Times New Roman"/>
          <w:color w:val="0000FF"/>
          <w:sz w:val="24"/>
          <w:szCs w:val="24"/>
        </w:rPr>
        <w:t>ing</w:t>
      </w:r>
      <w:r w:rsidR="004D3593" w:rsidRPr="007B35AA">
        <w:rPr>
          <w:rFonts w:ascii="Times New Roman" w:hAnsi="Times New Roman" w:cs="Times New Roman"/>
          <w:color w:val="0000FF"/>
          <w:sz w:val="24"/>
          <w:szCs w:val="24"/>
        </w:rPr>
        <w:t xml:space="preserve"> the tail risk</w:t>
      </w:r>
      <w:r w:rsidR="00120292" w:rsidRPr="007B35AA">
        <w:rPr>
          <w:rFonts w:ascii="Times New Roman" w:hAnsi="Times New Roman" w:cs="Times New Roman"/>
          <w:color w:val="0000FF"/>
          <w:sz w:val="24"/>
          <w:szCs w:val="24"/>
        </w:rPr>
        <w:t xml:space="preserve">. </w:t>
      </w:r>
    </w:p>
    <w:p w14:paraId="206B8268" w14:textId="14DAB152" w:rsidR="00AB2A3C" w:rsidRPr="007B35AA" w:rsidRDefault="00AB2A3C" w:rsidP="006932BC">
      <w:pPr>
        <w:spacing w:before="240" w:line="480" w:lineRule="auto"/>
        <w:jc w:val="both"/>
        <w:rPr>
          <w:rFonts w:ascii="Times New Roman" w:hAnsi="Times New Roman" w:cs="Times New Roman"/>
          <w:color w:val="0000FF"/>
          <w:sz w:val="24"/>
          <w:szCs w:val="24"/>
        </w:rPr>
      </w:pPr>
      <w:r w:rsidRPr="007B35AA">
        <w:rPr>
          <w:rFonts w:ascii="Times New Roman" w:hAnsi="Times New Roman" w:cs="Times New Roman"/>
          <w:color w:val="0000FF"/>
          <w:sz w:val="24"/>
          <w:szCs w:val="24"/>
        </w:rPr>
        <w:lastRenderedPageBreak/>
        <w:t>The distressed periods mark extensive risk connectedness among financial markets (</w:t>
      </w:r>
      <w:proofErr w:type="spellStart"/>
      <w:r w:rsidRPr="007B35AA">
        <w:rPr>
          <w:rFonts w:ascii="Times New Roman" w:hAnsi="Times New Roman" w:cs="Times New Roman"/>
          <w:color w:val="0000FF"/>
          <w:sz w:val="24"/>
          <w:szCs w:val="24"/>
        </w:rPr>
        <w:t>Mensi</w:t>
      </w:r>
      <w:proofErr w:type="spellEnd"/>
      <w:r w:rsidRPr="007B35AA">
        <w:rPr>
          <w:rFonts w:ascii="Times New Roman" w:hAnsi="Times New Roman" w:cs="Times New Roman"/>
          <w:color w:val="0000FF"/>
          <w:sz w:val="24"/>
          <w:szCs w:val="24"/>
        </w:rPr>
        <w:t xml:space="preserve"> et al., 2021). Most </w:t>
      </w:r>
      <w:r w:rsidR="0073584E" w:rsidRPr="007B35AA">
        <w:rPr>
          <w:rFonts w:ascii="Times New Roman" w:hAnsi="Times New Roman" w:cs="Times New Roman"/>
          <w:color w:val="0000FF"/>
          <w:sz w:val="24"/>
          <w:szCs w:val="24"/>
        </w:rPr>
        <w:t xml:space="preserve">previous studies examined tail-risk at </w:t>
      </w:r>
      <w:proofErr w:type="gramStart"/>
      <w:r w:rsidR="0073584E" w:rsidRPr="007B35AA">
        <w:rPr>
          <w:rFonts w:ascii="Times New Roman" w:hAnsi="Times New Roman" w:cs="Times New Roman"/>
          <w:color w:val="0000FF"/>
          <w:sz w:val="24"/>
          <w:szCs w:val="24"/>
        </w:rPr>
        <w:t>particular country</w:t>
      </w:r>
      <w:proofErr w:type="gramEnd"/>
      <w:r w:rsidR="0073584E" w:rsidRPr="007B35AA">
        <w:rPr>
          <w:rFonts w:ascii="Times New Roman" w:hAnsi="Times New Roman" w:cs="Times New Roman"/>
          <w:color w:val="0000FF"/>
          <w:sz w:val="24"/>
          <w:szCs w:val="24"/>
        </w:rPr>
        <w:t xml:space="preserve"> and industry/firm levels</w:t>
      </w:r>
      <w:r w:rsidRPr="007B35AA">
        <w:rPr>
          <w:rFonts w:ascii="Times New Roman" w:hAnsi="Times New Roman" w:cs="Times New Roman"/>
          <w:color w:val="0000FF"/>
          <w:sz w:val="24"/>
          <w:szCs w:val="24"/>
        </w:rPr>
        <w:t xml:space="preserve"> (Liu &amp; </w:t>
      </w:r>
      <w:proofErr w:type="spellStart"/>
      <w:r w:rsidRPr="007B35AA">
        <w:rPr>
          <w:rFonts w:ascii="Times New Roman" w:hAnsi="Times New Roman" w:cs="Times New Roman"/>
          <w:color w:val="0000FF"/>
          <w:sz w:val="24"/>
          <w:szCs w:val="24"/>
        </w:rPr>
        <w:t>Hamori</w:t>
      </w:r>
      <w:proofErr w:type="spellEnd"/>
      <w:r w:rsidRPr="007B35AA">
        <w:rPr>
          <w:rFonts w:ascii="Times New Roman" w:hAnsi="Times New Roman" w:cs="Times New Roman"/>
          <w:color w:val="0000FF"/>
          <w:sz w:val="24"/>
          <w:szCs w:val="24"/>
        </w:rPr>
        <w:t>, 2020</w:t>
      </w:r>
      <w:r w:rsidR="00BE170D">
        <w:rPr>
          <w:rFonts w:ascii="Times New Roman" w:hAnsi="Times New Roman" w:cs="Times New Roman"/>
          <w:color w:val="0000FF"/>
          <w:sz w:val="24"/>
          <w:szCs w:val="24"/>
        </w:rPr>
        <w:t xml:space="preserve">; </w:t>
      </w:r>
      <w:proofErr w:type="spellStart"/>
      <w:r w:rsidR="00BE170D">
        <w:rPr>
          <w:rFonts w:ascii="Times New Roman" w:hAnsi="Times New Roman" w:cs="Times New Roman"/>
          <w:color w:val="0000FF"/>
          <w:sz w:val="24"/>
          <w:szCs w:val="24"/>
        </w:rPr>
        <w:t>Xuefeng</w:t>
      </w:r>
      <w:proofErr w:type="spellEnd"/>
      <w:r w:rsidR="00BE170D">
        <w:rPr>
          <w:rFonts w:ascii="Times New Roman" w:hAnsi="Times New Roman" w:cs="Times New Roman"/>
          <w:color w:val="0000FF"/>
          <w:sz w:val="24"/>
          <w:szCs w:val="24"/>
        </w:rPr>
        <w:t xml:space="preserve"> et al., 2022; Sharma et al., 2022</w:t>
      </w:r>
      <w:r w:rsidRPr="007B35AA">
        <w:rPr>
          <w:rFonts w:ascii="Times New Roman" w:hAnsi="Times New Roman" w:cs="Times New Roman"/>
          <w:color w:val="0000FF"/>
          <w:sz w:val="24"/>
          <w:szCs w:val="24"/>
        </w:rPr>
        <w:t xml:space="preserve">). </w:t>
      </w:r>
      <w:r w:rsidR="0073584E" w:rsidRPr="007B35AA">
        <w:rPr>
          <w:rFonts w:ascii="Times New Roman" w:hAnsi="Times New Roman" w:cs="Times New Roman"/>
          <w:color w:val="0000FF"/>
          <w:sz w:val="24"/>
          <w:szCs w:val="24"/>
        </w:rPr>
        <w:t>However,</w:t>
      </w:r>
      <w:r w:rsidRPr="007B35AA">
        <w:rPr>
          <w:rFonts w:ascii="Times New Roman" w:hAnsi="Times New Roman" w:cs="Times New Roman"/>
          <w:color w:val="0000FF"/>
          <w:sz w:val="24"/>
          <w:szCs w:val="24"/>
        </w:rPr>
        <w:t xml:space="preserve"> an evident gap exists in the earlier studies that do not address the tail-risk measurements of sustainable, religious, and conventional investments.</w:t>
      </w:r>
      <w:r w:rsidR="008A35ED" w:rsidRPr="007B35AA">
        <w:rPr>
          <w:rFonts w:ascii="Times New Roman" w:hAnsi="Times New Roman" w:cs="Times New Roman"/>
          <w:color w:val="0000FF"/>
          <w:sz w:val="24"/>
          <w:szCs w:val="24"/>
        </w:rPr>
        <w:t xml:space="preserve"> Predominantly, studies support that unexpected macroeconomic events, monetary policy fluctuations, elated inflation rates, regulatory sanctions, and impulsive economic and financial circumstances yield tail-risk (Ewing, 2002).</w:t>
      </w:r>
      <w:r w:rsidR="00C5265A" w:rsidRPr="007B35AA">
        <w:rPr>
          <w:rFonts w:ascii="Times New Roman" w:hAnsi="Times New Roman" w:cs="Times New Roman"/>
          <w:color w:val="0000FF"/>
          <w:sz w:val="24"/>
          <w:szCs w:val="24"/>
        </w:rPr>
        <w:t xml:space="preserve"> In the presence of these factors, investors are required to adopt successful portfolio diversification strategies that focus on eradicating </w:t>
      </w:r>
      <w:r w:rsidR="0073584E" w:rsidRPr="007B35AA">
        <w:rPr>
          <w:rFonts w:ascii="Times New Roman" w:hAnsi="Times New Roman" w:cs="Times New Roman"/>
          <w:color w:val="0000FF"/>
          <w:sz w:val="24"/>
          <w:szCs w:val="24"/>
        </w:rPr>
        <w:t xml:space="preserve">the </w:t>
      </w:r>
      <w:r w:rsidR="00C5265A" w:rsidRPr="007B35AA">
        <w:rPr>
          <w:rFonts w:ascii="Times New Roman" w:hAnsi="Times New Roman" w:cs="Times New Roman"/>
          <w:color w:val="0000FF"/>
          <w:sz w:val="24"/>
          <w:szCs w:val="24"/>
        </w:rPr>
        <w:t>idi</w:t>
      </w:r>
      <w:r w:rsidR="001D7062" w:rsidRPr="007B35AA">
        <w:rPr>
          <w:rFonts w:ascii="Times New Roman" w:hAnsi="Times New Roman" w:cs="Times New Roman"/>
          <w:color w:val="0000FF"/>
          <w:sz w:val="24"/>
          <w:szCs w:val="24"/>
        </w:rPr>
        <w:t xml:space="preserve">osyncratic risk of one market or a set of financial markets. Thereby, understanding the neural networks and interactions among sustainable, religious, and conventional markets becomes imperative to comprehensively assess tail risk by indicating markets with most (least) exposure following bearish (bullish) market settings. </w:t>
      </w:r>
    </w:p>
    <w:p w14:paraId="75B4960C" w14:textId="48FA04CB" w:rsidR="001629D3" w:rsidRPr="007B35AA" w:rsidRDefault="001D7062" w:rsidP="000C4971">
      <w:pPr>
        <w:spacing w:before="240" w:line="480" w:lineRule="auto"/>
        <w:jc w:val="both"/>
        <w:rPr>
          <w:rFonts w:ascii="Times New Roman" w:hAnsi="Times New Roman" w:cs="Times New Roman"/>
          <w:color w:val="0000FF"/>
          <w:sz w:val="24"/>
          <w:szCs w:val="24"/>
        </w:rPr>
      </w:pPr>
      <w:r w:rsidRPr="007B35AA">
        <w:rPr>
          <w:rFonts w:ascii="Times New Roman" w:hAnsi="Times New Roman" w:cs="Times New Roman"/>
          <w:color w:val="0000FF"/>
          <w:sz w:val="24"/>
          <w:szCs w:val="24"/>
        </w:rPr>
        <w:t>The traditional</w:t>
      </w:r>
      <w:r w:rsidR="00B42524" w:rsidRPr="007B35AA">
        <w:rPr>
          <w:rFonts w:ascii="Times New Roman" w:hAnsi="Times New Roman" w:cs="Times New Roman"/>
          <w:color w:val="0000FF"/>
          <w:sz w:val="24"/>
          <w:szCs w:val="24"/>
        </w:rPr>
        <w:t xml:space="preserve"> nonlinear measure</w:t>
      </w:r>
      <w:r w:rsidRPr="007B35AA">
        <w:rPr>
          <w:rFonts w:ascii="Times New Roman" w:hAnsi="Times New Roman" w:cs="Times New Roman"/>
          <w:color w:val="0000FF"/>
          <w:sz w:val="24"/>
          <w:szCs w:val="24"/>
        </w:rPr>
        <w:t xml:space="preserve"> of risk </w:t>
      </w:r>
      <w:r w:rsidR="00B42524" w:rsidRPr="007B35AA">
        <w:rPr>
          <w:rFonts w:ascii="Times New Roman" w:hAnsi="Times New Roman" w:cs="Times New Roman"/>
          <w:color w:val="0000FF"/>
          <w:sz w:val="24"/>
          <w:szCs w:val="24"/>
        </w:rPr>
        <w:t>is described by value-at-risk (</w:t>
      </w:r>
      <w:proofErr w:type="spellStart"/>
      <w:r w:rsidR="00B42524" w:rsidRPr="007B35AA">
        <w:rPr>
          <w:rFonts w:ascii="Times New Roman" w:hAnsi="Times New Roman" w:cs="Times New Roman"/>
          <w:color w:val="0000FF"/>
          <w:sz w:val="24"/>
          <w:szCs w:val="24"/>
        </w:rPr>
        <w:t>VaR</w:t>
      </w:r>
      <w:proofErr w:type="spellEnd"/>
      <w:r w:rsidR="00B42524" w:rsidRPr="007B35AA">
        <w:rPr>
          <w:rFonts w:ascii="Times New Roman" w:hAnsi="Times New Roman" w:cs="Times New Roman"/>
          <w:color w:val="0000FF"/>
          <w:sz w:val="24"/>
          <w:szCs w:val="24"/>
        </w:rPr>
        <w:t>)</w:t>
      </w:r>
      <w:r w:rsidR="0073584E" w:rsidRPr="007B35AA">
        <w:rPr>
          <w:rFonts w:ascii="Times New Roman" w:hAnsi="Times New Roman" w:cs="Times New Roman"/>
          <w:color w:val="0000FF"/>
          <w:sz w:val="24"/>
          <w:szCs w:val="24"/>
        </w:rPr>
        <w:t>,</w:t>
      </w:r>
      <w:r w:rsidR="00B42524" w:rsidRPr="007B35AA">
        <w:rPr>
          <w:rFonts w:ascii="Times New Roman" w:hAnsi="Times New Roman" w:cs="Times New Roman"/>
          <w:color w:val="0000FF"/>
          <w:sz w:val="24"/>
          <w:szCs w:val="24"/>
        </w:rPr>
        <w:t xml:space="preserve"> while conditional value-at-risk (</w:t>
      </w:r>
      <w:proofErr w:type="spellStart"/>
      <w:r w:rsidR="00B42524" w:rsidRPr="007B35AA">
        <w:rPr>
          <w:rFonts w:ascii="Times New Roman" w:hAnsi="Times New Roman" w:cs="Times New Roman"/>
          <w:color w:val="0000FF"/>
          <w:sz w:val="24"/>
          <w:szCs w:val="24"/>
        </w:rPr>
        <w:t>CoVaR</w:t>
      </w:r>
      <w:proofErr w:type="spellEnd"/>
      <w:r w:rsidR="00B42524" w:rsidRPr="007B35AA">
        <w:rPr>
          <w:rFonts w:ascii="Times New Roman" w:hAnsi="Times New Roman" w:cs="Times New Roman"/>
          <w:color w:val="0000FF"/>
          <w:sz w:val="24"/>
          <w:szCs w:val="24"/>
        </w:rPr>
        <w:t>) quantifies nonlinearity in the data</w:t>
      </w:r>
      <w:r w:rsidR="0073584E" w:rsidRPr="007B35AA">
        <w:rPr>
          <w:rFonts w:ascii="Times New Roman" w:hAnsi="Times New Roman" w:cs="Times New Roman"/>
          <w:color w:val="0000FF"/>
          <w:sz w:val="24"/>
          <w:szCs w:val="24"/>
        </w:rPr>
        <w:t>,</w:t>
      </w:r>
      <w:r w:rsidR="00B42524" w:rsidRPr="007B35AA">
        <w:rPr>
          <w:rFonts w:ascii="Times New Roman" w:hAnsi="Times New Roman" w:cs="Times New Roman"/>
          <w:color w:val="0000FF"/>
          <w:sz w:val="24"/>
          <w:szCs w:val="24"/>
        </w:rPr>
        <w:t xml:space="preserve"> mirroring </w:t>
      </w:r>
      <w:r w:rsidR="0073584E" w:rsidRPr="007B35AA">
        <w:rPr>
          <w:rFonts w:ascii="Times New Roman" w:hAnsi="Times New Roman" w:cs="Times New Roman"/>
          <w:color w:val="0000FF"/>
          <w:sz w:val="24"/>
          <w:szCs w:val="24"/>
        </w:rPr>
        <w:t xml:space="preserve">the </w:t>
      </w:r>
      <w:r w:rsidR="00B42524" w:rsidRPr="007B35AA">
        <w:rPr>
          <w:rFonts w:ascii="Times New Roman" w:hAnsi="Times New Roman" w:cs="Times New Roman"/>
          <w:color w:val="0000FF"/>
          <w:sz w:val="24"/>
          <w:szCs w:val="24"/>
        </w:rPr>
        <w:t xml:space="preserve">risk contribution of one market to the other. </w:t>
      </w:r>
      <w:r w:rsidR="0073584E" w:rsidRPr="007B35AA">
        <w:rPr>
          <w:rFonts w:ascii="Times New Roman" w:hAnsi="Times New Roman" w:cs="Times New Roman"/>
          <w:color w:val="0000FF"/>
          <w:sz w:val="24"/>
          <w:szCs w:val="24"/>
        </w:rPr>
        <w:t>Nevertheless</w:t>
      </w:r>
      <w:r w:rsidR="00B42524" w:rsidRPr="007B35AA">
        <w:rPr>
          <w:rFonts w:ascii="Times New Roman" w:hAnsi="Times New Roman" w:cs="Times New Roman"/>
          <w:color w:val="0000FF"/>
          <w:sz w:val="24"/>
          <w:szCs w:val="24"/>
        </w:rPr>
        <w:t xml:space="preserve">, both </w:t>
      </w:r>
      <w:proofErr w:type="spellStart"/>
      <w:r w:rsidR="00B42524" w:rsidRPr="007B35AA">
        <w:rPr>
          <w:rFonts w:ascii="Times New Roman" w:hAnsi="Times New Roman" w:cs="Times New Roman"/>
          <w:color w:val="0000FF"/>
          <w:sz w:val="24"/>
          <w:szCs w:val="24"/>
        </w:rPr>
        <w:t>VaR</w:t>
      </w:r>
      <w:proofErr w:type="spellEnd"/>
      <w:r w:rsidR="00B42524" w:rsidRPr="007B35AA">
        <w:rPr>
          <w:rFonts w:ascii="Times New Roman" w:hAnsi="Times New Roman" w:cs="Times New Roman"/>
          <w:color w:val="0000FF"/>
          <w:sz w:val="24"/>
          <w:szCs w:val="24"/>
        </w:rPr>
        <w:t xml:space="preserve"> and </w:t>
      </w:r>
      <w:proofErr w:type="spellStart"/>
      <w:r w:rsidR="00B42524" w:rsidRPr="007B35AA">
        <w:rPr>
          <w:rFonts w:ascii="Times New Roman" w:hAnsi="Times New Roman" w:cs="Times New Roman"/>
          <w:color w:val="0000FF"/>
          <w:sz w:val="24"/>
          <w:szCs w:val="24"/>
        </w:rPr>
        <w:t>CoVaR</w:t>
      </w:r>
      <w:proofErr w:type="spellEnd"/>
      <w:r w:rsidR="00B42524" w:rsidRPr="007B35AA">
        <w:rPr>
          <w:rFonts w:ascii="Times New Roman" w:hAnsi="Times New Roman" w:cs="Times New Roman"/>
          <w:color w:val="0000FF"/>
          <w:sz w:val="24"/>
          <w:szCs w:val="24"/>
        </w:rPr>
        <w:t xml:space="preserve"> occupy certain limitations in the tail-risk assessment. To overcome these challenges, the neural networks approach proposed by </w:t>
      </w:r>
      <w:proofErr w:type="spellStart"/>
      <w:r w:rsidR="00B42524" w:rsidRPr="007B35AA">
        <w:rPr>
          <w:rFonts w:ascii="Times New Roman" w:hAnsi="Times New Roman" w:cs="Times New Roman"/>
          <w:color w:val="0000FF"/>
          <w:sz w:val="24"/>
          <w:szCs w:val="24"/>
        </w:rPr>
        <w:t>Keilarg</w:t>
      </w:r>
      <w:proofErr w:type="spellEnd"/>
      <w:r w:rsidR="00B42524" w:rsidRPr="007B35AA">
        <w:rPr>
          <w:rFonts w:ascii="Times New Roman" w:hAnsi="Times New Roman" w:cs="Times New Roman"/>
          <w:color w:val="0000FF"/>
          <w:sz w:val="24"/>
          <w:szCs w:val="24"/>
        </w:rPr>
        <w:t xml:space="preserve"> and Wang (2021) offers </w:t>
      </w:r>
      <w:r w:rsidR="0073584E" w:rsidRPr="007B35AA">
        <w:rPr>
          <w:rFonts w:ascii="Times New Roman" w:hAnsi="Times New Roman" w:cs="Times New Roman"/>
          <w:color w:val="0000FF"/>
          <w:sz w:val="24"/>
          <w:szCs w:val="24"/>
        </w:rPr>
        <w:t xml:space="preserve">a </w:t>
      </w:r>
      <w:r w:rsidR="00B42524" w:rsidRPr="007B35AA">
        <w:rPr>
          <w:rFonts w:ascii="Times New Roman" w:hAnsi="Times New Roman" w:cs="Times New Roman"/>
          <w:color w:val="0000FF"/>
          <w:sz w:val="24"/>
          <w:szCs w:val="24"/>
        </w:rPr>
        <w:t xml:space="preserve">broader perspective of </w:t>
      </w:r>
      <w:r w:rsidR="000D5D47" w:rsidRPr="007B35AA">
        <w:rPr>
          <w:rFonts w:ascii="Times New Roman" w:hAnsi="Times New Roman" w:cs="Times New Roman"/>
          <w:color w:val="0000FF"/>
          <w:sz w:val="24"/>
          <w:szCs w:val="24"/>
        </w:rPr>
        <w:t xml:space="preserve">examining </w:t>
      </w:r>
      <w:r w:rsidR="0073584E" w:rsidRPr="007B35AA">
        <w:rPr>
          <w:rFonts w:ascii="Times New Roman" w:hAnsi="Times New Roman" w:cs="Times New Roman"/>
          <w:color w:val="0000FF"/>
          <w:sz w:val="24"/>
          <w:szCs w:val="24"/>
        </w:rPr>
        <w:t xml:space="preserve">the </w:t>
      </w:r>
      <w:r w:rsidR="000D5D47" w:rsidRPr="007B35AA">
        <w:rPr>
          <w:rFonts w:ascii="Times New Roman" w:hAnsi="Times New Roman" w:cs="Times New Roman"/>
          <w:color w:val="0000FF"/>
          <w:sz w:val="24"/>
          <w:szCs w:val="24"/>
        </w:rPr>
        <w:t xml:space="preserve">tail risk of sustainable, religious, and conventional markets as it stipulates robust nonlinear function by forecasting risk in the tails. </w:t>
      </w:r>
      <w:r w:rsidR="00E6512E" w:rsidRPr="007B35AA">
        <w:rPr>
          <w:rFonts w:ascii="Times New Roman" w:hAnsi="Times New Roman" w:cs="Times New Roman"/>
          <w:color w:val="0000FF"/>
          <w:sz w:val="24"/>
          <w:szCs w:val="24"/>
        </w:rPr>
        <w:t xml:space="preserve">In addition, the unique features of neural networks </w:t>
      </w:r>
      <w:r w:rsidR="000C4971" w:rsidRPr="007B35AA">
        <w:rPr>
          <w:rFonts w:ascii="Times New Roman" w:hAnsi="Times New Roman" w:cs="Times New Roman"/>
          <w:color w:val="0000FF"/>
          <w:sz w:val="24"/>
          <w:szCs w:val="24"/>
        </w:rPr>
        <w:t xml:space="preserve">in terms of </w:t>
      </w:r>
      <w:r w:rsidR="000C4971" w:rsidRPr="007B35AA">
        <w:rPr>
          <w:rFonts w:ascii="Times New Roman" w:hAnsi="Times New Roman" w:cs="Times New Roman"/>
          <w:i/>
          <w:iCs/>
          <w:color w:val="0000FF"/>
          <w:sz w:val="24"/>
          <w:szCs w:val="24"/>
        </w:rPr>
        <w:t xml:space="preserve">Systematic Fragility Index (SFI) </w:t>
      </w:r>
      <w:r w:rsidR="000C4971" w:rsidRPr="007B35AA">
        <w:rPr>
          <w:rFonts w:ascii="Times New Roman" w:hAnsi="Times New Roman" w:cs="Times New Roman"/>
          <w:color w:val="0000FF"/>
          <w:sz w:val="24"/>
          <w:szCs w:val="24"/>
        </w:rPr>
        <w:t xml:space="preserve">and </w:t>
      </w:r>
      <w:r w:rsidR="000C4971" w:rsidRPr="007B35AA">
        <w:rPr>
          <w:rFonts w:ascii="Times New Roman" w:hAnsi="Times New Roman" w:cs="Times New Roman"/>
          <w:i/>
          <w:iCs/>
          <w:color w:val="0000FF"/>
          <w:sz w:val="24"/>
          <w:szCs w:val="24"/>
        </w:rPr>
        <w:t>Systematic Hazard Index (SHI)</w:t>
      </w:r>
      <w:r w:rsidR="000C4971" w:rsidRPr="007B35AA">
        <w:rPr>
          <w:rFonts w:ascii="Times New Roman" w:hAnsi="Times New Roman" w:cs="Times New Roman"/>
          <w:color w:val="0000FF"/>
          <w:sz w:val="24"/>
          <w:szCs w:val="24"/>
        </w:rPr>
        <w:t xml:space="preserve"> specify the market exposed with extreme tail-risk and principal risk contributor among all markets, respectively. </w:t>
      </w:r>
      <w:bookmarkStart w:id="1" w:name="_Hlk90407953"/>
    </w:p>
    <w:p w14:paraId="07917FA3" w14:textId="451E2F68" w:rsidR="000C4971" w:rsidRPr="000D3AD1" w:rsidRDefault="000C4971" w:rsidP="000C4971">
      <w:pPr>
        <w:spacing w:before="240" w:line="480" w:lineRule="auto"/>
        <w:jc w:val="both"/>
        <w:rPr>
          <w:rFonts w:ascii="Times New Roman" w:hAnsi="Times New Roman" w:cs="Times New Roman"/>
          <w:sz w:val="24"/>
          <w:szCs w:val="24"/>
        </w:rPr>
      </w:pPr>
      <w:r w:rsidRPr="007B35AA">
        <w:rPr>
          <w:rFonts w:ascii="Times New Roman" w:hAnsi="Times New Roman" w:cs="Times New Roman"/>
          <w:color w:val="0000FF"/>
          <w:sz w:val="24"/>
          <w:szCs w:val="24"/>
        </w:rPr>
        <w:t xml:space="preserve">In the light of </w:t>
      </w:r>
      <w:r w:rsidR="0073584E" w:rsidRPr="007B35AA">
        <w:rPr>
          <w:rFonts w:ascii="Times New Roman" w:hAnsi="Times New Roman" w:cs="Times New Roman"/>
          <w:color w:val="0000FF"/>
          <w:sz w:val="24"/>
          <w:szCs w:val="24"/>
        </w:rPr>
        <w:t xml:space="preserve">the </w:t>
      </w:r>
      <w:r w:rsidRPr="007B35AA">
        <w:rPr>
          <w:rFonts w:ascii="Times New Roman" w:hAnsi="Times New Roman" w:cs="Times New Roman"/>
          <w:color w:val="0000FF"/>
          <w:sz w:val="24"/>
          <w:szCs w:val="24"/>
        </w:rPr>
        <w:t xml:space="preserve">above claims, the current study contributes to the </w:t>
      </w:r>
      <w:r w:rsidR="00C87CB9" w:rsidRPr="007B35AA">
        <w:rPr>
          <w:rFonts w:ascii="Times New Roman" w:hAnsi="Times New Roman" w:cs="Times New Roman"/>
          <w:color w:val="0000FF"/>
          <w:sz w:val="24"/>
          <w:szCs w:val="24"/>
        </w:rPr>
        <w:t xml:space="preserve">existing strand of literature in many ways. First, we modeled the tail-risk of sustainable, religious, and conventional </w:t>
      </w:r>
      <w:r w:rsidR="00C87CB9" w:rsidRPr="007B35AA">
        <w:rPr>
          <w:rFonts w:ascii="Times New Roman" w:hAnsi="Times New Roman" w:cs="Times New Roman"/>
          <w:color w:val="0000FF"/>
          <w:sz w:val="24"/>
          <w:szCs w:val="24"/>
        </w:rPr>
        <w:lastRenderedPageBreak/>
        <w:t xml:space="preserve">investments under uncertain circumstances. Second, we employed the empirical approach of </w:t>
      </w:r>
      <w:proofErr w:type="spellStart"/>
      <w:r w:rsidR="00C87CB9" w:rsidRPr="007B35AA">
        <w:rPr>
          <w:rFonts w:ascii="Times New Roman" w:hAnsi="Times New Roman" w:cs="Times New Roman"/>
          <w:color w:val="0000FF"/>
          <w:sz w:val="24"/>
          <w:szCs w:val="24"/>
        </w:rPr>
        <w:t>Keilbarg</w:t>
      </w:r>
      <w:proofErr w:type="spellEnd"/>
      <w:r w:rsidR="00C87CB9" w:rsidRPr="007B35AA">
        <w:rPr>
          <w:rFonts w:ascii="Times New Roman" w:hAnsi="Times New Roman" w:cs="Times New Roman"/>
          <w:color w:val="0000FF"/>
          <w:sz w:val="24"/>
          <w:szCs w:val="24"/>
        </w:rPr>
        <w:t xml:space="preserve"> and Wang (2021) for investigating the tail-risk of sustainable, religious, and conventional markets using a step-by-step methodology estimating </w:t>
      </w:r>
      <w:proofErr w:type="spellStart"/>
      <w:r w:rsidR="00C87CB9" w:rsidRPr="007B35AA">
        <w:rPr>
          <w:rFonts w:ascii="Times New Roman" w:hAnsi="Times New Roman" w:cs="Times New Roman"/>
          <w:color w:val="0000FF"/>
          <w:sz w:val="24"/>
          <w:szCs w:val="24"/>
        </w:rPr>
        <w:t>VaR</w:t>
      </w:r>
      <w:proofErr w:type="spellEnd"/>
      <w:r w:rsidR="00C87CB9" w:rsidRPr="007B35AA">
        <w:rPr>
          <w:rFonts w:ascii="Times New Roman" w:hAnsi="Times New Roman" w:cs="Times New Roman"/>
          <w:color w:val="0000FF"/>
          <w:sz w:val="24"/>
          <w:szCs w:val="24"/>
        </w:rPr>
        <w:t xml:space="preserve">, </w:t>
      </w:r>
      <w:proofErr w:type="spellStart"/>
      <w:r w:rsidR="00C87CB9" w:rsidRPr="007B35AA">
        <w:rPr>
          <w:rFonts w:ascii="Times New Roman" w:hAnsi="Times New Roman" w:cs="Times New Roman"/>
          <w:color w:val="0000FF"/>
          <w:sz w:val="24"/>
          <w:szCs w:val="24"/>
        </w:rPr>
        <w:t>CoVaR</w:t>
      </w:r>
      <w:proofErr w:type="spellEnd"/>
      <w:r w:rsidR="00C87CB9" w:rsidRPr="007B35AA">
        <w:rPr>
          <w:rFonts w:ascii="Times New Roman" w:hAnsi="Times New Roman" w:cs="Times New Roman"/>
          <w:color w:val="0000FF"/>
          <w:sz w:val="24"/>
          <w:szCs w:val="24"/>
        </w:rPr>
        <w:t xml:space="preserve">, SFI, and SHI. These measures identify spillovers among selected markets </w:t>
      </w:r>
      <w:r w:rsidR="0073584E" w:rsidRPr="007B35AA">
        <w:rPr>
          <w:rFonts w:ascii="Times New Roman" w:hAnsi="Times New Roman" w:cs="Times New Roman"/>
          <w:color w:val="0000FF"/>
          <w:sz w:val="24"/>
          <w:szCs w:val="24"/>
        </w:rPr>
        <w:t>regarding risk recipients, risk contributors, and risk leaders in a sustainable, religious, and conventional market system</w:t>
      </w:r>
      <w:r w:rsidR="00C87CB9" w:rsidRPr="007B35AA">
        <w:rPr>
          <w:rFonts w:ascii="Times New Roman" w:hAnsi="Times New Roman" w:cs="Times New Roman"/>
          <w:color w:val="0000FF"/>
          <w:sz w:val="24"/>
          <w:szCs w:val="24"/>
        </w:rPr>
        <w:t>. Third, the additional benefit of this technique is to capture the asymmetric trend in systematic risk for the markets under study</w:t>
      </w:r>
      <w:r w:rsidR="009B5B71" w:rsidRPr="007B35AA">
        <w:rPr>
          <w:rFonts w:ascii="Times New Roman" w:hAnsi="Times New Roman" w:cs="Times New Roman"/>
          <w:color w:val="0000FF"/>
          <w:sz w:val="24"/>
          <w:szCs w:val="24"/>
        </w:rPr>
        <w:t xml:space="preserve"> by detecting markets with maximum risk exposure and risk contribution uncovering potential distressed periods. </w:t>
      </w:r>
      <w:r w:rsidR="00243E7B" w:rsidRPr="007B35AA">
        <w:rPr>
          <w:rFonts w:ascii="Times New Roman" w:hAnsi="Times New Roman" w:cs="Times New Roman"/>
          <w:color w:val="0000FF"/>
          <w:sz w:val="24"/>
          <w:szCs w:val="24"/>
        </w:rPr>
        <w:t xml:space="preserve">Fourth, the study considered </w:t>
      </w:r>
      <w:r w:rsidR="0073584E" w:rsidRPr="007B35AA">
        <w:rPr>
          <w:rFonts w:ascii="Times New Roman" w:hAnsi="Times New Roman" w:cs="Times New Roman"/>
          <w:color w:val="0000FF"/>
          <w:sz w:val="24"/>
          <w:szCs w:val="24"/>
        </w:rPr>
        <w:t xml:space="preserve">the </w:t>
      </w:r>
      <w:r w:rsidR="00243E7B" w:rsidRPr="007B35AA">
        <w:rPr>
          <w:rFonts w:ascii="Times New Roman" w:hAnsi="Times New Roman" w:cs="Times New Roman"/>
          <w:color w:val="0000FF"/>
          <w:sz w:val="24"/>
          <w:szCs w:val="24"/>
        </w:rPr>
        <w:t xml:space="preserve">COVID-19 pandemic to provide evidence </w:t>
      </w:r>
      <w:r w:rsidR="0073584E" w:rsidRPr="007B35AA">
        <w:rPr>
          <w:rFonts w:ascii="Times New Roman" w:hAnsi="Times New Roman" w:cs="Times New Roman"/>
          <w:color w:val="0000FF"/>
          <w:sz w:val="24"/>
          <w:szCs w:val="24"/>
        </w:rPr>
        <w:t xml:space="preserve">of </w:t>
      </w:r>
      <w:r w:rsidR="00243E7B" w:rsidRPr="007B35AA">
        <w:rPr>
          <w:rFonts w:ascii="Times New Roman" w:hAnsi="Times New Roman" w:cs="Times New Roman"/>
          <w:color w:val="0000FF"/>
          <w:sz w:val="24"/>
          <w:szCs w:val="24"/>
        </w:rPr>
        <w:t xml:space="preserve">whether tail risk escalates during this period of economic turmoil. Finally, we provided beneficial ramifications for policymakers, regulators, investors, and financial market participants to diversify their portfolios. </w:t>
      </w:r>
      <w:bookmarkEnd w:id="0"/>
    </w:p>
    <w:bookmarkEnd w:id="1"/>
    <w:p w14:paraId="73DC7577" w14:textId="07F959F5" w:rsidR="001629D3" w:rsidRPr="007B35AA" w:rsidRDefault="00243E7B" w:rsidP="001629D3">
      <w:pPr>
        <w:spacing w:after="240" w:line="480" w:lineRule="auto"/>
        <w:jc w:val="both"/>
        <w:rPr>
          <w:rFonts w:ascii="Times New Roman" w:eastAsia="SimSun" w:hAnsi="Times New Roman" w:cs="Times New Roman"/>
          <w:color w:val="0000FF"/>
          <w:sz w:val="24"/>
          <w:szCs w:val="24"/>
          <w:lang w:val="en-GB"/>
        </w:rPr>
      </w:pPr>
      <w:r w:rsidRPr="000D3AD1">
        <w:rPr>
          <w:rFonts w:ascii="Times New Roman" w:eastAsia="SimSun" w:hAnsi="Times New Roman" w:cs="Times New Roman"/>
          <w:sz w:val="24"/>
          <w:szCs w:val="24"/>
          <w:lang w:val="en-GB"/>
        </w:rPr>
        <w:t xml:space="preserve">The results of our step-by-step analysis present that </w:t>
      </w:r>
      <w:proofErr w:type="spellStart"/>
      <w:r w:rsidR="001629D3" w:rsidRPr="000D3AD1">
        <w:rPr>
          <w:rFonts w:ascii="Times New Roman" w:eastAsia="SimSun" w:hAnsi="Times New Roman" w:cs="Times New Roman"/>
          <w:sz w:val="24"/>
          <w:szCs w:val="24"/>
          <w:lang w:val="en-GB"/>
        </w:rPr>
        <w:t>VaR</w:t>
      </w:r>
      <w:proofErr w:type="spellEnd"/>
      <w:r w:rsidR="001629D3" w:rsidRPr="000D3AD1">
        <w:rPr>
          <w:rFonts w:ascii="Times New Roman" w:eastAsia="SimSun" w:hAnsi="Times New Roman" w:cs="Times New Roman"/>
          <w:sz w:val="24"/>
          <w:szCs w:val="24"/>
          <w:lang w:val="en-GB"/>
        </w:rPr>
        <w:t xml:space="preserve"> and </w:t>
      </w:r>
      <w:proofErr w:type="spellStart"/>
      <w:r w:rsidR="001629D3" w:rsidRPr="000D3AD1">
        <w:rPr>
          <w:rFonts w:ascii="Times New Roman" w:eastAsia="SimSun" w:hAnsi="Times New Roman" w:cs="Times New Roman"/>
          <w:sz w:val="24"/>
          <w:szCs w:val="24"/>
          <w:lang w:val="en-GB"/>
        </w:rPr>
        <w:t>CoVaR</w:t>
      </w:r>
      <w:proofErr w:type="spellEnd"/>
      <w:r w:rsidR="001629D3" w:rsidRPr="000D3AD1">
        <w:rPr>
          <w:rFonts w:ascii="Times New Roman" w:eastAsia="SimSun" w:hAnsi="Times New Roman" w:cs="Times New Roman"/>
          <w:sz w:val="24"/>
          <w:szCs w:val="24"/>
          <w:lang w:val="en-GB"/>
        </w:rPr>
        <w:t xml:space="preserve"> of the selected markets</w:t>
      </w:r>
      <w:r w:rsidRPr="000D3AD1">
        <w:rPr>
          <w:rFonts w:ascii="Times New Roman" w:eastAsia="SimSun" w:hAnsi="Times New Roman" w:cs="Times New Roman"/>
          <w:sz w:val="24"/>
          <w:szCs w:val="24"/>
          <w:lang w:val="en-GB"/>
        </w:rPr>
        <w:t xml:space="preserve"> report </w:t>
      </w:r>
      <w:r w:rsidR="001629D3" w:rsidRPr="000D3AD1">
        <w:rPr>
          <w:rFonts w:ascii="Times New Roman" w:eastAsia="SimSun" w:hAnsi="Times New Roman" w:cs="Times New Roman"/>
          <w:sz w:val="24"/>
          <w:szCs w:val="24"/>
          <w:lang w:val="en-GB"/>
        </w:rPr>
        <w:t xml:space="preserve">scattered plots for green bonds, clean energy, commodity market, and bond market. The time average of risk </w:t>
      </w:r>
      <w:proofErr w:type="spellStart"/>
      <w:r w:rsidR="001629D3" w:rsidRPr="000D3AD1">
        <w:rPr>
          <w:rFonts w:ascii="Times New Roman" w:eastAsia="SimSun" w:hAnsi="Times New Roman" w:cs="Times New Roman"/>
          <w:sz w:val="24"/>
          <w:szCs w:val="24"/>
          <w:lang w:val="en-GB"/>
        </w:rPr>
        <w:t>spillovers</w:t>
      </w:r>
      <w:proofErr w:type="spellEnd"/>
      <w:r w:rsidR="001629D3" w:rsidRPr="000D3AD1">
        <w:rPr>
          <w:rFonts w:ascii="Times New Roman" w:eastAsia="SimSun" w:hAnsi="Times New Roman" w:cs="Times New Roman"/>
          <w:sz w:val="24"/>
          <w:szCs w:val="24"/>
          <w:lang w:val="en-GB"/>
        </w:rPr>
        <w:t xml:space="preserve"> indicated segregated </w:t>
      </w:r>
      <w:proofErr w:type="spellStart"/>
      <w:r w:rsidR="001629D3" w:rsidRPr="000D3AD1">
        <w:rPr>
          <w:rFonts w:ascii="Times New Roman" w:eastAsia="SimSun" w:hAnsi="Times New Roman" w:cs="Times New Roman"/>
          <w:sz w:val="24"/>
          <w:szCs w:val="24"/>
          <w:lang w:val="en-GB"/>
        </w:rPr>
        <w:t>spillovers</w:t>
      </w:r>
      <w:proofErr w:type="spellEnd"/>
      <w:r w:rsidR="001629D3" w:rsidRPr="000D3AD1">
        <w:rPr>
          <w:rFonts w:ascii="Times New Roman" w:eastAsia="SimSun" w:hAnsi="Times New Roman" w:cs="Times New Roman"/>
          <w:sz w:val="24"/>
          <w:szCs w:val="24"/>
          <w:lang w:val="en-GB"/>
        </w:rPr>
        <w:t xml:space="preserve"> in pre- and during COVID-19 period</w:t>
      </w:r>
      <w:r w:rsidR="0073584E" w:rsidRPr="000D3AD1">
        <w:rPr>
          <w:rFonts w:ascii="Times New Roman" w:eastAsia="SimSun" w:hAnsi="Times New Roman" w:cs="Times New Roman"/>
          <w:sz w:val="24"/>
          <w:szCs w:val="24"/>
          <w:lang w:val="en-GB"/>
        </w:rPr>
        <w:t>,</w:t>
      </w:r>
      <w:r w:rsidR="001629D3" w:rsidRPr="000D3AD1">
        <w:rPr>
          <w:rFonts w:ascii="Times New Roman" w:eastAsia="SimSun" w:hAnsi="Times New Roman" w:cs="Times New Roman"/>
          <w:sz w:val="24"/>
          <w:szCs w:val="24"/>
          <w:lang w:val="en-GB"/>
        </w:rPr>
        <w:t xml:space="preserve"> where strong tail dependence exists between conventional and green bonds as both share similar features. The network analysis highlighted Dow Jones Islamic stock (DJIS) as the net risk receiver for both sample periods. Further, time</w:t>
      </w:r>
      <w:r w:rsidR="0073584E" w:rsidRPr="000D3AD1">
        <w:rPr>
          <w:rFonts w:ascii="Times New Roman" w:eastAsia="SimSun" w:hAnsi="Times New Roman" w:cs="Times New Roman"/>
          <w:sz w:val="24"/>
          <w:szCs w:val="24"/>
          <w:lang w:val="en-GB"/>
        </w:rPr>
        <w:t>-</w:t>
      </w:r>
      <w:r w:rsidR="001629D3" w:rsidRPr="000D3AD1">
        <w:rPr>
          <w:rFonts w:ascii="Times New Roman" w:eastAsia="SimSun" w:hAnsi="Times New Roman" w:cs="Times New Roman"/>
          <w:sz w:val="24"/>
          <w:szCs w:val="24"/>
          <w:lang w:val="en-GB"/>
        </w:rPr>
        <w:t xml:space="preserve">series </w:t>
      </w:r>
      <w:r w:rsidRPr="000D3AD1">
        <w:rPr>
          <w:rFonts w:ascii="Times New Roman" w:eastAsia="SimSun" w:hAnsi="Times New Roman" w:cs="Times New Roman"/>
          <w:sz w:val="24"/>
          <w:szCs w:val="24"/>
          <w:lang w:val="en-GB"/>
        </w:rPr>
        <w:t xml:space="preserve">analysis </w:t>
      </w:r>
      <w:r w:rsidR="001629D3" w:rsidRPr="000D3AD1">
        <w:rPr>
          <w:rFonts w:ascii="Times New Roman" w:eastAsia="SimSun" w:hAnsi="Times New Roman" w:cs="Times New Roman"/>
          <w:sz w:val="24"/>
          <w:szCs w:val="24"/>
          <w:lang w:val="en-GB"/>
        </w:rPr>
        <w:t xml:space="preserve">reflected three major crisis events with intense risk </w:t>
      </w:r>
      <w:proofErr w:type="spellStart"/>
      <w:r w:rsidR="001629D3" w:rsidRPr="000D3AD1">
        <w:rPr>
          <w:rFonts w:ascii="Times New Roman" w:eastAsia="SimSun" w:hAnsi="Times New Roman" w:cs="Times New Roman"/>
          <w:sz w:val="24"/>
          <w:szCs w:val="24"/>
          <w:lang w:val="en-GB"/>
        </w:rPr>
        <w:t>spillovers</w:t>
      </w:r>
      <w:proofErr w:type="spellEnd"/>
      <w:r w:rsidR="001629D3" w:rsidRPr="000D3AD1">
        <w:rPr>
          <w:rFonts w:ascii="Times New Roman" w:eastAsia="SimSun" w:hAnsi="Times New Roman" w:cs="Times New Roman"/>
          <w:sz w:val="24"/>
          <w:szCs w:val="24"/>
          <w:lang w:val="en-GB"/>
        </w:rPr>
        <w:t xml:space="preserve"> during GFC, EDC, and COVID-19. The segregated analysis of SFI and SHI brought intriguing findings for investors and portfolio managers where DJIS remained the net risk recipient in terms of riskiest investment and majorly contributing to the overall risk </w:t>
      </w:r>
      <w:proofErr w:type="spellStart"/>
      <w:r w:rsidR="001629D3" w:rsidRPr="000D3AD1">
        <w:rPr>
          <w:rFonts w:ascii="Times New Roman" w:eastAsia="SimSun" w:hAnsi="Times New Roman" w:cs="Times New Roman"/>
          <w:sz w:val="24"/>
          <w:szCs w:val="24"/>
          <w:lang w:val="en-GB"/>
        </w:rPr>
        <w:t>spillovers</w:t>
      </w:r>
      <w:proofErr w:type="spellEnd"/>
      <w:r w:rsidR="001629D3" w:rsidRPr="000D3AD1">
        <w:rPr>
          <w:rFonts w:ascii="Times New Roman" w:eastAsia="SimSun" w:hAnsi="Times New Roman" w:cs="Times New Roman"/>
          <w:sz w:val="24"/>
          <w:szCs w:val="24"/>
          <w:lang w:val="en-GB"/>
        </w:rPr>
        <w:t xml:space="preserve">. </w:t>
      </w:r>
      <w:r w:rsidR="00E70379" w:rsidRPr="007B35AA">
        <w:rPr>
          <w:rFonts w:ascii="Times New Roman" w:eastAsia="SimSun" w:hAnsi="Times New Roman" w:cs="Times New Roman"/>
          <w:color w:val="0000FF"/>
          <w:sz w:val="24"/>
          <w:szCs w:val="24"/>
          <w:lang w:val="en-GB"/>
        </w:rPr>
        <w:t>We offered significant implications for practitioners, policymakers, investors, and portfolio managers by stressing religious and conventional investments as the riskiest avenues and attain</w:t>
      </w:r>
      <w:r w:rsidR="0073584E" w:rsidRPr="007B35AA">
        <w:rPr>
          <w:rFonts w:ascii="Times New Roman" w:eastAsia="SimSun" w:hAnsi="Times New Roman" w:cs="Times New Roman"/>
          <w:color w:val="0000FF"/>
          <w:sz w:val="24"/>
          <w:szCs w:val="24"/>
          <w:lang w:val="en-GB"/>
        </w:rPr>
        <w:t>ing</w:t>
      </w:r>
      <w:r w:rsidR="00E70379" w:rsidRPr="007B35AA">
        <w:rPr>
          <w:rFonts w:ascii="Times New Roman" w:eastAsia="SimSun" w:hAnsi="Times New Roman" w:cs="Times New Roman"/>
          <w:color w:val="0000FF"/>
          <w:sz w:val="24"/>
          <w:szCs w:val="24"/>
          <w:lang w:val="en-GB"/>
        </w:rPr>
        <w:t xml:space="preserve"> diversification benefits of sustainable assets by mitigating the</w:t>
      </w:r>
      <w:r w:rsidR="0073584E" w:rsidRPr="007B35AA">
        <w:rPr>
          <w:rFonts w:ascii="Times New Roman" w:eastAsia="SimSun" w:hAnsi="Times New Roman" w:cs="Times New Roman"/>
          <w:color w:val="0000FF"/>
          <w:sz w:val="24"/>
          <w:szCs w:val="24"/>
          <w:lang w:val="en-GB"/>
        </w:rPr>
        <w:t xml:space="preserve"> risk of their investments</w:t>
      </w:r>
      <w:r w:rsidR="00E70379" w:rsidRPr="007B35AA">
        <w:rPr>
          <w:rFonts w:ascii="Times New Roman" w:eastAsia="SimSun" w:hAnsi="Times New Roman" w:cs="Times New Roman"/>
          <w:color w:val="0000FF"/>
          <w:sz w:val="24"/>
          <w:szCs w:val="24"/>
          <w:lang w:val="en-GB"/>
        </w:rPr>
        <w:t xml:space="preserve">. </w:t>
      </w:r>
    </w:p>
    <w:p w14:paraId="6D92450E" w14:textId="663AD6F3" w:rsidR="001629D3" w:rsidRPr="000D3AD1" w:rsidRDefault="00E70379" w:rsidP="00E70379">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lastRenderedPageBreak/>
        <w:t xml:space="preserve">The rest of the study is structured as follows: Section 2 presents literature review; Section 3 elaborates methodology; empirical results are explained and discussed in Section 4, while Section 5 concludes the study along with implications. </w:t>
      </w:r>
    </w:p>
    <w:p w14:paraId="3F9BCDD4" w14:textId="3F8F29F8" w:rsidR="001629D3" w:rsidRPr="000D3AD1" w:rsidRDefault="001629D3" w:rsidP="00772600">
      <w:pPr>
        <w:spacing w:line="480" w:lineRule="auto"/>
        <w:rPr>
          <w:rFonts w:ascii="Times New Roman" w:hAnsi="Times New Roman" w:cs="Times New Roman"/>
          <w:b/>
          <w:bCs/>
          <w:sz w:val="24"/>
          <w:szCs w:val="24"/>
        </w:rPr>
      </w:pPr>
      <w:r w:rsidRPr="000D3AD1">
        <w:rPr>
          <w:rFonts w:ascii="Times New Roman" w:hAnsi="Times New Roman" w:cs="Times New Roman"/>
          <w:b/>
          <w:bCs/>
          <w:sz w:val="24"/>
          <w:szCs w:val="24"/>
        </w:rPr>
        <w:t xml:space="preserve">2. Literature Review </w:t>
      </w:r>
    </w:p>
    <w:p w14:paraId="0B78A71D" w14:textId="2DD5DCA5" w:rsidR="001629D3" w:rsidRPr="000D3AD1" w:rsidRDefault="00471034" w:rsidP="00471034">
      <w:pPr>
        <w:spacing w:line="480" w:lineRule="auto"/>
        <w:jc w:val="both"/>
        <w:rPr>
          <w:rFonts w:ascii="Times New Roman" w:hAnsi="Times New Roman" w:cs="Times New Roman"/>
          <w:sz w:val="24"/>
          <w:szCs w:val="24"/>
        </w:rPr>
      </w:pPr>
      <w:r w:rsidRPr="000D3AD1">
        <w:rPr>
          <w:rFonts w:ascii="Times New Roman" w:hAnsi="Times New Roman" w:cs="Times New Roman"/>
          <w:sz w:val="24"/>
          <w:szCs w:val="24"/>
        </w:rPr>
        <w:t xml:space="preserve">Literature examining the tail risk of sustainable, religious, and conventional markets is scarce. Tail risk constitutes </w:t>
      </w:r>
      <w:r w:rsidR="0073584E" w:rsidRPr="000D3AD1">
        <w:rPr>
          <w:rFonts w:ascii="Times New Roman" w:hAnsi="Times New Roman" w:cs="Times New Roman"/>
          <w:sz w:val="24"/>
          <w:szCs w:val="24"/>
        </w:rPr>
        <w:t>market risk measurement</w:t>
      </w:r>
      <w:r w:rsidRPr="000D3AD1">
        <w:rPr>
          <w:rFonts w:ascii="Times New Roman" w:hAnsi="Times New Roman" w:cs="Times New Roman"/>
          <w:sz w:val="24"/>
          <w:szCs w:val="24"/>
        </w:rPr>
        <w:t xml:space="preserve"> by employing various methodological operations to quantify the markets’ risk based on their extreme exposure to external circumstances. </w:t>
      </w:r>
      <w:r w:rsidR="006759F0" w:rsidRPr="000D3AD1">
        <w:rPr>
          <w:rFonts w:ascii="Times New Roman" w:hAnsi="Times New Roman" w:cs="Times New Roman"/>
          <w:sz w:val="24"/>
          <w:szCs w:val="24"/>
        </w:rPr>
        <w:t xml:space="preserve">Prior studies endeavored to study </w:t>
      </w:r>
      <w:proofErr w:type="gramStart"/>
      <w:r w:rsidR="006759F0" w:rsidRPr="000D3AD1">
        <w:rPr>
          <w:rFonts w:ascii="Times New Roman" w:hAnsi="Times New Roman" w:cs="Times New Roman"/>
          <w:sz w:val="24"/>
          <w:szCs w:val="24"/>
        </w:rPr>
        <w:t>the tail</w:t>
      </w:r>
      <w:proofErr w:type="gramEnd"/>
      <w:r w:rsidR="006759F0" w:rsidRPr="000D3AD1">
        <w:rPr>
          <w:rFonts w:ascii="Times New Roman" w:hAnsi="Times New Roman" w:cs="Times New Roman"/>
          <w:sz w:val="24"/>
          <w:szCs w:val="24"/>
        </w:rPr>
        <w:t xml:space="preserve"> risk in various financial markets and international settings</w:t>
      </w:r>
      <w:r w:rsidR="0084598D" w:rsidRPr="000D3AD1">
        <w:rPr>
          <w:rFonts w:ascii="Times New Roman" w:hAnsi="Times New Roman" w:cs="Times New Roman"/>
          <w:sz w:val="24"/>
          <w:szCs w:val="24"/>
        </w:rPr>
        <w:t xml:space="preserve"> using different methodological approaches</w:t>
      </w:r>
      <w:r w:rsidR="0073584E" w:rsidRPr="000D3AD1">
        <w:rPr>
          <w:rFonts w:ascii="Times New Roman" w:hAnsi="Times New Roman" w:cs="Times New Roman"/>
          <w:sz w:val="24"/>
          <w:szCs w:val="24"/>
        </w:rPr>
        <w:t>. However,</w:t>
      </w:r>
      <w:r w:rsidR="006759F0" w:rsidRPr="000D3AD1">
        <w:rPr>
          <w:rFonts w:ascii="Times New Roman" w:hAnsi="Times New Roman" w:cs="Times New Roman"/>
          <w:sz w:val="24"/>
          <w:szCs w:val="24"/>
        </w:rPr>
        <w:t xml:space="preserve"> literature exhibits a flamboyant gap in the previous studies</w:t>
      </w:r>
      <w:r w:rsidR="0073584E" w:rsidRPr="000D3AD1">
        <w:rPr>
          <w:rFonts w:ascii="Times New Roman" w:hAnsi="Times New Roman" w:cs="Times New Roman"/>
          <w:sz w:val="24"/>
          <w:szCs w:val="24"/>
        </w:rPr>
        <w:t>,</w:t>
      </w:r>
      <w:r w:rsidR="006759F0" w:rsidRPr="000D3AD1">
        <w:rPr>
          <w:rFonts w:ascii="Times New Roman" w:hAnsi="Times New Roman" w:cs="Times New Roman"/>
          <w:sz w:val="24"/>
          <w:szCs w:val="24"/>
        </w:rPr>
        <w:t xml:space="preserve"> </w:t>
      </w:r>
      <w:r w:rsidR="0084598D" w:rsidRPr="000D3AD1">
        <w:rPr>
          <w:rFonts w:ascii="Times New Roman" w:hAnsi="Times New Roman" w:cs="Times New Roman"/>
          <w:sz w:val="24"/>
          <w:szCs w:val="24"/>
        </w:rPr>
        <w:t xml:space="preserve">which employ the unique methodology proposed by </w:t>
      </w:r>
      <w:proofErr w:type="spellStart"/>
      <w:r w:rsidR="0084598D" w:rsidRPr="000D3AD1">
        <w:rPr>
          <w:rFonts w:ascii="Times New Roman" w:hAnsi="Times New Roman" w:cs="Times New Roman"/>
          <w:sz w:val="24"/>
          <w:szCs w:val="24"/>
        </w:rPr>
        <w:t>Keilbar</w:t>
      </w:r>
      <w:proofErr w:type="spellEnd"/>
      <w:r w:rsidR="0084598D" w:rsidRPr="000D3AD1">
        <w:rPr>
          <w:rFonts w:ascii="Times New Roman" w:hAnsi="Times New Roman" w:cs="Times New Roman"/>
          <w:sz w:val="24"/>
          <w:szCs w:val="24"/>
        </w:rPr>
        <w:t xml:space="preserve"> and Wang (2021)</w:t>
      </w:r>
      <w:r w:rsidR="0073584E" w:rsidRPr="000D3AD1">
        <w:rPr>
          <w:rFonts w:ascii="Times New Roman" w:hAnsi="Times New Roman" w:cs="Times New Roman"/>
          <w:sz w:val="24"/>
          <w:szCs w:val="24"/>
        </w:rPr>
        <w:t>,</w:t>
      </w:r>
      <w:r w:rsidR="0084598D" w:rsidRPr="000D3AD1">
        <w:rPr>
          <w:rFonts w:ascii="Times New Roman" w:hAnsi="Times New Roman" w:cs="Times New Roman"/>
          <w:sz w:val="24"/>
          <w:szCs w:val="24"/>
        </w:rPr>
        <w:t xml:space="preserve"> which positions the sustainable, religious, and conventional markets by ranking their risk and segregating the market with high (low) exposure and risk contribution. </w:t>
      </w:r>
      <w:r w:rsidR="00DA287F" w:rsidRPr="000D3AD1">
        <w:rPr>
          <w:rFonts w:ascii="Times New Roman" w:hAnsi="Times New Roman" w:cs="Times New Roman"/>
          <w:sz w:val="24"/>
          <w:szCs w:val="24"/>
        </w:rPr>
        <w:t xml:space="preserve">In the international markets setting, </w:t>
      </w:r>
      <w:r w:rsidR="0073584E" w:rsidRPr="000D3AD1">
        <w:rPr>
          <w:rFonts w:ascii="Times New Roman" w:hAnsi="Times New Roman" w:cs="Times New Roman"/>
          <w:sz w:val="24"/>
          <w:szCs w:val="24"/>
        </w:rPr>
        <w:t xml:space="preserve">Liu and </w:t>
      </w:r>
      <w:proofErr w:type="spellStart"/>
      <w:r w:rsidR="0073584E" w:rsidRPr="000D3AD1">
        <w:rPr>
          <w:rFonts w:ascii="Times New Roman" w:hAnsi="Times New Roman" w:cs="Times New Roman"/>
          <w:sz w:val="24"/>
          <w:szCs w:val="24"/>
        </w:rPr>
        <w:t>Hamori</w:t>
      </w:r>
      <w:proofErr w:type="spellEnd"/>
      <w:r w:rsidR="0073584E" w:rsidRPr="000D3AD1">
        <w:rPr>
          <w:rFonts w:ascii="Times New Roman" w:hAnsi="Times New Roman" w:cs="Times New Roman"/>
          <w:sz w:val="24"/>
          <w:szCs w:val="24"/>
        </w:rPr>
        <w:t xml:space="preserve"> (2020) and Li and Giles (2015) studies</w:t>
      </w:r>
      <w:r w:rsidR="00DA287F" w:rsidRPr="000D3AD1">
        <w:rPr>
          <w:rFonts w:ascii="Times New Roman" w:hAnsi="Times New Roman" w:cs="Times New Roman"/>
          <w:sz w:val="24"/>
          <w:szCs w:val="24"/>
        </w:rPr>
        <w:t xml:space="preserve"> are significant for exploring the tail risk. Moreover, </w:t>
      </w:r>
      <w:r w:rsidR="00BE170D">
        <w:rPr>
          <w:rFonts w:ascii="Times New Roman" w:hAnsi="Times New Roman" w:cs="Times New Roman"/>
          <w:sz w:val="24"/>
          <w:szCs w:val="24"/>
        </w:rPr>
        <w:t xml:space="preserve">Albuquerque et al., (2020), </w:t>
      </w:r>
      <w:proofErr w:type="spellStart"/>
      <w:r w:rsidR="00DA287F" w:rsidRPr="000D3AD1">
        <w:rPr>
          <w:rFonts w:ascii="Times New Roman" w:hAnsi="Times New Roman" w:cs="Times New Roman"/>
          <w:sz w:val="24"/>
          <w:szCs w:val="24"/>
        </w:rPr>
        <w:t>Keilbarg</w:t>
      </w:r>
      <w:proofErr w:type="spellEnd"/>
      <w:r w:rsidR="00DA287F" w:rsidRPr="000D3AD1">
        <w:rPr>
          <w:rFonts w:ascii="Times New Roman" w:hAnsi="Times New Roman" w:cs="Times New Roman"/>
          <w:sz w:val="24"/>
          <w:szCs w:val="24"/>
        </w:rPr>
        <w:t xml:space="preserve"> and Wang (2021), Nguyen et al. (2020), and Wang et al. (2017) studied </w:t>
      </w:r>
      <w:r w:rsidR="0073584E" w:rsidRPr="000D3AD1">
        <w:rPr>
          <w:rFonts w:ascii="Times New Roman" w:hAnsi="Times New Roman" w:cs="Times New Roman"/>
          <w:sz w:val="24"/>
          <w:szCs w:val="24"/>
        </w:rPr>
        <w:t xml:space="preserve">the </w:t>
      </w:r>
      <w:r w:rsidR="00DA287F" w:rsidRPr="000D3AD1">
        <w:rPr>
          <w:rFonts w:ascii="Times New Roman" w:hAnsi="Times New Roman" w:cs="Times New Roman"/>
          <w:sz w:val="24"/>
          <w:szCs w:val="24"/>
        </w:rPr>
        <w:t xml:space="preserve">risk of financial factors during crisis periods. </w:t>
      </w:r>
    </w:p>
    <w:p w14:paraId="46880153" w14:textId="4442A0AD" w:rsidR="00DA287F" w:rsidRPr="000D3AD1" w:rsidRDefault="00DA287F" w:rsidP="00471034">
      <w:pPr>
        <w:spacing w:line="480" w:lineRule="auto"/>
        <w:jc w:val="both"/>
        <w:rPr>
          <w:rFonts w:ascii="Times New Roman" w:hAnsi="Times New Roman" w:cs="Times New Roman"/>
          <w:sz w:val="24"/>
          <w:szCs w:val="24"/>
        </w:rPr>
      </w:pPr>
      <w:r w:rsidRPr="000D3AD1">
        <w:rPr>
          <w:rFonts w:ascii="Times New Roman" w:hAnsi="Times New Roman" w:cs="Times New Roman"/>
          <w:sz w:val="24"/>
          <w:szCs w:val="24"/>
        </w:rPr>
        <w:t xml:space="preserve">Similarly, the studies of </w:t>
      </w:r>
      <w:proofErr w:type="spellStart"/>
      <w:r w:rsidRPr="000D3AD1">
        <w:rPr>
          <w:rFonts w:ascii="Times New Roman" w:hAnsi="Times New Roman" w:cs="Times New Roman"/>
          <w:sz w:val="24"/>
          <w:szCs w:val="24"/>
        </w:rPr>
        <w:t>Mensi</w:t>
      </w:r>
      <w:proofErr w:type="spellEnd"/>
      <w:r w:rsidRPr="000D3AD1">
        <w:rPr>
          <w:rFonts w:ascii="Times New Roman" w:hAnsi="Times New Roman" w:cs="Times New Roman"/>
          <w:sz w:val="24"/>
          <w:szCs w:val="24"/>
        </w:rPr>
        <w:t xml:space="preserve"> et al. (2017) and </w:t>
      </w:r>
      <w:proofErr w:type="spellStart"/>
      <w:r w:rsidRPr="000D3AD1">
        <w:rPr>
          <w:rFonts w:ascii="Times New Roman" w:hAnsi="Times New Roman" w:cs="Times New Roman"/>
          <w:sz w:val="24"/>
          <w:szCs w:val="24"/>
        </w:rPr>
        <w:t>Arouri</w:t>
      </w:r>
      <w:proofErr w:type="spellEnd"/>
      <w:r w:rsidRPr="000D3AD1">
        <w:rPr>
          <w:rFonts w:ascii="Times New Roman" w:hAnsi="Times New Roman" w:cs="Times New Roman"/>
          <w:sz w:val="24"/>
          <w:szCs w:val="24"/>
        </w:rPr>
        <w:t xml:space="preserve"> et al. (2011) are of particular importance in investigating directional spillovers. Meanwhile, Nguyen et al. (2020) examined the tail-risk of international markets using the LASSO approach and identified risk </w:t>
      </w:r>
      <w:r w:rsidR="00EF1476" w:rsidRPr="000D3AD1">
        <w:rPr>
          <w:rFonts w:ascii="Times New Roman" w:hAnsi="Times New Roman" w:cs="Times New Roman"/>
          <w:sz w:val="24"/>
          <w:szCs w:val="24"/>
        </w:rPr>
        <w:t xml:space="preserve">drivers along with risk receivers and distributors. </w:t>
      </w:r>
      <w:r w:rsidR="0034373B" w:rsidRPr="000D3AD1">
        <w:rPr>
          <w:rFonts w:ascii="Times New Roman" w:hAnsi="Times New Roman" w:cs="Times New Roman"/>
          <w:sz w:val="24"/>
          <w:szCs w:val="24"/>
        </w:rPr>
        <w:t xml:space="preserve">The study of </w:t>
      </w:r>
      <w:proofErr w:type="spellStart"/>
      <w:r w:rsidR="0034373B" w:rsidRPr="000D3AD1">
        <w:rPr>
          <w:rFonts w:ascii="Times New Roman" w:hAnsi="Times New Roman" w:cs="Times New Roman"/>
          <w:sz w:val="24"/>
          <w:szCs w:val="24"/>
        </w:rPr>
        <w:t>Hautsch</w:t>
      </w:r>
      <w:proofErr w:type="spellEnd"/>
      <w:r w:rsidR="0034373B" w:rsidRPr="000D3AD1">
        <w:rPr>
          <w:rFonts w:ascii="Times New Roman" w:hAnsi="Times New Roman" w:cs="Times New Roman"/>
          <w:sz w:val="24"/>
          <w:szCs w:val="24"/>
        </w:rPr>
        <w:t xml:space="preserve"> et al. (2014) improved the scale of </w:t>
      </w:r>
      <w:proofErr w:type="spellStart"/>
      <w:r w:rsidR="0034373B" w:rsidRPr="000D3AD1">
        <w:rPr>
          <w:rFonts w:ascii="Times New Roman" w:hAnsi="Times New Roman" w:cs="Times New Roman"/>
          <w:sz w:val="24"/>
          <w:szCs w:val="24"/>
        </w:rPr>
        <w:t>CoVaR</w:t>
      </w:r>
      <w:proofErr w:type="spellEnd"/>
      <w:r w:rsidR="0034373B" w:rsidRPr="000D3AD1">
        <w:rPr>
          <w:rFonts w:ascii="Times New Roman" w:hAnsi="Times New Roman" w:cs="Times New Roman"/>
          <w:sz w:val="24"/>
          <w:szCs w:val="24"/>
        </w:rPr>
        <w:t xml:space="preserve"> for estimating the systematic risk. However, </w:t>
      </w:r>
      <w:proofErr w:type="spellStart"/>
      <w:r w:rsidR="0034373B" w:rsidRPr="000D3AD1">
        <w:rPr>
          <w:rFonts w:ascii="Times New Roman" w:hAnsi="Times New Roman" w:cs="Times New Roman"/>
          <w:sz w:val="24"/>
          <w:szCs w:val="24"/>
        </w:rPr>
        <w:t>Hardle</w:t>
      </w:r>
      <w:proofErr w:type="spellEnd"/>
      <w:r w:rsidR="0034373B" w:rsidRPr="000D3AD1">
        <w:rPr>
          <w:rFonts w:ascii="Times New Roman" w:hAnsi="Times New Roman" w:cs="Times New Roman"/>
          <w:sz w:val="24"/>
          <w:szCs w:val="24"/>
        </w:rPr>
        <w:t xml:space="preserve"> et al. (2016) extended this technique of </w:t>
      </w:r>
      <w:proofErr w:type="spellStart"/>
      <w:r w:rsidR="0034373B" w:rsidRPr="000D3AD1">
        <w:rPr>
          <w:rFonts w:ascii="Times New Roman" w:hAnsi="Times New Roman" w:cs="Times New Roman"/>
          <w:sz w:val="24"/>
          <w:szCs w:val="24"/>
        </w:rPr>
        <w:t>Hautsch</w:t>
      </w:r>
      <w:proofErr w:type="spellEnd"/>
      <w:r w:rsidR="0034373B" w:rsidRPr="000D3AD1">
        <w:rPr>
          <w:rFonts w:ascii="Times New Roman" w:hAnsi="Times New Roman" w:cs="Times New Roman"/>
          <w:sz w:val="24"/>
          <w:szCs w:val="24"/>
        </w:rPr>
        <w:t xml:space="preserve"> et al. (2014) in a nonlinear setting to measure the risk of financial markets and industries. Moving ahead, the work of Acharya et al. (2017) provided </w:t>
      </w:r>
      <w:r w:rsidR="0073584E" w:rsidRPr="000D3AD1">
        <w:rPr>
          <w:rFonts w:ascii="Times New Roman" w:hAnsi="Times New Roman" w:cs="Times New Roman"/>
          <w:sz w:val="24"/>
          <w:szCs w:val="24"/>
        </w:rPr>
        <w:t xml:space="preserve">a </w:t>
      </w:r>
      <w:r w:rsidR="0034373B" w:rsidRPr="000D3AD1">
        <w:rPr>
          <w:rFonts w:ascii="Times New Roman" w:hAnsi="Times New Roman" w:cs="Times New Roman"/>
          <w:sz w:val="24"/>
          <w:szCs w:val="24"/>
        </w:rPr>
        <w:t xml:space="preserve">building block for </w:t>
      </w:r>
      <w:r w:rsidR="0073584E" w:rsidRPr="000D3AD1">
        <w:rPr>
          <w:rFonts w:ascii="Times New Roman" w:hAnsi="Times New Roman" w:cs="Times New Roman"/>
          <w:sz w:val="24"/>
          <w:szCs w:val="24"/>
        </w:rPr>
        <w:t xml:space="preserve">an </w:t>
      </w:r>
      <w:r w:rsidR="0034373B" w:rsidRPr="000D3AD1">
        <w:rPr>
          <w:rFonts w:ascii="Times New Roman" w:hAnsi="Times New Roman" w:cs="Times New Roman"/>
          <w:sz w:val="24"/>
          <w:szCs w:val="24"/>
        </w:rPr>
        <w:t xml:space="preserve">economic system </w:t>
      </w:r>
      <w:r w:rsidR="00D957F7" w:rsidRPr="000D3AD1">
        <w:rPr>
          <w:rFonts w:ascii="Times New Roman" w:hAnsi="Times New Roman" w:cs="Times New Roman"/>
          <w:sz w:val="24"/>
          <w:szCs w:val="24"/>
        </w:rPr>
        <w:t xml:space="preserve">for measuring the extreme risk in </w:t>
      </w:r>
      <w:proofErr w:type="gramStart"/>
      <w:r w:rsidR="00D957F7" w:rsidRPr="000D3AD1">
        <w:rPr>
          <w:rFonts w:ascii="Times New Roman" w:hAnsi="Times New Roman" w:cs="Times New Roman"/>
          <w:sz w:val="24"/>
          <w:szCs w:val="24"/>
        </w:rPr>
        <w:t>the financial</w:t>
      </w:r>
      <w:proofErr w:type="gramEnd"/>
      <w:r w:rsidR="00D957F7" w:rsidRPr="000D3AD1">
        <w:rPr>
          <w:rFonts w:ascii="Times New Roman" w:hAnsi="Times New Roman" w:cs="Times New Roman"/>
          <w:sz w:val="24"/>
          <w:szCs w:val="24"/>
        </w:rPr>
        <w:t xml:space="preserve"> institutions. Similarly, Bianchi </w:t>
      </w:r>
      <w:r w:rsidR="00D957F7" w:rsidRPr="000D3AD1">
        <w:rPr>
          <w:rFonts w:ascii="Times New Roman" w:hAnsi="Times New Roman" w:cs="Times New Roman"/>
          <w:sz w:val="24"/>
          <w:szCs w:val="24"/>
        </w:rPr>
        <w:lastRenderedPageBreak/>
        <w:t xml:space="preserve">et al. (2019) presented Markov-switching graphical model to differentiate between systematic and unsystematic risk. Finally, the quantile neural network to evaluate the </w:t>
      </w:r>
      <w:proofErr w:type="spellStart"/>
      <w:r w:rsidR="00D957F7" w:rsidRPr="000D3AD1">
        <w:rPr>
          <w:rFonts w:ascii="Times New Roman" w:hAnsi="Times New Roman" w:cs="Times New Roman"/>
          <w:sz w:val="24"/>
          <w:szCs w:val="24"/>
        </w:rPr>
        <w:t>VaR</w:t>
      </w:r>
      <w:proofErr w:type="spellEnd"/>
      <w:r w:rsidR="00D957F7" w:rsidRPr="000D3AD1">
        <w:rPr>
          <w:rFonts w:ascii="Times New Roman" w:hAnsi="Times New Roman" w:cs="Times New Roman"/>
          <w:sz w:val="24"/>
          <w:szCs w:val="24"/>
        </w:rPr>
        <w:t xml:space="preserve"> in the stock markets provided by Xu et al. (2016) also offers significant fundamentals for measuring tail risk. </w:t>
      </w:r>
    </w:p>
    <w:p w14:paraId="5EF869E0" w14:textId="194B3BEB" w:rsidR="00DA4B66" w:rsidRPr="000D3AD1" w:rsidRDefault="001E08A1" w:rsidP="00471034">
      <w:pPr>
        <w:spacing w:line="480" w:lineRule="auto"/>
        <w:jc w:val="both"/>
        <w:rPr>
          <w:rFonts w:ascii="Times New Roman" w:hAnsi="Times New Roman" w:cs="Times New Roman"/>
          <w:sz w:val="24"/>
          <w:szCs w:val="24"/>
        </w:rPr>
      </w:pPr>
      <w:r w:rsidRPr="000D3AD1">
        <w:rPr>
          <w:rFonts w:ascii="Times New Roman" w:hAnsi="Times New Roman" w:cs="Times New Roman"/>
          <w:sz w:val="24"/>
          <w:szCs w:val="24"/>
        </w:rPr>
        <w:t xml:space="preserve">Among sustainable, religious, and conventional markets, tail risk estimations are scant. </w:t>
      </w:r>
      <w:r w:rsidR="000B0665" w:rsidRPr="000D3AD1">
        <w:rPr>
          <w:rFonts w:ascii="Times New Roman" w:hAnsi="Times New Roman" w:cs="Times New Roman"/>
          <w:sz w:val="24"/>
          <w:szCs w:val="24"/>
        </w:rPr>
        <w:t>Earlier studies are renowned for employing the connectedness approaches to isolate the risk transmitters and receivers (</w:t>
      </w:r>
      <w:proofErr w:type="spellStart"/>
      <w:r w:rsidR="00C51F84" w:rsidRPr="000D3AD1">
        <w:rPr>
          <w:rFonts w:ascii="Times New Roman" w:hAnsi="Times New Roman" w:cs="Times New Roman"/>
          <w:sz w:val="24"/>
          <w:szCs w:val="24"/>
        </w:rPr>
        <w:t>Elsayed</w:t>
      </w:r>
      <w:proofErr w:type="spellEnd"/>
      <w:r w:rsidR="00C51F84" w:rsidRPr="000D3AD1">
        <w:rPr>
          <w:rFonts w:ascii="Times New Roman" w:hAnsi="Times New Roman" w:cs="Times New Roman"/>
          <w:sz w:val="24"/>
          <w:szCs w:val="24"/>
        </w:rPr>
        <w:t xml:space="preserve"> et al., 2020; </w:t>
      </w:r>
      <w:proofErr w:type="spellStart"/>
      <w:r w:rsidR="000B0665" w:rsidRPr="000D3AD1">
        <w:rPr>
          <w:rFonts w:ascii="Times New Roman" w:hAnsi="Times New Roman" w:cs="Times New Roman"/>
          <w:sz w:val="24"/>
          <w:szCs w:val="24"/>
        </w:rPr>
        <w:t>Balli</w:t>
      </w:r>
      <w:proofErr w:type="spellEnd"/>
      <w:r w:rsidR="000B0665" w:rsidRPr="000D3AD1">
        <w:rPr>
          <w:rFonts w:ascii="Times New Roman" w:hAnsi="Times New Roman" w:cs="Times New Roman"/>
          <w:sz w:val="24"/>
          <w:szCs w:val="24"/>
        </w:rPr>
        <w:t xml:space="preserve"> et al., 2019). Naeem et al. (2021a, 2021b) examined the connectedness of green bonds and financial markets and identif</w:t>
      </w:r>
      <w:r w:rsidR="0073584E" w:rsidRPr="000D3AD1">
        <w:rPr>
          <w:rFonts w:ascii="Times New Roman" w:hAnsi="Times New Roman" w:cs="Times New Roman"/>
          <w:sz w:val="24"/>
          <w:szCs w:val="24"/>
        </w:rPr>
        <w:t>ied</w:t>
      </w:r>
      <w:r w:rsidR="000B0665" w:rsidRPr="000D3AD1">
        <w:rPr>
          <w:rFonts w:ascii="Times New Roman" w:hAnsi="Times New Roman" w:cs="Times New Roman"/>
          <w:sz w:val="24"/>
          <w:szCs w:val="24"/>
        </w:rPr>
        <w:t xml:space="preserve"> green bonds carrying sufficient diversification benefits for other stock markets. </w:t>
      </w:r>
      <w:r w:rsidR="00ED6AF8" w:rsidRPr="000D3AD1">
        <w:rPr>
          <w:rFonts w:ascii="Times New Roman" w:hAnsi="Times New Roman" w:cs="Times New Roman"/>
          <w:sz w:val="24"/>
          <w:szCs w:val="24"/>
        </w:rPr>
        <w:t xml:space="preserve">The studies of Karim et al. (2022a), </w:t>
      </w:r>
      <w:proofErr w:type="spellStart"/>
      <w:r w:rsidR="00ED6AF8" w:rsidRPr="000D3AD1">
        <w:rPr>
          <w:rFonts w:ascii="Times New Roman" w:hAnsi="Times New Roman" w:cs="Times New Roman"/>
          <w:sz w:val="24"/>
          <w:szCs w:val="24"/>
        </w:rPr>
        <w:t>Arif</w:t>
      </w:r>
      <w:proofErr w:type="spellEnd"/>
      <w:r w:rsidR="00ED6AF8" w:rsidRPr="000D3AD1">
        <w:rPr>
          <w:rFonts w:ascii="Times New Roman" w:hAnsi="Times New Roman" w:cs="Times New Roman"/>
          <w:sz w:val="24"/>
          <w:szCs w:val="24"/>
        </w:rPr>
        <w:t xml:space="preserve"> et al. (2021a), and </w:t>
      </w:r>
      <w:r w:rsidR="00C51F84" w:rsidRPr="000D3AD1">
        <w:rPr>
          <w:rFonts w:ascii="Times New Roman" w:hAnsi="Times New Roman" w:cs="Times New Roman"/>
          <w:sz w:val="24"/>
          <w:szCs w:val="24"/>
        </w:rPr>
        <w:t>Liu</w:t>
      </w:r>
      <w:r w:rsidR="00ED6AF8" w:rsidRPr="000D3AD1">
        <w:rPr>
          <w:rFonts w:ascii="Times New Roman" w:hAnsi="Times New Roman" w:cs="Times New Roman"/>
          <w:sz w:val="24"/>
          <w:szCs w:val="24"/>
        </w:rPr>
        <w:t xml:space="preserve"> et al. (202</w:t>
      </w:r>
      <w:r w:rsidR="00C51F84" w:rsidRPr="000D3AD1">
        <w:rPr>
          <w:rFonts w:ascii="Times New Roman" w:hAnsi="Times New Roman" w:cs="Times New Roman"/>
          <w:sz w:val="24"/>
          <w:szCs w:val="24"/>
        </w:rPr>
        <w:t>1</w:t>
      </w:r>
      <w:r w:rsidR="00ED6AF8" w:rsidRPr="000D3AD1">
        <w:rPr>
          <w:rFonts w:ascii="Times New Roman" w:hAnsi="Times New Roman" w:cs="Times New Roman"/>
          <w:sz w:val="24"/>
          <w:szCs w:val="24"/>
        </w:rPr>
        <w:t xml:space="preserve">) </w:t>
      </w:r>
      <w:r w:rsidR="00334600" w:rsidRPr="000D3AD1">
        <w:rPr>
          <w:rFonts w:ascii="Times New Roman" w:hAnsi="Times New Roman" w:cs="Times New Roman"/>
          <w:sz w:val="24"/>
          <w:szCs w:val="24"/>
        </w:rPr>
        <w:t xml:space="preserve">unveiled various useful features of sustainable, religious, and conventional markets but in </w:t>
      </w:r>
      <w:r w:rsidR="0073584E" w:rsidRPr="000D3AD1">
        <w:rPr>
          <w:rFonts w:ascii="Times New Roman" w:hAnsi="Times New Roman" w:cs="Times New Roman"/>
          <w:sz w:val="24"/>
          <w:szCs w:val="24"/>
        </w:rPr>
        <w:t xml:space="preserve">an </w:t>
      </w:r>
      <w:r w:rsidR="00334600" w:rsidRPr="000D3AD1">
        <w:rPr>
          <w:rFonts w:ascii="Times New Roman" w:hAnsi="Times New Roman" w:cs="Times New Roman"/>
          <w:sz w:val="24"/>
          <w:szCs w:val="24"/>
        </w:rPr>
        <w:t>independent market setting. Nguyen et al. (2020</w:t>
      </w:r>
      <w:r w:rsidR="00C51F84" w:rsidRPr="000D3AD1">
        <w:rPr>
          <w:rFonts w:ascii="Times New Roman" w:hAnsi="Times New Roman" w:cs="Times New Roman"/>
          <w:sz w:val="24"/>
          <w:szCs w:val="24"/>
        </w:rPr>
        <w:t>b</w:t>
      </w:r>
      <w:r w:rsidR="00334600" w:rsidRPr="000D3AD1">
        <w:rPr>
          <w:rFonts w:ascii="Times New Roman" w:hAnsi="Times New Roman" w:cs="Times New Roman"/>
          <w:sz w:val="24"/>
          <w:szCs w:val="24"/>
        </w:rPr>
        <w:t xml:space="preserve">) and Naeem and Karim (2021) also stressed the diversification avenues of green investments against various financial markets. Given the plethora of studies on religious investments, Chowdhury et al. (2021) examined the spillovers among 52 religious stocks and marked positive co-movement between religious stocks and their volatility. </w:t>
      </w:r>
      <w:proofErr w:type="spellStart"/>
      <w:r w:rsidR="00334600" w:rsidRPr="000D3AD1">
        <w:rPr>
          <w:rFonts w:ascii="Times New Roman" w:hAnsi="Times New Roman" w:cs="Times New Roman"/>
          <w:sz w:val="24"/>
          <w:szCs w:val="24"/>
        </w:rPr>
        <w:t>Arif</w:t>
      </w:r>
      <w:proofErr w:type="spellEnd"/>
      <w:r w:rsidR="00334600" w:rsidRPr="000D3AD1">
        <w:rPr>
          <w:rFonts w:ascii="Times New Roman" w:hAnsi="Times New Roman" w:cs="Times New Roman"/>
          <w:sz w:val="24"/>
          <w:szCs w:val="24"/>
        </w:rPr>
        <w:t xml:space="preserve"> et al. (2021</w:t>
      </w:r>
      <w:r w:rsidR="00C007F4" w:rsidRPr="000D3AD1">
        <w:rPr>
          <w:rFonts w:ascii="Times New Roman" w:hAnsi="Times New Roman" w:cs="Times New Roman"/>
          <w:sz w:val="24"/>
          <w:szCs w:val="24"/>
        </w:rPr>
        <w:t>b</w:t>
      </w:r>
      <w:r w:rsidR="00334600" w:rsidRPr="000D3AD1">
        <w:rPr>
          <w:rFonts w:ascii="Times New Roman" w:hAnsi="Times New Roman" w:cs="Times New Roman"/>
          <w:sz w:val="24"/>
          <w:szCs w:val="24"/>
        </w:rPr>
        <w:t xml:space="preserve">) acknowledged safe-haven features of religious stocks against G7 markets and reported useful diversification potential </w:t>
      </w:r>
      <w:r w:rsidR="00F423AA" w:rsidRPr="000D3AD1">
        <w:rPr>
          <w:rFonts w:ascii="Times New Roman" w:hAnsi="Times New Roman" w:cs="Times New Roman"/>
          <w:sz w:val="24"/>
          <w:szCs w:val="24"/>
        </w:rPr>
        <w:t xml:space="preserve">in religious investments. In the end, </w:t>
      </w:r>
      <w:proofErr w:type="spellStart"/>
      <w:r w:rsidR="00F423AA" w:rsidRPr="000D3AD1">
        <w:rPr>
          <w:rFonts w:ascii="Times New Roman" w:hAnsi="Times New Roman" w:cs="Times New Roman"/>
          <w:sz w:val="24"/>
          <w:szCs w:val="24"/>
        </w:rPr>
        <w:t>Yarovaya</w:t>
      </w:r>
      <w:proofErr w:type="spellEnd"/>
      <w:r w:rsidR="00F423AA" w:rsidRPr="000D3AD1">
        <w:rPr>
          <w:rFonts w:ascii="Times New Roman" w:hAnsi="Times New Roman" w:cs="Times New Roman"/>
          <w:sz w:val="24"/>
          <w:szCs w:val="24"/>
        </w:rPr>
        <w:t xml:space="preserve"> et al. (2020) separated three crisis periods to compare the religious and conventional stocks and documented </w:t>
      </w:r>
      <w:r w:rsidR="0073584E" w:rsidRPr="000D3AD1">
        <w:rPr>
          <w:rFonts w:ascii="Times New Roman" w:hAnsi="Times New Roman" w:cs="Times New Roman"/>
          <w:sz w:val="24"/>
          <w:szCs w:val="24"/>
        </w:rPr>
        <w:t xml:space="preserve">the </w:t>
      </w:r>
      <w:r w:rsidR="00F423AA" w:rsidRPr="000D3AD1">
        <w:rPr>
          <w:rFonts w:ascii="Times New Roman" w:hAnsi="Times New Roman" w:cs="Times New Roman"/>
          <w:sz w:val="24"/>
          <w:szCs w:val="24"/>
        </w:rPr>
        <w:t xml:space="preserve">persistent resilience of religious investments in the face of uncertainty and economic volatility. </w:t>
      </w:r>
    </w:p>
    <w:p w14:paraId="30E71E07" w14:textId="07A08117" w:rsidR="009D5F0B" w:rsidRPr="000D3AD1" w:rsidRDefault="00DA4B66" w:rsidP="00471034">
      <w:pPr>
        <w:spacing w:line="480" w:lineRule="auto"/>
        <w:jc w:val="both"/>
        <w:rPr>
          <w:rFonts w:ascii="Times New Roman" w:hAnsi="Times New Roman" w:cs="Times New Roman"/>
          <w:sz w:val="24"/>
          <w:szCs w:val="24"/>
        </w:rPr>
      </w:pPr>
      <w:r w:rsidRPr="000D3AD1">
        <w:rPr>
          <w:rFonts w:ascii="Times New Roman" w:hAnsi="Times New Roman" w:cs="Times New Roman"/>
          <w:sz w:val="24"/>
          <w:szCs w:val="24"/>
        </w:rPr>
        <w:t xml:space="preserve">Based on these studies, the current research uniquely contributes to the existing strand of literature by assessing the tail risk of sustainable, religious, and conventional markets. Building on the argument, these markets possess sufficient diversification potential to offset the devastating impacts of recurring economic and financial turmoil periods. Thus, the study categorizes the markets </w:t>
      </w:r>
      <w:r w:rsidR="00683D31" w:rsidRPr="000D3AD1">
        <w:rPr>
          <w:rFonts w:ascii="Times New Roman" w:hAnsi="Times New Roman" w:cs="Times New Roman"/>
          <w:sz w:val="24"/>
          <w:szCs w:val="24"/>
        </w:rPr>
        <w:t>on their tail risk exposure and net risk contribution</w:t>
      </w:r>
      <w:r w:rsidR="0073584E" w:rsidRPr="000D3AD1">
        <w:rPr>
          <w:rFonts w:ascii="Times New Roman" w:hAnsi="Times New Roman" w:cs="Times New Roman"/>
          <w:sz w:val="24"/>
          <w:szCs w:val="24"/>
        </w:rPr>
        <w:t>,</w:t>
      </w:r>
      <w:r w:rsidR="00683D31" w:rsidRPr="000D3AD1">
        <w:rPr>
          <w:rFonts w:ascii="Times New Roman" w:hAnsi="Times New Roman" w:cs="Times New Roman"/>
          <w:sz w:val="24"/>
          <w:szCs w:val="24"/>
        </w:rPr>
        <w:t xml:space="preserve"> as suggested by </w:t>
      </w:r>
      <w:proofErr w:type="spellStart"/>
      <w:r w:rsidR="00683D31" w:rsidRPr="000D3AD1">
        <w:rPr>
          <w:rFonts w:ascii="Times New Roman" w:hAnsi="Times New Roman" w:cs="Times New Roman"/>
          <w:sz w:val="24"/>
          <w:szCs w:val="24"/>
        </w:rPr>
        <w:t>Keilbar</w:t>
      </w:r>
      <w:proofErr w:type="spellEnd"/>
      <w:r w:rsidR="00683D31" w:rsidRPr="000D3AD1">
        <w:rPr>
          <w:rFonts w:ascii="Times New Roman" w:hAnsi="Times New Roman" w:cs="Times New Roman"/>
          <w:sz w:val="24"/>
          <w:szCs w:val="24"/>
        </w:rPr>
        <w:t xml:space="preserve"> and Wang (2021). </w:t>
      </w:r>
      <w:r w:rsidRPr="000D3AD1">
        <w:rPr>
          <w:rFonts w:ascii="Times New Roman" w:hAnsi="Times New Roman" w:cs="Times New Roman"/>
          <w:sz w:val="24"/>
          <w:szCs w:val="24"/>
        </w:rPr>
        <w:t xml:space="preserve"> </w:t>
      </w:r>
      <w:r w:rsidR="00334600" w:rsidRPr="000D3AD1">
        <w:rPr>
          <w:rFonts w:ascii="Times New Roman" w:hAnsi="Times New Roman" w:cs="Times New Roman"/>
          <w:sz w:val="24"/>
          <w:szCs w:val="24"/>
        </w:rPr>
        <w:t xml:space="preserve"> </w:t>
      </w:r>
    </w:p>
    <w:p w14:paraId="6EEE1067" w14:textId="57718A98" w:rsidR="00772600" w:rsidRPr="000D3AD1" w:rsidRDefault="00772600" w:rsidP="00772600">
      <w:pPr>
        <w:spacing w:line="480" w:lineRule="auto"/>
        <w:rPr>
          <w:rFonts w:ascii="Times New Roman" w:hAnsi="Times New Roman" w:cs="Times New Roman"/>
          <w:b/>
          <w:bCs/>
          <w:sz w:val="24"/>
          <w:szCs w:val="24"/>
        </w:rPr>
      </w:pPr>
      <w:r w:rsidRPr="000D3AD1">
        <w:rPr>
          <w:rFonts w:ascii="Times New Roman" w:hAnsi="Times New Roman" w:cs="Times New Roman"/>
          <w:b/>
          <w:bCs/>
          <w:sz w:val="24"/>
          <w:szCs w:val="24"/>
        </w:rPr>
        <w:lastRenderedPageBreak/>
        <w:t>3. Methodology</w:t>
      </w:r>
    </w:p>
    <w:p w14:paraId="0B8F56EF" w14:textId="78F256EE" w:rsidR="00FF3B88" w:rsidRPr="000D3AD1" w:rsidRDefault="00FF3B88" w:rsidP="00772600">
      <w:pPr>
        <w:spacing w:line="480" w:lineRule="auto"/>
        <w:jc w:val="both"/>
        <w:rPr>
          <w:rFonts w:ascii="Times New Roman" w:hAnsi="Times New Roman" w:cs="Times New Roman"/>
          <w:bCs/>
          <w:sz w:val="24"/>
          <w:szCs w:val="24"/>
        </w:rPr>
      </w:pPr>
      <w:r w:rsidRPr="000D3AD1">
        <w:rPr>
          <w:rFonts w:ascii="Times New Roman" w:hAnsi="Times New Roman" w:cs="Times New Roman"/>
          <w:bCs/>
          <w:sz w:val="24"/>
          <w:szCs w:val="24"/>
        </w:rPr>
        <w:t xml:space="preserve">This section represents </w:t>
      </w:r>
      <w:r w:rsidR="0073584E" w:rsidRPr="000D3AD1">
        <w:rPr>
          <w:rFonts w:ascii="Times New Roman" w:hAnsi="Times New Roman" w:cs="Times New Roman"/>
          <w:bCs/>
          <w:sz w:val="24"/>
          <w:szCs w:val="24"/>
        </w:rPr>
        <w:t xml:space="preserve">the </w:t>
      </w:r>
      <w:r w:rsidR="000219BE" w:rsidRPr="000D3AD1">
        <w:rPr>
          <w:rFonts w:ascii="Times New Roman" w:hAnsi="Times New Roman" w:cs="Times New Roman"/>
          <w:bCs/>
          <w:sz w:val="24"/>
          <w:szCs w:val="24"/>
        </w:rPr>
        <w:t xml:space="preserve">methodological approach of measuring systematic risk. It involves four steps to comprehensively assess the systematic risk of markets included in the study. </w:t>
      </w:r>
      <w:r w:rsidR="0073584E" w:rsidRPr="000D3AD1">
        <w:rPr>
          <w:rFonts w:ascii="Times New Roman" w:hAnsi="Times New Roman" w:cs="Times New Roman"/>
          <w:bCs/>
          <w:sz w:val="24"/>
          <w:szCs w:val="24"/>
        </w:rPr>
        <w:t>F</w:t>
      </w:r>
      <w:r w:rsidR="000219BE" w:rsidRPr="000D3AD1">
        <w:rPr>
          <w:rFonts w:ascii="Times New Roman" w:hAnsi="Times New Roman" w:cs="Times New Roman"/>
          <w:bCs/>
          <w:sz w:val="24"/>
          <w:szCs w:val="24"/>
        </w:rPr>
        <w:t>irst</w:t>
      </w:r>
      <w:r w:rsidR="0073584E" w:rsidRPr="000D3AD1">
        <w:rPr>
          <w:rFonts w:ascii="Times New Roman" w:hAnsi="Times New Roman" w:cs="Times New Roman"/>
          <w:bCs/>
          <w:sz w:val="24"/>
          <w:szCs w:val="24"/>
        </w:rPr>
        <w:t>, we</w:t>
      </w:r>
      <w:r w:rsidR="000219BE" w:rsidRPr="000D3AD1">
        <w:rPr>
          <w:rFonts w:ascii="Times New Roman" w:hAnsi="Times New Roman" w:cs="Times New Roman"/>
          <w:bCs/>
          <w:sz w:val="24"/>
          <w:szCs w:val="24"/>
        </w:rPr>
        <w:t xml:space="preserve"> estimate the Value-at-Risk (</w:t>
      </w:r>
      <w:proofErr w:type="spellStart"/>
      <w:r w:rsidR="000219BE" w:rsidRPr="000D3AD1">
        <w:rPr>
          <w:rFonts w:ascii="Times New Roman" w:hAnsi="Times New Roman" w:cs="Times New Roman"/>
          <w:bCs/>
          <w:sz w:val="24"/>
          <w:szCs w:val="24"/>
        </w:rPr>
        <w:t>VaR</w:t>
      </w:r>
      <w:proofErr w:type="spellEnd"/>
      <w:r w:rsidR="000219BE" w:rsidRPr="000D3AD1">
        <w:rPr>
          <w:rFonts w:ascii="Times New Roman" w:hAnsi="Times New Roman" w:cs="Times New Roman"/>
          <w:bCs/>
          <w:sz w:val="24"/>
          <w:szCs w:val="24"/>
        </w:rPr>
        <w:t xml:space="preserve">) by utilizing the linear quantile regression of </w:t>
      </w:r>
      <w:r w:rsidR="001573FC" w:rsidRPr="000D3AD1">
        <w:rPr>
          <w:rFonts w:ascii="Times New Roman" w:hAnsi="Times New Roman" w:cs="Times New Roman"/>
          <w:bCs/>
          <w:sz w:val="24"/>
          <w:szCs w:val="24"/>
        </w:rPr>
        <w:t xml:space="preserve">religious, sustainable, and conventional </w:t>
      </w:r>
      <w:r w:rsidR="000219BE" w:rsidRPr="000D3AD1">
        <w:rPr>
          <w:rFonts w:ascii="Times New Roman" w:hAnsi="Times New Roman" w:cs="Times New Roman"/>
          <w:bCs/>
          <w:sz w:val="24"/>
          <w:szCs w:val="24"/>
        </w:rPr>
        <w:t xml:space="preserve">markets. The results of step one </w:t>
      </w:r>
      <w:proofErr w:type="gramStart"/>
      <w:r w:rsidR="000219BE" w:rsidRPr="000D3AD1">
        <w:rPr>
          <w:rFonts w:ascii="Times New Roman" w:hAnsi="Times New Roman" w:cs="Times New Roman"/>
          <w:bCs/>
          <w:sz w:val="24"/>
          <w:szCs w:val="24"/>
        </w:rPr>
        <w:t>are</w:t>
      </w:r>
      <w:proofErr w:type="gramEnd"/>
      <w:r w:rsidR="000219BE" w:rsidRPr="000D3AD1">
        <w:rPr>
          <w:rFonts w:ascii="Times New Roman" w:hAnsi="Times New Roman" w:cs="Times New Roman"/>
          <w:bCs/>
          <w:sz w:val="24"/>
          <w:szCs w:val="24"/>
        </w:rPr>
        <w:t xml:space="preserve"> further used in step two to analyze the conditional </w:t>
      </w:r>
      <w:proofErr w:type="spellStart"/>
      <w:r w:rsidR="000219BE" w:rsidRPr="000D3AD1">
        <w:rPr>
          <w:rFonts w:ascii="Times New Roman" w:hAnsi="Times New Roman" w:cs="Times New Roman"/>
          <w:bCs/>
          <w:sz w:val="24"/>
          <w:szCs w:val="24"/>
        </w:rPr>
        <w:t>VaR</w:t>
      </w:r>
      <w:proofErr w:type="spellEnd"/>
      <w:r w:rsidR="000219BE" w:rsidRPr="000D3AD1">
        <w:rPr>
          <w:rFonts w:ascii="Times New Roman" w:hAnsi="Times New Roman" w:cs="Times New Roman"/>
          <w:bCs/>
          <w:sz w:val="24"/>
          <w:szCs w:val="24"/>
        </w:rPr>
        <w:t xml:space="preserve"> (</w:t>
      </w:r>
      <w:proofErr w:type="spellStart"/>
      <w:r w:rsidR="000219BE" w:rsidRPr="000D3AD1">
        <w:rPr>
          <w:rFonts w:ascii="Times New Roman" w:hAnsi="Times New Roman" w:cs="Times New Roman"/>
          <w:bCs/>
          <w:sz w:val="24"/>
          <w:szCs w:val="24"/>
        </w:rPr>
        <w:t>CoVaR</w:t>
      </w:r>
      <w:proofErr w:type="spellEnd"/>
      <w:r w:rsidR="000219BE" w:rsidRPr="000D3AD1">
        <w:rPr>
          <w:rFonts w:ascii="Times New Roman" w:hAnsi="Times New Roman" w:cs="Times New Roman"/>
          <w:bCs/>
          <w:sz w:val="24"/>
          <w:szCs w:val="24"/>
        </w:rPr>
        <w:t xml:space="preserve">) for each market by applying </w:t>
      </w:r>
      <w:r w:rsidR="0073584E" w:rsidRPr="000D3AD1">
        <w:rPr>
          <w:rFonts w:ascii="Times New Roman" w:hAnsi="Times New Roman" w:cs="Times New Roman"/>
          <w:bCs/>
          <w:sz w:val="24"/>
          <w:szCs w:val="24"/>
        </w:rPr>
        <w:t xml:space="preserve">a </w:t>
      </w:r>
      <w:r w:rsidR="000219BE" w:rsidRPr="000D3AD1">
        <w:rPr>
          <w:rFonts w:ascii="Times New Roman" w:hAnsi="Times New Roman" w:cs="Times New Roman"/>
          <w:bCs/>
          <w:sz w:val="24"/>
          <w:szCs w:val="24"/>
        </w:rPr>
        <w:t xml:space="preserve">quantile regression neural network. The next step involves examining the marginal effects for modeling the systematic risk spillovers resulting in the time-varying systematic risk network. Finally, three systematic risk measures are modeled based on the systematic risk network. </w:t>
      </w:r>
    </w:p>
    <w:p w14:paraId="7585A156" w14:textId="06DC0895" w:rsidR="00772600" w:rsidRPr="000D3AD1" w:rsidRDefault="00772600" w:rsidP="00772600">
      <w:pPr>
        <w:spacing w:line="480" w:lineRule="auto"/>
        <w:jc w:val="both"/>
        <w:rPr>
          <w:rFonts w:ascii="Times New Roman" w:hAnsi="Times New Roman" w:cs="Times New Roman"/>
          <w:bCs/>
          <w:i/>
          <w:sz w:val="24"/>
          <w:szCs w:val="24"/>
        </w:rPr>
      </w:pPr>
      <w:r w:rsidRPr="000D3AD1">
        <w:rPr>
          <w:rFonts w:ascii="Times New Roman" w:hAnsi="Times New Roman" w:cs="Times New Roman"/>
          <w:bCs/>
          <w:i/>
          <w:sz w:val="24"/>
          <w:szCs w:val="24"/>
        </w:rPr>
        <w:t xml:space="preserve">3.1 Step 1: </w:t>
      </w:r>
      <w:proofErr w:type="spellStart"/>
      <w:r w:rsidRPr="000D3AD1">
        <w:rPr>
          <w:rFonts w:ascii="Times New Roman" w:hAnsi="Times New Roman" w:cs="Times New Roman"/>
          <w:bCs/>
          <w:i/>
          <w:sz w:val="24"/>
          <w:szCs w:val="24"/>
        </w:rPr>
        <w:t>VaR</w:t>
      </w:r>
      <w:proofErr w:type="spellEnd"/>
      <w:r w:rsidR="000219BE" w:rsidRPr="000D3AD1">
        <w:rPr>
          <w:rFonts w:ascii="Times New Roman" w:hAnsi="Times New Roman" w:cs="Times New Roman"/>
          <w:bCs/>
          <w:i/>
          <w:sz w:val="24"/>
          <w:szCs w:val="24"/>
        </w:rPr>
        <w:t xml:space="preserve"> Estimation</w:t>
      </w:r>
    </w:p>
    <w:p w14:paraId="228B5894" w14:textId="17004878" w:rsidR="00772600" w:rsidRPr="000D3AD1" w:rsidRDefault="000219BE" w:rsidP="007E49BB">
      <w:pPr>
        <w:spacing w:line="480" w:lineRule="auto"/>
        <w:jc w:val="both"/>
        <w:rPr>
          <w:rFonts w:ascii="Times New Roman" w:eastAsiaTheme="minorEastAsia" w:hAnsi="Times New Roman" w:cs="Times New Roman"/>
          <w:bCs/>
          <w:sz w:val="24"/>
          <w:szCs w:val="24"/>
        </w:rPr>
      </w:pPr>
      <w:proofErr w:type="spellStart"/>
      <w:r w:rsidRPr="000D3AD1">
        <w:rPr>
          <w:rFonts w:ascii="Times New Roman" w:hAnsi="Times New Roman" w:cs="Times New Roman"/>
          <w:bCs/>
          <w:sz w:val="24"/>
          <w:szCs w:val="24"/>
        </w:rPr>
        <w:t>VaR</w:t>
      </w:r>
      <w:proofErr w:type="spellEnd"/>
      <w:r w:rsidRPr="000D3AD1">
        <w:rPr>
          <w:rFonts w:ascii="Times New Roman" w:hAnsi="Times New Roman" w:cs="Times New Roman"/>
          <w:bCs/>
          <w:sz w:val="24"/>
          <w:szCs w:val="24"/>
        </w:rPr>
        <w:t xml:space="preserve"> is defined as the maximum loss </w:t>
      </w:r>
      <w:r w:rsidR="007E49BB" w:rsidRPr="000D3AD1">
        <w:rPr>
          <w:rFonts w:ascii="Times New Roman" w:hAnsi="Times New Roman" w:cs="Times New Roman"/>
          <w:bCs/>
          <w:sz w:val="24"/>
          <w:szCs w:val="24"/>
        </w:rPr>
        <w:t xml:space="preserve">for a particular fixed period with a specified </w:t>
      </w:r>
      <w:r w:rsidR="0073584E" w:rsidRPr="000D3AD1">
        <w:rPr>
          <w:rFonts w:ascii="Times New Roman" w:hAnsi="Times New Roman" w:cs="Times New Roman"/>
          <w:bCs/>
          <w:sz w:val="24"/>
          <w:szCs w:val="24"/>
        </w:rPr>
        <w:t>confidence level</w:t>
      </w:r>
      <w:r w:rsidR="007E49BB" w:rsidRPr="000D3AD1">
        <w:rPr>
          <w:rFonts w:ascii="Times New Roman" w:hAnsi="Times New Roman" w:cs="Times New Roman"/>
          <w:bCs/>
          <w:sz w:val="24"/>
          <w:szCs w:val="24"/>
        </w:rPr>
        <w:t xml:space="preserve">. Calculating the </w:t>
      </w:r>
      <w:proofErr w:type="spellStart"/>
      <w:r w:rsidR="007E49BB" w:rsidRPr="000D3AD1">
        <w:rPr>
          <w:rFonts w:ascii="Times New Roman" w:hAnsi="Times New Roman" w:cs="Times New Roman"/>
          <w:bCs/>
          <w:sz w:val="24"/>
          <w:szCs w:val="24"/>
        </w:rPr>
        <w:t>VaR</w:t>
      </w:r>
      <w:proofErr w:type="spellEnd"/>
      <w:r w:rsidR="007E49BB" w:rsidRPr="000D3AD1">
        <w:rPr>
          <w:rFonts w:ascii="Times New Roman" w:hAnsi="Times New Roman" w:cs="Times New Roman"/>
          <w:bCs/>
          <w:sz w:val="24"/>
          <w:szCs w:val="24"/>
        </w:rPr>
        <w:t xml:space="preserve"> offers fundamentals for measuring the market risk of </w:t>
      </w:r>
      <w:r w:rsidR="001573FC" w:rsidRPr="000D3AD1">
        <w:rPr>
          <w:rFonts w:ascii="Times New Roman" w:hAnsi="Times New Roman" w:cs="Times New Roman"/>
          <w:bCs/>
          <w:sz w:val="24"/>
          <w:szCs w:val="24"/>
        </w:rPr>
        <w:t xml:space="preserve">religious, sustainable, and conventional </w:t>
      </w:r>
      <w:r w:rsidR="007E49BB" w:rsidRPr="000D3AD1">
        <w:rPr>
          <w:rFonts w:ascii="Times New Roman" w:hAnsi="Times New Roman" w:cs="Times New Roman"/>
          <w:bCs/>
          <w:sz w:val="24"/>
          <w:szCs w:val="24"/>
        </w:rPr>
        <w:t xml:space="preserve">stock markets. Numerically, this operation is </w:t>
      </w:r>
      <w:r w:rsidR="00772600" w:rsidRPr="000D3AD1">
        <w:rPr>
          <w:rFonts w:ascii="Times New Roman" w:hAnsi="Times New Roman" w:cs="Times New Roman"/>
          <w:bCs/>
          <w:sz w:val="24"/>
          <w:szCs w:val="24"/>
        </w:rPr>
        <w:t>the</w:t>
      </w:r>
      <w:r w:rsidR="007E49BB" w:rsidRPr="000D3AD1">
        <w:rPr>
          <w:rFonts w:ascii="Times New Roman" w:hAnsi="Times New Roman" w:cs="Times New Roman"/>
          <w:bCs/>
          <w:sz w:val="24"/>
          <w:szCs w:val="24"/>
        </w:rPr>
        <w:t xml:space="preserve"> return distribution of</w:t>
      </w:r>
      <w:r w:rsidR="00772600" w:rsidRPr="000D3AD1">
        <w:rPr>
          <w:rFonts w:ascii="Times New Roman" w:hAnsi="Times New Roman" w:cs="Times New Roman"/>
          <w:bCs/>
          <w:sz w:val="24"/>
          <w:szCs w:val="24"/>
        </w:rPr>
        <w:t xml:space="preserve"> </w:t>
      </w:r>
      <m:oMath>
        <m:r>
          <w:rPr>
            <w:rFonts w:ascii="Cambria Math" w:hAnsi="Cambria Math" w:cs="Times New Roman"/>
            <w:sz w:val="24"/>
            <w:szCs w:val="24"/>
          </w:rPr>
          <m:t>τ</m:t>
        </m:r>
      </m:oMath>
      <w:r w:rsidR="00772600" w:rsidRPr="000D3AD1">
        <w:rPr>
          <w:rFonts w:ascii="Times New Roman" w:eastAsiaTheme="minorEastAsia" w:hAnsi="Times New Roman" w:cs="Times New Roman"/>
          <w:bCs/>
          <w:sz w:val="24"/>
          <w:szCs w:val="24"/>
        </w:rPr>
        <w:t>-quantile</w:t>
      </w:r>
      <w:r w:rsidR="007E49BB" w:rsidRPr="000D3AD1">
        <w:rPr>
          <w:rFonts w:ascii="Times New Roman" w:eastAsiaTheme="minorEastAsia" w:hAnsi="Times New Roman" w:cs="Times New Roman"/>
          <w:bCs/>
          <w:sz w:val="24"/>
          <w:szCs w:val="24"/>
        </w:rPr>
        <w:t xml:space="preserve"> stated as:</w:t>
      </w:r>
      <w:r w:rsidR="00772600" w:rsidRPr="000D3AD1">
        <w:rPr>
          <w:rFonts w:ascii="Times New Roman" w:eastAsiaTheme="minorEastAsia" w:hAnsi="Times New Roman" w:cs="Times New Roman"/>
          <w:bCs/>
          <w:sz w:val="24"/>
          <w:szCs w:val="24"/>
        </w:rPr>
        <w:t xml:space="preserve"> </w:t>
      </w:r>
    </w:p>
    <w:p w14:paraId="56D1F4D0" w14:textId="77777777" w:rsidR="00772600" w:rsidRPr="000D3AD1" w:rsidRDefault="00772600" w:rsidP="00772600">
      <w:pPr>
        <w:spacing w:line="480" w:lineRule="auto"/>
        <w:jc w:val="both"/>
        <w:rPr>
          <w:rFonts w:ascii="Times New Roman" w:eastAsiaTheme="minorEastAsia" w:hAnsi="Times New Roman" w:cs="Times New Roman"/>
          <w:bCs/>
          <w:sz w:val="24"/>
          <w:szCs w:val="24"/>
        </w:rPr>
      </w:pPr>
      <m:oMath>
        <m:r>
          <w:rPr>
            <w:rFonts w:ascii="Cambria Math" w:hAnsi="Cambria Math" w:cs="Times New Roman"/>
            <w:sz w:val="24"/>
            <w:szCs w:val="24"/>
          </w:rPr>
          <m:t>P</m:t>
        </m:r>
        <m:d>
          <m:dPr>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it</m:t>
                </m:r>
              </m:sub>
            </m:sSub>
            <m:r>
              <w:rPr>
                <w:rFonts w:ascii="Cambria Math" w:hAnsi="Cambria Math" w:cs="Times New Roman"/>
                <w:sz w:val="24"/>
                <w:szCs w:val="24"/>
              </w:rPr>
              <m:t>≤</m:t>
            </m:r>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τ</m:t>
                </m:r>
              </m:sup>
            </m:sSubSup>
          </m:e>
        </m:d>
        <m:r>
          <w:rPr>
            <w:rFonts w:ascii="Cambria Math" w:hAnsi="Cambria Math" w:cs="Times New Roman"/>
            <w:sz w:val="24"/>
            <w:szCs w:val="24"/>
          </w:rPr>
          <m:t>= τ</m:t>
        </m:r>
      </m:oMath>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r>
      <w:r w:rsidRPr="000D3AD1">
        <w:rPr>
          <w:rFonts w:ascii="Times New Roman" w:eastAsiaTheme="minorEastAsia" w:hAnsi="Times New Roman" w:cs="Times New Roman"/>
          <w:sz w:val="24"/>
          <w:szCs w:val="24"/>
        </w:rPr>
        <w:tab/>
        <w:t>(1)</w:t>
      </w:r>
    </w:p>
    <w:p w14:paraId="4FA9C19A" w14:textId="244D1DF5"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where </w:t>
      </w:r>
      <w:proofErr w:type="spellStart"/>
      <w:r w:rsidRPr="000D3AD1">
        <w:rPr>
          <w:rFonts w:ascii="Times New Roman" w:eastAsiaTheme="minorEastAsia" w:hAnsi="Times New Roman" w:cs="Times New Roman"/>
          <w:bCs/>
          <w:i/>
          <w:sz w:val="24"/>
          <w:szCs w:val="24"/>
        </w:rPr>
        <w:t>X</w:t>
      </w:r>
      <w:r w:rsidRPr="000D3AD1">
        <w:rPr>
          <w:rFonts w:ascii="Times New Roman" w:eastAsiaTheme="minorEastAsia" w:hAnsi="Times New Roman" w:cs="Times New Roman"/>
          <w:bCs/>
          <w:i/>
          <w:sz w:val="24"/>
          <w:szCs w:val="24"/>
          <w:vertAlign w:val="subscript"/>
        </w:rPr>
        <w:t>it</w:t>
      </w:r>
      <w:proofErr w:type="spellEnd"/>
      <w:r w:rsidRPr="000D3AD1">
        <w:rPr>
          <w:rFonts w:ascii="Times New Roman" w:eastAsiaTheme="minorEastAsia" w:hAnsi="Times New Roman" w:cs="Times New Roman"/>
          <w:bCs/>
          <w:sz w:val="24"/>
          <w:szCs w:val="24"/>
          <w:vertAlign w:val="subscript"/>
        </w:rPr>
        <w:t xml:space="preserve"> </w:t>
      </w:r>
      <w:r w:rsidRPr="000D3AD1">
        <w:rPr>
          <w:rFonts w:ascii="Times New Roman" w:eastAsiaTheme="minorEastAsia" w:hAnsi="Times New Roman" w:cs="Times New Roman"/>
          <w:bCs/>
          <w:sz w:val="24"/>
          <w:szCs w:val="24"/>
        </w:rPr>
        <w:t xml:space="preserve">is the return of a </w:t>
      </w:r>
      <w:r w:rsidR="007E49BB" w:rsidRPr="000D3AD1">
        <w:rPr>
          <w:rFonts w:ascii="Times New Roman" w:eastAsiaTheme="minorEastAsia" w:hAnsi="Times New Roman" w:cs="Times New Roman"/>
          <w:bCs/>
          <w:sz w:val="24"/>
          <w:szCs w:val="24"/>
        </w:rPr>
        <w:t xml:space="preserve">market (green, conventional, and Islamic) </w:t>
      </w:r>
      <w:proofErr w:type="spellStart"/>
      <w:r w:rsidRPr="000D3AD1">
        <w:rPr>
          <w:rFonts w:ascii="Times New Roman" w:eastAsiaTheme="minorEastAsia" w:hAnsi="Times New Roman" w:cs="Times New Roman"/>
          <w:bCs/>
          <w:i/>
          <w:sz w:val="24"/>
          <w:szCs w:val="24"/>
        </w:rPr>
        <w:t>i</w:t>
      </w:r>
      <w:proofErr w:type="spellEnd"/>
      <w:r w:rsidRPr="000D3AD1">
        <w:rPr>
          <w:rFonts w:ascii="Times New Roman" w:eastAsiaTheme="minorEastAsia" w:hAnsi="Times New Roman" w:cs="Times New Roman"/>
          <w:bCs/>
          <w:i/>
          <w:sz w:val="24"/>
          <w:szCs w:val="24"/>
        </w:rPr>
        <w:t xml:space="preserve"> </w:t>
      </w:r>
      <w:r w:rsidRPr="000D3AD1">
        <w:rPr>
          <w:rFonts w:ascii="Times New Roman" w:eastAsiaTheme="minorEastAsia" w:hAnsi="Times New Roman" w:cs="Times New Roman"/>
          <w:bCs/>
          <w:sz w:val="24"/>
          <w:szCs w:val="24"/>
        </w:rPr>
        <w:t xml:space="preserve">at time </w:t>
      </w:r>
      <w:r w:rsidRPr="000D3AD1">
        <w:rPr>
          <w:rFonts w:ascii="Times New Roman" w:eastAsiaTheme="minorEastAsia" w:hAnsi="Times New Roman" w:cs="Times New Roman"/>
          <w:bCs/>
          <w:i/>
          <w:sz w:val="24"/>
          <w:szCs w:val="24"/>
        </w:rPr>
        <w:t>t</w:t>
      </w:r>
      <w:r w:rsidRPr="000D3AD1">
        <w:rPr>
          <w:rFonts w:ascii="Times New Roman" w:eastAsiaTheme="minorEastAsia" w:hAnsi="Times New Roman" w:cs="Times New Roman"/>
          <w:bCs/>
          <w:sz w:val="24"/>
          <w:szCs w:val="24"/>
        </w:rPr>
        <w:t xml:space="preserve"> and </w:t>
      </w:r>
      <m:oMath>
        <m:r>
          <w:rPr>
            <w:rFonts w:ascii="Cambria Math" w:eastAsiaTheme="minorEastAsia" w:hAnsi="Cambria Math" w:cs="Times New Roman"/>
            <w:sz w:val="24"/>
            <w:szCs w:val="24"/>
          </w:rPr>
          <m:t>τ∈(0, 1)</m:t>
        </m:r>
      </m:oMath>
      <w:r w:rsidRPr="000D3AD1">
        <w:rPr>
          <w:rFonts w:ascii="Times New Roman" w:eastAsiaTheme="minorEastAsia" w:hAnsi="Times New Roman" w:cs="Times New Roman"/>
          <w:bCs/>
          <w:sz w:val="24"/>
          <w:szCs w:val="24"/>
        </w:rPr>
        <w:t xml:space="preserve"> is the </w:t>
      </w:r>
      <w:r w:rsidR="0073584E" w:rsidRPr="000D3AD1">
        <w:rPr>
          <w:rFonts w:ascii="Times New Roman" w:eastAsiaTheme="minorEastAsia" w:hAnsi="Times New Roman" w:cs="Times New Roman"/>
          <w:bCs/>
          <w:sz w:val="24"/>
          <w:szCs w:val="24"/>
        </w:rPr>
        <w:t>quantile level</w:t>
      </w:r>
      <w:r w:rsidRPr="000D3AD1">
        <w:rPr>
          <w:rFonts w:ascii="Times New Roman" w:eastAsiaTheme="minorEastAsia" w:hAnsi="Times New Roman" w:cs="Times New Roman"/>
          <w:bCs/>
          <w:sz w:val="24"/>
          <w:szCs w:val="24"/>
        </w:rPr>
        <w:t xml:space="preserve">. </w:t>
      </w:r>
      <w:r w:rsidR="0073584E" w:rsidRPr="000D3AD1">
        <w:rPr>
          <w:rFonts w:ascii="Times New Roman" w:eastAsiaTheme="minorEastAsia" w:hAnsi="Times New Roman" w:cs="Times New Roman"/>
          <w:bCs/>
          <w:sz w:val="24"/>
          <w:szCs w:val="24"/>
        </w:rPr>
        <w:t xml:space="preserve">Engle and </w:t>
      </w:r>
      <w:proofErr w:type="spellStart"/>
      <w:r w:rsidR="0073584E" w:rsidRPr="000D3AD1">
        <w:rPr>
          <w:rFonts w:ascii="Times New Roman" w:eastAsiaTheme="minorEastAsia" w:hAnsi="Times New Roman" w:cs="Times New Roman"/>
          <w:bCs/>
          <w:sz w:val="24"/>
          <w:szCs w:val="24"/>
        </w:rPr>
        <w:t>Manganelli</w:t>
      </w:r>
      <w:proofErr w:type="spellEnd"/>
      <w:r w:rsidR="0073584E" w:rsidRPr="000D3AD1">
        <w:rPr>
          <w:rFonts w:ascii="Times New Roman" w:eastAsiaTheme="minorEastAsia" w:hAnsi="Times New Roman" w:cs="Times New Roman"/>
          <w:bCs/>
          <w:sz w:val="24"/>
          <w:szCs w:val="24"/>
        </w:rPr>
        <w:t xml:space="preserve"> (2004)</w:t>
      </w:r>
      <w:r w:rsidR="00211122" w:rsidRPr="000D3AD1">
        <w:rPr>
          <w:rFonts w:ascii="Times New Roman" w:eastAsiaTheme="minorEastAsia" w:hAnsi="Times New Roman" w:cs="Times New Roman"/>
          <w:bCs/>
          <w:sz w:val="24"/>
          <w:szCs w:val="24"/>
        </w:rPr>
        <w:t xml:space="preserve"> employed the dynamic quantile technique known as </w:t>
      </w:r>
      <w:proofErr w:type="spellStart"/>
      <w:r w:rsidR="00211122" w:rsidRPr="000D3AD1">
        <w:rPr>
          <w:rFonts w:ascii="Times New Roman" w:eastAsiaTheme="minorEastAsia" w:hAnsi="Times New Roman" w:cs="Times New Roman"/>
          <w:bCs/>
          <w:sz w:val="24"/>
          <w:szCs w:val="24"/>
        </w:rPr>
        <w:t>CAViaR</w:t>
      </w:r>
      <w:proofErr w:type="spellEnd"/>
      <w:r w:rsidR="00211122" w:rsidRPr="000D3AD1">
        <w:rPr>
          <w:rFonts w:ascii="Times New Roman" w:eastAsiaTheme="minorEastAsia" w:hAnsi="Times New Roman" w:cs="Times New Roman"/>
          <w:bCs/>
          <w:sz w:val="24"/>
          <w:szCs w:val="24"/>
        </w:rPr>
        <w:t xml:space="preserve"> and </w:t>
      </w:r>
      <w:r w:rsidR="007E49BB" w:rsidRPr="000D3AD1">
        <w:rPr>
          <w:rFonts w:ascii="Times New Roman" w:eastAsiaTheme="minorEastAsia" w:hAnsi="Times New Roman" w:cs="Times New Roman"/>
          <w:bCs/>
          <w:sz w:val="24"/>
          <w:szCs w:val="24"/>
        </w:rPr>
        <w:t xml:space="preserve">compared three different specifications. </w:t>
      </w:r>
      <w:r w:rsidR="00211122" w:rsidRPr="000D3AD1">
        <w:rPr>
          <w:rFonts w:ascii="Times New Roman" w:eastAsiaTheme="minorEastAsia" w:hAnsi="Times New Roman" w:cs="Times New Roman"/>
          <w:bCs/>
          <w:sz w:val="24"/>
          <w:szCs w:val="24"/>
        </w:rPr>
        <w:t xml:space="preserve">Following this, we consider the symmetric absolute value (SAV) for </w:t>
      </w:r>
      <w:proofErr w:type="spellStart"/>
      <w:r w:rsidR="00211122" w:rsidRPr="000D3AD1">
        <w:rPr>
          <w:rFonts w:ascii="Times New Roman" w:eastAsiaTheme="minorEastAsia" w:hAnsi="Times New Roman" w:cs="Times New Roman"/>
          <w:bCs/>
          <w:sz w:val="24"/>
          <w:szCs w:val="24"/>
        </w:rPr>
        <w:t>VaR</w:t>
      </w:r>
      <w:proofErr w:type="spellEnd"/>
      <w:r w:rsidR="00211122" w:rsidRPr="000D3AD1">
        <w:rPr>
          <w:rFonts w:ascii="Times New Roman" w:eastAsiaTheme="minorEastAsia" w:hAnsi="Times New Roman" w:cs="Times New Roman"/>
          <w:bCs/>
          <w:sz w:val="24"/>
          <w:szCs w:val="24"/>
        </w:rPr>
        <w:t xml:space="preserve"> given as:</w:t>
      </w:r>
    </w:p>
    <w:p w14:paraId="3E751C51"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SAV,τ</m:t>
            </m:r>
          </m:sup>
        </m:sSubSup>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i1</m:t>
            </m:r>
          </m:sub>
        </m:sSub>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i2</m:t>
            </m:r>
          </m:sub>
        </m:sSub>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it-1</m:t>
            </m:r>
          </m:sub>
          <m:sup>
            <m:r>
              <w:rPr>
                <w:rFonts w:ascii="Cambria Math" w:hAnsi="Cambria Math" w:cs="Times New Roman"/>
                <w:sz w:val="24"/>
                <w:szCs w:val="24"/>
              </w:rPr>
              <m:t>SAV,τ</m:t>
            </m:r>
          </m:sup>
        </m:sSubSup>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i3</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it-1</m:t>
            </m:r>
          </m:sub>
        </m:sSub>
        <m:r>
          <w:rPr>
            <w:rFonts w:ascii="Cambria Math" w:hAnsi="Cambria Math" w:cs="Times New Roman"/>
            <w:sz w:val="24"/>
            <w:szCs w:val="24"/>
          </w:rPr>
          <m:t>|</m:t>
        </m:r>
      </m:oMath>
      <w:r w:rsidR="00772600" w:rsidRPr="000D3AD1">
        <w:rPr>
          <w:rFonts w:ascii="Times New Roman" w:eastAsiaTheme="minorEastAsia" w:hAnsi="Times New Roman" w:cs="Times New Roman"/>
          <w:sz w:val="24"/>
          <w:szCs w:val="24"/>
        </w:rPr>
        <w:tab/>
      </w:r>
      <w:r w:rsidR="00772600" w:rsidRPr="000D3AD1">
        <w:rPr>
          <w:rFonts w:ascii="Times New Roman" w:eastAsiaTheme="minorEastAsia" w:hAnsi="Times New Roman" w:cs="Times New Roman"/>
          <w:sz w:val="24"/>
          <w:szCs w:val="24"/>
        </w:rPr>
        <w:tab/>
      </w:r>
      <w:r w:rsidR="00772600" w:rsidRPr="000D3AD1">
        <w:rPr>
          <w:rFonts w:ascii="Times New Roman" w:eastAsiaTheme="minorEastAsia" w:hAnsi="Times New Roman" w:cs="Times New Roman"/>
          <w:sz w:val="24"/>
          <w:szCs w:val="24"/>
        </w:rPr>
        <w:tab/>
      </w:r>
      <w:r w:rsidR="00772600" w:rsidRPr="000D3AD1">
        <w:rPr>
          <w:rFonts w:ascii="Times New Roman" w:eastAsiaTheme="minorEastAsia" w:hAnsi="Times New Roman" w:cs="Times New Roman"/>
          <w:sz w:val="24"/>
          <w:szCs w:val="24"/>
        </w:rPr>
        <w:tab/>
      </w:r>
      <w:r w:rsidR="00772600" w:rsidRPr="000D3AD1">
        <w:rPr>
          <w:rFonts w:ascii="Times New Roman" w:eastAsiaTheme="minorEastAsia" w:hAnsi="Times New Roman" w:cs="Times New Roman"/>
          <w:sz w:val="24"/>
          <w:szCs w:val="24"/>
        </w:rPr>
        <w:tab/>
        <w:t>(2)</w:t>
      </w:r>
    </w:p>
    <w:p w14:paraId="2DCC346E" w14:textId="3D82F744" w:rsidR="00772600" w:rsidRPr="000D3AD1" w:rsidRDefault="00211122"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Through Eq. (2), we determine the current level of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by using both its lagged and absolute value of </w:t>
      </w:r>
      <w:r w:rsidR="0073584E" w:rsidRPr="000D3AD1">
        <w:rPr>
          <w:rFonts w:ascii="Times New Roman" w:eastAsiaTheme="minorEastAsia" w:hAnsi="Times New Roman" w:cs="Times New Roman"/>
          <w:bCs/>
          <w:sz w:val="24"/>
          <w:szCs w:val="24"/>
        </w:rPr>
        <w:t xml:space="preserve">the </w:t>
      </w:r>
      <w:r w:rsidRPr="000D3AD1">
        <w:rPr>
          <w:rFonts w:ascii="Times New Roman" w:eastAsiaTheme="minorEastAsia" w:hAnsi="Times New Roman" w:cs="Times New Roman"/>
          <w:bCs/>
          <w:sz w:val="24"/>
          <w:szCs w:val="24"/>
        </w:rPr>
        <w:t xml:space="preserve">lagged return. </w:t>
      </w:r>
      <w:r w:rsidR="00985DCE" w:rsidRPr="000D3AD1">
        <w:rPr>
          <w:rFonts w:ascii="Times New Roman" w:eastAsiaTheme="minorEastAsia" w:hAnsi="Times New Roman" w:cs="Times New Roman"/>
          <w:bCs/>
          <w:sz w:val="24"/>
          <w:szCs w:val="24"/>
        </w:rPr>
        <w:t xml:space="preserve">Meanwhile, the asymmetric slope (AS) given </w:t>
      </w:r>
      <w:proofErr w:type="spellStart"/>
      <w:r w:rsidR="00985DCE" w:rsidRPr="000D3AD1">
        <w:rPr>
          <w:rFonts w:ascii="Times New Roman" w:eastAsiaTheme="minorEastAsia" w:hAnsi="Times New Roman" w:cs="Times New Roman"/>
          <w:bCs/>
          <w:sz w:val="24"/>
          <w:szCs w:val="24"/>
        </w:rPr>
        <w:t>CAViaR</w:t>
      </w:r>
      <w:proofErr w:type="spellEnd"/>
      <w:r w:rsidR="00985DCE" w:rsidRPr="000D3AD1">
        <w:rPr>
          <w:rFonts w:ascii="Times New Roman" w:eastAsiaTheme="minorEastAsia" w:hAnsi="Times New Roman" w:cs="Times New Roman"/>
          <w:bCs/>
          <w:sz w:val="24"/>
          <w:szCs w:val="24"/>
        </w:rPr>
        <w:t xml:space="preserve"> is presented as: </w:t>
      </w:r>
    </w:p>
    <w:p w14:paraId="0E04341C"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AS,τ</m:t>
            </m:r>
          </m:sup>
        </m:sSubSup>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i1</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i2</m:t>
            </m:r>
          </m:sub>
        </m:sSub>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it-1</m:t>
            </m:r>
          </m:sub>
          <m:sup>
            <m:r>
              <w:rPr>
                <w:rFonts w:ascii="Cambria Math" w:hAnsi="Cambria Math" w:cs="Times New Roman"/>
                <w:sz w:val="24"/>
                <w:szCs w:val="24"/>
              </w:rPr>
              <m:t>AS,τ</m:t>
            </m:r>
          </m:sup>
        </m:sSubSup>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β</m:t>
            </m:r>
          </m:e>
          <m:sub>
            <m:r>
              <w:rPr>
                <w:rFonts w:ascii="Cambria Math" w:eastAsiaTheme="minorEastAsia" w:hAnsi="Cambria Math" w:cs="Times New Roman"/>
                <w:sz w:val="24"/>
                <w:szCs w:val="24"/>
              </w:rPr>
              <m:t>i3</m:t>
            </m:r>
          </m:sub>
        </m:sSub>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it-1</m:t>
                </m:r>
              </m:sub>
            </m:sSub>
          </m:e>
        </m:d>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β</m:t>
            </m:r>
          </m:e>
          <m:sub>
            <m:r>
              <w:rPr>
                <w:rFonts w:ascii="Cambria Math" w:eastAsiaTheme="minorEastAsia" w:hAnsi="Cambria Math" w:cs="Times New Roman"/>
                <w:sz w:val="24"/>
                <w:szCs w:val="24"/>
              </w:rPr>
              <m:t>i4</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it-1</m:t>
            </m:r>
          </m:sub>
        </m:sSub>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m:t>
            </m:r>
          </m:sup>
        </m:sSup>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(3)</w:t>
      </w:r>
    </w:p>
    <w:p w14:paraId="524FC8F9" w14:textId="30E4572E" w:rsidR="00772600" w:rsidRPr="000D3AD1" w:rsidRDefault="00985DCE"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The asymmetric specification allows for </w:t>
      </w:r>
      <w:r w:rsidR="0073584E" w:rsidRPr="000D3AD1">
        <w:rPr>
          <w:rFonts w:ascii="Times New Roman" w:eastAsiaTheme="minorEastAsia" w:hAnsi="Times New Roman" w:cs="Times New Roman"/>
          <w:bCs/>
          <w:sz w:val="24"/>
          <w:szCs w:val="24"/>
        </w:rPr>
        <w:t>different computing</w:t>
      </w:r>
      <w:r w:rsidRPr="000D3AD1">
        <w:rPr>
          <w:rFonts w:ascii="Times New Roman" w:eastAsiaTheme="minorEastAsia" w:hAnsi="Times New Roman" w:cs="Times New Roman"/>
          <w:bCs/>
          <w:sz w:val="24"/>
          <w:szCs w:val="24"/>
        </w:rPr>
        <w:t xml:space="preserve"> responses based on positive and negative returns. The third and last step covers </w:t>
      </w:r>
      <w:proofErr w:type="spellStart"/>
      <w:r w:rsidR="004B4699" w:rsidRPr="000D3AD1">
        <w:rPr>
          <w:rFonts w:ascii="Times New Roman" w:eastAsiaTheme="minorEastAsia" w:hAnsi="Times New Roman" w:cs="Times New Roman"/>
          <w:bCs/>
          <w:sz w:val="24"/>
          <w:szCs w:val="24"/>
        </w:rPr>
        <w:t>Hardle</w:t>
      </w:r>
      <w:proofErr w:type="spellEnd"/>
      <w:r w:rsidR="004B4699" w:rsidRPr="000D3AD1">
        <w:rPr>
          <w:rFonts w:ascii="Times New Roman" w:eastAsiaTheme="minorEastAsia" w:hAnsi="Times New Roman" w:cs="Times New Roman"/>
          <w:bCs/>
          <w:sz w:val="24"/>
          <w:szCs w:val="24"/>
        </w:rPr>
        <w:t xml:space="preserve"> et al. (2016) by figuring </w:t>
      </w:r>
      <w:proofErr w:type="spellStart"/>
      <w:r w:rsidR="004B4699" w:rsidRPr="000D3AD1">
        <w:rPr>
          <w:rFonts w:ascii="Times New Roman" w:eastAsiaTheme="minorEastAsia" w:hAnsi="Times New Roman" w:cs="Times New Roman"/>
          <w:bCs/>
          <w:sz w:val="24"/>
          <w:szCs w:val="24"/>
        </w:rPr>
        <w:t>VaR</w:t>
      </w:r>
      <w:proofErr w:type="spellEnd"/>
      <w:r w:rsidR="004B4699" w:rsidRPr="000D3AD1">
        <w:rPr>
          <w:rFonts w:ascii="Times New Roman" w:eastAsiaTheme="minorEastAsia" w:hAnsi="Times New Roman" w:cs="Times New Roman"/>
          <w:bCs/>
          <w:sz w:val="24"/>
          <w:szCs w:val="24"/>
        </w:rPr>
        <w:t xml:space="preserve"> for each </w:t>
      </w:r>
      <w:proofErr w:type="gramStart"/>
      <w:r w:rsidR="004B4699" w:rsidRPr="000D3AD1">
        <w:rPr>
          <w:rFonts w:ascii="Times New Roman" w:eastAsiaTheme="minorEastAsia" w:hAnsi="Times New Roman" w:cs="Times New Roman"/>
          <w:bCs/>
          <w:sz w:val="24"/>
          <w:szCs w:val="24"/>
        </w:rPr>
        <w:t xml:space="preserve">market </w:t>
      </w:r>
      <w:proofErr w:type="spellStart"/>
      <w:r w:rsidR="004B4699" w:rsidRPr="000D3AD1">
        <w:rPr>
          <w:rFonts w:ascii="Times New Roman" w:eastAsiaTheme="minorEastAsia" w:hAnsi="Times New Roman" w:cs="Times New Roman"/>
          <w:bCs/>
          <w:i/>
          <w:iCs/>
          <w:sz w:val="24"/>
          <w:szCs w:val="24"/>
        </w:rPr>
        <w:t>i</w:t>
      </w:r>
      <w:proofErr w:type="spellEnd"/>
      <w:proofErr w:type="gramEnd"/>
      <w:r w:rsidR="004B4699" w:rsidRPr="000D3AD1">
        <w:rPr>
          <w:rFonts w:ascii="Times New Roman" w:eastAsiaTheme="minorEastAsia" w:hAnsi="Times New Roman" w:cs="Times New Roman"/>
          <w:bCs/>
          <w:sz w:val="24"/>
          <w:szCs w:val="24"/>
        </w:rPr>
        <w:t xml:space="preserve"> analyzed by linear quantile regression and utilizing macro-state variables </w:t>
      </w:r>
      <w:r w:rsidR="00772600" w:rsidRPr="000D3AD1">
        <w:rPr>
          <w:rFonts w:ascii="Times New Roman" w:eastAsiaTheme="minorEastAsia" w:hAnsi="Times New Roman" w:cs="Times New Roman"/>
          <w:bCs/>
          <w:i/>
          <w:sz w:val="24"/>
          <w:szCs w:val="24"/>
        </w:rPr>
        <w:t>M</w:t>
      </w:r>
      <w:r w:rsidR="00772600" w:rsidRPr="000D3AD1">
        <w:rPr>
          <w:rFonts w:ascii="Times New Roman" w:eastAsiaTheme="minorEastAsia" w:hAnsi="Times New Roman" w:cs="Times New Roman"/>
          <w:bCs/>
          <w:i/>
          <w:sz w:val="24"/>
          <w:szCs w:val="24"/>
          <w:vertAlign w:val="subscript"/>
        </w:rPr>
        <w:t>t-1</w:t>
      </w:r>
      <w:r w:rsidR="00772600" w:rsidRPr="000D3AD1">
        <w:rPr>
          <w:rFonts w:ascii="Times New Roman" w:eastAsiaTheme="minorEastAsia" w:hAnsi="Times New Roman" w:cs="Times New Roman"/>
          <w:bCs/>
          <w:sz w:val="24"/>
          <w:szCs w:val="24"/>
        </w:rPr>
        <w:t xml:space="preserve">. </w:t>
      </w:r>
    </w:p>
    <w:p w14:paraId="59DDD824"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it</m:t>
            </m:r>
          </m:sub>
        </m:sSub>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α</m:t>
            </m:r>
          </m:e>
          <m:sub>
            <m:r>
              <w:rPr>
                <w:rFonts w:ascii="Cambria Math" w:hAnsi="Cambria Math" w:cs="Times New Roman"/>
                <w:sz w:val="24"/>
                <w:szCs w:val="24"/>
              </w:rPr>
              <m:t>i</m:t>
            </m:r>
          </m:sub>
        </m:sSub>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γ</m:t>
            </m:r>
          </m:e>
          <m:sub>
            <m:r>
              <w:rPr>
                <w:rFonts w:ascii="Cambria Math" w:hAnsi="Cambria Math" w:cs="Times New Roman"/>
                <w:sz w:val="24"/>
                <w:szCs w:val="24"/>
              </w:rPr>
              <m:t>i</m:t>
            </m:r>
          </m:sub>
        </m:sSub>
        <m:sSub>
          <m:sSubPr>
            <m:ctrlPr>
              <w:rPr>
                <w:rFonts w:ascii="Cambria Math" w:hAnsi="Cambria Math" w:cs="Times New Roman"/>
                <w:bCs/>
                <w:i/>
                <w:sz w:val="24"/>
                <w:szCs w:val="24"/>
              </w:rPr>
            </m:ctrlPr>
          </m:sSubPr>
          <m:e>
            <m:r>
              <w:rPr>
                <w:rFonts w:ascii="Cambria Math" w:hAnsi="Cambria Math" w:cs="Times New Roman"/>
                <w:sz w:val="24"/>
                <w:szCs w:val="24"/>
              </w:rPr>
              <m:t>M</m:t>
            </m:r>
          </m:e>
          <m:sub>
            <m:r>
              <w:rPr>
                <w:rFonts w:ascii="Cambria Math" w:hAnsi="Cambria Math" w:cs="Times New Roman"/>
                <w:sz w:val="24"/>
                <w:szCs w:val="24"/>
              </w:rPr>
              <m:t>t-1</m:t>
            </m:r>
          </m:sub>
        </m:sSub>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rPr>
              <m:t>ϵ</m:t>
            </m:r>
          </m:e>
          <m:sub>
            <m:r>
              <w:rPr>
                <w:rFonts w:ascii="Cambria Math" w:hAnsi="Cambria Math" w:cs="Times New Roman"/>
                <w:sz w:val="24"/>
                <w:szCs w:val="24"/>
              </w:rPr>
              <m:t>it</m:t>
            </m:r>
          </m:sub>
        </m:sSub>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(4)</w:t>
      </w:r>
    </w:p>
    <w:p w14:paraId="2EB9B532" w14:textId="1A94E28C" w:rsidR="00772600" w:rsidRPr="000D3AD1" w:rsidRDefault="004B4699" w:rsidP="00772600">
      <w:pPr>
        <w:spacing w:line="480" w:lineRule="auto"/>
        <w:jc w:val="both"/>
        <w:rPr>
          <w:rFonts w:ascii="Times New Roman" w:eastAsiaTheme="minorEastAsia" w:hAnsi="Times New Roman" w:cs="Times New Roman"/>
          <w:sz w:val="24"/>
          <w:szCs w:val="24"/>
        </w:rPr>
      </w:pPr>
      <w:r w:rsidRPr="000D3AD1">
        <w:rPr>
          <w:rFonts w:ascii="Times New Roman" w:eastAsiaTheme="minorEastAsia" w:hAnsi="Times New Roman" w:cs="Times New Roman"/>
          <w:bCs/>
          <w:sz w:val="24"/>
          <w:szCs w:val="24"/>
        </w:rPr>
        <w:t xml:space="preserve">Here </w:t>
      </w:r>
      <m:oMath>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ϵ</m:t>
                </m:r>
              </m:e>
              <m:sub>
                <m:r>
                  <w:rPr>
                    <w:rFonts w:ascii="Cambria Math" w:eastAsiaTheme="minorEastAsia" w:hAnsi="Cambria Math" w:cs="Times New Roman"/>
                    <w:sz w:val="24"/>
                    <w:szCs w:val="24"/>
                  </w:rPr>
                  <m:t>it</m:t>
                </m:r>
              </m:sub>
            </m:sSub>
          </m:e>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t-1</m:t>
                </m:r>
              </m:sub>
            </m:sSub>
          </m:e>
        </m:d>
        <m:r>
          <w:rPr>
            <w:rFonts w:ascii="Cambria Math" w:eastAsiaTheme="minorEastAsia" w:hAnsi="Cambria Math" w:cs="Times New Roman"/>
            <w:sz w:val="24"/>
            <w:szCs w:val="24"/>
          </w:rPr>
          <m:t>=0</m:t>
        </m:r>
      </m:oMath>
      <w:r w:rsidRPr="000D3AD1">
        <w:rPr>
          <w:rFonts w:ascii="Times New Roman" w:eastAsiaTheme="minorEastAsia" w:hAnsi="Times New Roman" w:cs="Times New Roman"/>
          <w:sz w:val="24"/>
          <w:szCs w:val="24"/>
        </w:rPr>
        <w:t xml:space="preserve"> denoting conditional quantile error term. In this way, the </w:t>
      </w:r>
      <w:r w:rsidR="00611375" w:rsidRPr="000D3AD1">
        <w:rPr>
          <w:rFonts w:ascii="Times New Roman" w:eastAsiaTheme="minorEastAsia" w:hAnsi="Times New Roman" w:cs="Times New Roman"/>
          <w:sz w:val="24"/>
          <w:szCs w:val="24"/>
        </w:rPr>
        <w:t xml:space="preserve">adjusted </w:t>
      </w:r>
      <w:proofErr w:type="spellStart"/>
      <w:r w:rsidR="00611375" w:rsidRPr="000D3AD1">
        <w:rPr>
          <w:rFonts w:ascii="Times New Roman" w:eastAsiaTheme="minorEastAsia" w:hAnsi="Times New Roman" w:cs="Times New Roman"/>
          <w:sz w:val="24"/>
          <w:szCs w:val="24"/>
        </w:rPr>
        <w:t>VaR</w:t>
      </w:r>
      <w:proofErr w:type="spellEnd"/>
      <w:r w:rsidR="00611375" w:rsidRPr="000D3AD1">
        <w:rPr>
          <w:rFonts w:ascii="Times New Roman" w:eastAsiaTheme="minorEastAsia" w:hAnsi="Times New Roman" w:cs="Times New Roman"/>
          <w:sz w:val="24"/>
          <w:szCs w:val="24"/>
        </w:rPr>
        <w:t xml:space="preserve"> value of quantile regression is:</w:t>
      </w:r>
    </w:p>
    <w:p w14:paraId="25690A05"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VaR</m:t>
            </m:r>
          </m:e>
          <m:sub>
            <m:r>
              <w:rPr>
                <w:rFonts w:ascii="Cambria Math" w:eastAsiaTheme="minorEastAsia" w:hAnsi="Cambria Math" w:cs="Times New Roman"/>
                <w:sz w:val="24"/>
                <w:szCs w:val="24"/>
              </w:rPr>
              <m:t>it</m:t>
            </m:r>
          </m:sub>
          <m:sup>
            <m:r>
              <w:rPr>
                <w:rFonts w:ascii="Cambria Math" w:eastAsiaTheme="minorEastAsia" w:hAnsi="Cambria Math" w:cs="Times New Roman"/>
                <w:sz w:val="24"/>
                <w:szCs w:val="24"/>
              </w:rPr>
              <m:t>LQR, τ</m:t>
            </m:r>
          </m:sup>
        </m:sSubSup>
        <m:r>
          <w:rPr>
            <w:rFonts w:ascii="Cambria Math" w:eastAsiaTheme="minorEastAsia" w:hAnsi="Cambria Math" w:cs="Times New Roman"/>
            <w:sz w:val="24"/>
            <w:szCs w:val="24"/>
          </w:rPr>
          <m:t xml:space="preserve">= </m:t>
        </m:r>
        <m:acc>
          <m:accPr>
            <m:ctrlPr>
              <w:rPr>
                <w:rFonts w:ascii="Cambria Math" w:eastAsiaTheme="minorEastAsia" w:hAnsi="Cambria Math" w:cs="Times New Roman"/>
                <w:bCs/>
                <w:i/>
                <w:sz w:val="24"/>
                <w:szCs w:val="24"/>
              </w:rPr>
            </m:ctrlPr>
          </m:acc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α</m:t>
                </m:r>
              </m:e>
              <m:sub>
                <m:r>
                  <w:rPr>
                    <w:rFonts w:ascii="Cambria Math" w:eastAsiaTheme="minorEastAsia" w:hAnsi="Cambria Math" w:cs="Times New Roman"/>
                    <w:sz w:val="24"/>
                    <w:szCs w:val="24"/>
                  </w:rPr>
                  <m:t>i</m:t>
                </m:r>
              </m:sub>
            </m:sSub>
          </m:e>
        </m:acc>
        <m:r>
          <w:rPr>
            <w:rFonts w:ascii="Cambria Math" w:eastAsiaTheme="minorEastAsia" w:hAnsi="Cambria Math" w:cs="Times New Roman"/>
            <w:sz w:val="24"/>
            <w:szCs w:val="24"/>
          </w:rPr>
          <m:t xml:space="preserve">+ </m:t>
        </m:r>
        <m:acc>
          <m:accPr>
            <m:ctrlPr>
              <w:rPr>
                <w:rFonts w:ascii="Cambria Math" w:eastAsiaTheme="minorEastAsia" w:hAnsi="Cambria Math" w:cs="Times New Roman"/>
                <w:bCs/>
                <w:i/>
                <w:sz w:val="24"/>
                <w:szCs w:val="24"/>
              </w:rPr>
            </m:ctrlPr>
          </m:acc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γ</m:t>
                </m:r>
              </m:e>
              <m:sub>
                <m:r>
                  <w:rPr>
                    <w:rFonts w:ascii="Cambria Math" w:eastAsiaTheme="minorEastAsia" w:hAnsi="Cambria Math" w:cs="Times New Roman"/>
                    <w:sz w:val="24"/>
                    <w:szCs w:val="24"/>
                  </w:rPr>
                  <m:t>i</m:t>
                </m:r>
              </m:sub>
            </m:sSub>
          </m:e>
        </m:acc>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t-1</m:t>
            </m:r>
          </m:sub>
        </m:sSub>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(5)</w:t>
      </w:r>
    </w:p>
    <w:p w14:paraId="49B226E6" w14:textId="721BD990" w:rsidR="00772600" w:rsidRPr="000D3AD1" w:rsidRDefault="00611375"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The limitation of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is that it measures the critical risk level of each market and does not </w:t>
      </w:r>
      <w:r w:rsidR="0073584E" w:rsidRPr="000D3AD1">
        <w:rPr>
          <w:rFonts w:ascii="Times New Roman" w:eastAsiaTheme="minorEastAsia" w:hAnsi="Times New Roman" w:cs="Times New Roman"/>
          <w:bCs/>
          <w:sz w:val="24"/>
          <w:szCs w:val="24"/>
        </w:rPr>
        <w:t>systematically account for the dependency matrix</w:t>
      </w:r>
      <w:r w:rsidRPr="000D3AD1">
        <w:rPr>
          <w:rFonts w:ascii="Times New Roman" w:eastAsiaTheme="minorEastAsia" w:hAnsi="Times New Roman" w:cs="Times New Roman"/>
          <w:bCs/>
          <w:sz w:val="24"/>
          <w:szCs w:val="24"/>
        </w:rPr>
        <w:t xml:space="preserve">. Thus, calculating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is the first step for measuring </w:t>
      </w:r>
      <w:r w:rsidR="0073584E" w:rsidRPr="000D3AD1">
        <w:rPr>
          <w:rFonts w:ascii="Times New Roman" w:eastAsiaTheme="minorEastAsia" w:hAnsi="Times New Roman" w:cs="Times New Roman"/>
          <w:bCs/>
          <w:sz w:val="24"/>
          <w:szCs w:val="24"/>
        </w:rPr>
        <w:t xml:space="preserve">the </w:t>
      </w:r>
      <w:r w:rsidRPr="000D3AD1">
        <w:rPr>
          <w:rFonts w:ascii="Times New Roman" w:eastAsiaTheme="minorEastAsia" w:hAnsi="Times New Roman" w:cs="Times New Roman"/>
          <w:bCs/>
          <w:sz w:val="24"/>
          <w:szCs w:val="24"/>
        </w:rPr>
        <w:t>conditional risk</w:t>
      </w:r>
      <w:r w:rsidR="00DE0F6F" w:rsidRPr="000D3AD1">
        <w:rPr>
          <w:rFonts w:ascii="Times New Roman" w:eastAsiaTheme="minorEastAsia" w:hAnsi="Times New Roman" w:cs="Times New Roman"/>
          <w:bCs/>
          <w:sz w:val="24"/>
          <w:szCs w:val="24"/>
        </w:rPr>
        <w:t xml:space="preserve"> of </w:t>
      </w:r>
      <w:r w:rsidR="001573FC" w:rsidRPr="000D3AD1">
        <w:rPr>
          <w:rFonts w:ascii="Times New Roman" w:hAnsi="Times New Roman" w:cs="Times New Roman"/>
          <w:bCs/>
          <w:sz w:val="24"/>
          <w:szCs w:val="24"/>
        </w:rPr>
        <w:t xml:space="preserve">religious, sustainable, and conventional </w:t>
      </w:r>
      <w:r w:rsidR="00DE0F6F" w:rsidRPr="000D3AD1">
        <w:rPr>
          <w:rFonts w:ascii="Times New Roman" w:eastAsiaTheme="minorEastAsia" w:hAnsi="Times New Roman" w:cs="Times New Roman"/>
          <w:bCs/>
          <w:sz w:val="24"/>
          <w:szCs w:val="24"/>
        </w:rPr>
        <w:t xml:space="preserve">markets. </w:t>
      </w:r>
    </w:p>
    <w:p w14:paraId="213EDC7F" w14:textId="797AA582" w:rsidR="00F85183" w:rsidRPr="000D3AD1" w:rsidRDefault="00772600" w:rsidP="00772600">
      <w:pPr>
        <w:spacing w:line="480" w:lineRule="auto"/>
        <w:jc w:val="both"/>
        <w:rPr>
          <w:rFonts w:ascii="Times New Roman" w:eastAsiaTheme="minorEastAsia" w:hAnsi="Times New Roman" w:cs="Times New Roman"/>
          <w:bCs/>
          <w:i/>
          <w:sz w:val="24"/>
          <w:szCs w:val="24"/>
        </w:rPr>
      </w:pPr>
      <w:r w:rsidRPr="000D3AD1">
        <w:rPr>
          <w:rFonts w:ascii="Times New Roman" w:eastAsiaTheme="minorEastAsia" w:hAnsi="Times New Roman" w:cs="Times New Roman"/>
          <w:bCs/>
          <w:i/>
          <w:sz w:val="24"/>
          <w:szCs w:val="24"/>
        </w:rPr>
        <w:t xml:space="preserve">3.2 Step 2: </w:t>
      </w:r>
      <w:proofErr w:type="spellStart"/>
      <w:r w:rsidRPr="000D3AD1">
        <w:rPr>
          <w:rFonts w:ascii="Times New Roman" w:eastAsiaTheme="minorEastAsia" w:hAnsi="Times New Roman" w:cs="Times New Roman"/>
          <w:bCs/>
          <w:i/>
          <w:sz w:val="24"/>
          <w:szCs w:val="24"/>
        </w:rPr>
        <w:t>CoVaR</w:t>
      </w:r>
      <w:proofErr w:type="spellEnd"/>
      <w:r w:rsidRPr="000D3AD1">
        <w:rPr>
          <w:rFonts w:ascii="Times New Roman" w:eastAsiaTheme="minorEastAsia" w:hAnsi="Times New Roman" w:cs="Times New Roman"/>
          <w:bCs/>
          <w:i/>
          <w:sz w:val="24"/>
          <w:szCs w:val="24"/>
        </w:rPr>
        <w:t xml:space="preserve"> </w:t>
      </w:r>
      <w:r w:rsidR="00F85183" w:rsidRPr="000D3AD1">
        <w:rPr>
          <w:rFonts w:ascii="Times New Roman" w:eastAsiaTheme="minorEastAsia" w:hAnsi="Times New Roman" w:cs="Times New Roman"/>
          <w:bCs/>
          <w:i/>
          <w:sz w:val="24"/>
          <w:szCs w:val="24"/>
        </w:rPr>
        <w:t xml:space="preserve">Estimates </w:t>
      </w:r>
      <w:r w:rsidRPr="000D3AD1">
        <w:rPr>
          <w:rFonts w:ascii="Times New Roman" w:eastAsiaTheme="minorEastAsia" w:hAnsi="Times New Roman" w:cs="Times New Roman"/>
          <w:bCs/>
          <w:i/>
          <w:sz w:val="24"/>
          <w:szCs w:val="24"/>
        </w:rPr>
        <w:t>and Neural Quantile Regression</w:t>
      </w:r>
      <w:bookmarkStart w:id="2" w:name="_Hlk90408926"/>
    </w:p>
    <w:p w14:paraId="40F7D811" w14:textId="2A542ABD" w:rsidR="00772600" w:rsidRPr="000D3AD1" w:rsidRDefault="00F85183" w:rsidP="00772600">
      <w:pPr>
        <w:spacing w:line="480" w:lineRule="auto"/>
        <w:jc w:val="both"/>
        <w:rPr>
          <w:rFonts w:ascii="Times New Roman" w:eastAsiaTheme="minorEastAsia" w:hAnsi="Times New Roman" w:cs="Times New Roman"/>
          <w:bCs/>
          <w:sz w:val="24"/>
          <w:szCs w:val="24"/>
        </w:rPr>
      </w:pPr>
      <w:proofErr w:type="spellStart"/>
      <w:r w:rsidRPr="000D3AD1">
        <w:rPr>
          <w:rFonts w:ascii="Times New Roman" w:eastAsiaTheme="minorEastAsia" w:hAnsi="Times New Roman" w:cs="Times New Roman"/>
          <w:bCs/>
          <w:sz w:val="24"/>
          <w:szCs w:val="24"/>
        </w:rPr>
        <w:t>CoVaR</w:t>
      </w:r>
      <w:proofErr w:type="spellEnd"/>
      <w:r w:rsidRPr="000D3AD1">
        <w:rPr>
          <w:rFonts w:ascii="Times New Roman" w:eastAsiaTheme="minorEastAsia" w:hAnsi="Times New Roman" w:cs="Times New Roman"/>
          <w:bCs/>
          <w:sz w:val="24"/>
          <w:szCs w:val="24"/>
        </w:rPr>
        <w:t xml:space="preserve">, similar to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measures risk but slightly differentiates from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in specifying the financial distress circumstances occurring between </w:t>
      </w:r>
      <w:r w:rsidR="001573FC" w:rsidRPr="000D3AD1">
        <w:rPr>
          <w:rFonts w:ascii="Times New Roman" w:hAnsi="Times New Roman" w:cs="Times New Roman"/>
          <w:bCs/>
          <w:sz w:val="24"/>
          <w:szCs w:val="24"/>
        </w:rPr>
        <w:t xml:space="preserve">religious, sustainable, and conventional </w:t>
      </w:r>
      <w:r w:rsidRPr="000D3AD1">
        <w:rPr>
          <w:rFonts w:ascii="Times New Roman" w:eastAsiaTheme="minorEastAsia" w:hAnsi="Times New Roman" w:cs="Times New Roman"/>
          <w:bCs/>
          <w:sz w:val="24"/>
          <w:szCs w:val="24"/>
        </w:rPr>
        <w:t xml:space="preserve">stock markets. In the current study, </w:t>
      </w:r>
      <w:proofErr w:type="spellStart"/>
      <w:r w:rsidRPr="000D3AD1">
        <w:rPr>
          <w:rFonts w:ascii="Times New Roman" w:eastAsiaTheme="minorEastAsia" w:hAnsi="Times New Roman" w:cs="Times New Roman"/>
          <w:bCs/>
          <w:sz w:val="24"/>
          <w:szCs w:val="24"/>
        </w:rPr>
        <w:t>CoVaR</w:t>
      </w:r>
      <w:proofErr w:type="spellEnd"/>
      <w:r w:rsidRPr="000D3AD1">
        <w:rPr>
          <w:rFonts w:ascii="Times New Roman" w:eastAsiaTheme="minorEastAsia" w:hAnsi="Times New Roman" w:cs="Times New Roman"/>
          <w:bCs/>
          <w:sz w:val="24"/>
          <w:szCs w:val="24"/>
        </w:rPr>
        <w:t xml:space="preserve"> identifies the most significant markets in terms of risk measurement. Based on </w:t>
      </w:r>
      <w:proofErr w:type="spellStart"/>
      <w:r w:rsidRPr="000D3AD1">
        <w:rPr>
          <w:rFonts w:ascii="Times New Roman" w:eastAsiaTheme="minorEastAsia" w:hAnsi="Times New Roman" w:cs="Times New Roman"/>
          <w:bCs/>
          <w:sz w:val="24"/>
          <w:szCs w:val="24"/>
        </w:rPr>
        <w:t>Hardle</w:t>
      </w:r>
      <w:proofErr w:type="spellEnd"/>
      <w:r w:rsidRPr="000D3AD1">
        <w:rPr>
          <w:rFonts w:ascii="Times New Roman" w:eastAsiaTheme="minorEastAsia" w:hAnsi="Times New Roman" w:cs="Times New Roman"/>
          <w:bCs/>
          <w:sz w:val="24"/>
          <w:szCs w:val="24"/>
        </w:rPr>
        <w:t xml:space="preserve"> et al. (2016), it is assumed that all markets (</w:t>
      </w:r>
      <w:r w:rsidR="001573FC" w:rsidRPr="000D3AD1">
        <w:rPr>
          <w:rFonts w:ascii="Times New Roman" w:hAnsi="Times New Roman" w:cs="Times New Roman"/>
          <w:bCs/>
          <w:sz w:val="24"/>
          <w:szCs w:val="24"/>
        </w:rPr>
        <w:t xml:space="preserve">religious, sustainable, and conventional </w:t>
      </w:r>
      <w:r w:rsidR="00B13ADF" w:rsidRPr="000D3AD1">
        <w:rPr>
          <w:rFonts w:ascii="Times New Roman" w:eastAsiaTheme="minorEastAsia" w:hAnsi="Times New Roman" w:cs="Times New Roman"/>
          <w:bCs/>
          <w:sz w:val="24"/>
          <w:szCs w:val="24"/>
        </w:rPr>
        <w:t xml:space="preserve">stock markets) are in their </w:t>
      </w:r>
      <w:proofErr w:type="spellStart"/>
      <w:r w:rsidR="00B13ADF" w:rsidRPr="000D3AD1">
        <w:rPr>
          <w:rFonts w:ascii="Times New Roman" w:eastAsiaTheme="minorEastAsia" w:hAnsi="Times New Roman" w:cs="Times New Roman"/>
          <w:bCs/>
          <w:sz w:val="24"/>
          <w:szCs w:val="24"/>
        </w:rPr>
        <w:t>VaR</w:t>
      </w:r>
      <w:proofErr w:type="spellEnd"/>
      <w:r w:rsidR="00B13ADF" w:rsidRPr="000D3AD1">
        <w:rPr>
          <w:rFonts w:ascii="Times New Roman" w:eastAsiaTheme="minorEastAsia" w:hAnsi="Times New Roman" w:cs="Times New Roman"/>
          <w:bCs/>
          <w:sz w:val="24"/>
          <w:szCs w:val="24"/>
        </w:rPr>
        <w:t xml:space="preserve"> following a particular distress</w:t>
      </w:r>
      <w:r w:rsidR="0073584E" w:rsidRPr="000D3AD1">
        <w:rPr>
          <w:rFonts w:ascii="Times New Roman" w:eastAsiaTheme="minorEastAsia" w:hAnsi="Times New Roman" w:cs="Times New Roman"/>
          <w:bCs/>
          <w:sz w:val="24"/>
          <w:szCs w:val="24"/>
        </w:rPr>
        <w:t>ing</w:t>
      </w:r>
      <w:r w:rsidR="00B13ADF" w:rsidRPr="000D3AD1">
        <w:rPr>
          <w:rFonts w:ascii="Times New Roman" w:eastAsiaTheme="minorEastAsia" w:hAnsi="Times New Roman" w:cs="Times New Roman"/>
          <w:bCs/>
          <w:sz w:val="24"/>
          <w:szCs w:val="24"/>
        </w:rPr>
        <w:t xml:space="preserve"> situation as:</w:t>
      </w:r>
      <w:r w:rsidR="00772600" w:rsidRPr="000D3AD1">
        <w:rPr>
          <w:rFonts w:ascii="Times New Roman" w:eastAsiaTheme="minorEastAsia" w:hAnsi="Times New Roman" w:cs="Times New Roman"/>
          <w:bCs/>
          <w:sz w:val="24"/>
          <w:szCs w:val="24"/>
        </w:rPr>
        <w:t xml:space="preserve"> </w:t>
      </w:r>
    </w:p>
    <w:p w14:paraId="582FBE50" w14:textId="77777777" w:rsidR="00B13ADF" w:rsidRPr="000D3AD1" w:rsidRDefault="00772600" w:rsidP="00772600">
      <w:pPr>
        <w:spacing w:line="480" w:lineRule="auto"/>
        <w:jc w:val="both"/>
        <w:rPr>
          <w:rFonts w:ascii="Times New Roman" w:eastAsiaTheme="minorEastAsia" w:hAnsi="Times New Roman" w:cs="Times New Roman"/>
          <w:bCs/>
          <w:sz w:val="24"/>
          <w:szCs w:val="24"/>
        </w:rPr>
      </w:pPr>
      <m:oMath>
        <m:r>
          <w:rPr>
            <w:rFonts w:ascii="Cambria Math" w:eastAsiaTheme="minorEastAsia" w:hAnsi="Cambria Math" w:cs="Times New Roman"/>
            <w:sz w:val="24"/>
            <w:szCs w:val="24"/>
          </w:rPr>
          <m:t>P</m:t>
        </m:r>
        <m:d>
          <m:dPr>
            <m:endChr m:val="|"/>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≤CoVa</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e>
        </m:d>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=Va</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r>
          <w:rPr>
            <w:rFonts w:ascii="Cambria Math" w:eastAsiaTheme="minorEastAsia" w:hAnsi="Cambria Math" w:cs="Times New Roman"/>
            <w:sz w:val="24"/>
            <w:szCs w:val="24"/>
          </w:rPr>
          <m:t xml:space="preserve"> )= τ</m:t>
        </m:r>
      </m:oMath>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t>(6)</w:t>
      </w:r>
    </w:p>
    <w:p w14:paraId="599F2FC8" w14:textId="278B6057" w:rsidR="00B13ADF" w:rsidRPr="000D3AD1" w:rsidRDefault="00B13ADF"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H</w:t>
      </w:r>
      <w:r w:rsidR="00772600" w:rsidRPr="000D3AD1">
        <w:rPr>
          <w:rFonts w:ascii="Times New Roman" w:eastAsiaTheme="minorEastAsia" w:hAnsi="Times New Roman" w:cs="Times New Roman"/>
          <w:bCs/>
          <w:sz w:val="24"/>
          <w:szCs w:val="24"/>
        </w:rPr>
        <w:t>ere</w:t>
      </w:r>
      <w:r w:rsidRPr="000D3AD1">
        <w:rPr>
          <w:rFonts w:ascii="Times New Roman" w:eastAsiaTheme="minorEastAsia" w:hAnsi="Times New Roman" w:cs="Times New Roman"/>
          <w:bCs/>
          <w:sz w:val="24"/>
          <w:szCs w:val="24"/>
        </w:rPr>
        <w:t xml:space="preserve"> vector of returns of </w:t>
      </w:r>
      <w:r w:rsidR="001573FC" w:rsidRPr="000D3AD1">
        <w:rPr>
          <w:rFonts w:ascii="Times New Roman" w:hAnsi="Times New Roman" w:cs="Times New Roman"/>
          <w:bCs/>
          <w:sz w:val="24"/>
          <w:szCs w:val="24"/>
        </w:rPr>
        <w:t xml:space="preserve">religious, sustainable, and conventional </w:t>
      </w:r>
      <w:r w:rsidRPr="000D3AD1">
        <w:rPr>
          <w:rFonts w:ascii="Times New Roman" w:eastAsiaTheme="minorEastAsia" w:hAnsi="Times New Roman" w:cs="Times New Roman"/>
          <w:bCs/>
          <w:sz w:val="24"/>
          <w:szCs w:val="24"/>
        </w:rPr>
        <w:t>markets are represented by</w:t>
      </w:r>
      <w:r w:rsidR="00772600" w:rsidRPr="000D3AD1">
        <w:rPr>
          <w:rFonts w:ascii="Times New Roman" w:eastAsiaTheme="minorEastAsia" w:hAnsi="Times New Roman" w:cs="Times New Roman"/>
          <w:bCs/>
          <w:sz w:val="24"/>
          <w:szCs w:val="24"/>
        </w:rPr>
        <w:t xml:space="preserve"> </w:t>
      </w: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oMath>
      <w:r w:rsidR="00772600" w:rsidRPr="000D3AD1">
        <w:rPr>
          <w:rFonts w:ascii="Times New Roman" w:eastAsiaTheme="minorEastAsia" w:hAnsi="Times New Roman" w:cs="Times New Roman"/>
          <w:bCs/>
          <w:sz w:val="24"/>
          <w:szCs w:val="24"/>
        </w:rPr>
        <w:t xml:space="preserve"> except</w:t>
      </w:r>
      <w:r w:rsidR="00772600" w:rsidRPr="000D3AD1">
        <w:rPr>
          <w:rFonts w:ascii="Times New Roman" w:eastAsiaTheme="minorEastAsia" w:hAnsi="Times New Roman" w:cs="Times New Roman"/>
          <w:bCs/>
          <w:i/>
          <w:sz w:val="24"/>
          <w:szCs w:val="24"/>
        </w:rPr>
        <w:t xml:space="preserve"> j</w:t>
      </w:r>
      <w:r w:rsidR="00772600" w:rsidRPr="000D3AD1">
        <w:rPr>
          <w:rFonts w:ascii="Times New Roman" w:eastAsiaTheme="minorEastAsia" w:hAnsi="Times New Roman" w:cs="Times New Roman"/>
          <w:bCs/>
          <w:sz w:val="24"/>
          <w:szCs w:val="24"/>
        </w:rPr>
        <w:t xml:space="preserve"> at time </w:t>
      </w:r>
      <w:r w:rsidR="00772600" w:rsidRPr="000D3AD1">
        <w:rPr>
          <w:rFonts w:ascii="Times New Roman" w:eastAsiaTheme="minorEastAsia" w:hAnsi="Times New Roman" w:cs="Times New Roman"/>
          <w:bCs/>
          <w:i/>
          <w:sz w:val="24"/>
          <w:szCs w:val="24"/>
        </w:rPr>
        <w:t>t</w:t>
      </w:r>
      <w:r w:rsidR="00772600" w:rsidRPr="000D3AD1">
        <w:rPr>
          <w:rFonts w:ascii="Times New Roman" w:eastAsiaTheme="minorEastAsia" w:hAnsi="Times New Roman" w:cs="Times New Roman"/>
          <w:bCs/>
          <w:sz w:val="24"/>
          <w:szCs w:val="24"/>
        </w:rPr>
        <w:t xml:space="preserve"> </w:t>
      </w:r>
      <w:r w:rsidRPr="000D3AD1">
        <w:rPr>
          <w:rFonts w:ascii="Times New Roman" w:eastAsiaTheme="minorEastAsia" w:hAnsi="Times New Roman" w:cs="Times New Roman"/>
          <w:bCs/>
          <w:sz w:val="24"/>
          <w:szCs w:val="24"/>
        </w:rPr>
        <w:t xml:space="preserve">while vectors of </w:t>
      </w:r>
      <w:proofErr w:type="spellStart"/>
      <w:r w:rsidRPr="000D3AD1">
        <w:rPr>
          <w:rFonts w:ascii="Times New Roman" w:eastAsiaTheme="minorEastAsia" w:hAnsi="Times New Roman" w:cs="Times New Roman"/>
          <w:bCs/>
          <w:sz w:val="24"/>
          <w:szCs w:val="24"/>
        </w:rPr>
        <w:t>VaRs</w:t>
      </w:r>
      <w:proofErr w:type="spellEnd"/>
      <w:r w:rsidRPr="000D3AD1">
        <w:rPr>
          <w:rFonts w:ascii="Times New Roman" w:eastAsiaTheme="minorEastAsia" w:hAnsi="Times New Roman" w:cs="Times New Roman"/>
          <w:bCs/>
          <w:sz w:val="24"/>
          <w:szCs w:val="24"/>
        </w:rPr>
        <w:t xml:space="preserve"> are denoted by</w:t>
      </w:r>
      <w:r w:rsidR="00772600" w:rsidRPr="000D3AD1">
        <w:rPr>
          <w:rFonts w:ascii="Times New Roman" w:eastAsiaTheme="minorEastAsia" w:hAnsi="Times New Roman" w:cs="Times New Roman"/>
          <w:bCs/>
          <w:sz w:val="24"/>
          <w:szCs w:val="24"/>
        </w:rPr>
        <w:t xml:space="preserve"> </w:t>
      </w:r>
      <m:oMath>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VaR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oMath>
      <w:r w:rsidRPr="000D3AD1">
        <w:rPr>
          <w:rFonts w:ascii="Times New Roman" w:eastAsiaTheme="minorEastAsia" w:hAnsi="Times New Roman" w:cs="Times New Roman"/>
          <w:bCs/>
          <w:sz w:val="24"/>
          <w:szCs w:val="24"/>
        </w:rPr>
        <w:t xml:space="preserve">. It is argued that linear quantile regression is not a suitable method for estimating the risk spillovers as the </w:t>
      </w:r>
      <w:r w:rsidRPr="000D3AD1">
        <w:rPr>
          <w:rFonts w:ascii="Times New Roman" w:eastAsiaTheme="minorEastAsia" w:hAnsi="Times New Roman" w:cs="Times New Roman"/>
          <w:bCs/>
          <w:sz w:val="24"/>
          <w:szCs w:val="24"/>
        </w:rPr>
        <w:lastRenderedPageBreak/>
        <w:t xml:space="preserve">interdependence of markets potentially differs in a state where economic conditions are unfavorable. Further, the conditional quantile function </w:t>
      </w:r>
      <w:r w:rsidR="000F50B7" w:rsidRPr="000D3AD1">
        <w:rPr>
          <w:rFonts w:ascii="Times New Roman" w:eastAsiaTheme="minorEastAsia" w:hAnsi="Times New Roman" w:cs="Times New Roman"/>
          <w:bCs/>
          <w:sz w:val="24"/>
          <w:szCs w:val="24"/>
        </w:rPr>
        <w:t xml:space="preserve">of one market varies from the other market and reacts nonlinearly to a critical level. In this way, neural network quantile regression suggests potential dependencies in the data such that conditional quantile of market </w:t>
      </w:r>
      <w:r w:rsidR="000F50B7" w:rsidRPr="000D3AD1">
        <w:rPr>
          <w:rFonts w:ascii="Times New Roman" w:eastAsiaTheme="minorEastAsia" w:hAnsi="Times New Roman" w:cs="Times New Roman"/>
          <w:bCs/>
          <w:i/>
          <w:iCs/>
          <w:sz w:val="24"/>
          <w:szCs w:val="24"/>
        </w:rPr>
        <w:t>j</w:t>
      </w:r>
      <w:r w:rsidR="000F50B7" w:rsidRPr="000D3AD1">
        <w:rPr>
          <w:rFonts w:ascii="Times New Roman" w:eastAsiaTheme="minorEastAsia" w:hAnsi="Times New Roman" w:cs="Times New Roman"/>
          <w:bCs/>
          <w:sz w:val="24"/>
          <w:szCs w:val="24"/>
        </w:rPr>
        <w:t xml:space="preserve"> returns is regressed on the overall returns of markets employing neural networks. </w:t>
      </w:r>
    </w:p>
    <w:bookmarkEnd w:id="2"/>
    <w:p w14:paraId="58B62A9A" w14:textId="77777777" w:rsidR="00772600" w:rsidRPr="000D3AD1" w:rsidRDefault="00000000" w:rsidP="00772600">
      <w:pPr>
        <w:spacing w:line="480" w:lineRule="auto"/>
        <w:ind w:firstLine="720"/>
        <w:jc w:val="both"/>
        <w:rPr>
          <w:rFonts w:ascii="Times New Roman" w:eastAsiaTheme="minorEastAsia" w:hAnsi="Times New Roman" w:cs="Times New Roman"/>
          <w:bCs/>
          <w:sz w:val="24"/>
          <w:szCs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 xml:space="preserve">jt </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θ</m:t>
            </m:r>
          </m:sub>
        </m:sSub>
        <m:r>
          <w:rPr>
            <w:rFonts w:ascii="Cambria Math" w:eastAsiaTheme="minorEastAsia" w:hAnsi="Cambria Math" w:cs="Times New Roman"/>
            <w:sz w:val="24"/>
            <w:szCs w:val="24"/>
          </w:rPr>
          <m:t xml:space="preserve"> </m:t>
        </m:r>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e>
        </m:d>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ε</m:t>
            </m:r>
          </m:e>
          <m:sub>
            <m:r>
              <w:rPr>
                <w:rFonts w:ascii="Cambria Math" w:eastAsiaTheme="minorEastAsia" w:hAnsi="Cambria Math" w:cs="Times New Roman"/>
                <w:sz w:val="24"/>
                <w:szCs w:val="24"/>
              </w:rPr>
              <m:t>jt</m:t>
            </m:r>
          </m:sub>
        </m:sSub>
      </m:oMath>
      <w:r w:rsidR="00772600" w:rsidRPr="000D3AD1">
        <w:rPr>
          <w:rFonts w:ascii="Times New Roman" w:eastAsiaTheme="minorEastAsia" w:hAnsi="Times New Roman" w:cs="Times New Roman"/>
          <w:bCs/>
          <w:sz w:val="24"/>
          <w:szCs w:val="24"/>
        </w:rPr>
        <w:tab/>
      </w:r>
    </w:p>
    <w:p w14:paraId="5F8D309B" w14:textId="77777777" w:rsidR="00772600" w:rsidRPr="000D3AD1" w:rsidRDefault="00772600" w:rsidP="00772600">
      <w:pPr>
        <w:spacing w:line="480" w:lineRule="auto"/>
        <w:ind w:firstLine="720"/>
        <w:jc w:val="both"/>
        <w:rPr>
          <w:rFonts w:ascii="Times New Roman" w:eastAsiaTheme="minorEastAsia" w:hAnsi="Times New Roman" w:cs="Times New Roman"/>
          <w:bCs/>
          <w:sz w:val="24"/>
          <w:szCs w:val="24"/>
        </w:rPr>
      </w:pPr>
      <m:oMath>
        <m:r>
          <w:rPr>
            <w:rFonts w:ascii="Cambria Math" w:eastAsiaTheme="minorEastAsia" w:hAnsi="Cambria Math" w:cs="Times New Roman"/>
            <w:sz w:val="24"/>
            <w:szCs w:val="24"/>
          </w:rPr>
          <m:t xml:space="preserve">= </m:t>
        </m:r>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m=1</m:t>
            </m:r>
          </m:sub>
          <m: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n</m:t>
                </m:r>
              </m:sub>
            </m:sSub>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o</m:t>
                </m:r>
              </m:sup>
            </m:sSubSup>
          </m:e>
        </m:nary>
        <m:r>
          <w:rPr>
            <w:rFonts w:ascii="Cambria Math" w:eastAsiaTheme="minorEastAsia" w:hAnsi="Cambria Math" w:cs="Times New Roman"/>
            <w:sz w:val="24"/>
            <w:szCs w:val="24"/>
          </w:rPr>
          <m:t>φ</m:t>
        </m:r>
        <m:d>
          <m:dPr>
            <m:ctrlPr>
              <w:rPr>
                <w:rFonts w:ascii="Cambria Math" w:eastAsiaTheme="minorEastAsia" w:hAnsi="Cambria Math" w:cs="Times New Roman"/>
                <w:bCs/>
                <w:i/>
                <w:sz w:val="24"/>
                <w:szCs w:val="24"/>
              </w:rPr>
            </m:ctrlPr>
          </m:dPr>
          <m:e>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k≠j</m:t>
                </m:r>
              </m:sub>
              <m:sup>
                <m:r>
                  <w:rPr>
                    <w:rFonts w:ascii="Cambria Math" w:eastAsiaTheme="minorEastAsia" w:hAnsi="Cambria Math" w:cs="Times New Roman"/>
                    <w:sz w:val="24"/>
                    <w:szCs w:val="24"/>
                  </w:rPr>
                  <m:t>k</m:t>
                </m:r>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k,m</m:t>
                    </m:r>
                  </m:sub>
                  <m:sup>
                    <m:r>
                      <w:rPr>
                        <w:rFonts w:ascii="Cambria Math" w:eastAsiaTheme="minorEastAsia" w:hAnsi="Cambria Math" w:cs="Times New Roman"/>
                        <w:sz w:val="24"/>
                        <w:szCs w:val="24"/>
                      </w:rPr>
                      <m:t>h</m:t>
                    </m:r>
                  </m:sup>
                </m:sSubSup>
              </m:e>
            </m:nary>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k,t</m:t>
                </m:r>
              </m:sub>
            </m:sSub>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h</m:t>
                </m:r>
              </m:sup>
            </m:sSubSup>
          </m:e>
        </m:d>
        <m:r>
          <w:rPr>
            <w:rFonts w:ascii="Cambria Math" w:eastAsiaTheme="minorEastAsia" w:hAnsi="Cambria Math" w:cs="Times New Roman"/>
            <w:sz w:val="24"/>
            <w:szCs w:val="24"/>
          </w:rPr>
          <m:t xml:space="preserve">+ </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b</m:t>
            </m:r>
          </m:e>
          <m:sup>
            <m:r>
              <w:rPr>
                <w:rFonts w:ascii="Cambria Math" w:eastAsiaTheme="minorEastAsia" w:hAnsi="Cambria Math" w:cs="Times New Roman"/>
                <w:sz w:val="24"/>
                <w:szCs w:val="24"/>
              </w:rPr>
              <m:t>o</m:t>
            </m:r>
          </m:sup>
        </m:sSup>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ε</m:t>
            </m:r>
          </m:e>
          <m:sub>
            <m:r>
              <w:rPr>
                <w:rFonts w:ascii="Cambria Math" w:eastAsiaTheme="minorEastAsia" w:hAnsi="Cambria Math" w:cs="Times New Roman"/>
                <w:sz w:val="24"/>
                <w:szCs w:val="24"/>
              </w:rPr>
              <m:t>jt</m:t>
            </m:r>
          </m:sub>
        </m:sSub>
      </m:oMath>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t>(7)</w:t>
      </w:r>
    </w:p>
    <w:p w14:paraId="636F59CF" w14:textId="4CFC4BBB" w:rsidR="000F50B7" w:rsidRPr="000D3AD1" w:rsidRDefault="000F50B7"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Here the error term </w:t>
      </w:r>
      <m:oMath>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ε</m:t>
                </m:r>
              </m:e>
              <m:sub>
                <m:r>
                  <w:rPr>
                    <w:rFonts w:ascii="Cambria Math" w:eastAsiaTheme="minorEastAsia" w:hAnsi="Cambria Math" w:cs="Times New Roman"/>
                    <w:sz w:val="24"/>
                    <w:szCs w:val="24"/>
                  </w:rPr>
                  <m:t>jt</m:t>
                </m:r>
              </m:sub>
            </m:sSub>
          </m:e>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e>
        </m:d>
        <m:r>
          <w:rPr>
            <w:rFonts w:ascii="Cambria Math" w:eastAsiaTheme="minorEastAsia" w:hAnsi="Cambria Math" w:cs="Times New Roman"/>
            <w:sz w:val="24"/>
            <w:szCs w:val="24"/>
          </w:rPr>
          <m:t>=0</m:t>
        </m:r>
      </m:oMath>
      <w:r w:rsidRPr="000D3AD1">
        <w:rPr>
          <w:rFonts w:ascii="Times New Roman" w:eastAsiaTheme="minorEastAsia" w:hAnsi="Times New Roman" w:cs="Times New Roman"/>
          <w:sz w:val="24"/>
          <w:szCs w:val="24"/>
        </w:rPr>
        <w:t xml:space="preserve"> represents the conditional quantile. </w:t>
      </w:r>
      <w:r w:rsidR="0073584E" w:rsidRPr="000D3AD1">
        <w:rPr>
          <w:rFonts w:ascii="Times New Roman" w:eastAsiaTheme="minorEastAsia" w:hAnsi="Times New Roman" w:cs="Times New Roman"/>
          <w:sz w:val="24"/>
          <w:szCs w:val="24"/>
        </w:rPr>
        <w:t>At the distressing time, the adjusted neural network</w:t>
      </w:r>
      <w:r w:rsidRPr="000D3AD1">
        <w:rPr>
          <w:rFonts w:ascii="Times New Roman" w:eastAsiaTheme="minorEastAsia" w:hAnsi="Times New Roman" w:cs="Times New Roman"/>
          <w:sz w:val="24"/>
          <w:szCs w:val="24"/>
        </w:rPr>
        <w:t xml:space="preserve"> is measured using the </w:t>
      </w:r>
      <w:proofErr w:type="spellStart"/>
      <w:r w:rsidRPr="000D3AD1">
        <w:rPr>
          <w:rFonts w:ascii="Times New Roman" w:eastAsiaTheme="minorEastAsia" w:hAnsi="Times New Roman" w:cs="Times New Roman"/>
          <w:sz w:val="24"/>
          <w:szCs w:val="24"/>
        </w:rPr>
        <w:t>CoVaR</w:t>
      </w:r>
      <w:proofErr w:type="spellEnd"/>
      <w:r w:rsidRPr="000D3AD1">
        <w:rPr>
          <w:rFonts w:ascii="Times New Roman" w:eastAsiaTheme="minorEastAsia" w:hAnsi="Times New Roman" w:cs="Times New Roman"/>
          <w:sz w:val="24"/>
          <w:szCs w:val="24"/>
        </w:rPr>
        <w:t xml:space="preserve"> of market </w:t>
      </w:r>
      <w:r w:rsidRPr="000D3AD1">
        <w:rPr>
          <w:rFonts w:ascii="Times New Roman" w:eastAsiaTheme="minorEastAsia" w:hAnsi="Times New Roman" w:cs="Times New Roman"/>
          <w:i/>
          <w:iCs/>
          <w:sz w:val="24"/>
          <w:szCs w:val="24"/>
        </w:rPr>
        <w:t>j</w:t>
      </w:r>
      <w:r w:rsidRPr="000D3AD1">
        <w:rPr>
          <w:rFonts w:ascii="Times New Roman" w:eastAsiaTheme="minorEastAsia" w:hAnsi="Times New Roman" w:cs="Times New Roman"/>
          <w:sz w:val="24"/>
          <w:szCs w:val="24"/>
        </w:rPr>
        <w:t xml:space="preserve">. </w:t>
      </w:r>
    </w:p>
    <w:p w14:paraId="68F4037C"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CoVaR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r>
          <w:rPr>
            <w:rFonts w:ascii="Cambria Math" w:eastAsiaTheme="minorEastAsia" w:hAnsi="Cambria Math" w:cs="Times New Roman"/>
            <w:sz w:val="24"/>
            <w:szCs w:val="24"/>
          </w:rPr>
          <m:t xml:space="preserve">= </m:t>
        </m:r>
        <m:acc>
          <m:accPr>
            <m:ctrlPr>
              <w:rPr>
                <w:rFonts w:ascii="Cambria Math" w:eastAsiaTheme="minorEastAsia" w:hAnsi="Cambria Math" w:cs="Times New Roman"/>
                <w:bCs/>
                <w:i/>
                <w:sz w:val="24"/>
                <w:szCs w:val="24"/>
              </w:rPr>
            </m:ctrlPr>
          </m:acc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θ</m:t>
                </m:r>
              </m:sub>
            </m:sSub>
          </m:e>
        </m:acc>
        <m:r>
          <w:rPr>
            <w:rFonts w:ascii="Cambria Math" w:eastAsiaTheme="minorEastAsia" w:hAnsi="Cambria Math" w:cs="Times New Roman"/>
            <w:sz w:val="24"/>
            <w:szCs w:val="24"/>
          </w:rPr>
          <m:t>(</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VaR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r>
          <w:rPr>
            <w:rFonts w:ascii="Cambria Math" w:eastAsiaTheme="minorEastAsia" w:hAnsi="Cambria Math" w:cs="Times New Roman"/>
            <w:sz w:val="24"/>
            <w:szCs w:val="24"/>
          </w:rPr>
          <m:t>)</m:t>
        </m:r>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(8)</w:t>
      </w:r>
    </w:p>
    <w:p w14:paraId="7436A4C1" w14:textId="2ED527CF"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Here</w:t>
      </w:r>
      <w:r w:rsidR="0012061A" w:rsidRPr="000D3AD1">
        <w:rPr>
          <w:rFonts w:ascii="Times New Roman" w:eastAsiaTheme="minorEastAsia" w:hAnsi="Times New Roman" w:cs="Times New Roman"/>
          <w:bCs/>
          <w:sz w:val="24"/>
          <w:szCs w:val="24"/>
        </w:rPr>
        <w:t xml:space="preserve"> neural network is denoted by</w:t>
      </w:r>
      <w:r w:rsidRPr="000D3AD1">
        <w:rPr>
          <w:rFonts w:ascii="Times New Roman" w:eastAsiaTheme="minorEastAsia" w:hAnsi="Times New Roman" w:cs="Times New Roman"/>
          <w:bCs/>
          <w:sz w:val="24"/>
          <w:szCs w:val="24"/>
        </w:rPr>
        <w:t xml:space="preserve"> </w:t>
      </w:r>
      <m:oMath>
        <m:acc>
          <m:accPr>
            <m:ctrlPr>
              <w:rPr>
                <w:rFonts w:ascii="Cambria Math" w:eastAsiaTheme="minorEastAsia" w:hAnsi="Cambria Math" w:cs="Times New Roman"/>
                <w:bCs/>
                <w:i/>
                <w:sz w:val="24"/>
                <w:szCs w:val="24"/>
              </w:rPr>
            </m:ctrlPr>
          </m:acc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θ</m:t>
                </m:r>
              </m:sub>
            </m:sSub>
          </m:e>
        </m:acc>
      </m:oMath>
      <w:r w:rsidR="0012061A" w:rsidRPr="000D3AD1">
        <w:rPr>
          <w:rFonts w:ascii="Times New Roman" w:eastAsiaTheme="minorEastAsia" w:hAnsi="Times New Roman" w:cs="Times New Roman"/>
          <w:bCs/>
          <w:sz w:val="24"/>
          <w:szCs w:val="24"/>
        </w:rPr>
        <w:t xml:space="preserve">. Hence, we interpret </w:t>
      </w:r>
      <w:proofErr w:type="spellStart"/>
      <w:r w:rsidRPr="000D3AD1">
        <w:rPr>
          <w:rFonts w:ascii="Times New Roman" w:eastAsiaTheme="minorEastAsia" w:hAnsi="Times New Roman" w:cs="Times New Roman"/>
          <w:bCs/>
          <w:sz w:val="24"/>
          <w:szCs w:val="24"/>
        </w:rPr>
        <w:t>CoVaR</w:t>
      </w:r>
      <w:proofErr w:type="spellEnd"/>
      <w:r w:rsidRPr="000D3AD1">
        <w:rPr>
          <w:rFonts w:ascii="Times New Roman" w:eastAsiaTheme="minorEastAsia" w:hAnsi="Times New Roman" w:cs="Times New Roman"/>
          <w:bCs/>
          <w:sz w:val="24"/>
          <w:szCs w:val="24"/>
        </w:rPr>
        <w:t xml:space="preserve"> </w:t>
      </w:r>
      <w:r w:rsidR="0012061A" w:rsidRPr="000D3AD1">
        <w:rPr>
          <w:rFonts w:ascii="Times New Roman" w:eastAsiaTheme="minorEastAsia" w:hAnsi="Times New Roman" w:cs="Times New Roman"/>
          <w:bCs/>
          <w:sz w:val="24"/>
          <w:szCs w:val="24"/>
        </w:rPr>
        <w:t xml:space="preserve">as the </w:t>
      </w:r>
      <m:oMath>
        <m:r>
          <w:rPr>
            <w:rFonts w:ascii="Cambria Math" w:eastAsiaTheme="minorEastAsia" w:hAnsi="Cambria Math" w:cs="Times New Roman"/>
            <w:sz w:val="24"/>
            <w:szCs w:val="24"/>
          </w:rPr>
          <m:t>τ</m:t>
        </m:r>
      </m:oMath>
      <w:r w:rsidR="0012061A" w:rsidRPr="000D3AD1">
        <w:rPr>
          <w:rFonts w:ascii="Times New Roman" w:eastAsiaTheme="minorEastAsia" w:hAnsi="Times New Roman" w:cs="Times New Roman"/>
          <w:bCs/>
          <w:sz w:val="24"/>
          <w:szCs w:val="24"/>
        </w:rPr>
        <w:t xml:space="preserve">-quantile of the loss distribution </w:t>
      </w:r>
      <w:r w:rsidR="0073584E" w:rsidRPr="000D3AD1">
        <w:rPr>
          <w:rFonts w:ascii="Times New Roman" w:eastAsiaTheme="minorEastAsia" w:hAnsi="Times New Roman" w:cs="Times New Roman"/>
          <w:bCs/>
          <w:sz w:val="24"/>
          <w:szCs w:val="24"/>
        </w:rPr>
        <w:t>in</w:t>
      </w:r>
      <w:r w:rsidR="0012061A" w:rsidRPr="000D3AD1">
        <w:rPr>
          <w:rFonts w:ascii="Times New Roman" w:eastAsiaTheme="minorEastAsia" w:hAnsi="Times New Roman" w:cs="Times New Roman"/>
          <w:bCs/>
          <w:sz w:val="24"/>
          <w:szCs w:val="24"/>
        </w:rPr>
        <w:t xml:space="preserve"> a hypothetical stressful situation. In the current study, </w:t>
      </w:r>
      <w:r w:rsidR="004F0A32" w:rsidRPr="000D3AD1">
        <w:rPr>
          <w:rFonts w:ascii="Times New Roman" w:eastAsiaTheme="minorEastAsia" w:hAnsi="Times New Roman" w:cs="Times New Roman"/>
          <w:bCs/>
          <w:sz w:val="24"/>
          <w:szCs w:val="24"/>
        </w:rPr>
        <w:t>the stressful situation of all markets indicate</w:t>
      </w:r>
      <w:r w:rsidR="0073584E" w:rsidRPr="000D3AD1">
        <w:rPr>
          <w:rFonts w:ascii="Times New Roman" w:eastAsiaTheme="minorEastAsia" w:hAnsi="Times New Roman" w:cs="Times New Roman"/>
          <w:bCs/>
          <w:sz w:val="24"/>
          <w:szCs w:val="24"/>
        </w:rPr>
        <w:t>s</w:t>
      </w:r>
      <w:r w:rsidR="004F0A32" w:rsidRPr="000D3AD1">
        <w:rPr>
          <w:rFonts w:ascii="Times New Roman" w:eastAsiaTheme="minorEastAsia" w:hAnsi="Times New Roman" w:cs="Times New Roman"/>
          <w:bCs/>
          <w:sz w:val="24"/>
          <w:szCs w:val="24"/>
        </w:rPr>
        <w:t xml:space="preserve"> that they are in their </w:t>
      </w:r>
      <w:proofErr w:type="spellStart"/>
      <w:r w:rsidR="004F0A32" w:rsidRPr="000D3AD1">
        <w:rPr>
          <w:rFonts w:ascii="Times New Roman" w:eastAsiaTheme="minorEastAsia" w:hAnsi="Times New Roman" w:cs="Times New Roman"/>
          <w:bCs/>
          <w:sz w:val="24"/>
          <w:szCs w:val="24"/>
        </w:rPr>
        <w:t>VaR.</w:t>
      </w:r>
      <w:proofErr w:type="spellEnd"/>
      <w:r w:rsidR="004F0A32" w:rsidRPr="000D3AD1">
        <w:rPr>
          <w:rFonts w:ascii="Times New Roman" w:eastAsiaTheme="minorEastAsia" w:hAnsi="Times New Roman" w:cs="Times New Roman"/>
          <w:bCs/>
          <w:sz w:val="24"/>
          <w:szCs w:val="24"/>
        </w:rPr>
        <w:t xml:space="preserve"> </w:t>
      </w:r>
    </w:p>
    <w:p w14:paraId="6F5B71DA" w14:textId="44D78BB5" w:rsidR="00772600" w:rsidRPr="000D3AD1" w:rsidRDefault="00772600" w:rsidP="00772600">
      <w:pPr>
        <w:spacing w:line="480" w:lineRule="auto"/>
        <w:jc w:val="both"/>
        <w:rPr>
          <w:rFonts w:ascii="Times New Roman" w:eastAsiaTheme="minorEastAsia" w:hAnsi="Times New Roman" w:cs="Times New Roman"/>
          <w:bCs/>
          <w:i/>
          <w:sz w:val="24"/>
          <w:szCs w:val="24"/>
        </w:rPr>
      </w:pPr>
      <w:r w:rsidRPr="000D3AD1">
        <w:rPr>
          <w:rFonts w:ascii="Times New Roman" w:eastAsiaTheme="minorEastAsia" w:hAnsi="Times New Roman" w:cs="Times New Roman"/>
          <w:bCs/>
          <w:i/>
          <w:sz w:val="24"/>
          <w:szCs w:val="24"/>
        </w:rPr>
        <w:t xml:space="preserve">3.3 Step 3: </w:t>
      </w:r>
      <w:r w:rsidR="004F0A32" w:rsidRPr="000D3AD1">
        <w:rPr>
          <w:rFonts w:ascii="Times New Roman" w:eastAsiaTheme="minorEastAsia" w:hAnsi="Times New Roman" w:cs="Times New Roman"/>
          <w:bCs/>
          <w:i/>
          <w:sz w:val="24"/>
          <w:szCs w:val="24"/>
        </w:rPr>
        <w:t xml:space="preserve">Quantifying </w:t>
      </w:r>
      <w:r w:rsidRPr="000D3AD1">
        <w:rPr>
          <w:rFonts w:ascii="Times New Roman" w:eastAsiaTheme="minorEastAsia" w:hAnsi="Times New Roman" w:cs="Times New Roman"/>
          <w:bCs/>
          <w:i/>
          <w:sz w:val="24"/>
          <w:szCs w:val="24"/>
        </w:rPr>
        <w:t>Risk Spillovers</w:t>
      </w:r>
    </w:p>
    <w:p w14:paraId="222BAE36" w14:textId="0440F1C0" w:rsidR="00772600" w:rsidRPr="000D3AD1" w:rsidRDefault="004F0A32"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Once weights are assigned to neural network quantile regression, we obtain the risk spillovers in the next step for each directed pair of markets included in the study. Therefore, partial derivatives of the conditional quantile of market </w:t>
      </w:r>
      <w:r w:rsidRPr="000D3AD1">
        <w:rPr>
          <w:rFonts w:ascii="Times New Roman" w:eastAsiaTheme="minorEastAsia" w:hAnsi="Times New Roman" w:cs="Times New Roman"/>
          <w:bCs/>
          <w:i/>
          <w:iCs/>
          <w:sz w:val="24"/>
          <w:szCs w:val="24"/>
        </w:rPr>
        <w:t>j</w:t>
      </w:r>
      <w:r w:rsidRPr="000D3AD1">
        <w:rPr>
          <w:rFonts w:ascii="Times New Roman" w:eastAsiaTheme="minorEastAsia" w:hAnsi="Times New Roman" w:cs="Times New Roman"/>
          <w:bCs/>
          <w:sz w:val="24"/>
          <w:szCs w:val="24"/>
        </w:rPr>
        <w:t xml:space="preserve"> return are taken. </w:t>
      </w:r>
    </w:p>
    <w:p w14:paraId="00C70465" w14:textId="0AE0B30C" w:rsidR="00772600" w:rsidRPr="000D3AD1" w:rsidRDefault="00000000" w:rsidP="00772600">
      <w:pPr>
        <w:spacing w:line="480" w:lineRule="auto"/>
        <w:jc w:val="both"/>
        <w:rPr>
          <w:rFonts w:ascii="Times New Roman" w:eastAsiaTheme="minorEastAsia" w:hAnsi="Times New Roman" w:cs="Times New Roman"/>
          <w:bCs/>
          <w:sz w:val="24"/>
          <w:szCs w:val="24"/>
        </w:rPr>
      </w:pPr>
      <m:oMath>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m:t>
                </m:r>
              </m:sub>
            </m:sSub>
          </m:den>
        </m:f>
        <m:r>
          <w:rPr>
            <w:rFonts w:ascii="Cambria Math" w:eastAsiaTheme="minorEastAsia" w:hAnsi="Cambria Math" w:cs="Times New Roman"/>
            <w:sz w:val="24"/>
            <w:szCs w:val="24"/>
          </w:rPr>
          <m:t xml:space="preserve">= </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m:t>
                </m:r>
              </m:sub>
            </m:sSub>
          </m:den>
        </m:f>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m=1</m:t>
            </m:r>
          </m:sub>
          <m: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n</m:t>
                </m:r>
              </m:sub>
            </m:sSub>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o</m:t>
                </m:r>
              </m:sup>
            </m:sSub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φ</m:t>
                </m:r>
              </m:e>
              <m:sup>
                <m:r>
                  <w:rPr>
                    <w:rFonts w:ascii="Cambria Math" w:eastAsiaTheme="minorEastAsia" w:hAnsi="Cambria Math" w:cs="Times New Roman"/>
                    <w:sz w:val="24"/>
                    <w:szCs w:val="24"/>
                  </w:rPr>
                  <m:t>'</m:t>
                </m:r>
              </m:sup>
            </m:sSup>
          </m:e>
        </m:nary>
        <m:d>
          <m:dPr>
            <m:ctrlPr>
              <w:rPr>
                <w:rFonts w:ascii="Cambria Math" w:eastAsiaTheme="minorEastAsia" w:hAnsi="Cambria Math" w:cs="Times New Roman"/>
                <w:bCs/>
                <w:i/>
                <w:sz w:val="24"/>
                <w:szCs w:val="24"/>
              </w:rPr>
            </m:ctrlPr>
          </m:dPr>
          <m:e>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k≠j</m:t>
                </m:r>
              </m:sub>
              <m:sup>
                <m:r>
                  <w:rPr>
                    <w:rFonts w:ascii="Cambria Math" w:eastAsiaTheme="minorEastAsia" w:hAnsi="Cambria Math" w:cs="Times New Roman"/>
                    <w:sz w:val="24"/>
                    <w:szCs w:val="24"/>
                  </w:rPr>
                  <m:t>k</m:t>
                </m:r>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km</m:t>
                    </m:r>
                  </m:sub>
                  <m:sup>
                    <m:r>
                      <w:rPr>
                        <w:rFonts w:ascii="Cambria Math" w:eastAsiaTheme="minorEastAsia" w:hAnsi="Cambria Math" w:cs="Times New Roman"/>
                        <w:sz w:val="24"/>
                        <w:szCs w:val="24"/>
                      </w:rPr>
                      <m:t>h</m:t>
                    </m:r>
                  </m:sup>
                </m:sSub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kt</m:t>
                    </m:r>
                  </m:sub>
                </m:sSub>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h</m:t>
                    </m:r>
                  </m:sup>
                </m:sSubSup>
              </m:e>
            </m:nary>
          </m:e>
        </m:d>
        <m:r>
          <w:rPr>
            <w:rFonts w:ascii="Cambria Math" w:eastAsiaTheme="minorEastAsia" w:hAnsi="Cambria Math" w:cs="Times New Roman"/>
            <w:sz w:val="24"/>
            <w:szCs w:val="24"/>
          </w:rPr>
          <m:t>+</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b</m:t>
            </m:r>
          </m:e>
          <m:sup>
            <m:r>
              <w:rPr>
                <w:rFonts w:ascii="Cambria Math" w:eastAsiaTheme="minorEastAsia" w:hAnsi="Cambria Math" w:cs="Times New Roman"/>
                <w:sz w:val="24"/>
                <w:szCs w:val="24"/>
              </w:rPr>
              <m:t>o</m:t>
            </m:r>
          </m:sup>
        </m:sSup>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(9)</w:t>
      </w:r>
    </w:p>
    <w:p w14:paraId="6E0041B3" w14:textId="6E7B4A5D" w:rsidR="00772600" w:rsidRPr="000D3AD1" w:rsidRDefault="004F0A32"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Using</w:t>
      </w:r>
      <w:r w:rsidR="00772600" w:rsidRPr="000D3AD1">
        <w:rPr>
          <w:rFonts w:ascii="Times New Roman" w:eastAsiaTheme="minorEastAsia" w:hAnsi="Times New Roman" w:cs="Times New Roman"/>
          <w:bCs/>
          <w:sz w:val="24"/>
          <w:szCs w:val="24"/>
        </w:rPr>
        <w:t xml:space="preserve"> the sigmoid tangent activation function, we </w:t>
      </w:r>
      <w:r w:rsidRPr="000D3AD1">
        <w:rPr>
          <w:rFonts w:ascii="Times New Roman" w:eastAsiaTheme="minorEastAsia" w:hAnsi="Times New Roman" w:cs="Times New Roman"/>
          <w:bCs/>
          <w:sz w:val="24"/>
          <w:szCs w:val="24"/>
        </w:rPr>
        <w:t>obtain</w:t>
      </w:r>
    </w:p>
    <w:p w14:paraId="1AE553E9"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m:t>
                </m:r>
              </m:sub>
            </m:sSub>
          </m:den>
        </m:f>
        <m:r>
          <w:rPr>
            <w:rFonts w:ascii="Cambria Math" w:eastAsiaTheme="minorEastAsia" w:hAnsi="Cambria Math" w:cs="Times New Roman"/>
            <w:sz w:val="24"/>
            <w:szCs w:val="24"/>
          </w:rPr>
          <m:t xml:space="preserve">= </m:t>
        </m:r>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m=1</m:t>
            </m:r>
          </m:sub>
          <m: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n</m:t>
                </m:r>
              </m:sub>
            </m:sSub>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o</m:t>
                </m:r>
              </m:sup>
            </m:sSubSup>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h</m:t>
                </m:r>
              </m:sup>
            </m:sSub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φ</m:t>
                </m:r>
              </m:e>
              <m:sup>
                <m:r>
                  <w:rPr>
                    <w:rFonts w:ascii="Cambria Math" w:eastAsiaTheme="minorEastAsia" w:hAnsi="Cambria Math" w:cs="Times New Roman"/>
                    <w:sz w:val="24"/>
                    <w:szCs w:val="24"/>
                  </w:rPr>
                  <m:t>'</m:t>
                </m:r>
              </m:sup>
            </m:sSup>
          </m:e>
        </m:nary>
        <m:d>
          <m:dPr>
            <m:ctrlPr>
              <w:rPr>
                <w:rFonts w:ascii="Cambria Math" w:eastAsiaTheme="minorEastAsia" w:hAnsi="Cambria Math" w:cs="Times New Roman"/>
                <w:bCs/>
                <w:i/>
                <w:sz w:val="24"/>
                <w:szCs w:val="24"/>
              </w:rPr>
            </m:ctrlPr>
          </m:dPr>
          <m:e>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k≠j</m:t>
                </m:r>
              </m:sub>
              <m:sup>
                <m:r>
                  <w:rPr>
                    <w:rFonts w:ascii="Cambria Math" w:eastAsiaTheme="minorEastAsia" w:hAnsi="Cambria Math" w:cs="Times New Roman"/>
                    <w:sz w:val="24"/>
                    <w:szCs w:val="24"/>
                  </w:rPr>
                  <m:t>k</m:t>
                </m:r>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km</m:t>
                    </m:r>
                  </m:sub>
                  <m:sup>
                    <m:r>
                      <w:rPr>
                        <w:rFonts w:ascii="Cambria Math" w:eastAsiaTheme="minorEastAsia" w:hAnsi="Cambria Math" w:cs="Times New Roman"/>
                        <w:sz w:val="24"/>
                        <w:szCs w:val="24"/>
                      </w:rPr>
                      <m:t>h</m:t>
                    </m:r>
                  </m:sup>
                </m:sSub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kt</m:t>
                    </m:r>
                  </m:sub>
                </m:sSub>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h</m:t>
                    </m:r>
                  </m:sup>
                </m:sSubSup>
              </m:e>
            </m:nary>
          </m:e>
        </m:d>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(10)</w:t>
      </w:r>
    </w:p>
    <w:p w14:paraId="6AD0D59A" w14:textId="77777777"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with </w:t>
      </w:r>
    </w:p>
    <w:p w14:paraId="689F6B7B"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φ</m:t>
            </m:r>
          </m:e>
          <m:sup>
            <m:r>
              <w:rPr>
                <w:rFonts w:ascii="Cambria Math" w:eastAsiaTheme="minorEastAsia" w:hAnsi="Cambria Math" w:cs="Times New Roman"/>
                <w:sz w:val="24"/>
                <w:szCs w:val="24"/>
              </w:rPr>
              <m:t>'</m:t>
            </m:r>
          </m:sup>
        </m:sSup>
        <m:d>
          <m:dPr>
            <m:ctrlPr>
              <w:rPr>
                <w:rFonts w:ascii="Cambria Math" w:eastAsiaTheme="minorEastAsia" w:hAnsi="Cambria Math" w:cs="Times New Roman"/>
                <w:bCs/>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 xml:space="preserve">= </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exp</m:t>
                </m:r>
              </m:e>
              <m:sup>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z</m:t>
                    </m:r>
                  </m:num>
                  <m:den>
                    <m:r>
                      <w:rPr>
                        <w:rFonts w:ascii="Cambria Math" w:eastAsiaTheme="minorEastAsia" w:hAnsi="Cambria Math" w:cs="Times New Roman"/>
                        <w:sz w:val="24"/>
                        <w:szCs w:val="24"/>
                      </w:rPr>
                      <m:t>2</m:t>
                    </m:r>
                  </m:den>
                </m:f>
              </m:sup>
            </m:sSup>
            <m:r>
              <w:rPr>
                <w:rFonts w:ascii="Cambria Math" w:eastAsiaTheme="minorEastAsia" w:hAnsi="Cambria Math" w:cs="Times New Roman"/>
                <w:sz w:val="24"/>
                <w:szCs w:val="24"/>
              </w:rPr>
              <m:t>+</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exp</m:t>
                </m:r>
              </m:e>
              <m:sup>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z</m:t>
                    </m:r>
                  </m:num>
                  <m:den>
                    <m:r>
                      <w:rPr>
                        <w:rFonts w:ascii="Cambria Math" w:eastAsiaTheme="minorEastAsia" w:hAnsi="Cambria Math" w:cs="Times New Roman"/>
                        <w:sz w:val="24"/>
                        <w:szCs w:val="24"/>
                      </w:rPr>
                      <m:t>2</m:t>
                    </m:r>
                  </m:den>
                </m:f>
              </m:sup>
            </m:s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den>
        </m:f>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(11)</w:t>
      </w:r>
    </w:p>
    <w:p w14:paraId="46EB354F" w14:textId="4A715727" w:rsidR="00772600" w:rsidRPr="000D3AD1" w:rsidRDefault="004F0A32"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However, when </w:t>
      </w:r>
      <w:proofErr w:type="spellStart"/>
      <w:r w:rsidR="00772600" w:rsidRPr="000D3AD1">
        <w:rPr>
          <w:rFonts w:ascii="Times New Roman" w:eastAsiaTheme="minorEastAsia" w:hAnsi="Times New Roman" w:cs="Times New Roman"/>
          <w:bCs/>
          <w:sz w:val="24"/>
          <w:szCs w:val="24"/>
        </w:rPr>
        <w:t>ReLu</w:t>
      </w:r>
      <w:proofErr w:type="spellEnd"/>
      <w:r w:rsidR="00772600" w:rsidRPr="000D3AD1">
        <w:rPr>
          <w:rFonts w:ascii="Times New Roman" w:eastAsiaTheme="minorEastAsia" w:hAnsi="Times New Roman" w:cs="Times New Roman"/>
          <w:bCs/>
          <w:sz w:val="24"/>
          <w:szCs w:val="24"/>
        </w:rPr>
        <w:t xml:space="preserve"> activation function</w:t>
      </w:r>
      <w:r w:rsidRPr="000D3AD1">
        <w:rPr>
          <w:rFonts w:ascii="Times New Roman" w:eastAsiaTheme="minorEastAsia" w:hAnsi="Times New Roman" w:cs="Times New Roman"/>
          <w:bCs/>
          <w:sz w:val="24"/>
          <w:szCs w:val="24"/>
        </w:rPr>
        <w:t xml:space="preserve"> persists</w:t>
      </w:r>
      <w:r w:rsidR="00772600" w:rsidRPr="000D3AD1">
        <w:rPr>
          <w:rFonts w:ascii="Times New Roman" w:eastAsiaTheme="minorEastAsia" w:hAnsi="Times New Roman" w:cs="Times New Roman"/>
          <w:bCs/>
          <w:sz w:val="24"/>
          <w:szCs w:val="24"/>
        </w:rPr>
        <w:t xml:space="preserve">, we </w:t>
      </w:r>
      <w:r w:rsidRPr="000D3AD1">
        <w:rPr>
          <w:rFonts w:ascii="Times New Roman" w:eastAsiaTheme="minorEastAsia" w:hAnsi="Times New Roman" w:cs="Times New Roman"/>
          <w:bCs/>
          <w:sz w:val="24"/>
          <w:szCs w:val="24"/>
        </w:rPr>
        <w:t>get</w:t>
      </w:r>
    </w:p>
    <w:p w14:paraId="006AC7BA" w14:textId="77777777" w:rsidR="004F0A32" w:rsidRPr="000D3AD1" w:rsidRDefault="00000000" w:rsidP="00772600">
      <w:pPr>
        <w:spacing w:line="480" w:lineRule="auto"/>
        <w:jc w:val="both"/>
        <w:rPr>
          <w:rFonts w:ascii="Times New Roman" w:eastAsiaTheme="minorEastAsia" w:hAnsi="Times New Roman" w:cs="Times New Roman"/>
          <w:bCs/>
          <w:sz w:val="24"/>
          <w:szCs w:val="24"/>
        </w:rPr>
      </w:pPr>
      <m:oMath>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m:t>
                </m:r>
              </m:sub>
            </m:sSub>
          </m:den>
        </m:f>
        <m:r>
          <w:rPr>
            <w:rFonts w:ascii="Cambria Math" w:eastAsiaTheme="minorEastAsia" w:hAnsi="Cambria Math" w:cs="Times New Roman"/>
            <w:sz w:val="24"/>
            <w:szCs w:val="24"/>
          </w:rPr>
          <m:t xml:space="preserve">= </m:t>
        </m:r>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m=1</m:t>
            </m:r>
          </m:sub>
          <m: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n</m:t>
                </m:r>
              </m:sub>
            </m:sSub>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o</m:t>
                </m:r>
              </m:sup>
            </m:sSubSup>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h</m:t>
                </m:r>
              </m:sup>
            </m:sSubSup>
            <m:r>
              <m:rPr>
                <m:sty m:val="b"/>
              </m:rPr>
              <w:rPr>
                <w:rFonts w:ascii="Cambria Math" w:eastAsiaTheme="minorEastAsia" w:hAnsi="Cambria Math" w:cs="Times New Roman"/>
                <w:sz w:val="24"/>
                <w:szCs w:val="24"/>
              </w:rPr>
              <m:t>I</m:t>
            </m:r>
          </m:e>
        </m:nary>
        <m:d>
          <m:dPr>
            <m:ctrlPr>
              <w:rPr>
                <w:rFonts w:ascii="Cambria Math" w:eastAsiaTheme="minorEastAsia" w:hAnsi="Cambria Math" w:cs="Times New Roman"/>
                <w:bCs/>
                <w:i/>
                <w:sz w:val="24"/>
                <w:szCs w:val="24"/>
              </w:rPr>
            </m:ctrlPr>
          </m:dPr>
          <m:e>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k≠j</m:t>
                </m:r>
              </m:sub>
              <m:sup>
                <m:r>
                  <w:rPr>
                    <w:rFonts w:ascii="Cambria Math" w:eastAsiaTheme="minorEastAsia" w:hAnsi="Cambria Math" w:cs="Times New Roman"/>
                    <w:sz w:val="24"/>
                    <w:szCs w:val="24"/>
                  </w:rPr>
                  <m:t>k</m:t>
                </m:r>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km</m:t>
                    </m:r>
                  </m:sub>
                  <m:sup>
                    <m:r>
                      <w:rPr>
                        <w:rFonts w:ascii="Cambria Math" w:eastAsiaTheme="minorEastAsia" w:hAnsi="Cambria Math" w:cs="Times New Roman"/>
                        <w:sz w:val="24"/>
                        <w:szCs w:val="24"/>
                      </w:rPr>
                      <m:t>h</m:t>
                    </m:r>
                  </m:sup>
                </m:sSub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kt</m:t>
                    </m:r>
                  </m:sub>
                </m:sSub>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h</m:t>
                    </m:r>
                  </m:sup>
                </m:sSubSup>
                <m:r>
                  <w:rPr>
                    <w:rFonts w:ascii="Cambria Math" w:eastAsiaTheme="minorEastAsia" w:hAnsi="Cambria Math" w:cs="Times New Roman"/>
                    <w:sz w:val="24"/>
                    <w:szCs w:val="24"/>
                  </w:rPr>
                  <m:t>&gt;0</m:t>
                </m:r>
              </m:e>
            </m:nary>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(12)</w:t>
      </w:r>
    </w:p>
    <w:p w14:paraId="7E3A9EF7" w14:textId="4F7F69C7"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
          <w:bCs/>
          <w:sz w:val="24"/>
          <w:szCs w:val="24"/>
        </w:rPr>
        <w:t xml:space="preserve">I </w:t>
      </w:r>
      <w:r w:rsidRPr="000D3AD1">
        <w:rPr>
          <w:rFonts w:ascii="Times New Roman" w:eastAsiaTheme="minorEastAsia" w:hAnsi="Times New Roman" w:cs="Times New Roman"/>
          <w:bCs/>
          <w:sz w:val="24"/>
          <w:szCs w:val="24"/>
        </w:rPr>
        <w:t>(</w:t>
      </w:r>
      <w:r w:rsidRPr="000D3AD1">
        <w:rPr>
          <w:rFonts w:ascii="Times New Roman" w:eastAsiaTheme="minorEastAsia" w:hAnsi="Times New Roman" w:cs="Times New Roman"/>
          <w:bCs/>
          <w:sz w:val="24"/>
          <w:szCs w:val="24"/>
          <w:vertAlign w:val="superscript"/>
        </w:rPr>
        <w:t>.</w:t>
      </w:r>
      <w:r w:rsidRPr="000D3AD1">
        <w:rPr>
          <w:rFonts w:ascii="Times New Roman" w:eastAsiaTheme="minorEastAsia" w:hAnsi="Times New Roman" w:cs="Times New Roman"/>
          <w:bCs/>
          <w:sz w:val="24"/>
          <w:szCs w:val="24"/>
        </w:rPr>
        <w:t xml:space="preserve">) </w:t>
      </w:r>
      <w:r w:rsidR="004F0A32" w:rsidRPr="000D3AD1">
        <w:rPr>
          <w:rFonts w:ascii="Times New Roman" w:eastAsiaTheme="minorEastAsia" w:hAnsi="Times New Roman" w:cs="Times New Roman"/>
          <w:bCs/>
          <w:sz w:val="24"/>
          <w:szCs w:val="24"/>
        </w:rPr>
        <w:t xml:space="preserve">denotes the </w:t>
      </w:r>
      <w:r w:rsidRPr="000D3AD1">
        <w:rPr>
          <w:rFonts w:ascii="Times New Roman" w:eastAsiaTheme="minorEastAsia" w:hAnsi="Times New Roman" w:cs="Times New Roman"/>
          <w:bCs/>
          <w:sz w:val="24"/>
          <w:szCs w:val="24"/>
        </w:rPr>
        <w:t xml:space="preserve">indicator function. </w:t>
      </w:r>
      <w:r w:rsidR="004F0A32" w:rsidRPr="000D3AD1">
        <w:rPr>
          <w:rFonts w:ascii="Times New Roman" w:eastAsiaTheme="minorEastAsia" w:hAnsi="Times New Roman" w:cs="Times New Roman"/>
          <w:bCs/>
          <w:sz w:val="24"/>
          <w:szCs w:val="24"/>
        </w:rPr>
        <w:t xml:space="preserve">Since, our purpose is to examine the lower tail-dependence, we calculate the marginal effects of distressed condition as: </w:t>
      </w:r>
    </w:p>
    <w:p w14:paraId="29F15687"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f>
          <m:fPr>
            <m:ctrlPr>
              <w:rPr>
                <w:rFonts w:ascii="Cambria Math" w:eastAsiaTheme="minorEastAsia" w:hAnsi="Cambria Math" w:cs="Times New Roman"/>
                <w:bCs/>
                <w:i/>
                <w:sz w:val="24"/>
                <w:szCs w:val="24"/>
              </w:rPr>
            </m:ctrlPr>
          </m:fPr>
          <m:num>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τ</m:t>
                </m:r>
              </m:sup>
            </m:sSup>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it</m:t>
                </m:r>
              </m:sub>
            </m:sSub>
          </m:den>
        </m:f>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t>
            </m:r>
          </m:e>
          <m:sub>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-jt</m:t>
                </m:r>
              </m:sub>
            </m:sSub>
            <m:r>
              <w:rPr>
                <w:rFonts w:ascii="Cambria Math" w:eastAsiaTheme="minorEastAsia" w:hAnsi="Cambria Math" w:cs="Times New Roman"/>
                <w:sz w:val="24"/>
                <w:szCs w:val="24"/>
              </w:rPr>
              <m:t>=</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VaR</m:t>
                </m:r>
              </m:e>
              <m:sub>
                <m:r>
                  <w:rPr>
                    <w:rFonts w:ascii="Cambria Math" w:eastAsiaTheme="minorEastAsia" w:hAnsi="Cambria Math" w:cs="Times New Roman"/>
                    <w:sz w:val="24"/>
                    <w:szCs w:val="24"/>
                  </w:rPr>
                  <m:t>-jt</m:t>
                </m:r>
              </m:sub>
              <m:sup>
                <m:r>
                  <w:rPr>
                    <w:rFonts w:ascii="Cambria Math" w:eastAsiaTheme="minorEastAsia" w:hAnsi="Cambria Math" w:cs="Times New Roman"/>
                    <w:sz w:val="24"/>
                    <w:szCs w:val="24"/>
                  </w:rPr>
                  <m:t>τ</m:t>
                </m:r>
              </m:sup>
            </m:sSubSup>
          </m:sub>
        </m:sSub>
        <m:r>
          <w:rPr>
            <w:rFonts w:ascii="Cambria Math" w:eastAsiaTheme="minorEastAsia" w:hAnsi="Cambria Math" w:cs="Times New Roman"/>
            <w:sz w:val="24"/>
            <w:szCs w:val="24"/>
          </w:rPr>
          <m:t xml:space="preserve">= </m:t>
        </m:r>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m=1</m:t>
            </m:r>
          </m:sub>
          <m:sup>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n</m:t>
                </m:r>
              </m:sub>
            </m:sSub>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o</m:t>
                </m:r>
              </m:sup>
            </m:sSubSup>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i,m</m:t>
                </m:r>
              </m:sub>
              <m:sup>
                <m:r>
                  <w:rPr>
                    <w:rFonts w:ascii="Cambria Math" w:eastAsiaTheme="minorEastAsia" w:hAnsi="Cambria Math" w:cs="Times New Roman"/>
                    <w:sz w:val="24"/>
                    <w:szCs w:val="24"/>
                  </w:rPr>
                  <m:t>h</m:t>
                </m:r>
              </m:sup>
            </m:sSubSup>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φ</m:t>
                </m:r>
              </m:e>
              <m:sup>
                <m:r>
                  <w:rPr>
                    <w:rFonts w:ascii="Cambria Math" w:eastAsiaTheme="minorEastAsia" w:hAnsi="Cambria Math" w:cs="Times New Roman"/>
                    <w:sz w:val="24"/>
                    <w:szCs w:val="24"/>
                  </w:rPr>
                  <m:t>'</m:t>
                </m:r>
              </m:sup>
            </m:sSup>
          </m:e>
        </m:nary>
        <m:d>
          <m:dPr>
            <m:ctrlPr>
              <w:rPr>
                <w:rFonts w:ascii="Cambria Math" w:eastAsiaTheme="minorEastAsia" w:hAnsi="Cambria Math" w:cs="Times New Roman"/>
                <w:bCs/>
                <w:i/>
                <w:sz w:val="24"/>
                <w:szCs w:val="24"/>
              </w:rPr>
            </m:ctrlPr>
          </m:dPr>
          <m:e>
            <m:nary>
              <m:naryPr>
                <m:chr m:val="∑"/>
                <m:limLoc m:val="undOvr"/>
                <m:ctrlPr>
                  <w:rPr>
                    <w:rFonts w:ascii="Cambria Math" w:eastAsiaTheme="minorEastAsia" w:hAnsi="Cambria Math" w:cs="Times New Roman"/>
                    <w:bCs/>
                    <w:i/>
                    <w:sz w:val="24"/>
                    <w:szCs w:val="24"/>
                  </w:rPr>
                </m:ctrlPr>
              </m:naryPr>
              <m:sub>
                <m:r>
                  <w:rPr>
                    <w:rFonts w:ascii="Cambria Math" w:eastAsiaTheme="minorEastAsia" w:hAnsi="Cambria Math" w:cs="Times New Roman"/>
                    <w:sz w:val="24"/>
                    <w:szCs w:val="24"/>
                  </w:rPr>
                  <m:t>k≠j</m:t>
                </m:r>
              </m:sub>
              <m:sup>
                <m:r>
                  <w:rPr>
                    <w:rFonts w:ascii="Cambria Math" w:eastAsiaTheme="minorEastAsia" w:hAnsi="Cambria Math" w:cs="Times New Roman"/>
                    <w:sz w:val="24"/>
                    <w:szCs w:val="24"/>
                  </w:rPr>
                  <m:t>k</m:t>
                </m:r>
              </m:sup>
              <m:e>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w</m:t>
                    </m:r>
                  </m:e>
                  <m:sub>
                    <m:r>
                      <w:rPr>
                        <w:rFonts w:ascii="Cambria Math" w:eastAsiaTheme="minorEastAsia" w:hAnsi="Cambria Math" w:cs="Times New Roman"/>
                        <w:sz w:val="24"/>
                        <w:szCs w:val="24"/>
                      </w:rPr>
                      <m:t>km</m:t>
                    </m:r>
                  </m:sub>
                  <m:sup>
                    <m:r>
                      <w:rPr>
                        <w:rFonts w:ascii="Cambria Math" w:eastAsiaTheme="minorEastAsia" w:hAnsi="Cambria Math" w:cs="Times New Roman"/>
                        <w:sz w:val="24"/>
                        <w:szCs w:val="24"/>
                      </w:rPr>
                      <m:t>h</m:t>
                    </m:r>
                  </m:sup>
                </m:sSubSup>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VaR</m:t>
                    </m:r>
                  </m:e>
                  <m:sub>
                    <m:r>
                      <w:rPr>
                        <w:rFonts w:ascii="Cambria Math" w:eastAsiaTheme="minorEastAsia" w:hAnsi="Cambria Math" w:cs="Times New Roman"/>
                        <w:sz w:val="24"/>
                        <w:szCs w:val="24"/>
                      </w:rPr>
                      <m:t>kt</m:t>
                    </m:r>
                  </m:sub>
                  <m:sup>
                    <m:r>
                      <w:rPr>
                        <w:rFonts w:ascii="Cambria Math" w:eastAsiaTheme="minorEastAsia" w:hAnsi="Cambria Math" w:cs="Times New Roman"/>
                        <w:sz w:val="24"/>
                        <w:szCs w:val="24"/>
                      </w:rPr>
                      <m:t>τ</m:t>
                    </m:r>
                  </m:sup>
                </m:sSubSup>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bCs/>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m:t>
                    </m:r>
                  </m:sub>
                  <m:sup>
                    <m:r>
                      <w:rPr>
                        <w:rFonts w:ascii="Cambria Math" w:eastAsiaTheme="minorEastAsia" w:hAnsi="Cambria Math" w:cs="Times New Roman"/>
                        <w:sz w:val="24"/>
                        <w:szCs w:val="24"/>
                      </w:rPr>
                      <m:t>h</m:t>
                    </m:r>
                  </m:sup>
                </m:sSubSup>
              </m:e>
            </m:nary>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(13)</w:t>
      </w:r>
    </w:p>
    <w:p w14:paraId="2A9148FE" w14:textId="266EAB23" w:rsidR="00772600" w:rsidRPr="000D3AD1" w:rsidRDefault="00452F5D"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The each directed pair of markets yields an adjacency matrix of spillovers considering the marginal effects at </w:t>
      </w:r>
      <w:proofErr w:type="spellStart"/>
      <w:r w:rsidR="00772600" w:rsidRPr="000D3AD1">
        <w:rPr>
          <w:rFonts w:ascii="Times New Roman" w:eastAsiaTheme="minorEastAsia" w:hAnsi="Times New Roman" w:cs="Times New Roman"/>
          <w:bCs/>
          <w:sz w:val="24"/>
          <w:szCs w:val="24"/>
        </w:rPr>
        <w:t>at</w:t>
      </w:r>
      <w:proofErr w:type="spellEnd"/>
      <w:r w:rsidR="00772600" w:rsidRPr="000D3AD1">
        <w:rPr>
          <w:rFonts w:ascii="Times New Roman" w:eastAsiaTheme="minorEastAsia" w:hAnsi="Times New Roman" w:cs="Times New Roman"/>
          <w:bCs/>
          <w:sz w:val="24"/>
          <w:szCs w:val="24"/>
        </w:rPr>
        <w:t xml:space="preserve"> time </w:t>
      </w:r>
      <w:r w:rsidR="00772600" w:rsidRPr="000D3AD1">
        <w:rPr>
          <w:rFonts w:ascii="Times New Roman" w:eastAsiaTheme="minorEastAsia" w:hAnsi="Times New Roman" w:cs="Times New Roman"/>
          <w:bCs/>
          <w:i/>
          <w:sz w:val="24"/>
          <w:szCs w:val="24"/>
        </w:rPr>
        <w:t>t</w:t>
      </w:r>
      <w:r w:rsidR="00772600" w:rsidRPr="000D3AD1">
        <w:rPr>
          <w:rFonts w:ascii="Times New Roman" w:eastAsiaTheme="minorEastAsia" w:hAnsi="Times New Roman" w:cs="Times New Roman"/>
          <w:bCs/>
          <w:sz w:val="24"/>
          <w:szCs w:val="24"/>
        </w:rPr>
        <w:t>:</w:t>
      </w:r>
    </w:p>
    <w:p w14:paraId="22AA0AD9"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 xml:space="preserve">= </m:t>
        </m:r>
        <m:d>
          <m:dPr>
            <m:ctrlPr>
              <w:rPr>
                <w:rFonts w:ascii="Cambria Math" w:eastAsiaTheme="minorEastAsia" w:hAnsi="Cambria Math" w:cs="Times New Roman"/>
                <w:bCs/>
                <w:i/>
                <w:sz w:val="24"/>
                <w:szCs w:val="24"/>
              </w:rPr>
            </m:ctrlPr>
          </m:dPr>
          <m:e>
            <m:eqArr>
              <m:eqArrPr>
                <m:ctrlPr>
                  <w:rPr>
                    <w:rFonts w:ascii="Cambria Math" w:eastAsiaTheme="minorEastAsia" w:hAnsi="Cambria Math" w:cs="Times New Roman"/>
                    <w:bCs/>
                    <w:i/>
                    <w:sz w:val="24"/>
                    <w:szCs w:val="24"/>
                  </w:rPr>
                </m:ctrlPr>
              </m:eqArrPr>
              <m:e>
                <m:r>
                  <w:rPr>
                    <w:rFonts w:ascii="Cambria Math" w:eastAsiaTheme="minorEastAsia" w:hAnsi="Cambria Math" w:cs="Times New Roman"/>
                    <w:sz w:val="24"/>
                    <w:szCs w:val="24"/>
                  </w:rPr>
                  <m:t xml:space="preserve">0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12,t</m:t>
                    </m:r>
                  </m:sub>
                </m:sSub>
                <m:r>
                  <w:rPr>
                    <w:rFonts w:ascii="Cambria Math" w:eastAsiaTheme="minorEastAsia" w:hAnsi="Cambria Math" w:cs="Times New Roman"/>
                    <w:sz w:val="24"/>
                    <w:szCs w:val="24"/>
                  </w:rPr>
                  <m:t xml:space="preserve">  ⋯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 xml:space="preserve">1K,t </m:t>
                    </m:r>
                  </m:sub>
                </m:sSub>
              </m:e>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 xml:space="preserve">21,t  </m:t>
                    </m:r>
                  </m:sub>
                </m:sSub>
                <m:r>
                  <w:rPr>
                    <w:rFonts w:ascii="Cambria Math" w:eastAsiaTheme="minorEastAsia" w:hAnsi="Cambria Math" w:cs="Times New Roman"/>
                    <w:sz w:val="24"/>
                    <w:szCs w:val="24"/>
                  </w:rPr>
                  <m:t xml:space="preserve">      0    ⋯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2K,t</m:t>
                    </m:r>
                  </m:sub>
                </m:sSub>
                <m:r>
                  <w:rPr>
                    <w:rFonts w:ascii="Cambria Math" w:eastAsiaTheme="minorEastAsia" w:hAnsi="Cambria Math" w:cs="Times New Roman"/>
                    <w:sz w:val="24"/>
                    <w:szCs w:val="24"/>
                  </w:rPr>
                  <m:t xml:space="preserve"> </m:t>
                </m:r>
                <m:ctrlPr>
                  <w:rPr>
                    <w:rFonts w:ascii="Cambria Math" w:eastAsia="Cambria Math" w:hAnsi="Cambria Math" w:cs="Times New Roman"/>
                    <w:bCs/>
                    <w:i/>
                    <w:sz w:val="24"/>
                    <w:szCs w:val="24"/>
                  </w:rPr>
                </m:ctrlPr>
              </m:e>
              <m:e>
                <m:r>
                  <w:rPr>
                    <w:rFonts w:ascii="Cambria Math" w:eastAsiaTheme="minorEastAsia" w:hAnsi="Cambria Math" w:cs="Times New Roman"/>
                    <w:sz w:val="24"/>
                    <w:szCs w:val="24"/>
                  </w:rPr>
                  <m:t xml:space="preserve">⋮                ⋱            ⋮  </m:t>
                </m:r>
                <m:ctrlPr>
                  <w:rPr>
                    <w:rFonts w:ascii="Cambria Math" w:eastAsia="Cambria Math" w:hAnsi="Cambria Math" w:cs="Times New Roman"/>
                    <w:bCs/>
                    <w:i/>
                    <w:sz w:val="24"/>
                    <w:szCs w:val="24"/>
                  </w:rPr>
                </m:ctrlPr>
              </m:e>
              <m:e>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 xml:space="preserve">K1,t        </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K2,t</m:t>
                    </m:r>
                  </m:sub>
                </m:sSub>
                <m:r>
                  <w:rPr>
                    <w:rFonts w:ascii="Cambria Math" w:eastAsiaTheme="minorEastAsia" w:hAnsi="Cambria Math" w:cs="Times New Roman"/>
                    <w:sz w:val="24"/>
                    <w:szCs w:val="24"/>
                  </w:rPr>
                  <m:t xml:space="preserve">   ⋯      0             </m:t>
                </m:r>
              </m:e>
            </m:eqArr>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(14)</w:t>
      </w:r>
    </w:p>
    <w:p w14:paraId="706EE0C0" w14:textId="2673318E" w:rsidR="00772600" w:rsidRPr="000D3AD1" w:rsidRDefault="00452F5D" w:rsidP="00772600">
      <w:pPr>
        <w:spacing w:line="480" w:lineRule="auto"/>
        <w:rPr>
          <w:rFonts w:ascii="Times New Roman" w:hAnsi="Times New Roman" w:cs="Times New Roman"/>
          <w:bCs/>
          <w:sz w:val="24"/>
          <w:szCs w:val="24"/>
        </w:rPr>
      </w:pPr>
      <w:r w:rsidRPr="000D3AD1">
        <w:rPr>
          <w:rFonts w:ascii="Times New Roman" w:hAnsi="Times New Roman" w:cs="Times New Roman"/>
          <w:bCs/>
          <w:sz w:val="24"/>
          <w:szCs w:val="24"/>
        </w:rPr>
        <w:t xml:space="preserve">We define the </w:t>
      </w:r>
      <w:r w:rsidR="00772600" w:rsidRPr="000D3AD1">
        <w:rPr>
          <w:rFonts w:ascii="Times New Roman" w:hAnsi="Times New Roman" w:cs="Times New Roman"/>
          <w:bCs/>
          <w:sz w:val="24"/>
          <w:szCs w:val="24"/>
        </w:rPr>
        <w:t>elements as absolute values of marginal effects:</w:t>
      </w:r>
    </w:p>
    <w:p w14:paraId="68B10F3F" w14:textId="77777777" w:rsidR="00772600" w:rsidRPr="000D3AD1" w:rsidRDefault="00000000" w:rsidP="00772600">
      <w:pPr>
        <w:spacing w:line="480" w:lineRule="auto"/>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r>
          <w:rPr>
            <w:rFonts w:ascii="Cambria Math" w:hAnsi="Cambria Math" w:cs="Times New Roman"/>
            <w:sz w:val="24"/>
            <w:szCs w:val="24"/>
          </w:rPr>
          <m:t xml:space="preserve">= </m:t>
        </m:r>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d>
                  <m:dPr>
                    <m:begChr m:val="|"/>
                    <m:endChr m:val="|"/>
                    <m:ctrlPr>
                      <w:rPr>
                        <w:rFonts w:ascii="Cambria Math" w:hAnsi="Cambria Math" w:cs="Times New Roman"/>
                        <w:bCs/>
                        <w:i/>
                        <w:sz w:val="24"/>
                        <w:szCs w:val="24"/>
                      </w:rPr>
                    </m:ctrlPr>
                  </m:dPr>
                  <m:e>
                    <m:f>
                      <m:fPr>
                        <m:ctrlPr>
                          <w:rPr>
                            <w:rFonts w:ascii="Cambria Math" w:hAnsi="Cambria Math" w:cs="Times New Roman"/>
                            <w:bCs/>
                            <w:i/>
                            <w:sz w:val="24"/>
                            <w:szCs w:val="24"/>
                          </w:rPr>
                        </m:ctrlPr>
                      </m:fPr>
                      <m:num>
                        <m:sSup>
                          <m:sSupPr>
                            <m:ctrlPr>
                              <w:rPr>
                                <w:rFonts w:ascii="Cambria Math" w:hAnsi="Cambria Math" w:cs="Times New Roman"/>
                                <w:bCs/>
                                <w:i/>
                                <w:sz w:val="24"/>
                                <w:szCs w:val="24"/>
                              </w:rPr>
                            </m:ctrlPr>
                          </m:sSupPr>
                          <m:e>
                            <m:r>
                              <w:rPr>
                                <w:rFonts w:ascii="Cambria Math" w:hAnsi="Cambria Math" w:cs="Times New Roman"/>
                                <w:sz w:val="24"/>
                                <w:szCs w:val="24"/>
                              </w:rPr>
                              <m:t>∂Q</m:t>
                            </m:r>
                          </m:e>
                          <m:sup>
                            <m:r>
                              <w:rPr>
                                <w:rFonts w:ascii="Cambria Math" w:hAnsi="Cambria Math" w:cs="Times New Roman"/>
                                <w:sz w:val="24"/>
                                <w:szCs w:val="24"/>
                              </w:rPr>
                              <m:t>τ</m:t>
                            </m:r>
                          </m:sup>
                        </m:sSup>
                        <m:d>
                          <m:dPr>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jt</m:t>
                                </m:r>
                              </m:sub>
                            </m:sSub>
                          </m:e>
                        </m:d>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-jt</m:t>
                            </m:r>
                          </m:sub>
                        </m:sSub>
                      </m:num>
                      <m:den>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it</m:t>
                            </m:r>
                          </m:sub>
                        </m:sSub>
                      </m:den>
                    </m:f>
                  </m:e>
                </m:d>
                <m:sSub>
                  <m:sSubPr>
                    <m:ctrlPr>
                      <w:rPr>
                        <w:rFonts w:ascii="Cambria Math" w:hAnsi="Cambria Math" w:cs="Times New Roman"/>
                        <w:bCs/>
                        <w:i/>
                        <w:sz w:val="24"/>
                        <w:szCs w:val="24"/>
                      </w:rPr>
                    </m:ctrlPr>
                  </m:sSubPr>
                  <m:e>
                    <m:r>
                      <w:rPr>
                        <w:rFonts w:ascii="Cambria Math" w:hAnsi="Cambria Math" w:cs="Times New Roman"/>
                        <w:sz w:val="24"/>
                        <w:szCs w:val="24"/>
                      </w:rPr>
                      <m:t>X</m:t>
                    </m:r>
                  </m:e>
                  <m:sub>
                    <m:r>
                      <w:rPr>
                        <w:rFonts w:ascii="Cambria Math" w:hAnsi="Cambria Math" w:cs="Times New Roman"/>
                        <w:sz w:val="24"/>
                        <w:szCs w:val="24"/>
                      </w:rPr>
                      <m:t>-jt</m:t>
                    </m:r>
                  </m:sub>
                </m:sSub>
                <m:r>
                  <w:rPr>
                    <w:rFonts w:ascii="Cambria Math" w:hAnsi="Cambria Math" w:cs="Times New Roman"/>
                    <w:sz w:val="24"/>
                    <w:szCs w:val="24"/>
                  </w:rPr>
                  <m:t xml:space="preserve">= </m:t>
                </m:r>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-jt</m:t>
                    </m:r>
                  </m:sub>
                  <m:sup>
                    <m:r>
                      <w:rPr>
                        <w:rFonts w:ascii="Cambria Math" w:hAnsi="Cambria Math" w:cs="Times New Roman"/>
                        <w:sz w:val="24"/>
                        <w:szCs w:val="24"/>
                      </w:rPr>
                      <m:t>τ</m:t>
                    </m:r>
                  </m:sup>
                </m:sSubSup>
                <m:r>
                  <w:rPr>
                    <w:rFonts w:ascii="Cambria Math" w:hAnsi="Cambria Math" w:cs="Times New Roman"/>
                    <w:sz w:val="24"/>
                    <w:szCs w:val="24"/>
                  </w:rPr>
                  <m:t xml:space="preserve">           , </m:t>
                </m:r>
                <m:r>
                  <m:rPr>
                    <m:sty m:val="p"/>
                  </m:rPr>
                  <w:rPr>
                    <w:rFonts w:ascii="Cambria Math" w:hAnsi="Cambria Math" w:cs="Times New Roman"/>
                    <w:sz w:val="24"/>
                    <w:szCs w:val="24"/>
                  </w:rPr>
                  <m:t xml:space="preserve">if </m:t>
                </m:r>
                <m:r>
                  <w:rPr>
                    <w:rFonts w:ascii="Cambria Math" w:hAnsi="Cambria Math" w:cs="Times New Roman"/>
                    <w:sz w:val="24"/>
                    <w:szCs w:val="24"/>
                  </w:rPr>
                  <m:t>j≠i</m:t>
                </m:r>
              </m:e>
              <m:e>
                <m:r>
                  <w:rPr>
                    <w:rFonts w:ascii="Cambria Math" w:hAnsi="Cambria Math" w:cs="Times New Roman"/>
                    <w:sz w:val="24"/>
                    <w:szCs w:val="24"/>
                  </w:rPr>
                  <m:t xml:space="preserve">0,                                                            </m:t>
                </m:r>
                <m:r>
                  <m:rPr>
                    <m:sty m:val="p"/>
                  </m:rPr>
                  <w:rPr>
                    <w:rFonts w:ascii="Cambria Math" w:hAnsi="Cambria Math" w:cs="Times New Roman"/>
                    <w:sz w:val="24"/>
                    <w:szCs w:val="24"/>
                  </w:rPr>
                  <m:t xml:space="preserve">if </m:t>
                </m:r>
                <m:r>
                  <w:rPr>
                    <w:rFonts w:ascii="Cambria Math" w:hAnsi="Cambria Math" w:cs="Times New Roman"/>
                    <w:sz w:val="24"/>
                    <w:szCs w:val="24"/>
                  </w:rPr>
                  <m:t xml:space="preserve">j=i </m:t>
                </m:r>
              </m:e>
            </m:eqArr>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(15)</w:t>
      </w:r>
    </w:p>
    <w:p w14:paraId="6BA2DA7F" w14:textId="51C1DC5C" w:rsidR="00772600" w:rsidRPr="000D3AD1" w:rsidRDefault="00452F5D"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We note that risk spillovers are not symmetric complying with the condition </w:t>
      </w: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ji,t</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ij,t</m:t>
            </m:r>
          </m:sub>
        </m:sSub>
      </m:oMath>
      <w:r w:rsidR="00772600" w:rsidRPr="000D3AD1">
        <w:rPr>
          <w:rFonts w:ascii="Times New Roman" w:eastAsiaTheme="minorEastAsia" w:hAnsi="Times New Roman" w:cs="Times New Roman"/>
          <w:bCs/>
          <w:sz w:val="24"/>
          <w:szCs w:val="24"/>
        </w:rPr>
        <w:t xml:space="preserve">. </w:t>
      </w:r>
      <w:r w:rsidRPr="000D3AD1">
        <w:rPr>
          <w:rFonts w:ascii="Times New Roman" w:eastAsiaTheme="minorEastAsia" w:hAnsi="Times New Roman" w:cs="Times New Roman"/>
          <w:bCs/>
          <w:sz w:val="24"/>
          <w:szCs w:val="24"/>
        </w:rPr>
        <w:t xml:space="preserve">The purpose of adjacency matrix is to offer weighted and directed graph modelling the systematic risk of </w:t>
      </w:r>
      <w:r w:rsidR="00B05D4E" w:rsidRPr="000D3AD1">
        <w:rPr>
          <w:rFonts w:ascii="Times New Roman" w:hAnsi="Times New Roman" w:cs="Times New Roman"/>
          <w:bCs/>
          <w:sz w:val="24"/>
          <w:szCs w:val="24"/>
        </w:rPr>
        <w:t xml:space="preserve">religious, sustainable, and conventional </w:t>
      </w:r>
      <w:r w:rsidRPr="000D3AD1">
        <w:rPr>
          <w:rFonts w:ascii="Times New Roman" w:eastAsiaTheme="minorEastAsia" w:hAnsi="Times New Roman" w:cs="Times New Roman"/>
          <w:bCs/>
          <w:sz w:val="24"/>
          <w:szCs w:val="24"/>
        </w:rPr>
        <w:t xml:space="preserve">stock markets. </w:t>
      </w:r>
    </w:p>
    <w:p w14:paraId="61A52894" w14:textId="13524EE8" w:rsidR="00772600" w:rsidRPr="000D3AD1" w:rsidRDefault="00772600" w:rsidP="00772600">
      <w:pPr>
        <w:spacing w:line="480" w:lineRule="auto"/>
        <w:jc w:val="both"/>
        <w:rPr>
          <w:rFonts w:ascii="Times New Roman" w:eastAsiaTheme="minorEastAsia" w:hAnsi="Times New Roman" w:cs="Times New Roman"/>
          <w:bCs/>
          <w:i/>
          <w:sz w:val="24"/>
          <w:szCs w:val="24"/>
        </w:rPr>
      </w:pPr>
      <w:r w:rsidRPr="000D3AD1">
        <w:rPr>
          <w:rFonts w:ascii="Times New Roman" w:eastAsiaTheme="minorEastAsia" w:hAnsi="Times New Roman" w:cs="Times New Roman"/>
          <w:bCs/>
          <w:i/>
          <w:sz w:val="24"/>
          <w:szCs w:val="24"/>
        </w:rPr>
        <w:t xml:space="preserve">3.4 Step 4: </w:t>
      </w:r>
      <w:r w:rsidR="00452F5D" w:rsidRPr="000D3AD1">
        <w:rPr>
          <w:rFonts w:ascii="Times New Roman" w:eastAsiaTheme="minorEastAsia" w:hAnsi="Times New Roman" w:cs="Times New Roman"/>
          <w:bCs/>
          <w:i/>
          <w:sz w:val="24"/>
          <w:szCs w:val="24"/>
        </w:rPr>
        <w:t xml:space="preserve">Spillover </w:t>
      </w:r>
      <w:r w:rsidRPr="000D3AD1">
        <w:rPr>
          <w:rFonts w:ascii="Times New Roman" w:eastAsiaTheme="minorEastAsia" w:hAnsi="Times New Roman" w:cs="Times New Roman"/>
          <w:bCs/>
          <w:i/>
          <w:sz w:val="24"/>
          <w:szCs w:val="24"/>
        </w:rPr>
        <w:t>Network Analysis</w:t>
      </w:r>
    </w:p>
    <w:p w14:paraId="291EF373" w14:textId="593720BA" w:rsidR="00452F5D" w:rsidRPr="000D3AD1" w:rsidRDefault="00452F5D" w:rsidP="00E84238">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To further extend the analysis of systemic relevance of markets, it is asserted that multiple connectedness measures, such as Diebold and Yilmaz (2012, 2014) can be used. </w:t>
      </w:r>
      <w:r w:rsidR="00E84238" w:rsidRPr="000D3AD1">
        <w:rPr>
          <w:rFonts w:ascii="Times New Roman" w:eastAsiaTheme="minorEastAsia" w:hAnsi="Times New Roman" w:cs="Times New Roman"/>
          <w:bCs/>
          <w:sz w:val="24"/>
          <w:szCs w:val="24"/>
        </w:rPr>
        <w:t xml:space="preserve">The TO </w:t>
      </w:r>
      <w:r w:rsidR="00E84238" w:rsidRPr="000D3AD1">
        <w:rPr>
          <w:rFonts w:ascii="Times New Roman" w:eastAsiaTheme="minorEastAsia" w:hAnsi="Times New Roman" w:cs="Times New Roman"/>
          <w:bCs/>
          <w:sz w:val="24"/>
          <w:szCs w:val="24"/>
        </w:rPr>
        <w:lastRenderedPageBreak/>
        <w:t xml:space="preserve">connectedness of market </w:t>
      </w:r>
      <w:r w:rsidR="00E84238" w:rsidRPr="000D3AD1">
        <w:rPr>
          <w:rFonts w:ascii="Times New Roman" w:eastAsiaTheme="minorEastAsia" w:hAnsi="Times New Roman" w:cs="Times New Roman"/>
          <w:bCs/>
          <w:i/>
          <w:iCs/>
          <w:sz w:val="24"/>
          <w:szCs w:val="24"/>
        </w:rPr>
        <w:t xml:space="preserve">j </w:t>
      </w:r>
      <w:r w:rsidR="00E84238" w:rsidRPr="000D3AD1">
        <w:rPr>
          <w:rFonts w:ascii="Times New Roman" w:eastAsiaTheme="minorEastAsia" w:hAnsi="Times New Roman" w:cs="Times New Roman"/>
          <w:bCs/>
          <w:sz w:val="24"/>
          <w:szCs w:val="24"/>
        </w:rPr>
        <w:t xml:space="preserve">accounting total directional spillovers at time </w:t>
      </w:r>
      <w:r w:rsidR="00E84238" w:rsidRPr="000D3AD1">
        <w:rPr>
          <w:rFonts w:ascii="Times New Roman" w:eastAsiaTheme="minorEastAsia" w:hAnsi="Times New Roman" w:cs="Times New Roman"/>
          <w:bCs/>
          <w:i/>
          <w:iCs/>
          <w:sz w:val="24"/>
          <w:szCs w:val="24"/>
        </w:rPr>
        <w:t>t</w:t>
      </w:r>
      <w:r w:rsidR="00E84238" w:rsidRPr="000D3AD1">
        <w:rPr>
          <w:rFonts w:ascii="Times New Roman" w:eastAsiaTheme="minorEastAsia" w:hAnsi="Times New Roman" w:cs="Times New Roman"/>
          <w:bCs/>
          <w:sz w:val="24"/>
          <w:szCs w:val="24"/>
        </w:rPr>
        <w:t xml:space="preserve"> defines the sum of absolute marginal effects of all markets. </w:t>
      </w:r>
    </w:p>
    <w:p w14:paraId="4C96EB06"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j←, t</m:t>
            </m:r>
          </m:sub>
        </m:sSub>
        <m:r>
          <w:rPr>
            <w:rFonts w:ascii="Cambria Math" w:hAnsi="Cambria Math" w:cs="Times New Roman"/>
            <w:sz w:val="24"/>
            <w:szCs w:val="24"/>
          </w:rPr>
          <m:t xml:space="preserve">= </m:t>
        </m:r>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K</m:t>
            </m:r>
          </m:sup>
          <m:e>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e>
        </m:nary>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(16)</w:t>
      </w:r>
    </w:p>
    <w:p w14:paraId="54C32EAE" w14:textId="5DCE410B" w:rsidR="00772600" w:rsidRPr="000D3AD1" w:rsidRDefault="00E84238"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Subsequently, the FROM connectedness of market </w:t>
      </w:r>
      <w:proofErr w:type="spellStart"/>
      <w:r w:rsidRPr="000D3AD1">
        <w:rPr>
          <w:rFonts w:ascii="Times New Roman" w:eastAsiaTheme="minorEastAsia" w:hAnsi="Times New Roman" w:cs="Times New Roman"/>
          <w:bCs/>
          <w:i/>
          <w:iCs/>
          <w:sz w:val="24"/>
          <w:szCs w:val="24"/>
        </w:rPr>
        <w:t>i</w:t>
      </w:r>
      <w:proofErr w:type="spellEnd"/>
      <w:r w:rsidRPr="000D3AD1">
        <w:rPr>
          <w:rFonts w:ascii="Times New Roman" w:eastAsiaTheme="minorEastAsia" w:hAnsi="Times New Roman" w:cs="Times New Roman"/>
          <w:bCs/>
          <w:sz w:val="24"/>
          <w:szCs w:val="24"/>
        </w:rPr>
        <w:t xml:space="preserve"> at time </w:t>
      </w:r>
      <w:proofErr w:type="spellStart"/>
      <w:r w:rsidRPr="000D3AD1">
        <w:rPr>
          <w:rFonts w:ascii="Times New Roman" w:eastAsiaTheme="minorEastAsia" w:hAnsi="Times New Roman" w:cs="Times New Roman"/>
          <w:bCs/>
          <w:i/>
          <w:iCs/>
          <w:sz w:val="24"/>
          <w:szCs w:val="24"/>
        </w:rPr>
        <w:t>t</w:t>
      </w:r>
      <w:proofErr w:type="spellEnd"/>
      <w:r w:rsidRPr="000D3AD1">
        <w:rPr>
          <w:rFonts w:ascii="Times New Roman" w:eastAsiaTheme="minorEastAsia" w:hAnsi="Times New Roman" w:cs="Times New Roman"/>
          <w:bCs/>
          <w:sz w:val="24"/>
          <w:szCs w:val="24"/>
        </w:rPr>
        <w:t xml:space="preserve"> demonstrate the aggregate of absolute marginal effects from market </w:t>
      </w:r>
      <w:proofErr w:type="spellStart"/>
      <w:r w:rsidRPr="000D3AD1">
        <w:rPr>
          <w:rFonts w:ascii="Times New Roman" w:eastAsiaTheme="minorEastAsia" w:hAnsi="Times New Roman" w:cs="Times New Roman"/>
          <w:bCs/>
          <w:i/>
          <w:iCs/>
          <w:sz w:val="24"/>
          <w:szCs w:val="24"/>
        </w:rPr>
        <w:t>i</w:t>
      </w:r>
      <w:proofErr w:type="spellEnd"/>
      <w:r w:rsidRPr="000D3AD1">
        <w:rPr>
          <w:rFonts w:ascii="Times New Roman" w:eastAsiaTheme="minorEastAsia" w:hAnsi="Times New Roman" w:cs="Times New Roman"/>
          <w:bCs/>
          <w:sz w:val="24"/>
          <w:szCs w:val="24"/>
        </w:rPr>
        <w:t xml:space="preserve"> to all other </w:t>
      </w:r>
      <w:r w:rsidR="00B05D4E" w:rsidRPr="000D3AD1">
        <w:rPr>
          <w:rFonts w:ascii="Times New Roman" w:hAnsi="Times New Roman" w:cs="Times New Roman"/>
          <w:bCs/>
          <w:sz w:val="24"/>
          <w:szCs w:val="24"/>
        </w:rPr>
        <w:t xml:space="preserve">religious, sustainable, and conventional </w:t>
      </w:r>
      <w:r w:rsidRPr="000D3AD1">
        <w:rPr>
          <w:rFonts w:ascii="Times New Roman" w:eastAsiaTheme="minorEastAsia" w:hAnsi="Times New Roman" w:cs="Times New Roman"/>
          <w:bCs/>
          <w:sz w:val="24"/>
          <w:szCs w:val="24"/>
        </w:rPr>
        <w:t xml:space="preserve">stock markets. </w:t>
      </w:r>
    </w:p>
    <w:p w14:paraId="5EE29975"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j←i, t</m:t>
            </m:r>
          </m:sub>
        </m:sSub>
        <m:r>
          <w:rPr>
            <w:rFonts w:ascii="Cambria Math" w:hAnsi="Cambria Math" w:cs="Times New Roman"/>
            <w:sz w:val="24"/>
            <w:szCs w:val="24"/>
          </w:rPr>
          <m:t xml:space="preserve">= </m:t>
        </m:r>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K</m:t>
            </m:r>
          </m:sup>
          <m:e>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e>
        </m:nary>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(17)</w:t>
      </w:r>
    </w:p>
    <w:p w14:paraId="36260BF3" w14:textId="6EAEF9A6" w:rsidR="00772600" w:rsidRPr="000D3AD1" w:rsidRDefault="00E84238"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Based on </w:t>
      </w:r>
      <w:r w:rsidR="00772600" w:rsidRPr="000D3AD1">
        <w:rPr>
          <w:rFonts w:ascii="Times New Roman" w:eastAsiaTheme="minorEastAsia" w:hAnsi="Times New Roman" w:cs="Times New Roman"/>
          <w:bCs/>
          <w:sz w:val="24"/>
          <w:szCs w:val="24"/>
        </w:rPr>
        <w:t>Diebold and Yilmaz (2014)</w:t>
      </w:r>
      <w:r w:rsidRPr="000D3AD1">
        <w:rPr>
          <w:rFonts w:ascii="Times New Roman" w:eastAsiaTheme="minorEastAsia" w:hAnsi="Times New Roman" w:cs="Times New Roman"/>
          <w:bCs/>
          <w:sz w:val="24"/>
          <w:szCs w:val="24"/>
        </w:rPr>
        <w:t xml:space="preserve">, the total NET connectedness is defined as the sum of all absolute marginal effects at time </w:t>
      </w:r>
      <w:r w:rsidRPr="000D3AD1">
        <w:rPr>
          <w:rFonts w:ascii="Times New Roman" w:eastAsiaTheme="minorEastAsia" w:hAnsi="Times New Roman" w:cs="Times New Roman"/>
          <w:bCs/>
          <w:i/>
          <w:iCs/>
          <w:sz w:val="24"/>
          <w:szCs w:val="24"/>
        </w:rPr>
        <w:t>t</w:t>
      </w:r>
      <w:r w:rsidRPr="000D3AD1">
        <w:rPr>
          <w:rFonts w:ascii="Times New Roman" w:eastAsiaTheme="minorEastAsia" w:hAnsi="Times New Roman" w:cs="Times New Roman"/>
          <w:bCs/>
          <w:sz w:val="24"/>
          <w:szCs w:val="24"/>
        </w:rPr>
        <w:t xml:space="preserve">. </w:t>
      </w:r>
    </w:p>
    <w:p w14:paraId="6CA53913"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t</m:t>
            </m:r>
          </m:sub>
        </m:sSub>
        <m:r>
          <w:rPr>
            <w:rFonts w:ascii="Cambria Math" w:hAnsi="Cambria Math" w:cs="Times New Roman"/>
            <w:sz w:val="24"/>
            <w:szCs w:val="24"/>
          </w:rPr>
          <m:t xml:space="preserve">= </m:t>
        </m:r>
        <m:f>
          <m:fPr>
            <m:ctrlPr>
              <w:rPr>
                <w:rFonts w:ascii="Cambria Math" w:hAnsi="Cambria Math" w:cs="Times New Roman"/>
                <w:bCs/>
                <w:i/>
                <w:sz w:val="24"/>
                <w:szCs w:val="24"/>
              </w:rPr>
            </m:ctrlPr>
          </m:fPr>
          <m:num>
            <m:r>
              <w:rPr>
                <w:rFonts w:ascii="Cambria Math" w:hAnsi="Cambria Math" w:cs="Times New Roman"/>
                <w:sz w:val="24"/>
                <w:szCs w:val="24"/>
              </w:rPr>
              <m:t>1</m:t>
            </m:r>
          </m:num>
          <m:den>
            <m:r>
              <w:rPr>
                <w:rFonts w:ascii="Cambria Math" w:hAnsi="Cambria Math" w:cs="Times New Roman"/>
                <w:sz w:val="24"/>
                <w:szCs w:val="24"/>
              </w:rPr>
              <m:t>K</m:t>
            </m:r>
          </m:den>
        </m:f>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K</m:t>
            </m:r>
          </m:sup>
          <m:e>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K</m:t>
                </m:r>
              </m:sup>
              <m:e>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e>
            </m:nary>
          </m:e>
        </m:nary>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(18)</w:t>
      </w:r>
    </w:p>
    <w:p w14:paraId="198B78E7" w14:textId="70E68BDB" w:rsidR="00772600" w:rsidRPr="000D3AD1" w:rsidRDefault="00E84238"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In general, the total connectedness </w:t>
      </w:r>
      <w:proofErr w:type="gramStart"/>
      <w:r w:rsidRPr="000D3AD1">
        <w:rPr>
          <w:rFonts w:ascii="Times New Roman" w:eastAsiaTheme="minorEastAsia" w:hAnsi="Times New Roman" w:cs="Times New Roman"/>
          <w:bCs/>
          <w:sz w:val="24"/>
          <w:szCs w:val="24"/>
        </w:rPr>
        <w:t>accounts</w:t>
      </w:r>
      <w:proofErr w:type="gramEnd"/>
      <w:r w:rsidRPr="000D3AD1">
        <w:rPr>
          <w:rFonts w:ascii="Times New Roman" w:eastAsiaTheme="minorEastAsia" w:hAnsi="Times New Roman" w:cs="Times New Roman"/>
          <w:bCs/>
          <w:sz w:val="24"/>
          <w:szCs w:val="24"/>
        </w:rPr>
        <w:t xml:space="preserve"> entire connectedness of system without differentiating the individual nodes of the network. Thus, </w:t>
      </w:r>
      <w:proofErr w:type="spellStart"/>
      <w:r w:rsidRPr="000D3AD1">
        <w:rPr>
          <w:rFonts w:ascii="Times New Roman" w:eastAsiaTheme="minorEastAsia" w:hAnsi="Times New Roman" w:cs="Times New Roman"/>
          <w:bCs/>
          <w:sz w:val="24"/>
          <w:szCs w:val="24"/>
        </w:rPr>
        <w:t>VaR</w:t>
      </w:r>
      <w:proofErr w:type="spellEnd"/>
      <w:r w:rsidRPr="000D3AD1">
        <w:rPr>
          <w:rFonts w:ascii="Times New Roman" w:eastAsiaTheme="minorEastAsia" w:hAnsi="Times New Roman" w:cs="Times New Roman"/>
          <w:bCs/>
          <w:sz w:val="24"/>
          <w:szCs w:val="24"/>
        </w:rPr>
        <w:t xml:space="preserve"> and </w:t>
      </w:r>
      <w:proofErr w:type="spellStart"/>
      <w:r w:rsidRPr="000D3AD1">
        <w:rPr>
          <w:rFonts w:ascii="Times New Roman" w:eastAsiaTheme="minorEastAsia" w:hAnsi="Times New Roman" w:cs="Times New Roman"/>
          <w:bCs/>
          <w:sz w:val="24"/>
          <w:szCs w:val="24"/>
        </w:rPr>
        <w:t>CoVaR</w:t>
      </w:r>
      <w:proofErr w:type="spellEnd"/>
      <w:r w:rsidRPr="000D3AD1">
        <w:rPr>
          <w:rFonts w:ascii="Times New Roman" w:eastAsiaTheme="minorEastAsia" w:hAnsi="Times New Roman" w:cs="Times New Roman"/>
          <w:bCs/>
          <w:sz w:val="24"/>
          <w:szCs w:val="24"/>
        </w:rPr>
        <w:t xml:space="preserve"> estimates are redefined as systemic risk measurements. </w:t>
      </w:r>
      <w:r w:rsidR="00222409" w:rsidRPr="000D3AD1">
        <w:rPr>
          <w:rFonts w:ascii="Times New Roman" w:eastAsiaTheme="minorEastAsia" w:hAnsi="Times New Roman" w:cs="Times New Roman"/>
          <w:bCs/>
          <w:sz w:val="24"/>
          <w:szCs w:val="24"/>
        </w:rPr>
        <w:t xml:space="preserve">Particularly, based on </w:t>
      </w:r>
      <w:proofErr w:type="spellStart"/>
      <w:r w:rsidR="00222409" w:rsidRPr="000D3AD1">
        <w:rPr>
          <w:rFonts w:ascii="Times New Roman" w:eastAsiaTheme="minorEastAsia" w:hAnsi="Times New Roman" w:cs="Times New Roman"/>
          <w:bCs/>
          <w:sz w:val="24"/>
          <w:szCs w:val="24"/>
        </w:rPr>
        <w:t>Keilbarg</w:t>
      </w:r>
      <w:proofErr w:type="spellEnd"/>
      <w:r w:rsidR="00222409" w:rsidRPr="000D3AD1">
        <w:rPr>
          <w:rFonts w:ascii="Times New Roman" w:eastAsiaTheme="minorEastAsia" w:hAnsi="Times New Roman" w:cs="Times New Roman"/>
          <w:bCs/>
          <w:sz w:val="24"/>
          <w:szCs w:val="24"/>
        </w:rPr>
        <w:t xml:space="preserve"> and Wang (2021), the Systemic Fragility Index (SFI) and Systemic Hazard Index (SHI) are developed for ranking the markets in the overall system. </w:t>
      </w:r>
    </w:p>
    <w:p w14:paraId="16A9F815"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SFI</m:t>
            </m:r>
          </m:e>
          <m:sub>
            <m:r>
              <w:rPr>
                <w:rFonts w:ascii="Cambria Math" w:hAnsi="Cambria Math" w:cs="Times New Roman"/>
                <w:sz w:val="24"/>
                <w:szCs w:val="24"/>
              </w:rPr>
              <m:t>jt</m:t>
            </m:r>
          </m:sub>
        </m:sSub>
        <m:r>
          <w:rPr>
            <w:rFonts w:ascii="Cambria Math" w:hAnsi="Cambria Math" w:cs="Times New Roman"/>
            <w:sz w:val="24"/>
            <w:szCs w:val="24"/>
          </w:rPr>
          <m:t xml:space="preserve">= </m:t>
        </m:r>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K</m:t>
            </m:r>
          </m:sup>
          <m:e>
            <m:d>
              <m:dPr>
                <m:endChr m:val="|"/>
                <m:ctrlPr>
                  <w:rPr>
                    <w:rFonts w:ascii="Cambria Math" w:hAnsi="Cambria Math" w:cs="Times New Roman"/>
                    <w:bCs/>
                    <w:i/>
                    <w:sz w:val="24"/>
                    <w:szCs w:val="24"/>
                  </w:rPr>
                </m:ctrlPr>
              </m:dPr>
              <m:e>
                <m:r>
                  <w:rPr>
                    <w:rFonts w:ascii="Cambria Math" w:hAnsi="Cambria Math" w:cs="Times New Roman"/>
                    <w:sz w:val="24"/>
                    <w:szCs w:val="24"/>
                  </w:rPr>
                  <m:t>1+</m:t>
                </m:r>
              </m:e>
            </m:d>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τ</m:t>
                </m:r>
              </m:sup>
            </m:sSubSup>
          </m:e>
        </m:nary>
        <m:r>
          <w:rPr>
            <w:rFonts w:ascii="Cambria Math" w:hAnsi="Cambria Math" w:cs="Times New Roman"/>
            <w:sz w:val="24"/>
            <w:szCs w:val="24"/>
          </w:rPr>
          <m:t xml:space="preserve">) . </m:t>
        </m:r>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oMath>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(19)</w:t>
      </w:r>
    </w:p>
    <w:p w14:paraId="119F0005"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SHI</m:t>
            </m:r>
          </m:e>
          <m:sub>
            <m:r>
              <w:rPr>
                <w:rFonts w:ascii="Cambria Math" w:hAnsi="Cambria Math" w:cs="Times New Roman"/>
                <w:sz w:val="24"/>
                <w:szCs w:val="24"/>
              </w:rPr>
              <m:t>jt</m:t>
            </m:r>
          </m:sub>
        </m:sSub>
        <m:r>
          <w:rPr>
            <w:rFonts w:ascii="Cambria Math" w:hAnsi="Cambria Math" w:cs="Times New Roman"/>
            <w:sz w:val="24"/>
            <w:szCs w:val="24"/>
          </w:rPr>
          <m:t xml:space="preserve">= </m:t>
        </m:r>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K</m:t>
            </m:r>
          </m:sup>
          <m:e>
            <m:d>
              <m:dPr>
                <m:endChr m:val="|"/>
                <m:ctrlPr>
                  <w:rPr>
                    <w:rFonts w:ascii="Cambria Math" w:hAnsi="Cambria Math" w:cs="Times New Roman"/>
                    <w:bCs/>
                    <w:i/>
                    <w:sz w:val="24"/>
                    <w:szCs w:val="24"/>
                  </w:rPr>
                </m:ctrlPr>
              </m:dPr>
              <m:e>
                <m:r>
                  <w:rPr>
                    <w:rFonts w:ascii="Cambria Math" w:hAnsi="Cambria Math" w:cs="Times New Roman"/>
                    <w:sz w:val="24"/>
                    <w:szCs w:val="24"/>
                  </w:rPr>
                  <m:t>1+</m:t>
                </m:r>
              </m:e>
            </m:d>
            <m:sSubSup>
              <m:sSubSupPr>
                <m:ctrlPr>
                  <w:rPr>
                    <w:rFonts w:ascii="Cambria Math" w:hAnsi="Cambria Math" w:cs="Times New Roman"/>
                    <w:bCs/>
                    <w:i/>
                    <w:sz w:val="24"/>
                    <w:szCs w:val="24"/>
                  </w:rPr>
                </m:ctrlPr>
              </m:sSubSupPr>
              <m:e>
                <m:r>
                  <w:rPr>
                    <w:rFonts w:ascii="Cambria Math" w:hAnsi="Cambria Math" w:cs="Times New Roman"/>
                    <w:sz w:val="24"/>
                    <w:szCs w:val="24"/>
                  </w:rPr>
                  <m:t>CoVaR</m:t>
                </m:r>
              </m:e>
              <m:sub>
                <m:r>
                  <w:rPr>
                    <w:rFonts w:ascii="Cambria Math" w:hAnsi="Cambria Math" w:cs="Times New Roman"/>
                    <w:sz w:val="24"/>
                    <w:szCs w:val="24"/>
                  </w:rPr>
                  <m:t>jt</m:t>
                </m:r>
              </m:sub>
              <m:sup>
                <m:r>
                  <w:rPr>
                    <w:rFonts w:ascii="Cambria Math" w:hAnsi="Cambria Math" w:cs="Times New Roman"/>
                    <w:sz w:val="24"/>
                    <w:szCs w:val="24"/>
                  </w:rPr>
                  <m:t>τ</m:t>
                </m:r>
              </m:sup>
            </m:sSubSup>
          </m:e>
        </m:nary>
        <m:r>
          <w:rPr>
            <w:rFonts w:ascii="Cambria Math" w:hAnsi="Cambria Math" w:cs="Times New Roman"/>
            <w:sz w:val="24"/>
            <w:szCs w:val="24"/>
          </w:rPr>
          <m:t xml:space="preserve">) . </m:t>
        </m:r>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(20)</w:t>
      </w:r>
    </w:p>
    <w:p w14:paraId="1BD070BF" w14:textId="3622B721" w:rsidR="00772600" w:rsidRPr="000D3AD1" w:rsidRDefault="00222409"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iCs/>
          <w:sz w:val="24"/>
          <w:szCs w:val="24"/>
        </w:rPr>
        <w:t xml:space="preserve">The risk exposure of market </w:t>
      </w:r>
      <w:proofErr w:type="spellStart"/>
      <w:r w:rsidRPr="000D3AD1">
        <w:rPr>
          <w:rFonts w:ascii="Times New Roman" w:eastAsiaTheme="minorEastAsia" w:hAnsi="Times New Roman" w:cs="Times New Roman"/>
          <w:bCs/>
          <w:i/>
          <w:sz w:val="24"/>
          <w:szCs w:val="24"/>
        </w:rPr>
        <w:t>i</w:t>
      </w:r>
      <w:proofErr w:type="spellEnd"/>
      <w:r w:rsidRPr="000D3AD1">
        <w:rPr>
          <w:rFonts w:ascii="Times New Roman" w:eastAsiaTheme="minorEastAsia" w:hAnsi="Times New Roman" w:cs="Times New Roman"/>
          <w:bCs/>
          <w:i/>
          <w:sz w:val="24"/>
          <w:szCs w:val="24"/>
        </w:rPr>
        <w:t xml:space="preserve"> </w:t>
      </w:r>
      <w:r w:rsidRPr="000D3AD1">
        <w:rPr>
          <w:rFonts w:ascii="Times New Roman" w:eastAsiaTheme="minorEastAsia" w:hAnsi="Times New Roman" w:cs="Times New Roman"/>
          <w:bCs/>
          <w:iCs/>
          <w:sz w:val="24"/>
          <w:szCs w:val="24"/>
        </w:rPr>
        <w:t xml:space="preserve">is denoted as </w:t>
      </w:r>
      <w:r w:rsidR="00772600" w:rsidRPr="000D3AD1">
        <w:rPr>
          <w:rFonts w:ascii="Times New Roman" w:eastAsiaTheme="minorEastAsia" w:hAnsi="Times New Roman" w:cs="Times New Roman"/>
          <w:bCs/>
          <w:i/>
          <w:sz w:val="24"/>
          <w:szCs w:val="24"/>
        </w:rPr>
        <w:t>SFI</w:t>
      </w:r>
      <w:r w:rsidR="00772600" w:rsidRPr="000D3AD1">
        <w:rPr>
          <w:rFonts w:ascii="Times New Roman" w:eastAsiaTheme="minorEastAsia" w:hAnsi="Times New Roman" w:cs="Times New Roman"/>
          <w:bCs/>
          <w:sz w:val="24"/>
          <w:szCs w:val="24"/>
        </w:rPr>
        <w:t xml:space="preserve">. </w:t>
      </w:r>
      <w:r w:rsidR="00A50106" w:rsidRPr="000D3AD1">
        <w:rPr>
          <w:rFonts w:ascii="Times New Roman" w:eastAsiaTheme="minorEastAsia" w:hAnsi="Times New Roman" w:cs="Times New Roman"/>
          <w:bCs/>
          <w:sz w:val="24"/>
          <w:szCs w:val="24"/>
        </w:rPr>
        <w:t xml:space="preserve">If the adjacency weights of market </w:t>
      </w:r>
      <w:r w:rsidR="00A50106" w:rsidRPr="000D3AD1">
        <w:rPr>
          <w:rFonts w:ascii="Times New Roman" w:eastAsiaTheme="minorEastAsia" w:hAnsi="Times New Roman" w:cs="Times New Roman"/>
          <w:bCs/>
          <w:i/>
          <w:iCs/>
          <w:sz w:val="24"/>
          <w:szCs w:val="24"/>
        </w:rPr>
        <w:t>j</w:t>
      </w:r>
      <w:r w:rsidR="00A50106" w:rsidRPr="000D3AD1">
        <w:rPr>
          <w:rFonts w:ascii="Times New Roman" w:eastAsiaTheme="minorEastAsia" w:hAnsi="Times New Roman" w:cs="Times New Roman"/>
          <w:bCs/>
          <w:sz w:val="24"/>
          <w:szCs w:val="24"/>
        </w:rPr>
        <w:t xml:space="preserve"> are large along with all markets, then </w:t>
      </w:r>
      <w:r w:rsidR="00A50106" w:rsidRPr="000D3AD1">
        <w:rPr>
          <w:rFonts w:ascii="Times New Roman" w:eastAsiaTheme="minorEastAsia" w:hAnsi="Times New Roman" w:cs="Times New Roman"/>
          <w:bCs/>
          <w:i/>
          <w:iCs/>
          <w:sz w:val="24"/>
          <w:szCs w:val="24"/>
        </w:rPr>
        <w:t>SFI</w:t>
      </w:r>
      <w:r w:rsidR="00A50106" w:rsidRPr="000D3AD1">
        <w:rPr>
          <w:rFonts w:ascii="Times New Roman" w:eastAsiaTheme="minorEastAsia" w:hAnsi="Times New Roman" w:cs="Times New Roman"/>
          <w:bCs/>
          <w:sz w:val="24"/>
          <w:szCs w:val="24"/>
        </w:rPr>
        <w:t xml:space="preserve"> also increases. It implies that </w:t>
      </w:r>
      <w:r w:rsidR="00A50106" w:rsidRPr="000D3AD1">
        <w:rPr>
          <w:rFonts w:ascii="Times New Roman" w:eastAsiaTheme="minorEastAsia" w:hAnsi="Times New Roman" w:cs="Times New Roman"/>
          <w:bCs/>
          <w:i/>
          <w:iCs/>
          <w:sz w:val="24"/>
          <w:szCs w:val="24"/>
        </w:rPr>
        <w:t xml:space="preserve">SFI </w:t>
      </w:r>
      <w:r w:rsidR="00A50106" w:rsidRPr="000D3AD1">
        <w:rPr>
          <w:rFonts w:ascii="Times New Roman" w:eastAsiaTheme="minorEastAsia" w:hAnsi="Times New Roman" w:cs="Times New Roman"/>
          <w:bCs/>
          <w:sz w:val="24"/>
          <w:szCs w:val="24"/>
        </w:rPr>
        <w:t xml:space="preserve">increases during the turmoil periods and can spot the market most susceptible to </w:t>
      </w:r>
      <w:proofErr w:type="gramStart"/>
      <w:r w:rsidR="00A50106" w:rsidRPr="000D3AD1">
        <w:rPr>
          <w:rFonts w:ascii="Times New Roman" w:eastAsiaTheme="minorEastAsia" w:hAnsi="Times New Roman" w:cs="Times New Roman"/>
          <w:bCs/>
          <w:sz w:val="24"/>
          <w:szCs w:val="24"/>
        </w:rPr>
        <w:t>the tail</w:t>
      </w:r>
      <w:proofErr w:type="gramEnd"/>
      <w:r w:rsidR="00A50106" w:rsidRPr="000D3AD1">
        <w:rPr>
          <w:rFonts w:ascii="Times New Roman" w:eastAsiaTheme="minorEastAsia" w:hAnsi="Times New Roman" w:cs="Times New Roman"/>
          <w:bCs/>
          <w:sz w:val="24"/>
          <w:szCs w:val="24"/>
        </w:rPr>
        <w:t xml:space="preserve"> risk. </w:t>
      </w:r>
      <w:r w:rsidR="0073584E" w:rsidRPr="000D3AD1">
        <w:rPr>
          <w:rFonts w:ascii="Times New Roman" w:eastAsiaTheme="minorEastAsia" w:hAnsi="Times New Roman" w:cs="Times New Roman"/>
          <w:bCs/>
          <w:sz w:val="24"/>
          <w:szCs w:val="24"/>
        </w:rPr>
        <w:t>In contrast,</w:t>
      </w:r>
      <w:r w:rsidR="00A50106" w:rsidRPr="000D3AD1">
        <w:rPr>
          <w:rFonts w:ascii="Times New Roman" w:eastAsiaTheme="minorEastAsia" w:hAnsi="Times New Roman" w:cs="Times New Roman"/>
          <w:bCs/>
          <w:sz w:val="24"/>
          <w:szCs w:val="24"/>
        </w:rPr>
        <w:t xml:space="preserve"> SHI quantifies the risk contribution of market </w:t>
      </w:r>
      <w:proofErr w:type="spellStart"/>
      <w:r w:rsidR="00A50106" w:rsidRPr="000D3AD1">
        <w:rPr>
          <w:rFonts w:ascii="Times New Roman" w:eastAsiaTheme="minorEastAsia" w:hAnsi="Times New Roman" w:cs="Times New Roman"/>
          <w:bCs/>
          <w:i/>
          <w:iCs/>
          <w:sz w:val="24"/>
          <w:szCs w:val="24"/>
        </w:rPr>
        <w:t>i</w:t>
      </w:r>
      <w:proofErr w:type="spellEnd"/>
      <w:r w:rsidR="00A50106" w:rsidRPr="000D3AD1">
        <w:rPr>
          <w:rFonts w:ascii="Times New Roman" w:eastAsiaTheme="minorEastAsia" w:hAnsi="Times New Roman" w:cs="Times New Roman"/>
          <w:bCs/>
          <w:sz w:val="24"/>
          <w:szCs w:val="24"/>
        </w:rPr>
        <w:t xml:space="preserve"> to the whole system depending on the </w:t>
      </w:r>
      <w:r w:rsidR="00C47ACD" w:rsidRPr="000D3AD1">
        <w:rPr>
          <w:rFonts w:ascii="Times New Roman" w:eastAsiaTheme="minorEastAsia" w:hAnsi="Times New Roman" w:cs="Times New Roman"/>
          <w:bCs/>
          <w:sz w:val="24"/>
          <w:szCs w:val="24"/>
        </w:rPr>
        <w:t xml:space="preserve">outgoing adjacency weights by other markets’ </w:t>
      </w:r>
      <w:proofErr w:type="spellStart"/>
      <w:r w:rsidR="00C47ACD" w:rsidRPr="000D3AD1">
        <w:rPr>
          <w:rFonts w:ascii="Times New Roman" w:eastAsiaTheme="minorEastAsia" w:hAnsi="Times New Roman" w:cs="Times New Roman"/>
          <w:bCs/>
          <w:sz w:val="24"/>
          <w:szCs w:val="24"/>
        </w:rPr>
        <w:t>CoVaRs</w:t>
      </w:r>
      <w:proofErr w:type="spellEnd"/>
      <w:r w:rsidR="00C47ACD" w:rsidRPr="000D3AD1">
        <w:rPr>
          <w:rFonts w:ascii="Times New Roman" w:eastAsiaTheme="minorEastAsia" w:hAnsi="Times New Roman" w:cs="Times New Roman"/>
          <w:bCs/>
          <w:sz w:val="24"/>
          <w:szCs w:val="24"/>
        </w:rPr>
        <w:t xml:space="preserve">. It is noteworthy that SFI and SHI are </w:t>
      </w:r>
      <w:proofErr w:type="gramStart"/>
      <w:r w:rsidR="00C47ACD" w:rsidRPr="000D3AD1">
        <w:rPr>
          <w:rFonts w:ascii="Times New Roman" w:eastAsiaTheme="minorEastAsia" w:hAnsi="Times New Roman" w:cs="Times New Roman"/>
          <w:bCs/>
          <w:sz w:val="24"/>
          <w:szCs w:val="24"/>
        </w:rPr>
        <w:t>market-specific</w:t>
      </w:r>
      <w:proofErr w:type="gramEnd"/>
      <w:r w:rsidR="00C47ACD" w:rsidRPr="000D3AD1">
        <w:rPr>
          <w:rFonts w:ascii="Times New Roman" w:eastAsiaTheme="minorEastAsia" w:hAnsi="Times New Roman" w:cs="Times New Roman"/>
          <w:bCs/>
          <w:sz w:val="24"/>
          <w:szCs w:val="24"/>
        </w:rPr>
        <w:t xml:space="preserve">. Meanwhile, </w:t>
      </w:r>
      <w:r w:rsidR="00C47ACD" w:rsidRPr="000D3AD1">
        <w:rPr>
          <w:rFonts w:ascii="Times New Roman" w:eastAsiaTheme="minorEastAsia" w:hAnsi="Times New Roman" w:cs="Times New Roman"/>
          <w:bCs/>
          <w:sz w:val="24"/>
          <w:szCs w:val="24"/>
        </w:rPr>
        <w:lastRenderedPageBreak/>
        <w:t xml:space="preserve">the model specifies asymmetries suggesting higher exposure to tail risk of a market does not imply that </w:t>
      </w:r>
      <w:proofErr w:type="gramStart"/>
      <w:r w:rsidR="00C47ACD" w:rsidRPr="000D3AD1">
        <w:rPr>
          <w:rFonts w:ascii="Times New Roman" w:eastAsiaTheme="minorEastAsia" w:hAnsi="Times New Roman" w:cs="Times New Roman"/>
          <w:bCs/>
          <w:sz w:val="24"/>
          <w:szCs w:val="24"/>
        </w:rPr>
        <w:t>the</w:t>
      </w:r>
      <w:proofErr w:type="gramEnd"/>
      <w:r w:rsidR="00C47ACD" w:rsidRPr="000D3AD1">
        <w:rPr>
          <w:rFonts w:ascii="Times New Roman" w:eastAsiaTheme="minorEastAsia" w:hAnsi="Times New Roman" w:cs="Times New Roman"/>
          <w:bCs/>
          <w:sz w:val="24"/>
          <w:szCs w:val="24"/>
        </w:rPr>
        <w:t xml:space="preserve"> similar market will have a larger impact on the system. </w:t>
      </w:r>
    </w:p>
    <w:p w14:paraId="6838617A" w14:textId="27F1ADE6" w:rsidR="00772600" w:rsidRPr="000D3AD1" w:rsidRDefault="00C47ACD" w:rsidP="00772600">
      <w:pPr>
        <w:spacing w:line="480" w:lineRule="auto"/>
        <w:jc w:val="both"/>
        <w:rPr>
          <w:rFonts w:ascii="Times New Roman" w:hAnsi="Times New Roman" w:cs="Times New Roman"/>
          <w:bCs/>
          <w:sz w:val="24"/>
          <w:szCs w:val="24"/>
        </w:rPr>
      </w:pPr>
      <w:r w:rsidRPr="000D3AD1">
        <w:rPr>
          <w:rFonts w:ascii="Times New Roman" w:hAnsi="Times New Roman" w:cs="Times New Roman"/>
          <w:bCs/>
          <w:sz w:val="24"/>
          <w:szCs w:val="24"/>
        </w:rPr>
        <w:t xml:space="preserve">Furthermore, based on </w:t>
      </w:r>
      <w:proofErr w:type="spellStart"/>
      <w:r w:rsidRPr="000D3AD1">
        <w:rPr>
          <w:rFonts w:ascii="Times New Roman" w:hAnsi="Times New Roman" w:cs="Times New Roman"/>
          <w:bCs/>
          <w:sz w:val="24"/>
          <w:szCs w:val="24"/>
        </w:rPr>
        <w:t>Keilbarg</w:t>
      </w:r>
      <w:proofErr w:type="spellEnd"/>
      <w:r w:rsidRPr="000D3AD1">
        <w:rPr>
          <w:rFonts w:ascii="Times New Roman" w:hAnsi="Times New Roman" w:cs="Times New Roman"/>
          <w:bCs/>
          <w:sz w:val="24"/>
          <w:szCs w:val="24"/>
        </w:rPr>
        <w:t xml:space="preserve"> and Wang (2021), Systemic Network Risk Index (SNRI) is utilized for measuring the tail spillovers in the lower quantiles. </w:t>
      </w:r>
    </w:p>
    <w:p w14:paraId="56006D2B" w14:textId="77777777"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SNRI</m:t>
            </m:r>
          </m:e>
          <m:sub>
            <m:r>
              <w:rPr>
                <w:rFonts w:ascii="Cambria Math" w:hAnsi="Cambria Math" w:cs="Times New Roman"/>
                <w:sz w:val="24"/>
                <w:szCs w:val="24"/>
              </w:rPr>
              <m:t>t</m:t>
            </m:r>
          </m:sub>
        </m:sSub>
        <m:r>
          <w:rPr>
            <w:rFonts w:ascii="Cambria Math" w:hAnsi="Cambria Math" w:cs="Times New Roman"/>
            <w:sz w:val="24"/>
            <w:szCs w:val="24"/>
          </w:rPr>
          <m:t xml:space="preserve">= </m:t>
        </m:r>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K</m:t>
            </m:r>
          </m:sup>
          <m:e>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K</m:t>
                </m:r>
              </m:sup>
              <m:e>
                <m:d>
                  <m:dPr>
                    <m:endChr m:val="|"/>
                    <m:ctrlPr>
                      <w:rPr>
                        <w:rFonts w:ascii="Cambria Math" w:hAnsi="Cambria Math" w:cs="Times New Roman"/>
                        <w:bCs/>
                        <w:i/>
                        <w:sz w:val="24"/>
                        <w:szCs w:val="24"/>
                      </w:rPr>
                    </m:ctrlPr>
                  </m:dPr>
                  <m:e>
                    <m:r>
                      <w:rPr>
                        <w:rFonts w:ascii="Cambria Math" w:hAnsi="Cambria Math" w:cs="Times New Roman"/>
                        <w:sz w:val="24"/>
                        <w:szCs w:val="24"/>
                      </w:rPr>
                      <m:t>1+</m:t>
                    </m:r>
                  </m:e>
                </m:d>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τ</m:t>
                    </m:r>
                  </m:sup>
                </m:sSubSup>
                <m:r>
                  <w:rPr>
                    <w:rFonts w:ascii="Cambria Math" w:hAnsi="Cambria Math" w:cs="Times New Roman"/>
                    <w:sz w:val="24"/>
                    <w:szCs w:val="24"/>
                  </w:rPr>
                  <m:t xml:space="preserve">|) .  </m:t>
                </m:r>
                <m:d>
                  <m:dPr>
                    <m:ctrlPr>
                      <w:rPr>
                        <w:rFonts w:ascii="Cambria Math" w:hAnsi="Cambria Math" w:cs="Times New Roman"/>
                        <w:bCs/>
                        <w:i/>
                        <w:sz w:val="24"/>
                        <w:szCs w:val="24"/>
                      </w:rPr>
                    </m:ctrlPr>
                  </m:dPr>
                  <m:e>
                    <m:r>
                      <w:rPr>
                        <w:rFonts w:ascii="Cambria Math" w:hAnsi="Cambria Math" w:cs="Times New Roman"/>
                        <w:sz w:val="24"/>
                        <w:szCs w:val="24"/>
                      </w:rPr>
                      <m:t>1+</m:t>
                    </m:r>
                    <m:d>
                      <m:dPr>
                        <m:begChr m:val="|"/>
                        <m:endChr m:val="|"/>
                        <m:ctrlPr>
                          <w:rPr>
                            <w:rFonts w:ascii="Cambria Math" w:hAnsi="Cambria Math" w:cs="Times New Roman"/>
                            <w:bCs/>
                            <w:i/>
                            <w:sz w:val="24"/>
                            <w:szCs w:val="24"/>
                          </w:rPr>
                        </m:ctrlPr>
                      </m:dPr>
                      <m:e>
                        <m:r>
                          <w:rPr>
                            <w:rFonts w:ascii="Cambria Math" w:hAnsi="Cambria Math" w:cs="Times New Roman"/>
                            <w:sz w:val="24"/>
                            <w:szCs w:val="24"/>
                          </w:rPr>
                          <m:t>Co</m:t>
                        </m:r>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jt</m:t>
                            </m:r>
                          </m:sub>
                          <m:sup>
                            <m:r>
                              <w:rPr>
                                <w:rFonts w:ascii="Cambria Math" w:hAnsi="Cambria Math" w:cs="Times New Roman"/>
                                <w:sz w:val="24"/>
                                <w:szCs w:val="24"/>
                              </w:rPr>
                              <m:t>τ</m:t>
                            </m:r>
                          </m:sup>
                        </m:sSubSup>
                      </m:e>
                    </m:d>
                  </m:e>
                </m:d>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e>
            </m:nary>
          </m:e>
        </m:nary>
      </m:oMath>
      <w:r w:rsidRPr="000D3AD1">
        <w:rPr>
          <w:rFonts w:ascii="Times New Roman" w:eastAsiaTheme="minorEastAsia" w:hAnsi="Times New Roman" w:cs="Times New Roman"/>
          <w:bCs/>
          <w:sz w:val="24"/>
          <w:szCs w:val="24"/>
        </w:rPr>
        <w:t xml:space="preserve">  </w:t>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r>
      <w:r w:rsidRPr="000D3AD1">
        <w:rPr>
          <w:rFonts w:ascii="Times New Roman" w:eastAsiaTheme="minorEastAsia" w:hAnsi="Times New Roman" w:cs="Times New Roman"/>
          <w:bCs/>
          <w:sz w:val="24"/>
          <w:szCs w:val="24"/>
        </w:rPr>
        <w:tab/>
        <w:t>(21)</w:t>
      </w:r>
    </w:p>
    <w:p w14:paraId="69690161" w14:textId="11610E59"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The adjacency matrix </w:t>
      </w:r>
      <w:r w:rsidR="00C47ACD" w:rsidRPr="000D3AD1">
        <w:rPr>
          <w:rFonts w:ascii="Times New Roman" w:eastAsiaTheme="minorEastAsia" w:hAnsi="Times New Roman" w:cs="Times New Roman"/>
          <w:bCs/>
          <w:sz w:val="24"/>
          <w:szCs w:val="24"/>
        </w:rPr>
        <w:t xml:space="preserve">is exhibited as: </w:t>
      </w:r>
    </w:p>
    <w:p w14:paraId="7C66E29E"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 xml:space="preserve">= </m:t>
        </m:r>
        <m:d>
          <m:dPr>
            <m:ctrlPr>
              <w:rPr>
                <w:rFonts w:ascii="Cambria Math" w:eastAsiaTheme="minorEastAsia" w:hAnsi="Cambria Math" w:cs="Times New Roman"/>
                <w:bCs/>
                <w:i/>
                <w:sz w:val="24"/>
                <w:szCs w:val="24"/>
              </w:rPr>
            </m:ctrlPr>
          </m:dPr>
          <m:e>
            <m:eqArr>
              <m:eqArrPr>
                <m:ctrlPr>
                  <w:rPr>
                    <w:rFonts w:ascii="Cambria Math" w:eastAsiaTheme="minorEastAsia" w:hAnsi="Cambria Math" w:cs="Times New Roman"/>
                    <w:bCs/>
                    <w:i/>
                    <w:sz w:val="24"/>
                    <w:szCs w:val="24"/>
                  </w:rPr>
                </m:ctrlPr>
              </m:eqArrPr>
              <m:e>
                <m:r>
                  <w:rPr>
                    <w:rFonts w:ascii="Cambria Math" w:eastAsiaTheme="minorEastAsia" w:hAnsi="Cambria Math" w:cs="Times New Roman"/>
                    <w:sz w:val="24"/>
                    <w:szCs w:val="24"/>
                  </w:rPr>
                  <m:t xml:space="preserve">0          </m:t>
                </m:r>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12,t</m:t>
                    </m:r>
                  </m:sub>
                </m:sSub>
                <m:r>
                  <w:rPr>
                    <w:rFonts w:ascii="Cambria Math" w:eastAsiaTheme="minorEastAsia" w:hAnsi="Cambria Math" w:cs="Times New Roman"/>
                    <w:sz w:val="24"/>
                    <w:szCs w:val="24"/>
                  </w:rPr>
                  <m:t xml:space="preserve">  ⋯ </m:t>
                </m:r>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 xml:space="preserve">1K,t </m:t>
                    </m:r>
                  </m:sub>
                </m:sSub>
              </m:e>
              <m:e>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 xml:space="preserve">21,t  </m:t>
                    </m:r>
                  </m:sub>
                </m:sSub>
                <m:r>
                  <w:rPr>
                    <w:rFonts w:ascii="Cambria Math" w:eastAsiaTheme="minorEastAsia" w:hAnsi="Cambria Math" w:cs="Times New Roman"/>
                    <w:sz w:val="24"/>
                    <w:szCs w:val="24"/>
                  </w:rPr>
                  <m:t xml:space="preserve">      0    ⋯       </m:t>
                </m:r>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2K,t</m:t>
                    </m:r>
                  </m:sub>
                </m:sSub>
                <m:r>
                  <w:rPr>
                    <w:rFonts w:ascii="Cambria Math" w:eastAsiaTheme="minorEastAsia" w:hAnsi="Cambria Math" w:cs="Times New Roman"/>
                    <w:sz w:val="24"/>
                    <w:szCs w:val="24"/>
                  </w:rPr>
                  <m:t xml:space="preserve"> </m:t>
                </m:r>
                <m:ctrlPr>
                  <w:rPr>
                    <w:rFonts w:ascii="Cambria Math" w:eastAsia="Cambria Math" w:hAnsi="Cambria Math" w:cs="Times New Roman"/>
                    <w:bCs/>
                    <w:i/>
                    <w:sz w:val="24"/>
                    <w:szCs w:val="24"/>
                  </w:rPr>
                </m:ctrlPr>
              </m:e>
              <m:e>
                <m:r>
                  <w:rPr>
                    <w:rFonts w:ascii="Cambria Math" w:eastAsiaTheme="minorEastAsia" w:hAnsi="Cambria Math" w:cs="Times New Roman"/>
                    <w:sz w:val="24"/>
                    <w:szCs w:val="24"/>
                  </w:rPr>
                  <m:t xml:space="preserve">⋮                ⋱            ⋮  </m:t>
                </m:r>
                <m:ctrlPr>
                  <w:rPr>
                    <w:rFonts w:ascii="Cambria Math" w:eastAsia="Cambria Math" w:hAnsi="Cambria Math" w:cs="Times New Roman"/>
                    <w:bCs/>
                    <w:i/>
                    <w:sz w:val="24"/>
                    <w:szCs w:val="24"/>
                  </w:rPr>
                </m:ctrlPr>
              </m:e>
              <m:e>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 xml:space="preserve">K1,t        </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bCs/>
                        <w:i/>
                        <w:sz w:val="24"/>
                        <w:szCs w:val="24"/>
                      </w:rPr>
                    </m:ctrlPr>
                  </m:sSubPr>
                  <m:e>
                    <m:acc>
                      <m:accPr>
                        <m:chr m:val="̃"/>
                        <m:ctrlPr>
                          <w:rPr>
                            <w:rFonts w:ascii="Cambria Math" w:eastAsiaTheme="minorEastAsia" w:hAnsi="Cambria Math" w:cs="Times New Roman"/>
                            <w:bCs/>
                            <w:i/>
                            <w:sz w:val="24"/>
                            <w:szCs w:val="24"/>
                          </w:rPr>
                        </m:ctrlPr>
                      </m:accPr>
                      <m:e>
                        <m:r>
                          <w:rPr>
                            <w:rFonts w:ascii="Cambria Math" w:eastAsiaTheme="minorEastAsia" w:hAnsi="Cambria Math" w:cs="Times New Roman"/>
                            <w:sz w:val="24"/>
                            <w:szCs w:val="24"/>
                          </w:rPr>
                          <m:t>a</m:t>
                        </m:r>
                      </m:e>
                    </m:acc>
                  </m:e>
                  <m:sub>
                    <m:r>
                      <w:rPr>
                        <w:rFonts w:ascii="Cambria Math" w:eastAsiaTheme="minorEastAsia" w:hAnsi="Cambria Math" w:cs="Times New Roman"/>
                        <w:sz w:val="24"/>
                        <w:szCs w:val="24"/>
                      </w:rPr>
                      <m:t>K2,t</m:t>
                    </m:r>
                  </m:sub>
                </m:sSub>
                <m:r>
                  <w:rPr>
                    <w:rFonts w:ascii="Cambria Math" w:eastAsiaTheme="minorEastAsia" w:hAnsi="Cambria Math" w:cs="Times New Roman"/>
                    <w:sz w:val="24"/>
                    <w:szCs w:val="24"/>
                  </w:rPr>
                  <m:t xml:space="preserve">   ⋯      0             </m:t>
                </m:r>
              </m:e>
            </m:eqArr>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(22)</w:t>
      </w:r>
    </w:p>
    <w:p w14:paraId="1210B552" w14:textId="2739B2CB" w:rsidR="00772600" w:rsidRPr="000D3AD1" w:rsidRDefault="00772600" w:rsidP="00772600">
      <w:pPr>
        <w:spacing w:line="480" w:lineRule="auto"/>
        <w:jc w:val="both"/>
        <w:rPr>
          <w:rFonts w:ascii="Times New Roman" w:eastAsiaTheme="minorEastAsia" w:hAnsi="Times New Roman" w:cs="Times New Roman"/>
          <w:bCs/>
          <w:sz w:val="24"/>
          <w:szCs w:val="24"/>
        </w:rPr>
      </w:pPr>
      <w:r w:rsidRPr="000D3AD1">
        <w:rPr>
          <w:rFonts w:ascii="Times New Roman" w:eastAsiaTheme="minorEastAsia" w:hAnsi="Times New Roman" w:cs="Times New Roman"/>
          <w:bCs/>
          <w:sz w:val="24"/>
          <w:szCs w:val="24"/>
        </w:rPr>
        <w:t xml:space="preserve">With elements </w:t>
      </w:r>
      <w:r w:rsidR="00C47ACD" w:rsidRPr="000D3AD1">
        <w:rPr>
          <w:rFonts w:ascii="Times New Roman" w:eastAsiaTheme="minorEastAsia" w:hAnsi="Times New Roman" w:cs="Times New Roman"/>
          <w:bCs/>
          <w:sz w:val="24"/>
          <w:szCs w:val="24"/>
        </w:rPr>
        <w:t>stated</w:t>
      </w:r>
      <w:r w:rsidRPr="000D3AD1">
        <w:rPr>
          <w:rFonts w:ascii="Times New Roman" w:eastAsiaTheme="minorEastAsia" w:hAnsi="Times New Roman" w:cs="Times New Roman"/>
          <w:bCs/>
          <w:sz w:val="24"/>
          <w:szCs w:val="24"/>
        </w:rPr>
        <w:t xml:space="preserve"> as:</w:t>
      </w:r>
    </w:p>
    <w:p w14:paraId="2608D040" w14:textId="77777777" w:rsidR="00772600" w:rsidRPr="000D3AD1" w:rsidRDefault="00000000" w:rsidP="00772600">
      <w:pPr>
        <w:spacing w:line="480" w:lineRule="auto"/>
        <w:jc w:val="both"/>
        <w:rPr>
          <w:rFonts w:ascii="Times New Roman" w:eastAsiaTheme="minorEastAsia"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r>
          <w:rPr>
            <w:rFonts w:ascii="Cambria Math" w:hAnsi="Cambria Math" w:cs="Times New Roman"/>
            <w:sz w:val="24"/>
            <w:szCs w:val="24"/>
          </w:rPr>
          <m:t xml:space="preserve">= </m:t>
        </m:r>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sSub>
                  <m:sSubPr>
                    <m:ctrlPr>
                      <w:rPr>
                        <w:rFonts w:ascii="Cambria Math" w:hAnsi="Cambria Math" w:cs="Times New Roman"/>
                        <w:bCs/>
                        <w:i/>
                        <w:sz w:val="24"/>
                        <w:szCs w:val="24"/>
                      </w:rPr>
                    </m:ctrlPr>
                  </m:sSubPr>
                  <m:e>
                    <m:r>
                      <w:rPr>
                        <w:rFonts w:ascii="Cambria Math" w:hAnsi="Cambria Math" w:cs="Times New Roman"/>
                        <w:sz w:val="24"/>
                        <w:szCs w:val="24"/>
                      </w:rPr>
                      <m:t>a</m:t>
                    </m:r>
                  </m:e>
                  <m:sub>
                    <m:r>
                      <w:rPr>
                        <w:rFonts w:ascii="Cambria Math" w:hAnsi="Cambria Math" w:cs="Times New Roman"/>
                        <w:sz w:val="24"/>
                        <w:szCs w:val="24"/>
                      </w:rPr>
                      <m:t>ji,t</m:t>
                    </m:r>
                  </m:sub>
                </m:sSub>
                <m:r>
                  <w:rPr>
                    <w:rFonts w:ascii="Cambria Math" w:hAnsi="Cambria Math" w:cs="Times New Roman"/>
                    <w:sz w:val="24"/>
                    <w:szCs w:val="24"/>
                  </w:rPr>
                  <m:t xml:space="preserve">. </m:t>
                </m:r>
                <m:d>
                  <m:dPr>
                    <m:ctrlPr>
                      <w:rPr>
                        <w:rFonts w:ascii="Cambria Math" w:hAnsi="Cambria Math" w:cs="Times New Roman"/>
                        <w:bCs/>
                        <w:i/>
                        <w:sz w:val="24"/>
                        <w:szCs w:val="24"/>
                      </w:rPr>
                    </m:ctrlPr>
                  </m:dPr>
                  <m:e>
                    <m:r>
                      <w:rPr>
                        <w:rFonts w:ascii="Cambria Math" w:hAnsi="Cambria Math" w:cs="Times New Roman"/>
                        <w:sz w:val="24"/>
                        <w:szCs w:val="24"/>
                      </w:rPr>
                      <m:t>1+</m:t>
                    </m:r>
                  </m:e>
                  <m:e>
                    <m:sSubSup>
                      <m:sSubSupPr>
                        <m:ctrlPr>
                          <w:rPr>
                            <w:rFonts w:ascii="Cambria Math" w:hAnsi="Cambria Math" w:cs="Times New Roman"/>
                            <w:bCs/>
                            <w:i/>
                            <w:sz w:val="24"/>
                            <w:szCs w:val="24"/>
                          </w:rPr>
                        </m:ctrlPr>
                      </m:sSubSupPr>
                      <m:e>
                        <m:r>
                          <w:rPr>
                            <w:rFonts w:ascii="Cambria Math" w:hAnsi="Cambria Math" w:cs="Times New Roman"/>
                            <w:sz w:val="24"/>
                            <w:szCs w:val="24"/>
                          </w:rPr>
                          <m:t>VaR</m:t>
                        </m:r>
                      </m:e>
                      <m:sub>
                        <m:r>
                          <w:rPr>
                            <w:rFonts w:ascii="Cambria Math" w:hAnsi="Cambria Math" w:cs="Times New Roman"/>
                            <w:sz w:val="24"/>
                            <w:szCs w:val="24"/>
                          </w:rPr>
                          <m:t>it</m:t>
                        </m:r>
                      </m:sub>
                      <m:sup>
                        <m:r>
                          <w:rPr>
                            <w:rFonts w:ascii="Cambria Math" w:hAnsi="Cambria Math" w:cs="Times New Roman"/>
                            <w:sz w:val="24"/>
                            <w:szCs w:val="24"/>
                          </w:rPr>
                          <m:t>τ</m:t>
                        </m:r>
                      </m:sup>
                    </m:sSubSup>
                  </m:e>
                </m:d>
                <m:r>
                  <w:rPr>
                    <w:rFonts w:ascii="Cambria Math" w:hAnsi="Cambria Math" w:cs="Times New Roman"/>
                    <w:sz w:val="24"/>
                    <w:szCs w:val="24"/>
                  </w:rPr>
                  <m:t>. (1+</m:t>
                </m:r>
                <m:d>
                  <m:dPr>
                    <m:begChr m:val="|"/>
                    <m:endChr m:val="|"/>
                    <m:ctrlPr>
                      <w:rPr>
                        <w:rFonts w:ascii="Cambria Math" w:hAnsi="Cambria Math" w:cs="Times New Roman"/>
                        <w:bCs/>
                        <w:i/>
                        <w:sz w:val="24"/>
                        <w:szCs w:val="24"/>
                      </w:rPr>
                    </m:ctrlPr>
                  </m:dPr>
                  <m:e>
                    <m:r>
                      <w:rPr>
                        <w:rFonts w:ascii="Cambria Math" w:hAnsi="Cambria Math" w:cs="Times New Roman"/>
                        <w:sz w:val="24"/>
                        <w:szCs w:val="24"/>
                      </w:rPr>
                      <m:t>CoVa</m:t>
                    </m:r>
                    <m:sSubSup>
                      <m:sSubSupPr>
                        <m:ctrlPr>
                          <w:rPr>
                            <w:rFonts w:ascii="Cambria Math" w:hAnsi="Cambria Math" w:cs="Times New Roman"/>
                            <w:bCs/>
                            <w:i/>
                            <w:sz w:val="24"/>
                            <w:szCs w:val="24"/>
                          </w:rPr>
                        </m:ctrlPr>
                      </m:sSubSupPr>
                      <m:e>
                        <m:r>
                          <w:rPr>
                            <w:rFonts w:ascii="Cambria Math" w:hAnsi="Cambria Math" w:cs="Times New Roman"/>
                            <w:sz w:val="24"/>
                            <w:szCs w:val="24"/>
                          </w:rPr>
                          <m:t>R</m:t>
                        </m:r>
                      </m:e>
                      <m:sub>
                        <m:r>
                          <w:rPr>
                            <w:rFonts w:ascii="Cambria Math" w:hAnsi="Cambria Math" w:cs="Times New Roman"/>
                            <w:sz w:val="24"/>
                            <w:szCs w:val="24"/>
                          </w:rPr>
                          <m:t>j,t</m:t>
                        </m:r>
                      </m:sub>
                      <m:sup>
                        <m:r>
                          <w:rPr>
                            <w:rFonts w:ascii="Cambria Math" w:hAnsi="Cambria Math" w:cs="Times New Roman"/>
                            <w:sz w:val="24"/>
                            <w:szCs w:val="24"/>
                          </w:rPr>
                          <m:t>τ</m:t>
                        </m:r>
                      </m:sup>
                    </m:sSubSup>
                  </m:e>
                </m:d>
                <m:r>
                  <w:rPr>
                    <w:rFonts w:ascii="Cambria Math" w:hAnsi="Cambria Math" w:cs="Times New Roman"/>
                    <w:sz w:val="24"/>
                    <w:szCs w:val="24"/>
                  </w:rPr>
                  <m:t xml:space="preserve">)          , </m:t>
                </m:r>
                <m:r>
                  <m:rPr>
                    <m:sty m:val="p"/>
                  </m:rPr>
                  <w:rPr>
                    <w:rFonts w:ascii="Cambria Math" w:hAnsi="Cambria Math" w:cs="Times New Roman"/>
                    <w:sz w:val="24"/>
                    <w:szCs w:val="24"/>
                  </w:rPr>
                  <m:t xml:space="preserve">if </m:t>
                </m:r>
                <m:r>
                  <w:rPr>
                    <w:rFonts w:ascii="Cambria Math" w:hAnsi="Cambria Math" w:cs="Times New Roman"/>
                    <w:sz w:val="24"/>
                    <w:szCs w:val="24"/>
                  </w:rPr>
                  <m:t>j≠i</m:t>
                </m:r>
              </m:e>
              <m:e>
                <m:r>
                  <w:rPr>
                    <w:rFonts w:ascii="Cambria Math" w:hAnsi="Cambria Math" w:cs="Times New Roman"/>
                    <w:sz w:val="24"/>
                    <w:szCs w:val="24"/>
                  </w:rPr>
                  <m:t xml:space="preserve">0,                                                                      </m:t>
                </m:r>
                <m:r>
                  <m:rPr>
                    <m:sty m:val="p"/>
                  </m:rPr>
                  <w:rPr>
                    <w:rFonts w:ascii="Cambria Math" w:hAnsi="Cambria Math" w:cs="Times New Roman"/>
                    <w:sz w:val="24"/>
                    <w:szCs w:val="24"/>
                  </w:rPr>
                  <m:t xml:space="preserve">if </m:t>
                </m:r>
                <m:r>
                  <w:rPr>
                    <w:rFonts w:ascii="Cambria Math" w:hAnsi="Cambria Math" w:cs="Times New Roman"/>
                    <w:sz w:val="24"/>
                    <w:szCs w:val="24"/>
                  </w:rPr>
                  <m:t xml:space="preserve">j=i </m:t>
                </m:r>
              </m:e>
            </m:eqArr>
          </m:e>
        </m:d>
      </m:oMath>
      <w:r w:rsidR="00772600" w:rsidRPr="000D3AD1">
        <w:rPr>
          <w:rFonts w:ascii="Times New Roman" w:eastAsiaTheme="minorEastAsia" w:hAnsi="Times New Roman" w:cs="Times New Roman"/>
          <w:bCs/>
          <w:sz w:val="24"/>
          <w:szCs w:val="24"/>
        </w:rPr>
        <w:t xml:space="preserve">    </w:t>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r>
      <w:r w:rsidR="00772600" w:rsidRPr="000D3AD1">
        <w:rPr>
          <w:rFonts w:ascii="Times New Roman" w:eastAsiaTheme="minorEastAsia" w:hAnsi="Times New Roman" w:cs="Times New Roman"/>
          <w:bCs/>
          <w:sz w:val="24"/>
          <w:szCs w:val="24"/>
        </w:rPr>
        <w:tab/>
        <w:t>(23)</w:t>
      </w:r>
    </w:p>
    <w:p w14:paraId="3B29E956" w14:textId="1DA023C3" w:rsidR="00772600" w:rsidRPr="000D3AD1" w:rsidRDefault="00772600" w:rsidP="00772600">
      <w:pPr>
        <w:spacing w:line="480" w:lineRule="auto"/>
        <w:jc w:val="both"/>
        <w:rPr>
          <w:rFonts w:ascii="Times New Roman" w:hAnsi="Times New Roman" w:cs="Times New Roman"/>
          <w:bCs/>
          <w:sz w:val="24"/>
          <w:szCs w:val="24"/>
        </w:rPr>
      </w:pPr>
      <w:r w:rsidRPr="000D3AD1">
        <w:rPr>
          <w:rFonts w:ascii="Times New Roman" w:hAnsi="Times New Roman" w:cs="Times New Roman"/>
          <w:bCs/>
          <w:sz w:val="24"/>
          <w:szCs w:val="24"/>
        </w:rPr>
        <w:t xml:space="preserve">The </w:t>
      </w:r>
      <w:r w:rsidR="00C47ACD" w:rsidRPr="000D3AD1">
        <w:rPr>
          <w:rFonts w:ascii="Times New Roman" w:hAnsi="Times New Roman" w:cs="Times New Roman"/>
          <w:bCs/>
          <w:sz w:val="24"/>
          <w:szCs w:val="24"/>
        </w:rPr>
        <w:t>fitted</w:t>
      </w:r>
      <w:r w:rsidRPr="000D3AD1">
        <w:rPr>
          <w:rFonts w:ascii="Times New Roman" w:hAnsi="Times New Roman" w:cs="Times New Roman"/>
          <w:bCs/>
          <w:sz w:val="24"/>
          <w:szCs w:val="24"/>
        </w:rPr>
        <w:t xml:space="preserve"> adjacency matrix </w:t>
      </w:r>
      <w:r w:rsidR="00C47ACD" w:rsidRPr="000D3AD1">
        <w:rPr>
          <w:rFonts w:ascii="Times New Roman" w:hAnsi="Times New Roman" w:cs="Times New Roman"/>
          <w:bCs/>
          <w:sz w:val="24"/>
          <w:szCs w:val="24"/>
        </w:rPr>
        <w:t xml:space="preserve">demonstrates the level of outgoing </w:t>
      </w:r>
      <w:proofErr w:type="spellStart"/>
      <w:r w:rsidR="00C47ACD" w:rsidRPr="000D3AD1">
        <w:rPr>
          <w:rFonts w:ascii="Times New Roman" w:hAnsi="Times New Roman" w:cs="Times New Roman"/>
          <w:bCs/>
          <w:sz w:val="24"/>
          <w:szCs w:val="24"/>
        </w:rPr>
        <w:t>VaRs</w:t>
      </w:r>
      <w:proofErr w:type="spellEnd"/>
      <w:r w:rsidR="00C47ACD" w:rsidRPr="000D3AD1">
        <w:rPr>
          <w:rFonts w:ascii="Times New Roman" w:hAnsi="Times New Roman" w:cs="Times New Roman"/>
          <w:bCs/>
          <w:sz w:val="24"/>
          <w:szCs w:val="24"/>
        </w:rPr>
        <w:t xml:space="preserve"> and incoming </w:t>
      </w:r>
      <w:proofErr w:type="spellStart"/>
      <w:r w:rsidR="00C47ACD" w:rsidRPr="000D3AD1">
        <w:rPr>
          <w:rFonts w:ascii="Times New Roman" w:hAnsi="Times New Roman" w:cs="Times New Roman"/>
          <w:bCs/>
          <w:sz w:val="24"/>
          <w:szCs w:val="24"/>
        </w:rPr>
        <w:t>CoVaRs</w:t>
      </w:r>
      <w:proofErr w:type="spellEnd"/>
      <w:r w:rsidR="00C47ACD" w:rsidRPr="000D3AD1">
        <w:rPr>
          <w:rFonts w:ascii="Times New Roman" w:hAnsi="Times New Roman" w:cs="Times New Roman"/>
          <w:bCs/>
          <w:sz w:val="24"/>
          <w:szCs w:val="24"/>
        </w:rPr>
        <w:t xml:space="preserve"> that enhances the risk spillovers. </w:t>
      </w:r>
    </w:p>
    <w:p w14:paraId="6614FA12" w14:textId="77777777" w:rsidR="00A70D53" w:rsidRPr="000D3AD1" w:rsidRDefault="00C47ACD" w:rsidP="00A70D53">
      <w:pPr>
        <w:spacing w:after="240" w:line="480" w:lineRule="auto"/>
        <w:jc w:val="both"/>
        <w:rPr>
          <w:rFonts w:ascii="Times New Roman" w:eastAsia="SimSun" w:hAnsi="Times New Roman" w:cs="Times New Roman"/>
          <w:sz w:val="24"/>
          <w:szCs w:val="24"/>
          <w:lang w:val="en-GB"/>
        </w:rPr>
      </w:pPr>
      <w:r w:rsidRPr="000D3AD1">
        <w:rPr>
          <w:rFonts w:ascii="Times New Roman" w:hAnsi="Times New Roman" w:cs="Times New Roman"/>
          <w:b/>
          <w:bCs/>
          <w:sz w:val="24"/>
          <w:szCs w:val="24"/>
        </w:rPr>
        <w:t xml:space="preserve">4. Empirical Results </w:t>
      </w:r>
    </w:p>
    <w:p w14:paraId="6D79374A" w14:textId="4DCA5ED4" w:rsidR="00C47ACD" w:rsidRPr="000D3AD1" w:rsidRDefault="00C47ACD" w:rsidP="00A70D53">
      <w:pPr>
        <w:spacing w:after="240" w:line="480" w:lineRule="auto"/>
        <w:jc w:val="both"/>
        <w:rPr>
          <w:rFonts w:ascii="Times New Roman" w:hAnsi="Times New Roman" w:cs="Times New Roman"/>
          <w:i/>
          <w:iCs/>
          <w:sz w:val="24"/>
          <w:szCs w:val="24"/>
        </w:rPr>
      </w:pPr>
      <w:r w:rsidRPr="000D3AD1">
        <w:rPr>
          <w:rFonts w:ascii="Times New Roman" w:hAnsi="Times New Roman" w:cs="Times New Roman"/>
          <w:i/>
          <w:iCs/>
          <w:sz w:val="24"/>
          <w:szCs w:val="24"/>
        </w:rPr>
        <w:t xml:space="preserve">4.1 Data and Preliminary Statistics </w:t>
      </w:r>
    </w:p>
    <w:p w14:paraId="67A4C022" w14:textId="64A94ABA" w:rsidR="00A70D53" w:rsidRPr="000D3AD1" w:rsidRDefault="00521619" w:rsidP="00A70D53">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The current study examines the tail connectedness between </w:t>
      </w:r>
      <w:r w:rsidR="00B05D4E" w:rsidRPr="000D3AD1">
        <w:rPr>
          <w:rFonts w:ascii="Times New Roman" w:hAnsi="Times New Roman" w:cs="Times New Roman"/>
          <w:bCs/>
          <w:sz w:val="24"/>
          <w:szCs w:val="24"/>
        </w:rPr>
        <w:t xml:space="preserve">religious, sustainable, and conventional </w:t>
      </w:r>
      <w:r w:rsidR="00BC4EAB" w:rsidRPr="000D3AD1">
        <w:rPr>
          <w:rFonts w:ascii="Times New Roman" w:eastAsia="SimSun" w:hAnsi="Times New Roman" w:cs="Times New Roman"/>
          <w:sz w:val="24"/>
          <w:szCs w:val="24"/>
          <w:lang w:val="en-GB"/>
        </w:rPr>
        <w:t xml:space="preserve">markets spanning December 1, </w:t>
      </w:r>
      <w:proofErr w:type="gramStart"/>
      <w:r w:rsidR="00BC4EAB" w:rsidRPr="000D3AD1">
        <w:rPr>
          <w:rFonts w:ascii="Times New Roman" w:eastAsia="SimSun" w:hAnsi="Times New Roman" w:cs="Times New Roman"/>
          <w:sz w:val="24"/>
          <w:szCs w:val="24"/>
          <w:lang w:val="en-GB"/>
        </w:rPr>
        <w:t>2008</w:t>
      </w:r>
      <w:proofErr w:type="gramEnd"/>
      <w:r w:rsidR="00BC4EAB" w:rsidRPr="000D3AD1">
        <w:rPr>
          <w:rFonts w:ascii="Times New Roman" w:eastAsia="SimSun" w:hAnsi="Times New Roman" w:cs="Times New Roman"/>
          <w:sz w:val="24"/>
          <w:szCs w:val="24"/>
          <w:lang w:val="en-GB"/>
        </w:rPr>
        <w:t xml:space="preserve"> to May 10, 2021. </w:t>
      </w:r>
      <w:r w:rsidR="003F5848" w:rsidRPr="000D3AD1">
        <w:rPr>
          <w:rFonts w:ascii="Times New Roman" w:eastAsia="SimSun" w:hAnsi="Times New Roman" w:cs="Times New Roman"/>
          <w:sz w:val="24"/>
          <w:szCs w:val="24"/>
          <w:lang w:val="en-GB"/>
        </w:rPr>
        <w:t xml:space="preserve">The </w:t>
      </w:r>
      <w:r w:rsidR="00B05D4E" w:rsidRPr="000D3AD1">
        <w:rPr>
          <w:rFonts w:ascii="Times New Roman" w:eastAsia="SimSun" w:hAnsi="Times New Roman" w:cs="Times New Roman"/>
          <w:sz w:val="24"/>
          <w:szCs w:val="24"/>
          <w:lang w:val="en-GB"/>
        </w:rPr>
        <w:t xml:space="preserve">religious </w:t>
      </w:r>
      <w:r w:rsidR="003F5848" w:rsidRPr="000D3AD1">
        <w:rPr>
          <w:rFonts w:ascii="Times New Roman" w:eastAsia="SimSun" w:hAnsi="Times New Roman" w:cs="Times New Roman"/>
          <w:sz w:val="24"/>
          <w:szCs w:val="24"/>
          <w:lang w:val="en-GB"/>
        </w:rPr>
        <w:t>stock markets included in the study are Dow Jones Islamic Index (DJIS) and Dow Jones Sukuk Index (DJSK</w:t>
      </w:r>
      <w:r w:rsidR="001C5672" w:rsidRPr="000D3AD1">
        <w:rPr>
          <w:rFonts w:ascii="Times New Roman" w:eastAsia="SimSun" w:hAnsi="Times New Roman" w:cs="Times New Roman"/>
          <w:sz w:val="24"/>
          <w:szCs w:val="24"/>
          <w:lang w:val="en-GB"/>
        </w:rPr>
        <w:t>)</w:t>
      </w:r>
      <w:r w:rsidR="003F5848" w:rsidRPr="000D3AD1">
        <w:rPr>
          <w:rFonts w:ascii="Times New Roman" w:eastAsia="SimSun" w:hAnsi="Times New Roman" w:cs="Times New Roman"/>
          <w:sz w:val="24"/>
          <w:szCs w:val="24"/>
          <w:lang w:val="en-GB"/>
        </w:rPr>
        <w:t>.</w:t>
      </w:r>
      <w:r w:rsidR="00B05D4E" w:rsidRPr="000D3AD1">
        <w:rPr>
          <w:rFonts w:ascii="Times New Roman" w:eastAsia="SimSun" w:hAnsi="Times New Roman" w:cs="Times New Roman"/>
          <w:sz w:val="24"/>
          <w:szCs w:val="24"/>
          <w:lang w:val="en-GB"/>
        </w:rPr>
        <w:t xml:space="preserve"> Sustainable investments</w:t>
      </w:r>
      <w:r w:rsidR="003F5848" w:rsidRPr="000D3AD1">
        <w:rPr>
          <w:rFonts w:ascii="Times New Roman" w:eastAsia="SimSun" w:hAnsi="Times New Roman" w:cs="Times New Roman"/>
          <w:sz w:val="24"/>
          <w:szCs w:val="24"/>
          <w:lang w:val="en-GB"/>
        </w:rPr>
        <w:t xml:space="preserve"> involve S&amp;P Green Bond Index (SPGB), Dow Jones Sustainability Index (DJSI) and </w:t>
      </w:r>
      <w:r w:rsidR="006A5811" w:rsidRPr="000D3AD1">
        <w:rPr>
          <w:rFonts w:ascii="Times New Roman" w:eastAsia="SimSun" w:hAnsi="Times New Roman" w:cs="Times New Roman"/>
          <w:sz w:val="24"/>
          <w:szCs w:val="24"/>
          <w:lang w:val="en-GB"/>
        </w:rPr>
        <w:t>S&amp;P Global Clean Energy Index (SPGC). Meanwhile, the conventional stock markets are S&amp;P GSCI Commodity Index (GSCI), Bloomberg Barclays Global Treasury Index (BBGT), S&amp;P 500 Composite Index (SP500)</w:t>
      </w:r>
      <w:r w:rsidR="00873627" w:rsidRPr="000D3AD1">
        <w:rPr>
          <w:rFonts w:ascii="Times New Roman" w:eastAsia="SimSun" w:hAnsi="Times New Roman" w:cs="Times New Roman"/>
          <w:sz w:val="24"/>
          <w:szCs w:val="24"/>
          <w:lang w:val="en-GB"/>
        </w:rPr>
        <w:t xml:space="preserve">. </w:t>
      </w:r>
      <w:r w:rsidR="001C5672" w:rsidRPr="000D3AD1">
        <w:rPr>
          <w:rFonts w:ascii="Times New Roman" w:eastAsia="SimSun" w:hAnsi="Times New Roman" w:cs="Times New Roman"/>
          <w:sz w:val="24"/>
          <w:szCs w:val="24"/>
          <w:lang w:val="en-GB"/>
        </w:rPr>
        <w:t xml:space="preserve">The data of all markets </w:t>
      </w:r>
      <w:r w:rsidR="001C5672" w:rsidRPr="000D3AD1">
        <w:rPr>
          <w:rFonts w:ascii="Times New Roman" w:eastAsia="SimSun" w:hAnsi="Times New Roman" w:cs="Times New Roman"/>
          <w:sz w:val="24"/>
          <w:szCs w:val="24"/>
          <w:lang w:val="en-GB"/>
        </w:rPr>
        <w:lastRenderedPageBreak/>
        <w:t xml:space="preserve">have been extracted from </w:t>
      </w:r>
      <w:r w:rsidR="00E11384" w:rsidRPr="000D3AD1">
        <w:rPr>
          <w:rFonts w:ascii="Times New Roman" w:eastAsia="SimSun" w:hAnsi="Times New Roman" w:cs="Times New Roman"/>
          <w:sz w:val="24"/>
          <w:szCs w:val="24"/>
          <w:lang w:val="en-GB"/>
        </w:rPr>
        <w:t xml:space="preserve">Bloomberg Database. </w:t>
      </w:r>
      <w:r w:rsidR="006C4344" w:rsidRPr="000D3AD1">
        <w:rPr>
          <w:rFonts w:ascii="Times New Roman" w:eastAsia="SimSun" w:hAnsi="Times New Roman" w:cs="Times New Roman"/>
          <w:sz w:val="24"/>
          <w:szCs w:val="24"/>
          <w:lang w:val="en-GB"/>
        </w:rPr>
        <w:t>For analysis purpose</w:t>
      </w:r>
      <w:r w:rsidR="0073584E" w:rsidRPr="000D3AD1">
        <w:rPr>
          <w:rFonts w:ascii="Times New Roman" w:eastAsia="SimSun" w:hAnsi="Times New Roman" w:cs="Times New Roman"/>
          <w:sz w:val="24"/>
          <w:szCs w:val="24"/>
          <w:lang w:val="en-GB"/>
        </w:rPr>
        <w:t>s</w:t>
      </w:r>
      <w:r w:rsidR="006C4344" w:rsidRPr="000D3AD1">
        <w:rPr>
          <w:rFonts w:ascii="Times New Roman" w:eastAsia="SimSun" w:hAnsi="Times New Roman" w:cs="Times New Roman"/>
          <w:sz w:val="24"/>
          <w:szCs w:val="24"/>
          <w:lang w:val="en-GB"/>
        </w:rPr>
        <w:t xml:space="preserve">, the returns of markets are converted into log differenced percentage returns. </w:t>
      </w:r>
      <w:r w:rsidR="0072098A" w:rsidRPr="000D3AD1">
        <w:rPr>
          <w:rFonts w:ascii="Times New Roman" w:eastAsia="SimSun" w:hAnsi="Times New Roman" w:cs="Times New Roman"/>
          <w:sz w:val="24"/>
          <w:szCs w:val="24"/>
          <w:lang w:val="en-GB"/>
        </w:rPr>
        <w:t xml:space="preserve">Moreover, we utilized the implied volatilities of </w:t>
      </w:r>
      <w:r w:rsidR="0073584E" w:rsidRPr="000D3AD1">
        <w:rPr>
          <w:rFonts w:ascii="Times New Roman" w:eastAsia="SimSun" w:hAnsi="Times New Roman" w:cs="Times New Roman"/>
          <w:sz w:val="24"/>
          <w:szCs w:val="24"/>
          <w:lang w:val="en-GB"/>
        </w:rPr>
        <w:t xml:space="preserve">the </w:t>
      </w:r>
      <w:r w:rsidR="0072098A" w:rsidRPr="000D3AD1">
        <w:rPr>
          <w:rFonts w:ascii="Times New Roman" w:eastAsia="SimSun" w:hAnsi="Times New Roman" w:cs="Times New Roman"/>
          <w:sz w:val="24"/>
          <w:szCs w:val="24"/>
          <w:lang w:val="en-GB"/>
        </w:rPr>
        <w:t xml:space="preserve">stock market (VIX), oil (OVX), gold (GVZ), </w:t>
      </w:r>
      <w:r w:rsidR="0073584E" w:rsidRPr="000D3AD1">
        <w:rPr>
          <w:rFonts w:ascii="Times New Roman" w:eastAsia="SimSun" w:hAnsi="Times New Roman" w:cs="Times New Roman"/>
          <w:sz w:val="24"/>
          <w:szCs w:val="24"/>
          <w:lang w:val="en-GB"/>
        </w:rPr>
        <w:t xml:space="preserve">the </w:t>
      </w:r>
      <w:r w:rsidR="0072098A" w:rsidRPr="000D3AD1">
        <w:rPr>
          <w:rFonts w:ascii="Times New Roman" w:eastAsia="SimSun" w:hAnsi="Times New Roman" w:cs="Times New Roman"/>
          <w:sz w:val="24"/>
          <w:szCs w:val="24"/>
          <w:lang w:val="en-GB"/>
        </w:rPr>
        <w:t>exchange rate (EVZ), and bond (MOVE)</w:t>
      </w:r>
      <w:r w:rsidR="00E11384" w:rsidRPr="000D3AD1">
        <w:rPr>
          <w:rFonts w:ascii="Times New Roman" w:eastAsia="SimSun" w:hAnsi="Times New Roman" w:cs="Times New Roman"/>
          <w:sz w:val="24"/>
          <w:szCs w:val="24"/>
          <w:lang w:val="en-GB"/>
        </w:rPr>
        <w:t xml:space="preserve"> sourced from </w:t>
      </w:r>
      <w:r w:rsidR="0073584E" w:rsidRPr="000D3AD1">
        <w:rPr>
          <w:rFonts w:ascii="Times New Roman" w:eastAsia="SimSun" w:hAnsi="Times New Roman" w:cs="Times New Roman"/>
          <w:sz w:val="24"/>
          <w:szCs w:val="24"/>
          <w:lang w:val="en-GB"/>
        </w:rPr>
        <w:t xml:space="preserve">the </w:t>
      </w:r>
      <w:r w:rsidR="0033769E" w:rsidRPr="000D3AD1">
        <w:rPr>
          <w:rFonts w:ascii="Times New Roman" w:eastAsia="SimSun" w:hAnsi="Times New Roman" w:cs="Times New Roman"/>
          <w:sz w:val="24"/>
          <w:szCs w:val="24"/>
          <w:lang w:val="en-GB"/>
        </w:rPr>
        <w:t>Chicago Board of Exchange (CBOE)</w:t>
      </w:r>
      <w:r w:rsidR="00A12B56" w:rsidRPr="000D3AD1">
        <w:rPr>
          <w:rFonts w:ascii="Times New Roman" w:eastAsia="SimSun" w:hAnsi="Times New Roman" w:cs="Times New Roman"/>
          <w:sz w:val="24"/>
          <w:szCs w:val="24"/>
          <w:lang w:val="en-GB"/>
        </w:rPr>
        <w:t xml:space="preserve"> to examine the </w:t>
      </w:r>
      <w:proofErr w:type="spellStart"/>
      <w:r w:rsidR="00A12B56" w:rsidRPr="000D3AD1">
        <w:rPr>
          <w:rFonts w:ascii="Times New Roman" w:eastAsia="SimSun" w:hAnsi="Times New Roman" w:cs="Times New Roman"/>
          <w:sz w:val="24"/>
          <w:szCs w:val="24"/>
          <w:lang w:val="en-GB"/>
        </w:rPr>
        <w:t>VaR</w:t>
      </w:r>
      <w:proofErr w:type="spellEnd"/>
      <w:r w:rsidR="00A12B56" w:rsidRPr="000D3AD1">
        <w:rPr>
          <w:rFonts w:ascii="Times New Roman" w:eastAsia="SimSun" w:hAnsi="Times New Roman" w:cs="Times New Roman"/>
          <w:sz w:val="24"/>
          <w:szCs w:val="24"/>
          <w:lang w:val="en-GB"/>
        </w:rPr>
        <w:t xml:space="preserve"> in the first step of </w:t>
      </w:r>
      <w:r w:rsidR="0073584E" w:rsidRPr="000D3AD1">
        <w:rPr>
          <w:rFonts w:ascii="Times New Roman" w:eastAsia="SimSun" w:hAnsi="Times New Roman" w:cs="Times New Roman"/>
          <w:sz w:val="24"/>
          <w:szCs w:val="24"/>
          <w:lang w:val="en-GB"/>
        </w:rPr>
        <w:t xml:space="preserve">the </w:t>
      </w:r>
      <w:r w:rsidR="00A12B56" w:rsidRPr="000D3AD1">
        <w:rPr>
          <w:rFonts w:ascii="Times New Roman" w:eastAsia="SimSun" w:hAnsi="Times New Roman" w:cs="Times New Roman"/>
          <w:sz w:val="24"/>
          <w:szCs w:val="24"/>
          <w:lang w:val="en-GB"/>
        </w:rPr>
        <w:t xml:space="preserve">analysis process. </w:t>
      </w:r>
    </w:p>
    <w:p w14:paraId="537619B6" w14:textId="79CB6C9B" w:rsidR="00146BF2" w:rsidRPr="000D3AD1" w:rsidRDefault="00146BF2" w:rsidP="001F3E57">
      <w:pPr>
        <w:spacing w:line="480" w:lineRule="auto"/>
        <w:jc w:val="both"/>
        <w:rPr>
          <w:rFonts w:ascii="Times New Roman" w:eastAsiaTheme="minorEastAsia" w:hAnsi="Times New Roman" w:cs="Times New Roman"/>
          <w:sz w:val="24"/>
          <w:szCs w:val="24"/>
        </w:rPr>
      </w:pPr>
      <w:r w:rsidRPr="000D3AD1">
        <w:rPr>
          <w:rFonts w:ascii="Times New Roman" w:eastAsiaTheme="minorEastAsia" w:hAnsi="Times New Roman" w:cs="Times New Roman"/>
          <w:sz w:val="24"/>
          <w:szCs w:val="24"/>
        </w:rPr>
        <w:t xml:space="preserve">VIX index </w:t>
      </w:r>
      <w:r w:rsidR="0073584E" w:rsidRPr="000D3AD1">
        <w:rPr>
          <w:rFonts w:ascii="Times New Roman" w:eastAsiaTheme="minorEastAsia" w:hAnsi="Times New Roman" w:cs="Times New Roman"/>
          <w:sz w:val="24"/>
          <w:szCs w:val="24"/>
        </w:rPr>
        <w:t>measures the 30-day expected volatility of the</w:t>
      </w:r>
      <w:r w:rsidRPr="000D3AD1">
        <w:rPr>
          <w:rFonts w:ascii="Times New Roman" w:eastAsiaTheme="minorEastAsia" w:hAnsi="Times New Roman" w:cs="Times New Roman"/>
          <w:sz w:val="24"/>
          <w:szCs w:val="24"/>
        </w:rPr>
        <w:t xml:space="preserve"> US stock market</w:t>
      </w:r>
      <w:r w:rsidR="0073584E" w:rsidRPr="000D3AD1">
        <w:rPr>
          <w:rFonts w:ascii="Times New Roman" w:eastAsiaTheme="minorEastAsia" w:hAnsi="Times New Roman" w:cs="Times New Roman"/>
          <w:sz w:val="24"/>
          <w:szCs w:val="24"/>
        </w:rPr>
        <w:t>,</w:t>
      </w:r>
      <w:r w:rsidRPr="000D3AD1">
        <w:rPr>
          <w:rFonts w:ascii="Times New Roman" w:eastAsiaTheme="minorEastAsia" w:hAnsi="Times New Roman" w:cs="Times New Roman"/>
          <w:sz w:val="24"/>
          <w:szCs w:val="24"/>
        </w:rPr>
        <w:t xml:space="preserve"> which is directly derived from real-time and mid-quoted prices of </w:t>
      </w:r>
      <w:r w:rsidR="0073584E" w:rsidRPr="000D3AD1">
        <w:rPr>
          <w:rFonts w:ascii="Times New Roman" w:eastAsiaTheme="minorEastAsia" w:hAnsi="Times New Roman" w:cs="Times New Roman"/>
          <w:sz w:val="24"/>
          <w:szCs w:val="24"/>
        </w:rPr>
        <w:t xml:space="preserve">the </w:t>
      </w:r>
      <w:r w:rsidRPr="000D3AD1">
        <w:rPr>
          <w:rFonts w:ascii="Times New Roman" w:eastAsiaTheme="minorEastAsia" w:hAnsi="Times New Roman" w:cs="Times New Roman"/>
          <w:sz w:val="24"/>
          <w:szCs w:val="24"/>
        </w:rPr>
        <w:t>S&amp;P 500 index. Globally, VIX is recognized as a standard financial indicator to report the variations in the US stock market</w:t>
      </w:r>
      <w:r w:rsidR="0073584E" w:rsidRPr="000D3AD1">
        <w:rPr>
          <w:rFonts w:ascii="Times New Roman" w:eastAsiaTheme="minorEastAsia" w:hAnsi="Times New Roman" w:cs="Times New Roman"/>
          <w:sz w:val="24"/>
          <w:szCs w:val="24"/>
        </w:rPr>
        <w:t>,</w:t>
      </w:r>
      <w:r w:rsidRPr="000D3AD1">
        <w:rPr>
          <w:rFonts w:ascii="Times New Roman" w:eastAsiaTheme="minorEastAsia" w:hAnsi="Times New Roman" w:cs="Times New Roman"/>
          <w:sz w:val="24"/>
          <w:szCs w:val="24"/>
        </w:rPr>
        <w:t xml:space="preserve"> followed by various market participants who acknowledge this indicator as a daily market gauge. Accordingly, OVX is </w:t>
      </w:r>
      <w:r w:rsidR="0073584E" w:rsidRPr="000D3AD1">
        <w:rPr>
          <w:rFonts w:ascii="Times New Roman" w:eastAsiaTheme="minorEastAsia" w:hAnsi="Times New Roman" w:cs="Times New Roman"/>
          <w:sz w:val="24"/>
          <w:szCs w:val="24"/>
        </w:rPr>
        <w:t>a risk indicator that provides information on the</w:t>
      </w:r>
      <w:r w:rsidRPr="000D3AD1">
        <w:rPr>
          <w:rFonts w:ascii="Times New Roman" w:eastAsiaTheme="minorEastAsia" w:hAnsi="Times New Roman" w:cs="Times New Roman"/>
          <w:sz w:val="24"/>
          <w:szCs w:val="24"/>
        </w:rPr>
        <w:t xml:space="preserve"> 30-day volatility of crude oil quoted by US </w:t>
      </w:r>
      <w:r w:rsidR="0073584E" w:rsidRPr="000D3AD1">
        <w:rPr>
          <w:rFonts w:ascii="Times New Roman" w:eastAsiaTheme="minorEastAsia" w:hAnsi="Times New Roman" w:cs="Times New Roman"/>
          <w:sz w:val="24"/>
          <w:szCs w:val="24"/>
        </w:rPr>
        <w:t>O</w:t>
      </w:r>
      <w:r w:rsidRPr="000D3AD1">
        <w:rPr>
          <w:rFonts w:ascii="Times New Roman" w:eastAsiaTheme="minorEastAsia" w:hAnsi="Times New Roman" w:cs="Times New Roman"/>
          <w:sz w:val="24"/>
          <w:szCs w:val="24"/>
        </w:rPr>
        <w:t xml:space="preserve">il </w:t>
      </w:r>
      <w:r w:rsidR="0073584E" w:rsidRPr="000D3AD1">
        <w:rPr>
          <w:rFonts w:ascii="Times New Roman" w:eastAsiaTheme="minorEastAsia" w:hAnsi="Times New Roman" w:cs="Times New Roman"/>
          <w:sz w:val="24"/>
          <w:szCs w:val="24"/>
        </w:rPr>
        <w:t>F</w:t>
      </w:r>
      <w:r w:rsidRPr="000D3AD1">
        <w:rPr>
          <w:rFonts w:ascii="Times New Roman" w:eastAsiaTheme="minorEastAsia" w:hAnsi="Times New Roman" w:cs="Times New Roman"/>
          <w:sz w:val="24"/>
          <w:szCs w:val="24"/>
        </w:rPr>
        <w:t xml:space="preserve">und (USO). OVX delivers effective information for estimating the variances in the </w:t>
      </w:r>
      <w:proofErr w:type="gramStart"/>
      <w:r w:rsidRPr="000D3AD1">
        <w:rPr>
          <w:rFonts w:ascii="Times New Roman" w:eastAsiaTheme="minorEastAsia" w:hAnsi="Times New Roman" w:cs="Times New Roman"/>
          <w:sz w:val="24"/>
          <w:szCs w:val="24"/>
        </w:rPr>
        <w:t>oil</w:t>
      </w:r>
      <w:proofErr w:type="gramEnd"/>
      <w:r w:rsidRPr="000D3AD1">
        <w:rPr>
          <w:rFonts w:ascii="Times New Roman" w:eastAsiaTheme="minorEastAsia" w:hAnsi="Times New Roman" w:cs="Times New Roman"/>
          <w:sz w:val="24"/>
          <w:szCs w:val="24"/>
        </w:rPr>
        <w:t xml:space="preserve"> future prices. GVZ forecasts the 30-day volatility of returns of SPDR Gold Shares by interpolating two time-based sums where it manifests </w:t>
      </w:r>
      <w:r w:rsidR="0073584E" w:rsidRPr="000D3AD1">
        <w:rPr>
          <w:rFonts w:ascii="Times New Roman" w:eastAsiaTheme="minorEastAsia" w:hAnsi="Times New Roman" w:cs="Times New Roman"/>
          <w:sz w:val="24"/>
          <w:szCs w:val="24"/>
        </w:rPr>
        <w:t xml:space="preserve">the </w:t>
      </w:r>
      <w:r w:rsidRPr="000D3AD1">
        <w:rPr>
          <w:rFonts w:ascii="Times New Roman" w:eastAsiaTheme="minorEastAsia" w:hAnsi="Times New Roman" w:cs="Times New Roman"/>
          <w:sz w:val="24"/>
          <w:szCs w:val="24"/>
        </w:rPr>
        <w:t xml:space="preserve">expected variance of </w:t>
      </w:r>
      <w:r w:rsidR="0073584E" w:rsidRPr="000D3AD1">
        <w:rPr>
          <w:rFonts w:ascii="Times New Roman" w:eastAsiaTheme="minorEastAsia" w:hAnsi="Times New Roman" w:cs="Times New Roman"/>
          <w:sz w:val="24"/>
          <w:szCs w:val="24"/>
        </w:rPr>
        <w:t xml:space="preserve">the </w:t>
      </w:r>
      <w:r w:rsidR="00C007F4" w:rsidRPr="000D3AD1">
        <w:rPr>
          <w:rFonts w:ascii="Times New Roman" w:eastAsiaTheme="minorEastAsia" w:hAnsi="Times New Roman" w:cs="Times New Roman"/>
          <w:sz w:val="24"/>
          <w:szCs w:val="24"/>
        </w:rPr>
        <w:t>g</w:t>
      </w:r>
      <w:r w:rsidRPr="000D3AD1">
        <w:rPr>
          <w:rFonts w:ascii="Times New Roman" w:eastAsiaTheme="minorEastAsia" w:hAnsi="Times New Roman" w:cs="Times New Roman"/>
          <w:sz w:val="24"/>
          <w:szCs w:val="24"/>
        </w:rPr>
        <w:t xml:space="preserve">old price before two option dates. In this way, GVZ is obtained by taking </w:t>
      </w:r>
      <w:r w:rsidR="0073584E" w:rsidRPr="000D3AD1">
        <w:rPr>
          <w:rFonts w:ascii="Times New Roman" w:eastAsiaTheme="minorEastAsia" w:hAnsi="Times New Roman" w:cs="Times New Roman"/>
          <w:sz w:val="24"/>
          <w:szCs w:val="24"/>
        </w:rPr>
        <w:t xml:space="preserve">an </w:t>
      </w:r>
      <w:r w:rsidRPr="000D3AD1">
        <w:rPr>
          <w:rFonts w:ascii="Times New Roman" w:eastAsiaTheme="minorEastAsia" w:hAnsi="Times New Roman" w:cs="Times New Roman"/>
          <w:sz w:val="24"/>
          <w:szCs w:val="24"/>
        </w:rPr>
        <w:t xml:space="preserve">annual percentage of interpolated values and then taking its square root. </w:t>
      </w:r>
      <w:r w:rsidR="00E444BB" w:rsidRPr="000D3AD1">
        <w:rPr>
          <w:rFonts w:ascii="Times New Roman" w:eastAsiaTheme="minorEastAsia" w:hAnsi="Times New Roman" w:cs="Times New Roman"/>
          <w:sz w:val="24"/>
          <w:szCs w:val="24"/>
        </w:rPr>
        <w:t xml:space="preserve">EVZ is </w:t>
      </w:r>
      <w:r w:rsidR="0073584E" w:rsidRPr="000D3AD1">
        <w:rPr>
          <w:rFonts w:ascii="Times New Roman" w:eastAsiaTheme="minorEastAsia" w:hAnsi="Times New Roman" w:cs="Times New Roman"/>
          <w:sz w:val="24"/>
          <w:szCs w:val="24"/>
        </w:rPr>
        <w:t xml:space="preserve">the </w:t>
      </w:r>
      <w:r w:rsidR="00E444BB" w:rsidRPr="000D3AD1">
        <w:rPr>
          <w:rFonts w:ascii="Times New Roman" w:eastAsiaTheme="minorEastAsia" w:hAnsi="Times New Roman" w:cs="Times New Roman"/>
          <w:sz w:val="24"/>
          <w:szCs w:val="24"/>
        </w:rPr>
        <w:t>Euro Currency volatility index which estimates the expected 30-day volatility Currency Shares</w:t>
      </w:r>
      <w:r w:rsidR="003C6BAC" w:rsidRPr="000D3AD1">
        <w:rPr>
          <w:rFonts w:ascii="Times New Roman" w:eastAsiaTheme="minorEastAsia" w:hAnsi="Times New Roman" w:cs="Times New Roman"/>
          <w:sz w:val="24"/>
          <w:szCs w:val="24"/>
        </w:rPr>
        <w:t xml:space="preserve"> of the Euro to Dollar exchange rate</w:t>
      </w:r>
      <w:r w:rsidR="0084214E" w:rsidRPr="000D3AD1">
        <w:rPr>
          <w:rFonts w:ascii="Times New Roman" w:eastAsiaTheme="minorEastAsia" w:hAnsi="Times New Roman" w:cs="Times New Roman"/>
          <w:sz w:val="24"/>
          <w:szCs w:val="24"/>
        </w:rPr>
        <w:t xml:space="preserve"> interpolated by taking percentage points. </w:t>
      </w:r>
    </w:p>
    <w:p w14:paraId="7CC39F7B" w14:textId="076944A2" w:rsidR="00235676" w:rsidRPr="000D3AD1" w:rsidRDefault="00BA7966" w:rsidP="001A6575">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Table 1 illustrates summary statistics of </w:t>
      </w:r>
      <w:r w:rsidR="00291F95" w:rsidRPr="000D3AD1">
        <w:rPr>
          <w:rFonts w:ascii="Times New Roman" w:hAnsi="Times New Roman" w:cs="Times New Roman"/>
          <w:bCs/>
          <w:sz w:val="24"/>
          <w:szCs w:val="24"/>
        </w:rPr>
        <w:t xml:space="preserve">religious, sustainable, and conventional </w:t>
      </w:r>
      <w:r w:rsidRPr="000D3AD1">
        <w:rPr>
          <w:rFonts w:ascii="Times New Roman" w:eastAsia="SimSun" w:hAnsi="Times New Roman" w:cs="Times New Roman"/>
          <w:sz w:val="24"/>
          <w:szCs w:val="24"/>
          <w:lang w:val="en-GB"/>
        </w:rPr>
        <w:t xml:space="preserve">stocks where SP500 yields </w:t>
      </w:r>
      <w:r w:rsidR="0073584E" w:rsidRPr="000D3AD1">
        <w:rPr>
          <w:rFonts w:ascii="Times New Roman" w:eastAsia="SimSun" w:hAnsi="Times New Roman" w:cs="Times New Roman"/>
          <w:sz w:val="24"/>
          <w:szCs w:val="24"/>
          <w:lang w:val="en-GB"/>
        </w:rPr>
        <w:t xml:space="preserve">the </w:t>
      </w:r>
      <w:r w:rsidRPr="000D3AD1">
        <w:rPr>
          <w:rFonts w:ascii="Times New Roman" w:eastAsia="SimSun" w:hAnsi="Times New Roman" w:cs="Times New Roman"/>
          <w:sz w:val="24"/>
          <w:szCs w:val="24"/>
          <w:lang w:val="en-GB"/>
        </w:rPr>
        <w:t>highest average returns</w:t>
      </w:r>
      <w:r w:rsidR="0073584E" w:rsidRPr="000D3AD1">
        <w:rPr>
          <w:rFonts w:ascii="Times New Roman" w:eastAsia="SimSun" w:hAnsi="Times New Roman" w:cs="Times New Roman"/>
          <w:sz w:val="24"/>
          <w:szCs w:val="24"/>
          <w:lang w:val="en-GB"/>
        </w:rPr>
        <w:t>,</w:t>
      </w:r>
      <w:r w:rsidRPr="000D3AD1">
        <w:rPr>
          <w:rFonts w:ascii="Times New Roman" w:eastAsia="SimSun" w:hAnsi="Times New Roman" w:cs="Times New Roman"/>
          <w:sz w:val="24"/>
          <w:szCs w:val="24"/>
          <w:lang w:val="en-GB"/>
        </w:rPr>
        <w:t xml:space="preserve"> followed by DJIS and DJSI. </w:t>
      </w:r>
      <w:r w:rsidR="00F1354A" w:rsidRPr="000D3AD1">
        <w:rPr>
          <w:rFonts w:ascii="Times New Roman" w:eastAsia="SimSun" w:hAnsi="Times New Roman" w:cs="Times New Roman"/>
          <w:sz w:val="24"/>
          <w:szCs w:val="24"/>
          <w:lang w:val="en-GB"/>
        </w:rPr>
        <w:t>Conversely, DJSK, BBGT, and GSCI generate moderate mean returns</w:t>
      </w:r>
      <w:r w:rsidR="0073584E" w:rsidRPr="000D3AD1">
        <w:rPr>
          <w:rFonts w:ascii="Times New Roman" w:eastAsia="SimSun" w:hAnsi="Times New Roman" w:cs="Times New Roman"/>
          <w:sz w:val="24"/>
          <w:szCs w:val="24"/>
          <w:lang w:val="en-GB"/>
        </w:rPr>
        <w:t>,</w:t>
      </w:r>
      <w:r w:rsidR="00F1354A" w:rsidRPr="000D3AD1">
        <w:rPr>
          <w:rFonts w:ascii="Times New Roman" w:eastAsia="SimSun" w:hAnsi="Times New Roman" w:cs="Times New Roman"/>
          <w:sz w:val="24"/>
          <w:szCs w:val="24"/>
          <w:lang w:val="en-GB"/>
        </w:rPr>
        <w:t xml:space="preserve"> while </w:t>
      </w:r>
      <w:r w:rsidR="0073584E" w:rsidRPr="000D3AD1">
        <w:rPr>
          <w:rFonts w:ascii="Times New Roman" w:eastAsia="SimSun" w:hAnsi="Times New Roman" w:cs="Times New Roman"/>
          <w:sz w:val="24"/>
          <w:szCs w:val="24"/>
          <w:lang w:val="en-GB"/>
        </w:rPr>
        <w:t>SPGC and SPGB report the lowest average returns</w:t>
      </w:r>
      <w:r w:rsidR="00F1354A" w:rsidRPr="000D3AD1">
        <w:rPr>
          <w:rFonts w:ascii="Times New Roman" w:eastAsia="SimSun" w:hAnsi="Times New Roman" w:cs="Times New Roman"/>
          <w:sz w:val="24"/>
          <w:szCs w:val="24"/>
          <w:lang w:val="en-GB"/>
        </w:rPr>
        <w:t xml:space="preserve">. </w:t>
      </w:r>
      <w:r w:rsidR="008C589E" w:rsidRPr="000D3AD1">
        <w:rPr>
          <w:rFonts w:ascii="Times New Roman" w:eastAsia="SimSun" w:hAnsi="Times New Roman" w:cs="Times New Roman"/>
          <w:sz w:val="24"/>
          <w:szCs w:val="24"/>
          <w:lang w:val="en-GB"/>
        </w:rPr>
        <w:t xml:space="preserve">The standard deviation exhibits SPGC </w:t>
      </w:r>
      <w:r w:rsidR="003D390F" w:rsidRPr="000D3AD1">
        <w:rPr>
          <w:rFonts w:ascii="Times New Roman" w:eastAsia="SimSun" w:hAnsi="Times New Roman" w:cs="Times New Roman"/>
          <w:sz w:val="24"/>
          <w:szCs w:val="24"/>
          <w:lang w:val="en-GB"/>
        </w:rPr>
        <w:t xml:space="preserve">demonstrated higher variability in the average returns </w:t>
      </w:r>
      <w:r w:rsidR="008C589E" w:rsidRPr="000D3AD1">
        <w:rPr>
          <w:rFonts w:ascii="Times New Roman" w:eastAsia="SimSun" w:hAnsi="Times New Roman" w:cs="Times New Roman"/>
          <w:sz w:val="24"/>
          <w:szCs w:val="24"/>
          <w:lang w:val="en-GB"/>
        </w:rPr>
        <w:t xml:space="preserve">succeeded by </w:t>
      </w:r>
      <w:r w:rsidR="003D390F" w:rsidRPr="000D3AD1">
        <w:rPr>
          <w:rFonts w:ascii="Times New Roman" w:eastAsia="SimSun" w:hAnsi="Times New Roman" w:cs="Times New Roman"/>
          <w:sz w:val="24"/>
          <w:szCs w:val="24"/>
          <w:lang w:val="en-GB"/>
        </w:rPr>
        <w:t xml:space="preserve">GSCI, SP500, and DJSI. </w:t>
      </w:r>
      <w:r w:rsidR="00F44BD1" w:rsidRPr="000D3AD1">
        <w:rPr>
          <w:rFonts w:ascii="Times New Roman" w:eastAsia="SimSun" w:hAnsi="Times New Roman" w:cs="Times New Roman"/>
          <w:sz w:val="24"/>
          <w:szCs w:val="24"/>
          <w:lang w:val="en-GB"/>
        </w:rPr>
        <w:t>Moderate variability in the returns is reflected by DJIS and SPGB</w:t>
      </w:r>
      <w:r w:rsidR="00AE370A" w:rsidRPr="000D3AD1">
        <w:rPr>
          <w:rFonts w:ascii="Times New Roman" w:eastAsia="SimSun" w:hAnsi="Times New Roman" w:cs="Times New Roman"/>
          <w:sz w:val="24"/>
          <w:szCs w:val="24"/>
          <w:lang w:val="en-GB"/>
        </w:rPr>
        <w:t xml:space="preserve"> in line with Naeem et al. (2021</w:t>
      </w:r>
      <w:r w:rsidR="00696911" w:rsidRPr="000D3AD1">
        <w:rPr>
          <w:rFonts w:ascii="Times New Roman" w:eastAsia="SimSun" w:hAnsi="Times New Roman" w:cs="Times New Roman"/>
          <w:sz w:val="24"/>
          <w:szCs w:val="24"/>
          <w:lang w:val="en-GB"/>
        </w:rPr>
        <w:t>b</w:t>
      </w:r>
      <w:r w:rsidR="00AE370A" w:rsidRPr="000D3AD1">
        <w:rPr>
          <w:rFonts w:ascii="Times New Roman" w:eastAsia="SimSun" w:hAnsi="Times New Roman" w:cs="Times New Roman"/>
          <w:sz w:val="24"/>
          <w:szCs w:val="24"/>
          <w:lang w:val="en-GB"/>
        </w:rPr>
        <w:t>)</w:t>
      </w:r>
      <w:r w:rsidR="0073584E" w:rsidRPr="000D3AD1">
        <w:rPr>
          <w:rFonts w:ascii="Times New Roman" w:eastAsia="SimSun" w:hAnsi="Times New Roman" w:cs="Times New Roman"/>
          <w:sz w:val="24"/>
          <w:szCs w:val="24"/>
          <w:lang w:val="en-GB"/>
        </w:rPr>
        <w:t>,</w:t>
      </w:r>
      <w:r w:rsidR="00AE370A" w:rsidRPr="000D3AD1">
        <w:rPr>
          <w:rFonts w:ascii="Times New Roman" w:eastAsia="SimSun" w:hAnsi="Times New Roman" w:cs="Times New Roman"/>
          <w:sz w:val="24"/>
          <w:szCs w:val="24"/>
          <w:lang w:val="en-GB"/>
        </w:rPr>
        <w:t xml:space="preserve"> who reported moderate risk </w:t>
      </w:r>
      <w:r w:rsidR="000B496B" w:rsidRPr="000D3AD1">
        <w:rPr>
          <w:rFonts w:ascii="Times New Roman" w:eastAsia="SimSun" w:hAnsi="Times New Roman" w:cs="Times New Roman"/>
          <w:sz w:val="24"/>
          <w:szCs w:val="24"/>
          <w:lang w:val="en-GB"/>
        </w:rPr>
        <w:t>b</w:t>
      </w:r>
      <w:r w:rsidR="00AE370A" w:rsidRPr="000D3AD1">
        <w:rPr>
          <w:rFonts w:ascii="Times New Roman" w:eastAsia="SimSun" w:hAnsi="Times New Roman" w:cs="Times New Roman"/>
          <w:sz w:val="24"/>
          <w:szCs w:val="24"/>
          <w:lang w:val="en-GB"/>
        </w:rPr>
        <w:t xml:space="preserve">earing potential </w:t>
      </w:r>
      <w:r w:rsidR="000B496B" w:rsidRPr="000D3AD1">
        <w:rPr>
          <w:rFonts w:ascii="Times New Roman" w:eastAsia="SimSun" w:hAnsi="Times New Roman" w:cs="Times New Roman"/>
          <w:sz w:val="24"/>
          <w:szCs w:val="24"/>
          <w:lang w:val="en-GB"/>
        </w:rPr>
        <w:t xml:space="preserve">of </w:t>
      </w:r>
      <w:r w:rsidR="00291F95" w:rsidRPr="000D3AD1">
        <w:rPr>
          <w:rFonts w:ascii="Times New Roman" w:eastAsia="SimSun" w:hAnsi="Times New Roman" w:cs="Times New Roman"/>
          <w:sz w:val="24"/>
          <w:szCs w:val="24"/>
          <w:lang w:val="en-GB"/>
        </w:rPr>
        <w:t>religious and sustainable investments</w:t>
      </w:r>
      <w:r w:rsidR="0073584E" w:rsidRPr="000D3AD1">
        <w:rPr>
          <w:rFonts w:ascii="Times New Roman" w:eastAsia="SimSun" w:hAnsi="Times New Roman" w:cs="Times New Roman"/>
          <w:sz w:val="24"/>
          <w:szCs w:val="24"/>
          <w:lang w:val="en-GB"/>
        </w:rPr>
        <w:t>,</w:t>
      </w:r>
      <w:r w:rsidR="00291F95" w:rsidRPr="000D3AD1">
        <w:rPr>
          <w:rFonts w:ascii="Times New Roman" w:eastAsia="SimSun" w:hAnsi="Times New Roman" w:cs="Times New Roman"/>
          <w:sz w:val="24"/>
          <w:szCs w:val="24"/>
          <w:lang w:val="en-GB"/>
        </w:rPr>
        <w:t xml:space="preserve"> </w:t>
      </w:r>
      <w:r w:rsidR="00F44BD1" w:rsidRPr="000D3AD1">
        <w:rPr>
          <w:rFonts w:ascii="Times New Roman" w:eastAsia="SimSun" w:hAnsi="Times New Roman" w:cs="Times New Roman"/>
          <w:sz w:val="24"/>
          <w:szCs w:val="24"/>
          <w:lang w:val="en-GB"/>
        </w:rPr>
        <w:t xml:space="preserve">while BBGT and DJSK highlighted </w:t>
      </w:r>
      <w:r w:rsidR="0073584E" w:rsidRPr="000D3AD1">
        <w:rPr>
          <w:rFonts w:ascii="Times New Roman" w:eastAsia="SimSun" w:hAnsi="Times New Roman" w:cs="Times New Roman"/>
          <w:sz w:val="24"/>
          <w:szCs w:val="24"/>
          <w:lang w:val="en-GB"/>
        </w:rPr>
        <w:t xml:space="preserve">the </w:t>
      </w:r>
      <w:r w:rsidR="00F44BD1" w:rsidRPr="000D3AD1">
        <w:rPr>
          <w:rFonts w:ascii="Times New Roman" w:eastAsia="SimSun" w:hAnsi="Times New Roman" w:cs="Times New Roman"/>
          <w:sz w:val="24"/>
          <w:szCs w:val="24"/>
          <w:lang w:val="en-GB"/>
        </w:rPr>
        <w:t>lowest variability in the average returns</w:t>
      </w:r>
      <w:r w:rsidR="000B496B" w:rsidRPr="000D3AD1">
        <w:rPr>
          <w:rFonts w:ascii="Times New Roman" w:eastAsia="SimSun" w:hAnsi="Times New Roman" w:cs="Times New Roman"/>
          <w:sz w:val="24"/>
          <w:szCs w:val="24"/>
          <w:lang w:val="en-GB"/>
        </w:rPr>
        <w:t xml:space="preserve"> aligning </w:t>
      </w:r>
      <w:r w:rsidR="0073584E" w:rsidRPr="000D3AD1">
        <w:rPr>
          <w:rFonts w:ascii="Times New Roman" w:eastAsia="SimSun" w:hAnsi="Times New Roman" w:cs="Times New Roman"/>
          <w:sz w:val="24"/>
          <w:szCs w:val="24"/>
          <w:lang w:val="en-GB"/>
        </w:rPr>
        <w:t xml:space="preserve">with </w:t>
      </w:r>
      <w:r w:rsidR="000B496B" w:rsidRPr="000D3AD1">
        <w:rPr>
          <w:rFonts w:ascii="Times New Roman" w:eastAsia="SimSun" w:hAnsi="Times New Roman" w:cs="Times New Roman"/>
          <w:sz w:val="24"/>
          <w:szCs w:val="24"/>
          <w:lang w:val="en-GB"/>
        </w:rPr>
        <w:t xml:space="preserve">Adekoya and </w:t>
      </w:r>
      <w:proofErr w:type="spellStart"/>
      <w:r w:rsidR="000B496B" w:rsidRPr="000D3AD1">
        <w:rPr>
          <w:rFonts w:ascii="Times New Roman" w:eastAsia="SimSun" w:hAnsi="Times New Roman" w:cs="Times New Roman"/>
          <w:sz w:val="24"/>
          <w:szCs w:val="24"/>
          <w:lang w:val="en-GB"/>
        </w:rPr>
        <w:t>Oliyide</w:t>
      </w:r>
      <w:proofErr w:type="spellEnd"/>
      <w:r w:rsidR="000B496B" w:rsidRPr="000D3AD1">
        <w:rPr>
          <w:rFonts w:ascii="Times New Roman" w:eastAsia="SimSun" w:hAnsi="Times New Roman" w:cs="Times New Roman"/>
          <w:sz w:val="24"/>
          <w:szCs w:val="24"/>
          <w:lang w:val="en-GB"/>
        </w:rPr>
        <w:t xml:space="preserve"> (2020) and </w:t>
      </w:r>
      <w:proofErr w:type="spellStart"/>
      <w:r w:rsidR="000B496B" w:rsidRPr="000D3AD1">
        <w:rPr>
          <w:rFonts w:ascii="Times New Roman" w:eastAsia="SimSun" w:hAnsi="Times New Roman" w:cs="Times New Roman"/>
          <w:sz w:val="24"/>
          <w:szCs w:val="24"/>
          <w:lang w:val="en-GB"/>
        </w:rPr>
        <w:t>Arif</w:t>
      </w:r>
      <w:proofErr w:type="spellEnd"/>
      <w:r w:rsidR="000B496B" w:rsidRPr="000D3AD1">
        <w:rPr>
          <w:rFonts w:ascii="Times New Roman" w:eastAsia="SimSun" w:hAnsi="Times New Roman" w:cs="Times New Roman"/>
          <w:sz w:val="24"/>
          <w:szCs w:val="24"/>
          <w:lang w:val="en-GB"/>
        </w:rPr>
        <w:t xml:space="preserve"> </w:t>
      </w:r>
      <w:r w:rsidR="000B496B" w:rsidRPr="000D3AD1">
        <w:rPr>
          <w:rFonts w:ascii="Times New Roman" w:eastAsia="SimSun" w:hAnsi="Times New Roman" w:cs="Times New Roman"/>
          <w:sz w:val="24"/>
          <w:szCs w:val="24"/>
          <w:lang w:val="en-GB"/>
        </w:rPr>
        <w:lastRenderedPageBreak/>
        <w:t>et al., (2021</w:t>
      </w:r>
      <w:r w:rsidR="00696911" w:rsidRPr="000D3AD1">
        <w:rPr>
          <w:rFonts w:ascii="Times New Roman" w:eastAsia="SimSun" w:hAnsi="Times New Roman" w:cs="Times New Roman"/>
          <w:sz w:val="24"/>
          <w:szCs w:val="24"/>
          <w:lang w:val="en-GB"/>
        </w:rPr>
        <w:t>b</w:t>
      </w:r>
      <w:r w:rsidR="000B496B" w:rsidRPr="000D3AD1">
        <w:rPr>
          <w:rFonts w:ascii="Times New Roman" w:eastAsia="SimSun" w:hAnsi="Times New Roman" w:cs="Times New Roman"/>
          <w:sz w:val="24"/>
          <w:szCs w:val="24"/>
          <w:lang w:val="en-GB"/>
        </w:rPr>
        <w:t xml:space="preserve">) documenting less volatility in the returns of </w:t>
      </w:r>
      <w:r w:rsidR="001A6575" w:rsidRPr="000D3AD1">
        <w:rPr>
          <w:rFonts w:ascii="Times New Roman" w:eastAsia="SimSun" w:hAnsi="Times New Roman" w:cs="Times New Roman"/>
          <w:sz w:val="24"/>
          <w:szCs w:val="24"/>
          <w:lang w:val="en-GB"/>
        </w:rPr>
        <w:t>bond and Sukuk</w:t>
      </w:r>
      <w:r w:rsidR="000B496B" w:rsidRPr="000D3AD1">
        <w:rPr>
          <w:rFonts w:ascii="Times New Roman" w:eastAsia="SimSun" w:hAnsi="Times New Roman" w:cs="Times New Roman"/>
          <w:sz w:val="24"/>
          <w:szCs w:val="24"/>
          <w:lang w:val="en-GB"/>
        </w:rPr>
        <w:t xml:space="preserve"> markets</w:t>
      </w:r>
      <w:r w:rsidR="001A6575" w:rsidRPr="000D3AD1">
        <w:rPr>
          <w:rFonts w:ascii="Times New Roman" w:eastAsia="SimSun" w:hAnsi="Times New Roman" w:cs="Times New Roman"/>
          <w:sz w:val="24"/>
          <w:szCs w:val="24"/>
          <w:lang w:val="en-GB"/>
        </w:rPr>
        <w:t>, respectively</w:t>
      </w:r>
      <w:r w:rsidR="000B496B" w:rsidRPr="000D3AD1">
        <w:rPr>
          <w:rFonts w:ascii="Times New Roman" w:eastAsia="SimSun" w:hAnsi="Times New Roman" w:cs="Times New Roman"/>
          <w:sz w:val="24"/>
          <w:szCs w:val="24"/>
          <w:lang w:val="en-GB"/>
        </w:rPr>
        <w:t>.</w:t>
      </w:r>
      <w:r w:rsidR="001A6575" w:rsidRPr="000D3AD1">
        <w:rPr>
          <w:rFonts w:ascii="Times New Roman" w:eastAsia="SimSun" w:hAnsi="Times New Roman" w:cs="Times New Roman"/>
          <w:sz w:val="24"/>
          <w:szCs w:val="24"/>
          <w:lang w:val="en-GB"/>
        </w:rPr>
        <w:t xml:space="preserve"> Slightly skewed values of markets indicate their exposure to external abnormal economic circumstances. The Jarque-</w:t>
      </w:r>
      <w:proofErr w:type="spellStart"/>
      <w:r w:rsidR="001A6575" w:rsidRPr="000D3AD1">
        <w:rPr>
          <w:rFonts w:ascii="Times New Roman" w:eastAsia="SimSun" w:hAnsi="Times New Roman" w:cs="Times New Roman"/>
          <w:sz w:val="24"/>
          <w:szCs w:val="24"/>
          <w:lang w:val="en-GB"/>
        </w:rPr>
        <w:t>Bera</w:t>
      </w:r>
      <w:proofErr w:type="spellEnd"/>
      <w:r w:rsidR="001A6575" w:rsidRPr="000D3AD1">
        <w:rPr>
          <w:rFonts w:ascii="Times New Roman" w:eastAsia="SimSun" w:hAnsi="Times New Roman" w:cs="Times New Roman"/>
          <w:sz w:val="24"/>
          <w:szCs w:val="24"/>
          <w:lang w:val="en-GB"/>
        </w:rPr>
        <w:t xml:space="preserve"> test of normality denotes quite higher values of all markets</w:t>
      </w:r>
      <w:r w:rsidR="0073584E" w:rsidRPr="000D3AD1">
        <w:rPr>
          <w:rFonts w:ascii="Times New Roman" w:eastAsia="SimSun" w:hAnsi="Times New Roman" w:cs="Times New Roman"/>
          <w:sz w:val="24"/>
          <w:szCs w:val="24"/>
          <w:lang w:val="en-GB"/>
        </w:rPr>
        <w:t>,</w:t>
      </w:r>
      <w:r w:rsidR="001A6575" w:rsidRPr="000D3AD1">
        <w:rPr>
          <w:rFonts w:ascii="Times New Roman" w:eastAsia="SimSun" w:hAnsi="Times New Roman" w:cs="Times New Roman"/>
          <w:sz w:val="24"/>
          <w:szCs w:val="24"/>
          <w:lang w:val="en-GB"/>
        </w:rPr>
        <w:t xml:space="preserve"> echoing markets are not normally distributed. The ARCH effect substantiate</w:t>
      </w:r>
      <w:r w:rsidR="00CE06D1" w:rsidRPr="000D3AD1">
        <w:rPr>
          <w:rFonts w:ascii="Times New Roman" w:eastAsia="SimSun" w:hAnsi="Times New Roman" w:cs="Times New Roman"/>
          <w:sz w:val="24"/>
          <w:szCs w:val="24"/>
          <w:lang w:val="en-GB"/>
        </w:rPr>
        <w:t>s</w:t>
      </w:r>
      <w:r w:rsidR="001A6575" w:rsidRPr="000D3AD1">
        <w:rPr>
          <w:rFonts w:ascii="Times New Roman" w:eastAsia="SimSun" w:hAnsi="Times New Roman" w:cs="Times New Roman"/>
          <w:sz w:val="24"/>
          <w:szCs w:val="24"/>
          <w:lang w:val="en-GB"/>
        </w:rPr>
        <w:t xml:space="preserve"> </w:t>
      </w:r>
      <w:r w:rsidR="0073584E" w:rsidRPr="000D3AD1">
        <w:rPr>
          <w:rFonts w:ascii="Times New Roman" w:eastAsia="SimSun" w:hAnsi="Times New Roman" w:cs="Times New Roman"/>
          <w:sz w:val="24"/>
          <w:szCs w:val="24"/>
          <w:lang w:val="en-GB"/>
        </w:rPr>
        <w:t xml:space="preserve">that </w:t>
      </w:r>
      <w:r w:rsidR="001A6575" w:rsidRPr="000D3AD1">
        <w:rPr>
          <w:rFonts w:ascii="Times New Roman" w:eastAsia="SimSun" w:hAnsi="Times New Roman" w:cs="Times New Roman"/>
          <w:sz w:val="24"/>
          <w:szCs w:val="24"/>
          <w:lang w:val="en-GB"/>
        </w:rPr>
        <w:t xml:space="preserve">markets </w:t>
      </w:r>
      <w:r w:rsidR="00113192" w:rsidRPr="000D3AD1">
        <w:rPr>
          <w:rFonts w:ascii="Times New Roman" w:eastAsia="SimSun" w:hAnsi="Times New Roman" w:cs="Times New Roman"/>
          <w:sz w:val="24"/>
          <w:szCs w:val="24"/>
          <w:lang w:val="en-GB"/>
        </w:rPr>
        <w:t xml:space="preserve">bear sufficient ARCH effects in the sampled returns while </w:t>
      </w:r>
      <w:r w:rsidR="0073584E" w:rsidRPr="000D3AD1">
        <w:rPr>
          <w:rFonts w:ascii="Times New Roman" w:eastAsia="SimSun" w:hAnsi="Times New Roman" w:cs="Times New Roman"/>
          <w:sz w:val="24"/>
          <w:szCs w:val="24"/>
          <w:lang w:val="en-GB"/>
        </w:rPr>
        <w:t xml:space="preserve">the </w:t>
      </w:r>
      <w:proofErr w:type="spellStart"/>
      <w:r w:rsidR="00113192" w:rsidRPr="000D3AD1">
        <w:rPr>
          <w:rFonts w:ascii="Times New Roman" w:eastAsia="SimSun" w:hAnsi="Times New Roman" w:cs="Times New Roman"/>
          <w:sz w:val="24"/>
          <w:szCs w:val="24"/>
          <w:lang w:val="en-GB"/>
        </w:rPr>
        <w:t>Ljung</w:t>
      </w:r>
      <w:proofErr w:type="spellEnd"/>
      <w:r w:rsidR="00113192" w:rsidRPr="000D3AD1">
        <w:rPr>
          <w:rFonts w:ascii="Times New Roman" w:eastAsia="SimSun" w:hAnsi="Times New Roman" w:cs="Times New Roman"/>
          <w:sz w:val="24"/>
          <w:szCs w:val="24"/>
          <w:lang w:val="en-GB"/>
        </w:rPr>
        <w:t xml:space="preserve">-Box Q test manifests the autocorrelation in the data. </w:t>
      </w:r>
    </w:p>
    <w:p w14:paraId="4ADC8656" w14:textId="453C7F66" w:rsidR="00CE06D1" w:rsidRPr="000D3AD1" w:rsidRDefault="00CE06D1" w:rsidP="00DD2306">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[Table 1 about here]</w:t>
      </w:r>
    </w:p>
    <w:p w14:paraId="3CF04DD6" w14:textId="53EA9EBD" w:rsidR="00DD2306" w:rsidRPr="000D3AD1" w:rsidRDefault="00DD2306" w:rsidP="00DD2306">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Quantile-Quantile (QQ) plots effectively visualize the asymmetry in the distributions, heavy tails, and data anomalies. Basically, a QQ plot arranges the empirical distribution </w:t>
      </w:r>
      <w:r w:rsidR="0073584E" w:rsidRPr="000D3AD1">
        <w:rPr>
          <w:rFonts w:ascii="Times New Roman" w:eastAsia="SimSun" w:hAnsi="Times New Roman" w:cs="Times New Roman"/>
          <w:sz w:val="24"/>
          <w:szCs w:val="24"/>
          <w:lang w:val="en-GB"/>
        </w:rPr>
        <w:t>ascending</w:t>
      </w:r>
      <w:r w:rsidRPr="000D3AD1">
        <w:rPr>
          <w:rFonts w:ascii="Times New Roman" w:eastAsia="SimSun" w:hAnsi="Times New Roman" w:cs="Times New Roman"/>
          <w:sz w:val="24"/>
          <w:szCs w:val="24"/>
          <w:lang w:val="en-GB"/>
        </w:rPr>
        <w:t xml:space="preserve"> </w:t>
      </w:r>
      <w:r w:rsidR="00C668F5" w:rsidRPr="000D3AD1">
        <w:rPr>
          <w:rFonts w:ascii="Times New Roman" w:eastAsia="SimSun" w:hAnsi="Times New Roman" w:cs="Times New Roman"/>
          <w:sz w:val="24"/>
          <w:szCs w:val="24"/>
          <w:lang w:val="en-GB"/>
        </w:rPr>
        <w:t xml:space="preserve">before plotting them against quantiles obtained from theoretical normal distributions. </w:t>
      </w:r>
      <w:r w:rsidR="00BD5264" w:rsidRPr="000D3AD1">
        <w:rPr>
          <w:rFonts w:ascii="Times New Roman" w:eastAsia="SimSun" w:hAnsi="Times New Roman" w:cs="Times New Roman"/>
          <w:sz w:val="24"/>
          <w:szCs w:val="24"/>
          <w:lang w:val="en-GB"/>
        </w:rPr>
        <w:t xml:space="preserve">The points near </w:t>
      </w:r>
      <w:r w:rsidR="0073584E" w:rsidRPr="000D3AD1">
        <w:rPr>
          <w:rFonts w:ascii="Times New Roman" w:eastAsia="SimSun" w:hAnsi="Times New Roman" w:cs="Times New Roman"/>
          <w:sz w:val="24"/>
          <w:szCs w:val="24"/>
          <w:lang w:val="en-GB"/>
        </w:rPr>
        <w:t xml:space="preserve">the </w:t>
      </w:r>
      <w:r w:rsidR="00BD5264" w:rsidRPr="000D3AD1">
        <w:rPr>
          <w:rFonts w:ascii="Times New Roman" w:eastAsia="SimSun" w:hAnsi="Times New Roman" w:cs="Times New Roman"/>
          <w:sz w:val="24"/>
          <w:szCs w:val="24"/>
          <w:lang w:val="en-GB"/>
        </w:rPr>
        <w:t>45-trajectory impl</w:t>
      </w:r>
      <w:r w:rsidR="0073584E" w:rsidRPr="000D3AD1">
        <w:rPr>
          <w:rFonts w:ascii="Times New Roman" w:eastAsia="SimSun" w:hAnsi="Times New Roman" w:cs="Times New Roman"/>
          <w:sz w:val="24"/>
          <w:szCs w:val="24"/>
          <w:lang w:val="en-GB"/>
        </w:rPr>
        <w:t>y</w:t>
      </w:r>
      <w:r w:rsidR="00BD5264" w:rsidRPr="000D3AD1">
        <w:rPr>
          <w:rFonts w:ascii="Times New Roman" w:eastAsia="SimSun" w:hAnsi="Times New Roman" w:cs="Times New Roman"/>
          <w:sz w:val="24"/>
          <w:szCs w:val="24"/>
          <w:lang w:val="en-GB"/>
        </w:rPr>
        <w:t xml:space="preserve"> that both empirical and normal distributions are parallel. However, deviations from these trajectories compare the theoretical distribution </w:t>
      </w:r>
      <w:r w:rsidR="0073584E" w:rsidRPr="000D3AD1">
        <w:rPr>
          <w:rFonts w:ascii="Times New Roman" w:eastAsia="SimSun" w:hAnsi="Times New Roman" w:cs="Times New Roman"/>
          <w:sz w:val="24"/>
          <w:szCs w:val="24"/>
          <w:lang w:val="en-GB"/>
        </w:rPr>
        <w:t>so</w:t>
      </w:r>
      <w:r w:rsidR="00BD5264" w:rsidRPr="000D3AD1">
        <w:rPr>
          <w:rFonts w:ascii="Times New Roman" w:eastAsia="SimSun" w:hAnsi="Times New Roman" w:cs="Times New Roman"/>
          <w:sz w:val="24"/>
          <w:szCs w:val="24"/>
          <w:lang w:val="en-GB"/>
        </w:rPr>
        <w:t xml:space="preserve"> that the data expands beyond mean-variance analysis. </w:t>
      </w:r>
      <w:r w:rsidR="006B644B" w:rsidRPr="000D3AD1">
        <w:rPr>
          <w:rFonts w:ascii="Times New Roman" w:eastAsia="SimSun" w:hAnsi="Times New Roman" w:cs="Times New Roman"/>
          <w:sz w:val="24"/>
          <w:szCs w:val="24"/>
          <w:lang w:val="en-GB"/>
        </w:rPr>
        <w:t xml:space="preserve">Figure 1 visualizes the QQ-plots of </w:t>
      </w:r>
      <w:r w:rsidR="00291F95" w:rsidRPr="000D3AD1">
        <w:rPr>
          <w:rFonts w:ascii="Times New Roman" w:hAnsi="Times New Roman" w:cs="Times New Roman"/>
          <w:bCs/>
          <w:sz w:val="24"/>
          <w:szCs w:val="24"/>
        </w:rPr>
        <w:t xml:space="preserve">religious, sustainable, and conventional </w:t>
      </w:r>
      <w:r w:rsidR="006B644B" w:rsidRPr="000D3AD1">
        <w:rPr>
          <w:rFonts w:ascii="Times New Roman" w:eastAsia="SimSun" w:hAnsi="Times New Roman" w:cs="Times New Roman"/>
          <w:sz w:val="24"/>
          <w:szCs w:val="24"/>
          <w:lang w:val="en-GB"/>
        </w:rPr>
        <w:t xml:space="preserve">markets where </w:t>
      </w:r>
      <w:r w:rsidR="0073584E" w:rsidRPr="000D3AD1">
        <w:rPr>
          <w:rFonts w:ascii="Times New Roman" w:eastAsia="SimSun" w:hAnsi="Times New Roman" w:cs="Times New Roman"/>
          <w:sz w:val="24"/>
          <w:szCs w:val="24"/>
          <w:lang w:val="en-GB"/>
        </w:rPr>
        <w:t>SPGC and GSCI demonstrate high divergence of theoretical distribution</w:t>
      </w:r>
      <w:r w:rsidR="00346346" w:rsidRPr="000D3AD1">
        <w:rPr>
          <w:rFonts w:ascii="Times New Roman" w:eastAsia="SimSun" w:hAnsi="Times New Roman" w:cs="Times New Roman"/>
          <w:sz w:val="24"/>
          <w:szCs w:val="24"/>
          <w:lang w:val="en-GB"/>
        </w:rPr>
        <w:t xml:space="preserve"> while moderate deviations are reported </w:t>
      </w:r>
      <w:r w:rsidR="00D94F22" w:rsidRPr="000D3AD1">
        <w:rPr>
          <w:rFonts w:ascii="Times New Roman" w:eastAsia="SimSun" w:hAnsi="Times New Roman" w:cs="Times New Roman"/>
          <w:sz w:val="24"/>
          <w:szCs w:val="24"/>
          <w:lang w:val="en-GB"/>
        </w:rPr>
        <w:t>SP500,</w:t>
      </w:r>
      <w:r w:rsidR="00346346" w:rsidRPr="000D3AD1">
        <w:rPr>
          <w:rFonts w:ascii="Times New Roman" w:eastAsia="SimSun" w:hAnsi="Times New Roman" w:cs="Times New Roman"/>
          <w:sz w:val="24"/>
          <w:szCs w:val="24"/>
          <w:lang w:val="en-GB"/>
        </w:rPr>
        <w:t xml:space="preserve"> DJSI, and</w:t>
      </w:r>
      <w:r w:rsidR="00D94F22" w:rsidRPr="000D3AD1">
        <w:rPr>
          <w:rFonts w:ascii="Times New Roman" w:eastAsia="SimSun" w:hAnsi="Times New Roman" w:cs="Times New Roman"/>
          <w:sz w:val="24"/>
          <w:szCs w:val="24"/>
          <w:lang w:val="en-GB"/>
        </w:rPr>
        <w:t xml:space="preserve"> DJIS</w:t>
      </w:r>
      <w:r w:rsidR="00346346" w:rsidRPr="000D3AD1">
        <w:rPr>
          <w:rFonts w:ascii="Times New Roman" w:eastAsia="SimSun" w:hAnsi="Times New Roman" w:cs="Times New Roman"/>
          <w:sz w:val="24"/>
          <w:szCs w:val="24"/>
          <w:lang w:val="en-GB"/>
        </w:rPr>
        <w:t xml:space="preserve">. Correspondingly, lower deviations are indicated by SPGB, DJSK, and BBGT. </w:t>
      </w:r>
      <w:r w:rsidR="00F0678E" w:rsidRPr="000D3AD1">
        <w:rPr>
          <w:rFonts w:ascii="Times New Roman" w:eastAsia="SimSun" w:hAnsi="Times New Roman" w:cs="Times New Roman"/>
          <w:sz w:val="24"/>
          <w:szCs w:val="24"/>
          <w:lang w:val="en-GB"/>
        </w:rPr>
        <w:t xml:space="preserve">Following this, the results of QQ-plots indicate that </w:t>
      </w:r>
      <w:r w:rsidR="0073584E" w:rsidRPr="000D3AD1">
        <w:rPr>
          <w:rFonts w:ascii="Times New Roman" w:eastAsia="SimSun" w:hAnsi="Times New Roman" w:cs="Times New Roman"/>
          <w:sz w:val="24"/>
          <w:szCs w:val="24"/>
          <w:lang w:val="en-GB"/>
        </w:rPr>
        <w:t xml:space="preserve">the </w:t>
      </w:r>
      <w:r w:rsidR="00F0678E" w:rsidRPr="000D3AD1">
        <w:rPr>
          <w:rFonts w:ascii="Times New Roman" w:eastAsia="SimSun" w:hAnsi="Times New Roman" w:cs="Times New Roman"/>
          <w:sz w:val="24"/>
          <w:szCs w:val="24"/>
          <w:lang w:val="en-GB"/>
        </w:rPr>
        <w:t xml:space="preserve">theoretical distribution of markets is normal and any deviation from the red line exhibits returns of </w:t>
      </w:r>
      <w:r w:rsidR="0050026A" w:rsidRPr="000D3AD1">
        <w:rPr>
          <w:rFonts w:ascii="Times New Roman" w:hAnsi="Times New Roman" w:cs="Times New Roman"/>
          <w:bCs/>
          <w:sz w:val="24"/>
          <w:szCs w:val="24"/>
        </w:rPr>
        <w:t xml:space="preserve">religious, sustainable, and conventional </w:t>
      </w:r>
      <w:r w:rsidR="00F0678E" w:rsidRPr="000D3AD1">
        <w:rPr>
          <w:rFonts w:ascii="Times New Roman" w:eastAsia="SimSun" w:hAnsi="Times New Roman" w:cs="Times New Roman"/>
          <w:sz w:val="24"/>
          <w:szCs w:val="24"/>
          <w:lang w:val="en-GB"/>
        </w:rPr>
        <w:t>markets are not normally distributed</w:t>
      </w:r>
      <w:r w:rsidR="00AE62AB" w:rsidRPr="000D3AD1">
        <w:rPr>
          <w:rFonts w:ascii="Times New Roman" w:eastAsia="SimSun" w:hAnsi="Times New Roman" w:cs="Times New Roman"/>
          <w:sz w:val="24"/>
          <w:szCs w:val="24"/>
          <w:lang w:val="en-GB"/>
        </w:rPr>
        <w:t xml:space="preserve"> as highlighted by black dots. </w:t>
      </w:r>
    </w:p>
    <w:p w14:paraId="48CC7671" w14:textId="0DD8633B" w:rsidR="005F03D5" w:rsidRPr="000D3AD1" w:rsidRDefault="005F03D5" w:rsidP="005F03D5">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[Figure 1 about here]</w:t>
      </w:r>
    </w:p>
    <w:p w14:paraId="60D1C5D6" w14:textId="4E32D0AF" w:rsidR="000A386F" w:rsidRPr="000D3AD1" w:rsidRDefault="002C617D" w:rsidP="00DD2306">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The correlation matrix in Figure 2 identifies </w:t>
      </w:r>
      <w:r w:rsidR="0073584E" w:rsidRPr="000D3AD1">
        <w:rPr>
          <w:rFonts w:ascii="Times New Roman" w:eastAsia="SimSun" w:hAnsi="Times New Roman" w:cs="Times New Roman"/>
          <w:sz w:val="24"/>
          <w:szCs w:val="24"/>
          <w:lang w:val="en-GB"/>
        </w:rPr>
        <w:t xml:space="preserve">a </w:t>
      </w:r>
      <w:r w:rsidRPr="000D3AD1">
        <w:rPr>
          <w:rFonts w:ascii="Times New Roman" w:eastAsia="SimSun" w:hAnsi="Times New Roman" w:cs="Times New Roman"/>
          <w:sz w:val="24"/>
          <w:szCs w:val="24"/>
          <w:lang w:val="en-GB"/>
        </w:rPr>
        <w:t xml:space="preserve">maximum correlation between DJSI-DJIS followed by </w:t>
      </w:r>
      <w:r w:rsidR="00F754F3" w:rsidRPr="000D3AD1">
        <w:rPr>
          <w:rFonts w:ascii="Times New Roman" w:eastAsia="SimSun" w:hAnsi="Times New Roman" w:cs="Times New Roman"/>
          <w:sz w:val="24"/>
          <w:szCs w:val="24"/>
          <w:lang w:val="en-GB"/>
        </w:rPr>
        <w:t>SP500-DJIS and SP500-DJSI</w:t>
      </w:r>
      <w:r w:rsidR="0073584E" w:rsidRPr="000D3AD1">
        <w:rPr>
          <w:rFonts w:ascii="Times New Roman" w:eastAsia="SimSun" w:hAnsi="Times New Roman" w:cs="Times New Roman"/>
          <w:sz w:val="24"/>
          <w:szCs w:val="24"/>
          <w:lang w:val="en-GB"/>
        </w:rPr>
        <w:t>,</w:t>
      </w:r>
      <w:r w:rsidR="00F754F3" w:rsidRPr="000D3AD1">
        <w:rPr>
          <w:rFonts w:ascii="Times New Roman" w:eastAsia="SimSun" w:hAnsi="Times New Roman" w:cs="Times New Roman"/>
          <w:sz w:val="24"/>
          <w:szCs w:val="24"/>
          <w:lang w:val="en-GB"/>
        </w:rPr>
        <w:t xml:space="preserve"> reflecting </w:t>
      </w:r>
      <w:r w:rsidR="0073584E" w:rsidRPr="000D3AD1">
        <w:rPr>
          <w:rFonts w:ascii="Times New Roman" w:eastAsia="SimSun" w:hAnsi="Times New Roman" w:cs="Times New Roman"/>
          <w:sz w:val="24"/>
          <w:szCs w:val="24"/>
          <w:lang w:val="en-GB"/>
        </w:rPr>
        <w:t xml:space="preserve">a </w:t>
      </w:r>
      <w:r w:rsidR="00F754F3" w:rsidRPr="000D3AD1">
        <w:rPr>
          <w:rFonts w:ascii="Times New Roman" w:eastAsia="SimSun" w:hAnsi="Times New Roman" w:cs="Times New Roman"/>
          <w:sz w:val="24"/>
          <w:szCs w:val="24"/>
          <w:lang w:val="en-GB"/>
        </w:rPr>
        <w:t>high association between</w:t>
      </w:r>
      <w:r w:rsidR="0050026A" w:rsidRPr="000D3AD1">
        <w:rPr>
          <w:rFonts w:ascii="Times New Roman" w:eastAsia="SimSun" w:hAnsi="Times New Roman" w:cs="Times New Roman"/>
          <w:sz w:val="24"/>
          <w:szCs w:val="24"/>
          <w:lang w:val="en-GB"/>
        </w:rPr>
        <w:t xml:space="preserve"> religious</w:t>
      </w:r>
      <w:r w:rsidR="00F754F3" w:rsidRPr="000D3AD1">
        <w:rPr>
          <w:rFonts w:ascii="Times New Roman" w:eastAsia="SimSun" w:hAnsi="Times New Roman" w:cs="Times New Roman"/>
          <w:sz w:val="24"/>
          <w:szCs w:val="24"/>
          <w:lang w:val="en-GB"/>
        </w:rPr>
        <w:t xml:space="preserve"> stocks and sustainability index </w:t>
      </w:r>
      <w:r w:rsidR="006D259D" w:rsidRPr="000D3AD1">
        <w:rPr>
          <w:rFonts w:ascii="Times New Roman" w:eastAsia="SimSun" w:hAnsi="Times New Roman" w:cs="Times New Roman"/>
          <w:sz w:val="24"/>
          <w:szCs w:val="24"/>
          <w:lang w:val="en-GB"/>
        </w:rPr>
        <w:t xml:space="preserve">in a </w:t>
      </w:r>
      <w:r w:rsidR="00F754F3" w:rsidRPr="000D3AD1">
        <w:rPr>
          <w:rFonts w:ascii="Times New Roman" w:eastAsia="SimSun" w:hAnsi="Times New Roman" w:cs="Times New Roman"/>
          <w:sz w:val="24"/>
          <w:szCs w:val="24"/>
          <w:lang w:val="en-GB"/>
        </w:rPr>
        <w:t xml:space="preserve">respective correlation with S&amp;P500. </w:t>
      </w:r>
      <w:r w:rsidR="009D6620" w:rsidRPr="000D3AD1">
        <w:rPr>
          <w:rFonts w:ascii="Times New Roman" w:eastAsia="SimSun" w:hAnsi="Times New Roman" w:cs="Times New Roman"/>
          <w:sz w:val="24"/>
          <w:szCs w:val="24"/>
          <w:lang w:val="en-GB"/>
        </w:rPr>
        <w:t xml:space="preserve">Subsequently, SP500-DJSI, SPGC-DJIS, and SPGC-DJSI reflected moderate correlation followed by SP500-SPGC </w:t>
      </w:r>
      <w:r w:rsidR="009D6620" w:rsidRPr="000D3AD1">
        <w:rPr>
          <w:rFonts w:ascii="Times New Roman" w:eastAsia="SimSun" w:hAnsi="Times New Roman" w:cs="Times New Roman"/>
          <w:sz w:val="24"/>
          <w:szCs w:val="24"/>
          <w:lang w:val="en-GB"/>
        </w:rPr>
        <w:lastRenderedPageBreak/>
        <w:t xml:space="preserve">and BBGT-SPGB. </w:t>
      </w:r>
      <w:r w:rsidR="00C54E60" w:rsidRPr="000D3AD1">
        <w:rPr>
          <w:rFonts w:ascii="Times New Roman" w:eastAsia="SimSun" w:hAnsi="Times New Roman" w:cs="Times New Roman"/>
          <w:sz w:val="24"/>
          <w:szCs w:val="24"/>
          <w:lang w:val="en-GB"/>
        </w:rPr>
        <w:t>Overall, markets are significantly correlated</w:t>
      </w:r>
      <w:r w:rsidR="0073584E" w:rsidRPr="000D3AD1">
        <w:rPr>
          <w:rFonts w:ascii="Times New Roman" w:eastAsia="SimSun" w:hAnsi="Times New Roman" w:cs="Times New Roman"/>
          <w:sz w:val="24"/>
          <w:szCs w:val="24"/>
          <w:lang w:val="en-GB"/>
        </w:rPr>
        <w:t>,</w:t>
      </w:r>
      <w:r w:rsidR="00C54E60" w:rsidRPr="000D3AD1">
        <w:rPr>
          <w:rFonts w:ascii="Times New Roman" w:eastAsia="SimSun" w:hAnsi="Times New Roman" w:cs="Times New Roman"/>
          <w:sz w:val="24"/>
          <w:szCs w:val="24"/>
          <w:lang w:val="en-GB"/>
        </w:rPr>
        <w:t xml:space="preserve"> indicating potential linkages among </w:t>
      </w:r>
      <w:r w:rsidR="0050026A" w:rsidRPr="000D3AD1">
        <w:rPr>
          <w:rFonts w:ascii="Times New Roman" w:hAnsi="Times New Roman" w:cs="Times New Roman"/>
          <w:bCs/>
          <w:sz w:val="24"/>
          <w:szCs w:val="24"/>
        </w:rPr>
        <w:t xml:space="preserve">religious, sustainable, and conventional </w:t>
      </w:r>
      <w:r w:rsidR="00C54E60" w:rsidRPr="000D3AD1">
        <w:rPr>
          <w:rFonts w:ascii="Times New Roman" w:eastAsia="SimSun" w:hAnsi="Times New Roman" w:cs="Times New Roman"/>
          <w:sz w:val="24"/>
          <w:szCs w:val="24"/>
          <w:lang w:val="en-GB"/>
        </w:rPr>
        <w:t xml:space="preserve">stocks. </w:t>
      </w:r>
    </w:p>
    <w:p w14:paraId="0EEF91DC" w14:textId="77777777" w:rsidR="000A386F" w:rsidRPr="000D3AD1" w:rsidRDefault="000A386F" w:rsidP="000A386F">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[Figure 2 about here]</w:t>
      </w:r>
    </w:p>
    <w:p w14:paraId="41638C66" w14:textId="73FE85D4" w:rsidR="005F03D5" w:rsidRPr="000D3AD1" w:rsidRDefault="00DE1CA1" w:rsidP="00DD2306">
      <w:pPr>
        <w:spacing w:after="240" w:line="480" w:lineRule="auto"/>
        <w:jc w:val="both"/>
        <w:rPr>
          <w:rFonts w:ascii="Times New Roman" w:eastAsia="SimSun" w:hAnsi="Times New Roman" w:cs="Times New Roman"/>
          <w:i/>
          <w:iCs/>
          <w:sz w:val="24"/>
          <w:szCs w:val="24"/>
          <w:lang w:val="en-GB"/>
        </w:rPr>
      </w:pPr>
      <w:r w:rsidRPr="000D3AD1">
        <w:rPr>
          <w:rFonts w:ascii="Times New Roman" w:eastAsia="SimSun" w:hAnsi="Times New Roman" w:cs="Times New Roman"/>
          <w:i/>
          <w:iCs/>
          <w:sz w:val="24"/>
          <w:szCs w:val="24"/>
          <w:lang w:val="en-GB"/>
        </w:rPr>
        <w:t xml:space="preserve">4.2 Estimating </w:t>
      </w:r>
      <w:proofErr w:type="spellStart"/>
      <w:r w:rsidRPr="000D3AD1">
        <w:rPr>
          <w:rFonts w:ascii="Times New Roman" w:eastAsia="SimSun" w:hAnsi="Times New Roman" w:cs="Times New Roman"/>
          <w:i/>
          <w:iCs/>
          <w:sz w:val="24"/>
          <w:szCs w:val="24"/>
          <w:lang w:val="en-GB"/>
        </w:rPr>
        <w:t>VaR</w:t>
      </w:r>
      <w:proofErr w:type="spellEnd"/>
      <w:r w:rsidRPr="000D3AD1">
        <w:rPr>
          <w:rFonts w:ascii="Times New Roman" w:eastAsia="SimSun" w:hAnsi="Times New Roman" w:cs="Times New Roman"/>
          <w:i/>
          <w:iCs/>
          <w:sz w:val="24"/>
          <w:szCs w:val="24"/>
          <w:lang w:val="en-GB"/>
        </w:rPr>
        <w:t xml:space="preserve"> and </w:t>
      </w:r>
      <w:proofErr w:type="spellStart"/>
      <w:r w:rsidRPr="000D3AD1">
        <w:rPr>
          <w:rFonts w:ascii="Times New Roman" w:eastAsia="SimSun" w:hAnsi="Times New Roman" w:cs="Times New Roman"/>
          <w:i/>
          <w:iCs/>
          <w:sz w:val="24"/>
          <w:szCs w:val="24"/>
          <w:lang w:val="en-GB"/>
        </w:rPr>
        <w:t>CoVaR</w:t>
      </w:r>
      <w:proofErr w:type="spellEnd"/>
    </w:p>
    <w:p w14:paraId="4EDC498D" w14:textId="340D3C71" w:rsidR="00DE1CA1" w:rsidRPr="003C5683" w:rsidRDefault="00F21BE8" w:rsidP="00DD2306">
      <w:pPr>
        <w:spacing w:after="240" w:line="480" w:lineRule="auto"/>
        <w:jc w:val="both"/>
        <w:rPr>
          <w:rFonts w:ascii="Times New Roman" w:eastAsia="SimSun" w:hAnsi="Times New Roman" w:cs="Times New Roman"/>
          <w:color w:val="0000FF"/>
          <w:sz w:val="24"/>
          <w:szCs w:val="24"/>
          <w:lang w:val="en-GB"/>
        </w:rPr>
      </w:pPr>
      <w:r w:rsidRPr="000D3AD1">
        <w:rPr>
          <w:rFonts w:ascii="Times New Roman" w:eastAsia="SimSun" w:hAnsi="Times New Roman" w:cs="Times New Roman"/>
          <w:sz w:val="24"/>
          <w:szCs w:val="24"/>
          <w:lang w:val="en-GB"/>
        </w:rPr>
        <w:t>At first</w:t>
      </w:r>
      <w:r w:rsidR="0073584E" w:rsidRPr="000D3AD1">
        <w:rPr>
          <w:rFonts w:ascii="Times New Roman" w:eastAsia="SimSun" w:hAnsi="Times New Roman" w:cs="Times New Roman"/>
          <w:sz w:val="24"/>
          <w:szCs w:val="24"/>
          <w:lang w:val="en-GB"/>
        </w:rPr>
        <w:t>,</w:t>
      </w:r>
      <w:r w:rsidRPr="000D3AD1">
        <w:rPr>
          <w:rFonts w:ascii="Times New Roman" w:eastAsia="SimSun" w:hAnsi="Times New Roman" w:cs="Times New Roman"/>
          <w:sz w:val="24"/>
          <w:szCs w:val="24"/>
          <w:lang w:val="en-GB"/>
        </w:rPr>
        <w:t xml:space="preserve"> compute the </w:t>
      </w:r>
      <w:proofErr w:type="spellStart"/>
      <w:r w:rsidRPr="000D3AD1">
        <w:rPr>
          <w:rFonts w:ascii="Times New Roman" w:eastAsia="SimSun" w:hAnsi="Times New Roman" w:cs="Times New Roman"/>
          <w:sz w:val="24"/>
          <w:szCs w:val="24"/>
          <w:lang w:val="en-GB"/>
        </w:rPr>
        <w:t>VaR</w:t>
      </w:r>
      <w:proofErr w:type="spellEnd"/>
      <w:r w:rsidRPr="000D3AD1">
        <w:rPr>
          <w:rFonts w:ascii="Times New Roman" w:eastAsia="SimSun" w:hAnsi="Times New Roman" w:cs="Times New Roman"/>
          <w:sz w:val="24"/>
          <w:szCs w:val="24"/>
          <w:lang w:val="en-GB"/>
        </w:rPr>
        <w:t xml:space="preserve"> and </w:t>
      </w:r>
      <w:proofErr w:type="spellStart"/>
      <w:r w:rsidRPr="000D3AD1">
        <w:rPr>
          <w:rFonts w:ascii="Times New Roman" w:eastAsia="SimSun" w:hAnsi="Times New Roman" w:cs="Times New Roman"/>
          <w:sz w:val="24"/>
          <w:szCs w:val="24"/>
          <w:lang w:val="en-GB"/>
        </w:rPr>
        <w:t>CoVaR</w:t>
      </w:r>
      <w:proofErr w:type="spellEnd"/>
      <w:r w:rsidRPr="000D3AD1">
        <w:rPr>
          <w:rFonts w:ascii="Times New Roman" w:eastAsia="SimSun" w:hAnsi="Times New Roman" w:cs="Times New Roman"/>
          <w:sz w:val="24"/>
          <w:szCs w:val="24"/>
          <w:lang w:val="en-GB"/>
        </w:rPr>
        <w:t xml:space="preserve"> for each market using both linear and neural network quantile regression. We employed the rolling-window analysis of</w:t>
      </w:r>
      <w:r w:rsidR="00745A1E" w:rsidRPr="000D3AD1">
        <w:rPr>
          <w:rFonts w:ascii="Times New Roman" w:eastAsia="SimSun" w:hAnsi="Times New Roman" w:cs="Times New Roman"/>
          <w:sz w:val="24"/>
          <w:szCs w:val="24"/>
          <w:lang w:val="en-GB"/>
        </w:rPr>
        <w:t xml:space="preserve"> 260 </w:t>
      </w:r>
      <w:r w:rsidRPr="000D3AD1">
        <w:rPr>
          <w:rFonts w:ascii="Times New Roman" w:eastAsia="SimSun" w:hAnsi="Times New Roman" w:cs="Times New Roman"/>
          <w:sz w:val="24"/>
          <w:szCs w:val="24"/>
          <w:lang w:val="en-GB"/>
        </w:rPr>
        <w:t xml:space="preserve">days to overcome the potential non-stationarity in the data. </w:t>
      </w:r>
      <w:r w:rsidR="00F6007B" w:rsidRPr="000D3AD1">
        <w:rPr>
          <w:rFonts w:ascii="Times New Roman" w:eastAsia="SimSun" w:hAnsi="Times New Roman" w:cs="Times New Roman"/>
          <w:sz w:val="24"/>
          <w:szCs w:val="24"/>
          <w:lang w:val="en-GB"/>
        </w:rPr>
        <w:t xml:space="preserve">Figure 3 elaborates the returns (Black Dots), </w:t>
      </w:r>
      <w:proofErr w:type="spellStart"/>
      <w:r w:rsidR="00F6007B" w:rsidRPr="000D3AD1">
        <w:rPr>
          <w:rFonts w:ascii="Times New Roman" w:eastAsia="SimSun" w:hAnsi="Times New Roman" w:cs="Times New Roman"/>
          <w:sz w:val="24"/>
          <w:szCs w:val="24"/>
          <w:lang w:val="en-GB"/>
        </w:rPr>
        <w:t>VaR</w:t>
      </w:r>
      <w:proofErr w:type="spellEnd"/>
      <w:r w:rsidR="00F6007B" w:rsidRPr="000D3AD1">
        <w:rPr>
          <w:rFonts w:ascii="Times New Roman" w:eastAsia="SimSun" w:hAnsi="Times New Roman" w:cs="Times New Roman"/>
          <w:sz w:val="24"/>
          <w:szCs w:val="24"/>
          <w:lang w:val="en-GB"/>
        </w:rPr>
        <w:t xml:space="preserve"> (Blue line), and </w:t>
      </w:r>
      <w:proofErr w:type="spellStart"/>
      <w:r w:rsidR="00F6007B" w:rsidRPr="000D3AD1">
        <w:rPr>
          <w:rFonts w:ascii="Times New Roman" w:eastAsia="SimSun" w:hAnsi="Times New Roman" w:cs="Times New Roman"/>
          <w:sz w:val="24"/>
          <w:szCs w:val="24"/>
          <w:lang w:val="en-GB"/>
        </w:rPr>
        <w:t>CoVaR</w:t>
      </w:r>
      <w:proofErr w:type="spellEnd"/>
      <w:r w:rsidR="00F6007B" w:rsidRPr="000D3AD1">
        <w:rPr>
          <w:rFonts w:ascii="Times New Roman" w:eastAsia="SimSun" w:hAnsi="Times New Roman" w:cs="Times New Roman"/>
          <w:sz w:val="24"/>
          <w:szCs w:val="24"/>
          <w:lang w:val="en-GB"/>
        </w:rPr>
        <w:t xml:space="preserve"> (</w:t>
      </w:r>
      <w:r w:rsidR="0073584E" w:rsidRPr="000D3AD1">
        <w:rPr>
          <w:rFonts w:ascii="Times New Roman" w:eastAsia="SimSun" w:hAnsi="Times New Roman" w:cs="Times New Roman"/>
          <w:sz w:val="24"/>
          <w:szCs w:val="24"/>
          <w:lang w:val="en-GB"/>
        </w:rPr>
        <w:t>R</w:t>
      </w:r>
      <w:r w:rsidR="00F6007B" w:rsidRPr="000D3AD1">
        <w:rPr>
          <w:rFonts w:ascii="Times New Roman" w:eastAsia="SimSun" w:hAnsi="Times New Roman" w:cs="Times New Roman"/>
          <w:sz w:val="24"/>
          <w:szCs w:val="24"/>
          <w:lang w:val="en-GB"/>
        </w:rPr>
        <w:t xml:space="preserve">ed line) plots using the neural network quantile regression analysis. The returns of SPGB, SPGC, GSCI and BBGT demonstrate higher fluctuation than other religious, sustainable, and conventional markets. </w:t>
      </w:r>
      <w:r w:rsidR="00246716" w:rsidRPr="000D3AD1">
        <w:rPr>
          <w:rFonts w:ascii="Times New Roman" w:eastAsia="SimSun" w:hAnsi="Times New Roman" w:cs="Times New Roman"/>
          <w:sz w:val="24"/>
          <w:szCs w:val="24"/>
          <w:lang w:val="en-GB"/>
        </w:rPr>
        <w:t xml:space="preserve">Moreover, time-varying trends of return, </w:t>
      </w:r>
      <w:proofErr w:type="spellStart"/>
      <w:r w:rsidR="00246716" w:rsidRPr="000D3AD1">
        <w:rPr>
          <w:rFonts w:ascii="Times New Roman" w:eastAsia="SimSun" w:hAnsi="Times New Roman" w:cs="Times New Roman"/>
          <w:sz w:val="24"/>
          <w:szCs w:val="24"/>
          <w:lang w:val="en-GB"/>
        </w:rPr>
        <w:t>VaR</w:t>
      </w:r>
      <w:proofErr w:type="spellEnd"/>
      <w:r w:rsidR="00246716" w:rsidRPr="000D3AD1">
        <w:rPr>
          <w:rFonts w:ascii="Times New Roman" w:eastAsia="SimSun" w:hAnsi="Times New Roman" w:cs="Times New Roman"/>
          <w:sz w:val="24"/>
          <w:szCs w:val="24"/>
          <w:lang w:val="en-GB"/>
        </w:rPr>
        <w:t xml:space="preserve">, and </w:t>
      </w:r>
      <w:proofErr w:type="spellStart"/>
      <w:r w:rsidR="00246716" w:rsidRPr="000D3AD1">
        <w:rPr>
          <w:rFonts w:ascii="Times New Roman" w:eastAsia="SimSun" w:hAnsi="Times New Roman" w:cs="Times New Roman"/>
          <w:sz w:val="24"/>
          <w:szCs w:val="24"/>
          <w:lang w:val="en-GB"/>
        </w:rPr>
        <w:t>CoVaR</w:t>
      </w:r>
      <w:proofErr w:type="spellEnd"/>
      <w:r w:rsidR="00246716" w:rsidRPr="000D3AD1">
        <w:rPr>
          <w:rFonts w:ascii="Times New Roman" w:eastAsia="SimSun" w:hAnsi="Times New Roman" w:cs="Times New Roman"/>
          <w:sz w:val="24"/>
          <w:szCs w:val="24"/>
          <w:lang w:val="en-GB"/>
        </w:rPr>
        <w:t xml:space="preserve"> estimate indicate greater fluctuation during the crisis times, for instance, Global Financial Crisis (GFC), European Debt Crisis (EDC), and the recent ongoing pandemic of COVID-19</w:t>
      </w:r>
      <w:r w:rsidR="00F31FB6" w:rsidRPr="000D3AD1">
        <w:rPr>
          <w:rFonts w:ascii="Times New Roman" w:eastAsia="SimSun" w:hAnsi="Times New Roman" w:cs="Times New Roman"/>
          <w:sz w:val="24"/>
          <w:szCs w:val="24"/>
          <w:lang w:val="en-GB"/>
        </w:rPr>
        <w:t xml:space="preserve"> in the markets of SPGB, SPGC, GSCI, and BBGT than the rest of the markets. </w:t>
      </w:r>
      <w:r w:rsidR="00E47A9A" w:rsidRPr="000D3AD1">
        <w:rPr>
          <w:rFonts w:ascii="Times New Roman" w:eastAsia="SimSun" w:hAnsi="Times New Roman" w:cs="Times New Roman"/>
          <w:sz w:val="24"/>
          <w:szCs w:val="24"/>
          <w:lang w:val="en-GB"/>
        </w:rPr>
        <w:t xml:space="preserve">This finding implies that these markets show greater vulnerability to overall market sensitivities </w:t>
      </w:r>
      <w:r w:rsidR="0073584E" w:rsidRPr="000D3AD1">
        <w:rPr>
          <w:rFonts w:ascii="Times New Roman" w:eastAsia="SimSun" w:hAnsi="Times New Roman" w:cs="Times New Roman"/>
          <w:sz w:val="24"/>
          <w:szCs w:val="24"/>
          <w:lang w:val="en-GB"/>
        </w:rPr>
        <w:t>than</w:t>
      </w:r>
      <w:r w:rsidR="00E47A9A" w:rsidRPr="000D3AD1">
        <w:rPr>
          <w:rFonts w:ascii="Times New Roman" w:eastAsia="SimSun" w:hAnsi="Times New Roman" w:cs="Times New Roman"/>
          <w:sz w:val="24"/>
          <w:szCs w:val="24"/>
          <w:lang w:val="en-GB"/>
        </w:rPr>
        <w:t xml:space="preserve"> other markets. </w:t>
      </w:r>
      <w:r w:rsidR="00E47A9A" w:rsidRPr="003C5683">
        <w:rPr>
          <w:rFonts w:ascii="Times New Roman" w:eastAsia="SimSun" w:hAnsi="Times New Roman" w:cs="Times New Roman"/>
          <w:color w:val="0000FF"/>
          <w:sz w:val="24"/>
          <w:szCs w:val="24"/>
          <w:lang w:val="en-GB"/>
        </w:rPr>
        <w:t xml:space="preserve">In line with </w:t>
      </w:r>
      <w:proofErr w:type="spellStart"/>
      <w:r w:rsidR="00E47A9A" w:rsidRPr="003C5683">
        <w:rPr>
          <w:rFonts w:ascii="Times New Roman" w:eastAsia="SimSun" w:hAnsi="Times New Roman" w:cs="Times New Roman"/>
          <w:color w:val="0000FF"/>
          <w:sz w:val="24"/>
          <w:szCs w:val="24"/>
          <w:lang w:val="en-GB"/>
        </w:rPr>
        <w:t>Arif</w:t>
      </w:r>
      <w:proofErr w:type="spellEnd"/>
      <w:r w:rsidR="00E47A9A" w:rsidRPr="003C5683">
        <w:rPr>
          <w:rFonts w:ascii="Times New Roman" w:eastAsia="SimSun" w:hAnsi="Times New Roman" w:cs="Times New Roman"/>
          <w:color w:val="0000FF"/>
          <w:sz w:val="24"/>
          <w:szCs w:val="24"/>
          <w:lang w:val="en-GB"/>
        </w:rPr>
        <w:t xml:space="preserve"> et al. (2021</w:t>
      </w:r>
      <w:r w:rsidR="00696911" w:rsidRPr="003C5683">
        <w:rPr>
          <w:rFonts w:ascii="Times New Roman" w:eastAsia="SimSun" w:hAnsi="Times New Roman" w:cs="Times New Roman"/>
          <w:color w:val="0000FF"/>
          <w:sz w:val="24"/>
          <w:szCs w:val="24"/>
          <w:lang w:val="en-GB"/>
        </w:rPr>
        <w:t>b</w:t>
      </w:r>
      <w:r w:rsidR="00E47A9A" w:rsidRPr="003C5683">
        <w:rPr>
          <w:rFonts w:ascii="Times New Roman" w:eastAsia="SimSun" w:hAnsi="Times New Roman" w:cs="Times New Roman"/>
          <w:color w:val="0000FF"/>
          <w:sz w:val="24"/>
          <w:szCs w:val="24"/>
          <w:lang w:val="en-GB"/>
        </w:rPr>
        <w:t>) and Naeem et al. (2021</w:t>
      </w:r>
      <w:r w:rsidR="00696911" w:rsidRPr="003C5683">
        <w:rPr>
          <w:rFonts w:ascii="Times New Roman" w:eastAsia="SimSun" w:hAnsi="Times New Roman" w:cs="Times New Roman"/>
          <w:color w:val="0000FF"/>
          <w:sz w:val="24"/>
          <w:szCs w:val="24"/>
          <w:lang w:val="en-GB"/>
        </w:rPr>
        <w:t>b</w:t>
      </w:r>
      <w:r w:rsidR="00E47A9A" w:rsidRPr="003C5683">
        <w:rPr>
          <w:rFonts w:ascii="Times New Roman" w:eastAsia="SimSun" w:hAnsi="Times New Roman" w:cs="Times New Roman"/>
          <w:color w:val="0000FF"/>
          <w:sz w:val="24"/>
          <w:szCs w:val="24"/>
          <w:lang w:val="en-GB"/>
        </w:rPr>
        <w:t>), religious</w:t>
      </w:r>
      <w:r w:rsidR="00AE6F4B" w:rsidRPr="003C5683">
        <w:rPr>
          <w:rFonts w:ascii="Times New Roman" w:eastAsia="SimSun" w:hAnsi="Times New Roman" w:cs="Times New Roman"/>
          <w:color w:val="0000FF"/>
          <w:sz w:val="24"/>
          <w:szCs w:val="24"/>
          <w:lang w:val="en-GB"/>
        </w:rPr>
        <w:t xml:space="preserve">, </w:t>
      </w:r>
      <w:r w:rsidR="00E47A9A" w:rsidRPr="003C5683">
        <w:rPr>
          <w:rFonts w:ascii="Times New Roman" w:eastAsia="SimSun" w:hAnsi="Times New Roman" w:cs="Times New Roman"/>
          <w:color w:val="0000FF"/>
          <w:sz w:val="24"/>
          <w:szCs w:val="24"/>
          <w:lang w:val="en-GB"/>
        </w:rPr>
        <w:t>sustainable</w:t>
      </w:r>
      <w:r w:rsidR="00AE6F4B" w:rsidRPr="003C5683">
        <w:rPr>
          <w:rFonts w:ascii="Times New Roman" w:eastAsia="SimSun" w:hAnsi="Times New Roman" w:cs="Times New Roman"/>
          <w:color w:val="0000FF"/>
          <w:sz w:val="24"/>
          <w:szCs w:val="24"/>
          <w:lang w:val="en-GB"/>
        </w:rPr>
        <w:t>, and conventional</w:t>
      </w:r>
      <w:r w:rsidR="00E47A9A" w:rsidRPr="003C5683">
        <w:rPr>
          <w:rFonts w:ascii="Times New Roman" w:eastAsia="SimSun" w:hAnsi="Times New Roman" w:cs="Times New Roman"/>
          <w:color w:val="0000FF"/>
          <w:sz w:val="24"/>
          <w:szCs w:val="24"/>
          <w:lang w:val="en-GB"/>
        </w:rPr>
        <w:t xml:space="preserve"> investments</w:t>
      </w:r>
      <w:r w:rsidR="00AE6F4B" w:rsidRPr="003C5683">
        <w:rPr>
          <w:rFonts w:ascii="Times New Roman" w:eastAsia="SimSun" w:hAnsi="Times New Roman" w:cs="Times New Roman"/>
          <w:color w:val="0000FF"/>
          <w:sz w:val="24"/>
          <w:szCs w:val="24"/>
          <w:lang w:val="en-GB"/>
        </w:rPr>
        <w:t xml:space="preserve"> react differently to external uncertainties. A closer look </w:t>
      </w:r>
      <w:r w:rsidR="0073584E" w:rsidRPr="003C5683">
        <w:rPr>
          <w:rFonts w:ascii="Times New Roman" w:eastAsia="SimSun" w:hAnsi="Times New Roman" w:cs="Times New Roman"/>
          <w:color w:val="0000FF"/>
          <w:sz w:val="24"/>
          <w:szCs w:val="24"/>
          <w:lang w:val="en-GB"/>
        </w:rPr>
        <w:t xml:space="preserve">at the </w:t>
      </w:r>
      <w:proofErr w:type="spellStart"/>
      <w:r w:rsidR="0073584E" w:rsidRPr="003C5683">
        <w:rPr>
          <w:rFonts w:ascii="Times New Roman" w:eastAsia="SimSun" w:hAnsi="Times New Roman" w:cs="Times New Roman"/>
          <w:color w:val="0000FF"/>
          <w:sz w:val="24"/>
          <w:szCs w:val="24"/>
          <w:lang w:val="en-GB"/>
        </w:rPr>
        <w:t>VaR</w:t>
      </w:r>
      <w:proofErr w:type="spellEnd"/>
      <w:r w:rsidR="0073584E" w:rsidRPr="003C5683">
        <w:rPr>
          <w:rFonts w:ascii="Times New Roman" w:eastAsia="SimSun" w:hAnsi="Times New Roman" w:cs="Times New Roman"/>
          <w:color w:val="0000FF"/>
          <w:sz w:val="24"/>
          <w:szCs w:val="24"/>
          <w:lang w:val="en-GB"/>
        </w:rPr>
        <w:t xml:space="preserve"> and </w:t>
      </w:r>
      <w:proofErr w:type="spellStart"/>
      <w:r w:rsidR="0073584E" w:rsidRPr="003C5683">
        <w:rPr>
          <w:rFonts w:ascii="Times New Roman" w:eastAsia="SimSun" w:hAnsi="Times New Roman" w:cs="Times New Roman"/>
          <w:color w:val="0000FF"/>
          <w:sz w:val="24"/>
          <w:szCs w:val="24"/>
          <w:lang w:val="en-GB"/>
        </w:rPr>
        <w:t>CoVaR</w:t>
      </w:r>
      <w:proofErr w:type="spellEnd"/>
      <w:r w:rsidR="0073584E" w:rsidRPr="003C5683">
        <w:rPr>
          <w:rFonts w:ascii="Times New Roman" w:eastAsia="SimSun" w:hAnsi="Times New Roman" w:cs="Times New Roman"/>
          <w:color w:val="0000FF"/>
          <w:sz w:val="24"/>
          <w:szCs w:val="24"/>
          <w:lang w:val="en-GB"/>
        </w:rPr>
        <w:t xml:space="preserve"> estimates during the crisis periods displays that the market explodes</w:t>
      </w:r>
      <w:r w:rsidR="00AE6F4B" w:rsidRPr="003C5683">
        <w:rPr>
          <w:rFonts w:ascii="Times New Roman" w:eastAsia="SimSun" w:hAnsi="Times New Roman" w:cs="Times New Roman"/>
          <w:color w:val="0000FF"/>
          <w:sz w:val="24"/>
          <w:szCs w:val="24"/>
          <w:lang w:val="en-GB"/>
        </w:rPr>
        <w:t xml:space="preserve"> (stabilize) following a distressed (recovery) period. Stronger spikes during the crisis episodes imply </w:t>
      </w:r>
      <w:r w:rsidR="0073584E" w:rsidRPr="003C5683">
        <w:rPr>
          <w:rFonts w:ascii="Times New Roman" w:eastAsia="SimSun" w:hAnsi="Times New Roman" w:cs="Times New Roman"/>
          <w:color w:val="0000FF"/>
          <w:sz w:val="24"/>
          <w:szCs w:val="24"/>
          <w:lang w:val="en-GB"/>
        </w:rPr>
        <w:t xml:space="preserve">an </w:t>
      </w:r>
      <w:r w:rsidR="00AE6F4B" w:rsidRPr="003C5683">
        <w:rPr>
          <w:rFonts w:ascii="Times New Roman" w:eastAsia="SimSun" w:hAnsi="Times New Roman" w:cs="Times New Roman"/>
          <w:color w:val="0000FF"/>
          <w:sz w:val="24"/>
          <w:szCs w:val="24"/>
          <w:lang w:val="en-GB"/>
        </w:rPr>
        <w:t xml:space="preserve">increase in the systemic risk as indicated by GFC and EDC. Meanwhile, sharp spikes during COVID-19 reflect higher exposure to external shocks during the pandemic suggesting higher systemic risk in the recent ongoing crisis than before. </w:t>
      </w:r>
      <w:r w:rsidR="001B4CEC" w:rsidRPr="003C5683">
        <w:rPr>
          <w:rFonts w:ascii="Times New Roman" w:eastAsia="SimSun" w:hAnsi="Times New Roman" w:cs="Times New Roman"/>
          <w:color w:val="0000FF"/>
          <w:sz w:val="24"/>
          <w:szCs w:val="24"/>
          <w:lang w:val="en-GB"/>
        </w:rPr>
        <w:t xml:space="preserve">Our findings </w:t>
      </w:r>
      <w:r w:rsidR="00245E3E" w:rsidRPr="003C5683">
        <w:rPr>
          <w:rFonts w:ascii="Times New Roman" w:eastAsia="SimSun" w:hAnsi="Times New Roman" w:cs="Times New Roman"/>
          <w:color w:val="0000FF"/>
          <w:sz w:val="24"/>
          <w:szCs w:val="24"/>
          <w:lang w:val="en-GB"/>
        </w:rPr>
        <w:t xml:space="preserve">coincide with the findings of </w:t>
      </w:r>
      <w:proofErr w:type="spellStart"/>
      <w:r w:rsidR="00245E3E" w:rsidRPr="003C5683">
        <w:rPr>
          <w:rFonts w:ascii="Times New Roman" w:eastAsia="SimSun" w:hAnsi="Times New Roman" w:cs="Times New Roman"/>
          <w:color w:val="0000FF"/>
          <w:sz w:val="24"/>
          <w:szCs w:val="24"/>
          <w:lang w:val="en-GB"/>
        </w:rPr>
        <w:t>Abakah</w:t>
      </w:r>
      <w:proofErr w:type="spellEnd"/>
      <w:r w:rsidR="00245E3E" w:rsidRPr="003C5683">
        <w:rPr>
          <w:rFonts w:ascii="Times New Roman" w:eastAsia="SimSun" w:hAnsi="Times New Roman" w:cs="Times New Roman"/>
          <w:color w:val="0000FF"/>
          <w:sz w:val="24"/>
          <w:szCs w:val="24"/>
          <w:lang w:val="en-GB"/>
        </w:rPr>
        <w:t xml:space="preserve"> et al. (2021), </w:t>
      </w:r>
      <w:r w:rsidR="00C80A18">
        <w:rPr>
          <w:rFonts w:ascii="Times New Roman" w:eastAsia="SimSun" w:hAnsi="Times New Roman" w:cs="Times New Roman"/>
          <w:color w:val="0000FF"/>
          <w:sz w:val="24"/>
          <w:szCs w:val="24"/>
          <w:lang w:val="en-GB"/>
        </w:rPr>
        <w:t xml:space="preserve">Naeem et al., (2022a, 2022b), </w:t>
      </w:r>
      <w:r w:rsidR="00245E3E" w:rsidRPr="003C5683">
        <w:rPr>
          <w:rFonts w:ascii="Times New Roman" w:eastAsia="SimSun" w:hAnsi="Times New Roman" w:cs="Times New Roman"/>
          <w:color w:val="0000FF"/>
          <w:sz w:val="24"/>
          <w:szCs w:val="24"/>
          <w:lang w:val="en-GB"/>
        </w:rPr>
        <w:t>Naeem et al. (2021a, 2021b), and Karim et al. (2022a, 2022b)</w:t>
      </w:r>
      <w:r w:rsidR="0073584E" w:rsidRPr="003C5683">
        <w:rPr>
          <w:rFonts w:ascii="Times New Roman" w:eastAsia="SimSun" w:hAnsi="Times New Roman" w:cs="Times New Roman"/>
          <w:color w:val="0000FF"/>
          <w:sz w:val="24"/>
          <w:szCs w:val="24"/>
          <w:lang w:val="en-GB"/>
        </w:rPr>
        <w:t>,</w:t>
      </w:r>
      <w:r w:rsidR="00245E3E" w:rsidRPr="003C5683">
        <w:rPr>
          <w:rFonts w:ascii="Times New Roman" w:eastAsia="SimSun" w:hAnsi="Times New Roman" w:cs="Times New Roman"/>
          <w:color w:val="0000FF"/>
          <w:sz w:val="24"/>
          <w:szCs w:val="24"/>
          <w:lang w:val="en-GB"/>
        </w:rPr>
        <w:t xml:space="preserve"> who reported enhanced exposure of markets to the havocs of COVID-19 pandemic</w:t>
      </w:r>
      <w:r w:rsidR="00455054" w:rsidRPr="003C5683">
        <w:rPr>
          <w:rFonts w:ascii="Times New Roman" w:eastAsia="SimSun" w:hAnsi="Times New Roman" w:cs="Times New Roman"/>
          <w:color w:val="0000FF"/>
          <w:sz w:val="24"/>
          <w:szCs w:val="24"/>
          <w:lang w:val="en-GB"/>
        </w:rPr>
        <w:t xml:space="preserve"> than earlier crisis episodes. </w:t>
      </w:r>
    </w:p>
    <w:p w14:paraId="5F1A836F" w14:textId="2C21F798" w:rsidR="00455054" w:rsidRPr="000D3AD1" w:rsidRDefault="00455054" w:rsidP="00455054">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lastRenderedPageBreak/>
        <w:t>[Figure 3 about here]</w:t>
      </w:r>
    </w:p>
    <w:p w14:paraId="2E244F2C" w14:textId="3E031059" w:rsidR="00455054" w:rsidRPr="000D3AD1" w:rsidRDefault="001D4E05" w:rsidP="00DD2306">
      <w:pPr>
        <w:spacing w:after="240" w:line="480" w:lineRule="auto"/>
        <w:jc w:val="both"/>
        <w:rPr>
          <w:rFonts w:ascii="Times New Roman" w:eastAsia="SimSun" w:hAnsi="Times New Roman" w:cs="Times New Roman"/>
          <w:i/>
          <w:iCs/>
          <w:sz w:val="24"/>
          <w:szCs w:val="24"/>
          <w:lang w:val="en-GB"/>
        </w:rPr>
      </w:pPr>
      <w:r w:rsidRPr="000D3AD1">
        <w:rPr>
          <w:rFonts w:ascii="Times New Roman" w:eastAsia="SimSun" w:hAnsi="Times New Roman" w:cs="Times New Roman"/>
          <w:i/>
          <w:iCs/>
          <w:sz w:val="24"/>
          <w:szCs w:val="24"/>
          <w:lang w:val="en-GB"/>
        </w:rPr>
        <w:t xml:space="preserve">4.3 </w:t>
      </w:r>
      <w:r w:rsidR="00745A1E" w:rsidRPr="000D3AD1">
        <w:rPr>
          <w:rFonts w:ascii="Times New Roman" w:eastAsia="SimSun" w:hAnsi="Times New Roman" w:cs="Times New Roman"/>
          <w:i/>
          <w:iCs/>
          <w:sz w:val="24"/>
          <w:szCs w:val="24"/>
          <w:lang w:val="en-GB"/>
        </w:rPr>
        <w:t xml:space="preserve">Measuring Risk </w:t>
      </w:r>
      <w:proofErr w:type="spellStart"/>
      <w:r w:rsidR="00745A1E" w:rsidRPr="000D3AD1">
        <w:rPr>
          <w:rFonts w:ascii="Times New Roman" w:eastAsia="SimSun" w:hAnsi="Times New Roman" w:cs="Times New Roman"/>
          <w:i/>
          <w:iCs/>
          <w:sz w:val="24"/>
          <w:szCs w:val="24"/>
          <w:lang w:val="en-GB"/>
        </w:rPr>
        <w:t>Spillover</w:t>
      </w:r>
      <w:proofErr w:type="spellEnd"/>
      <w:r w:rsidR="00745A1E" w:rsidRPr="000D3AD1">
        <w:rPr>
          <w:rFonts w:ascii="Times New Roman" w:eastAsia="SimSun" w:hAnsi="Times New Roman" w:cs="Times New Roman"/>
          <w:i/>
          <w:iCs/>
          <w:sz w:val="24"/>
          <w:szCs w:val="24"/>
          <w:lang w:val="en-GB"/>
        </w:rPr>
        <w:t xml:space="preserve"> Network</w:t>
      </w:r>
    </w:p>
    <w:p w14:paraId="1696F216" w14:textId="58CBF037" w:rsidR="00745A1E" w:rsidRPr="000D3AD1" w:rsidRDefault="00745A1E" w:rsidP="00DD2306">
      <w:pPr>
        <w:spacing w:after="240" w:line="480" w:lineRule="auto"/>
        <w:jc w:val="both"/>
        <w:rPr>
          <w:rFonts w:ascii="Times New Roman" w:hAnsi="Times New Roman" w:cs="Times New Roman"/>
          <w:bCs/>
          <w:sz w:val="24"/>
          <w:szCs w:val="24"/>
        </w:rPr>
      </w:pPr>
      <w:r w:rsidRPr="000D3AD1">
        <w:rPr>
          <w:rFonts w:ascii="Times New Roman" w:eastAsia="SimSun" w:hAnsi="Times New Roman" w:cs="Times New Roman"/>
          <w:sz w:val="24"/>
          <w:szCs w:val="24"/>
          <w:lang w:val="en-GB"/>
        </w:rPr>
        <w:t xml:space="preserve">The next step involves calculating the directional pairwise risk </w:t>
      </w:r>
      <w:proofErr w:type="spellStart"/>
      <w:r w:rsidRPr="000D3AD1">
        <w:rPr>
          <w:rFonts w:ascii="Times New Roman" w:eastAsia="SimSun" w:hAnsi="Times New Roman" w:cs="Times New Roman"/>
          <w:sz w:val="24"/>
          <w:szCs w:val="24"/>
          <w:lang w:val="en-GB"/>
        </w:rPr>
        <w:t>spillovers</w:t>
      </w:r>
      <w:proofErr w:type="spellEnd"/>
      <w:r w:rsidRPr="000D3AD1">
        <w:rPr>
          <w:rFonts w:ascii="Times New Roman" w:eastAsia="SimSun" w:hAnsi="Times New Roman" w:cs="Times New Roman"/>
          <w:sz w:val="24"/>
          <w:szCs w:val="24"/>
          <w:lang w:val="en-GB"/>
        </w:rPr>
        <w:t xml:space="preserve"> of </w:t>
      </w:r>
      <w:r w:rsidRPr="000D3AD1">
        <w:rPr>
          <w:rFonts w:ascii="Times New Roman" w:hAnsi="Times New Roman" w:cs="Times New Roman"/>
          <w:bCs/>
          <w:sz w:val="24"/>
          <w:szCs w:val="24"/>
        </w:rPr>
        <w:t xml:space="preserve">religious, sustainable, and conventional </w:t>
      </w:r>
      <w:r w:rsidR="00EE2227" w:rsidRPr="000D3AD1">
        <w:rPr>
          <w:rFonts w:ascii="Times New Roman" w:hAnsi="Times New Roman" w:cs="Times New Roman"/>
          <w:bCs/>
          <w:sz w:val="24"/>
          <w:szCs w:val="24"/>
        </w:rPr>
        <w:t xml:space="preserve">markets using the neural network quantile regression analysis. </w:t>
      </w:r>
      <w:r w:rsidR="008B7958" w:rsidRPr="000D3AD1">
        <w:rPr>
          <w:rFonts w:ascii="Times New Roman" w:hAnsi="Times New Roman" w:cs="Times New Roman"/>
          <w:bCs/>
          <w:sz w:val="24"/>
          <w:szCs w:val="24"/>
        </w:rPr>
        <w:t xml:space="preserve">Figure 4 illustrates the time average of risk spillover effects </w:t>
      </w:r>
      <w:r w:rsidR="007B3C74" w:rsidRPr="000D3AD1">
        <w:rPr>
          <w:rFonts w:ascii="Times New Roman" w:hAnsi="Times New Roman" w:cs="Times New Roman"/>
          <w:bCs/>
          <w:sz w:val="24"/>
          <w:szCs w:val="24"/>
        </w:rPr>
        <w:t xml:space="preserve">of markets under study where a higher level of tail dependence is observed with deep color while </w:t>
      </w:r>
      <w:r w:rsidR="0073584E" w:rsidRPr="000D3AD1">
        <w:rPr>
          <w:rFonts w:ascii="Times New Roman" w:hAnsi="Times New Roman" w:cs="Times New Roman"/>
          <w:bCs/>
          <w:sz w:val="24"/>
          <w:szCs w:val="24"/>
        </w:rPr>
        <w:t>a lighter color exhibits lower tail dependence</w:t>
      </w:r>
      <w:r w:rsidR="007B3C74" w:rsidRPr="000D3AD1">
        <w:rPr>
          <w:rFonts w:ascii="Times New Roman" w:hAnsi="Times New Roman" w:cs="Times New Roman"/>
          <w:bCs/>
          <w:sz w:val="24"/>
          <w:szCs w:val="24"/>
        </w:rPr>
        <w:t xml:space="preserve">. </w:t>
      </w:r>
      <w:r w:rsidR="006352B1" w:rsidRPr="003C5683">
        <w:rPr>
          <w:rFonts w:ascii="Times New Roman" w:hAnsi="Times New Roman" w:cs="Times New Roman"/>
          <w:bCs/>
          <w:color w:val="0000FF"/>
          <w:sz w:val="24"/>
          <w:szCs w:val="24"/>
        </w:rPr>
        <w:t xml:space="preserve">The sample in Figure 4 is segregated into pre-COVID and COVID-19 crisis where pre-COVID analysis in Panel (a) signifies maximum tail risk between BBGT and SPGB </w:t>
      </w:r>
      <w:r w:rsidR="00205953" w:rsidRPr="003C5683">
        <w:rPr>
          <w:rFonts w:ascii="Times New Roman" w:hAnsi="Times New Roman" w:cs="Times New Roman"/>
          <w:bCs/>
          <w:color w:val="0000FF"/>
          <w:sz w:val="24"/>
          <w:szCs w:val="24"/>
        </w:rPr>
        <w:t xml:space="preserve">followed by DJIS and SP500. Moreover, </w:t>
      </w:r>
      <w:r w:rsidR="0073584E" w:rsidRPr="003C5683">
        <w:rPr>
          <w:rFonts w:ascii="Times New Roman" w:hAnsi="Times New Roman" w:cs="Times New Roman"/>
          <w:bCs/>
          <w:color w:val="0000FF"/>
          <w:sz w:val="24"/>
          <w:szCs w:val="24"/>
        </w:rPr>
        <w:t xml:space="preserve">the </w:t>
      </w:r>
      <w:r w:rsidR="00205953" w:rsidRPr="003C5683">
        <w:rPr>
          <w:rFonts w:ascii="Times New Roman" w:hAnsi="Times New Roman" w:cs="Times New Roman"/>
          <w:bCs/>
          <w:color w:val="0000FF"/>
          <w:sz w:val="24"/>
          <w:szCs w:val="24"/>
        </w:rPr>
        <w:t xml:space="preserve">moderate tail risk persists between DJIS and DJSI. </w:t>
      </w:r>
      <w:r w:rsidR="007E011F" w:rsidRPr="003C5683">
        <w:rPr>
          <w:rFonts w:ascii="Times New Roman" w:hAnsi="Times New Roman" w:cs="Times New Roman"/>
          <w:bCs/>
          <w:color w:val="0000FF"/>
          <w:sz w:val="24"/>
          <w:szCs w:val="24"/>
        </w:rPr>
        <w:t xml:space="preserve">The highest risk exposure of </w:t>
      </w:r>
      <w:r w:rsidR="0012104D" w:rsidRPr="003C5683">
        <w:rPr>
          <w:rFonts w:ascii="Times New Roman" w:hAnsi="Times New Roman" w:cs="Times New Roman"/>
          <w:bCs/>
          <w:color w:val="0000FF"/>
          <w:sz w:val="24"/>
          <w:szCs w:val="24"/>
        </w:rPr>
        <w:t xml:space="preserve">religious, sustainable, and conventional markets in the pre-COVID sample indicates that the markets exhibited tail risk characteristics even when </w:t>
      </w:r>
      <w:r w:rsidR="0073584E" w:rsidRPr="003C5683">
        <w:rPr>
          <w:rFonts w:ascii="Times New Roman" w:hAnsi="Times New Roman" w:cs="Times New Roman"/>
          <w:bCs/>
          <w:color w:val="0000FF"/>
          <w:sz w:val="24"/>
          <w:szCs w:val="24"/>
        </w:rPr>
        <w:t>faced with</w:t>
      </w:r>
      <w:r w:rsidR="0012104D" w:rsidRPr="003C5683">
        <w:rPr>
          <w:rFonts w:ascii="Times New Roman" w:hAnsi="Times New Roman" w:cs="Times New Roman"/>
          <w:bCs/>
          <w:color w:val="0000FF"/>
          <w:sz w:val="24"/>
          <w:szCs w:val="24"/>
        </w:rPr>
        <w:t xml:space="preserve"> a global pandemic. Soon after the pandemic struck the economic and global business operations, markets demonstrated substantial tail risk due to prevailing volatility and uncertainty in the </w:t>
      </w:r>
      <w:r w:rsidR="000D68B1" w:rsidRPr="003C5683">
        <w:rPr>
          <w:rFonts w:ascii="Times New Roman" w:hAnsi="Times New Roman" w:cs="Times New Roman"/>
          <w:bCs/>
          <w:color w:val="0000FF"/>
          <w:sz w:val="24"/>
          <w:szCs w:val="24"/>
        </w:rPr>
        <w:t xml:space="preserve">economic environment. </w:t>
      </w:r>
      <w:r w:rsidR="00584BE2" w:rsidRPr="003C5683">
        <w:rPr>
          <w:rFonts w:ascii="Times New Roman" w:hAnsi="Times New Roman" w:cs="Times New Roman"/>
          <w:bCs/>
          <w:color w:val="0000FF"/>
          <w:sz w:val="24"/>
          <w:szCs w:val="24"/>
        </w:rPr>
        <w:t xml:space="preserve">The COVID-19 analysis in Figure 4(b) reiterates </w:t>
      </w:r>
      <w:r w:rsidR="0073584E" w:rsidRPr="003C5683">
        <w:rPr>
          <w:rFonts w:ascii="Times New Roman" w:hAnsi="Times New Roman" w:cs="Times New Roman"/>
          <w:bCs/>
          <w:color w:val="0000FF"/>
          <w:sz w:val="24"/>
          <w:szCs w:val="24"/>
        </w:rPr>
        <w:t>a high</w:t>
      </w:r>
      <w:r w:rsidR="00584BE2" w:rsidRPr="003C5683">
        <w:rPr>
          <w:rFonts w:ascii="Times New Roman" w:hAnsi="Times New Roman" w:cs="Times New Roman"/>
          <w:bCs/>
          <w:color w:val="0000FF"/>
          <w:sz w:val="24"/>
          <w:szCs w:val="24"/>
        </w:rPr>
        <w:t>er tail risk between BBGT and SPGB</w:t>
      </w:r>
      <w:r w:rsidR="0073584E" w:rsidRPr="003C5683">
        <w:rPr>
          <w:rFonts w:ascii="Times New Roman" w:hAnsi="Times New Roman" w:cs="Times New Roman"/>
          <w:bCs/>
          <w:color w:val="0000FF"/>
          <w:sz w:val="24"/>
          <w:szCs w:val="24"/>
        </w:rPr>
        <w:t>,</w:t>
      </w:r>
      <w:r w:rsidR="00584BE2" w:rsidRPr="003C5683">
        <w:rPr>
          <w:rFonts w:ascii="Times New Roman" w:hAnsi="Times New Roman" w:cs="Times New Roman"/>
          <w:bCs/>
          <w:color w:val="0000FF"/>
          <w:sz w:val="24"/>
          <w:szCs w:val="24"/>
        </w:rPr>
        <w:t xml:space="preserve"> while moderate tail risks are identified between DJIS-SP500, DJSI-DJIS, and SPGC-DJIS. </w:t>
      </w:r>
      <w:r w:rsidR="00DC2DC3" w:rsidRPr="003C5683">
        <w:rPr>
          <w:rFonts w:ascii="Times New Roman" w:hAnsi="Times New Roman" w:cs="Times New Roman"/>
          <w:bCs/>
          <w:color w:val="0000FF"/>
          <w:sz w:val="24"/>
          <w:szCs w:val="24"/>
        </w:rPr>
        <w:t xml:space="preserve">The stronger tail dependence between religious stocks with almost all financial markets implies that the onset of COVID-19 increased </w:t>
      </w:r>
      <w:r w:rsidR="0073584E" w:rsidRPr="003C5683">
        <w:rPr>
          <w:rFonts w:ascii="Times New Roman" w:hAnsi="Times New Roman" w:cs="Times New Roman"/>
          <w:bCs/>
          <w:color w:val="0000FF"/>
          <w:sz w:val="24"/>
          <w:szCs w:val="24"/>
        </w:rPr>
        <w:t>market risk spillover</w:t>
      </w:r>
      <w:r w:rsidR="00DC2DC3" w:rsidRPr="003C5683">
        <w:rPr>
          <w:rFonts w:ascii="Times New Roman" w:hAnsi="Times New Roman" w:cs="Times New Roman"/>
          <w:bCs/>
          <w:color w:val="0000FF"/>
          <w:sz w:val="24"/>
          <w:szCs w:val="24"/>
        </w:rPr>
        <w:t xml:space="preserve">s and experienced serious consequences of the pandemic. </w:t>
      </w:r>
      <w:r w:rsidR="00116EEA" w:rsidRPr="003C5683">
        <w:rPr>
          <w:rFonts w:ascii="Times New Roman" w:hAnsi="Times New Roman" w:cs="Times New Roman"/>
          <w:bCs/>
          <w:color w:val="0000FF"/>
          <w:sz w:val="24"/>
          <w:szCs w:val="24"/>
        </w:rPr>
        <w:t xml:space="preserve">In line with </w:t>
      </w:r>
      <w:proofErr w:type="spellStart"/>
      <w:r w:rsidR="00116EEA" w:rsidRPr="003C5683">
        <w:rPr>
          <w:rFonts w:ascii="Times New Roman" w:hAnsi="Times New Roman" w:cs="Times New Roman"/>
          <w:bCs/>
          <w:color w:val="0000FF"/>
          <w:sz w:val="24"/>
          <w:szCs w:val="24"/>
        </w:rPr>
        <w:t>Elsayed</w:t>
      </w:r>
      <w:proofErr w:type="spellEnd"/>
      <w:r w:rsidR="00116EEA" w:rsidRPr="003C5683">
        <w:rPr>
          <w:rFonts w:ascii="Times New Roman" w:hAnsi="Times New Roman" w:cs="Times New Roman"/>
          <w:bCs/>
          <w:color w:val="0000FF"/>
          <w:sz w:val="24"/>
          <w:szCs w:val="24"/>
        </w:rPr>
        <w:t xml:space="preserve"> et al. (2020), Tiwari et al. (2021), and Umar et al. (2021)</w:t>
      </w:r>
      <w:r w:rsidR="00EE33A1" w:rsidRPr="003C5683">
        <w:rPr>
          <w:rFonts w:ascii="Times New Roman" w:hAnsi="Times New Roman" w:cs="Times New Roman"/>
          <w:bCs/>
          <w:color w:val="0000FF"/>
          <w:sz w:val="24"/>
          <w:szCs w:val="24"/>
        </w:rPr>
        <w:t xml:space="preserve">, </w:t>
      </w:r>
      <w:r w:rsidR="00C80A18">
        <w:rPr>
          <w:rFonts w:ascii="Times New Roman" w:hAnsi="Times New Roman" w:cs="Times New Roman"/>
          <w:bCs/>
          <w:color w:val="0000FF"/>
          <w:sz w:val="24"/>
          <w:szCs w:val="24"/>
        </w:rPr>
        <w:t xml:space="preserve">Naeem et al., (2023), </w:t>
      </w:r>
      <w:r w:rsidR="00964C88">
        <w:rPr>
          <w:rFonts w:ascii="Times New Roman" w:hAnsi="Times New Roman" w:cs="Times New Roman"/>
          <w:bCs/>
          <w:color w:val="0000FF"/>
          <w:sz w:val="24"/>
          <w:szCs w:val="24"/>
        </w:rPr>
        <w:t>Pham et al., (2022)</w:t>
      </w:r>
      <w:r w:rsidR="00C83AEA">
        <w:rPr>
          <w:rFonts w:ascii="Times New Roman" w:hAnsi="Times New Roman" w:cs="Times New Roman"/>
          <w:bCs/>
          <w:color w:val="0000FF"/>
          <w:sz w:val="24"/>
          <w:szCs w:val="24"/>
        </w:rPr>
        <w:t>,</w:t>
      </w:r>
      <w:r w:rsidR="00964C88">
        <w:rPr>
          <w:rFonts w:ascii="Times New Roman" w:hAnsi="Times New Roman" w:cs="Times New Roman"/>
          <w:bCs/>
          <w:color w:val="0000FF"/>
          <w:sz w:val="24"/>
          <w:szCs w:val="24"/>
        </w:rPr>
        <w:t xml:space="preserve"> </w:t>
      </w:r>
      <w:r w:rsidR="00EE33A1" w:rsidRPr="003C5683">
        <w:rPr>
          <w:rFonts w:ascii="Times New Roman" w:hAnsi="Times New Roman" w:cs="Times New Roman"/>
          <w:bCs/>
          <w:color w:val="0000FF"/>
          <w:sz w:val="24"/>
          <w:szCs w:val="24"/>
        </w:rPr>
        <w:t xml:space="preserve">the outbreak of COVID-19 brought higher integration among markets and resulted in intense risk dependence. </w:t>
      </w:r>
    </w:p>
    <w:p w14:paraId="59AAFE3D" w14:textId="15611C0F" w:rsidR="00150494" w:rsidRPr="000D3AD1" w:rsidRDefault="00150494" w:rsidP="00AF4527">
      <w:pPr>
        <w:spacing w:after="240" w:line="480" w:lineRule="auto"/>
        <w:jc w:val="center"/>
        <w:rPr>
          <w:rFonts w:ascii="Times New Roman" w:hAnsi="Times New Roman" w:cs="Times New Roman"/>
          <w:bCs/>
          <w:sz w:val="24"/>
          <w:szCs w:val="24"/>
        </w:rPr>
      </w:pPr>
      <w:r w:rsidRPr="000D3AD1">
        <w:rPr>
          <w:rFonts w:ascii="Times New Roman" w:hAnsi="Times New Roman" w:cs="Times New Roman"/>
          <w:bCs/>
          <w:sz w:val="24"/>
          <w:szCs w:val="24"/>
        </w:rPr>
        <w:t>[Figure 4 about here]</w:t>
      </w:r>
    </w:p>
    <w:p w14:paraId="39809039" w14:textId="5A79D8CF" w:rsidR="00B406BB" w:rsidRPr="000D3AD1" w:rsidRDefault="003E2830" w:rsidP="00B406BB">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Further, Figure 5 visualizes the risk </w:t>
      </w:r>
      <w:proofErr w:type="spellStart"/>
      <w:r w:rsidRPr="000D3AD1">
        <w:rPr>
          <w:rFonts w:ascii="Times New Roman" w:eastAsia="SimSun" w:hAnsi="Times New Roman" w:cs="Times New Roman"/>
          <w:sz w:val="24"/>
          <w:szCs w:val="24"/>
          <w:lang w:val="en-GB"/>
        </w:rPr>
        <w:t>spillovers</w:t>
      </w:r>
      <w:proofErr w:type="spellEnd"/>
      <w:r w:rsidRPr="000D3AD1">
        <w:rPr>
          <w:rFonts w:ascii="Times New Roman" w:eastAsia="SimSun" w:hAnsi="Times New Roman" w:cs="Times New Roman"/>
          <w:sz w:val="24"/>
          <w:szCs w:val="24"/>
          <w:lang w:val="en-GB"/>
        </w:rPr>
        <w:t xml:space="preserve"> in a network diagram to identify </w:t>
      </w:r>
      <w:r w:rsidR="00A173B5" w:rsidRPr="000D3AD1">
        <w:rPr>
          <w:rFonts w:ascii="Times New Roman" w:eastAsia="SimSun" w:hAnsi="Times New Roman" w:cs="Times New Roman"/>
          <w:sz w:val="24"/>
          <w:szCs w:val="24"/>
          <w:lang w:val="en-GB"/>
        </w:rPr>
        <w:t xml:space="preserve">tail risk transmission and reception among risk clusters. Figure 5(a) presents pre-COVID sample where </w:t>
      </w:r>
      <w:r w:rsidR="00A173B5" w:rsidRPr="000D3AD1">
        <w:rPr>
          <w:rFonts w:ascii="Times New Roman" w:eastAsia="SimSun" w:hAnsi="Times New Roman" w:cs="Times New Roman"/>
          <w:sz w:val="24"/>
          <w:szCs w:val="24"/>
          <w:lang w:val="en-GB"/>
        </w:rPr>
        <w:lastRenderedPageBreak/>
        <w:t>DJIS appears to be the</w:t>
      </w:r>
      <w:r w:rsidR="00A910C4" w:rsidRPr="000D3AD1">
        <w:rPr>
          <w:rFonts w:ascii="Times New Roman" w:eastAsia="SimSun" w:hAnsi="Times New Roman" w:cs="Times New Roman"/>
          <w:sz w:val="24"/>
          <w:szCs w:val="24"/>
          <w:lang w:val="en-GB"/>
        </w:rPr>
        <w:t xml:space="preserve"> riskiest</w:t>
      </w:r>
      <w:r w:rsidR="00A173B5" w:rsidRPr="000D3AD1">
        <w:rPr>
          <w:rFonts w:ascii="Times New Roman" w:eastAsia="SimSun" w:hAnsi="Times New Roman" w:cs="Times New Roman"/>
          <w:sz w:val="24"/>
          <w:szCs w:val="24"/>
          <w:lang w:val="en-GB"/>
        </w:rPr>
        <w:t xml:space="preserve"> market as it receives most of the risk </w:t>
      </w:r>
      <w:proofErr w:type="spellStart"/>
      <w:r w:rsidR="00A173B5" w:rsidRPr="000D3AD1">
        <w:rPr>
          <w:rFonts w:ascii="Times New Roman" w:eastAsia="SimSun" w:hAnsi="Times New Roman" w:cs="Times New Roman"/>
          <w:sz w:val="24"/>
          <w:szCs w:val="24"/>
          <w:lang w:val="en-GB"/>
        </w:rPr>
        <w:t>spillovers</w:t>
      </w:r>
      <w:proofErr w:type="spellEnd"/>
      <w:r w:rsidR="00A173B5" w:rsidRPr="000D3AD1">
        <w:rPr>
          <w:rFonts w:ascii="Times New Roman" w:eastAsia="SimSun" w:hAnsi="Times New Roman" w:cs="Times New Roman"/>
          <w:sz w:val="24"/>
          <w:szCs w:val="24"/>
          <w:lang w:val="en-GB"/>
        </w:rPr>
        <w:t xml:space="preserve"> from sustainable, religious, and conventional markets. </w:t>
      </w:r>
      <w:r w:rsidR="00A910C4" w:rsidRPr="000D3AD1">
        <w:rPr>
          <w:rFonts w:ascii="Times New Roman" w:eastAsia="SimSun" w:hAnsi="Times New Roman" w:cs="Times New Roman"/>
          <w:sz w:val="24"/>
          <w:szCs w:val="24"/>
          <w:lang w:val="en-GB"/>
        </w:rPr>
        <w:t xml:space="preserve">Strong bi-directional </w:t>
      </w:r>
      <w:proofErr w:type="spellStart"/>
      <w:r w:rsidR="00A910C4" w:rsidRPr="000D3AD1">
        <w:rPr>
          <w:rFonts w:ascii="Times New Roman" w:eastAsia="SimSun" w:hAnsi="Times New Roman" w:cs="Times New Roman"/>
          <w:sz w:val="24"/>
          <w:szCs w:val="24"/>
          <w:lang w:val="en-GB"/>
        </w:rPr>
        <w:t>spillovers</w:t>
      </w:r>
      <w:proofErr w:type="spellEnd"/>
      <w:r w:rsidR="00A910C4" w:rsidRPr="000D3AD1">
        <w:rPr>
          <w:rFonts w:ascii="Times New Roman" w:eastAsia="SimSun" w:hAnsi="Times New Roman" w:cs="Times New Roman"/>
          <w:sz w:val="24"/>
          <w:szCs w:val="24"/>
          <w:lang w:val="en-GB"/>
        </w:rPr>
        <w:t xml:space="preserve"> exist between SPGB and BBGT as SPGB is a subset of BBGT an</w:t>
      </w:r>
      <w:r w:rsidR="00263B88" w:rsidRPr="000D3AD1">
        <w:rPr>
          <w:rFonts w:ascii="Times New Roman" w:eastAsia="SimSun" w:hAnsi="Times New Roman" w:cs="Times New Roman"/>
          <w:sz w:val="24"/>
          <w:szCs w:val="24"/>
          <w:lang w:val="en-GB"/>
        </w:rPr>
        <w:t xml:space="preserve">d belongs to the family of </w:t>
      </w:r>
      <w:r w:rsidR="0073584E" w:rsidRPr="000D3AD1">
        <w:rPr>
          <w:rFonts w:ascii="Times New Roman" w:eastAsia="SimSun" w:hAnsi="Times New Roman" w:cs="Times New Roman"/>
          <w:sz w:val="24"/>
          <w:szCs w:val="24"/>
          <w:lang w:val="en-GB"/>
        </w:rPr>
        <w:t xml:space="preserve">the </w:t>
      </w:r>
      <w:r w:rsidR="00263B88" w:rsidRPr="000D3AD1">
        <w:rPr>
          <w:rFonts w:ascii="Times New Roman" w:eastAsia="SimSun" w:hAnsi="Times New Roman" w:cs="Times New Roman"/>
          <w:sz w:val="24"/>
          <w:szCs w:val="24"/>
          <w:lang w:val="en-GB"/>
        </w:rPr>
        <w:t xml:space="preserve">bond market. </w:t>
      </w:r>
      <w:r w:rsidR="007846D2" w:rsidRPr="000D3AD1">
        <w:rPr>
          <w:rFonts w:ascii="Times New Roman" w:eastAsia="SimSun" w:hAnsi="Times New Roman" w:cs="Times New Roman"/>
          <w:sz w:val="24"/>
          <w:szCs w:val="24"/>
          <w:lang w:val="en-GB"/>
        </w:rPr>
        <w:t>Subsequently, DJSI</w:t>
      </w:r>
      <w:r w:rsidR="003A434B" w:rsidRPr="000D3AD1">
        <w:rPr>
          <w:rFonts w:ascii="Times New Roman" w:eastAsia="SimSun" w:hAnsi="Times New Roman" w:cs="Times New Roman"/>
          <w:sz w:val="24"/>
          <w:szCs w:val="24"/>
          <w:lang w:val="en-GB"/>
        </w:rPr>
        <w:t>-</w:t>
      </w:r>
      <w:r w:rsidR="007846D2" w:rsidRPr="000D3AD1">
        <w:rPr>
          <w:rFonts w:ascii="Times New Roman" w:eastAsia="SimSun" w:hAnsi="Times New Roman" w:cs="Times New Roman"/>
          <w:sz w:val="24"/>
          <w:szCs w:val="24"/>
          <w:lang w:val="en-GB"/>
        </w:rPr>
        <w:t>DJIS</w:t>
      </w:r>
      <w:r w:rsidR="003A434B" w:rsidRPr="000D3AD1">
        <w:rPr>
          <w:rFonts w:ascii="Times New Roman" w:eastAsia="SimSun" w:hAnsi="Times New Roman" w:cs="Times New Roman"/>
          <w:sz w:val="24"/>
          <w:szCs w:val="24"/>
          <w:lang w:val="en-GB"/>
        </w:rPr>
        <w:t xml:space="preserve"> and DJSI-SP500</w:t>
      </w:r>
      <w:r w:rsidR="007846D2" w:rsidRPr="000D3AD1">
        <w:rPr>
          <w:rFonts w:ascii="Times New Roman" w:eastAsia="SimSun" w:hAnsi="Times New Roman" w:cs="Times New Roman"/>
          <w:sz w:val="24"/>
          <w:szCs w:val="24"/>
          <w:lang w:val="en-GB"/>
        </w:rPr>
        <w:t xml:space="preserve"> exhibit bi-directional </w:t>
      </w:r>
      <w:proofErr w:type="spellStart"/>
      <w:r w:rsidR="007846D2" w:rsidRPr="000D3AD1">
        <w:rPr>
          <w:rFonts w:ascii="Times New Roman" w:eastAsia="SimSun" w:hAnsi="Times New Roman" w:cs="Times New Roman"/>
          <w:sz w:val="24"/>
          <w:szCs w:val="24"/>
          <w:lang w:val="en-GB"/>
        </w:rPr>
        <w:t>spillovers</w:t>
      </w:r>
      <w:proofErr w:type="spellEnd"/>
      <w:r w:rsidR="007846D2" w:rsidRPr="000D3AD1">
        <w:rPr>
          <w:rFonts w:ascii="Times New Roman" w:eastAsia="SimSun" w:hAnsi="Times New Roman" w:cs="Times New Roman"/>
          <w:sz w:val="24"/>
          <w:szCs w:val="24"/>
          <w:lang w:val="en-GB"/>
        </w:rPr>
        <w:t xml:space="preserve"> </w:t>
      </w:r>
      <w:r w:rsidR="003A434B" w:rsidRPr="000D3AD1">
        <w:rPr>
          <w:rFonts w:ascii="Times New Roman" w:eastAsia="SimSun" w:hAnsi="Times New Roman" w:cs="Times New Roman"/>
          <w:sz w:val="24"/>
          <w:szCs w:val="24"/>
          <w:lang w:val="en-GB"/>
        </w:rPr>
        <w:t xml:space="preserve">with slighter magnitude. </w:t>
      </w:r>
      <w:r w:rsidR="00A93E17" w:rsidRPr="000D3AD1">
        <w:rPr>
          <w:rFonts w:ascii="Times New Roman" w:eastAsia="SimSun" w:hAnsi="Times New Roman" w:cs="Times New Roman"/>
          <w:sz w:val="24"/>
          <w:szCs w:val="24"/>
          <w:lang w:val="en-GB"/>
        </w:rPr>
        <w:t xml:space="preserve">Overall, in the pre-COVID sample, GSCI, SPGC, DJSI and SPGB </w:t>
      </w:r>
      <w:r w:rsidR="0073584E" w:rsidRPr="000D3AD1">
        <w:rPr>
          <w:rFonts w:ascii="Times New Roman" w:eastAsia="SimSun" w:hAnsi="Times New Roman" w:cs="Times New Roman"/>
          <w:sz w:val="24"/>
          <w:szCs w:val="24"/>
          <w:lang w:val="en-GB"/>
        </w:rPr>
        <w:t xml:space="preserve">transmit risk </w:t>
      </w:r>
      <w:proofErr w:type="spellStart"/>
      <w:r w:rsidR="0073584E" w:rsidRPr="000D3AD1">
        <w:rPr>
          <w:rFonts w:ascii="Times New Roman" w:eastAsia="SimSun" w:hAnsi="Times New Roman" w:cs="Times New Roman"/>
          <w:sz w:val="24"/>
          <w:szCs w:val="24"/>
          <w:lang w:val="en-GB"/>
        </w:rPr>
        <w:t>spillovers</w:t>
      </w:r>
      <w:proofErr w:type="spellEnd"/>
      <w:r w:rsidR="0073584E" w:rsidRPr="000D3AD1">
        <w:rPr>
          <w:rFonts w:ascii="Times New Roman" w:eastAsia="SimSun" w:hAnsi="Times New Roman" w:cs="Times New Roman"/>
          <w:sz w:val="24"/>
          <w:szCs w:val="24"/>
          <w:lang w:val="en-GB"/>
        </w:rPr>
        <w:t xml:space="preserve"> to other markets, while DJIS is exposed to extreme tail risk as to</w:t>
      </w:r>
      <w:r w:rsidR="00A93E17" w:rsidRPr="000D3AD1">
        <w:rPr>
          <w:rFonts w:ascii="Times New Roman" w:eastAsia="SimSun" w:hAnsi="Times New Roman" w:cs="Times New Roman"/>
          <w:sz w:val="24"/>
          <w:szCs w:val="24"/>
          <w:lang w:val="en-GB"/>
        </w:rPr>
        <w:t xml:space="preserve"> the net recipient of risk shocks. </w:t>
      </w:r>
      <w:r w:rsidR="000B17B1" w:rsidRPr="000D3AD1">
        <w:rPr>
          <w:rFonts w:ascii="Times New Roman" w:eastAsia="SimSun" w:hAnsi="Times New Roman" w:cs="Times New Roman"/>
          <w:sz w:val="24"/>
          <w:szCs w:val="24"/>
          <w:lang w:val="en-GB"/>
        </w:rPr>
        <w:t xml:space="preserve">Soon after the onset of COVID-19, Figure 5(b) </w:t>
      </w:r>
      <w:r w:rsidR="004D0BC6" w:rsidRPr="000D3AD1">
        <w:rPr>
          <w:rFonts w:ascii="Times New Roman" w:eastAsia="SimSun" w:hAnsi="Times New Roman" w:cs="Times New Roman"/>
          <w:sz w:val="24"/>
          <w:szCs w:val="24"/>
          <w:lang w:val="en-GB"/>
        </w:rPr>
        <w:t xml:space="preserve">displays network connectedness of markets during COVID-19 crisis where strong bi-directional </w:t>
      </w:r>
      <w:proofErr w:type="spellStart"/>
      <w:r w:rsidR="004D0BC6" w:rsidRPr="000D3AD1">
        <w:rPr>
          <w:rFonts w:ascii="Times New Roman" w:eastAsia="SimSun" w:hAnsi="Times New Roman" w:cs="Times New Roman"/>
          <w:sz w:val="24"/>
          <w:szCs w:val="24"/>
          <w:lang w:val="en-GB"/>
        </w:rPr>
        <w:t>spillovers</w:t>
      </w:r>
      <w:proofErr w:type="spellEnd"/>
      <w:r w:rsidR="004D0BC6" w:rsidRPr="000D3AD1">
        <w:rPr>
          <w:rFonts w:ascii="Times New Roman" w:eastAsia="SimSun" w:hAnsi="Times New Roman" w:cs="Times New Roman"/>
          <w:sz w:val="24"/>
          <w:szCs w:val="24"/>
          <w:lang w:val="en-GB"/>
        </w:rPr>
        <w:t xml:space="preserve"> are observed between BBGT and SPGB followed by DJSI-DJIS, and DJSI-SP500 market pairs. Interestingly, DJSI has switched from risk transmitter to risk recipient during the COVID-19 period showcasing </w:t>
      </w:r>
      <w:r w:rsidR="0073584E" w:rsidRPr="000D3AD1">
        <w:rPr>
          <w:rFonts w:ascii="Times New Roman" w:eastAsia="SimSun" w:hAnsi="Times New Roman" w:cs="Times New Roman"/>
          <w:sz w:val="24"/>
          <w:szCs w:val="24"/>
          <w:lang w:val="en-GB"/>
        </w:rPr>
        <w:t xml:space="preserve">the </w:t>
      </w:r>
      <w:r w:rsidR="004D0BC6" w:rsidRPr="000D3AD1">
        <w:rPr>
          <w:rFonts w:ascii="Times New Roman" w:eastAsia="SimSun" w:hAnsi="Times New Roman" w:cs="Times New Roman"/>
          <w:sz w:val="24"/>
          <w:szCs w:val="24"/>
          <w:lang w:val="en-GB"/>
        </w:rPr>
        <w:t xml:space="preserve">high vulnerability of DJSI to the extreme external volatilities. </w:t>
      </w:r>
      <w:r w:rsidR="00C61878" w:rsidRPr="003C5683">
        <w:rPr>
          <w:rFonts w:ascii="Times New Roman" w:eastAsia="SimSun" w:hAnsi="Times New Roman" w:cs="Times New Roman"/>
          <w:color w:val="0000FF"/>
          <w:sz w:val="24"/>
          <w:szCs w:val="24"/>
          <w:lang w:val="en-GB"/>
        </w:rPr>
        <w:t xml:space="preserve">Concurrently, GSCI persisted its net transmission of risk </w:t>
      </w:r>
      <w:proofErr w:type="spellStart"/>
      <w:r w:rsidR="00C61878" w:rsidRPr="003C5683">
        <w:rPr>
          <w:rFonts w:ascii="Times New Roman" w:eastAsia="SimSun" w:hAnsi="Times New Roman" w:cs="Times New Roman"/>
          <w:color w:val="0000FF"/>
          <w:sz w:val="24"/>
          <w:szCs w:val="24"/>
          <w:lang w:val="en-GB"/>
        </w:rPr>
        <w:t>spillovers</w:t>
      </w:r>
      <w:proofErr w:type="spellEnd"/>
      <w:r w:rsidR="00C61878" w:rsidRPr="003C5683">
        <w:rPr>
          <w:rFonts w:ascii="Times New Roman" w:eastAsia="SimSun" w:hAnsi="Times New Roman" w:cs="Times New Roman"/>
          <w:color w:val="0000FF"/>
          <w:sz w:val="24"/>
          <w:szCs w:val="24"/>
          <w:lang w:val="en-GB"/>
        </w:rPr>
        <w:t xml:space="preserve"> probably due to strong market integration in the financial system </w:t>
      </w:r>
      <w:r w:rsidR="00CD0694" w:rsidRPr="003C5683">
        <w:rPr>
          <w:rFonts w:ascii="Times New Roman" w:eastAsia="SimSun" w:hAnsi="Times New Roman" w:cs="Times New Roman"/>
          <w:color w:val="0000FF"/>
          <w:sz w:val="24"/>
          <w:szCs w:val="24"/>
          <w:lang w:val="en-GB"/>
        </w:rPr>
        <w:t xml:space="preserve">as it represents commodity markets in line with Yoon et al. (2019) and </w:t>
      </w:r>
      <w:proofErr w:type="spellStart"/>
      <w:r w:rsidR="00CD0694" w:rsidRPr="003C5683">
        <w:rPr>
          <w:rFonts w:ascii="Times New Roman" w:eastAsia="SimSun" w:hAnsi="Times New Roman" w:cs="Times New Roman"/>
          <w:color w:val="0000FF"/>
          <w:sz w:val="24"/>
          <w:szCs w:val="24"/>
          <w:lang w:val="en-GB"/>
        </w:rPr>
        <w:t>Balli</w:t>
      </w:r>
      <w:proofErr w:type="spellEnd"/>
      <w:r w:rsidR="00CD0694" w:rsidRPr="003C5683">
        <w:rPr>
          <w:rFonts w:ascii="Times New Roman" w:eastAsia="SimSun" w:hAnsi="Times New Roman" w:cs="Times New Roman"/>
          <w:color w:val="0000FF"/>
          <w:sz w:val="24"/>
          <w:szCs w:val="24"/>
          <w:lang w:val="en-GB"/>
        </w:rPr>
        <w:t xml:space="preserve"> et al. (2019)</w:t>
      </w:r>
      <w:r w:rsidR="0073584E" w:rsidRPr="003C5683">
        <w:rPr>
          <w:rFonts w:ascii="Times New Roman" w:eastAsia="SimSun" w:hAnsi="Times New Roman" w:cs="Times New Roman"/>
          <w:color w:val="0000FF"/>
          <w:sz w:val="24"/>
          <w:szCs w:val="24"/>
          <w:lang w:val="en-GB"/>
        </w:rPr>
        <w:t>,</w:t>
      </w:r>
      <w:r w:rsidR="00CD0694" w:rsidRPr="003C5683">
        <w:rPr>
          <w:rFonts w:ascii="Times New Roman" w:eastAsia="SimSun" w:hAnsi="Times New Roman" w:cs="Times New Roman"/>
          <w:color w:val="0000FF"/>
          <w:sz w:val="24"/>
          <w:szCs w:val="24"/>
          <w:lang w:val="en-GB"/>
        </w:rPr>
        <w:t xml:space="preserve"> who also reported strong risk emission from </w:t>
      </w:r>
      <w:r w:rsidR="0073584E" w:rsidRPr="003C5683">
        <w:rPr>
          <w:rFonts w:ascii="Times New Roman" w:eastAsia="SimSun" w:hAnsi="Times New Roman" w:cs="Times New Roman"/>
          <w:color w:val="0000FF"/>
          <w:sz w:val="24"/>
          <w:szCs w:val="24"/>
          <w:lang w:val="en-GB"/>
        </w:rPr>
        <w:t xml:space="preserve">a </w:t>
      </w:r>
      <w:r w:rsidR="00CD0694" w:rsidRPr="003C5683">
        <w:rPr>
          <w:rFonts w:ascii="Times New Roman" w:eastAsia="SimSun" w:hAnsi="Times New Roman" w:cs="Times New Roman"/>
          <w:color w:val="0000FF"/>
          <w:sz w:val="24"/>
          <w:szCs w:val="24"/>
          <w:lang w:val="en-GB"/>
        </w:rPr>
        <w:t xml:space="preserve">commodity market to other financial markets. </w:t>
      </w:r>
      <w:r w:rsidR="00BF7D51" w:rsidRPr="003C5683">
        <w:rPr>
          <w:rFonts w:ascii="Times New Roman" w:eastAsia="SimSun" w:hAnsi="Times New Roman" w:cs="Times New Roman"/>
          <w:color w:val="0000FF"/>
          <w:sz w:val="24"/>
          <w:szCs w:val="24"/>
          <w:lang w:val="en-GB"/>
        </w:rPr>
        <w:t>Moreover, SPGC demonstrated net risk transmission during COVID-19 corroborating Saeed et al. (2021)</w:t>
      </w:r>
      <w:r w:rsidR="0073584E" w:rsidRPr="003C5683">
        <w:rPr>
          <w:rFonts w:ascii="Times New Roman" w:eastAsia="SimSun" w:hAnsi="Times New Roman" w:cs="Times New Roman"/>
          <w:color w:val="0000FF"/>
          <w:sz w:val="24"/>
          <w:szCs w:val="24"/>
          <w:lang w:val="en-GB"/>
        </w:rPr>
        <w:t>,</w:t>
      </w:r>
      <w:r w:rsidR="00BF7D51" w:rsidRPr="003C5683">
        <w:rPr>
          <w:rFonts w:ascii="Times New Roman" w:eastAsia="SimSun" w:hAnsi="Times New Roman" w:cs="Times New Roman"/>
          <w:color w:val="0000FF"/>
          <w:sz w:val="24"/>
          <w:szCs w:val="24"/>
          <w:lang w:val="en-GB"/>
        </w:rPr>
        <w:t xml:space="preserve"> who documented risk transmission of </w:t>
      </w:r>
      <w:r w:rsidR="0073584E" w:rsidRPr="003C5683">
        <w:rPr>
          <w:rFonts w:ascii="Times New Roman" w:eastAsia="SimSun" w:hAnsi="Times New Roman" w:cs="Times New Roman"/>
          <w:color w:val="0000FF"/>
          <w:sz w:val="24"/>
          <w:szCs w:val="24"/>
          <w:lang w:val="en-GB"/>
        </w:rPr>
        <w:t xml:space="preserve">the </w:t>
      </w:r>
      <w:r w:rsidR="00BF7D51" w:rsidRPr="003C5683">
        <w:rPr>
          <w:rFonts w:ascii="Times New Roman" w:eastAsia="SimSun" w:hAnsi="Times New Roman" w:cs="Times New Roman"/>
          <w:color w:val="0000FF"/>
          <w:sz w:val="24"/>
          <w:szCs w:val="24"/>
          <w:lang w:val="en-GB"/>
        </w:rPr>
        <w:t xml:space="preserve">clean energy market to dirty energy markets. </w:t>
      </w:r>
      <w:r w:rsidR="00147EB1" w:rsidRPr="003C5683">
        <w:rPr>
          <w:rFonts w:ascii="Times New Roman" w:eastAsia="SimSun" w:hAnsi="Times New Roman" w:cs="Times New Roman"/>
          <w:color w:val="0000FF"/>
          <w:sz w:val="24"/>
          <w:szCs w:val="24"/>
          <w:lang w:val="en-GB"/>
        </w:rPr>
        <w:t xml:space="preserve">Conversely, SP500 and DJIS are net risk recipients indicating </w:t>
      </w:r>
      <w:r w:rsidR="0073584E" w:rsidRPr="003C5683">
        <w:rPr>
          <w:rFonts w:ascii="Times New Roman" w:eastAsia="SimSun" w:hAnsi="Times New Roman" w:cs="Times New Roman"/>
          <w:color w:val="0000FF"/>
          <w:sz w:val="24"/>
          <w:szCs w:val="24"/>
          <w:lang w:val="en-GB"/>
        </w:rPr>
        <w:t xml:space="preserve">the </w:t>
      </w:r>
      <w:r w:rsidR="00147EB1" w:rsidRPr="003C5683">
        <w:rPr>
          <w:rFonts w:ascii="Times New Roman" w:eastAsia="SimSun" w:hAnsi="Times New Roman" w:cs="Times New Roman"/>
          <w:color w:val="0000FF"/>
          <w:sz w:val="24"/>
          <w:szCs w:val="24"/>
          <w:lang w:val="en-GB"/>
        </w:rPr>
        <w:t xml:space="preserve">susceptibility of these markets to the economic turmoil periods in line with Wang et al. (2020) and </w:t>
      </w:r>
      <w:r w:rsidR="00590454" w:rsidRPr="003C5683">
        <w:rPr>
          <w:rFonts w:ascii="Times New Roman" w:eastAsia="SimSun" w:hAnsi="Times New Roman" w:cs="Times New Roman"/>
          <w:color w:val="0000FF"/>
          <w:sz w:val="24"/>
          <w:szCs w:val="24"/>
          <w:lang w:val="en-GB"/>
        </w:rPr>
        <w:t>Naeem et al. (2021</w:t>
      </w:r>
      <w:r w:rsidR="00696911" w:rsidRPr="003C5683">
        <w:rPr>
          <w:rFonts w:ascii="Times New Roman" w:eastAsia="SimSun" w:hAnsi="Times New Roman" w:cs="Times New Roman"/>
          <w:color w:val="0000FF"/>
          <w:sz w:val="24"/>
          <w:szCs w:val="24"/>
          <w:lang w:val="en-GB"/>
        </w:rPr>
        <w:t>b</w:t>
      </w:r>
      <w:r w:rsidR="00590454" w:rsidRPr="003C5683">
        <w:rPr>
          <w:rFonts w:ascii="Times New Roman" w:eastAsia="SimSun" w:hAnsi="Times New Roman" w:cs="Times New Roman"/>
          <w:color w:val="0000FF"/>
          <w:sz w:val="24"/>
          <w:szCs w:val="24"/>
          <w:lang w:val="en-GB"/>
        </w:rPr>
        <w:t xml:space="preserve">), respectively. </w:t>
      </w:r>
      <w:r w:rsidR="001B425D" w:rsidRPr="003C5683">
        <w:rPr>
          <w:rFonts w:ascii="Times New Roman" w:eastAsia="SimSun" w:hAnsi="Times New Roman" w:cs="Times New Roman"/>
          <w:color w:val="0000FF"/>
          <w:sz w:val="24"/>
          <w:szCs w:val="24"/>
          <w:lang w:val="en-GB"/>
        </w:rPr>
        <w:t xml:space="preserve">Strong interconnectedness among sustainable, religious, and conventional markets echoes the impact of </w:t>
      </w:r>
      <w:r w:rsidR="0073584E" w:rsidRPr="003C5683">
        <w:rPr>
          <w:rFonts w:ascii="Times New Roman" w:eastAsia="SimSun" w:hAnsi="Times New Roman" w:cs="Times New Roman"/>
          <w:color w:val="0000FF"/>
          <w:sz w:val="24"/>
          <w:szCs w:val="24"/>
          <w:lang w:val="en-GB"/>
        </w:rPr>
        <w:t xml:space="preserve">the </w:t>
      </w:r>
      <w:r w:rsidR="001B425D" w:rsidRPr="003C5683">
        <w:rPr>
          <w:rFonts w:ascii="Times New Roman" w:eastAsia="SimSun" w:hAnsi="Times New Roman" w:cs="Times New Roman"/>
          <w:color w:val="0000FF"/>
          <w:sz w:val="24"/>
          <w:szCs w:val="24"/>
          <w:lang w:val="en-GB"/>
        </w:rPr>
        <w:t xml:space="preserve">black-swan event on the </w:t>
      </w:r>
      <w:proofErr w:type="spellStart"/>
      <w:r w:rsidR="001B425D" w:rsidRPr="003C5683">
        <w:rPr>
          <w:rFonts w:ascii="Times New Roman" w:eastAsia="SimSun" w:hAnsi="Times New Roman" w:cs="Times New Roman"/>
          <w:color w:val="0000FF"/>
          <w:sz w:val="24"/>
          <w:szCs w:val="24"/>
          <w:lang w:val="en-GB"/>
        </w:rPr>
        <w:t>spillovers</w:t>
      </w:r>
      <w:proofErr w:type="spellEnd"/>
      <w:r w:rsidR="001B425D" w:rsidRPr="003C5683">
        <w:rPr>
          <w:rFonts w:ascii="Times New Roman" w:eastAsia="SimSun" w:hAnsi="Times New Roman" w:cs="Times New Roman"/>
          <w:color w:val="0000FF"/>
          <w:sz w:val="24"/>
          <w:szCs w:val="24"/>
          <w:lang w:val="en-GB"/>
        </w:rPr>
        <w:t xml:space="preserve"> across markets where intense periods bring higher connectivity among financial markets (Karim et al., 2022a; 2022b</w:t>
      </w:r>
      <w:r w:rsidR="00696911" w:rsidRPr="003C5683">
        <w:rPr>
          <w:rFonts w:ascii="Times New Roman" w:eastAsia="SimSun" w:hAnsi="Times New Roman" w:cs="Times New Roman"/>
          <w:color w:val="0000FF"/>
          <w:sz w:val="24"/>
          <w:szCs w:val="24"/>
          <w:lang w:val="en-GB"/>
        </w:rPr>
        <w:t xml:space="preserve">; </w:t>
      </w:r>
      <w:proofErr w:type="spellStart"/>
      <w:r w:rsidR="001B425D" w:rsidRPr="003C5683">
        <w:rPr>
          <w:rFonts w:ascii="Times New Roman" w:eastAsia="SimSun" w:hAnsi="Times New Roman" w:cs="Times New Roman"/>
          <w:color w:val="0000FF"/>
          <w:sz w:val="24"/>
          <w:szCs w:val="24"/>
          <w:lang w:val="en-GB"/>
        </w:rPr>
        <w:t>Yarovaya</w:t>
      </w:r>
      <w:proofErr w:type="spellEnd"/>
      <w:r w:rsidR="001B425D" w:rsidRPr="003C5683">
        <w:rPr>
          <w:rFonts w:ascii="Times New Roman" w:eastAsia="SimSun" w:hAnsi="Times New Roman" w:cs="Times New Roman"/>
          <w:color w:val="0000FF"/>
          <w:sz w:val="24"/>
          <w:szCs w:val="24"/>
          <w:lang w:val="en-GB"/>
        </w:rPr>
        <w:t xml:space="preserve"> et al., 202</w:t>
      </w:r>
      <w:r w:rsidR="008F2020" w:rsidRPr="003C5683">
        <w:rPr>
          <w:rFonts w:ascii="Times New Roman" w:eastAsia="SimSun" w:hAnsi="Times New Roman" w:cs="Times New Roman"/>
          <w:color w:val="0000FF"/>
          <w:sz w:val="24"/>
          <w:szCs w:val="24"/>
          <w:lang w:val="en-GB"/>
        </w:rPr>
        <w:t>2</w:t>
      </w:r>
      <w:r w:rsidR="001B425D" w:rsidRPr="003C5683">
        <w:rPr>
          <w:rFonts w:ascii="Times New Roman" w:eastAsia="SimSun" w:hAnsi="Times New Roman" w:cs="Times New Roman"/>
          <w:color w:val="0000FF"/>
          <w:sz w:val="24"/>
          <w:szCs w:val="24"/>
          <w:lang w:val="en-GB"/>
        </w:rPr>
        <w:t xml:space="preserve">). </w:t>
      </w:r>
    </w:p>
    <w:p w14:paraId="24361436" w14:textId="1429BF7D" w:rsidR="00235676" w:rsidRPr="000D3AD1" w:rsidRDefault="00B406BB" w:rsidP="00B406BB">
      <w:pPr>
        <w:spacing w:after="240" w:line="480" w:lineRule="auto"/>
        <w:jc w:val="center"/>
        <w:rPr>
          <w:rFonts w:ascii="Times New Roman" w:hAnsi="Times New Roman" w:cs="Times New Roman"/>
          <w:sz w:val="24"/>
          <w:szCs w:val="24"/>
        </w:rPr>
      </w:pPr>
      <w:r w:rsidRPr="000D3AD1">
        <w:rPr>
          <w:rFonts w:ascii="Times New Roman" w:hAnsi="Times New Roman" w:cs="Times New Roman"/>
          <w:sz w:val="24"/>
          <w:szCs w:val="24"/>
        </w:rPr>
        <w:t>[Figure 5 about here]</w:t>
      </w:r>
    </w:p>
    <w:p w14:paraId="4D1A9B17" w14:textId="555BDBA3" w:rsidR="00E67E2E" w:rsidRPr="000D3AD1" w:rsidRDefault="00E67E2E" w:rsidP="00B406BB">
      <w:pPr>
        <w:spacing w:after="240" w:line="480" w:lineRule="auto"/>
        <w:jc w:val="both"/>
        <w:rPr>
          <w:rFonts w:ascii="Times New Roman" w:eastAsia="SimSun" w:hAnsi="Times New Roman" w:cs="Times New Roman"/>
          <w:i/>
          <w:iCs/>
          <w:sz w:val="24"/>
          <w:szCs w:val="24"/>
          <w:lang w:val="en-GB"/>
        </w:rPr>
      </w:pPr>
      <w:r w:rsidRPr="000D3AD1">
        <w:rPr>
          <w:rFonts w:ascii="Times New Roman" w:eastAsia="SimSun" w:hAnsi="Times New Roman" w:cs="Times New Roman"/>
          <w:i/>
          <w:iCs/>
          <w:sz w:val="24"/>
          <w:szCs w:val="24"/>
          <w:lang w:val="en-GB"/>
        </w:rPr>
        <w:t>4.4 Systematic Network Risk Index (SNRI)</w:t>
      </w:r>
    </w:p>
    <w:p w14:paraId="10F4DFF1" w14:textId="1266FF40" w:rsidR="00B406BB" w:rsidRPr="003C5683" w:rsidRDefault="002C2617" w:rsidP="00B406BB">
      <w:pPr>
        <w:spacing w:after="240" w:line="480" w:lineRule="auto"/>
        <w:jc w:val="both"/>
        <w:rPr>
          <w:rFonts w:ascii="Times New Roman" w:eastAsia="SimSun" w:hAnsi="Times New Roman" w:cs="Times New Roman"/>
          <w:color w:val="0000FF"/>
          <w:sz w:val="24"/>
          <w:szCs w:val="24"/>
          <w:lang w:val="en-GB"/>
        </w:rPr>
      </w:pPr>
      <w:r w:rsidRPr="000D3AD1">
        <w:rPr>
          <w:rFonts w:ascii="Times New Roman" w:eastAsia="SimSun" w:hAnsi="Times New Roman" w:cs="Times New Roman"/>
          <w:sz w:val="24"/>
          <w:szCs w:val="24"/>
          <w:lang w:val="en-GB"/>
        </w:rPr>
        <w:lastRenderedPageBreak/>
        <w:t>This subsection presents the Systematic Network Risk Index (SNRI)</w:t>
      </w:r>
      <w:r w:rsidR="0073584E" w:rsidRPr="000D3AD1">
        <w:rPr>
          <w:rFonts w:ascii="Times New Roman" w:eastAsia="SimSun" w:hAnsi="Times New Roman" w:cs="Times New Roman"/>
          <w:sz w:val="24"/>
          <w:szCs w:val="24"/>
          <w:lang w:val="en-GB"/>
        </w:rPr>
        <w:t>,</w:t>
      </w:r>
      <w:r w:rsidRPr="000D3AD1">
        <w:rPr>
          <w:rFonts w:ascii="Times New Roman" w:eastAsia="SimSun" w:hAnsi="Times New Roman" w:cs="Times New Roman"/>
          <w:sz w:val="24"/>
          <w:szCs w:val="24"/>
          <w:lang w:val="en-GB"/>
        </w:rPr>
        <w:t xml:space="preserve"> exhibiting the total risk of the overall system. </w:t>
      </w:r>
      <w:r w:rsidR="00D410E6" w:rsidRPr="000D3AD1">
        <w:rPr>
          <w:rFonts w:ascii="Times New Roman" w:eastAsia="SimSun" w:hAnsi="Times New Roman" w:cs="Times New Roman"/>
          <w:sz w:val="24"/>
          <w:szCs w:val="24"/>
          <w:lang w:val="en-GB"/>
        </w:rPr>
        <w:t xml:space="preserve">Figure 6 expresses smoothed time series of SNRI reflecting significant ups and downs </w:t>
      </w:r>
      <w:r w:rsidR="00FB02E9" w:rsidRPr="000D3AD1">
        <w:rPr>
          <w:rFonts w:ascii="Times New Roman" w:eastAsia="SimSun" w:hAnsi="Times New Roman" w:cs="Times New Roman"/>
          <w:sz w:val="24"/>
          <w:szCs w:val="24"/>
          <w:lang w:val="en-GB"/>
        </w:rPr>
        <w:t xml:space="preserve">and market phases. Initially, a spike during the end of 2008 echoes GFC when the financial crisis originated from </w:t>
      </w:r>
      <w:r w:rsidR="0073584E" w:rsidRPr="000D3AD1">
        <w:rPr>
          <w:rFonts w:ascii="Times New Roman" w:eastAsia="SimSun" w:hAnsi="Times New Roman" w:cs="Times New Roman"/>
          <w:sz w:val="24"/>
          <w:szCs w:val="24"/>
          <w:lang w:val="en-GB"/>
        </w:rPr>
        <w:t xml:space="preserve">the </w:t>
      </w:r>
      <w:r w:rsidR="00FB02E9" w:rsidRPr="000D3AD1">
        <w:rPr>
          <w:rFonts w:ascii="Times New Roman" w:eastAsia="SimSun" w:hAnsi="Times New Roman" w:cs="Times New Roman"/>
          <w:sz w:val="24"/>
          <w:szCs w:val="24"/>
          <w:lang w:val="en-GB"/>
        </w:rPr>
        <w:t>US</w:t>
      </w:r>
      <w:r w:rsidR="0073584E" w:rsidRPr="000D3AD1">
        <w:rPr>
          <w:rFonts w:ascii="Times New Roman" w:eastAsia="SimSun" w:hAnsi="Times New Roman" w:cs="Times New Roman"/>
          <w:sz w:val="24"/>
          <w:szCs w:val="24"/>
          <w:lang w:val="en-GB"/>
        </w:rPr>
        <w:t>-</w:t>
      </w:r>
      <w:r w:rsidR="00FB02E9" w:rsidRPr="000D3AD1">
        <w:rPr>
          <w:rFonts w:ascii="Times New Roman" w:eastAsia="SimSun" w:hAnsi="Times New Roman" w:cs="Times New Roman"/>
          <w:sz w:val="24"/>
          <w:szCs w:val="24"/>
          <w:lang w:val="en-GB"/>
        </w:rPr>
        <w:t>based financial giant – Lehman Brothers – suffered the severest economic downturn</w:t>
      </w:r>
      <w:r w:rsidR="000C0FEF" w:rsidRPr="000D3AD1">
        <w:rPr>
          <w:rFonts w:ascii="Times New Roman" w:eastAsia="SimSun" w:hAnsi="Times New Roman" w:cs="Times New Roman"/>
          <w:sz w:val="24"/>
          <w:szCs w:val="24"/>
          <w:lang w:val="en-GB"/>
        </w:rPr>
        <w:t xml:space="preserve">. Aligning our results with </w:t>
      </w:r>
      <w:r w:rsidR="0045725D">
        <w:rPr>
          <w:rFonts w:ascii="Times New Roman" w:eastAsia="SimSun" w:hAnsi="Times New Roman" w:cs="Times New Roman"/>
          <w:sz w:val="24"/>
          <w:szCs w:val="24"/>
          <w:lang w:val="en-GB"/>
        </w:rPr>
        <w:t xml:space="preserve">Alawi et al., (2022), Answer et al., (2022), </w:t>
      </w:r>
      <w:r w:rsidR="000C0FEF" w:rsidRPr="000D3AD1">
        <w:rPr>
          <w:rFonts w:ascii="Times New Roman" w:eastAsia="SimSun" w:hAnsi="Times New Roman" w:cs="Times New Roman"/>
          <w:sz w:val="24"/>
          <w:szCs w:val="24"/>
          <w:lang w:val="en-GB"/>
        </w:rPr>
        <w:t>Tiwari et al. (2021)</w:t>
      </w:r>
      <w:r w:rsidR="0045725D">
        <w:rPr>
          <w:rFonts w:ascii="Times New Roman" w:eastAsia="SimSun" w:hAnsi="Times New Roman" w:cs="Times New Roman"/>
          <w:sz w:val="24"/>
          <w:szCs w:val="24"/>
          <w:lang w:val="en-GB"/>
        </w:rPr>
        <w:t>, Karim and Naeem (2022), Karim et al., (2022c, 2022d, 2022e),</w:t>
      </w:r>
      <w:r w:rsidR="000C0FEF" w:rsidRPr="000D3AD1">
        <w:rPr>
          <w:rFonts w:ascii="Times New Roman" w:eastAsia="SimSun" w:hAnsi="Times New Roman" w:cs="Times New Roman"/>
          <w:sz w:val="24"/>
          <w:szCs w:val="24"/>
          <w:lang w:val="en-GB"/>
        </w:rPr>
        <w:t xml:space="preserve"> and Shahzad et al. (2021), the global financial crisis created massive havoc across financial markets</w:t>
      </w:r>
      <w:r w:rsidR="0073584E" w:rsidRPr="000D3AD1">
        <w:rPr>
          <w:rFonts w:ascii="Times New Roman" w:eastAsia="SimSun" w:hAnsi="Times New Roman" w:cs="Times New Roman"/>
          <w:sz w:val="24"/>
          <w:szCs w:val="24"/>
          <w:lang w:val="en-GB"/>
        </w:rPr>
        <w:t>,</w:t>
      </w:r>
      <w:r w:rsidR="000C0FEF" w:rsidRPr="000D3AD1">
        <w:rPr>
          <w:rFonts w:ascii="Times New Roman" w:eastAsia="SimSun" w:hAnsi="Times New Roman" w:cs="Times New Roman"/>
          <w:sz w:val="24"/>
          <w:szCs w:val="24"/>
          <w:lang w:val="en-GB"/>
        </w:rPr>
        <w:t xml:space="preserve"> which intensified the overall risk of markets. </w:t>
      </w:r>
      <w:r w:rsidR="00C3085B" w:rsidRPr="000D3AD1">
        <w:rPr>
          <w:rFonts w:ascii="Times New Roman" w:eastAsia="SimSun" w:hAnsi="Times New Roman" w:cs="Times New Roman"/>
          <w:sz w:val="24"/>
          <w:szCs w:val="24"/>
          <w:lang w:val="en-GB"/>
        </w:rPr>
        <w:t xml:space="preserve">The second subsequent peak appeared in the </w:t>
      </w:r>
      <w:r w:rsidR="00AC73DE" w:rsidRPr="000D3AD1">
        <w:rPr>
          <w:rFonts w:ascii="Times New Roman" w:eastAsia="SimSun" w:hAnsi="Times New Roman" w:cs="Times New Roman"/>
          <w:sz w:val="24"/>
          <w:szCs w:val="24"/>
          <w:lang w:val="en-GB"/>
        </w:rPr>
        <w:t>graph by the end of 2011</w:t>
      </w:r>
      <w:r w:rsidR="0073584E" w:rsidRPr="000D3AD1">
        <w:rPr>
          <w:rFonts w:ascii="Times New Roman" w:eastAsia="SimSun" w:hAnsi="Times New Roman" w:cs="Times New Roman"/>
          <w:sz w:val="24"/>
          <w:szCs w:val="24"/>
          <w:lang w:val="en-GB"/>
        </w:rPr>
        <w:t>,</w:t>
      </w:r>
      <w:r w:rsidR="00AC73DE" w:rsidRPr="000D3AD1">
        <w:rPr>
          <w:rFonts w:ascii="Times New Roman" w:eastAsia="SimSun" w:hAnsi="Times New Roman" w:cs="Times New Roman"/>
          <w:sz w:val="24"/>
          <w:szCs w:val="24"/>
          <w:lang w:val="en-GB"/>
        </w:rPr>
        <w:t xml:space="preserve"> reverberating the financial contagion of </w:t>
      </w:r>
      <w:r w:rsidR="0073584E" w:rsidRPr="000D3AD1">
        <w:rPr>
          <w:rFonts w:ascii="Times New Roman" w:eastAsia="SimSun" w:hAnsi="Times New Roman" w:cs="Times New Roman"/>
          <w:sz w:val="24"/>
          <w:szCs w:val="24"/>
          <w:lang w:val="en-GB"/>
        </w:rPr>
        <w:t xml:space="preserve">the </w:t>
      </w:r>
      <w:r w:rsidR="00AC73DE" w:rsidRPr="000D3AD1">
        <w:rPr>
          <w:rFonts w:ascii="Times New Roman" w:eastAsia="SimSun" w:hAnsi="Times New Roman" w:cs="Times New Roman"/>
          <w:sz w:val="24"/>
          <w:szCs w:val="24"/>
          <w:lang w:val="en-GB"/>
        </w:rPr>
        <w:t xml:space="preserve">European Debt Crisis (EDC). EDC refers </w:t>
      </w:r>
      <w:r w:rsidR="0073584E" w:rsidRPr="000D3AD1">
        <w:rPr>
          <w:rFonts w:ascii="Times New Roman" w:eastAsia="SimSun" w:hAnsi="Times New Roman" w:cs="Times New Roman"/>
          <w:sz w:val="24"/>
          <w:szCs w:val="24"/>
          <w:lang w:val="en-GB"/>
        </w:rPr>
        <w:t>to the anti-inflation mechanism where the central bank restricted</w:t>
      </w:r>
      <w:r w:rsidR="00AC73DE" w:rsidRPr="000D3AD1">
        <w:rPr>
          <w:rFonts w:ascii="Times New Roman" w:eastAsia="SimSun" w:hAnsi="Times New Roman" w:cs="Times New Roman"/>
          <w:sz w:val="24"/>
          <w:szCs w:val="24"/>
          <w:lang w:val="en-GB"/>
        </w:rPr>
        <w:t xml:space="preserve"> outbound resources (Blundell-</w:t>
      </w:r>
      <w:proofErr w:type="spellStart"/>
      <w:r w:rsidR="00AC73DE" w:rsidRPr="000D3AD1">
        <w:rPr>
          <w:rFonts w:ascii="Times New Roman" w:eastAsia="SimSun" w:hAnsi="Times New Roman" w:cs="Times New Roman"/>
          <w:sz w:val="24"/>
          <w:szCs w:val="24"/>
          <w:lang w:val="en-GB"/>
        </w:rPr>
        <w:t>Wignall</w:t>
      </w:r>
      <w:proofErr w:type="spellEnd"/>
      <w:r w:rsidR="00AC73DE" w:rsidRPr="000D3AD1">
        <w:rPr>
          <w:rFonts w:ascii="Times New Roman" w:eastAsia="SimSun" w:hAnsi="Times New Roman" w:cs="Times New Roman"/>
          <w:sz w:val="24"/>
          <w:szCs w:val="24"/>
          <w:lang w:val="en-GB"/>
        </w:rPr>
        <w:t xml:space="preserve">, 2012). </w:t>
      </w:r>
      <w:r w:rsidR="00A558CE" w:rsidRPr="000D3AD1">
        <w:rPr>
          <w:rFonts w:ascii="Times New Roman" w:eastAsia="SimSun" w:hAnsi="Times New Roman" w:cs="Times New Roman"/>
          <w:sz w:val="24"/>
          <w:szCs w:val="24"/>
          <w:lang w:val="en-GB"/>
        </w:rPr>
        <w:t xml:space="preserve">This crisis emphasized that the European Economy underwent harsh circumstances due to inaccuracies in the balance sheet and current accounts that ultimately lifted the SNRI in the plot. </w:t>
      </w:r>
      <w:r w:rsidR="00BD5F57" w:rsidRPr="003C5683">
        <w:rPr>
          <w:rFonts w:ascii="Times New Roman" w:eastAsia="SimSun" w:hAnsi="Times New Roman" w:cs="Times New Roman"/>
          <w:color w:val="0000FF"/>
          <w:sz w:val="24"/>
          <w:szCs w:val="24"/>
          <w:lang w:val="en-GB"/>
        </w:rPr>
        <w:t xml:space="preserve">This finding corroborates Farid et al. (2021) and </w:t>
      </w:r>
      <w:proofErr w:type="spellStart"/>
      <w:r w:rsidR="00BD5F57" w:rsidRPr="003C5683">
        <w:rPr>
          <w:rFonts w:ascii="Times New Roman" w:eastAsia="SimSun" w:hAnsi="Times New Roman" w:cs="Times New Roman"/>
          <w:color w:val="0000FF"/>
          <w:sz w:val="24"/>
          <w:szCs w:val="24"/>
          <w:lang w:val="en-GB"/>
        </w:rPr>
        <w:t>Abakah</w:t>
      </w:r>
      <w:proofErr w:type="spellEnd"/>
      <w:r w:rsidR="00BD5F57" w:rsidRPr="003C5683">
        <w:rPr>
          <w:rFonts w:ascii="Times New Roman" w:eastAsia="SimSun" w:hAnsi="Times New Roman" w:cs="Times New Roman"/>
          <w:color w:val="0000FF"/>
          <w:sz w:val="24"/>
          <w:szCs w:val="24"/>
          <w:lang w:val="en-GB"/>
        </w:rPr>
        <w:t xml:space="preserve"> et al. (2021)</w:t>
      </w:r>
      <w:r w:rsidR="0073584E" w:rsidRPr="003C5683">
        <w:rPr>
          <w:rFonts w:ascii="Times New Roman" w:eastAsia="SimSun" w:hAnsi="Times New Roman" w:cs="Times New Roman"/>
          <w:color w:val="0000FF"/>
          <w:sz w:val="24"/>
          <w:szCs w:val="24"/>
          <w:lang w:val="en-GB"/>
        </w:rPr>
        <w:t>,</w:t>
      </w:r>
      <w:r w:rsidR="00BD5F57" w:rsidRPr="003C5683">
        <w:rPr>
          <w:rFonts w:ascii="Times New Roman" w:eastAsia="SimSun" w:hAnsi="Times New Roman" w:cs="Times New Roman"/>
          <w:color w:val="0000FF"/>
          <w:sz w:val="24"/>
          <w:szCs w:val="24"/>
          <w:lang w:val="en-GB"/>
        </w:rPr>
        <w:t xml:space="preserve"> who documented similar spikes during EDC</w:t>
      </w:r>
      <w:r w:rsidR="0045725D">
        <w:rPr>
          <w:rFonts w:ascii="Times New Roman" w:eastAsia="SimSun" w:hAnsi="Times New Roman" w:cs="Times New Roman"/>
          <w:color w:val="0000FF"/>
          <w:sz w:val="24"/>
          <w:szCs w:val="24"/>
          <w:lang w:val="en-GB"/>
        </w:rPr>
        <w:t xml:space="preserve"> (</w:t>
      </w:r>
      <w:proofErr w:type="spellStart"/>
      <w:r w:rsidR="0045725D">
        <w:rPr>
          <w:rFonts w:ascii="Times New Roman" w:eastAsia="SimSun" w:hAnsi="Times New Roman" w:cs="Times New Roman"/>
          <w:color w:val="0000FF"/>
          <w:sz w:val="24"/>
          <w:szCs w:val="24"/>
          <w:lang w:val="en-GB"/>
        </w:rPr>
        <w:t>Benlagha</w:t>
      </w:r>
      <w:proofErr w:type="spellEnd"/>
      <w:r w:rsidR="0045725D">
        <w:rPr>
          <w:rFonts w:ascii="Times New Roman" w:eastAsia="SimSun" w:hAnsi="Times New Roman" w:cs="Times New Roman"/>
          <w:color w:val="0000FF"/>
          <w:sz w:val="24"/>
          <w:szCs w:val="24"/>
          <w:lang w:val="en-GB"/>
        </w:rPr>
        <w:t xml:space="preserve"> et al., 2022; </w:t>
      </w:r>
      <w:proofErr w:type="spellStart"/>
      <w:r w:rsidR="0045725D">
        <w:rPr>
          <w:rFonts w:ascii="Times New Roman" w:eastAsia="SimSun" w:hAnsi="Times New Roman" w:cs="Times New Roman"/>
          <w:color w:val="0000FF"/>
          <w:sz w:val="24"/>
          <w:szCs w:val="24"/>
          <w:lang w:val="en-GB"/>
        </w:rPr>
        <w:t>Billah</w:t>
      </w:r>
      <w:proofErr w:type="spellEnd"/>
      <w:r w:rsidR="0045725D">
        <w:rPr>
          <w:rFonts w:ascii="Times New Roman" w:eastAsia="SimSun" w:hAnsi="Times New Roman" w:cs="Times New Roman"/>
          <w:color w:val="0000FF"/>
          <w:sz w:val="24"/>
          <w:szCs w:val="24"/>
          <w:lang w:val="en-GB"/>
        </w:rPr>
        <w:t xml:space="preserve"> et al., 2022)</w:t>
      </w:r>
      <w:r w:rsidR="00BD5F57" w:rsidRPr="003C5683">
        <w:rPr>
          <w:rFonts w:ascii="Times New Roman" w:eastAsia="SimSun" w:hAnsi="Times New Roman" w:cs="Times New Roman"/>
          <w:color w:val="0000FF"/>
          <w:sz w:val="24"/>
          <w:szCs w:val="24"/>
          <w:lang w:val="en-GB"/>
        </w:rPr>
        <w:t xml:space="preserve">. Afterward, the pattern of SNRI is relatively stable with slighter spikes during </w:t>
      </w:r>
      <w:r w:rsidR="0073584E" w:rsidRPr="003C5683">
        <w:rPr>
          <w:rFonts w:ascii="Times New Roman" w:eastAsia="SimSun" w:hAnsi="Times New Roman" w:cs="Times New Roman"/>
          <w:color w:val="0000FF"/>
          <w:sz w:val="24"/>
          <w:szCs w:val="24"/>
          <w:lang w:val="en-GB"/>
        </w:rPr>
        <w:t>the Shale oil crisis and the Chinese stock market crash in 2016 but these spikes are insignificant</w:t>
      </w:r>
      <w:r w:rsidR="00236952" w:rsidRPr="003C5683">
        <w:rPr>
          <w:rFonts w:ascii="Times New Roman" w:eastAsia="SimSun" w:hAnsi="Times New Roman" w:cs="Times New Roman"/>
          <w:color w:val="0000FF"/>
          <w:sz w:val="24"/>
          <w:szCs w:val="24"/>
          <w:lang w:val="en-GB"/>
        </w:rPr>
        <w:t xml:space="preserve"> compared to GFC and EDC. </w:t>
      </w:r>
    </w:p>
    <w:p w14:paraId="0CA71C76" w14:textId="1FB247AD" w:rsidR="00C36312" w:rsidRPr="000D3AD1" w:rsidRDefault="00C36312" w:rsidP="00B406BB">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The outbreak of COVID-19 at the start of 2020 transmitted shocks to global financial markets gradually and the preventive measures imposed by the World Health Organization (WHO) </w:t>
      </w:r>
      <w:r w:rsidR="004F543D" w:rsidRPr="000D3AD1">
        <w:rPr>
          <w:rFonts w:ascii="Times New Roman" w:eastAsia="SimSun" w:hAnsi="Times New Roman" w:cs="Times New Roman"/>
          <w:sz w:val="24"/>
          <w:szCs w:val="24"/>
          <w:lang w:val="en-GB"/>
        </w:rPr>
        <w:t xml:space="preserve">to limit the spread of the virus influenced the global economy. </w:t>
      </w:r>
      <w:r w:rsidR="001D30DA" w:rsidRPr="000D3AD1">
        <w:rPr>
          <w:rFonts w:ascii="Times New Roman" w:eastAsia="SimSun" w:hAnsi="Times New Roman" w:cs="Times New Roman"/>
          <w:sz w:val="24"/>
          <w:szCs w:val="24"/>
          <w:lang w:val="en-GB"/>
        </w:rPr>
        <w:t>An exceptional increase in the SNRI during COVID-19 substantiates the impact of the disastrous virus on the systematic risk of sustainable, religious, and conventional markets</w:t>
      </w:r>
      <w:r w:rsidR="007A4856" w:rsidRPr="000D3AD1">
        <w:rPr>
          <w:rFonts w:ascii="Times New Roman" w:eastAsia="SimSun" w:hAnsi="Times New Roman" w:cs="Times New Roman"/>
          <w:sz w:val="24"/>
          <w:szCs w:val="24"/>
          <w:lang w:val="en-GB"/>
        </w:rPr>
        <w:t xml:space="preserve"> where </w:t>
      </w:r>
      <w:r w:rsidR="0073584E" w:rsidRPr="000D3AD1">
        <w:rPr>
          <w:rFonts w:ascii="Times New Roman" w:eastAsia="SimSun" w:hAnsi="Times New Roman" w:cs="Times New Roman"/>
          <w:sz w:val="24"/>
          <w:szCs w:val="24"/>
          <w:lang w:val="en-GB"/>
        </w:rPr>
        <w:t xml:space="preserve">the </w:t>
      </w:r>
      <w:r w:rsidR="007A4856" w:rsidRPr="000D3AD1">
        <w:rPr>
          <w:rFonts w:ascii="Times New Roman" w:eastAsia="SimSun" w:hAnsi="Times New Roman" w:cs="Times New Roman"/>
          <w:sz w:val="24"/>
          <w:szCs w:val="24"/>
          <w:lang w:val="en-GB"/>
        </w:rPr>
        <w:t xml:space="preserve">index touched the highest level of SNRI. </w:t>
      </w:r>
      <w:r w:rsidR="00942A7B" w:rsidRPr="003C5683">
        <w:rPr>
          <w:rFonts w:ascii="Times New Roman" w:eastAsia="SimSun" w:hAnsi="Times New Roman" w:cs="Times New Roman"/>
          <w:color w:val="0000FF"/>
          <w:sz w:val="24"/>
          <w:szCs w:val="24"/>
          <w:lang w:val="en-GB"/>
        </w:rPr>
        <w:t xml:space="preserve">The findings are </w:t>
      </w:r>
      <w:r w:rsidR="00C32145" w:rsidRPr="003C5683">
        <w:rPr>
          <w:rFonts w:ascii="Times New Roman" w:eastAsia="SimSun" w:hAnsi="Times New Roman" w:cs="Times New Roman"/>
          <w:color w:val="0000FF"/>
          <w:sz w:val="24"/>
          <w:szCs w:val="24"/>
          <w:lang w:val="en-GB"/>
        </w:rPr>
        <w:t xml:space="preserve">connoting Karim et al. (2022b), Adekoya and </w:t>
      </w:r>
      <w:proofErr w:type="spellStart"/>
      <w:r w:rsidR="00C32145" w:rsidRPr="003C5683">
        <w:rPr>
          <w:rFonts w:ascii="Times New Roman" w:eastAsia="SimSun" w:hAnsi="Times New Roman" w:cs="Times New Roman"/>
          <w:color w:val="0000FF"/>
          <w:sz w:val="24"/>
          <w:szCs w:val="24"/>
          <w:lang w:val="en-GB"/>
        </w:rPr>
        <w:t>Oliyide</w:t>
      </w:r>
      <w:proofErr w:type="spellEnd"/>
      <w:r w:rsidR="00C32145" w:rsidRPr="003C5683">
        <w:rPr>
          <w:rFonts w:ascii="Times New Roman" w:eastAsia="SimSun" w:hAnsi="Times New Roman" w:cs="Times New Roman"/>
          <w:color w:val="0000FF"/>
          <w:sz w:val="24"/>
          <w:szCs w:val="24"/>
          <w:lang w:val="en-GB"/>
        </w:rPr>
        <w:t xml:space="preserve"> (2020), and Naeem et al. (2021</w:t>
      </w:r>
      <w:r w:rsidR="00B40C9B">
        <w:rPr>
          <w:rFonts w:ascii="Times New Roman" w:eastAsia="SimSun" w:hAnsi="Times New Roman" w:cs="Times New Roman"/>
          <w:color w:val="0000FF"/>
          <w:sz w:val="24"/>
          <w:szCs w:val="24"/>
          <w:lang w:val="en-GB"/>
        </w:rPr>
        <w:t>b</w:t>
      </w:r>
      <w:r w:rsidR="00C32145" w:rsidRPr="003C5683">
        <w:rPr>
          <w:rFonts w:ascii="Times New Roman" w:eastAsia="SimSun" w:hAnsi="Times New Roman" w:cs="Times New Roman"/>
          <w:color w:val="0000FF"/>
          <w:sz w:val="24"/>
          <w:szCs w:val="24"/>
          <w:lang w:val="en-GB"/>
        </w:rPr>
        <w:t>)</w:t>
      </w:r>
      <w:r w:rsidR="0073584E" w:rsidRPr="003C5683">
        <w:rPr>
          <w:rFonts w:ascii="Times New Roman" w:eastAsia="SimSun" w:hAnsi="Times New Roman" w:cs="Times New Roman"/>
          <w:color w:val="0000FF"/>
          <w:sz w:val="24"/>
          <w:szCs w:val="24"/>
          <w:lang w:val="en-GB"/>
        </w:rPr>
        <w:t>,</w:t>
      </w:r>
      <w:r w:rsidR="00C32145" w:rsidRPr="003C5683">
        <w:rPr>
          <w:rFonts w:ascii="Times New Roman" w:eastAsia="SimSun" w:hAnsi="Times New Roman" w:cs="Times New Roman"/>
          <w:color w:val="0000FF"/>
          <w:sz w:val="24"/>
          <w:szCs w:val="24"/>
          <w:lang w:val="en-GB"/>
        </w:rPr>
        <w:t xml:space="preserve"> who demonstrated system-wide higher integration of markets </w:t>
      </w:r>
      <w:r w:rsidR="00B96BC5" w:rsidRPr="003C5683">
        <w:rPr>
          <w:rFonts w:ascii="Times New Roman" w:eastAsia="SimSun" w:hAnsi="Times New Roman" w:cs="Times New Roman"/>
          <w:color w:val="0000FF"/>
          <w:sz w:val="24"/>
          <w:szCs w:val="24"/>
          <w:lang w:val="en-GB"/>
        </w:rPr>
        <w:t xml:space="preserve">during the pandemic reflecting </w:t>
      </w:r>
      <w:r w:rsidR="0073584E" w:rsidRPr="003C5683">
        <w:rPr>
          <w:rFonts w:ascii="Times New Roman" w:eastAsia="SimSun" w:hAnsi="Times New Roman" w:cs="Times New Roman"/>
          <w:color w:val="0000FF"/>
          <w:sz w:val="24"/>
          <w:szCs w:val="24"/>
          <w:lang w:val="en-GB"/>
        </w:rPr>
        <w:t xml:space="preserve">the </w:t>
      </w:r>
      <w:r w:rsidR="00B96BC5" w:rsidRPr="003C5683">
        <w:rPr>
          <w:rFonts w:ascii="Times New Roman" w:eastAsia="SimSun" w:hAnsi="Times New Roman" w:cs="Times New Roman"/>
          <w:color w:val="0000FF"/>
          <w:sz w:val="24"/>
          <w:szCs w:val="24"/>
          <w:lang w:val="en-GB"/>
        </w:rPr>
        <w:t>severity of the financial markets i</w:t>
      </w:r>
      <w:r w:rsidR="000D1D72" w:rsidRPr="003C5683">
        <w:rPr>
          <w:rFonts w:ascii="Times New Roman" w:eastAsia="SimSun" w:hAnsi="Times New Roman" w:cs="Times New Roman"/>
          <w:color w:val="0000FF"/>
          <w:sz w:val="24"/>
          <w:szCs w:val="24"/>
          <w:lang w:val="en-GB"/>
        </w:rPr>
        <w:t xml:space="preserve">n operating abnormally. </w:t>
      </w:r>
      <w:r w:rsidR="000B19EE" w:rsidRPr="003C5683">
        <w:rPr>
          <w:rFonts w:ascii="Times New Roman" w:eastAsia="SimSun" w:hAnsi="Times New Roman" w:cs="Times New Roman"/>
          <w:color w:val="0000FF"/>
          <w:sz w:val="24"/>
          <w:szCs w:val="24"/>
          <w:lang w:val="en-GB"/>
        </w:rPr>
        <w:t xml:space="preserve">A strong </w:t>
      </w:r>
      <w:r w:rsidR="000B19EE" w:rsidRPr="003C5683">
        <w:rPr>
          <w:rFonts w:ascii="Times New Roman" w:eastAsia="SimSun" w:hAnsi="Times New Roman" w:cs="Times New Roman"/>
          <w:color w:val="0000FF"/>
          <w:sz w:val="24"/>
          <w:szCs w:val="24"/>
          <w:lang w:val="en-GB"/>
        </w:rPr>
        <w:lastRenderedPageBreak/>
        <w:t xml:space="preserve">implication persists for investors of sustainable, religious, and conventional investments to explore the diversification and hedging avenues to protect their investments from extreme market conditions. In this way, sustainable, religious, and conventional assets can substantially offer diversification based on the exposure of risk by the markets. </w:t>
      </w:r>
    </w:p>
    <w:p w14:paraId="0F0DCF2A" w14:textId="3A2F5198" w:rsidR="007F3A30" w:rsidRPr="000D3AD1" w:rsidRDefault="007F3A30" w:rsidP="007F3A30">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[Figure 6 about here]</w:t>
      </w:r>
    </w:p>
    <w:p w14:paraId="445A13C1" w14:textId="4467D35A" w:rsidR="007F3A30" w:rsidRPr="000D3AD1" w:rsidRDefault="007F3A30" w:rsidP="00B406BB">
      <w:pPr>
        <w:spacing w:after="240" w:line="480" w:lineRule="auto"/>
        <w:jc w:val="both"/>
        <w:rPr>
          <w:rFonts w:ascii="Times New Roman" w:eastAsia="SimSun" w:hAnsi="Times New Roman" w:cs="Times New Roman"/>
          <w:i/>
          <w:iCs/>
          <w:sz w:val="24"/>
          <w:szCs w:val="24"/>
          <w:lang w:val="en-GB"/>
        </w:rPr>
      </w:pPr>
      <w:r w:rsidRPr="000D3AD1">
        <w:rPr>
          <w:rFonts w:ascii="Times New Roman" w:eastAsia="SimSun" w:hAnsi="Times New Roman" w:cs="Times New Roman"/>
          <w:i/>
          <w:iCs/>
          <w:sz w:val="24"/>
          <w:szCs w:val="24"/>
          <w:lang w:val="en-GB"/>
        </w:rPr>
        <w:t xml:space="preserve">4.5 Market-Specific Risk Measures </w:t>
      </w:r>
    </w:p>
    <w:p w14:paraId="5E23F0DF" w14:textId="387F0DDE" w:rsidR="007F3A30" w:rsidRPr="003C5683" w:rsidRDefault="0073584E" w:rsidP="00B406BB">
      <w:pPr>
        <w:spacing w:after="240" w:line="480" w:lineRule="auto"/>
        <w:jc w:val="both"/>
        <w:rPr>
          <w:rFonts w:ascii="Times New Roman" w:eastAsia="SimSun" w:hAnsi="Times New Roman" w:cs="Times New Roman"/>
          <w:color w:val="0000FF"/>
          <w:sz w:val="24"/>
          <w:szCs w:val="24"/>
          <w:lang w:val="en-GB"/>
        </w:rPr>
      </w:pPr>
      <w:r w:rsidRPr="000D3AD1">
        <w:rPr>
          <w:rFonts w:ascii="Times New Roman" w:eastAsia="SimSun" w:hAnsi="Times New Roman" w:cs="Times New Roman"/>
          <w:sz w:val="24"/>
          <w:szCs w:val="24"/>
          <w:lang w:val="en-GB"/>
        </w:rPr>
        <w:t>The previous section</w:t>
      </w:r>
      <w:r w:rsidR="007F3A30" w:rsidRPr="000D3AD1">
        <w:rPr>
          <w:rFonts w:ascii="Times New Roman" w:eastAsia="SimSun" w:hAnsi="Times New Roman" w:cs="Times New Roman"/>
          <w:sz w:val="24"/>
          <w:szCs w:val="24"/>
          <w:lang w:val="en-GB"/>
        </w:rPr>
        <w:t xml:space="preserve"> explained the total risk connectedness of sustainable, religious, and conventional investments encountering system-wide risk measures. However, the current subsection presents the market-specific measures</w:t>
      </w:r>
      <w:r w:rsidRPr="000D3AD1">
        <w:rPr>
          <w:rFonts w:ascii="Times New Roman" w:eastAsia="SimSun" w:hAnsi="Times New Roman" w:cs="Times New Roman"/>
          <w:sz w:val="24"/>
          <w:szCs w:val="24"/>
          <w:lang w:val="en-GB"/>
        </w:rPr>
        <w:t>, namely Systematic Fragility Index (SFI) and Systematic Hazard Index (SHI), for identifying the markets with extreme risk exposure and the markets contributing to the tail risk</w:t>
      </w:r>
      <w:r w:rsidR="00E45111" w:rsidRPr="000D3AD1">
        <w:rPr>
          <w:rFonts w:ascii="Times New Roman" w:eastAsia="SimSun" w:hAnsi="Times New Roman" w:cs="Times New Roman"/>
          <w:sz w:val="24"/>
          <w:szCs w:val="24"/>
          <w:lang w:val="en-GB"/>
        </w:rPr>
        <w:t xml:space="preserve">. </w:t>
      </w:r>
      <w:r w:rsidR="00880FD0" w:rsidRPr="000D3AD1">
        <w:rPr>
          <w:rFonts w:ascii="Times New Roman" w:eastAsia="SimSun" w:hAnsi="Times New Roman" w:cs="Times New Roman"/>
          <w:sz w:val="24"/>
          <w:szCs w:val="24"/>
          <w:lang w:val="en-GB"/>
        </w:rPr>
        <w:t>Table 2 ranks the sustainable, religious, and conventional markets based on SFI for pre- and during COVID-19 outbreak</w:t>
      </w:r>
      <w:r w:rsidR="00BE5C2B" w:rsidRPr="000D3AD1">
        <w:rPr>
          <w:rFonts w:ascii="Times New Roman" w:eastAsia="SimSun" w:hAnsi="Times New Roman" w:cs="Times New Roman"/>
          <w:sz w:val="24"/>
          <w:szCs w:val="24"/>
          <w:lang w:val="en-GB"/>
        </w:rPr>
        <w:t>. The ranking of markets indicate</w:t>
      </w:r>
      <w:r w:rsidR="00DC652B" w:rsidRPr="000D3AD1">
        <w:rPr>
          <w:rFonts w:ascii="Times New Roman" w:eastAsia="SimSun" w:hAnsi="Times New Roman" w:cs="Times New Roman"/>
          <w:sz w:val="24"/>
          <w:szCs w:val="24"/>
          <w:lang w:val="en-GB"/>
        </w:rPr>
        <w:t>d</w:t>
      </w:r>
      <w:r w:rsidR="00BE5C2B" w:rsidRPr="000D3AD1">
        <w:rPr>
          <w:rFonts w:ascii="Times New Roman" w:eastAsia="SimSun" w:hAnsi="Times New Roman" w:cs="Times New Roman"/>
          <w:sz w:val="24"/>
          <w:szCs w:val="24"/>
          <w:lang w:val="en-GB"/>
        </w:rPr>
        <w:t xml:space="preserve"> that SP500 was most exposed to tail risk in the pre-COVID sample</w:t>
      </w:r>
      <w:r w:rsidRPr="000D3AD1">
        <w:rPr>
          <w:rFonts w:ascii="Times New Roman" w:eastAsia="SimSun" w:hAnsi="Times New Roman" w:cs="Times New Roman"/>
          <w:sz w:val="24"/>
          <w:szCs w:val="24"/>
          <w:lang w:val="en-GB"/>
        </w:rPr>
        <w:t>,</w:t>
      </w:r>
      <w:r w:rsidR="00BE5C2B" w:rsidRPr="000D3AD1">
        <w:rPr>
          <w:rFonts w:ascii="Times New Roman" w:eastAsia="SimSun" w:hAnsi="Times New Roman" w:cs="Times New Roman"/>
          <w:sz w:val="24"/>
          <w:szCs w:val="24"/>
          <w:lang w:val="en-GB"/>
        </w:rPr>
        <w:t xml:space="preserve"> while with the outbreak of COVID-19 DJIS reflected </w:t>
      </w:r>
      <w:r w:rsidRPr="000D3AD1">
        <w:rPr>
          <w:rFonts w:ascii="Times New Roman" w:eastAsia="SimSun" w:hAnsi="Times New Roman" w:cs="Times New Roman"/>
          <w:sz w:val="24"/>
          <w:szCs w:val="24"/>
          <w:lang w:val="en-GB"/>
        </w:rPr>
        <w:t xml:space="preserve">the </w:t>
      </w:r>
      <w:r w:rsidR="00BE5C2B" w:rsidRPr="000D3AD1">
        <w:rPr>
          <w:rFonts w:ascii="Times New Roman" w:eastAsia="SimSun" w:hAnsi="Times New Roman" w:cs="Times New Roman"/>
          <w:sz w:val="24"/>
          <w:szCs w:val="24"/>
          <w:lang w:val="en-GB"/>
        </w:rPr>
        <w:t xml:space="preserve">highest susceptibility to the tail risk. </w:t>
      </w:r>
      <w:r w:rsidR="00DC652B" w:rsidRPr="000D3AD1">
        <w:rPr>
          <w:rFonts w:ascii="Times New Roman" w:eastAsia="SimSun" w:hAnsi="Times New Roman" w:cs="Times New Roman"/>
          <w:sz w:val="24"/>
          <w:szCs w:val="24"/>
          <w:lang w:val="en-GB"/>
        </w:rPr>
        <w:t>Figure 7 corresponds to the ranking given in Table 2</w:t>
      </w:r>
      <w:r w:rsidRPr="000D3AD1">
        <w:rPr>
          <w:rFonts w:ascii="Times New Roman" w:eastAsia="SimSun" w:hAnsi="Times New Roman" w:cs="Times New Roman"/>
          <w:sz w:val="24"/>
          <w:szCs w:val="24"/>
          <w:lang w:val="en-GB"/>
        </w:rPr>
        <w:t>,</w:t>
      </w:r>
      <w:r w:rsidR="00DC652B" w:rsidRPr="000D3AD1">
        <w:rPr>
          <w:rFonts w:ascii="Times New Roman" w:eastAsia="SimSun" w:hAnsi="Times New Roman" w:cs="Times New Roman"/>
          <w:sz w:val="24"/>
          <w:szCs w:val="24"/>
          <w:lang w:val="en-GB"/>
        </w:rPr>
        <w:t xml:space="preserve"> where </w:t>
      </w:r>
      <w:r w:rsidRPr="000D3AD1">
        <w:rPr>
          <w:rFonts w:ascii="Times New Roman" w:eastAsia="SimSun" w:hAnsi="Times New Roman" w:cs="Times New Roman"/>
          <w:sz w:val="24"/>
          <w:szCs w:val="24"/>
          <w:lang w:val="en-GB"/>
        </w:rPr>
        <w:t xml:space="preserve">the </w:t>
      </w:r>
      <w:r w:rsidR="00DC652B" w:rsidRPr="000D3AD1">
        <w:rPr>
          <w:rFonts w:ascii="Times New Roman" w:eastAsia="SimSun" w:hAnsi="Times New Roman" w:cs="Times New Roman"/>
          <w:sz w:val="24"/>
          <w:szCs w:val="24"/>
          <w:lang w:val="en-GB"/>
        </w:rPr>
        <w:t xml:space="preserve">Systematic Fragility Index of SP500 and DJIS are displayed. </w:t>
      </w:r>
      <w:r w:rsidR="00822C90" w:rsidRPr="003C5683">
        <w:rPr>
          <w:rFonts w:ascii="Times New Roman" w:eastAsia="SimSun" w:hAnsi="Times New Roman" w:cs="Times New Roman"/>
          <w:color w:val="0000FF"/>
          <w:sz w:val="24"/>
          <w:szCs w:val="24"/>
          <w:lang w:val="en-GB"/>
        </w:rPr>
        <w:t>In the pre-COVID sample, when markets are experiencing lower returns, SP500 entails net risk exposure in accordance with Wang et al. (2020).</w:t>
      </w:r>
      <w:r w:rsidR="00E848E5" w:rsidRPr="003C5683">
        <w:rPr>
          <w:rFonts w:ascii="Times New Roman" w:eastAsia="SimSun" w:hAnsi="Times New Roman" w:cs="Times New Roman"/>
          <w:color w:val="0000FF"/>
          <w:sz w:val="24"/>
          <w:szCs w:val="24"/>
          <w:lang w:val="en-GB"/>
        </w:rPr>
        <w:t xml:space="preserve"> Meanwhile, the COVID-19 sample stresses extreme risk exposure of DJIS in line with Shahzad et al. (2017)</w:t>
      </w:r>
      <w:r w:rsidRPr="003C5683">
        <w:rPr>
          <w:rFonts w:ascii="Times New Roman" w:eastAsia="SimSun" w:hAnsi="Times New Roman" w:cs="Times New Roman"/>
          <w:color w:val="0000FF"/>
          <w:sz w:val="24"/>
          <w:szCs w:val="24"/>
          <w:lang w:val="en-GB"/>
        </w:rPr>
        <w:t>,</w:t>
      </w:r>
      <w:r w:rsidR="00E848E5" w:rsidRPr="003C5683">
        <w:rPr>
          <w:rFonts w:ascii="Times New Roman" w:eastAsia="SimSun" w:hAnsi="Times New Roman" w:cs="Times New Roman"/>
          <w:color w:val="0000FF"/>
          <w:sz w:val="24"/>
          <w:szCs w:val="24"/>
          <w:lang w:val="en-GB"/>
        </w:rPr>
        <w:t xml:space="preserve"> who rejected the decoupling hypothesis of religious stocks and concurrent co-movement of Islamic stocks </w:t>
      </w:r>
      <w:r w:rsidR="001A313F" w:rsidRPr="003C5683">
        <w:rPr>
          <w:rFonts w:ascii="Times New Roman" w:eastAsia="SimSun" w:hAnsi="Times New Roman" w:cs="Times New Roman"/>
          <w:color w:val="0000FF"/>
          <w:sz w:val="24"/>
          <w:szCs w:val="24"/>
          <w:lang w:val="en-GB"/>
        </w:rPr>
        <w:t xml:space="preserve">compared with conventional financial assets. </w:t>
      </w:r>
    </w:p>
    <w:p w14:paraId="768B4B82" w14:textId="1310A5FF" w:rsidR="00476D82" w:rsidRPr="000D3AD1" w:rsidRDefault="00476D82" w:rsidP="00476D82">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[Table 2 about here]</w:t>
      </w:r>
    </w:p>
    <w:p w14:paraId="00BCE5E8" w14:textId="4A4E3658" w:rsidR="00476D82" w:rsidRPr="000D3AD1" w:rsidRDefault="00476D82" w:rsidP="00476D82">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[Figure 7 about here]</w:t>
      </w:r>
    </w:p>
    <w:p w14:paraId="2359A8C8" w14:textId="02438C44" w:rsidR="00476D82" w:rsidRPr="000D3AD1" w:rsidRDefault="00672FA5" w:rsidP="00B406BB">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lastRenderedPageBreak/>
        <w:t xml:space="preserve">Alternatively, Table 3 demonstrates the ranking of sustainable, religious, and conventional markets based on </w:t>
      </w:r>
      <w:r w:rsidR="0073584E" w:rsidRPr="000D3AD1">
        <w:rPr>
          <w:rFonts w:ascii="Times New Roman" w:eastAsia="SimSun" w:hAnsi="Times New Roman" w:cs="Times New Roman"/>
          <w:sz w:val="24"/>
          <w:szCs w:val="24"/>
          <w:lang w:val="en-GB"/>
        </w:rPr>
        <w:t xml:space="preserve">the </w:t>
      </w:r>
      <w:r w:rsidRPr="000D3AD1">
        <w:rPr>
          <w:rFonts w:ascii="Times New Roman" w:eastAsia="SimSun" w:hAnsi="Times New Roman" w:cs="Times New Roman"/>
          <w:sz w:val="24"/>
          <w:szCs w:val="24"/>
          <w:lang w:val="en-GB"/>
        </w:rPr>
        <w:t>Systematic Hazard Index (SHI)</w:t>
      </w:r>
      <w:r w:rsidR="0073584E" w:rsidRPr="000D3AD1">
        <w:rPr>
          <w:rFonts w:ascii="Times New Roman" w:eastAsia="SimSun" w:hAnsi="Times New Roman" w:cs="Times New Roman"/>
          <w:sz w:val="24"/>
          <w:szCs w:val="24"/>
          <w:lang w:val="en-GB"/>
        </w:rPr>
        <w:t>,</w:t>
      </w:r>
      <w:r w:rsidRPr="000D3AD1">
        <w:rPr>
          <w:rFonts w:ascii="Times New Roman" w:eastAsia="SimSun" w:hAnsi="Times New Roman" w:cs="Times New Roman"/>
          <w:sz w:val="24"/>
          <w:szCs w:val="24"/>
          <w:lang w:val="en-GB"/>
        </w:rPr>
        <w:t xml:space="preserve"> which measures maximum risk contribution to other markets. The findings indicate consistent risk contribution of DJIS to other markets in pre- and during COVID-19 samples. This finding aligns with the results presented in Figure 5</w:t>
      </w:r>
      <w:r w:rsidR="0073584E" w:rsidRPr="000D3AD1">
        <w:rPr>
          <w:rFonts w:ascii="Times New Roman" w:eastAsia="SimSun" w:hAnsi="Times New Roman" w:cs="Times New Roman"/>
          <w:sz w:val="24"/>
          <w:szCs w:val="24"/>
          <w:lang w:val="en-GB"/>
        </w:rPr>
        <w:t>,</w:t>
      </w:r>
      <w:r w:rsidRPr="000D3AD1">
        <w:rPr>
          <w:rFonts w:ascii="Times New Roman" w:eastAsia="SimSun" w:hAnsi="Times New Roman" w:cs="Times New Roman"/>
          <w:sz w:val="24"/>
          <w:szCs w:val="24"/>
          <w:lang w:val="en-GB"/>
        </w:rPr>
        <w:t xml:space="preserve"> where DJIS is </w:t>
      </w:r>
      <w:r w:rsidR="0073584E" w:rsidRPr="000D3AD1">
        <w:rPr>
          <w:rFonts w:ascii="Times New Roman" w:eastAsia="SimSun" w:hAnsi="Times New Roman" w:cs="Times New Roman"/>
          <w:sz w:val="24"/>
          <w:szCs w:val="24"/>
          <w:lang w:val="en-GB"/>
        </w:rPr>
        <w:t xml:space="preserve">a </w:t>
      </w:r>
      <w:r w:rsidRPr="000D3AD1">
        <w:rPr>
          <w:rFonts w:ascii="Times New Roman" w:eastAsia="SimSun" w:hAnsi="Times New Roman" w:cs="Times New Roman"/>
          <w:sz w:val="24"/>
          <w:szCs w:val="24"/>
          <w:lang w:val="en-GB"/>
        </w:rPr>
        <w:t xml:space="preserve">consistent risk recipient in pre-COVID and COVID-19 samples. This implies </w:t>
      </w:r>
      <w:r w:rsidR="0073584E" w:rsidRPr="000D3AD1">
        <w:rPr>
          <w:rFonts w:ascii="Times New Roman" w:eastAsia="SimSun" w:hAnsi="Times New Roman" w:cs="Times New Roman"/>
          <w:sz w:val="24"/>
          <w:szCs w:val="24"/>
          <w:lang w:val="en-GB"/>
        </w:rPr>
        <w:t>that religious stocks have shown greater vulnerability to external economic and financial uncertainties, leading to</w:t>
      </w:r>
      <w:r w:rsidRPr="000D3AD1">
        <w:rPr>
          <w:rFonts w:ascii="Times New Roman" w:eastAsia="SimSun" w:hAnsi="Times New Roman" w:cs="Times New Roman"/>
          <w:sz w:val="24"/>
          <w:szCs w:val="24"/>
          <w:lang w:val="en-GB"/>
        </w:rPr>
        <w:t xml:space="preserve"> higher tail risk. Thus, </w:t>
      </w:r>
      <w:r w:rsidR="0073584E" w:rsidRPr="000D3AD1">
        <w:rPr>
          <w:rFonts w:ascii="Times New Roman" w:eastAsia="SimSun" w:hAnsi="Times New Roman" w:cs="Times New Roman"/>
          <w:sz w:val="24"/>
          <w:szCs w:val="24"/>
          <w:lang w:val="en-GB"/>
        </w:rPr>
        <w:t>major implications of this finding indicate that investors</w:t>
      </w:r>
      <w:r w:rsidR="00450699" w:rsidRPr="000D3AD1">
        <w:rPr>
          <w:rFonts w:ascii="Times New Roman" w:eastAsia="SimSun" w:hAnsi="Times New Roman" w:cs="Times New Roman"/>
          <w:sz w:val="24"/>
          <w:szCs w:val="24"/>
          <w:lang w:val="en-GB"/>
        </w:rPr>
        <w:t xml:space="preserve"> </w:t>
      </w:r>
      <w:proofErr w:type="gramStart"/>
      <w:r w:rsidR="00450699" w:rsidRPr="000D3AD1">
        <w:rPr>
          <w:rFonts w:ascii="Times New Roman" w:eastAsia="SimSun" w:hAnsi="Times New Roman" w:cs="Times New Roman"/>
          <w:sz w:val="24"/>
          <w:szCs w:val="24"/>
          <w:lang w:val="en-GB"/>
        </w:rPr>
        <w:t>have to</w:t>
      </w:r>
      <w:proofErr w:type="gramEnd"/>
      <w:r w:rsidR="00450699" w:rsidRPr="000D3AD1">
        <w:rPr>
          <w:rFonts w:ascii="Times New Roman" w:eastAsia="SimSun" w:hAnsi="Times New Roman" w:cs="Times New Roman"/>
          <w:sz w:val="24"/>
          <w:szCs w:val="24"/>
          <w:lang w:val="en-GB"/>
        </w:rPr>
        <w:t xml:space="preserve"> be cautious while diversifying their portfolios with religious stocks as they possess tail risk. Moreover, </w:t>
      </w:r>
      <w:r w:rsidR="00446159" w:rsidRPr="000D3AD1">
        <w:rPr>
          <w:rFonts w:ascii="Times New Roman" w:eastAsia="SimSun" w:hAnsi="Times New Roman" w:cs="Times New Roman"/>
          <w:sz w:val="24"/>
          <w:szCs w:val="24"/>
          <w:lang w:val="en-GB"/>
        </w:rPr>
        <w:t xml:space="preserve">the analogous findings reported in Figure 8 illustrate the time series of SHI for DJIS where substantial jumps are significant during GFC, EDC, and COVID-19. </w:t>
      </w:r>
      <w:r w:rsidR="00972ECA" w:rsidRPr="003C5683">
        <w:rPr>
          <w:rFonts w:ascii="Times New Roman" w:eastAsia="SimSun" w:hAnsi="Times New Roman" w:cs="Times New Roman"/>
          <w:color w:val="0000FF"/>
          <w:sz w:val="24"/>
          <w:szCs w:val="24"/>
          <w:lang w:val="en-GB"/>
        </w:rPr>
        <w:t>Provided these findings, we contend that DJIS is the leading risk contributor among other classes of financial markets and contains aggressive investment opportunit</w:t>
      </w:r>
      <w:r w:rsidR="0073584E" w:rsidRPr="003C5683">
        <w:rPr>
          <w:rFonts w:ascii="Times New Roman" w:eastAsia="SimSun" w:hAnsi="Times New Roman" w:cs="Times New Roman"/>
          <w:color w:val="0000FF"/>
          <w:sz w:val="24"/>
          <w:szCs w:val="24"/>
          <w:lang w:val="en-GB"/>
        </w:rPr>
        <w:t>ies</w:t>
      </w:r>
      <w:r w:rsidR="00972ECA" w:rsidRPr="003C5683">
        <w:rPr>
          <w:rFonts w:ascii="Times New Roman" w:eastAsia="SimSun" w:hAnsi="Times New Roman" w:cs="Times New Roman"/>
          <w:color w:val="0000FF"/>
          <w:sz w:val="24"/>
          <w:szCs w:val="24"/>
          <w:lang w:val="en-GB"/>
        </w:rPr>
        <w:t xml:space="preserve"> for investors with unbearable losses when economic circumstances are </w:t>
      </w:r>
      <w:proofErr w:type="spellStart"/>
      <w:r w:rsidR="00972ECA" w:rsidRPr="003C5683">
        <w:rPr>
          <w:rFonts w:ascii="Times New Roman" w:eastAsia="SimSun" w:hAnsi="Times New Roman" w:cs="Times New Roman"/>
          <w:color w:val="0000FF"/>
          <w:sz w:val="24"/>
          <w:szCs w:val="24"/>
          <w:lang w:val="en-GB"/>
        </w:rPr>
        <w:t>unfavorable</w:t>
      </w:r>
      <w:proofErr w:type="spellEnd"/>
      <w:r w:rsidR="00972ECA" w:rsidRPr="003C5683">
        <w:rPr>
          <w:rFonts w:ascii="Times New Roman" w:eastAsia="SimSun" w:hAnsi="Times New Roman" w:cs="Times New Roman"/>
          <w:color w:val="0000FF"/>
          <w:sz w:val="24"/>
          <w:szCs w:val="24"/>
          <w:lang w:val="en-GB"/>
        </w:rPr>
        <w:t xml:space="preserve">. </w:t>
      </w:r>
      <w:r w:rsidR="00C74AD4" w:rsidRPr="003C5683">
        <w:rPr>
          <w:rFonts w:ascii="Times New Roman" w:eastAsia="SimSun" w:hAnsi="Times New Roman" w:cs="Times New Roman"/>
          <w:color w:val="0000FF"/>
          <w:sz w:val="24"/>
          <w:szCs w:val="24"/>
          <w:lang w:val="en-GB"/>
        </w:rPr>
        <w:t>Another implication of the study is the stronger diversification benefits of sustainable investments for conventional and religious stocks as they remained less vulnerable to external shocks and bear risk</w:t>
      </w:r>
      <w:r w:rsidR="0073584E" w:rsidRPr="003C5683">
        <w:rPr>
          <w:rFonts w:ascii="Times New Roman" w:eastAsia="SimSun" w:hAnsi="Times New Roman" w:cs="Times New Roman"/>
          <w:color w:val="0000FF"/>
          <w:sz w:val="24"/>
          <w:szCs w:val="24"/>
          <w:lang w:val="en-GB"/>
        </w:rPr>
        <w:t>-</w:t>
      </w:r>
      <w:r w:rsidR="00C74AD4" w:rsidRPr="003C5683">
        <w:rPr>
          <w:rFonts w:ascii="Times New Roman" w:eastAsia="SimSun" w:hAnsi="Times New Roman" w:cs="Times New Roman"/>
          <w:color w:val="0000FF"/>
          <w:sz w:val="24"/>
          <w:szCs w:val="24"/>
          <w:lang w:val="en-GB"/>
        </w:rPr>
        <w:t>mitigating features. Based on previous studies (Naeem et al., 2021a; 2021b; Karim et al., 2022a, 2022b; Iqbal et al., 2021</w:t>
      </w:r>
      <w:r w:rsidR="00C80A18">
        <w:rPr>
          <w:rFonts w:ascii="Times New Roman" w:eastAsia="SimSun" w:hAnsi="Times New Roman" w:cs="Times New Roman"/>
          <w:color w:val="0000FF"/>
          <w:sz w:val="24"/>
          <w:szCs w:val="24"/>
          <w:lang w:val="en-GB"/>
        </w:rPr>
        <w:t>; Naeem et al., 2022c, 2022d</w:t>
      </w:r>
      <w:r w:rsidR="00C74AD4" w:rsidRPr="003C5683">
        <w:rPr>
          <w:rFonts w:ascii="Times New Roman" w:eastAsia="SimSun" w:hAnsi="Times New Roman" w:cs="Times New Roman"/>
          <w:color w:val="0000FF"/>
          <w:sz w:val="24"/>
          <w:szCs w:val="24"/>
          <w:lang w:val="en-GB"/>
        </w:rPr>
        <w:t xml:space="preserve">), sustainable and green investment streams are useful for investors to offset their risk and shelter their investments from harsh external circumstances. </w:t>
      </w:r>
      <w:r w:rsidR="00664CB1" w:rsidRPr="003C5683">
        <w:rPr>
          <w:rFonts w:ascii="Times New Roman" w:eastAsia="SimSun" w:hAnsi="Times New Roman" w:cs="Times New Roman"/>
          <w:color w:val="0000FF"/>
          <w:sz w:val="24"/>
          <w:szCs w:val="24"/>
          <w:lang w:val="en-GB"/>
        </w:rPr>
        <w:t xml:space="preserve">Hence, the study possesses multiple investment </w:t>
      </w:r>
      <w:r w:rsidR="00C74AD4" w:rsidRPr="003C5683">
        <w:rPr>
          <w:rFonts w:ascii="Times New Roman" w:eastAsia="SimSun" w:hAnsi="Times New Roman" w:cs="Times New Roman"/>
          <w:color w:val="0000FF"/>
          <w:sz w:val="24"/>
          <w:szCs w:val="24"/>
          <w:lang w:val="en-GB"/>
        </w:rPr>
        <w:t>choices</w:t>
      </w:r>
      <w:r w:rsidR="00664CB1" w:rsidRPr="003C5683">
        <w:rPr>
          <w:rFonts w:ascii="Times New Roman" w:eastAsia="SimSun" w:hAnsi="Times New Roman" w:cs="Times New Roman"/>
          <w:color w:val="0000FF"/>
          <w:sz w:val="24"/>
          <w:szCs w:val="24"/>
          <w:lang w:val="en-GB"/>
        </w:rPr>
        <w:t xml:space="preserve"> for sustainable, religious, and conventional markets</w:t>
      </w:r>
      <w:r w:rsidR="00E373C0" w:rsidRPr="003C5683">
        <w:rPr>
          <w:rFonts w:ascii="Times New Roman" w:eastAsia="SimSun" w:hAnsi="Times New Roman" w:cs="Times New Roman"/>
          <w:color w:val="0000FF"/>
          <w:sz w:val="24"/>
          <w:szCs w:val="24"/>
          <w:lang w:val="en-GB"/>
        </w:rPr>
        <w:t xml:space="preserve"> </w:t>
      </w:r>
      <w:proofErr w:type="gramStart"/>
      <w:r w:rsidR="0073584E" w:rsidRPr="003C5683">
        <w:rPr>
          <w:rFonts w:ascii="Times New Roman" w:eastAsia="SimSun" w:hAnsi="Times New Roman" w:cs="Times New Roman"/>
          <w:color w:val="0000FF"/>
          <w:sz w:val="24"/>
          <w:szCs w:val="24"/>
          <w:lang w:val="en-GB"/>
        </w:rPr>
        <w:t>investors’</w:t>
      </w:r>
      <w:proofErr w:type="gramEnd"/>
      <w:r w:rsidR="0073584E" w:rsidRPr="003C5683">
        <w:rPr>
          <w:rFonts w:ascii="Times New Roman" w:eastAsia="SimSun" w:hAnsi="Times New Roman" w:cs="Times New Roman"/>
          <w:color w:val="0000FF"/>
          <w:sz w:val="24"/>
          <w:szCs w:val="24"/>
          <w:lang w:val="en-GB"/>
        </w:rPr>
        <w:t xml:space="preserve"> </w:t>
      </w:r>
      <w:r w:rsidR="00E373C0" w:rsidRPr="003C5683">
        <w:rPr>
          <w:rFonts w:ascii="Times New Roman" w:eastAsia="SimSun" w:hAnsi="Times New Roman" w:cs="Times New Roman"/>
          <w:color w:val="0000FF"/>
          <w:sz w:val="24"/>
          <w:szCs w:val="24"/>
          <w:lang w:val="en-GB"/>
        </w:rPr>
        <w:t xml:space="preserve">with higher diversification benefits and lower tail risk. </w:t>
      </w:r>
    </w:p>
    <w:p w14:paraId="0546F1BF" w14:textId="50D87AD9" w:rsidR="00F34E26" w:rsidRPr="000D3AD1" w:rsidRDefault="00F34E26" w:rsidP="00F34E26">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[Table 3 about here]</w:t>
      </w:r>
    </w:p>
    <w:p w14:paraId="1BEDB445" w14:textId="6175D37F" w:rsidR="00F34E26" w:rsidRPr="000D3AD1" w:rsidRDefault="00F34E26" w:rsidP="00F34E26">
      <w:pPr>
        <w:spacing w:after="240" w:line="480" w:lineRule="auto"/>
        <w:jc w:val="center"/>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[Figure 8 about here]</w:t>
      </w:r>
    </w:p>
    <w:p w14:paraId="003F8C0E" w14:textId="16678B2A" w:rsidR="00F34E26" w:rsidRPr="000D3AD1" w:rsidRDefault="00F34E26" w:rsidP="00B406BB">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lastRenderedPageBreak/>
        <w:t>In summary, the examination of neural network</w:t>
      </w:r>
      <w:r w:rsidR="000A6990" w:rsidRPr="000D3AD1">
        <w:rPr>
          <w:rFonts w:ascii="Times New Roman" w:eastAsia="SimSun" w:hAnsi="Times New Roman" w:cs="Times New Roman"/>
          <w:sz w:val="24"/>
          <w:szCs w:val="24"/>
          <w:lang w:val="en-GB"/>
        </w:rPr>
        <w:t xml:space="preserve"> quantile regression</w:t>
      </w:r>
      <w:r w:rsidRPr="000D3AD1">
        <w:rPr>
          <w:rFonts w:ascii="Times New Roman" w:eastAsia="SimSun" w:hAnsi="Times New Roman" w:cs="Times New Roman"/>
          <w:sz w:val="24"/>
          <w:szCs w:val="24"/>
          <w:lang w:val="en-GB"/>
        </w:rPr>
        <w:t xml:space="preserve"> </w:t>
      </w:r>
      <w:r w:rsidR="00085679" w:rsidRPr="000D3AD1">
        <w:rPr>
          <w:rFonts w:ascii="Times New Roman" w:eastAsia="SimSun" w:hAnsi="Times New Roman" w:cs="Times New Roman"/>
          <w:sz w:val="24"/>
          <w:szCs w:val="24"/>
          <w:lang w:val="en-GB"/>
        </w:rPr>
        <w:t>of sustainable, religious, and conventional markets indicate</w:t>
      </w:r>
      <w:r w:rsidR="0073584E" w:rsidRPr="000D3AD1">
        <w:rPr>
          <w:rFonts w:ascii="Times New Roman" w:eastAsia="SimSun" w:hAnsi="Times New Roman" w:cs="Times New Roman"/>
          <w:sz w:val="24"/>
          <w:szCs w:val="24"/>
          <w:lang w:val="en-GB"/>
        </w:rPr>
        <w:t>s</w:t>
      </w:r>
      <w:r w:rsidR="00085679" w:rsidRPr="000D3AD1">
        <w:rPr>
          <w:rFonts w:ascii="Times New Roman" w:eastAsia="SimSun" w:hAnsi="Times New Roman" w:cs="Times New Roman"/>
          <w:sz w:val="24"/>
          <w:szCs w:val="24"/>
          <w:lang w:val="en-GB"/>
        </w:rPr>
        <w:t xml:space="preserve"> that markets exhibited strong </w:t>
      </w:r>
      <w:r w:rsidR="008D2369" w:rsidRPr="000D3AD1">
        <w:rPr>
          <w:rFonts w:ascii="Times New Roman" w:eastAsia="SimSun" w:hAnsi="Times New Roman" w:cs="Times New Roman"/>
          <w:sz w:val="24"/>
          <w:szCs w:val="24"/>
          <w:lang w:val="en-GB"/>
        </w:rPr>
        <w:t xml:space="preserve">time-varying features with extreme tail risk during the periods of </w:t>
      </w:r>
      <w:r w:rsidR="0073584E" w:rsidRPr="000D3AD1">
        <w:rPr>
          <w:rFonts w:ascii="Times New Roman" w:eastAsia="SimSun" w:hAnsi="Times New Roman" w:cs="Times New Roman"/>
          <w:sz w:val="24"/>
          <w:szCs w:val="24"/>
          <w:lang w:val="en-GB"/>
        </w:rPr>
        <w:t xml:space="preserve">the </w:t>
      </w:r>
      <w:r w:rsidR="008D2369" w:rsidRPr="000D3AD1">
        <w:rPr>
          <w:rFonts w:ascii="Times New Roman" w:eastAsia="SimSun" w:hAnsi="Times New Roman" w:cs="Times New Roman"/>
          <w:sz w:val="24"/>
          <w:szCs w:val="24"/>
          <w:lang w:val="en-GB"/>
        </w:rPr>
        <w:t xml:space="preserve">financial crisis, economically distressed periods, and in the wake of global pandemics. </w:t>
      </w:r>
      <w:r w:rsidR="00EB6BE7" w:rsidRPr="000D3AD1">
        <w:rPr>
          <w:rFonts w:ascii="Times New Roman" w:eastAsia="SimSun" w:hAnsi="Times New Roman" w:cs="Times New Roman"/>
          <w:sz w:val="24"/>
          <w:szCs w:val="24"/>
          <w:lang w:val="en-GB"/>
        </w:rPr>
        <w:t xml:space="preserve">In addition, the SFI highlighted SP500 most exposed to tail risk in the pre-COVID period while DJIS as the vulnerable market </w:t>
      </w:r>
      <w:r w:rsidR="0054643E" w:rsidRPr="000D3AD1">
        <w:rPr>
          <w:rFonts w:ascii="Times New Roman" w:eastAsia="SimSun" w:hAnsi="Times New Roman" w:cs="Times New Roman"/>
          <w:sz w:val="24"/>
          <w:szCs w:val="24"/>
          <w:lang w:val="en-GB"/>
        </w:rPr>
        <w:t>during COVID-19 crisis. Finally, SHI reiterated our findings where DJIS is the major risk contributor among other markets</w:t>
      </w:r>
      <w:r w:rsidR="00287A88" w:rsidRPr="000D3AD1">
        <w:rPr>
          <w:rFonts w:ascii="Times New Roman" w:eastAsia="SimSun" w:hAnsi="Times New Roman" w:cs="Times New Roman"/>
          <w:sz w:val="24"/>
          <w:szCs w:val="24"/>
          <w:lang w:val="en-GB"/>
        </w:rPr>
        <w:t xml:space="preserve"> showcasing several implications for investors and portfolio managers to be aware of investing in DJIS during the intense episodes</w:t>
      </w:r>
      <w:r w:rsidR="00A14731" w:rsidRPr="000D3AD1">
        <w:rPr>
          <w:rFonts w:ascii="Times New Roman" w:eastAsia="SimSun" w:hAnsi="Times New Roman" w:cs="Times New Roman"/>
          <w:sz w:val="24"/>
          <w:szCs w:val="24"/>
          <w:lang w:val="en-GB"/>
        </w:rPr>
        <w:t xml:space="preserve"> and search for those investment options which carry significant diversification potential</w:t>
      </w:r>
      <w:r w:rsidR="00287A88" w:rsidRPr="000D3AD1">
        <w:rPr>
          <w:rFonts w:ascii="Times New Roman" w:eastAsia="SimSun" w:hAnsi="Times New Roman" w:cs="Times New Roman"/>
          <w:sz w:val="24"/>
          <w:szCs w:val="24"/>
          <w:lang w:val="en-GB"/>
        </w:rPr>
        <w:t xml:space="preserve">. </w:t>
      </w:r>
    </w:p>
    <w:p w14:paraId="3D137580" w14:textId="0A21F150" w:rsidR="00934A6F" w:rsidRPr="000D3AD1" w:rsidRDefault="00934A6F" w:rsidP="00B406BB">
      <w:pPr>
        <w:spacing w:after="240" w:line="480" w:lineRule="auto"/>
        <w:jc w:val="both"/>
        <w:rPr>
          <w:rFonts w:ascii="Times New Roman" w:eastAsia="SimSun" w:hAnsi="Times New Roman" w:cs="Times New Roman"/>
          <w:b/>
          <w:bCs/>
          <w:sz w:val="24"/>
          <w:szCs w:val="24"/>
          <w:lang w:val="en-GB"/>
        </w:rPr>
      </w:pPr>
      <w:r w:rsidRPr="000D3AD1">
        <w:rPr>
          <w:rFonts w:ascii="Times New Roman" w:eastAsia="SimSun" w:hAnsi="Times New Roman" w:cs="Times New Roman"/>
          <w:b/>
          <w:bCs/>
          <w:sz w:val="24"/>
          <w:szCs w:val="24"/>
          <w:lang w:val="en-GB"/>
        </w:rPr>
        <w:t xml:space="preserve">5. Conclusion </w:t>
      </w:r>
    </w:p>
    <w:p w14:paraId="601C44F4" w14:textId="52E62042" w:rsidR="00664CB1" w:rsidRPr="000D3AD1" w:rsidRDefault="000A6990" w:rsidP="00B406BB">
      <w:pPr>
        <w:spacing w:after="240" w:line="480" w:lineRule="auto"/>
        <w:jc w:val="both"/>
        <w:rPr>
          <w:rFonts w:ascii="Times New Roman" w:eastAsia="SimSun" w:hAnsi="Times New Roman" w:cs="Times New Roman"/>
          <w:sz w:val="24"/>
          <w:szCs w:val="24"/>
          <w:lang w:val="en-GB"/>
        </w:rPr>
      </w:pPr>
      <w:r w:rsidRPr="000D3AD1">
        <w:rPr>
          <w:rFonts w:ascii="Times New Roman" w:eastAsia="SimSun" w:hAnsi="Times New Roman" w:cs="Times New Roman"/>
          <w:sz w:val="24"/>
          <w:szCs w:val="24"/>
          <w:lang w:val="en-GB"/>
        </w:rPr>
        <w:t xml:space="preserve">This study quantified the systemic risk </w:t>
      </w:r>
      <w:proofErr w:type="spellStart"/>
      <w:r w:rsidRPr="000D3AD1">
        <w:rPr>
          <w:rFonts w:ascii="Times New Roman" w:eastAsia="SimSun" w:hAnsi="Times New Roman" w:cs="Times New Roman"/>
          <w:sz w:val="24"/>
          <w:szCs w:val="24"/>
          <w:lang w:val="en-GB"/>
        </w:rPr>
        <w:t>spillovers</w:t>
      </w:r>
      <w:proofErr w:type="spellEnd"/>
      <w:r w:rsidRPr="000D3AD1">
        <w:rPr>
          <w:rFonts w:ascii="Times New Roman" w:eastAsia="SimSun" w:hAnsi="Times New Roman" w:cs="Times New Roman"/>
          <w:sz w:val="24"/>
          <w:szCs w:val="24"/>
          <w:lang w:val="en-GB"/>
        </w:rPr>
        <w:t xml:space="preserve"> of sustainable, religious, and conventional investments by utilizing the neural network quantile regression for estimating </w:t>
      </w:r>
      <w:r w:rsidR="0073584E" w:rsidRPr="000D3AD1">
        <w:rPr>
          <w:rFonts w:ascii="Times New Roman" w:eastAsia="SimSun" w:hAnsi="Times New Roman" w:cs="Times New Roman"/>
          <w:sz w:val="24"/>
          <w:szCs w:val="24"/>
          <w:lang w:val="en-GB"/>
        </w:rPr>
        <w:t xml:space="preserve">the </w:t>
      </w:r>
      <w:r w:rsidRPr="000D3AD1">
        <w:rPr>
          <w:rFonts w:ascii="Times New Roman" w:eastAsia="SimSun" w:hAnsi="Times New Roman" w:cs="Times New Roman"/>
          <w:sz w:val="24"/>
          <w:szCs w:val="24"/>
          <w:lang w:val="en-GB"/>
        </w:rPr>
        <w:t xml:space="preserve">tail risk of the markets </w:t>
      </w:r>
      <w:r w:rsidR="0073584E" w:rsidRPr="000D3AD1">
        <w:rPr>
          <w:rFonts w:ascii="Times New Roman" w:eastAsia="SimSun" w:hAnsi="Times New Roman" w:cs="Times New Roman"/>
          <w:sz w:val="24"/>
          <w:szCs w:val="24"/>
          <w:lang w:val="en-GB"/>
        </w:rPr>
        <w:t>from</w:t>
      </w:r>
      <w:r w:rsidRPr="000D3AD1">
        <w:rPr>
          <w:rFonts w:ascii="Times New Roman" w:eastAsia="SimSun" w:hAnsi="Times New Roman" w:cs="Times New Roman"/>
          <w:sz w:val="24"/>
          <w:szCs w:val="24"/>
          <w:lang w:val="en-GB"/>
        </w:rPr>
        <w:t xml:space="preserve"> December 1, </w:t>
      </w:r>
      <w:proofErr w:type="gramStart"/>
      <w:r w:rsidRPr="000D3AD1">
        <w:rPr>
          <w:rFonts w:ascii="Times New Roman" w:eastAsia="SimSun" w:hAnsi="Times New Roman" w:cs="Times New Roman"/>
          <w:sz w:val="24"/>
          <w:szCs w:val="24"/>
          <w:lang w:val="en-GB"/>
        </w:rPr>
        <w:t>2008</w:t>
      </w:r>
      <w:proofErr w:type="gramEnd"/>
      <w:r w:rsidRPr="000D3AD1">
        <w:rPr>
          <w:rFonts w:ascii="Times New Roman" w:eastAsia="SimSun" w:hAnsi="Times New Roman" w:cs="Times New Roman"/>
          <w:sz w:val="24"/>
          <w:szCs w:val="24"/>
          <w:lang w:val="en-GB"/>
        </w:rPr>
        <w:t xml:space="preserve"> to May 10, 2021. </w:t>
      </w:r>
      <w:r w:rsidR="0047442B" w:rsidRPr="000D3AD1">
        <w:rPr>
          <w:rFonts w:ascii="Times New Roman" w:eastAsia="SimSun" w:hAnsi="Times New Roman" w:cs="Times New Roman"/>
          <w:sz w:val="24"/>
          <w:szCs w:val="24"/>
          <w:lang w:val="en-GB"/>
        </w:rPr>
        <w:t xml:space="preserve">We spot </w:t>
      </w:r>
      <w:r w:rsidR="0073584E" w:rsidRPr="000D3AD1">
        <w:rPr>
          <w:rFonts w:ascii="Times New Roman" w:eastAsia="SimSun" w:hAnsi="Times New Roman" w:cs="Times New Roman"/>
          <w:sz w:val="24"/>
          <w:szCs w:val="24"/>
          <w:lang w:val="en-GB"/>
        </w:rPr>
        <w:t>significant distressing events such as the</w:t>
      </w:r>
      <w:r w:rsidR="0047442B" w:rsidRPr="000D3AD1">
        <w:rPr>
          <w:rFonts w:ascii="Times New Roman" w:eastAsia="SimSun" w:hAnsi="Times New Roman" w:cs="Times New Roman"/>
          <w:sz w:val="24"/>
          <w:szCs w:val="24"/>
          <w:lang w:val="en-GB"/>
        </w:rPr>
        <w:t xml:space="preserve"> global financial crisis, European Debt Crisis, and COVID-19 pandemic. By estimating </w:t>
      </w:r>
      <w:proofErr w:type="spellStart"/>
      <w:r w:rsidR="0047442B" w:rsidRPr="000D3AD1">
        <w:rPr>
          <w:rFonts w:ascii="Times New Roman" w:eastAsia="SimSun" w:hAnsi="Times New Roman" w:cs="Times New Roman"/>
          <w:sz w:val="24"/>
          <w:szCs w:val="24"/>
          <w:lang w:val="en-GB"/>
        </w:rPr>
        <w:t>VaR</w:t>
      </w:r>
      <w:proofErr w:type="spellEnd"/>
      <w:r w:rsidR="0047442B" w:rsidRPr="000D3AD1">
        <w:rPr>
          <w:rFonts w:ascii="Times New Roman" w:eastAsia="SimSun" w:hAnsi="Times New Roman" w:cs="Times New Roman"/>
          <w:sz w:val="24"/>
          <w:szCs w:val="24"/>
          <w:lang w:val="en-GB"/>
        </w:rPr>
        <w:t xml:space="preserve"> and </w:t>
      </w:r>
      <w:proofErr w:type="spellStart"/>
      <w:r w:rsidR="0047442B" w:rsidRPr="000D3AD1">
        <w:rPr>
          <w:rFonts w:ascii="Times New Roman" w:eastAsia="SimSun" w:hAnsi="Times New Roman" w:cs="Times New Roman"/>
          <w:sz w:val="24"/>
          <w:szCs w:val="24"/>
          <w:lang w:val="en-GB"/>
        </w:rPr>
        <w:t>CoVaR</w:t>
      </w:r>
      <w:proofErr w:type="spellEnd"/>
      <w:r w:rsidR="0047442B" w:rsidRPr="000D3AD1">
        <w:rPr>
          <w:rFonts w:ascii="Times New Roman" w:eastAsia="SimSun" w:hAnsi="Times New Roman" w:cs="Times New Roman"/>
          <w:sz w:val="24"/>
          <w:szCs w:val="24"/>
          <w:lang w:val="en-GB"/>
        </w:rPr>
        <w:t xml:space="preserve"> of the selected markets, we reported scattered plots for green bonds, clean energy, commodity market, and bond market. The time average of risk </w:t>
      </w:r>
      <w:proofErr w:type="spellStart"/>
      <w:r w:rsidR="0047442B" w:rsidRPr="000D3AD1">
        <w:rPr>
          <w:rFonts w:ascii="Times New Roman" w:eastAsia="SimSun" w:hAnsi="Times New Roman" w:cs="Times New Roman"/>
          <w:sz w:val="24"/>
          <w:szCs w:val="24"/>
          <w:lang w:val="en-GB"/>
        </w:rPr>
        <w:t>spillovers</w:t>
      </w:r>
      <w:proofErr w:type="spellEnd"/>
      <w:r w:rsidR="0047442B" w:rsidRPr="000D3AD1">
        <w:rPr>
          <w:rFonts w:ascii="Times New Roman" w:eastAsia="SimSun" w:hAnsi="Times New Roman" w:cs="Times New Roman"/>
          <w:sz w:val="24"/>
          <w:szCs w:val="24"/>
          <w:lang w:val="en-GB"/>
        </w:rPr>
        <w:t xml:space="preserve"> indicated segregated </w:t>
      </w:r>
      <w:proofErr w:type="spellStart"/>
      <w:r w:rsidR="0047442B" w:rsidRPr="000D3AD1">
        <w:rPr>
          <w:rFonts w:ascii="Times New Roman" w:eastAsia="SimSun" w:hAnsi="Times New Roman" w:cs="Times New Roman"/>
          <w:sz w:val="24"/>
          <w:szCs w:val="24"/>
          <w:lang w:val="en-GB"/>
        </w:rPr>
        <w:t>spillovers</w:t>
      </w:r>
      <w:proofErr w:type="spellEnd"/>
      <w:r w:rsidR="0047442B" w:rsidRPr="000D3AD1">
        <w:rPr>
          <w:rFonts w:ascii="Times New Roman" w:eastAsia="SimSun" w:hAnsi="Times New Roman" w:cs="Times New Roman"/>
          <w:sz w:val="24"/>
          <w:szCs w:val="24"/>
          <w:lang w:val="en-GB"/>
        </w:rPr>
        <w:t xml:space="preserve"> in </w:t>
      </w:r>
      <w:r w:rsidR="0073584E" w:rsidRPr="000D3AD1">
        <w:rPr>
          <w:rFonts w:ascii="Times New Roman" w:eastAsia="SimSun" w:hAnsi="Times New Roman" w:cs="Times New Roman"/>
          <w:sz w:val="24"/>
          <w:szCs w:val="24"/>
          <w:lang w:val="en-GB"/>
        </w:rPr>
        <w:t xml:space="preserve">the </w:t>
      </w:r>
      <w:r w:rsidR="0047442B" w:rsidRPr="000D3AD1">
        <w:rPr>
          <w:rFonts w:ascii="Times New Roman" w:eastAsia="SimSun" w:hAnsi="Times New Roman" w:cs="Times New Roman"/>
          <w:sz w:val="24"/>
          <w:szCs w:val="24"/>
          <w:lang w:val="en-GB"/>
        </w:rPr>
        <w:t>pre- and during COVID-19 period</w:t>
      </w:r>
      <w:r w:rsidR="0073584E" w:rsidRPr="000D3AD1">
        <w:rPr>
          <w:rFonts w:ascii="Times New Roman" w:eastAsia="SimSun" w:hAnsi="Times New Roman" w:cs="Times New Roman"/>
          <w:sz w:val="24"/>
          <w:szCs w:val="24"/>
          <w:lang w:val="en-GB"/>
        </w:rPr>
        <w:t>,</w:t>
      </w:r>
      <w:r w:rsidR="0047442B" w:rsidRPr="000D3AD1">
        <w:rPr>
          <w:rFonts w:ascii="Times New Roman" w:eastAsia="SimSun" w:hAnsi="Times New Roman" w:cs="Times New Roman"/>
          <w:sz w:val="24"/>
          <w:szCs w:val="24"/>
          <w:lang w:val="en-GB"/>
        </w:rPr>
        <w:t xml:space="preserve"> where strong tail dependence exists between conventional and green bonds as both share similar features. The network analysis highlighted Dow Jones Islamic stock (DJIS) as the net risk receiver for both sample periods. </w:t>
      </w:r>
      <w:r w:rsidR="00510E7A" w:rsidRPr="000D3AD1">
        <w:rPr>
          <w:rFonts w:ascii="Times New Roman" w:eastAsia="SimSun" w:hAnsi="Times New Roman" w:cs="Times New Roman"/>
          <w:sz w:val="24"/>
          <w:szCs w:val="24"/>
          <w:lang w:val="en-GB"/>
        </w:rPr>
        <w:t xml:space="preserve">Further, </w:t>
      </w:r>
      <w:r w:rsidR="0073584E" w:rsidRPr="000D3AD1">
        <w:rPr>
          <w:rFonts w:ascii="Times New Roman" w:eastAsia="SimSun" w:hAnsi="Times New Roman" w:cs="Times New Roman"/>
          <w:sz w:val="24"/>
          <w:szCs w:val="24"/>
          <w:lang w:val="en-GB"/>
        </w:rPr>
        <w:t xml:space="preserve">the </w:t>
      </w:r>
      <w:r w:rsidR="00510E7A" w:rsidRPr="000D3AD1">
        <w:rPr>
          <w:rFonts w:ascii="Times New Roman" w:eastAsia="SimSun" w:hAnsi="Times New Roman" w:cs="Times New Roman"/>
          <w:sz w:val="24"/>
          <w:szCs w:val="24"/>
          <w:lang w:val="en-GB"/>
        </w:rPr>
        <w:t xml:space="preserve">time series of smoothed SNRI reflected three major crisis events with intense risk </w:t>
      </w:r>
      <w:proofErr w:type="spellStart"/>
      <w:r w:rsidR="00510E7A" w:rsidRPr="000D3AD1">
        <w:rPr>
          <w:rFonts w:ascii="Times New Roman" w:eastAsia="SimSun" w:hAnsi="Times New Roman" w:cs="Times New Roman"/>
          <w:sz w:val="24"/>
          <w:szCs w:val="24"/>
          <w:lang w:val="en-GB"/>
        </w:rPr>
        <w:t>spillovers</w:t>
      </w:r>
      <w:proofErr w:type="spellEnd"/>
      <w:r w:rsidR="00510E7A" w:rsidRPr="000D3AD1">
        <w:rPr>
          <w:rFonts w:ascii="Times New Roman" w:eastAsia="SimSun" w:hAnsi="Times New Roman" w:cs="Times New Roman"/>
          <w:sz w:val="24"/>
          <w:szCs w:val="24"/>
          <w:lang w:val="en-GB"/>
        </w:rPr>
        <w:t xml:space="preserve"> during GFC, EDC, and COVID-19. The segregated analysis of SFI and SHI brought intriguing findings for investors and portfolio managers where DJIS remained the net risk recipient in terms of riskiest investment and majorly contributing to the overall risk </w:t>
      </w:r>
      <w:proofErr w:type="spellStart"/>
      <w:r w:rsidR="00510E7A" w:rsidRPr="000D3AD1">
        <w:rPr>
          <w:rFonts w:ascii="Times New Roman" w:eastAsia="SimSun" w:hAnsi="Times New Roman" w:cs="Times New Roman"/>
          <w:sz w:val="24"/>
          <w:szCs w:val="24"/>
          <w:lang w:val="en-GB"/>
        </w:rPr>
        <w:t>spillovers</w:t>
      </w:r>
      <w:proofErr w:type="spellEnd"/>
      <w:r w:rsidR="00510E7A" w:rsidRPr="000D3AD1">
        <w:rPr>
          <w:rFonts w:ascii="Times New Roman" w:eastAsia="SimSun" w:hAnsi="Times New Roman" w:cs="Times New Roman"/>
          <w:sz w:val="24"/>
          <w:szCs w:val="24"/>
          <w:lang w:val="en-GB"/>
        </w:rPr>
        <w:t xml:space="preserve">. </w:t>
      </w:r>
    </w:p>
    <w:p w14:paraId="351CBCBA" w14:textId="6239AC43" w:rsidR="003978EB" w:rsidRPr="003C5683" w:rsidRDefault="003978EB" w:rsidP="00B406BB">
      <w:pPr>
        <w:spacing w:after="240" w:line="480" w:lineRule="auto"/>
        <w:jc w:val="both"/>
        <w:rPr>
          <w:rFonts w:ascii="Times New Roman" w:eastAsia="SimSun" w:hAnsi="Times New Roman" w:cs="Times New Roman"/>
          <w:color w:val="0000FF"/>
          <w:sz w:val="24"/>
          <w:szCs w:val="24"/>
          <w:lang w:val="en-GB"/>
        </w:rPr>
      </w:pPr>
      <w:r w:rsidRPr="003C5683">
        <w:rPr>
          <w:rFonts w:ascii="Times New Roman" w:eastAsia="SimSun" w:hAnsi="Times New Roman" w:cs="Times New Roman"/>
          <w:color w:val="0000FF"/>
          <w:sz w:val="24"/>
          <w:szCs w:val="24"/>
          <w:lang w:val="en-GB"/>
        </w:rPr>
        <w:lastRenderedPageBreak/>
        <w:t xml:space="preserve">Our findings are </w:t>
      </w:r>
      <w:r w:rsidR="0073584E" w:rsidRPr="003C5683">
        <w:rPr>
          <w:rFonts w:ascii="Times New Roman" w:eastAsia="SimSun" w:hAnsi="Times New Roman" w:cs="Times New Roman"/>
          <w:color w:val="0000FF"/>
          <w:sz w:val="24"/>
          <w:szCs w:val="24"/>
          <w:lang w:val="en-GB"/>
        </w:rPr>
        <w:t>particularly important</w:t>
      </w:r>
      <w:r w:rsidRPr="003C5683">
        <w:rPr>
          <w:rFonts w:ascii="Times New Roman" w:eastAsia="SimSun" w:hAnsi="Times New Roman" w:cs="Times New Roman"/>
          <w:color w:val="0000FF"/>
          <w:sz w:val="24"/>
          <w:szCs w:val="24"/>
          <w:lang w:val="en-GB"/>
        </w:rPr>
        <w:t xml:space="preserve"> for policymakers, regulation bodies, different sort</w:t>
      </w:r>
      <w:r w:rsidR="0073584E" w:rsidRPr="003C5683">
        <w:rPr>
          <w:rFonts w:ascii="Times New Roman" w:eastAsia="SimSun" w:hAnsi="Times New Roman" w:cs="Times New Roman"/>
          <w:color w:val="0000FF"/>
          <w:sz w:val="24"/>
          <w:szCs w:val="24"/>
          <w:lang w:val="en-GB"/>
        </w:rPr>
        <w:t>s</w:t>
      </w:r>
      <w:r w:rsidRPr="003C5683">
        <w:rPr>
          <w:rFonts w:ascii="Times New Roman" w:eastAsia="SimSun" w:hAnsi="Times New Roman" w:cs="Times New Roman"/>
          <w:color w:val="0000FF"/>
          <w:sz w:val="24"/>
          <w:szCs w:val="24"/>
          <w:lang w:val="en-GB"/>
        </w:rPr>
        <w:t xml:space="preserve"> of investors, portfolio managers, and </w:t>
      </w:r>
      <w:r w:rsidR="00A94FAC" w:rsidRPr="003C5683">
        <w:rPr>
          <w:rFonts w:ascii="Times New Roman" w:eastAsia="SimSun" w:hAnsi="Times New Roman" w:cs="Times New Roman"/>
          <w:color w:val="0000FF"/>
          <w:sz w:val="24"/>
          <w:szCs w:val="24"/>
          <w:lang w:val="en-GB"/>
        </w:rPr>
        <w:t>financial market participants</w:t>
      </w:r>
      <w:r w:rsidRPr="003C5683">
        <w:rPr>
          <w:rFonts w:ascii="Times New Roman" w:eastAsia="SimSun" w:hAnsi="Times New Roman" w:cs="Times New Roman"/>
          <w:color w:val="0000FF"/>
          <w:sz w:val="24"/>
          <w:szCs w:val="24"/>
          <w:lang w:val="en-GB"/>
        </w:rPr>
        <w:t xml:space="preserve">. </w:t>
      </w:r>
      <w:r w:rsidR="000B378E" w:rsidRPr="003C5683">
        <w:rPr>
          <w:rFonts w:ascii="Times New Roman" w:eastAsia="SimSun" w:hAnsi="Times New Roman" w:cs="Times New Roman"/>
          <w:color w:val="0000FF"/>
          <w:sz w:val="24"/>
          <w:szCs w:val="24"/>
          <w:lang w:val="en-GB"/>
        </w:rPr>
        <w:t xml:space="preserve">For policymakers, the study accounts for </w:t>
      </w:r>
      <w:r w:rsidR="0073584E" w:rsidRPr="003C5683">
        <w:rPr>
          <w:rFonts w:ascii="Times New Roman" w:eastAsia="SimSun" w:hAnsi="Times New Roman" w:cs="Times New Roman"/>
          <w:color w:val="0000FF"/>
          <w:sz w:val="24"/>
          <w:szCs w:val="24"/>
          <w:lang w:val="en-GB"/>
        </w:rPr>
        <w:t xml:space="preserve">the </w:t>
      </w:r>
      <w:r w:rsidR="000B378E" w:rsidRPr="003C5683">
        <w:rPr>
          <w:rFonts w:ascii="Times New Roman" w:eastAsia="SimSun" w:hAnsi="Times New Roman" w:cs="Times New Roman"/>
          <w:color w:val="0000FF"/>
          <w:sz w:val="24"/>
          <w:szCs w:val="24"/>
          <w:lang w:val="en-GB"/>
        </w:rPr>
        <w:t>re-development of existing policies regarding sustainable, religious, and conventional investments. Prior literature (</w:t>
      </w:r>
      <w:proofErr w:type="spellStart"/>
      <w:r w:rsidR="000B378E" w:rsidRPr="003C5683">
        <w:rPr>
          <w:rFonts w:ascii="Times New Roman" w:eastAsia="SimSun" w:hAnsi="Times New Roman" w:cs="Times New Roman"/>
          <w:color w:val="0000FF"/>
          <w:sz w:val="24"/>
          <w:szCs w:val="24"/>
          <w:lang w:val="en-GB"/>
        </w:rPr>
        <w:t>Arif</w:t>
      </w:r>
      <w:proofErr w:type="spellEnd"/>
      <w:r w:rsidR="000B378E" w:rsidRPr="003C5683">
        <w:rPr>
          <w:rFonts w:ascii="Times New Roman" w:eastAsia="SimSun" w:hAnsi="Times New Roman" w:cs="Times New Roman"/>
          <w:color w:val="0000FF"/>
          <w:sz w:val="24"/>
          <w:szCs w:val="24"/>
          <w:lang w:val="en-GB"/>
        </w:rPr>
        <w:t xml:space="preserve"> et al., 2021</w:t>
      </w:r>
      <w:r w:rsidR="00823835" w:rsidRPr="003C5683">
        <w:rPr>
          <w:rFonts w:ascii="Times New Roman" w:eastAsia="SimSun" w:hAnsi="Times New Roman" w:cs="Times New Roman"/>
          <w:color w:val="0000FF"/>
          <w:sz w:val="24"/>
          <w:szCs w:val="24"/>
          <w:lang w:val="en-GB"/>
        </w:rPr>
        <w:t>b</w:t>
      </w:r>
      <w:r w:rsidR="000B378E" w:rsidRPr="003C5683">
        <w:rPr>
          <w:rFonts w:ascii="Times New Roman" w:eastAsia="SimSun" w:hAnsi="Times New Roman" w:cs="Times New Roman"/>
          <w:color w:val="0000FF"/>
          <w:sz w:val="24"/>
          <w:szCs w:val="24"/>
          <w:lang w:val="en-GB"/>
        </w:rPr>
        <w:t>; A</w:t>
      </w:r>
      <w:r w:rsidR="00823835" w:rsidRPr="003C5683">
        <w:rPr>
          <w:rFonts w:ascii="Times New Roman" w:eastAsia="SimSun" w:hAnsi="Times New Roman" w:cs="Times New Roman"/>
          <w:color w:val="0000FF"/>
          <w:sz w:val="24"/>
          <w:szCs w:val="24"/>
          <w:lang w:val="en-GB"/>
        </w:rPr>
        <w:t>zad</w:t>
      </w:r>
      <w:r w:rsidR="000B378E" w:rsidRPr="003C5683">
        <w:rPr>
          <w:rFonts w:ascii="Times New Roman" w:eastAsia="SimSun" w:hAnsi="Times New Roman" w:cs="Times New Roman"/>
          <w:color w:val="0000FF"/>
          <w:sz w:val="24"/>
          <w:szCs w:val="24"/>
          <w:lang w:val="en-GB"/>
        </w:rPr>
        <w:t xml:space="preserve"> et al., 2018) indicates religious investments to be less risky. However, the current study negates this argument by </w:t>
      </w:r>
      <w:r w:rsidR="0085261F" w:rsidRPr="003C5683">
        <w:rPr>
          <w:rFonts w:ascii="Times New Roman" w:eastAsia="SimSun" w:hAnsi="Times New Roman" w:cs="Times New Roman"/>
          <w:color w:val="0000FF"/>
          <w:sz w:val="24"/>
          <w:szCs w:val="24"/>
          <w:lang w:val="en-GB"/>
        </w:rPr>
        <w:t>symbolizing DJIS carrying substantial tail risk. Thus, policymakers and regulat</w:t>
      </w:r>
      <w:r w:rsidR="0073584E" w:rsidRPr="003C5683">
        <w:rPr>
          <w:rFonts w:ascii="Times New Roman" w:eastAsia="SimSun" w:hAnsi="Times New Roman" w:cs="Times New Roman"/>
          <w:color w:val="0000FF"/>
          <w:sz w:val="24"/>
          <w:szCs w:val="24"/>
          <w:lang w:val="en-GB"/>
        </w:rPr>
        <w:t>ory</w:t>
      </w:r>
      <w:r w:rsidR="0085261F" w:rsidRPr="003C5683">
        <w:rPr>
          <w:rFonts w:ascii="Times New Roman" w:eastAsia="SimSun" w:hAnsi="Times New Roman" w:cs="Times New Roman"/>
          <w:color w:val="0000FF"/>
          <w:sz w:val="24"/>
          <w:szCs w:val="24"/>
          <w:lang w:val="en-GB"/>
        </w:rPr>
        <w:t xml:space="preserve"> bodies need to concentrate on the tail risk of markets for developing investment policies and strategies</w:t>
      </w:r>
      <w:r w:rsidR="000E23ED" w:rsidRPr="003C5683">
        <w:rPr>
          <w:rFonts w:ascii="Times New Roman" w:eastAsia="SimSun" w:hAnsi="Times New Roman" w:cs="Times New Roman"/>
          <w:color w:val="0000FF"/>
          <w:sz w:val="24"/>
          <w:szCs w:val="24"/>
          <w:lang w:val="en-GB"/>
        </w:rPr>
        <w:t xml:space="preserve"> and encourage introducing green and sustainable assets for mitigating the risk of religious and conventional stocks</w:t>
      </w:r>
      <w:r w:rsidR="0085261F" w:rsidRPr="003C5683">
        <w:rPr>
          <w:rFonts w:ascii="Times New Roman" w:eastAsia="SimSun" w:hAnsi="Times New Roman" w:cs="Times New Roman"/>
          <w:color w:val="0000FF"/>
          <w:sz w:val="24"/>
          <w:szCs w:val="24"/>
          <w:lang w:val="en-GB"/>
        </w:rPr>
        <w:t xml:space="preserve">. </w:t>
      </w:r>
      <w:r w:rsidR="00112D90" w:rsidRPr="003C5683">
        <w:rPr>
          <w:rFonts w:ascii="Times New Roman" w:eastAsia="SimSun" w:hAnsi="Times New Roman" w:cs="Times New Roman"/>
          <w:color w:val="0000FF"/>
          <w:sz w:val="24"/>
          <w:szCs w:val="24"/>
          <w:lang w:val="en-GB"/>
        </w:rPr>
        <w:t xml:space="preserve">Following this, based on </w:t>
      </w:r>
      <w:r w:rsidR="0073584E" w:rsidRPr="003C5683">
        <w:rPr>
          <w:rFonts w:ascii="Times New Roman" w:eastAsia="SimSun" w:hAnsi="Times New Roman" w:cs="Times New Roman"/>
          <w:color w:val="0000FF"/>
          <w:sz w:val="24"/>
          <w:szCs w:val="24"/>
          <w:lang w:val="en-GB"/>
        </w:rPr>
        <w:t xml:space="preserve">the </w:t>
      </w:r>
      <w:r w:rsidR="00112D90" w:rsidRPr="003C5683">
        <w:rPr>
          <w:rFonts w:ascii="Times New Roman" w:eastAsia="SimSun" w:hAnsi="Times New Roman" w:cs="Times New Roman"/>
          <w:color w:val="0000FF"/>
          <w:sz w:val="24"/>
          <w:szCs w:val="24"/>
          <w:lang w:val="en-GB"/>
        </w:rPr>
        <w:t xml:space="preserve">risk attitudes of investors, the current study nominates the sustainable, religious, and conventional markets </w:t>
      </w:r>
      <w:r w:rsidR="000E23ED" w:rsidRPr="003C5683">
        <w:rPr>
          <w:rFonts w:ascii="Times New Roman" w:eastAsia="SimSun" w:hAnsi="Times New Roman" w:cs="Times New Roman"/>
          <w:color w:val="0000FF"/>
          <w:sz w:val="24"/>
          <w:szCs w:val="24"/>
          <w:lang w:val="en-GB"/>
        </w:rPr>
        <w:t xml:space="preserve">considering their tail risk </w:t>
      </w:r>
      <w:r w:rsidR="00112D90" w:rsidRPr="003C5683">
        <w:rPr>
          <w:rFonts w:ascii="Times New Roman" w:eastAsia="SimSun" w:hAnsi="Times New Roman" w:cs="Times New Roman"/>
          <w:color w:val="0000FF"/>
          <w:sz w:val="24"/>
          <w:szCs w:val="24"/>
          <w:lang w:val="en-GB"/>
        </w:rPr>
        <w:t xml:space="preserve">and provides fresh insights on their diversification benefits, risk-bearing potential, and vulnerability to the external economic and financial shocks. </w:t>
      </w:r>
      <w:r w:rsidR="005B2A84" w:rsidRPr="003C5683">
        <w:rPr>
          <w:rFonts w:ascii="Times New Roman" w:eastAsia="SimSun" w:hAnsi="Times New Roman" w:cs="Times New Roman"/>
          <w:color w:val="0000FF"/>
          <w:sz w:val="24"/>
          <w:szCs w:val="24"/>
          <w:lang w:val="en-GB"/>
        </w:rPr>
        <w:t xml:space="preserve">Thus, it depends on </w:t>
      </w:r>
      <w:r w:rsidR="0073584E" w:rsidRPr="003C5683">
        <w:rPr>
          <w:rFonts w:ascii="Times New Roman" w:eastAsia="SimSun" w:hAnsi="Times New Roman" w:cs="Times New Roman"/>
          <w:color w:val="0000FF"/>
          <w:sz w:val="24"/>
          <w:szCs w:val="24"/>
          <w:lang w:val="en-GB"/>
        </w:rPr>
        <w:t>investors’ risk-seeker and risk-averse attitude</w:t>
      </w:r>
      <w:r w:rsidR="005B2A84" w:rsidRPr="003C5683">
        <w:rPr>
          <w:rFonts w:ascii="Times New Roman" w:eastAsia="SimSun" w:hAnsi="Times New Roman" w:cs="Times New Roman"/>
          <w:color w:val="0000FF"/>
          <w:sz w:val="24"/>
          <w:szCs w:val="24"/>
          <w:lang w:val="en-GB"/>
        </w:rPr>
        <w:t xml:space="preserve"> to choose among various sustainable, religious, and conventional markets</w:t>
      </w:r>
      <w:r w:rsidR="006F15CC" w:rsidRPr="003C5683">
        <w:rPr>
          <w:rFonts w:ascii="Times New Roman" w:eastAsia="SimSun" w:hAnsi="Times New Roman" w:cs="Times New Roman"/>
          <w:color w:val="0000FF"/>
          <w:sz w:val="24"/>
          <w:szCs w:val="24"/>
          <w:lang w:val="en-GB"/>
        </w:rPr>
        <w:t xml:space="preserve"> and diversify the tail risk of their investments. </w:t>
      </w:r>
      <w:r w:rsidR="000E23ED" w:rsidRPr="003C5683">
        <w:rPr>
          <w:rFonts w:ascii="Times New Roman" w:eastAsia="SimSun" w:hAnsi="Times New Roman" w:cs="Times New Roman"/>
          <w:color w:val="0000FF"/>
          <w:sz w:val="24"/>
          <w:szCs w:val="24"/>
          <w:lang w:val="en-GB"/>
        </w:rPr>
        <w:t xml:space="preserve">Meanwhile, they can also trade-off between multiple investment options by calculating the risk and adopting sustainable and green investments as a perfect solution to cope with the market volatility and secure their investments. </w:t>
      </w:r>
      <w:r w:rsidR="00A94FAC" w:rsidRPr="003C5683">
        <w:rPr>
          <w:rFonts w:ascii="Times New Roman" w:eastAsia="SimSun" w:hAnsi="Times New Roman" w:cs="Times New Roman"/>
          <w:color w:val="0000FF"/>
          <w:sz w:val="24"/>
          <w:szCs w:val="24"/>
          <w:lang w:val="en-GB"/>
        </w:rPr>
        <w:t xml:space="preserve">Similarly, for portfolio managers and financial market participants, the study carries </w:t>
      </w:r>
      <w:r w:rsidR="00582FF5" w:rsidRPr="003C5683">
        <w:rPr>
          <w:rFonts w:ascii="Times New Roman" w:eastAsia="SimSun" w:hAnsi="Times New Roman" w:cs="Times New Roman"/>
          <w:color w:val="0000FF"/>
          <w:sz w:val="24"/>
          <w:szCs w:val="24"/>
          <w:lang w:val="en-GB"/>
        </w:rPr>
        <w:t xml:space="preserve">exceptional ramifications by highlighting the tail risk of religious investments and diversification avenues of sustainable assets. In this way, portfolio managers can weigh their multiple investment streams and assign </w:t>
      </w:r>
      <w:proofErr w:type="gramStart"/>
      <w:r w:rsidR="00582FF5" w:rsidRPr="003C5683">
        <w:rPr>
          <w:rFonts w:ascii="Times New Roman" w:eastAsia="SimSun" w:hAnsi="Times New Roman" w:cs="Times New Roman"/>
          <w:color w:val="0000FF"/>
          <w:sz w:val="24"/>
          <w:szCs w:val="24"/>
          <w:lang w:val="en-GB"/>
        </w:rPr>
        <w:t>particular weight</w:t>
      </w:r>
      <w:proofErr w:type="gramEnd"/>
      <w:r w:rsidR="00582FF5" w:rsidRPr="003C5683">
        <w:rPr>
          <w:rFonts w:ascii="Times New Roman" w:eastAsia="SimSun" w:hAnsi="Times New Roman" w:cs="Times New Roman"/>
          <w:color w:val="0000FF"/>
          <w:sz w:val="24"/>
          <w:szCs w:val="24"/>
          <w:lang w:val="en-GB"/>
        </w:rPr>
        <w:t xml:space="preserve"> risk to each </w:t>
      </w:r>
      <w:r w:rsidR="0073584E" w:rsidRPr="003C5683">
        <w:rPr>
          <w:rFonts w:ascii="Times New Roman" w:eastAsia="SimSun" w:hAnsi="Times New Roman" w:cs="Times New Roman"/>
          <w:color w:val="0000FF"/>
          <w:sz w:val="24"/>
          <w:szCs w:val="24"/>
          <w:lang w:val="en-GB"/>
        </w:rPr>
        <w:t>portfolio mix</w:t>
      </w:r>
      <w:r w:rsidR="00582FF5" w:rsidRPr="003C5683">
        <w:rPr>
          <w:rFonts w:ascii="Times New Roman" w:eastAsia="SimSun" w:hAnsi="Times New Roman" w:cs="Times New Roman"/>
          <w:color w:val="0000FF"/>
          <w:sz w:val="24"/>
          <w:szCs w:val="24"/>
          <w:lang w:val="en-GB"/>
        </w:rPr>
        <w:t>. By doing so, portfolio managers can mitigate the risk of their assets by adopting several risk management tools</w:t>
      </w:r>
      <w:r w:rsidR="00225C8D" w:rsidRPr="003C5683">
        <w:rPr>
          <w:rFonts w:ascii="Times New Roman" w:eastAsia="SimSun" w:hAnsi="Times New Roman" w:cs="Times New Roman"/>
          <w:color w:val="0000FF"/>
          <w:sz w:val="24"/>
          <w:szCs w:val="24"/>
          <w:lang w:val="en-GB"/>
        </w:rPr>
        <w:t xml:space="preserve"> and instruments</w:t>
      </w:r>
      <w:r w:rsidR="00582FF5" w:rsidRPr="003C5683">
        <w:rPr>
          <w:rFonts w:ascii="Times New Roman" w:eastAsia="SimSun" w:hAnsi="Times New Roman" w:cs="Times New Roman"/>
          <w:color w:val="0000FF"/>
          <w:sz w:val="24"/>
          <w:szCs w:val="24"/>
          <w:lang w:val="en-GB"/>
        </w:rPr>
        <w:t xml:space="preserve">. </w:t>
      </w:r>
      <w:r w:rsidR="004D320B">
        <w:rPr>
          <w:rFonts w:ascii="Times New Roman" w:eastAsia="SimSun" w:hAnsi="Times New Roman" w:cs="Times New Roman"/>
          <w:color w:val="0000FF"/>
          <w:sz w:val="24"/>
          <w:szCs w:val="24"/>
          <w:lang w:val="en-GB"/>
        </w:rPr>
        <w:t xml:space="preserve">As future research avenues, we propose that academicians can employ various tail risk methodologies on different financial markets. Moreover, the time frame of the dataset can be expanded and controlled for various risk situations. </w:t>
      </w:r>
    </w:p>
    <w:p w14:paraId="61AA1395" w14:textId="54BE1EDC" w:rsidR="00B82918" w:rsidRPr="000D3AD1" w:rsidRDefault="00B82918" w:rsidP="00B406BB">
      <w:pPr>
        <w:spacing w:after="240" w:line="480" w:lineRule="auto"/>
        <w:jc w:val="both"/>
        <w:rPr>
          <w:rFonts w:ascii="Times New Roman" w:eastAsia="SimSun" w:hAnsi="Times New Roman" w:cs="Times New Roman"/>
          <w:sz w:val="24"/>
          <w:szCs w:val="24"/>
          <w:lang w:val="en-GB"/>
        </w:rPr>
      </w:pPr>
    </w:p>
    <w:p w14:paraId="1CB2AEB2" w14:textId="0BC24E7C" w:rsidR="00B82918" w:rsidRPr="000D3AD1" w:rsidRDefault="00EF7F9D" w:rsidP="0069661B">
      <w:pPr>
        <w:rPr>
          <w:rFonts w:ascii="Times New Roman" w:eastAsia="SimSun" w:hAnsi="Times New Roman" w:cs="Times New Roman"/>
          <w:b/>
          <w:bCs/>
          <w:sz w:val="24"/>
          <w:szCs w:val="24"/>
          <w:lang w:val="en-GB"/>
        </w:rPr>
      </w:pPr>
      <w:r w:rsidRPr="000D3AD1">
        <w:rPr>
          <w:rFonts w:ascii="Times New Roman" w:eastAsia="SimSun" w:hAnsi="Times New Roman" w:cs="Times New Roman"/>
          <w:b/>
          <w:bCs/>
          <w:sz w:val="24"/>
          <w:szCs w:val="24"/>
          <w:lang w:val="en-GB"/>
        </w:rPr>
        <w:br w:type="page"/>
      </w:r>
      <w:r w:rsidRPr="000D3AD1">
        <w:rPr>
          <w:rFonts w:ascii="Times New Roman" w:eastAsia="SimSun" w:hAnsi="Times New Roman" w:cs="Times New Roman"/>
          <w:b/>
          <w:bCs/>
          <w:sz w:val="24"/>
          <w:szCs w:val="24"/>
          <w:lang w:val="en-GB"/>
        </w:rPr>
        <w:lastRenderedPageBreak/>
        <w:t>References</w:t>
      </w:r>
    </w:p>
    <w:p w14:paraId="725EC224" w14:textId="77777777" w:rsidR="00EF7F9D" w:rsidRPr="0069661B" w:rsidRDefault="00EF7F9D" w:rsidP="00EF7F9D">
      <w:pPr>
        <w:widowControl w:val="0"/>
        <w:autoSpaceDE w:val="0"/>
        <w:autoSpaceDN w:val="0"/>
        <w:adjustRightInd w:val="0"/>
        <w:spacing w:before="40" w:after="40" w:line="240" w:lineRule="auto"/>
        <w:jc w:val="both"/>
        <w:rPr>
          <w:rFonts w:ascii="Times New Roman" w:hAnsi="Times New Roman" w:cs="Times New Roman"/>
          <w:noProof/>
          <w:sz w:val="24"/>
          <w:szCs w:val="24"/>
        </w:rPr>
      </w:pPr>
      <w:r w:rsidRPr="0069661B">
        <w:rPr>
          <w:rFonts w:ascii="Times New Roman" w:hAnsi="Times New Roman" w:cs="Times New Roman"/>
          <w:noProof/>
          <w:sz w:val="24"/>
          <w:szCs w:val="24"/>
        </w:rPr>
        <w:t xml:space="preserve">Abakah, E. J. A., Addo, E., Gil-Alana, L., &amp; Tiwari, A. K. (2021). Re-examination of international bond market dependence: evidence from a pair copula approach. </w:t>
      </w:r>
      <w:r w:rsidRPr="0069661B">
        <w:rPr>
          <w:rFonts w:ascii="Times New Roman" w:hAnsi="Times New Roman" w:cs="Times New Roman"/>
          <w:i/>
          <w:noProof/>
          <w:sz w:val="24"/>
          <w:szCs w:val="24"/>
        </w:rPr>
        <w:t xml:space="preserve">International Review of Financial Analysis, </w:t>
      </w:r>
      <w:r w:rsidRPr="0069661B">
        <w:rPr>
          <w:rFonts w:ascii="Times New Roman" w:hAnsi="Times New Roman" w:cs="Times New Roman"/>
          <w:noProof/>
          <w:sz w:val="24"/>
          <w:szCs w:val="24"/>
        </w:rPr>
        <w:t>74, 101678.</w:t>
      </w:r>
    </w:p>
    <w:p w14:paraId="384AD76A" w14:textId="77777777" w:rsidR="00EF7F9D" w:rsidRPr="0069661B" w:rsidRDefault="00EF7F9D" w:rsidP="00EF7F9D">
      <w:pPr>
        <w:widowControl w:val="0"/>
        <w:autoSpaceDE w:val="0"/>
        <w:autoSpaceDN w:val="0"/>
        <w:adjustRightInd w:val="0"/>
        <w:spacing w:before="40" w:after="40" w:line="240" w:lineRule="auto"/>
        <w:jc w:val="both"/>
        <w:rPr>
          <w:rFonts w:ascii="Times New Roman" w:hAnsi="Times New Roman" w:cs="Times New Roman"/>
          <w:noProof/>
          <w:sz w:val="24"/>
          <w:szCs w:val="24"/>
        </w:rPr>
      </w:pPr>
    </w:p>
    <w:p w14:paraId="2A36CC8F"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Acharya, V. V., Pedersen, L. H., Philippon, T., &amp; Richardson, M. (2017). Measuring systemic risk. </w:t>
      </w:r>
      <w:r w:rsidRPr="0069661B">
        <w:rPr>
          <w:rFonts w:ascii="Times New Roman" w:hAnsi="Times New Roman" w:cs="Times New Roman"/>
          <w:i/>
          <w:sz w:val="24"/>
          <w:szCs w:val="24"/>
        </w:rPr>
        <w:t>Review of Financial Studies,</w:t>
      </w:r>
      <w:r w:rsidRPr="0069661B">
        <w:rPr>
          <w:rFonts w:ascii="Times New Roman" w:hAnsi="Times New Roman" w:cs="Times New Roman"/>
          <w:sz w:val="24"/>
          <w:szCs w:val="24"/>
        </w:rPr>
        <w:t xml:space="preserve"> 30(1), 2–47</w:t>
      </w:r>
    </w:p>
    <w:p w14:paraId="135255A1"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7155480C" w14:textId="48DA2D3C" w:rsidR="00B66952" w:rsidRPr="0069661B" w:rsidRDefault="00EF7F9D" w:rsidP="00B66952">
      <w:pPr>
        <w:pStyle w:val="EndNoteBibliography"/>
        <w:spacing w:before="40" w:after="40"/>
        <w:jc w:val="both"/>
        <w:rPr>
          <w:rFonts w:ascii="Times New Roman" w:hAnsi="Times New Roman" w:cs="Times New Roman"/>
          <w:sz w:val="24"/>
          <w:szCs w:val="24"/>
        </w:rPr>
      </w:pPr>
      <w:r w:rsidRPr="0069661B">
        <w:rPr>
          <w:rFonts w:ascii="Times New Roman" w:hAnsi="Times New Roman" w:cs="Times New Roman"/>
          <w:sz w:val="24"/>
          <w:szCs w:val="24"/>
        </w:rPr>
        <w:t xml:space="preserve">Adekoya, O. B., &amp; Oliyide, J. A. (2020). How COVID-19 drives connectedness among commodity and financial markets: evidence from TVP-VAR and causality-in-quantiles techniques. </w:t>
      </w:r>
      <w:r w:rsidRPr="0069661B">
        <w:rPr>
          <w:rFonts w:ascii="Times New Roman" w:hAnsi="Times New Roman" w:cs="Times New Roman"/>
          <w:i/>
          <w:sz w:val="24"/>
          <w:szCs w:val="24"/>
        </w:rPr>
        <w:t xml:space="preserve">Resources Policy, </w:t>
      </w:r>
      <w:r w:rsidRPr="0069661B">
        <w:rPr>
          <w:rFonts w:ascii="Times New Roman" w:hAnsi="Times New Roman" w:cs="Times New Roman"/>
          <w:sz w:val="24"/>
          <w:szCs w:val="24"/>
        </w:rPr>
        <w:t xml:space="preserve">70, 101898. </w:t>
      </w:r>
    </w:p>
    <w:p w14:paraId="75063F9E" w14:textId="77777777" w:rsidR="00B66952" w:rsidRPr="0069661B" w:rsidRDefault="00B66952" w:rsidP="00B66952">
      <w:pPr>
        <w:pStyle w:val="EndNoteBibliography"/>
        <w:spacing w:before="40" w:after="40"/>
        <w:jc w:val="both"/>
        <w:rPr>
          <w:rFonts w:ascii="Times New Roman" w:hAnsi="Times New Roman" w:cs="Times New Roman"/>
          <w:sz w:val="24"/>
          <w:szCs w:val="24"/>
        </w:rPr>
      </w:pPr>
    </w:p>
    <w:p w14:paraId="49F6A245" w14:textId="730DBE95" w:rsidR="00B66952" w:rsidRPr="0069661B" w:rsidRDefault="00B66952" w:rsidP="00B66952">
      <w:pPr>
        <w:widowControl w:val="0"/>
        <w:autoSpaceDE w:val="0"/>
        <w:autoSpaceDN w:val="0"/>
        <w:adjustRightInd w:val="0"/>
        <w:spacing w:line="240" w:lineRule="auto"/>
        <w:rPr>
          <w:rFonts w:ascii="Times New Roman" w:hAnsi="Times New Roman" w:cs="Times New Roman"/>
          <w:noProof/>
          <w:color w:val="3333FF"/>
          <w:sz w:val="24"/>
          <w:szCs w:val="24"/>
        </w:rPr>
      </w:pPr>
      <w:r w:rsidRPr="0069661B">
        <w:rPr>
          <w:rFonts w:ascii="Times New Roman" w:hAnsi="Times New Roman" w:cs="Times New Roman"/>
          <w:color w:val="222222"/>
          <w:sz w:val="24"/>
          <w:szCs w:val="24"/>
          <w:shd w:val="clear" w:color="auto" w:fill="FFFFFF"/>
        </w:rPr>
        <w:t xml:space="preserve">Alawi, S. M., Karim, S., </w:t>
      </w:r>
      <w:proofErr w:type="spellStart"/>
      <w:r w:rsidRPr="0069661B">
        <w:rPr>
          <w:rFonts w:ascii="Times New Roman" w:hAnsi="Times New Roman" w:cs="Times New Roman"/>
          <w:color w:val="222222"/>
          <w:sz w:val="24"/>
          <w:szCs w:val="24"/>
          <w:shd w:val="clear" w:color="auto" w:fill="FFFFFF"/>
        </w:rPr>
        <w:t>Meero</w:t>
      </w:r>
      <w:proofErr w:type="spellEnd"/>
      <w:r w:rsidRPr="0069661B">
        <w:rPr>
          <w:rFonts w:ascii="Times New Roman" w:hAnsi="Times New Roman" w:cs="Times New Roman"/>
          <w:color w:val="222222"/>
          <w:sz w:val="24"/>
          <w:szCs w:val="24"/>
          <w:shd w:val="clear" w:color="auto" w:fill="FFFFFF"/>
        </w:rPr>
        <w:t>, A. A., Rabbani, M. R., &amp; Naeem, M. A. (2022). Information transmission in regional energy stock markets. </w:t>
      </w:r>
      <w:r w:rsidRPr="0069661B">
        <w:rPr>
          <w:rFonts w:ascii="Times New Roman" w:hAnsi="Times New Roman" w:cs="Times New Roman"/>
          <w:i/>
          <w:iCs/>
          <w:color w:val="222222"/>
          <w:sz w:val="24"/>
          <w:szCs w:val="24"/>
          <w:shd w:val="clear" w:color="auto" w:fill="FFFFFF"/>
        </w:rPr>
        <w:t>Environmental Science and Pollution Research</w:t>
      </w:r>
      <w:r w:rsidRPr="0069661B">
        <w:rPr>
          <w:rFonts w:ascii="Times New Roman" w:hAnsi="Times New Roman" w:cs="Times New Roman"/>
          <w:color w:val="222222"/>
          <w:sz w:val="24"/>
          <w:szCs w:val="24"/>
          <w:shd w:val="clear" w:color="auto" w:fill="FFFFFF"/>
        </w:rPr>
        <w:t>, 1-13.</w:t>
      </w:r>
    </w:p>
    <w:p w14:paraId="141634B2" w14:textId="2E43FA1E" w:rsidR="00B66952" w:rsidRDefault="004E5F95" w:rsidP="0069661B">
      <w:pPr>
        <w:pStyle w:val="EndNoteBibliography"/>
        <w:spacing w:before="40" w:after="40"/>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Albuquerque, R., Koskinen, Y., Yang, S., &amp; Zhang, C. (2020). Resiliency of environmental and social stocks: An analysis of the exogenous COVID-19 market crash. </w:t>
      </w:r>
      <w:r w:rsidRPr="0069661B">
        <w:rPr>
          <w:rFonts w:ascii="Times New Roman" w:hAnsi="Times New Roman" w:cs="Times New Roman"/>
          <w:i/>
          <w:iCs/>
          <w:color w:val="0000FF"/>
          <w:sz w:val="24"/>
          <w:szCs w:val="24"/>
          <w:shd w:val="clear" w:color="auto" w:fill="FFFFFF"/>
        </w:rPr>
        <w:t>The Review of Corporate Finance Studies</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9</w:t>
      </w:r>
      <w:r w:rsidRPr="0069661B">
        <w:rPr>
          <w:rFonts w:ascii="Times New Roman" w:hAnsi="Times New Roman" w:cs="Times New Roman"/>
          <w:color w:val="0000FF"/>
          <w:sz w:val="24"/>
          <w:szCs w:val="24"/>
          <w:shd w:val="clear" w:color="auto" w:fill="FFFFFF"/>
        </w:rPr>
        <w:t>(3), 593-621.</w:t>
      </w:r>
    </w:p>
    <w:p w14:paraId="00DF2605" w14:textId="77777777" w:rsidR="0069661B" w:rsidRPr="0069661B" w:rsidRDefault="0069661B" w:rsidP="0069661B">
      <w:pPr>
        <w:pStyle w:val="EndNoteBibliography"/>
        <w:spacing w:before="40" w:after="40"/>
        <w:jc w:val="both"/>
        <w:rPr>
          <w:rFonts w:ascii="Times New Roman" w:hAnsi="Times New Roman" w:cs="Times New Roman"/>
          <w:sz w:val="24"/>
          <w:szCs w:val="24"/>
        </w:rPr>
      </w:pPr>
    </w:p>
    <w:p w14:paraId="79DD5549" w14:textId="681F4E92" w:rsidR="00B66952" w:rsidRPr="0069661B" w:rsidRDefault="00B66952" w:rsidP="00B66952">
      <w:pPr>
        <w:widowControl w:val="0"/>
        <w:autoSpaceDE w:val="0"/>
        <w:autoSpaceDN w:val="0"/>
        <w:adjustRightInd w:val="0"/>
        <w:spacing w:line="240" w:lineRule="auto"/>
        <w:rPr>
          <w:rFonts w:ascii="Times New Roman" w:hAnsi="Times New Roman" w:cs="Times New Roman"/>
          <w:noProof/>
          <w:sz w:val="24"/>
          <w:szCs w:val="24"/>
        </w:rPr>
      </w:pPr>
      <w:proofErr w:type="spellStart"/>
      <w:r w:rsidRPr="0069661B">
        <w:rPr>
          <w:rFonts w:ascii="Times New Roman" w:hAnsi="Times New Roman" w:cs="Times New Roman"/>
          <w:color w:val="222222"/>
          <w:sz w:val="24"/>
          <w:szCs w:val="24"/>
          <w:shd w:val="clear" w:color="auto" w:fill="FFFFFF"/>
        </w:rPr>
        <w:t>Anwer</w:t>
      </w:r>
      <w:proofErr w:type="spellEnd"/>
      <w:r w:rsidRPr="0069661B">
        <w:rPr>
          <w:rFonts w:ascii="Times New Roman" w:hAnsi="Times New Roman" w:cs="Times New Roman"/>
          <w:color w:val="222222"/>
          <w:sz w:val="24"/>
          <w:szCs w:val="24"/>
          <w:shd w:val="clear" w:color="auto" w:fill="FFFFFF"/>
        </w:rPr>
        <w:t>, Z., Naeem, M. A., Hassan, M. K., &amp; Karim, S. (2022). Asymmetric connectedness across Asia-Pacific currencies: Evidence from time-frequency domain analysis. </w:t>
      </w:r>
      <w:r w:rsidRPr="0069661B">
        <w:rPr>
          <w:rFonts w:ascii="Times New Roman" w:hAnsi="Times New Roman" w:cs="Times New Roman"/>
          <w:i/>
          <w:iCs/>
          <w:color w:val="222222"/>
          <w:sz w:val="24"/>
          <w:szCs w:val="24"/>
          <w:shd w:val="clear" w:color="auto" w:fill="FFFFFF"/>
        </w:rPr>
        <w:t>Finance Research Letters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47</w:t>
      </w:r>
      <w:r w:rsidRPr="0069661B">
        <w:rPr>
          <w:rFonts w:ascii="Times New Roman" w:hAnsi="Times New Roman" w:cs="Times New Roman"/>
          <w:color w:val="222222"/>
          <w:sz w:val="24"/>
          <w:szCs w:val="24"/>
          <w:shd w:val="clear" w:color="auto" w:fill="FFFFFF"/>
        </w:rPr>
        <w:t>, 102782.</w:t>
      </w:r>
    </w:p>
    <w:p w14:paraId="67AD2E7D" w14:textId="77777777" w:rsidR="00B66952" w:rsidRPr="0069661B" w:rsidRDefault="00B66952" w:rsidP="00EF7F9D">
      <w:pPr>
        <w:autoSpaceDE w:val="0"/>
        <w:autoSpaceDN w:val="0"/>
        <w:adjustRightInd w:val="0"/>
        <w:spacing w:after="0" w:line="240" w:lineRule="auto"/>
        <w:jc w:val="both"/>
        <w:rPr>
          <w:rFonts w:ascii="Times New Roman" w:hAnsi="Times New Roman" w:cs="Times New Roman"/>
          <w:sz w:val="24"/>
          <w:szCs w:val="24"/>
        </w:rPr>
      </w:pPr>
    </w:p>
    <w:p w14:paraId="5CE5C839" w14:textId="573A03B6" w:rsidR="00EF7F9D" w:rsidRPr="0069661B" w:rsidRDefault="00EF7F9D" w:rsidP="00EF7F9D">
      <w:pPr>
        <w:autoSpaceDE w:val="0"/>
        <w:autoSpaceDN w:val="0"/>
        <w:adjustRightInd w:val="0"/>
        <w:spacing w:after="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rPr>
        <w:t>Arif</w:t>
      </w:r>
      <w:proofErr w:type="spellEnd"/>
      <w:r w:rsidRPr="0069661B">
        <w:rPr>
          <w:rFonts w:ascii="Times New Roman" w:hAnsi="Times New Roman" w:cs="Times New Roman"/>
          <w:sz w:val="24"/>
          <w:szCs w:val="24"/>
        </w:rPr>
        <w:t xml:space="preserve">, M., Hasan, M., Alawi, S. M., Naeem, M. A. (2021a). COVID-19 and time-frequency connectedness between green and conventional financial markets. </w:t>
      </w:r>
      <w:r w:rsidRPr="0069661B">
        <w:rPr>
          <w:rFonts w:ascii="Times New Roman" w:hAnsi="Times New Roman" w:cs="Times New Roman"/>
          <w:i/>
          <w:sz w:val="24"/>
          <w:szCs w:val="24"/>
        </w:rPr>
        <w:t>Global Finance Journal,</w:t>
      </w:r>
      <w:r w:rsidRPr="0069661B">
        <w:rPr>
          <w:rFonts w:ascii="Times New Roman" w:hAnsi="Times New Roman" w:cs="Times New Roman"/>
          <w:sz w:val="24"/>
          <w:szCs w:val="24"/>
        </w:rPr>
        <w:t xml:space="preserve"> 49, 100650. </w:t>
      </w:r>
    </w:p>
    <w:p w14:paraId="763F0BDE" w14:textId="77777777" w:rsidR="00EF7F9D" w:rsidRPr="0069661B" w:rsidRDefault="00EF7F9D" w:rsidP="00EF7F9D">
      <w:pPr>
        <w:autoSpaceDE w:val="0"/>
        <w:autoSpaceDN w:val="0"/>
        <w:adjustRightInd w:val="0"/>
        <w:spacing w:after="0" w:line="240" w:lineRule="auto"/>
        <w:jc w:val="both"/>
        <w:rPr>
          <w:rFonts w:ascii="Times New Roman" w:hAnsi="Times New Roman" w:cs="Times New Roman"/>
          <w:sz w:val="24"/>
          <w:szCs w:val="24"/>
        </w:rPr>
      </w:pPr>
    </w:p>
    <w:p w14:paraId="6BB749B1" w14:textId="77777777" w:rsidR="00EF7F9D" w:rsidRPr="0069661B" w:rsidRDefault="00EF7F9D" w:rsidP="00EF7F9D">
      <w:pPr>
        <w:jc w:val="both"/>
        <w:rPr>
          <w:rFonts w:ascii="Times New Roman" w:hAnsi="Times New Roman" w:cs="Times New Roman"/>
          <w:sz w:val="24"/>
          <w:szCs w:val="24"/>
          <w:shd w:val="clear" w:color="auto" w:fill="FFFFFF"/>
        </w:rPr>
      </w:pPr>
      <w:proofErr w:type="spellStart"/>
      <w:r w:rsidRPr="0069661B">
        <w:rPr>
          <w:rFonts w:ascii="Times New Roman" w:hAnsi="Times New Roman" w:cs="Times New Roman"/>
          <w:sz w:val="24"/>
          <w:szCs w:val="24"/>
          <w:shd w:val="clear" w:color="auto" w:fill="FFFFFF"/>
        </w:rPr>
        <w:t>Arif</w:t>
      </w:r>
      <w:proofErr w:type="spellEnd"/>
      <w:r w:rsidRPr="0069661B">
        <w:rPr>
          <w:rFonts w:ascii="Times New Roman" w:hAnsi="Times New Roman" w:cs="Times New Roman"/>
          <w:sz w:val="24"/>
          <w:szCs w:val="24"/>
          <w:shd w:val="clear" w:color="auto" w:fill="FFFFFF"/>
        </w:rPr>
        <w:t xml:space="preserve">, M., Naeem, M. A., Hasan, M., M Alawi, S., &amp; </w:t>
      </w:r>
      <w:proofErr w:type="spellStart"/>
      <w:r w:rsidRPr="0069661B">
        <w:rPr>
          <w:rFonts w:ascii="Times New Roman" w:hAnsi="Times New Roman" w:cs="Times New Roman"/>
          <w:sz w:val="24"/>
          <w:szCs w:val="24"/>
          <w:shd w:val="clear" w:color="auto" w:fill="FFFFFF"/>
        </w:rPr>
        <w:t>Taghizadeh-Hesary</w:t>
      </w:r>
      <w:proofErr w:type="spellEnd"/>
      <w:r w:rsidRPr="0069661B">
        <w:rPr>
          <w:rFonts w:ascii="Times New Roman" w:hAnsi="Times New Roman" w:cs="Times New Roman"/>
          <w:sz w:val="24"/>
          <w:szCs w:val="24"/>
          <w:shd w:val="clear" w:color="auto" w:fill="FFFFFF"/>
        </w:rPr>
        <w:t xml:space="preserve">, F. (2021b). Pandemic crisis versus global financial crisis: Are Islamic stocks a safe-haven for G7 </w:t>
      </w:r>
      <w:proofErr w:type="gramStart"/>
      <w:r w:rsidRPr="0069661B">
        <w:rPr>
          <w:rFonts w:ascii="Times New Roman" w:hAnsi="Times New Roman" w:cs="Times New Roman"/>
          <w:sz w:val="24"/>
          <w:szCs w:val="24"/>
          <w:shd w:val="clear" w:color="auto" w:fill="FFFFFF"/>
        </w:rPr>
        <w:t>markets?.</w:t>
      </w:r>
      <w:proofErr w:type="gramEnd"/>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Economic Research-</w:t>
      </w:r>
      <w:proofErr w:type="spellStart"/>
      <w:r w:rsidRPr="0069661B">
        <w:rPr>
          <w:rFonts w:ascii="Times New Roman" w:hAnsi="Times New Roman" w:cs="Times New Roman"/>
          <w:i/>
          <w:iCs/>
          <w:sz w:val="24"/>
          <w:szCs w:val="24"/>
          <w:shd w:val="clear" w:color="auto" w:fill="FFFFFF"/>
        </w:rPr>
        <w:t>Ekonomska</w:t>
      </w:r>
      <w:proofErr w:type="spellEnd"/>
      <w:r w:rsidRPr="0069661B">
        <w:rPr>
          <w:rFonts w:ascii="Times New Roman" w:hAnsi="Times New Roman" w:cs="Times New Roman"/>
          <w:i/>
          <w:iCs/>
          <w:sz w:val="24"/>
          <w:szCs w:val="24"/>
          <w:shd w:val="clear" w:color="auto" w:fill="FFFFFF"/>
        </w:rPr>
        <w:t xml:space="preserve"> </w:t>
      </w:r>
      <w:proofErr w:type="spellStart"/>
      <w:r w:rsidRPr="0069661B">
        <w:rPr>
          <w:rFonts w:ascii="Times New Roman" w:hAnsi="Times New Roman" w:cs="Times New Roman"/>
          <w:i/>
          <w:iCs/>
          <w:sz w:val="24"/>
          <w:szCs w:val="24"/>
          <w:shd w:val="clear" w:color="auto" w:fill="FFFFFF"/>
        </w:rPr>
        <w:t>Istraživanja</w:t>
      </w:r>
      <w:proofErr w:type="spellEnd"/>
      <w:r w:rsidRPr="0069661B">
        <w:rPr>
          <w:rFonts w:ascii="Times New Roman" w:hAnsi="Times New Roman" w:cs="Times New Roman"/>
          <w:sz w:val="24"/>
          <w:szCs w:val="24"/>
          <w:shd w:val="clear" w:color="auto" w:fill="FFFFFF"/>
        </w:rPr>
        <w:t>, 1-21.</w:t>
      </w:r>
    </w:p>
    <w:p w14:paraId="719309DA"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rPr>
        <w:t>Arouri</w:t>
      </w:r>
      <w:proofErr w:type="spellEnd"/>
      <w:r w:rsidRPr="0069661B">
        <w:rPr>
          <w:rFonts w:ascii="Times New Roman" w:hAnsi="Times New Roman" w:cs="Times New Roman"/>
          <w:sz w:val="24"/>
          <w:szCs w:val="24"/>
        </w:rPr>
        <w:t xml:space="preserve">, M.E.H., </w:t>
      </w:r>
      <w:proofErr w:type="spellStart"/>
      <w:r w:rsidRPr="0069661B">
        <w:rPr>
          <w:rFonts w:ascii="Times New Roman" w:hAnsi="Times New Roman" w:cs="Times New Roman"/>
          <w:sz w:val="24"/>
          <w:szCs w:val="24"/>
        </w:rPr>
        <w:t>Jouini</w:t>
      </w:r>
      <w:proofErr w:type="spellEnd"/>
      <w:r w:rsidRPr="0069661B">
        <w:rPr>
          <w:rFonts w:ascii="Times New Roman" w:hAnsi="Times New Roman" w:cs="Times New Roman"/>
          <w:sz w:val="24"/>
          <w:szCs w:val="24"/>
        </w:rPr>
        <w:t xml:space="preserve">, J., &amp; Nguyen, D.K. (2011). Volatility spillovers between oil prices and stock sector returns: implications for portfolio management. </w:t>
      </w:r>
      <w:r w:rsidRPr="0069661B">
        <w:rPr>
          <w:rFonts w:ascii="Times New Roman" w:hAnsi="Times New Roman" w:cs="Times New Roman"/>
          <w:i/>
          <w:sz w:val="24"/>
          <w:szCs w:val="24"/>
        </w:rPr>
        <w:t>Journal of International Money &amp; Finance,</w:t>
      </w:r>
      <w:r w:rsidRPr="0069661B">
        <w:rPr>
          <w:rFonts w:ascii="Times New Roman" w:hAnsi="Times New Roman" w:cs="Times New Roman"/>
          <w:sz w:val="24"/>
          <w:szCs w:val="24"/>
        </w:rPr>
        <w:t xml:space="preserve"> 30, 1387–1405.</w:t>
      </w:r>
    </w:p>
    <w:p w14:paraId="30EDE875"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31FB9883" w14:textId="77777777"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t xml:space="preserve">Azad, A. S., Azmat, S., </w:t>
      </w:r>
      <w:proofErr w:type="spellStart"/>
      <w:r w:rsidRPr="0069661B">
        <w:rPr>
          <w:rFonts w:ascii="Times New Roman" w:hAnsi="Times New Roman" w:cs="Times New Roman"/>
          <w:sz w:val="24"/>
          <w:szCs w:val="24"/>
          <w:shd w:val="clear" w:color="auto" w:fill="FFFFFF"/>
        </w:rPr>
        <w:t>Chazi</w:t>
      </w:r>
      <w:proofErr w:type="spellEnd"/>
      <w:r w:rsidRPr="0069661B">
        <w:rPr>
          <w:rFonts w:ascii="Times New Roman" w:hAnsi="Times New Roman" w:cs="Times New Roman"/>
          <w:sz w:val="24"/>
          <w:szCs w:val="24"/>
          <w:shd w:val="clear" w:color="auto" w:fill="FFFFFF"/>
        </w:rPr>
        <w:t>, A., &amp; Ahsan, A. (2018). Sailing with the non-conventional stocks when there is no place to hide. </w:t>
      </w:r>
      <w:r w:rsidRPr="0069661B">
        <w:rPr>
          <w:rFonts w:ascii="Times New Roman" w:hAnsi="Times New Roman" w:cs="Times New Roman"/>
          <w:i/>
          <w:iCs/>
          <w:sz w:val="24"/>
          <w:szCs w:val="24"/>
          <w:shd w:val="clear" w:color="auto" w:fill="FFFFFF"/>
        </w:rPr>
        <w:t>Journal of International Financial Markets, Institutions and Money</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57</w:t>
      </w:r>
      <w:r w:rsidRPr="0069661B">
        <w:rPr>
          <w:rFonts w:ascii="Times New Roman" w:hAnsi="Times New Roman" w:cs="Times New Roman"/>
          <w:sz w:val="24"/>
          <w:szCs w:val="24"/>
          <w:shd w:val="clear" w:color="auto" w:fill="FFFFFF"/>
        </w:rPr>
        <w:t>, 1-16.</w:t>
      </w:r>
    </w:p>
    <w:p w14:paraId="1C16A26C" w14:textId="77777777" w:rsidR="00EF7F9D" w:rsidRPr="0069661B" w:rsidRDefault="00EF7F9D" w:rsidP="00EF7F9D">
      <w:pPr>
        <w:jc w:val="both"/>
        <w:rPr>
          <w:rFonts w:ascii="Times New Roman" w:hAnsi="Times New Roman" w:cs="Times New Roman"/>
          <w:sz w:val="24"/>
          <w:szCs w:val="24"/>
          <w:shd w:val="clear" w:color="auto" w:fill="FFFFFF"/>
        </w:rPr>
      </w:pPr>
      <w:proofErr w:type="spellStart"/>
      <w:r w:rsidRPr="0069661B">
        <w:rPr>
          <w:rFonts w:ascii="Times New Roman" w:hAnsi="Times New Roman" w:cs="Times New Roman"/>
          <w:sz w:val="24"/>
          <w:szCs w:val="24"/>
          <w:shd w:val="clear" w:color="auto" w:fill="FFFFFF"/>
        </w:rPr>
        <w:t>Balli</w:t>
      </w:r>
      <w:proofErr w:type="spellEnd"/>
      <w:r w:rsidRPr="0069661B">
        <w:rPr>
          <w:rFonts w:ascii="Times New Roman" w:hAnsi="Times New Roman" w:cs="Times New Roman"/>
          <w:sz w:val="24"/>
          <w:szCs w:val="24"/>
          <w:shd w:val="clear" w:color="auto" w:fill="FFFFFF"/>
        </w:rPr>
        <w:t>, F., Naeem, M. A., Shahzad, S. J. H., &amp; de Bruin, A. (2019). Spillover network of commodity uncertainties. </w:t>
      </w:r>
      <w:r w:rsidRPr="0069661B">
        <w:rPr>
          <w:rFonts w:ascii="Times New Roman" w:hAnsi="Times New Roman" w:cs="Times New Roman"/>
          <w:i/>
          <w:iCs/>
          <w:sz w:val="24"/>
          <w:szCs w:val="24"/>
          <w:shd w:val="clear" w:color="auto" w:fill="FFFFFF"/>
        </w:rPr>
        <w:t>Energy Economics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81</w:t>
      </w:r>
      <w:r w:rsidRPr="0069661B">
        <w:rPr>
          <w:rFonts w:ascii="Times New Roman" w:hAnsi="Times New Roman" w:cs="Times New Roman"/>
          <w:sz w:val="24"/>
          <w:szCs w:val="24"/>
          <w:shd w:val="clear" w:color="auto" w:fill="FFFFFF"/>
        </w:rPr>
        <w:t>, 914-927.</w:t>
      </w:r>
    </w:p>
    <w:p w14:paraId="482E3BDB" w14:textId="645150BF" w:rsidR="00B66952" w:rsidRPr="0069661B" w:rsidRDefault="00EF7F9D" w:rsidP="00B66952">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Bianchi, D., Büchner, M., &amp; </w:t>
      </w:r>
      <w:proofErr w:type="spellStart"/>
      <w:r w:rsidRPr="0069661B">
        <w:rPr>
          <w:rFonts w:ascii="Times New Roman" w:hAnsi="Times New Roman" w:cs="Times New Roman"/>
          <w:sz w:val="24"/>
          <w:szCs w:val="24"/>
        </w:rPr>
        <w:t>Tamoni</w:t>
      </w:r>
      <w:proofErr w:type="spellEnd"/>
      <w:r w:rsidRPr="0069661B">
        <w:rPr>
          <w:rFonts w:ascii="Times New Roman" w:hAnsi="Times New Roman" w:cs="Times New Roman"/>
          <w:sz w:val="24"/>
          <w:szCs w:val="24"/>
        </w:rPr>
        <w:t xml:space="preserve">, A. (2020). Bond risk premiums with machine learning. </w:t>
      </w:r>
      <w:r w:rsidRPr="0069661B">
        <w:rPr>
          <w:rFonts w:ascii="Times New Roman" w:hAnsi="Times New Roman" w:cs="Times New Roman"/>
          <w:i/>
          <w:sz w:val="24"/>
          <w:szCs w:val="24"/>
        </w:rPr>
        <w:t>Review of Financial Studies</w:t>
      </w:r>
      <w:r w:rsidRPr="0069661B">
        <w:rPr>
          <w:rFonts w:ascii="Times New Roman" w:hAnsi="Times New Roman" w:cs="Times New Roman"/>
          <w:sz w:val="24"/>
          <w:szCs w:val="24"/>
        </w:rPr>
        <w:t>, 34, 1046–1089</w:t>
      </w:r>
    </w:p>
    <w:p w14:paraId="1E93A88C" w14:textId="77777777" w:rsidR="00B66952" w:rsidRPr="0069661B" w:rsidRDefault="00B66952" w:rsidP="00B66952">
      <w:pPr>
        <w:autoSpaceDE w:val="0"/>
        <w:autoSpaceDN w:val="0"/>
        <w:adjustRightInd w:val="0"/>
        <w:spacing w:before="40" w:after="40" w:line="240" w:lineRule="auto"/>
        <w:jc w:val="both"/>
        <w:rPr>
          <w:rFonts w:ascii="Times New Roman" w:hAnsi="Times New Roman" w:cs="Times New Roman"/>
          <w:sz w:val="24"/>
          <w:szCs w:val="24"/>
        </w:rPr>
      </w:pPr>
    </w:p>
    <w:p w14:paraId="3203CA0D" w14:textId="77777777" w:rsidR="00B66952" w:rsidRPr="0069661B" w:rsidRDefault="00B66952" w:rsidP="00B66952">
      <w:pPr>
        <w:widowControl w:val="0"/>
        <w:autoSpaceDE w:val="0"/>
        <w:autoSpaceDN w:val="0"/>
        <w:adjustRightInd w:val="0"/>
        <w:spacing w:line="240" w:lineRule="auto"/>
        <w:rPr>
          <w:rFonts w:ascii="Times New Roman" w:hAnsi="Times New Roman" w:cs="Times New Roman"/>
          <w:noProof/>
          <w:color w:val="3333FF"/>
          <w:sz w:val="24"/>
          <w:szCs w:val="24"/>
        </w:rPr>
      </w:pPr>
      <w:proofErr w:type="spellStart"/>
      <w:r w:rsidRPr="0069661B">
        <w:rPr>
          <w:rFonts w:ascii="Times New Roman" w:hAnsi="Times New Roman" w:cs="Times New Roman"/>
          <w:color w:val="222222"/>
          <w:sz w:val="24"/>
          <w:szCs w:val="24"/>
          <w:shd w:val="clear" w:color="auto" w:fill="FFFFFF"/>
        </w:rPr>
        <w:t>Benlagha</w:t>
      </w:r>
      <w:proofErr w:type="spellEnd"/>
      <w:r w:rsidRPr="0069661B">
        <w:rPr>
          <w:rFonts w:ascii="Times New Roman" w:hAnsi="Times New Roman" w:cs="Times New Roman"/>
          <w:color w:val="222222"/>
          <w:sz w:val="24"/>
          <w:szCs w:val="24"/>
          <w:shd w:val="clear" w:color="auto" w:fill="FFFFFF"/>
        </w:rPr>
        <w:t xml:space="preserve">, N., Karim, S., Naeem, M. A., Lucey, B. M., &amp; </w:t>
      </w:r>
      <w:proofErr w:type="spellStart"/>
      <w:r w:rsidRPr="0069661B">
        <w:rPr>
          <w:rFonts w:ascii="Times New Roman" w:hAnsi="Times New Roman" w:cs="Times New Roman"/>
          <w:color w:val="222222"/>
          <w:sz w:val="24"/>
          <w:szCs w:val="24"/>
          <w:shd w:val="clear" w:color="auto" w:fill="FFFFFF"/>
        </w:rPr>
        <w:t>Vigne</w:t>
      </w:r>
      <w:proofErr w:type="spellEnd"/>
      <w:r w:rsidRPr="0069661B">
        <w:rPr>
          <w:rFonts w:ascii="Times New Roman" w:hAnsi="Times New Roman" w:cs="Times New Roman"/>
          <w:color w:val="222222"/>
          <w:sz w:val="24"/>
          <w:szCs w:val="24"/>
          <w:shd w:val="clear" w:color="auto" w:fill="FFFFFF"/>
        </w:rPr>
        <w:t xml:space="preserve">, S. A. (2022). Risk connectedness between energy and stock markets: Evidence from oil importing and exporting </w:t>
      </w:r>
      <w:r w:rsidRPr="0069661B">
        <w:rPr>
          <w:rFonts w:ascii="Times New Roman" w:hAnsi="Times New Roman" w:cs="Times New Roman"/>
          <w:color w:val="222222"/>
          <w:sz w:val="24"/>
          <w:szCs w:val="24"/>
          <w:shd w:val="clear" w:color="auto" w:fill="FFFFFF"/>
        </w:rPr>
        <w:lastRenderedPageBreak/>
        <w:t>countries. </w:t>
      </w:r>
      <w:r w:rsidRPr="0069661B">
        <w:rPr>
          <w:rFonts w:ascii="Times New Roman" w:hAnsi="Times New Roman" w:cs="Times New Roman"/>
          <w:i/>
          <w:iCs/>
          <w:color w:val="222222"/>
          <w:sz w:val="24"/>
          <w:szCs w:val="24"/>
          <w:shd w:val="clear" w:color="auto" w:fill="FFFFFF"/>
        </w:rPr>
        <w:t>Energy Economics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115</w:t>
      </w:r>
      <w:r w:rsidRPr="0069661B">
        <w:rPr>
          <w:rFonts w:ascii="Times New Roman" w:hAnsi="Times New Roman" w:cs="Times New Roman"/>
          <w:color w:val="222222"/>
          <w:sz w:val="24"/>
          <w:szCs w:val="24"/>
          <w:shd w:val="clear" w:color="auto" w:fill="FFFFFF"/>
        </w:rPr>
        <w:t>, 106348.</w:t>
      </w:r>
    </w:p>
    <w:p w14:paraId="7D633C8F" w14:textId="372C1A90" w:rsidR="00B66952" w:rsidRPr="0069661B" w:rsidRDefault="00B66952" w:rsidP="00B66952">
      <w:pPr>
        <w:widowControl w:val="0"/>
        <w:autoSpaceDE w:val="0"/>
        <w:autoSpaceDN w:val="0"/>
        <w:adjustRightInd w:val="0"/>
        <w:spacing w:line="240" w:lineRule="auto"/>
        <w:rPr>
          <w:rFonts w:ascii="Times New Roman" w:hAnsi="Times New Roman" w:cs="Times New Roman"/>
          <w:noProof/>
          <w:color w:val="3333FF"/>
          <w:sz w:val="24"/>
          <w:szCs w:val="24"/>
        </w:rPr>
      </w:pPr>
      <w:proofErr w:type="spellStart"/>
      <w:r w:rsidRPr="0069661B">
        <w:rPr>
          <w:rFonts w:ascii="Times New Roman" w:hAnsi="Times New Roman" w:cs="Times New Roman"/>
          <w:color w:val="222222"/>
          <w:sz w:val="24"/>
          <w:szCs w:val="24"/>
          <w:shd w:val="clear" w:color="auto" w:fill="FFFFFF"/>
        </w:rPr>
        <w:t>Billah</w:t>
      </w:r>
      <w:proofErr w:type="spellEnd"/>
      <w:r w:rsidRPr="0069661B">
        <w:rPr>
          <w:rFonts w:ascii="Times New Roman" w:hAnsi="Times New Roman" w:cs="Times New Roman"/>
          <w:color w:val="222222"/>
          <w:sz w:val="24"/>
          <w:szCs w:val="24"/>
          <w:shd w:val="clear" w:color="auto" w:fill="FFFFFF"/>
        </w:rPr>
        <w:t xml:space="preserve">, M., Karim, S., Naeem, M. A., &amp; </w:t>
      </w:r>
      <w:proofErr w:type="spellStart"/>
      <w:r w:rsidRPr="0069661B">
        <w:rPr>
          <w:rFonts w:ascii="Times New Roman" w:hAnsi="Times New Roman" w:cs="Times New Roman"/>
          <w:color w:val="222222"/>
          <w:sz w:val="24"/>
          <w:szCs w:val="24"/>
          <w:shd w:val="clear" w:color="auto" w:fill="FFFFFF"/>
        </w:rPr>
        <w:t>Vigne</w:t>
      </w:r>
      <w:proofErr w:type="spellEnd"/>
      <w:r w:rsidRPr="0069661B">
        <w:rPr>
          <w:rFonts w:ascii="Times New Roman" w:hAnsi="Times New Roman" w:cs="Times New Roman"/>
          <w:color w:val="222222"/>
          <w:sz w:val="24"/>
          <w:szCs w:val="24"/>
          <w:shd w:val="clear" w:color="auto" w:fill="FFFFFF"/>
        </w:rPr>
        <w:t>, S. A. (2022). Return and volatility spillovers between energy and BRIC markets: Evidence from quantile connectedness. </w:t>
      </w:r>
      <w:r w:rsidRPr="0069661B">
        <w:rPr>
          <w:rFonts w:ascii="Times New Roman" w:hAnsi="Times New Roman" w:cs="Times New Roman"/>
          <w:i/>
          <w:iCs/>
          <w:color w:val="222222"/>
          <w:sz w:val="24"/>
          <w:szCs w:val="24"/>
          <w:shd w:val="clear" w:color="auto" w:fill="FFFFFF"/>
        </w:rPr>
        <w:t>Research in International Business and Finance</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62</w:t>
      </w:r>
      <w:r w:rsidRPr="0069661B">
        <w:rPr>
          <w:rFonts w:ascii="Times New Roman" w:hAnsi="Times New Roman" w:cs="Times New Roman"/>
          <w:color w:val="222222"/>
          <w:sz w:val="24"/>
          <w:szCs w:val="24"/>
          <w:shd w:val="clear" w:color="auto" w:fill="FFFFFF"/>
        </w:rPr>
        <w:t>, 101680.</w:t>
      </w:r>
    </w:p>
    <w:p w14:paraId="62C1BF0F"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3DCB8EB9"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Blundell-</w:t>
      </w:r>
      <w:proofErr w:type="spellStart"/>
      <w:r w:rsidRPr="0069661B">
        <w:rPr>
          <w:rFonts w:ascii="Times New Roman" w:hAnsi="Times New Roman" w:cs="Times New Roman"/>
          <w:sz w:val="24"/>
          <w:szCs w:val="24"/>
          <w:shd w:val="clear" w:color="auto" w:fill="FFFFFF"/>
        </w:rPr>
        <w:t>Wignall</w:t>
      </w:r>
      <w:proofErr w:type="spellEnd"/>
      <w:r w:rsidRPr="0069661B">
        <w:rPr>
          <w:rFonts w:ascii="Times New Roman" w:hAnsi="Times New Roman" w:cs="Times New Roman"/>
          <w:sz w:val="24"/>
          <w:szCs w:val="24"/>
          <w:shd w:val="clear" w:color="auto" w:fill="FFFFFF"/>
        </w:rPr>
        <w:t>, A., (2012). Solving the financial and sovereign debt crisis in Europe. </w:t>
      </w:r>
      <w:r w:rsidRPr="0069661B">
        <w:rPr>
          <w:rFonts w:ascii="Times New Roman" w:hAnsi="Times New Roman" w:cs="Times New Roman"/>
          <w:i/>
          <w:iCs/>
          <w:sz w:val="24"/>
          <w:szCs w:val="24"/>
          <w:shd w:val="clear" w:color="auto" w:fill="FFFFFF"/>
        </w:rPr>
        <w:t>OECD Journal: Financial Market Trends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2011</w:t>
      </w:r>
      <w:r w:rsidRPr="0069661B">
        <w:rPr>
          <w:rFonts w:ascii="Times New Roman" w:hAnsi="Times New Roman" w:cs="Times New Roman"/>
          <w:sz w:val="24"/>
          <w:szCs w:val="24"/>
          <w:shd w:val="clear" w:color="auto" w:fill="FFFFFF"/>
        </w:rPr>
        <w:t>(2), pp.201-224.</w:t>
      </w:r>
    </w:p>
    <w:p w14:paraId="17CF7539" w14:textId="42F733A1" w:rsidR="004E5F95" w:rsidRPr="0069661B" w:rsidRDefault="004E5F95" w:rsidP="004E5F95">
      <w:pPr>
        <w:spacing w:after="0" w:line="360" w:lineRule="auto"/>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Chen, J., Liang, Z., Ding, Q., &amp; Liu, Z. (2022). Quantile connectedness between energy, metal, and carbon markets. </w:t>
      </w:r>
      <w:r w:rsidRPr="0069661B">
        <w:rPr>
          <w:rFonts w:ascii="Times New Roman" w:hAnsi="Times New Roman" w:cs="Times New Roman"/>
          <w:i/>
          <w:iCs/>
          <w:color w:val="0000FF"/>
          <w:sz w:val="24"/>
          <w:szCs w:val="24"/>
          <w:shd w:val="clear" w:color="auto" w:fill="FFFFFF"/>
        </w:rPr>
        <w:t>International Review of Financial Analysis</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83</w:t>
      </w:r>
      <w:r w:rsidRPr="0069661B">
        <w:rPr>
          <w:rFonts w:ascii="Times New Roman" w:hAnsi="Times New Roman" w:cs="Times New Roman"/>
          <w:color w:val="0000FF"/>
          <w:sz w:val="24"/>
          <w:szCs w:val="24"/>
          <w:shd w:val="clear" w:color="auto" w:fill="FFFFFF"/>
        </w:rPr>
        <w:t>, 102282.</w:t>
      </w:r>
    </w:p>
    <w:p w14:paraId="452F14BE" w14:textId="2F98E67F"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 xml:space="preserve">Chowdhury, M. I. H., </w:t>
      </w:r>
      <w:proofErr w:type="spellStart"/>
      <w:r w:rsidRPr="0069661B">
        <w:rPr>
          <w:rFonts w:ascii="Times New Roman" w:hAnsi="Times New Roman" w:cs="Times New Roman"/>
          <w:sz w:val="24"/>
          <w:szCs w:val="24"/>
          <w:shd w:val="clear" w:color="auto" w:fill="FFFFFF"/>
        </w:rPr>
        <w:t>Balli</w:t>
      </w:r>
      <w:proofErr w:type="spellEnd"/>
      <w:r w:rsidRPr="0069661B">
        <w:rPr>
          <w:rFonts w:ascii="Times New Roman" w:hAnsi="Times New Roman" w:cs="Times New Roman"/>
          <w:sz w:val="24"/>
          <w:szCs w:val="24"/>
          <w:shd w:val="clear" w:color="auto" w:fill="FFFFFF"/>
        </w:rPr>
        <w:t>, F., &amp; de Bruin, A. (2021). Islamic equity markets versus their conventional counterparts in the COVID‐19 age: Reaction, resilience, and recovery. </w:t>
      </w:r>
      <w:r w:rsidRPr="0069661B">
        <w:rPr>
          <w:rFonts w:ascii="Times New Roman" w:hAnsi="Times New Roman" w:cs="Times New Roman"/>
          <w:i/>
          <w:iCs/>
          <w:sz w:val="24"/>
          <w:szCs w:val="24"/>
          <w:shd w:val="clear" w:color="auto" w:fill="FFFFFF"/>
        </w:rPr>
        <w:t>International Review of Finance</w:t>
      </w:r>
      <w:r w:rsidRPr="0069661B">
        <w:rPr>
          <w:rFonts w:ascii="Times New Roman" w:hAnsi="Times New Roman" w:cs="Times New Roman"/>
          <w:sz w:val="24"/>
          <w:szCs w:val="24"/>
          <w:shd w:val="clear" w:color="auto" w:fill="FFFFFF"/>
        </w:rPr>
        <w:t>.</w:t>
      </w:r>
    </w:p>
    <w:p w14:paraId="3A3B8614" w14:textId="77777777" w:rsidR="00EF7F9D" w:rsidRPr="0069661B" w:rsidRDefault="00EF7F9D" w:rsidP="00EF7F9D">
      <w:pPr>
        <w:spacing w:after="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shd w:val="clear" w:color="auto" w:fill="FFFFFF"/>
        </w:rPr>
        <w:t>Demirer</w:t>
      </w:r>
      <w:proofErr w:type="spellEnd"/>
      <w:r w:rsidRPr="0069661B">
        <w:rPr>
          <w:rFonts w:ascii="Times New Roman" w:hAnsi="Times New Roman" w:cs="Times New Roman"/>
          <w:sz w:val="24"/>
          <w:szCs w:val="24"/>
          <w:shd w:val="clear" w:color="auto" w:fill="FFFFFF"/>
        </w:rPr>
        <w:t xml:space="preserve">, R., </w:t>
      </w:r>
      <w:proofErr w:type="spellStart"/>
      <w:r w:rsidRPr="0069661B">
        <w:rPr>
          <w:rFonts w:ascii="Times New Roman" w:hAnsi="Times New Roman" w:cs="Times New Roman"/>
          <w:sz w:val="24"/>
          <w:szCs w:val="24"/>
          <w:shd w:val="clear" w:color="auto" w:fill="FFFFFF"/>
        </w:rPr>
        <w:t>Gabauer</w:t>
      </w:r>
      <w:proofErr w:type="spellEnd"/>
      <w:r w:rsidRPr="0069661B">
        <w:rPr>
          <w:rFonts w:ascii="Times New Roman" w:hAnsi="Times New Roman" w:cs="Times New Roman"/>
          <w:sz w:val="24"/>
          <w:szCs w:val="24"/>
          <w:shd w:val="clear" w:color="auto" w:fill="FFFFFF"/>
        </w:rPr>
        <w:t>, D., Gupta, R., &amp; Ji, Q. (2021). Monetary policy and speculative spillovers in financial markets. </w:t>
      </w:r>
      <w:r w:rsidRPr="0069661B">
        <w:rPr>
          <w:rFonts w:ascii="Times New Roman" w:hAnsi="Times New Roman" w:cs="Times New Roman"/>
          <w:i/>
          <w:iCs/>
          <w:sz w:val="24"/>
          <w:szCs w:val="24"/>
        </w:rPr>
        <w:t>Research in International Business and Finance</w:t>
      </w:r>
      <w:r w:rsidRPr="0069661B">
        <w:rPr>
          <w:rFonts w:ascii="Times New Roman" w:hAnsi="Times New Roman" w:cs="Times New Roman"/>
          <w:sz w:val="24"/>
          <w:szCs w:val="24"/>
        </w:rPr>
        <w:t>, </w:t>
      </w:r>
      <w:r w:rsidRPr="0069661B">
        <w:rPr>
          <w:rFonts w:ascii="Times New Roman" w:hAnsi="Times New Roman" w:cs="Times New Roman"/>
          <w:i/>
          <w:iCs/>
          <w:sz w:val="24"/>
          <w:szCs w:val="24"/>
        </w:rPr>
        <w:t>56</w:t>
      </w:r>
      <w:r w:rsidRPr="0069661B">
        <w:rPr>
          <w:rFonts w:ascii="Times New Roman" w:hAnsi="Times New Roman" w:cs="Times New Roman"/>
          <w:sz w:val="24"/>
          <w:szCs w:val="24"/>
        </w:rPr>
        <w:t>, 101373.</w:t>
      </w:r>
    </w:p>
    <w:p w14:paraId="18938AEE" w14:textId="77777777" w:rsidR="00EF7F9D" w:rsidRPr="0069661B" w:rsidRDefault="00EF7F9D" w:rsidP="00EF7F9D">
      <w:pPr>
        <w:spacing w:after="0" w:line="240" w:lineRule="auto"/>
        <w:jc w:val="both"/>
        <w:rPr>
          <w:rFonts w:ascii="Times New Roman" w:hAnsi="Times New Roman" w:cs="Times New Roman"/>
          <w:sz w:val="24"/>
          <w:szCs w:val="24"/>
        </w:rPr>
      </w:pPr>
    </w:p>
    <w:p w14:paraId="6F4581E2"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noProof/>
          <w:sz w:val="24"/>
          <w:szCs w:val="24"/>
        </w:rPr>
        <w:t xml:space="preserve">Diebold, F. X., &amp; Yilmaz, K. (2012). Better to give than to receive: Predictive directional measurement of volatility spillovers. </w:t>
      </w:r>
      <w:r w:rsidRPr="0069661B">
        <w:rPr>
          <w:rFonts w:ascii="Times New Roman" w:hAnsi="Times New Roman" w:cs="Times New Roman"/>
          <w:i/>
          <w:iCs/>
          <w:noProof/>
          <w:sz w:val="24"/>
          <w:szCs w:val="24"/>
        </w:rPr>
        <w:t>International Journal of Forecasting</w:t>
      </w:r>
      <w:r w:rsidRPr="0069661B">
        <w:rPr>
          <w:rFonts w:ascii="Times New Roman" w:hAnsi="Times New Roman" w:cs="Times New Roman"/>
          <w:noProof/>
          <w:sz w:val="24"/>
          <w:szCs w:val="24"/>
        </w:rPr>
        <w:t xml:space="preserve">, </w:t>
      </w:r>
      <w:r w:rsidRPr="0069661B">
        <w:rPr>
          <w:rFonts w:ascii="Times New Roman" w:hAnsi="Times New Roman" w:cs="Times New Roman"/>
          <w:i/>
          <w:iCs/>
          <w:noProof/>
          <w:sz w:val="24"/>
          <w:szCs w:val="24"/>
        </w:rPr>
        <w:t>28</w:t>
      </w:r>
      <w:r w:rsidRPr="0069661B">
        <w:rPr>
          <w:rFonts w:ascii="Times New Roman" w:hAnsi="Times New Roman" w:cs="Times New Roman"/>
          <w:noProof/>
          <w:sz w:val="24"/>
          <w:szCs w:val="24"/>
        </w:rPr>
        <w:t>(1), 57–66.</w:t>
      </w:r>
    </w:p>
    <w:p w14:paraId="5894A87F"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noProof/>
          <w:sz w:val="24"/>
          <w:szCs w:val="24"/>
        </w:rPr>
        <w:t xml:space="preserve">Diebold, F. X., &amp; Yılmaz, K. (2014). On the network topology of variance decompositions: Measuring the connectedness of financial firms. </w:t>
      </w:r>
      <w:r w:rsidRPr="0069661B">
        <w:rPr>
          <w:rFonts w:ascii="Times New Roman" w:hAnsi="Times New Roman" w:cs="Times New Roman"/>
          <w:i/>
          <w:iCs/>
          <w:noProof/>
          <w:sz w:val="24"/>
          <w:szCs w:val="24"/>
        </w:rPr>
        <w:t>Journal of Econometrics</w:t>
      </w:r>
      <w:r w:rsidRPr="0069661B">
        <w:rPr>
          <w:rFonts w:ascii="Times New Roman" w:hAnsi="Times New Roman" w:cs="Times New Roman"/>
          <w:noProof/>
          <w:sz w:val="24"/>
          <w:szCs w:val="24"/>
        </w:rPr>
        <w:t xml:space="preserve">, </w:t>
      </w:r>
      <w:r w:rsidRPr="0069661B">
        <w:rPr>
          <w:rFonts w:ascii="Times New Roman" w:hAnsi="Times New Roman" w:cs="Times New Roman"/>
          <w:i/>
          <w:iCs/>
          <w:noProof/>
          <w:sz w:val="24"/>
          <w:szCs w:val="24"/>
        </w:rPr>
        <w:t>182</w:t>
      </w:r>
      <w:r w:rsidRPr="0069661B">
        <w:rPr>
          <w:rFonts w:ascii="Times New Roman" w:hAnsi="Times New Roman" w:cs="Times New Roman"/>
          <w:noProof/>
          <w:sz w:val="24"/>
          <w:szCs w:val="24"/>
        </w:rPr>
        <w:t>(1), 119–134.</w:t>
      </w:r>
    </w:p>
    <w:p w14:paraId="5A10F178"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570C608F" w14:textId="77777777" w:rsidR="00EF7F9D" w:rsidRPr="0069661B" w:rsidRDefault="00EF7F9D" w:rsidP="00EF7F9D">
      <w:pPr>
        <w:widowControl w:val="0"/>
        <w:autoSpaceDE w:val="0"/>
        <w:autoSpaceDN w:val="0"/>
        <w:adjustRightInd w:val="0"/>
        <w:spacing w:line="240" w:lineRule="auto"/>
        <w:jc w:val="both"/>
        <w:rPr>
          <w:rFonts w:ascii="Times New Roman" w:hAnsi="Times New Roman" w:cs="Times New Roman"/>
          <w:noProof/>
          <w:sz w:val="24"/>
          <w:szCs w:val="24"/>
        </w:rPr>
      </w:pPr>
      <w:r w:rsidRPr="0069661B">
        <w:rPr>
          <w:rFonts w:ascii="Times New Roman" w:hAnsi="Times New Roman" w:cs="Times New Roman"/>
          <w:noProof/>
          <w:sz w:val="24"/>
          <w:szCs w:val="24"/>
        </w:rPr>
        <w:t xml:space="preserve">Elsayed, A. H., Nasreen, S., &amp; Tiwari, A. K. (2020). Time-varying co-movements between energy market and global financial markets: Implication for portfolio diversification and hedging strategies. </w:t>
      </w:r>
      <w:r w:rsidRPr="0069661B">
        <w:rPr>
          <w:rFonts w:ascii="Times New Roman" w:hAnsi="Times New Roman" w:cs="Times New Roman"/>
          <w:i/>
          <w:iCs/>
          <w:noProof/>
          <w:sz w:val="24"/>
          <w:szCs w:val="24"/>
        </w:rPr>
        <w:t>Energy Economics</w:t>
      </w:r>
      <w:r w:rsidRPr="0069661B">
        <w:rPr>
          <w:rFonts w:ascii="Times New Roman" w:hAnsi="Times New Roman" w:cs="Times New Roman"/>
          <w:noProof/>
          <w:sz w:val="24"/>
          <w:szCs w:val="24"/>
        </w:rPr>
        <w:t xml:space="preserve">, </w:t>
      </w:r>
      <w:r w:rsidRPr="0069661B">
        <w:rPr>
          <w:rFonts w:ascii="Times New Roman" w:hAnsi="Times New Roman" w:cs="Times New Roman"/>
          <w:i/>
          <w:iCs/>
          <w:noProof/>
          <w:sz w:val="24"/>
          <w:szCs w:val="24"/>
        </w:rPr>
        <w:t>90</w:t>
      </w:r>
      <w:r w:rsidRPr="0069661B">
        <w:rPr>
          <w:rFonts w:ascii="Times New Roman" w:hAnsi="Times New Roman" w:cs="Times New Roman"/>
          <w:noProof/>
          <w:sz w:val="24"/>
          <w:szCs w:val="24"/>
        </w:rPr>
        <w:t>, 104847. https://doi.org/10.1016/j.eneco.2020.104847</w:t>
      </w:r>
    </w:p>
    <w:p w14:paraId="10E1313B"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 xml:space="preserve">Engle, R. F., &amp; </w:t>
      </w:r>
      <w:proofErr w:type="spellStart"/>
      <w:r w:rsidRPr="0069661B">
        <w:rPr>
          <w:rFonts w:ascii="Times New Roman" w:hAnsi="Times New Roman" w:cs="Times New Roman"/>
          <w:sz w:val="24"/>
          <w:szCs w:val="24"/>
          <w:shd w:val="clear" w:color="auto" w:fill="FFFFFF"/>
        </w:rPr>
        <w:t>Manganelli</w:t>
      </w:r>
      <w:proofErr w:type="spellEnd"/>
      <w:r w:rsidRPr="0069661B">
        <w:rPr>
          <w:rFonts w:ascii="Times New Roman" w:hAnsi="Times New Roman" w:cs="Times New Roman"/>
          <w:sz w:val="24"/>
          <w:szCs w:val="24"/>
          <w:shd w:val="clear" w:color="auto" w:fill="FFFFFF"/>
        </w:rPr>
        <w:t xml:space="preserve">, S. (2004). </w:t>
      </w:r>
      <w:proofErr w:type="spellStart"/>
      <w:r w:rsidRPr="0069661B">
        <w:rPr>
          <w:rFonts w:ascii="Times New Roman" w:hAnsi="Times New Roman" w:cs="Times New Roman"/>
          <w:sz w:val="24"/>
          <w:szCs w:val="24"/>
          <w:shd w:val="clear" w:color="auto" w:fill="FFFFFF"/>
        </w:rPr>
        <w:t>CAViaR</w:t>
      </w:r>
      <w:proofErr w:type="spellEnd"/>
      <w:r w:rsidRPr="0069661B">
        <w:rPr>
          <w:rFonts w:ascii="Times New Roman" w:hAnsi="Times New Roman" w:cs="Times New Roman"/>
          <w:sz w:val="24"/>
          <w:szCs w:val="24"/>
          <w:shd w:val="clear" w:color="auto" w:fill="FFFFFF"/>
        </w:rPr>
        <w:t>: Conditional autoregressive value at risk by regression quantiles. </w:t>
      </w:r>
      <w:r w:rsidRPr="0069661B">
        <w:rPr>
          <w:rFonts w:ascii="Times New Roman" w:hAnsi="Times New Roman" w:cs="Times New Roman"/>
          <w:i/>
          <w:iCs/>
          <w:sz w:val="24"/>
          <w:szCs w:val="24"/>
          <w:shd w:val="clear" w:color="auto" w:fill="FFFFFF"/>
        </w:rPr>
        <w:t>Journal of business &amp; economic statistics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22</w:t>
      </w:r>
      <w:r w:rsidRPr="0069661B">
        <w:rPr>
          <w:rFonts w:ascii="Times New Roman" w:hAnsi="Times New Roman" w:cs="Times New Roman"/>
          <w:sz w:val="24"/>
          <w:szCs w:val="24"/>
          <w:shd w:val="clear" w:color="auto" w:fill="FFFFFF"/>
        </w:rPr>
        <w:t>(4), 367-381.</w:t>
      </w:r>
    </w:p>
    <w:p w14:paraId="2A2A71C3"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Ewing, B. T. (2002). The transmission of shocks among S&amp;P indexes. </w:t>
      </w:r>
      <w:r w:rsidRPr="0069661B">
        <w:rPr>
          <w:rFonts w:ascii="Times New Roman" w:hAnsi="Times New Roman" w:cs="Times New Roman"/>
          <w:i/>
          <w:iCs/>
          <w:sz w:val="24"/>
          <w:szCs w:val="24"/>
        </w:rPr>
        <w:t>Applied Financial Economics, 12</w:t>
      </w:r>
      <w:r w:rsidRPr="0069661B">
        <w:rPr>
          <w:rFonts w:ascii="Times New Roman" w:hAnsi="Times New Roman" w:cs="Times New Roman"/>
          <w:sz w:val="24"/>
          <w:szCs w:val="24"/>
        </w:rPr>
        <w:t>(4), 285–290.</w:t>
      </w:r>
    </w:p>
    <w:p w14:paraId="395B0AB3"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74B64C17" w14:textId="77777777" w:rsidR="00EF7F9D" w:rsidRPr="0069661B" w:rsidRDefault="00EF7F9D" w:rsidP="00EF7F9D">
      <w:pPr>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Farid, S., Kayani, G. M., Naeem, M. A., &amp; Shahzad, S. J. (2021). Intraday volatility transmission among precious metals, energy, and stocks during the COVID-19 pandemic. </w:t>
      </w:r>
      <w:r w:rsidRPr="0069661B">
        <w:rPr>
          <w:rFonts w:ascii="Times New Roman" w:hAnsi="Times New Roman" w:cs="Times New Roman"/>
          <w:i/>
          <w:sz w:val="24"/>
          <w:szCs w:val="24"/>
        </w:rPr>
        <w:t>Resources Policy,</w:t>
      </w:r>
      <w:r w:rsidRPr="0069661B">
        <w:rPr>
          <w:rFonts w:ascii="Times New Roman" w:hAnsi="Times New Roman" w:cs="Times New Roman"/>
          <w:sz w:val="24"/>
          <w:szCs w:val="24"/>
        </w:rPr>
        <w:t xml:space="preserve"> 72, 102101.</w:t>
      </w:r>
    </w:p>
    <w:p w14:paraId="1092111C" w14:textId="77777777" w:rsidR="00EF7F9D" w:rsidRPr="0069661B" w:rsidRDefault="00EF7F9D" w:rsidP="00EF7F9D">
      <w:pPr>
        <w:spacing w:before="40" w:after="40" w:line="240" w:lineRule="auto"/>
        <w:jc w:val="both"/>
        <w:rPr>
          <w:rFonts w:ascii="Times New Roman" w:hAnsi="Times New Roman" w:cs="Times New Roman"/>
          <w:sz w:val="24"/>
          <w:szCs w:val="24"/>
        </w:rPr>
      </w:pPr>
    </w:p>
    <w:p w14:paraId="4EA7114C"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Iqbal, N., Naeem, M. A., &amp; Suleman, M. T. (2021). Quantifying the asymmetric spillovers in sustainable investments. </w:t>
      </w:r>
      <w:r w:rsidRPr="0069661B">
        <w:rPr>
          <w:rFonts w:ascii="Times New Roman" w:hAnsi="Times New Roman" w:cs="Times New Roman"/>
          <w:i/>
          <w:iCs/>
          <w:sz w:val="24"/>
          <w:szCs w:val="24"/>
          <w:shd w:val="clear" w:color="auto" w:fill="FFFFFF"/>
        </w:rPr>
        <w:t>Journal of International Financial Markets, Institutions and Money</w:t>
      </w:r>
      <w:r w:rsidRPr="0069661B">
        <w:rPr>
          <w:rFonts w:ascii="Times New Roman" w:hAnsi="Times New Roman" w:cs="Times New Roman"/>
          <w:sz w:val="24"/>
          <w:szCs w:val="24"/>
          <w:shd w:val="clear" w:color="auto" w:fill="FFFFFF"/>
        </w:rPr>
        <w:t>, 101480.</w:t>
      </w:r>
    </w:p>
    <w:p w14:paraId="7A4F7E4D"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rPr>
        <w:t>Härdle</w:t>
      </w:r>
      <w:proofErr w:type="spellEnd"/>
      <w:r w:rsidRPr="0069661B">
        <w:rPr>
          <w:rFonts w:ascii="Times New Roman" w:hAnsi="Times New Roman" w:cs="Times New Roman"/>
          <w:sz w:val="24"/>
          <w:szCs w:val="24"/>
        </w:rPr>
        <w:t xml:space="preserve">, W.K., Wang, W., &amp; Yu, L. (2016). Tenet: tail-event driven network risk. </w:t>
      </w:r>
      <w:r w:rsidRPr="0069661B">
        <w:rPr>
          <w:rFonts w:ascii="Times New Roman" w:hAnsi="Times New Roman" w:cs="Times New Roman"/>
          <w:i/>
          <w:sz w:val="24"/>
          <w:szCs w:val="24"/>
        </w:rPr>
        <w:t>Journal of Econometrics,</w:t>
      </w:r>
      <w:r w:rsidRPr="0069661B">
        <w:rPr>
          <w:rFonts w:ascii="Times New Roman" w:hAnsi="Times New Roman" w:cs="Times New Roman"/>
          <w:sz w:val="24"/>
          <w:szCs w:val="24"/>
        </w:rPr>
        <w:t xml:space="preserve"> 192(2):499-513</w:t>
      </w:r>
    </w:p>
    <w:p w14:paraId="56AD4D2D"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5176A544"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rPr>
        <w:t>Hautsch</w:t>
      </w:r>
      <w:proofErr w:type="spellEnd"/>
      <w:r w:rsidRPr="0069661B">
        <w:rPr>
          <w:rFonts w:ascii="Times New Roman" w:hAnsi="Times New Roman" w:cs="Times New Roman"/>
          <w:sz w:val="24"/>
          <w:szCs w:val="24"/>
        </w:rPr>
        <w:t xml:space="preserve">, N., Schaumburg, J., &amp; </w:t>
      </w:r>
      <w:proofErr w:type="spellStart"/>
      <w:r w:rsidRPr="0069661B">
        <w:rPr>
          <w:rFonts w:ascii="Times New Roman" w:hAnsi="Times New Roman" w:cs="Times New Roman"/>
          <w:sz w:val="24"/>
          <w:szCs w:val="24"/>
        </w:rPr>
        <w:t>Schienle</w:t>
      </w:r>
      <w:proofErr w:type="spellEnd"/>
      <w:r w:rsidRPr="0069661B">
        <w:rPr>
          <w:rFonts w:ascii="Times New Roman" w:hAnsi="Times New Roman" w:cs="Times New Roman"/>
          <w:sz w:val="24"/>
          <w:szCs w:val="24"/>
        </w:rPr>
        <w:t xml:space="preserve">, M. (2014). Financial network systemic risk contributions. </w:t>
      </w:r>
      <w:r w:rsidRPr="0069661B">
        <w:rPr>
          <w:rFonts w:ascii="Times New Roman" w:hAnsi="Times New Roman" w:cs="Times New Roman"/>
          <w:i/>
          <w:sz w:val="24"/>
          <w:szCs w:val="24"/>
        </w:rPr>
        <w:t>Review of Finance,</w:t>
      </w:r>
      <w:r w:rsidRPr="0069661B">
        <w:rPr>
          <w:rFonts w:ascii="Times New Roman" w:hAnsi="Times New Roman" w:cs="Times New Roman"/>
          <w:sz w:val="24"/>
          <w:szCs w:val="24"/>
        </w:rPr>
        <w:t xml:space="preserve"> 19(2):685–738</w:t>
      </w:r>
    </w:p>
    <w:p w14:paraId="4FAF0D73"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09A3D643" w14:textId="77777777" w:rsidR="00EF7F9D" w:rsidRPr="0069661B" w:rsidRDefault="00EF7F9D" w:rsidP="00EF7F9D">
      <w:pPr>
        <w:jc w:val="both"/>
        <w:rPr>
          <w:rFonts w:ascii="Times New Roman" w:hAnsi="Times New Roman" w:cs="Times New Roman"/>
          <w:noProof/>
          <w:sz w:val="24"/>
          <w:szCs w:val="24"/>
        </w:rPr>
      </w:pPr>
      <w:proofErr w:type="spellStart"/>
      <w:r w:rsidRPr="0069661B">
        <w:rPr>
          <w:rFonts w:ascii="Times New Roman" w:hAnsi="Times New Roman" w:cs="Times New Roman"/>
          <w:sz w:val="24"/>
          <w:szCs w:val="24"/>
        </w:rPr>
        <w:lastRenderedPageBreak/>
        <w:t>Kargar</w:t>
      </w:r>
      <w:proofErr w:type="spellEnd"/>
      <w:r w:rsidRPr="0069661B">
        <w:rPr>
          <w:rFonts w:ascii="Times New Roman" w:hAnsi="Times New Roman" w:cs="Times New Roman"/>
          <w:sz w:val="24"/>
          <w:szCs w:val="24"/>
        </w:rPr>
        <w:t xml:space="preserve">, M., Lester, B., Lindsay, D., Liu, S., Weill, P. O., &amp; </w:t>
      </w:r>
      <w:proofErr w:type="spellStart"/>
      <w:r w:rsidRPr="0069661B">
        <w:rPr>
          <w:rFonts w:ascii="Times New Roman" w:hAnsi="Times New Roman" w:cs="Times New Roman"/>
          <w:sz w:val="24"/>
          <w:szCs w:val="24"/>
        </w:rPr>
        <w:t>Zú˜niga</w:t>
      </w:r>
      <w:proofErr w:type="spellEnd"/>
      <w:r w:rsidRPr="0069661B">
        <w:rPr>
          <w:rFonts w:ascii="Times New Roman" w:hAnsi="Times New Roman" w:cs="Times New Roman"/>
          <w:sz w:val="24"/>
          <w:szCs w:val="24"/>
        </w:rPr>
        <w:t xml:space="preserve">, D. (2020). </w:t>
      </w:r>
      <w:r w:rsidRPr="0069661B">
        <w:rPr>
          <w:rFonts w:ascii="Times New Roman" w:hAnsi="Times New Roman" w:cs="Times New Roman"/>
          <w:i/>
          <w:iCs/>
          <w:sz w:val="24"/>
          <w:szCs w:val="24"/>
        </w:rPr>
        <w:t>Corporate bond liquidity during the COVID-19 crisis (No. w27355)</w:t>
      </w:r>
      <w:r w:rsidRPr="0069661B">
        <w:rPr>
          <w:rFonts w:ascii="Times New Roman" w:hAnsi="Times New Roman" w:cs="Times New Roman"/>
          <w:sz w:val="24"/>
          <w:szCs w:val="24"/>
        </w:rPr>
        <w:t>. National Bureau of Economic Research.</w:t>
      </w:r>
    </w:p>
    <w:p w14:paraId="09A664E8" w14:textId="77777777" w:rsidR="00B66952" w:rsidRPr="0069661B" w:rsidRDefault="00B66952" w:rsidP="00B66952">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 xml:space="preserve">Karim, S., &amp; Naeem, M. A. (2022). Do global factors drive the interconnectedness among green, Islamic and conventional financial </w:t>
      </w:r>
      <w:proofErr w:type="gramStart"/>
      <w:r w:rsidRPr="0069661B">
        <w:rPr>
          <w:rFonts w:ascii="Times New Roman" w:hAnsi="Times New Roman" w:cs="Times New Roman"/>
          <w:color w:val="222222"/>
          <w:sz w:val="24"/>
          <w:szCs w:val="24"/>
          <w:shd w:val="clear" w:color="auto" w:fill="FFFFFF"/>
        </w:rPr>
        <w:t>markets?.</w:t>
      </w:r>
      <w:proofErr w:type="gramEnd"/>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International Journal of Managerial Finance</w:t>
      </w:r>
      <w:r w:rsidRPr="0069661B">
        <w:rPr>
          <w:rFonts w:ascii="Times New Roman" w:hAnsi="Times New Roman" w:cs="Times New Roman"/>
          <w:color w:val="222222"/>
          <w:sz w:val="24"/>
          <w:szCs w:val="24"/>
          <w:shd w:val="clear" w:color="auto" w:fill="FFFFFF"/>
        </w:rPr>
        <w:t>.</w:t>
      </w:r>
    </w:p>
    <w:p w14:paraId="4F79D473" w14:textId="77777777" w:rsidR="00B66952" w:rsidRPr="0069661B" w:rsidRDefault="00B66952" w:rsidP="00B66952">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 xml:space="preserve">Karim, S., Lucey, B. M., Naeem, M. A., &amp; </w:t>
      </w:r>
      <w:proofErr w:type="spellStart"/>
      <w:r w:rsidRPr="0069661B">
        <w:rPr>
          <w:rFonts w:ascii="Times New Roman" w:hAnsi="Times New Roman" w:cs="Times New Roman"/>
          <w:color w:val="222222"/>
          <w:sz w:val="24"/>
          <w:szCs w:val="24"/>
          <w:shd w:val="clear" w:color="auto" w:fill="FFFFFF"/>
        </w:rPr>
        <w:t>Vigne</w:t>
      </w:r>
      <w:proofErr w:type="spellEnd"/>
      <w:r w:rsidRPr="0069661B">
        <w:rPr>
          <w:rFonts w:ascii="Times New Roman" w:hAnsi="Times New Roman" w:cs="Times New Roman"/>
          <w:color w:val="222222"/>
          <w:sz w:val="24"/>
          <w:szCs w:val="24"/>
          <w:shd w:val="clear" w:color="auto" w:fill="FFFFFF"/>
        </w:rPr>
        <w:t xml:space="preserve">, S. A. (2022a). The dark side of Bitcoin: do Emerging Asian Islamic markets help subdue the ethical </w:t>
      </w:r>
      <w:proofErr w:type="gramStart"/>
      <w:r w:rsidRPr="0069661B">
        <w:rPr>
          <w:rFonts w:ascii="Times New Roman" w:hAnsi="Times New Roman" w:cs="Times New Roman"/>
          <w:color w:val="222222"/>
          <w:sz w:val="24"/>
          <w:szCs w:val="24"/>
          <w:shd w:val="clear" w:color="auto" w:fill="FFFFFF"/>
        </w:rPr>
        <w:t>risk?.</w:t>
      </w:r>
      <w:proofErr w:type="gramEnd"/>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Emerging Markets Review</w:t>
      </w:r>
      <w:r w:rsidRPr="0069661B">
        <w:rPr>
          <w:rFonts w:ascii="Times New Roman" w:hAnsi="Times New Roman" w:cs="Times New Roman"/>
          <w:color w:val="222222"/>
          <w:sz w:val="24"/>
          <w:szCs w:val="24"/>
          <w:shd w:val="clear" w:color="auto" w:fill="FFFFFF"/>
        </w:rPr>
        <w:t>, 100921.</w:t>
      </w:r>
    </w:p>
    <w:p w14:paraId="0FD81426" w14:textId="77777777" w:rsidR="00B66952" w:rsidRPr="0069661B" w:rsidRDefault="00B66952" w:rsidP="00B66952">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 xml:space="preserve">Karim, S., Naeem, M. A., &amp; Lucey, B. M. (2022b). Do ethics outpace </w:t>
      </w:r>
      <w:proofErr w:type="gramStart"/>
      <w:r w:rsidRPr="0069661B">
        <w:rPr>
          <w:rFonts w:ascii="Times New Roman" w:hAnsi="Times New Roman" w:cs="Times New Roman"/>
          <w:color w:val="222222"/>
          <w:sz w:val="24"/>
          <w:szCs w:val="24"/>
          <w:shd w:val="clear" w:color="auto" w:fill="FFFFFF"/>
        </w:rPr>
        <w:t>sins?.</w:t>
      </w:r>
      <w:proofErr w:type="gramEnd"/>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Finance Research Letters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47</w:t>
      </w:r>
      <w:r w:rsidRPr="0069661B">
        <w:rPr>
          <w:rFonts w:ascii="Times New Roman" w:hAnsi="Times New Roman" w:cs="Times New Roman"/>
          <w:color w:val="222222"/>
          <w:sz w:val="24"/>
          <w:szCs w:val="24"/>
          <w:shd w:val="clear" w:color="auto" w:fill="FFFFFF"/>
        </w:rPr>
        <w:t>, 102945.</w:t>
      </w:r>
    </w:p>
    <w:p w14:paraId="6F89BD82" w14:textId="77777777" w:rsidR="00B66952" w:rsidRPr="0069661B" w:rsidRDefault="00B66952" w:rsidP="00B66952">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Karim, S., Lucey, B. M., Naeem, M. A., &amp; Uddin, G. S. (2022c). Examining the interrelatedness of NFTs, DeFi tokens and cryptocurrencies. </w:t>
      </w:r>
      <w:r w:rsidRPr="0069661B">
        <w:rPr>
          <w:rFonts w:ascii="Times New Roman" w:hAnsi="Times New Roman" w:cs="Times New Roman"/>
          <w:i/>
          <w:iCs/>
          <w:color w:val="222222"/>
          <w:sz w:val="24"/>
          <w:szCs w:val="24"/>
          <w:shd w:val="clear" w:color="auto" w:fill="FFFFFF"/>
        </w:rPr>
        <w:t>Finance Research Letters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47</w:t>
      </w:r>
      <w:r w:rsidRPr="0069661B">
        <w:rPr>
          <w:rFonts w:ascii="Times New Roman" w:hAnsi="Times New Roman" w:cs="Times New Roman"/>
          <w:color w:val="222222"/>
          <w:sz w:val="24"/>
          <w:szCs w:val="24"/>
          <w:shd w:val="clear" w:color="auto" w:fill="FFFFFF"/>
        </w:rPr>
        <w:t>, 102696.</w:t>
      </w:r>
    </w:p>
    <w:p w14:paraId="12381DEA" w14:textId="77777777" w:rsidR="00B66952" w:rsidRPr="0069661B" w:rsidRDefault="00B66952" w:rsidP="00B66952">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 xml:space="preserve">Karim, S., Khan, S., Mirza, N., Alawi, S. M., &amp; </w:t>
      </w:r>
      <w:proofErr w:type="spellStart"/>
      <w:r w:rsidRPr="0069661B">
        <w:rPr>
          <w:rFonts w:ascii="Times New Roman" w:hAnsi="Times New Roman" w:cs="Times New Roman"/>
          <w:color w:val="222222"/>
          <w:sz w:val="24"/>
          <w:szCs w:val="24"/>
          <w:shd w:val="clear" w:color="auto" w:fill="FFFFFF"/>
        </w:rPr>
        <w:t>Taghizadeh-Hesary</w:t>
      </w:r>
      <w:proofErr w:type="spellEnd"/>
      <w:r w:rsidRPr="0069661B">
        <w:rPr>
          <w:rFonts w:ascii="Times New Roman" w:hAnsi="Times New Roman" w:cs="Times New Roman"/>
          <w:color w:val="222222"/>
          <w:sz w:val="24"/>
          <w:szCs w:val="24"/>
          <w:shd w:val="clear" w:color="auto" w:fill="FFFFFF"/>
        </w:rPr>
        <w:t>, F. (2022d). Climate finance in the wake of COVID-19: connectedness of clean energy with conventional energy and regional stock markets. </w:t>
      </w:r>
      <w:r w:rsidRPr="0069661B">
        <w:rPr>
          <w:rFonts w:ascii="Times New Roman" w:hAnsi="Times New Roman" w:cs="Times New Roman"/>
          <w:i/>
          <w:iCs/>
          <w:color w:val="222222"/>
          <w:sz w:val="24"/>
          <w:szCs w:val="24"/>
          <w:shd w:val="clear" w:color="auto" w:fill="FFFFFF"/>
        </w:rPr>
        <w:t>Climate Change Economics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13</w:t>
      </w:r>
      <w:r w:rsidRPr="0069661B">
        <w:rPr>
          <w:rFonts w:ascii="Times New Roman" w:hAnsi="Times New Roman" w:cs="Times New Roman"/>
          <w:color w:val="222222"/>
          <w:sz w:val="24"/>
          <w:szCs w:val="24"/>
          <w:shd w:val="clear" w:color="auto" w:fill="FFFFFF"/>
        </w:rPr>
        <w:t>(03), 2240008.</w:t>
      </w:r>
    </w:p>
    <w:p w14:paraId="04EC9DC8" w14:textId="0DE04CE3" w:rsidR="00EF7F9D" w:rsidRPr="0069661B" w:rsidRDefault="00B66952" w:rsidP="00B66952">
      <w:pPr>
        <w:jc w:val="both"/>
        <w:rPr>
          <w:rFonts w:ascii="Times New Roman" w:hAnsi="Times New Roman" w:cs="Times New Roman"/>
          <w:sz w:val="24"/>
          <w:szCs w:val="24"/>
          <w:shd w:val="clear" w:color="auto" w:fill="FFFFFF"/>
        </w:rPr>
      </w:pPr>
      <w:r w:rsidRPr="0069661B">
        <w:rPr>
          <w:rFonts w:ascii="Times New Roman" w:hAnsi="Times New Roman" w:cs="Times New Roman"/>
          <w:color w:val="222222"/>
          <w:sz w:val="24"/>
          <w:szCs w:val="24"/>
          <w:shd w:val="clear" w:color="auto" w:fill="FFFFFF"/>
        </w:rPr>
        <w:t xml:space="preserve">Karim, S., Naeem, M. A., Hu, M., Zhang, D., &amp; </w:t>
      </w:r>
      <w:proofErr w:type="spellStart"/>
      <w:r w:rsidRPr="0069661B">
        <w:rPr>
          <w:rFonts w:ascii="Times New Roman" w:hAnsi="Times New Roman" w:cs="Times New Roman"/>
          <w:color w:val="222222"/>
          <w:sz w:val="24"/>
          <w:szCs w:val="24"/>
          <w:shd w:val="clear" w:color="auto" w:fill="FFFFFF"/>
        </w:rPr>
        <w:t>Taghizadeh</w:t>
      </w:r>
      <w:proofErr w:type="spellEnd"/>
      <w:r w:rsidRPr="0069661B">
        <w:rPr>
          <w:rFonts w:ascii="Times New Roman" w:hAnsi="Times New Roman" w:cs="Times New Roman"/>
          <w:color w:val="222222"/>
          <w:sz w:val="24"/>
          <w:szCs w:val="24"/>
          <w:shd w:val="clear" w:color="auto" w:fill="FFFFFF"/>
        </w:rPr>
        <w:t>–</w:t>
      </w:r>
      <w:proofErr w:type="spellStart"/>
      <w:r w:rsidRPr="0069661B">
        <w:rPr>
          <w:rFonts w:ascii="Times New Roman" w:hAnsi="Times New Roman" w:cs="Times New Roman"/>
          <w:color w:val="222222"/>
          <w:sz w:val="24"/>
          <w:szCs w:val="24"/>
          <w:shd w:val="clear" w:color="auto" w:fill="FFFFFF"/>
        </w:rPr>
        <w:t>Hesary</w:t>
      </w:r>
      <w:proofErr w:type="spellEnd"/>
      <w:r w:rsidRPr="0069661B">
        <w:rPr>
          <w:rFonts w:ascii="Times New Roman" w:hAnsi="Times New Roman" w:cs="Times New Roman"/>
          <w:color w:val="222222"/>
          <w:sz w:val="24"/>
          <w:szCs w:val="24"/>
          <w:shd w:val="clear" w:color="auto" w:fill="FFFFFF"/>
        </w:rPr>
        <w:t>, F. (2022e). Determining dependence, centrality, and dynamic networks between green bonds and financial markets. </w:t>
      </w:r>
      <w:r w:rsidRPr="0069661B">
        <w:rPr>
          <w:rFonts w:ascii="Times New Roman" w:hAnsi="Times New Roman" w:cs="Times New Roman"/>
          <w:i/>
          <w:iCs/>
          <w:color w:val="222222"/>
          <w:sz w:val="24"/>
          <w:szCs w:val="24"/>
          <w:shd w:val="clear" w:color="auto" w:fill="FFFFFF"/>
        </w:rPr>
        <w:t>Journal of Environmental Management</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318</w:t>
      </w:r>
      <w:r w:rsidRPr="0069661B">
        <w:rPr>
          <w:rFonts w:ascii="Times New Roman" w:hAnsi="Times New Roman" w:cs="Times New Roman"/>
          <w:color w:val="222222"/>
          <w:sz w:val="24"/>
          <w:szCs w:val="24"/>
          <w:shd w:val="clear" w:color="auto" w:fill="FFFFFF"/>
        </w:rPr>
        <w:t>, 115618.</w:t>
      </w:r>
    </w:p>
    <w:p w14:paraId="046DA972"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shd w:val="clear" w:color="auto" w:fill="FFFFFF"/>
        </w:rPr>
      </w:pPr>
      <w:proofErr w:type="spellStart"/>
      <w:r w:rsidRPr="0069661B">
        <w:rPr>
          <w:rFonts w:ascii="Times New Roman" w:hAnsi="Times New Roman" w:cs="Times New Roman"/>
          <w:sz w:val="24"/>
          <w:szCs w:val="24"/>
          <w:shd w:val="clear" w:color="auto" w:fill="FFFFFF"/>
        </w:rPr>
        <w:t>Keilbar</w:t>
      </w:r>
      <w:proofErr w:type="spellEnd"/>
      <w:r w:rsidRPr="0069661B">
        <w:rPr>
          <w:rFonts w:ascii="Times New Roman" w:hAnsi="Times New Roman" w:cs="Times New Roman"/>
          <w:sz w:val="24"/>
          <w:szCs w:val="24"/>
          <w:shd w:val="clear" w:color="auto" w:fill="FFFFFF"/>
        </w:rPr>
        <w:t>, G., &amp; Wang, W. (2021). Modelling systemic risk using neural network quantile regression. </w:t>
      </w:r>
      <w:r w:rsidRPr="0069661B">
        <w:rPr>
          <w:rFonts w:ascii="Times New Roman" w:hAnsi="Times New Roman" w:cs="Times New Roman"/>
          <w:i/>
          <w:iCs/>
          <w:sz w:val="24"/>
          <w:szCs w:val="24"/>
          <w:shd w:val="clear" w:color="auto" w:fill="FFFFFF"/>
        </w:rPr>
        <w:t>Empirical Economics</w:t>
      </w:r>
      <w:r w:rsidRPr="0069661B">
        <w:rPr>
          <w:rFonts w:ascii="Times New Roman" w:hAnsi="Times New Roman" w:cs="Times New Roman"/>
          <w:sz w:val="24"/>
          <w:szCs w:val="24"/>
          <w:shd w:val="clear" w:color="auto" w:fill="FFFFFF"/>
        </w:rPr>
        <w:t>, 1-26.</w:t>
      </w:r>
    </w:p>
    <w:p w14:paraId="7E0A3F32"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6A2757A0"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Li, Y., &amp; Giles, D. E. (2015). Modelling volatility spillover effects between developed stock markets and </w:t>
      </w:r>
      <w:proofErr w:type="spellStart"/>
      <w:r w:rsidRPr="0069661B">
        <w:rPr>
          <w:rFonts w:ascii="Times New Roman" w:hAnsi="Times New Roman" w:cs="Times New Roman"/>
          <w:sz w:val="24"/>
          <w:szCs w:val="24"/>
        </w:rPr>
        <w:t>asian</w:t>
      </w:r>
      <w:proofErr w:type="spellEnd"/>
      <w:r w:rsidRPr="0069661B">
        <w:rPr>
          <w:rFonts w:ascii="Times New Roman" w:hAnsi="Times New Roman" w:cs="Times New Roman"/>
          <w:sz w:val="24"/>
          <w:szCs w:val="24"/>
        </w:rPr>
        <w:t xml:space="preserve"> emerging stock markets. </w:t>
      </w:r>
      <w:r w:rsidRPr="0069661B">
        <w:rPr>
          <w:rFonts w:ascii="Times New Roman" w:hAnsi="Times New Roman" w:cs="Times New Roman"/>
          <w:i/>
          <w:sz w:val="24"/>
          <w:szCs w:val="24"/>
        </w:rPr>
        <w:t>International Journal of Finance &amp; Economics</w:t>
      </w:r>
      <w:r w:rsidRPr="0069661B">
        <w:rPr>
          <w:rFonts w:ascii="Times New Roman" w:hAnsi="Times New Roman" w:cs="Times New Roman"/>
          <w:sz w:val="24"/>
          <w:szCs w:val="24"/>
        </w:rPr>
        <w:t>, 20(2), 155–177.</w:t>
      </w:r>
    </w:p>
    <w:p w14:paraId="025975B6" w14:textId="77777777" w:rsidR="00EF7F9D" w:rsidRPr="0069661B" w:rsidRDefault="00EF7F9D" w:rsidP="00EF7F9D">
      <w:pPr>
        <w:jc w:val="both"/>
        <w:rPr>
          <w:rFonts w:ascii="Times New Roman" w:hAnsi="Times New Roman" w:cs="Times New Roman"/>
          <w:sz w:val="24"/>
          <w:szCs w:val="24"/>
        </w:rPr>
      </w:pPr>
    </w:p>
    <w:p w14:paraId="3D057FC3"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rPr>
        <w:t xml:space="preserve">Liu, N., Liu, C., Da, B., Zhang, T., &amp; Guan, F. (2021). Dependence and risk spillovers between green bonds and clean energy markets. </w:t>
      </w:r>
      <w:r w:rsidRPr="0069661B">
        <w:rPr>
          <w:rFonts w:ascii="Times New Roman" w:hAnsi="Times New Roman" w:cs="Times New Roman"/>
          <w:i/>
          <w:iCs/>
          <w:sz w:val="24"/>
          <w:szCs w:val="24"/>
        </w:rPr>
        <w:t>Journal of Cleaner Production</w:t>
      </w:r>
      <w:r w:rsidRPr="0069661B">
        <w:rPr>
          <w:rFonts w:ascii="Times New Roman" w:hAnsi="Times New Roman" w:cs="Times New Roman"/>
          <w:sz w:val="24"/>
          <w:szCs w:val="24"/>
        </w:rPr>
        <w:t xml:space="preserve">, </w:t>
      </w:r>
      <w:r w:rsidRPr="0069661B">
        <w:rPr>
          <w:rFonts w:ascii="Times New Roman" w:hAnsi="Times New Roman" w:cs="Times New Roman"/>
          <w:i/>
          <w:iCs/>
          <w:sz w:val="24"/>
          <w:szCs w:val="24"/>
        </w:rPr>
        <w:t>279</w:t>
      </w:r>
      <w:r w:rsidRPr="0069661B">
        <w:rPr>
          <w:rFonts w:ascii="Times New Roman" w:hAnsi="Times New Roman" w:cs="Times New Roman"/>
          <w:sz w:val="24"/>
          <w:szCs w:val="24"/>
        </w:rPr>
        <w:t>, 123595</w:t>
      </w:r>
    </w:p>
    <w:p w14:paraId="170341F9"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Liu, T. &amp; </w:t>
      </w:r>
      <w:proofErr w:type="spellStart"/>
      <w:r w:rsidRPr="0069661B">
        <w:rPr>
          <w:rFonts w:ascii="Times New Roman" w:hAnsi="Times New Roman" w:cs="Times New Roman"/>
          <w:sz w:val="24"/>
          <w:szCs w:val="24"/>
        </w:rPr>
        <w:t>Hamori</w:t>
      </w:r>
      <w:proofErr w:type="spellEnd"/>
      <w:r w:rsidRPr="0069661B">
        <w:rPr>
          <w:rFonts w:ascii="Times New Roman" w:hAnsi="Times New Roman" w:cs="Times New Roman"/>
          <w:sz w:val="24"/>
          <w:szCs w:val="24"/>
        </w:rPr>
        <w:t>, S., (2020). Spillovers to renewable energy stocks in the US and Europe: are they different</w:t>
      </w:r>
      <w:r w:rsidRPr="0069661B">
        <w:rPr>
          <w:rFonts w:ascii="Times New Roman" w:hAnsi="Times New Roman" w:cs="Times New Roman"/>
          <w:i/>
          <w:sz w:val="24"/>
          <w:szCs w:val="24"/>
        </w:rPr>
        <w:t>? Energies,</w:t>
      </w:r>
      <w:r w:rsidRPr="0069661B">
        <w:rPr>
          <w:rFonts w:ascii="Times New Roman" w:hAnsi="Times New Roman" w:cs="Times New Roman"/>
          <w:sz w:val="24"/>
          <w:szCs w:val="24"/>
        </w:rPr>
        <w:t xml:space="preserve"> 13 (12), 3162.</w:t>
      </w:r>
    </w:p>
    <w:p w14:paraId="478DC0FC" w14:textId="77777777" w:rsidR="004E5F95" w:rsidRPr="0069661B" w:rsidRDefault="004E5F95" w:rsidP="004E5F95">
      <w:pPr>
        <w:spacing w:after="0" w:line="360" w:lineRule="auto"/>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 xml:space="preserve">Liu, Z., Shi, X., </w:t>
      </w:r>
      <w:proofErr w:type="spellStart"/>
      <w:r w:rsidRPr="0069661B">
        <w:rPr>
          <w:rFonts w:ascii="Times New Roman" w:hAnsi="Times New Roman" w:cs="Times New Roman"/>
          <w:color w:val="0000FF"/>
          <w:sz w:val="24"/>
          <w:szCs w:val="24"/>
          <w:shd w:val="clear" w:color="auto" w:fill="FFFFFF"/>
        </w:rPr>
        <w:t>Zhai</w:t>
      </w:r>
      <w:proofErr w:type="spellEnd"/>
      <w:r w:rsidRPr="0069661B">
        <w:rPr>
          <w:rFonts w:ascii="Times New Roman" w:hAnsi="Times New Roman" w:cs="Times New Roman"/>
          <w:color w:val="0000FF"/>
          <w:sz w:val="24"/>
          <w:szCs w:val="24"/>
          <w:shd w:val="clear" w:color="auto" w:fill="FFFFFF"/>
        </w:rPr>
        <w:t>, P., Wu, S., Ding, Z., &amp; Zhou, Y. (2021). Tail risk connectedness in the oil-stock nexus: Evidence from a novel quantile spillover approach. </w:t>
      </w:r>
      <w:r w:rsidRPr="0069661B">
        <w:rPr>
          <w:rFonts w:ascii="Times New Roman" w:hAnsi="Times New Roman" w:cs="Times New Roman"/>
          <w:i/>
          <w:iCs/>
          <w:color w:val="0000FF"/>
          <w:sz w:val="24"/>
          <w:szCs w:val="24"/>
          <w:shd w:val="clear" w:color="auto" w:fill="FFFFFF"/>
        </w:rPr>
        <w:t>Resources Policy</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74</w:t>
      </w:r>
      <w:r w:rsidRPr="0069661B">
        <w:rPr>
          <w:rFonts w:ascii="Times New Roman" w:hAnsi="Times New Roman" w:cs="Times New Roman"/>
          <w:color w:val="0000FF"/>
          <w:sz w:val="24"/>
          <w:szCs w:val="24"/>
          <w:shd w:val="clear" w:color="auto" w:fill="FFFFFF"/>
        </w:rPr>
        <w:t>, 102381.</w:t>
      </w:r>
    </w:p>
    <w:p w14:paraId="7306A7AC"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615B76DB"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roofErr w:type="spellStart"/>
      <w:r w:rsidRPr="0069661B">
        <w:rPr>
          <w:rFonts w:ascii="Times New Roman" w:hAnsi="Times New Roman" w:cs="Times New Roman"/>
          <w:sz w:val="24"/>
          <w:szCs w:val="24"/>
        </w:rPr>
        <w:t>Mensi</w:t>
      </w:r>
      <w:proofErr w:type="spellEnd"/>
      <w:r w:rsidRPr="0069661B">
        <w:rPr>
          <w:rFonts w:ascii="Times New Roman" w:hAnsi="Times New Roman" w:cs="Times New Roman"/>
          <w:sz w:val="24"/>
          <w:szCs w:val="24"/>
        </w:rPr>
        <w:t xml:space="preserve">, W., </w:t>
      </w:r>
      <w:proofErr w:type="spellStart"/>
      <w:r w:rsidRPr="0069661B">
        <w:rPr>
          <w:rFonts w:ascii="Times New Roman" w:hAnsi="Times New Roman" w:cs="Times New Roman"/>
          <w:sz w:val="24"/>
          <w:szCs w:val="24"/>
        </w:rPr>
        <w:t>Hammoudeh</w:t>
      </w:r>
      <w:proofErr w:type="spellEnd"/>
      <w:r w:rsidRPr="0069661B">
        <w:rPr>
          <w:rFonts w:ascii="Times New Roman" w:hAnsi="Times New Roman" w:cs="Times New Roman"/>
          <w:sz w:val="24"/>
          <w:szCs w:val="24"/>
        </w:rPr>
        <w:t xml:space="preserve">, S., Al-Jarrah, I.M.W., </w:t>
      </w:r>
      <w:proofErr w:type="spellStart"/>
      <w:r w:rsidRPr="0069661B">
        <w:rPr>
          <w:rFonts w:ascii="Times New Roman" w:hAnsi="Times New Roman" w:cs="Times New Roman"/>
          <w:sz w:val="24"/>
          <w:szCs w:val="24"/>
        </w:rPr>
        <w:t>Sensoy</w:t>
      </w:r>
      <w:proofErr w:type="spellEnd"/>
      <w:r w:rsidRPr="0069661B">
        <w:rPr>
          <w:rFonts w:ascii="Times New Roman" w:hAnsi="Times New Roman" w:cs="Times New Roman"/>
          <w:sz w:val="24"/>
          <w:szCs w:val="24"/>
        </w:rPr>
        <w:t xml:space="preserve">, A., &amp; Kang, S.H. (2017). Dynamic risk spillovers between gold, oil prices and conventional, sustainability and Islamic equity aggregates and sectors with portfolio implications. </w:t>
      </w:r>
      <w:r w:rsidRPr="0069661B">
        <w:rPr>
          <w:rFonts w:ascii="Times New Roman" w:hAnsi="Times New Roman" w:cs="Times New Roman"/>
          <w:i/>
          <w:sz w:val="24"/>
          <w:szCs w:val="24"/>
        </w:rPr>
        <w:t>Energy Economics,</w:t>
      </w:r>
      <w:r w:rsidRPr="0069661B">
        <w:rPr>
          <w:rFonts w:ascii="Times New Roman" w:hAnsi="Times New Roman" w:cs="Times New Roman"/>
          <w:sz w:val="24"/>
          <w:szCs w:val="24"/>
        </w:rPr>
        <w:t xml:space="preserve"> 67, 454–475.</w:t>
      </w:r>
    </w:p>
    <w:p w14:paraId="0CEB95B0"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44DA4A84" w14:textId="77777777" w:rsidR="00EF7F9D" w:rsidRPr="0069661B" w:rsidRDefault="00EF7F9D" w:rsidP="00EF7F9D">
      <w:pPr>
        <w:jc w:val="both"/>
        <w:rPr>
          <w:rFonts w:ascii="Times New Roman" w:hAnsi="Times New Roman" w:cs="Times New Roman"/>
          <w:sz w:val="24"/>
          <w:szCs w:val="24"/>
        </w:rPr>
      </w:pPr>
      <w:proofErr w:type="spellStart"/>
      <w:r w:rsidRPr="0069661B">
        <w:rPr>
          <w:rFonts w:ascii="Times New Roman" w:hAnsi="Times New Roman" w:cs="Times New Roman"/>
          <w:sz w:val="24"/>
          <w:szCs w:val="24"/>
          <w:shd w:val="clear" w:color="auto" w:fill="FFFFFF"/>
        </w:rPr>
        <w:lastRenderedPageBreak/>
        <w:t>Mensi</w:t>
      </w:r>
      <w:proofErr w:type="spellEnd"/>
      <w:r w:rsidRPr="0069661B">
        <w:rPr>
          <w:rFonts w:ascii="Times New Roman" w:hAnsi="Times New Roman" w:cs="Times New Roman"/>
          <w:sz w:val="24"/>
          <w:szCs w:val="24"/>
          <w:shd w:val="clear" w:color="auto" w:fill="FFFFFF"/>
        </w:rPr>
        <w:t>, W., Naeem, M. A., Vo, X. V., &amp; Kang, S. H. (2021). Dynamic and frequency spillovers between green bonds, oil and G7 stock markets: Implications for risk management. </w:t>
      </w:r>
      <w:r w:rsidRPr="0069661B">
        <w:rPr>
          <w:rFonts w:ascii="Times New Roman" w:hAnsi="Times New Roman" w:cs="Times New Roman"/>
          <w:i/>
          <w:iCs/>
          <w:sz w:val="24"/>
          <w:szCs w:val="24"/>
          <w:shd w:val="clear" w:color="auto" w:fill="FFFFFF"/>
        </w:rPr>
        <w:t>Economic Analysis and Policy</w:t>
      </w:r>
      <w:r w:rsidRPr="0069661B">
        <w:rPr>
          <w:rFonts w:ascii="Times New Roman" w:hAnsi="Times New Roman" w:cs="Times New Roman"/>
          <w:sz w:val="24"/>
          <w:szCs w:val="24"/>
          <w:shd w:val="clear" w:color="auto" w:fill="FFFFFF"/>
        </w:rPr>
        <w:t>.</w:t>
      </w:r>
    </w:p>
    <w:p w14:paraId="05699208" w14:textId="29330CA3"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t>Naeem, M. A., &amp; Karim, S. (2021). Tail dependence between bitcoin and green financial assets. </w:t>
      </w:r>
      <w:r w:rsidRPr="0069661B">
        <w:rPr>
          <w:rFonts w:ascii="Times New Roman" w:hAnsi="Times New Roman" w:cs="Times New Roman"/>
          <w:i/>
          <w:iCs/>
          <w:sz w:val="24"/>
          <w:szCs w:val="24"/>
          <w:shd w:val="clear" w:color="auto" w:fill="FFFFFF"/>
        </w:rPr>
        <w:t>Economics Letters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208</w:t>
      </w:r>
      <w:r w:rsidRPr="0069661B">
        <w:rPr>
          <w:rFonts w:ascii="Times New Roman" w:hAnsi="Times New Roman" w:cs="Times New Roman"/>
          <w:sz w:val="24"/>
          <w:szCs w:val="24"/>
          <w:shd w:val="clear" w:color="auto" w:fill="FFFFFF"/>
        </w:rPr>
        <w:t>, 110068.</w:t>
      </w:r>
    </w:p>
    <w:p w14:paraId="79D84700" w14:textId="77777777" w:rsidR="00B6038B" w:rsidRPr="0069661B" w:rsidRDefault="00B6038B" w:rsidP="00B6038B">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Naeem, M. A., Iqbal, N., Lucey, B. M., &amp; Karim, S. (2022a). Good versus bad information transmission in the cryptocurrency market: Evidence from high-frequency data. </w:t>
      </w:r>
      <w:r w:rsidRPr="0069661B">
        <w:rPr>
          <w:rFonts w:ascii="Times New Roman" w:hAnsi="Times New Roman" w:cs="Times New Roman"/>
          <w:i/>
          <w:iCs/>
          <w:color w:val="222222"/>
          <w:sz w:val="24"/>
          <w:szCs w:val="24"/>
          <w:shd w:val="clear" w:color="auto" w:fill="FFFFFF"/>
        </w:rPr>
        <w:t>Journal of International Financial Markets, Institutions and Money</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81</w:t>
      </w:r>
      <w:r w:rsidRPr="0069661B">
        <w:rPr>
          <w:rFonts w:ascii="Times New Roman" w:hAnsi="Times New Roman" w:cs="Times New Roman"/>
          <w:color w:val="222222"/>
          <w:sz w:val="24"/>
          <w:szCs w:val="24"/>
          <w:shd w:val="clear" w:color="auto" w:fill="FFFFFF"/>
        </w:rPr>
        <w:t>, 101695.</w:t>
      </w:r>
    </w:p>
    <w:p w14:paraId="7928C85A" w14:textId="77777777" w:rsidR="00B6038B" w:rsidRPr="0069661B" w:rsidRDefault="00B6038B" w:rsidP="00B6038B">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 xml:space="preserve">Naeem, M. A., Yousaf, I., Karim, S., </w:t>
      </w:r>
      <w:proofErr w:type="spellStart"/>
      <w:r w:rsidRPr="0069661B">
        <w:rPr>
          <w:rFonts w:ascii="Times New Roman" w:hAnsi="Times New Roman" w:cs="Times New Roman"/>
          <w:color w:val="222222"/>
          <w:sz w:val="24"/>
          <w:szCs w:val="24"/>
          <w:shd w:val="clear" w:color="auto" w:fill="FFFFFF"/>
        </w:rPr>
        <w:t>Yarovaya</w:t>
      </w:r>
      <w:proofErr w:type="spellEnd"/>
      <w:r w:rsidRPr="0069661B">
        <w:rPr>
          <w:rFonts w:ascii="Times New Roman" w:hAnsi="Times New Roman" w:cs="Times New Roman"/>
          <w:color w:val="222222"/>
          <w:sz w:val="24"/>
          <w:szCs w:val="24"/>
          <w:shd w:val="clear" w:color="auto" w:fill="FFFFFF"/>
        </w:rPr>
        <w:t xml:space="preserve">, L., &amp; Ali, S. (2022b). Tail-event driven </w:t>
      </w:r>
      <w:proofErr w:type="spellStart"/>
      <w:r w:rsidRPr="0069661B">
        <w:rPr>
          <w:rFonts w:ascii="Times New Roman" w:hAnsi="Times New Roman" w:cs="Times New Roman"/>
          <w:color w:val="222222"/>
          <w:sz w:val="24"/>
          <w:szCs w:val="24"/>
          <w:shd w:val="clear" w:color="auto" w:fill="FFFFFF"/>
        </w:rPr>
        <w:t>NETwork</w:t>
      </w:r>
      <w:proofErr w:type="spellEnd"/>
      <w:r w:rsidRPr="0069661B">
        <w:rPr>
          <w:rFonts w:ascii="Times New Roman" w:hAnsi="Times New Roman" w:cs="Times New Roman"/>
          <w:color w:val="222222"/>
          <w:sz w:val="24"/>
          <w:szCs w:val="24"/>
          <w:shd w:val="clear" w:color="auto" w:fill="FFFFFF"/>
        </w:rPr>
        <w:t xml:space="preserve"> dependence in emerging markets. </w:t>
      </w:r>
      <w:r w:rsidRPr="0069661B">
        <w:rPr>
          <w:rFonts w:ascii="Times New Roman" w:hAnsi="Times New Roman" w:cs="Times New Roman"/>
          <w:i/>
          <w:iCs/>
          <w:color w:val="222222"/>
          <w:sz w:val="24"/>
          <w:szCs w:val="24"/>
          <w:shd w:val="clear" w:color="auto" w:fill="FFFFFF"/>
        </w:rPr>
        <w:t>Emerging Markets Review</w:t>
      </w:r>
      <w:r w:rsidRPr="0069661B">
        <w:rPr>
          <w:rFonts w:ascii="Times New Roman" w:hAnsi="Times New Roman" w:cs="Times New Roman"/>
          <w:color w:val="222222"/>
          <w:sz w:val="24"/>
          <w:szCs w:val="24"/>
          <w:shd w:val="clear" w:color="auto" w:fill="FFFFFF"/>
        </w:rPr>
        <w:t>, 100971.</w:t>
      </w:r>
    </w:p>
    <w:p w14:paraId="2C9B208E" w14:textId="77777777" w:rsidR="00B6038B" w:rsidRPr="0069661B" w:rsidRDefault="00B6038B" w:rsidP="00B6038B">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Naeem, M. A., Karim, S., &amp; Tiwari, A. K. (2022c). Risk Connectedness Between Green and Conventional Assets with Portfolio Implications. </w:t>
      </w:r>
      <w:r w:rsidRPr="0069661B">
        <w:rPr>
          <w:rFonts w:ascii="Times New Roman" w:hAnsi="Times New Roman" w:cs="Times New Roman"/>
          <w:i/>
          <w:iCs/>
          <w:color w:val="222222"/>
          <w:sz w:val="24"/>
          <w:szCs w:val="24"/>
          <w:shd w:val="clear" w:color="auto" w:fill="FFFFFF"/>
        </w:rPr>
        <w:t>Computational Economics</w:t>
      </w:r>
      <w:r w:rsidRPr="0069661B">
        <w:rPr>
          <w:rFonts w:ascii="Times New Roman" w:hAnsi="Times New Roman" w:cs="Times New Roman"/>
          <w:color w:val="222222"/>
          <w:sz w:val="24"/>
          <w:szCs w:val="24"/>
          <w:shd w:val="clear" w:color="auto" w:fill="FFFFFF"/>
        </w:rPr>
        <w:t>, 1-29.</w:t>
      </w:r>
    </w:p>
    <w:p w14:paraId="563CA4CD" w14:textId="77777777" w:rsidR="00B6038B" w:rsidRPr="0069661B" w:rsidRDefault="00B6038B" w:rsidP="00B6038B">
      <w:pPr>
        <w:spacing w:line="240" w:lineRule="auto"/>
        <w:jc w:val="both"/>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Naeem, M. A., Karim, S., Uddin, G. S., &amp; Junttila, J. (2022d). Small fish in big ponds: connections of green finance assets to commodity and sectoral stock markets. </w:t>
      </w:r>
      <w:r w:rsidRPr="0069661B">
        <w:rPr>
          <w:rFonts w:ascii="Times New Roman" w:hAnsi="Times New Roman" w:cs="Times New Roman"/>
          <w:i/>
          <w:iCs/>
          <w:color w:val="222222"/>
          <w:sz w:val="24"/>
          <w:szCs w:val="24"/>
          <w:shd w:val="clear" w:color="auto" w:fill="FFFFFF"/>
        </w:rPr>
        <w:t>International Review of Financial Analysis</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83</w:t>
      </w:r>
      <w:r w:rsidRPr="0069661B">
        <w:rPr>
          <w:rFonts w:ascii="Times New Roman" w:hAnsi="Times New Roman" w:cs="Times New Roman"/>
          <w:color w:val="222222"/>
          <w:sz w:val="24"/>
          <w:szCs w:val="24"/>
          <w:shd w:val="clear" w:color="auto" w:fill="FFFFFF"/>
        </w:rPr>
        <w:t>, 102283.</w:t>
      </w:r>
    </w:p>
    <w:p w14:paraId="26788D7A" w14:textId="1E0F1DB5" w:rsidR="00B6038B" w:rsidRPr="0069661B" w:rsidRDefault="00B6038B" w:rsidP="00B6038B">
      <w:pPr>
        <w:pStyle w:val="EndNoteBibliography"/>
        <w:spacing w:after="0"/>
        <w:rPr>
          <w:rFonts w:ascii="Times New Roman" w:hAnsi="Times New Roman" w:cs="Times New Roman"/>
          <w:color w:val="222222"/>
          <w:sz w:val="24"/>
          <w:szCs w:val="24"/>
          <w:shd w:val="clear" w:color="auto" w:fill="FFFFFF"/>
        </w:rPr>
      </w:pPr>
      <w:r w:rsidRPr="0069661B">
        <w:rPr>
          <w:rFonts w:ascii="Times New Roman" w:hAnsi="Times New Roman" w:cs="Times New Roman"/>
          <w:color w:val="222222"/>
          <w:sz w:val="24"/>
          <w:szCs w:val="24"/>
          <w:shd w:val="clear" w:color="auto" w:fill="FFFFFF"/>
        </w:rPr>
        <w:t>Naeem, M. A., Appiah, M., Karim, S., &amp; Yarovaya, L. (2023). What abates environmental efficiency in African economies? Exploring the influence of infrastructure, industrialization, and innovation. </w:t>
      </w:r>
      <w:r w:rsidRPr="0069661B">
        <w:rPr>
          <w:rFonts w:ascii="Times New Roman" w:hAnsi="Times New Roman" w:cs="Times New Roman"/>
          <w:i/>
          <w:iCs/>
          <w:color w:val="222222"/>
          <w:sz w:val="24"/>
          <w:szCs w:val="24"/>
          <w:shd w:val="clear" w:color="auto" w:fill="FFFFFF"/>
        </w:rPr>
        <w:t>Technological Forecasting and Social Change</w:t>
      </w:r>
      <w:r w:rsidRPr="0069661B">
        <w:rPr>
          <w:rFonts w:ascii="Times New Roman" w:hAnsi="Times New Roman" w:cs="Times New Roman"/>
          <w:color w:val="222222"/>
          <w:sz w:val="24"/>
          <w:szCs w:val="24"/>
          <w:shd w:val="clear" w:color="auto" w:fill="FFFFFF"/>
        </w:rPr>
        <w:t>, </w:t>
      </w:r>
      <w:r w:rsidRPr="0069661B">
        <w:rPr>
          <w:rFonts w:ascii="Times New Roman" w:hAnsi="Times New Roman" w:cs="Times New Roman"/>
          <w:i/>
          <w:iCs/>
          <w:color w:val="222222"/>
          <w:sz w:val="24"/>
          <w:szCs w:val="24"/>
          <w:shd w:val="clear" w:color="auto" w:fill="FFFFFF"/>
        </w:rPr>
        <w:t>186</w:t>
      </w:r>
      <w:r w:rsidRPr="0069661B">
        <w:rPr>
          <w:rFonts w:ascii="Times New Roman" w:hAnsi="Times New Roman" w:cs="Times New Roman"/>
          <w:color w:val="222222"/>
          <w:sz w:val="24"/>
          <w:szCs w:val="24"/>
          <w:shd w:val="clear" w:color="auto" w:fill="FFFFFF"/>
        </w:rPr>
        <w:t>, 122172.</w:t>
      </w:r>
    </w:p>
    <w:p w14:paraId="44F37781" w14:textId="77777777" w:rsidR="00B6038B" w:rsidRPr="0069661B" w:rsidRDefault="00B6038B" w:rsidP="00B6038B">
      <w:pPr>
        <w:pStyle w:val="EndNoteBibliography"/>
        <w:spacing w:after="0"/>
        <w:rPr>
          <w:rFonts w:ascii="Times New Roman" w:hAnsi="Times New Roman" w:cs="Times New Roman"/>
          <w:color w:val="222222"/>
          <w:sz w:val="24"/>
          <w:szCs w:val="24"/>
          <w:shd w:val="clear" w:color="auto" w:fill="FFFFFF"/>
        </w:rPr>
      </w:pPr>
    </w:p>
    <w:p w14:paraId="3E13FBD9" w14:textId="77777777" w:rsidR="00EF7F9D" w:rsidRPr="0069661B" w:rsidRDefault="00EF7F9D" w:rsidP="00EF7F9D">
      <w:pPr>
        <w:widowControl w:val="0"/>
        <w:autoSpaceDE w:val="0"/>
        <w:autoSpaceDN w:val="0"/>
        <w:adjustRightInd w:val="0"/>
        <w:spacing w:line="240" w:lineRule="auto"/>
        <w:jc w:val="both"/>
        <w:rPr>
          <w:rFonts w:ascii="Times New Roman" w:hAnsi="Times New Roman" w:cs="Times New Roman"/>
          <w:sz w:val="24"/>
          <w:szCs w:val="24"/>
        </w:rPr>
      </w:pPr>
      <w:r w:rsidRPr="0069661B">
        <w:rPr>
          <w:rFonts w:ascii="Times New Roman" w:hAnsi="Times New Roman" w:cs="Times New Roman"/>
          <w:noProof/>
          <w:sz w:val="24"/>
          <w:szCs w:val="24"/>
        </w:rPr>
        <w:t xml:space="preserve">Naeem, M. A., Farid, S., Ferrer, R., &amp; Shahzad, S. J. H. (2021a). Comparative efficiency of green and conventional bonds pre-and during COVID-19: An asymmetric multifractal detrended fluctuation analysis. </w:t>
      </w:r>
      <w:r w:rsidRPr="0069661B">
        <w:rPr>
          <w:rFonts w:ascii="Times New Roman" w:hAnsi="Times New Roman" w:cs="Times New Roman"/>
          <w:i/>
          <w:iCs/>
          <w:noProof/>
          <w:sz w:val="24"/>
          <w:szCs w:val="24"/>
        </w:rPr>
        <w:t>Energy Policy</w:t>
      </w:r>
      <w:r w:rsidRPr="0069661B">
        <w:rPr>
          <w:rFonts w:ascii="Times New Roman" w:hAnsi="Times New Roman" w:cs="Times New Roman"/>
          <w:noProof/>
          <w:sz w:val="24"/>
          <w:szCs w:val="24"/>
        </w:rPr>
        <w:t xml:space="preserve">, </w:t>
      </w:r>
      <w:r w:rsidRPr="0069661B">
        <w:rPr>
          <w:rFonts w:ascii="Times New Roman" w:hAnsi="Times New Roman" w:cs="Times New Roman"/>
          <w:i/>
          <w:iCs/>
          <w:noProof/>
          <w:sz w:val="24"/>
          <w:szCs w:val="24"/>
        </w:rPr>
        <w:t>153</w:t>
      </w:r>
      <w:r w:rsidRPr="0069661B">
        <w:rPr>
          <w:rFonts w:ascii="Times New Roman" w:hAnsi="Times New Roman" w:cs="Times New Roman"/>
          <w:noProof/>
          <w:sz w:val="24"/>
          <w:szCs w:val="24"/>
        </w:rPr>
        <w:t>, 112285.</w:t>
      </w:r>
    </w:p>
    <w:p w14:paraId="1FB17D7D" w14:textId="77777777"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t xml:space="preserve">Naeem, M. A., Rabbani, M. R., Karim, S., &amp; </w:t>
      </w:r>
      <w:proofErr w:type="spellStart"/>
      <w:r w:rsidRPr="0069661B">
        <w:rPr>
          <w:rFonts w:ascii="Times New Roman" w:hAnsi="Times New Roman" w:cs="Times New Roman"/>
          <w:sz w:val="24"/>
          <w:szCs w:val="24"/>
          <w:shd w:val="clear" w:color="auto" w:fill="FFFFFF"/>
        </w:rPr>
        <w:t>Billah</w:t>
      </w:r>
      <w:proofErr w:type="spellEnd"/>
      <w:r w:rsidRPr="0069661B">
        <w:rPr>
          <w:rFonts w:ascii="Times New Roman" w:hAnsi="Times New Roman" w:cs="Times New Roman"/>
          <w:sz w:val="24"/>
          <w:szCs w:val="24"/>
          <w:shd w:val="clear" w:color="auto" w:fill="FFFFFF"/>
        </w:rPr>
        <w:t xml:space="preserve">, S. M. (2021b). Religion vs ethics: hedge and </w:t>
      </w:r>
      <w:proofErr w:type="gramStart"/>
      <w:r w:rsidRPr="0069661B">
        <w:rPr>
          <w:rFonts w:ascii="Times New Roman" w:hAnsi="Times New Roman" w:cs="Times New Roman"/>
          <w:sz w:val="24"/>
          <w:szCs w:val="24"/>
          <w:shd w:val="clear" w:color="auto" w:fill="FFFFFF"/>
        </w:rPr>
        <w:t>safe haven</w:t>
      </w:r>
      <w:proofErr w:type="gramEnd"/>
      <w:r w:rsidRPr="0069661B">
        <w:rPr>
          <w:rFonts w:ascii="Times New Roman" w:hAnsi="Times New Roman" w:cs="Times New Roman"/>
          <w:sz w:val="24"/>
          <w:szCs w:val="24"/>
          <w:shd w:val="clear" w:color="auto" w:fill="FFFFFF"/>
        </w:rPr>
        <w:t xml:space="preserve"> properties of Sukuk and green bonds for stock markets pre-and during COVID-19. </w:t>
      </w:r>
      <w:r w:rsidRPr="0069661B">
        <w:rPr>
          <w:rFonts w:ascii="Times New Roman" w:hAnsi="Times New Roman" w:cs="Times New Roman"/>
          <w:i/>
          <w:iCs/>
          <w:sz w:val="24"/>
          <w:szCs w:val="24"/>
          <w:shd w:val="clear" w:color="auto" w:fill="FFFFFF"/>
        </w:rPr>
        <w:t>International Journal of Islamic and Middle Eastern Finance and Management</w:t>
      </w:r>
      <w:r w:rsidRPr="0069661B">
        <w:rPr>
          <w:rFonts w:ascii="Times New Roman" w:hAnsi="Times New Roman" w:cs="Times New Roman"/>
          <w:sz w:val="24"/>
          <w:szCs w:val="24"/>
          <w:shd w:val="clear" w:color="auto" w:fill="FFFFFF"/>
        </w:rPr>
        <w:t>.</w:t>
      </w:r>
    </w:p>
    <w:p w14:paraId="51BF6C89"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noProof/>
          <w:sz w:val="24"/>
          <w:szCs w:val="24"/>
        </w:rPr>
        <w:t xml:space="preserve">Nguyen, L. H., Nguyen, L. X. D., Tan, L. (2020a). Tail risk connectedness between US industries. </w:t>
      </w:r>
      <w:r w:rsidRPr="0069661B">
        <w:rPr>
          <w:rFonts w:ascii="Times New Roman" w:hAnsi="Times New Roman" w:cs="Times New Roman"/>
          <w:i/>
          <w:noProof/>
          <w:sz w:val="24"/>
          <w:szCs w:val="24"/>
        </w:rPr>
        <w:t xml:space="preserve">International Journal of Finance and Economics, </w:t>
      </w:r>
      <w:r w:rsidRPr="0069661B">
        <w:rPr>
          <w:rFonts w:ascii="Times New Roman" w:hAnsi="Times New Roman" w:cs="Times New Roman"/>
          <w:sz w:val="24"/>
          <w:szCs w:val="24"/>
        </w:rPr>
        <w:t>DOI: 10.1002/ijfe.1979</w:t>
      </w:r>
    </w:p>
    <w:p w14:paraId="37B3B43D" w14:textId="0E94E2F0"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rPr>
        <w:t xml:space="preserve">Nguyen, T. T. H., Naeem, M. A., </w:t>
      </w:r>
      <w:proofErr w:type="spellStart"/>
      <w:r w:rsidRPr="0069661B">
        <w:rPr>
          <w:rFonts w:ascii="Times New Roman" w:hAnsi="Times New Roman" w:cs="Times New Roman"/>
          <w:sz w:val="24"/>
          <w:szCs w:val="24"/>
        </w:rPr>
        <w:t>Balli</w:t>
      </w:r>
      <w:proofErr w:type="spellEnd"/>
      <w:r w:rsidRPr="0069661B">
        <w:rPr>
          <w:rFonts w:ascii="Times New Roman" w:hAnsi="Times New Roman" w:cs="Times New Roman"/>
          <w:sz w:val="24"/>
          <w:szCs w:val="24"/>
        </w:rPr>
        <w:t xml:space="preserve">, F., </w:t>
      </w:r>
      <w:proofErr w:type="spellStart"/>
      <w:r w:rsidRPr="0069661B">
        <w:rPr>
          <w:rFonts w:ascii="Times New Roman" w:hAnsi="Times New Roman" w:cs="Times New Roman"/>
          <w:sz w:val="24"/>
          <w:szCs w:val="24"/>
        </w:rPr>
        <w:t>Balli</w:t>
      </w:r>
      <w:proofErr w:type="spellEnd"/>
      <w:r w:rsidRPr="0069661B">
        <w:rPr>
          <w:rFonts w:ascii="Times New Roman" w:hAnsi="Times New Roman" w:cs="Times New Roman"/>
          <w:sz w:val="24"/>
          <w:szCs w:val="24"/>
        </w:rPr>
        <w:t>, H. O., &amp; Vo, X. V. (2020b). Time-frequency co</w:t>
      </w:r>
      <w:r w:rsidR="0073584E" w:rsidRPr="0069661B">
        <w:rPr>
          <w:rFonts w:ascii="Times New Roman" w:hAnsi="Times New Roman" w:cs="Times New Roman"/>
          <w:sz w:val="24"/>
          <w:szCs w:val="24"/>
        </w:rPr>
        <w:t>-</w:t>
      </w:r>
      <w:r w:rsidRPr="0069661B">
        <w:rPr>
          <w:rFonts w:ascii="Times New Roman" w:hAnsi="Times New Roman" w:cs="Times New Roman"/>
          <w:sz w:val="24"/>
          <w:szCs w:val="24"/>
        </w:rPr>
        <w:t xml:space="preserve">movement among green bonds, stocks, commodities, clean energy, and conventional bonds. </w:t>
      </w:r>
      <w:r w:rsidRPr="0069661B">
        <w:rPr>
          <w:rFonts w:ascii="Times New Roman" w:hAnsi="Times New Roman" w:cs="Times New Roman"/>
          <w:i/>
          <w:iCs/>
          <w:sz w:val="24"/>
          <w:szCs w:val="24"/>
        </w:rPr>
        <w:t>Finance Research Letters</w:t>
      </w:r>
      <w:r w:rsidRPr="0069661B">
        <w:rPr>
          <w:rFonts w:ascii="Times New Roman" w:hAnsi="Times New Roman" w:cs="Times New Roman"/>
          <w:sz w:val="24"/>
          <w:szCs w:val="24"/>
        </w:rPr>
        <w:t>, 101739.</w:t>
      </w:r>
    </w:p>
    <w:p w14:paraId="00D2C14C" w14:textId="304E2540" w:rsidR="00B6038B" w:rsidRPr="0069661B" w:rsidRDefault="00B6038B" w:rsidP="00EF7F9D">
      <w:pPr>
        <w:jc w:val="both"/>
        <w:rPr>
          <w:rFonts w:ascii="Times New Roman" w:hAnsi="Times New Roman" w:cs="Times New Roman"/>
          <w:sz w:val="24"/>
          <w:szCs w:val="24"/>
        </w:rPr>
      </w:pPr>
      <w:r w:rsidRPr="0069661B">
        <w:rPr>
          <w:rFonts w:ascii="Times New Roman" w:hAnsi="Times New Roman" w:cs="Times New Roman"/>
          <w:sz w:val="24"/>
          <w:szCs w:val="24"/>
        </w:rPr>
        <w:t xml:space="preserve">Pham, L., Karim, S., Naeem, M. A., &amp; Long, C. (2022). A tale of two tails among carbon prices, green and non-green cryptocurrencies. </w:t>
      </w:r>
      <w:r w:rsidRPr="0069661B">
        <w:rPr>
          <w:rFonts w:ascii="Times New Roman" w:hAnsi="Times New Roman" w:cs="Times New Roman"/>
          <w:i/>
          <w:sz w:val="24"/>
          <w:szCs w:val="24"/>
        </w:rPr>
        <w:t>International Review of Financial Analysis</w:t>
      </w:r>
      <w:r w:rsidRPr="0069661B">
        <w:rPr>
          <w:rFonts w:ascii="Times New Roman" w:hAnsi="Times New Roman" w:cs="Times New Roman"/>
          <w:sz w:val="24"/>
          <w:szCs w:val="24"/>
        </w:rPr>
        <w:t>,</w:t>
      </w:r>
      <w:r w:rsidRPr="0069661B">
        <w:rPr>
          <w:rFonts w:ascii="Times New Roman" w:hAnsi="Times New Roman" w:cs="Times New Roman"/>
          <w:i/>
          <w:sz w:val="24"/>
          <w:szCs w:val="24"/>
        </w:rPr>
        <w:t xml:space="preserve"> 82</w:t>
      </w:r>
      <w:r w:rsidRPr="0069661B">
        <w:rPr>
          <w:rFonts w:ascii="Times New Roman" w:hAnsi="Times New Roman" w:cs="Times New Roman"/>
          <w:sz w:val="24"/>
          <w:szCs w:val="24"/>
        </w:rPr>
        <w:t>, 102139.</w:t>
      </w:r>
    </w:p>
    <w:p w14:paraId="0416544B"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rPr>
        <w:t xml:space="preserve">Saeed, T., </w:t>
      </w:r>
      <w:proofErr w:type="spellStart"/>
      <w:r w:rsidRPr="0069661B">
        <w:rPr>
          <w:rFonts w:ascii="Times New Roman" w:hAnsi="Times New Roman" w:cs="Times New Roman"/>
          <w:sz w:val="24"/>
          <w:szCs w:val="24"/>
        </w:rPr>
        <w:t>Bouri</w:t>
      </w:r>
      <w:proofErr w:type="spellEnd"/>
      <w:r w:rsidRPr="0069661B">
        <w:rPr>
          <w:rFonts w:ascii="Times New Roman" w:hAnsi="Times New Roman" w:cs="Times New Roman"/>
          <w:sz w:val="24"/>
          <w:szCs w:val="24"/>
        </w:rPr>
        <w:t xml:space="preserve">, E., &amp; </w:t>
      </w:r>
      <w:proofErr w:type="spellStart"/>
      <w:r w:rsidRPr="0069661B">
        <w:rPr>
          <w:rFonts w:ascii="Times New Roman" w:hAnsi="Times New Roman" w:cs="Times New Roman"/>
          <w:sz w:val="24"/>
          <w:szCs w:val="24"/>
        </w:rPr>
        <w:t>Alsulami</w:t>
      </w:r>
      <w:proofErr w:type="spellEnd"/>
      <w:r w:rsidRPr="0069661B">
        <w:rPr>
          <w:rFonts w:ascii="Times New Roman" w:hAnsi="Times New Roman" w:cs="Times New Roman"/>
          <w:sz w:val="24"/>
          <w:szCs w:val="24"/>
        </w:rPr>
        <w:t xml:space="preserve">, H. (2021). Extreme return connectedness and its determinants between clean/green and dirty energy investments. </w:t>
      </w:r>
      <w:r w:rsidRPr="0069661B">
        <w:rPr>
          <w:rFonts w:ascii="Times New Roman" w:hAnsi="Times New Roman" w:cs="Times New Roman"/>
          <w:i/>
          <w:iCs/>
          <w:sz w:val="24"/>
          <w:szCs w:val="24"/>
        </w:rPr>
        <w:t>Energy Economics</w:t>
      </w:r>
      <w:r w:rsidRPr="0069661B">
        <w:rPr>
          <w:rFonts w:ascii="Times New Roman" w:hAnsi="Times New Roman" w:cs="Times New Roman"/>
          <w:sz w:val="24"/>
          <w:szCs w:val="24"/>
        </w:rPr>
        <w:t>, 105017 https://doi.org/10.1016/j.eneco.2020.105017.</w:t>
      </w:r>
    </w:p>
    <w:p w14:paraId="67AC6356" w14:textId="77777777"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t xml:space="preserve">Shahzad, S. J. H., Ferrer, R., </w:t>
      </w:r>
      <w:proofErr w:type="spellStart"/>
      <w:r w:rsidRPr="0069661B">
        <w:rPr>
          <w:rFonts w:ascii="Times New Roman" w:hAnsi="Times New Roman" w:cs="Times New Roman"/>
          <w:sz w:val="24"/>
          <w:szCs w:val="24"/>
          <w:shd w:val="clear" w:color="auto" w:fill="FFFFFF"/>
        </w:rPr>
        <w:t>Ballester</w:t>
      </w:r>
      <w:proofErr w:type="spellEnd"/>
      <w:r w:rsidRPr="0069661B">
        <w:rPr>
          <w:rFonts w:ascii="Times New Roman" w:hAnsi="Times New Roman" w:cs="Times New Roman"/>
          <w:sz w:val="24"/>
          <w:szCs w:val="24"/>
          <w:shd w:val="clear" w:color="auto" w:fill="FFFFFF"/>
        </w:rPr>
        <w:t>, L., &amp; Umar, Z. (2017). Risk transmission between Islamic and conventional stock markets: A return and volatility spillover analysis. </w:t>
      </w:r>
      <w:r w:rsidRPr="0069661B">
        <w:rPr>
          <w:rFonts w:ascii="Times New Roman" w:hAnsi="Times New Roman" w:cs="Times New Roman"/>
          <w:i/>
          <w:iCs/>
          <w:sz w:val="24"/>
          <w:szCs w:val="24"/>
          <w:shd w:val="clear" w:color="auto" w:fill="FFFFFF"/>
        </w:rPr>
        <w:t>International Review of Financial Analysis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52</w:t>
      </w:r>
      <w:r w:rsidRPr="0069661B">
        <w:rPr>
          <w:rFonts w:ascii="Times New Roman" w:hAnsi="Times New Roman" w:cs="Times New Roman"/>
          <w:sz w:val="24"/>
          <w:szCs w:val="24"/>
          <w:shd w:val="clear" w:color="auto" w:fill="FFFFFF"/>
        </w:rPr>
        <w:t>, 9-26.</w:t>
      </w:r>
    </w:p>
    <w:p w14:paraId="5B6BCCE2" w14:textId="77777777"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lastRenderedPageBreak/>
        <w:t xml:space="preserve">Shahzad, S. J. H., </w:t>
      </w:r>
      <w:proofErr w:type="spellStart"/>
      <w:r w:rsidRPr="0069661B">
        <w:rPr>
          <w:rFonts w:ascii="Times New Roman" w:hAnsi="Times New Roman" w:cs="Times New Roman"/>
          <w:sz w:val="24"/>
          <w:szCs w:val="24"/>
          <w:shd w:val="clear" w:color="auto" w:fill="FFFFFF"/>
        </w:rPr>
        <w:t>Aloui</w:t>
      </w:r>
      <w:proofErr w:type="spellEnd"/>
      <w:r w:rsidRPr="0069661B">
        <w:rPr>
          <w:rFonts w:ascii="Times New Roman" w:hAnsi="Times New Roman" w:cs="Times New Roman"/>
          <w:sz w:val="24"/>
          <w:szCs w:val="24"/>
          <w:shd w:val="clear" w:color="auto" w:fill="FFFFFF"/>
        </w:rPr>
        <w:t xml:space="preserve">, C., </w:t>
      </w:r>
      <w:proofErr w:type="spellStart"/>
      <w:r w:rsidRPr="0069661B">
        <w:rPr>
          <w:rFonts w:ascii="Times New Roman" w:hAnsi="Times New Roman" w:cs="Times New Roman"/>
          <w:sz w:val="24"/>
          <w:szCs w:val="24"/>
          <w:shd w:val="clear" w:color="auto" w:fill="FFFFFF"/>
        </w:rPr>
        <w:t>Jammazi</w:t>
      </w:r>
      <w:proofErr w:type="spellEnd"/>
      <w:r w:rsidRPr="0069661B">
        <w:rPr>
          <w:rFonts w:ascii="Times New Roman" w:hAnsi="Times New Roman" w:cs="Times New Roman"/>
          <w:sz w:val="24"/>
          <w:szCs w:val="24"/>
          <w:shd w:val="clear" w:color="auto" w:fill="FFFFFF"/>
        </w:rPr>
        <w:t xml:space="preserve">, R., &amp; Shahbaz, M. (2019). Are Islamic bonds a good </w:t>
      </w:r>
      <w:proofErr w:type="gramStart"/>
      <w:r w:rsidRPr="0069661B">
        <w:rPr>
          <w:rFonts w:ascii="Times New Roman" w:hAnsi="Times New Roman" w:cs="Times New Roman"/>
          <w:sz w:val="24"/>
          <w:szCs w:val="24"/>
          <w:shd w:val="clear" w:color="auto" w:fill="FFFFFF"/>
        </w:rPr>
        <w:t>safe haven</w:t>
      </w:r>
      <w:proofErr w:type="gramEnd"/>
      <w:r w:rsidRPr="0069661B">
        <w:rPr>
          <w:rFonts w:ascii="Times New Roman" w:hAnsi="Times New Roman" w:cs="Times New Roman"/>
          <w:sz w:val="24"/>
          <w:szCs w:val="24"/>
          <w:shd w:val="clear" w:color="auto" w:fill="FFFFFF"/>
        </w:rPr>
        <w:t xml:space="preserve"> for stocks? Implications for portfolio management in a time-varying regime-switching copula framework. </w:t>
      </w:r>
      <w:r w:rsidRPr="0069661B">
        <w:rPr>
          <w:rFonts w:ascii="Times New Roman" w:hAnsi="Times New Roman" w:cs="Times New Roman"/>
          <w:i/>
          <w:iCs/>
          <w:sz w:val="24"/>
          <w:szCs w:val="24"/>
          <w:shd w:val="clear" w:color="auto" w:fill="FFFFFF"/>
        </w:rPr>
        <w:t>Applied Economics</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51</w:t>
      </w:r>
      <w:r w:rsidRPr="0069661B">
        <w:rPr>
          <w:rFonts w:ascii="Times New Roman" w:hAnsi="Times New Roman" w:cs="Times New Roman"/>
          <w:sz w:val="24"/>
          <w:szCs w:val="24"/>
          <w:shd w:val="clear" w:color="auto" w:fill="FFFFFF"/>
        </w:rPr>
        <w:t>(3), 219-238.</w:t>
      </w:r>
    </w:p>
    <w:p w14:paraId="519FD07E"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noProof/>
          <w:sz w:val="24"/>
          <w:szCs w:val="24"/>
        </w:rPr>
        <w:t xml:space="preserve">Shahzad, S. J. H., Bouri, E., Kristoufek, L., Saeed, T. (2021). Impact of the COVID-19 outbreak on the US equity sectors: evidence from quantile return spillovers. </w:t>
      </w:r>
      <w:r w:rsidRPr="0069661B">
        <w:rPr>
          <w:rFonts w:ascii="Times New Roman" w:hAnsi="Times New Roman" w:cs="Times New Roman"/>
          <w:i/>
          <w:noProof/>
          <w:sz w:val="24"/>
          <w:szCs w:val="24"/>
        </w:rPr>
        <w:t xml:space="preserve">Financial Innovation, </w:t>
      </w:r>
      <w:r w:rsidRPr="0069661B">
        <w:rPr>
          <w:rFonts w:ascii="Times New Roman" w:hAnsi="Times New Roman" w:cs="Times New Roman"/>
          <w:noProof/>
          <w:sz w:val="24"/>
          <w:szCs w:val="24"/>
        </w:rPr>
        <w:t xml:space="preserve">7(14), 1-23. </w:t>
      </w:r>
    </w:p>
    <w:p w14:paraId="3FD1AFFB" w14:textId="77777777" w:rsidR="004E5F95" w:rsidRPr="0069661B" w:rsidRDefault="004E5F95" w:rsidP="004E5F95">
      <w:pPr>
        <w:spacing w:after="0" w:line="360" w:lineRule="auto"/>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Sharma, G. D., Tiwari, A. K., Talan, G., &amp; Jain, M. (2021). Revisiting the sustainable versus conventional investment dilemma in COVID-19 times. </w:t>
      </w:r>
      <w:r w:rsidRPr="0069661B">
        <w:rPr>
          <w:rFonts w:ascii="Times New Roman" w:hAnsi="Times New Roman" w:cs="Times New Roman"/>
          <w:i/>
          <w:iCs/>
          <w:color w:val="0000FF"/>
          <w:sz w:val="24"/>
          <w:szCs w:val="24"/>
          <w:shd w:val="clear" w:color="auto" w:fill="FFFFFF"/>
        </w:rPr>
        <w:t>Energy Policy</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156</w:t>
      </w:r>
      <w:r w:rsidRPr="0069661B">
        <w:rPr>
          <w:rFonts w:ascii="Times New Roman" w:hAnsi="Times New Roman" w:cs="Times New Roman"/>
          <w:color w:val="0000FF"/>
          <w:sz w:val="24"/>
          <w:szCs w:val="24"/>
          <w:shd w:val="clear" w:color="auto" w:fill="FFFFFF"/>
        </w:rPr>
        <w:t>, 112467.</w:t>
      </w:r>
    </w:p>
    <w:p w14:paraId="7B0E5C2B"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70F2DB20" w14:textId="77777777" w:rsidR="00EF7F9D" w:rsidRPr="0069661B" w:rsidRDefault="00EF7F9D" w:rsidP="00EF7F9D">
      <w:pPr>
        <w:widowControl w:val="0"/>
        <w:autoSpaceDE w:val="0"/>
        <w:autoSpaceDN w:val="0"/>
        <w:adjustRightInd w:val="0"/>
        <w:spacing w:before="40" w:after="40" w:line="240" w:lineRule="auto"/>
        <w:jc w:val="both"/>
        <w:rPr>
          <w:rFonts w:ascii="Times New Roman" w:hAnsi="Times New Roman" w:cs="Times New Roman"/>
          <w:noProof/>
          <w:sz w:val="24"/>
          <w:szCs w:val="24"/>
        </w:rPr>
      </w:pPr>
      <w:r w:rsidRPr="0069661B">
        <w:rPr>
          <w:rFonts w:ascii="Times New Roman" w:hAnsi="Times New Roman" w:cs="Times New Roman"/>
          <w:noProof/>
          <w:sz w:val="24"/>
          <w:szCs w:val="24"/>
        </w:rPr>
        <w:t xml:space="preserve">Tiwari, A. K., Mishra, B. R., &amp; Solarin, S. A. (2021). Analysing the spillovers between crude oil prices, stock prices and metal prices: The importance of frequency domain in USA. </w:t>
      </w:r>
      <w:r w:rsidRPr="0069661B">
        <w:rPr>
          <w:rFonts w:ascii="Times New Roman" w:hAnsi="Times New Roman" w:cs="Times New Roman"/>
          <w:i/>
          <w:iCs/>
          <w:noProof/>
          <w:sz w:val="24"/>
          <w:szCs w:val="24"/>
        </w:rPr>
        <w:t>Energy</w:t>
      </w:r>
      <w:r w:rsidRPr="0069661B">
        <w:rPr>
          <w:rFonts w:ascii="Times New Roman" w:hAnsi="Times New Roman" w:cs="Times New Roman"/>
          <w:noProof/>
          <w:sz w:val="24"/>
          <w:szCs w:val="24"/>
        </w:rPr>
        <w:t xml:space="preserve">, </w:t>
      </w:r>
      <w:r w:rsidRPr="0069661B">
        <w:rPr>
          <w:rFonts w:ascii="Times New Roman" w:hAnsi="Times New Roman" w:cs="Times New Roman"/>
          <w:i/>
          <w:iCs/>
          <w:noProof/>
          <w:sz w:val="24"/>
          <w:szCs w:val="24"/>
        </w:rPr>
        <w:t>220</w:t>
      </w:r>
      <w:r w:rsidRPr="0069661B">
        <w:rPr>
          <w:rFonts w:ascii="Times New Roman" w:hAnsi="Times New Roman" w:cs="Times New Roman"/>
          <w:noProof/>
          <w:sz w:val="24"/>
          <w:szCs w:val="24"/>
        </w:rPr>
        <w:t>, 119732.</w:t>
      </w:r>
    </w:p>
    <w:p w14:paraId="2FCD3E0E" w14:textId="77777777" w:rsidR="00EF7F9D" w:rsidRPr="0069661B" w:rsidRDefault="00EF7F9D" w:rsidP="00EF7F9D">
      <w:pPr>
        <w:jc w:val="both"/>
        <w:rPr>
          <w:rFonts w:ascii="Times New Roman" w:hAnsi="Times New Roman" w:cs="Times New Roman"/>
          <w:sz w:val="24"/>
          <w:szCs w:val="24"/>
          <w:shd w:val="clear" w:color="auto" w:fill="FFFFFF"/>
        </w:rPr>
      </w:pPr>
    </w:p>
    <w:p w14:paraId="6FD27A6C" w14:textId="77777777" w:rsidR="00EF7F9D" w:rsidRPr="0069661B" w:rsidRDefault="00EF7F9D" w:rsidP="00EF7F9D">
      <w:pPr>
        <w:jc w:val="both"/>
        <w:rPr>
          <w:rFonts w:ascii="Times New Roman" w:hAnsi="Times New Roman" w:cs="Times New Roman"/>
          <w:sz w:val="24"/>
          <w:szCs w:val="24"/>
          <w:shd w:val="clear" w:color="auto" w:fill="FFFFFF"/>
        </w:rPr>
      </w:pPr>
      <w:r w:rsidRPr="0069661B">
        <w:rPr>
          <w:rFonts w:ascii="Times New Roman" w:hAnsi="Times New Roman" w:cs="Times New Roman"/>
          <w:sz w:val="24"/>
          <w:szCs w:val="24"/>
          <w:shd w:val="clear" w:color="auto" w:fill="FFFFFF"/>
        </w:rPr>
        <w:t>Umar, M., Farid, S., &amp; Naeem, M. A. (2022). Time-frequency connectedness among clean-energy stocks and fossil fuel markets: Comparison between financial, oil and pandemic crisis. </w:t>
      </w:r>
      <w:r w:rsidRPr="0069661B">
        <w:rPr>
          <w:rFonts w:ascii="Times New Roman" w:hAnsi="Times New Roman" w:cs="Times New Roman"/>
          <w:i/>
          <w:iCs/>
          <w:sz w:val="24"/>
          <w:szCs w:val="24"/>
          <w:shd w:val="clear" w:color="auto" w:fill="FFFFFF"/>
        </w:rPr>
        <w:t>Energy</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240</w:t>
      </w:r>
      <w:r w:rsidRPr="0069661B">
        <w:rPr>
          <w:rFonts w:ascii="Times New Roman" w:hAnsi="Times New Roman" w:cs="Times New Roman"/>
          <w:sz w:val="24"/>
          <w:szCs w:val="24"/>
          <w:shd w:val="clear" w:color="auto" w:fill="FFFFFF"/>
        </w:rPr>
        <w:t>, 122702.</w:t>
      </w:r>
    </w:p>
    <w:p w14:paraId="78AF6B2E"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Wang, G. J., </w:t>
      </w:r>
      <w:proofErr w:type="spellStart"/>
      <w:r w:rsidRPr="0069661B">
        <w:rPr>
          <w:rFonts w:ascii="Times New Roman" w:hAnsi="Times New Roman" w:cs="Times New Roman"/>
          <w:sz w:val="24"/>
          <w:szCs w:val="24"/>
        </w:rPr>
        <w:t>Xie</w:t>
      </w:r>
      <w:proofErr w:type="spellEnd"/>
      <w:r w:rsidRPr="0069661B">
        <w:rPr>
          <w:rFonts w:ascii="Times New Roman" w:hAnsi="Times New Roman" w:cs="Times New Roman"/>
          <w:sz w:val="24"/>
          <w:szCs w:val="24"/>
        </w:rPr>
        <w:t xml:space="preserve">, C., He, K., &amp; Stanley, H. E. (2017). Extreme risk spillover network: Application to financial institutions. </w:t>
      </w:r>
      <w:r w:rsidRPr="0069661B">
        <w:rPr>
          <w:rFonts w:ascii="Times New Roman" w:hAnsi="Times New Roman" w:cs="Times New Roman"/>
          <w:i/>
          <w:sz w:val="24"/>
          <w:szCs w:val="24"/>
        </w:rPr>
        <w:t>Quantitative Finance</w:t>
      </w:r>
      <w:r w:rsidRPr="0069661B">
        <w:rPr>
          <w:rFonts w:ascii="Times New Roman" w:hAnsi="Times New Roman" w:cs="Times New Roman"/>
          <w:sz w:val="24"/>
          <w:szCs w:val="24"/>
        </w:rPr>
        <w:t>, 17(9), 1417–1433.</w:t>
      </w:r>
    </w:p>
    <w:p w14:paraId="7CAFBDEA"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shd w:val="clear" w:color="auto" w:fill="FFFFFF"/>
        </w:rPr>
      </w:pPr>
    </w:p>
    <w:p w14:paraId="7D15C419"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Wang, D., Li, P., &amp; Huang, L. (2020). Volatility spillovers between major international financial markets during the COVID-19 pandemic. </w:t>
      </w:r>
      <w:r w:rsidRPr="0069661B">
        <w:rPr>
          <w:rFonts w:ascii="Times New Roman" w:hAnsi="Times New Roman" w:cs="Times New Roman"/>
          <w:i/>
          <w:iCs/>
          <w:sz w:val="24"/>
          <w:szCs w:val="24"/>
          <w:shd w:val="clear" w:color="auto" w:fill="FFFFFF"/>
        </w:rPr>
        <w:t>Available at SSRN 3645946</w:t>
      </w:r>
      <w:r w:rsidRPr="0069661B">
        <w:rPr>
          <w:rFonts w:ascii="Times New Roman" w:hAnsi="Times New Roman" w:cs="Times New Roman"/>
          <w:sz w:val="24"/>
          <w:szCs w:val="24"/>
          <w:shd w:val="clear" w:color="auto" w:fill="FFFFFF"/>
        </w:rPr>
        <w:t>.</w:t>
      </w:r>
    </w:p>
    <w:p w14:paraId="4710EA4B"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6EF918C8"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r w:rsidRPr="0069661B">
        <w:rPr>
          <w:rFonts w:ascii="Times New Roman" w:hAnsi="Times New Roman" w:cs="Times New Roman"/>
          <w:sz w:val="24"/>
          <w:szCs w:val="24"/>
        </w:rPr>
        <w:t xml:space="preserve">Xu, Q., Liu, X., Jiang, C., &amp; Yu, K. (2016). Quantile autoregression neural network model with applications to evaluating value at risk. </w:t>
      </w:r>
      <w:r w:rsidRPr="0069661B">
        <w:rPr>
          <w:rFonts w:ascii="Times New Roman" w:hAnsi="Times New Roman" w:cs="Times New Roman"/>
          <w:i/>
          <w:sz w:val="24"/>
          <w:szCs w:val="24"/>
        </w:rPr>
        <w:t>Applied Soft Computing</w:t>
      </w:r>
      <w:r w:rsidRPr="0069661B">
        <w:rPr>
          <w:rFonts w:ascii="Times New Roman" w:hAnsi="Times New Roman" w:cs="Times New Roman"/>
          <w:sz w:val="24"/>
          <w:szCs w:val="24"/>
        </w:rPr>
        <w:t>, 49, 1–</w:t>
      </w:r>
      <w:proofErr w:type="gramStart"/>
      <w:r w:rsidRPr="0069661B">
        <w:rPr>
          <w:rFonts w:ascii="Times New Roman" w:hAnsi="Times New Roman" w:cs="Times New Roman"/>
          <w:sz w:val="24"/>
          <w:szCs w:val="24"/>
        </w:rPr>
        <w:t>12</w:t>
      </w:r>
      <w:proofErr w:type="gramEnd"/>
    </w:p>
    <w:p w14:paraId="6538B32E" w14:textId="77777777" w:rsidR="00EF7F9D" w:rsidRPr="0069661B" w:rsidRDefault="00EF7F9D" w:rsidP="00EF7F9D">
      <w:pPr>
        <w:autoSpaceDE w:val="0"/>
        <w:autoSpaceDN w:val="0"/>
        <w:adjustRightInd w:val="0"/>
        <w:spacing w:before="40" w:after="40" w:line="240" w:lineRule="auto"/>
        <w:jc w:val="both"/>
        <w:rPr>
          <w:rFonts w:ascii="Times New Roman" w:hAnsi="Times New Roman" w:cs="Times New Roman"/>
          <w:sz w:val="24"/>
          <w:szCs w:val="24"/>
        </w:rPr>
      </w:pPr>
    </w:p>
    <w:p w14:paraId="22F7CD31" w14:textId="424D5C74" w:rsidR="004E5F95" w:rsidRPr="0069661B" w:rsidRDefault="004E5F95" w:rsidP="004E5F95">
      <w:pPr>
        <w:spacing w:after="0" w:line="360" w:lineRule="auto"/>
        <w:jc w:val="both"/>
        <w:rPr>
          <w:rFonts w:ascii="Times New Roman" w:hAnsi="Times New Roman" w:cs="Times New Roman"/>
          <w:color w:val="0000FF"/>
          <w:sz w:val="24"/>
          <w:szCs w:val="24"/>
        </w:rPr>
      </w:pPr>
      <w:proofErr w:type="spellStart"/>
      <w:r w:rsidRPr="0069661B">
        <w:rPr>
          <w:rFonts w:ascii="Times New Roman" w:hAnsi="Times New Roman" w:cs="Times New Roman"/>
          <w:color w:val="0000FF"/>
          <w:sz w:val="24"/>
          <w:szCs w:val="24"/>
          <w:shd w:val="clear" w:color="auto" w:fill="FFFFFF"/>
        </w:rPr>
        <w:t>Xuefeng</w:t>
      </w:r>
      <w:proofErr w:type="spellEnd"/>
      <w:r w:rsidRPr="0069661B">
        <w:rPr>
          <w:rFonts w:ascii="Times New Roman" w:hAnsi="Times New Roman" w:cs="Times New Roman"/>
          <w:color w:val="0000FF"/>
          <w:sz w:val="24"/>
          <w:szCs w:val="24"/>
          <w:shd w:val="clear" w:color="auto" w:fill="FFFFFF"/>
        </w:rPr>
        <w:t xml:space="preserve">, Z., Razzaq, A., </w:t>
      </w:r>
      <w:proofErr w:type="spellStart"/>
      <w:r w:rsidRPr="0069661B">
        <w:rPr>
          <w:rFonts w:ascii="Times New Roman" w:hAnsi="Times New Roman" w:cs="Times New Roman"/>
          <w:color w:val="0000FF"/>
          <w:sz w:val="24"/>
          <w:szCs w:val="24"/>
          <w:shd w:val="clear" w:color="auto" w:fill="FFFFFF"/>
        </w:rPr>
        <w:t>Gokmenoglu</w:t>
      </w:r>
      <w:proofErr w:type="spellEnd"/>
      <w:r w:rsidRPr="0069661B">
        <w:rPr>
          <w:rFonts w:ascii="Times New Roman" w:hAnsi="Times New Roman" w:cs="Times New Roman"/>
          <w:color w:val="0000FF"/>
          <w:sz w:val="24"/>
          <w:szCs w:val="24"/>
          <w:shd w:val="clear" w:color="auto" w:fill="FFFFFF"/>
        </w:rPr>
        <w:t>, K. K., &amp; Rehman, F. U. (2022). Time varying interdependency between COVID-19, tourism market, oil prices, and sustainable climate in United States: Evidence from advance wavelet coherence approach. </w:t>
      </w:r>
      <w:r w:rsidRPr="0069661B">
        <w:rPr>
          <w:rFonts w:ascii="Times New Roman" w:hAnsi="Times New Roman" w:cs="Times New Roman"/>
          <w:i/>
          <w:iCs/>
          <w:color w:val="0000FF"/>
          <w:sz w:val="24"/>
          <w:szCs w:val="24"/>
          <w:shd w:val="clear" w:color="auto" w:fill="FFFFFF"/>
        </w:rPr>
        <w:t>Economic Research-</w:t>
      </w:r>
      <w:proofErr w:type="spellStart"/>
      <w:r w:rsidRPr="0069661B">
        <w:rPr>
          <w:rFonts w:ascii="Times New Roman" w:hAnsi="Times New Roman" w:cs="Times New Roman"/>
          <w:i/>
          <w:iCs/>
          <w:color w:val="0000FF"/>
          <w:sz w:val="24"/>
          <w:szCs w:val="24"/>
          <w:shd w:val="clear" w:color="auto" w:fill="FFFFFF"/>
        </w:rPr>
        <w:t>Ekonomska</w:t>
      </w:r>
      <w:proofErr w:type="spellEnd"/>
      <w:r w:rsidRPr="0069661B">
        <w:rPr>
          <w:rFonts w:ascii="Times New Roman" w:hAnsi="Times New Roman" w:cs="Times New Roman"/>
          <w:i/>
          <w:iCs/>
          <w:color w:val="0000FF"/>
          <w:sz w:val="24"/>
          <w:szCs w:val="24"/>
          <w:shd w:val="clear" w:color="auto" w:fill="FFFFFF"/>
        </w:rPr>
        <w:t xml:space="preserve"> </w:t>
      </w:r>
      <w:proofErr w:type="spellStart"/>
      <w:r w:rsidRPr="0069661B">
        <w:rPr>
          <w:rFonts w:ascii="Times New Roman" w:hAnsi="Times New Roman" w:cs="Times New Roman"/>
          <w:i/>
          <w:iCs/>
          <w:color w:val="0000FF"/>
          <w:sz w:val="24"/>
          <w:szCs w:val="24"/>
          <w:shd w:val="clear" w:color="auto" w:fill="FFFFFF"/>
        </w:rPr>
        <w:t>Istraživanja</w:t>
      </w:r>
      <w:proofErr w:type="spellEnd"/>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35</w:t>
      </w:r>
      <w:r w:rsidRPr="0069661B">
        <w:rPr>
          <w:rFonts w:ascii="Times New Roman" w:hAnsi="Times New Roman" w:cs="Times New Roman"/>
          <w:color w:val="0000FF"/>
          <w:sz w:val="24"/>
          <w:szCs w:val="24"/>
          <w:shd w:val="clear" w:color="auto" w:fill="FFFFFF"/>
        </w:rPr>
        <w:t>(1), 3337-3359.</w:t>
      </w:r>
    </w:p>
    <w:p w14:paraId="4B3ED5BC" w14:textId="4CBDA88B" w:rsidR="00EF7F9D" w:rsidRPr="0069661B" w:rsidRDefault="00EF7F9D" w:rsidP="00EF7F9D">
      <w:pPr>
        <w:jc w:val="both"/>
        <w:rPr>
          <w:rFonts w:ascii="Times New Roman" w:hAnsi="Times New Roman" w:cs="Times New Roman"/>
          <w:sz w:val="24"/>
          <w:szCs w:val="24"/>
          <w:shd w:val="clear" w:color="auto" w:fill="FFFFFF"/>
        </w:rPr>
      </w:pPr>
      <w:proofErr w:type="spellStart"/>
      <w:r w:rsidRPr="0069661B">
        <w:rPr>
          <w:rFonts w:ascii="Times New Roman" w:hAnsi="Times New Roman" w:cs="Times New Roman"/>
          <w:sz w:val="24"/>
          <w:szCs w:val="24"/>
          <w:shd w:val="clear" w:color="auto" w:fill="FFFFFF"/>
        </w:rPr>
        <w:t>Yarovaya</w:t>
      </w:r>
      <w:proofErr w:type="spellEnd"/>
      <w:r w:rsidRPr="0069661B">
        <w:rPr>
          <w:rFonts w:ascii="Times New Roman" w:hAnsi="Times New Roman" w:cs="Times New Roman"/>
          <w:sz w:val="24"/>
          <w:szCs w:val="24"/>
          <w:shd w:val="clear" w:color="auto" w:fill="FFFFFF"/>
        </w:rPr>
        <w:t xml:space="preserve">, L., </w:t>
      </w:r>
      <w:proofErr w:type="spellStart"/>
      <w:r w:rsidRPr="0069661B">
        <w:rPr>
          <w:rFonts w:ascii="Times New Roman" w:hAnsi="Times New Roman" w:cs="Times New Roman"/>
          <w:sz w:val="24"/>
          <w:szCs w:val="24"/>
          <w:shd w:val="clear" w:color="auto" w:fill="FFFFFF"/>
        </w:rPr>
        <w:t>Matkovskyy</w:t>
      </w:r>
      <w:proofErr w:type="spellEnd"/>
      <w:r w:rsidRPr="0069661B">
        <w:rPr>
          <w:rFonts w:ascii="Times New Roman" w:hAnsi="Times New Roman" w:cs="Times New Roman"/>
          <w:sz w:val="24"/>
          <w:szCs w:val="24"/>
          <w:shd w:val="clear" w:color="auto" w:fill="FFFFFF"/>
        </w:rPr>
        <w:t>, R., &amp; Jalan, A. (2022). The COVID-19 black swan crisis: Reaction and recovery of various financial markets. </w:t>
      </w:r>
      <w:r w:rsidRPr="0069661B">
        <w:rPr>
          <w:rFonts w:ascii="Times New Roman" w:hAnsi="Times New Roman" w:cs="Times New Roman"/>
          <w:i/>
          <w:iCs/>
          <w:sz w:val="24"/>
          <w:szCs w:val="24"/>
          <w:shd w:val="clear" w:color="auto" w:fill="FFFFFF"/>
        </w:rPr>
        <w:t>Research in International Business and Finance</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59</w:t>
      </w:r>
      <w:r w:rsidRPr="0069661B">
        <w:rPr>
          <w:rFonts w:ascii="Times New Roman" w:hAnsi="Times New Roman" w:cs="Times New Roman"/>
          <w:sz w:val="24"/>
          <w:szCs w:val="24"/>
          <w:shd w:val="clear" w:color="auto" w:fill="FFFFFF"/>
        </w:rPr>
        <w:t>, 101521.</w:t>
      </w:r>
    </w:p>
    <w:p w14:paraId="449A67F6" w14:textId="77777777" w:rsidR="00EF7F9D" w:rsidRPr="0069661B" w:rsidRDefault="00EF7F9D" w:rsidP="00EF7F9D">
      <w:pPr>
        <w:jc w:val="both"/>
        <w:rPr>
          <w:rFonts w:ascii="Times New Roman" w:hAnsi="Times New Roman" w:cs="Times New Roman"/>
          <w:sz w:val="24"/>
          <w:szCs w:val="24"/>
        </w:rPr>
      </w:pPr>
      <w:proofErr w:type="spellStart"/>
      <w:r w:rsidRPr="0069661B">
        <w:rPr>
          <w:rFonts w:ascii="Times New Roman" w:hAnsi="Times New Roman" w:cs="Times New Roman"/>
          <w:sz w:val="24"/>
          <w:szCs w:val="24"/>
          <w:shd w:val="clear" w:color="auto" w:fill="FFFFFF"/>
        </w:rPr>
        <w:t>Yarovaya</w:t>
      </w:r>
      <w:proofErr w:type="spellEnd"/>
      <w:r w:rsidRPr="0069661B">
        <w:rPr>
          <w:rFonts w:ascii="Times New Roman" w:hAnsi="Times New Roman" w:cs="Times New Roman"/>
          <w:sz w:val="24"/>
          <w:szCs w:val="24"/>
          <w:shd w:val="clear" w:color="auto" w:fill="FFFFFF"/>
        </w:rPr>
        <w:t>, L., Mirza, N., Rizvi, S.K.A., Saba, I. and Naqvi, B., (2020). The resilience of Islamic equity funds during COVID-19: Evidence from risk adjusted performance, investment styles and volatility timing. </w:t>
      </w:r>
      <w:r w:rsidRPr="0069661B">
        <w:rPr>
          <w:rFonts w:ascii="Times New Roman" w:hAnsi="Times New Roman" w:cs="Times New Roman"/>
          <w:i/>
          <w:iCs/>
          <w:sz w:val="24"/>
          <w:szCs w:val="24"/>
          <w:shd w:val="clear" w:color="auto" w:fill="FFFFFF"/>
        </w:rPr>
        <w:t>Investment Styles and Volatility Timing (November 25, 2020)</w:t>
      </w:r>
      <w:r w:rsidRPr="0069661B">
        <w:rPr>
          <w:rFonts w:ascii="Times New Roman" w:hAnsi="Times New Roman" w:cs="Times New Roman"/>
          <w:sz w:val="24"/>
          <w:szCs w:val="24"/>
          <w:shd w:val="clear" w:color="auto" w:fill="FFFFFF"/>
        </w:rPr>
        <w:t>.</w:t>
      </w:r>
    </w:p>
    <w:p w14:paraId="729319F6"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Yoon, S. M., Al Mamun, M., Uddin, G. S., &amp; Kang, S. H. (2019). Network connectedness and net spillover between financial and commodity markets. </w:t>
      </w:r>
      <w:r w:rsidRPr="0069661B">
        <w:rPr>
          <w:rFonts w:ascii="Times New Roman" w:hAnsi="Times New Roman" w:cs="Times New Roman"/>
          <w:i/>
          <w:iCs/>
          <w:sz w:val="24"/>
          <w:szCs w:val="24"/>
          <w:shd w:val="clear" w:color="auto" w:fill="FFFFFF"/>
        </w:rPr>
        <w:t>The North American Journal of Economics and Finance</w:t>
      </w:r>
      <w:r w:rsidRPr="0069661B">
        <w:rPr>
          <w:rFonts w:ascii="Times New Roman" w:hAnsi="Times New Roman" w:cs="Times New Roman"/>
          <w:sz w:val="24"/>
          <w:szCs w:val="24"/>
          <w:shd w:val="clear" w:color="auto" w:fill="FFFFFF"/>
        </w:rPr>
        <w:t>, </w:t>
      </w:r>
      <w:r w:rsidRPr="0069661B">
        <w:rPr>
          <w:rFonts w:ascii="Times New Roman" w:hAnsi="Times New Roman" w:cs="Times New Roman"/>
          <w:i/>
          <w:iCs/>
          <w:sz w:val="24"/>
          <w:szCs w:val="24"/>
          <w:shd w:val="clear" w:color="auto" w:fill="FFFFFF"/>
        </w:rPr>
        <w:t>48</w:t>
      </w:r>
      <w:r w:rsidRPr="0069661B">
        <w:rPr>
          <w:rFonts w:ascii="Times New Roman" w:hAnsi="Times New Roman" w:cs="Times New Roman"/>
          <w:sz w:val="24"/>
          <w:szCs w:val="24"/>
          <w:shd w:val="clear" w:color="auto" w:fill="FFFFFF"/>
        </w:rPr>
        <w:t>, 801-818.</w:t>
      </w:r>
    </w:p>
    <w:p w14:paraId="26814686" w14:textId="77777777" w:rsidR="004E5F95" w:rsidRPr="0069661B" w:rsidRDefault="004E5F95" w:rsidP="004E5F95">
      <w:pPr>
        <w:spacing w:after="0" w:line="360" w:lineRule="auto"/>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 xml:space="preserve">Yousaf, I., &amp; </w:t>
      </w:r>
      <w:proofErr w:type="spellStart"/>
      <w:r w:rsidRPr="0069661B">
        <w:rPr>
          <w:rFonts w:ascii="Times New Roman" w:hAnsi="Times New Roman" w:cs="Times New Roman"/>
          <w:color w:val="0000FF"/>
          <w:sz w:val="24"/>
          <w:szCs w:val="24"/>
          <w:shd w:val="clear" w:color="auto" w:fill="FFFFFF"/>
        </w:rPr>
        <w:t>Yarovaya</w:t>
      </w:r>
      <w:proofErr w:type="spellEnd"/>
      <w:r w:rsidRPr="0069661B">
        <w:rPr>
          <w:rFonts w:ascii="Times New Roman" w:hAnsi="Times New Roman" w:cs="Times New Roman"/>
          <w:color w:val="0000FF"/>
          <w:sz w:val="24"/>
          <w:szCs w:val="24"/>
          <w:shd w:val="clear" w:color="auto" w:fill="FFFFFF"/>
        </w:rPr>
        <w:t>, L. (2022). Static and dynamic connectedness between NFTs, Defi and other assets: Portfolio implication. </w:t>
      </w:r>
      <w:r w:rsidRPr="0069661B">
        <w:rPr>
          <w:rFonts w:ascii="Times New Roman" w:hAnsi="Times New Roman" w:cs="Times New Roman"/>
          <w:i/>
          <w:iCs/>
          <w:color w:val="0000FF"/>
          <w:sz w:val="24"/>
          <w:szCs w:val="24"/>
          <w:shd w:val="clear" w:color="auto" w:fill="FFFFFF"/>
        </w:rPr>
        <w:t>Global Finance Journal</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53</w:t>
      </w:r>
      <w:r w:rsidRPr="0069661B">
        <w:rPr>
          <w:rFonts w:ascii="Times New Roman" w:hAnsi="Times New Roman" w:cs="Times New Roman"/>
          <w:color w:val="0000FF"/>
          <w:sz w:val="24"/>
          <w:szCs w:val="24"/>
          <w:shd w:val="clear" w:color="auto" w:fill="FFFFFF"/>
        </w:rPr>
        <w:t>, 100719.</w:t>
      </w:r>
    </w:p>
    <w:p w14:paraId="6917B70B" w14:textId="77777777" w:rsidR="004E5F95" w:rsidRPr="0069661B" w:rsidRDefault="004E5F95" w:rsidP="004E5F95">
      <w:pPr>
        <w:spacing w:after="0" w:line="360" w:lineRule="auto"/>
        <w:jc w:val="both"/>
        <w:rPr>
          <w:rFonts w:ascii="Times New Roman" w:hAnsi="Times New Roman" w:cs="Times New Roman"/>
          <w:color w:val="0000FF"/>
          <w:sz w:val="24"/>
          <w:szCs w:val="24"/>
        </w:rPr>
      </w:pPr>
      <w:r w:rsidRPr="0069661B">
        <w:rPr>
          <w:rFonts w:ascii="Times New Roman" w:hAnsi="Times New Roman" w:cs="Times New Roman"/>
          <w:color w:val="0000FF"/>
          <w:sz w:val="24"/>
          <w:szCs w:val="24"/>
          <w:shd w:val="clear" w:color="auto" w:fill="FFFFFF"/>
        </w:rPr>
        <w:lastRenderedPageBreak/>
        <w:t xml:space="preserve">Yousaf, I., </w:t>
      </w:r>
      <w:proofErr w:type="spellStart"/>
      <w:r w:rsidRPr="0069661B">
        <w:rPr>
          <w:rFonts w:ascii="Times New Roman" w:hAnsi="Times New Roman" w:cs="Times New Roman"/>
          <w:color w:val="0000FF"/>
          <w:sz w:val="24"/>
          <w:szCs w:val="24"/>
          <w:shd w:val="clear" w:color="auto" w:fill="FFFFFF"/>
        </w:rPr>
        <w:t>Nekhili</w:t>
      </w:r>
      <w:proofErr w:type="spellEnd"/>
      <w:r w:rsidRPr="0069661B">
        <w:rPr>
          <w:rFonts w:ascii="Times New Roman" w:hAnsi="Times New Roman" w:cs="Times New Roman"/>
          <w:color w:val="0000FF"/>
          <w:sz w:val="24"/>
          <w:szCs w:val="24"/>
          <w:shd w:val="clear" w:color="auto" w:fill="FFFFFF"/>
        </w:rPr>
        <w:t xml:space="preserve">, R., &amp; </w:t>
      </w:r>
      <w:proofErr w:type="spellStart"/>
      <w:r w:rsidRPr="0069661B">
        <w:rPr>
          <w:rFonts w:ascii="Times New Roman" w:hAnsi="Times New Roman" w:cs="Times New Roman"/>
          <w:color w:val="0000FF"/>
          <w:sz w:val="24"/>
          <w:szCs w:val="24"/>
          <w:shd w:val="clear" w:color="auto" w:fill="FFFFFF"/>
        </w:rPr>
        <w:t>Gubareva</w:t>
      </w:r>
      <w:proofErr w:type="spellEnd"/>
      <w:r w:rsidRPr="0069661B">
        <w:rPr>
          <w:rFonts w:ascii="Times New Roman" w:hAnsi="Times New Roman" w:cs="Times New Roman"/>
          <w:color w:val="0000FF"/>
          <w:sz w:val="24"/>
          <w:szCs w:val="24"/>
          <w:shd w:val="clear" w:color="auto" w:fill="FFFFFF"/>
        </w:rPr>
        <w:t>, M. (2022). Linkages between DeFi assets and conventional currencies: Evidence from the COVID-19 pandemic. </w:t>
      </w:r>
      <w:r w:rsidRPr="0069661B">
        <w:rPr>
          <w:rFonts w:ascii="Times New Roman" w:hAnsi="Times New Roman" w:cs="Times New Roman"/>
          <w:i/>
          <w:iCs/>
          <w:color w:val="0000FF"/>
          <w:sz w:val="24"/>
          <w:szCs w:val="24"/>
          <w:shd w:val="clear" w:color="auto" w:fill="FFFFFF"/>
        </w:rPr>
        <w:t>International Review of Financial Analysis</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81</w:t>
      </w:r>
      <w:r w:rsidRPr="0069661B">
        <w:rPr>
          <w:rFonts w:ascii="Times New Roman" w:hAnsi="Times New Roman" w:cs="Times New Roman"/>
          <w:color w:val="0000FF"/>
          <w:sz w:val="24"/>
          <w:szCs w:val="24"/>
          <w:shd w:val="clear" w:color="auto" w:fill="FFFFFF"/>
        </w:rPr>
        <w:t>, 102082.</w:t>
      </w:r>
    </w:p>
    <w:p w14:paraId="4090A5C1" w14:textId="77777777" w:rsidR="004E5F95" w:rsidRPr="0069661B" w:rsidRDefault="004E5F95" w:rsidP="004E5F95">
      <w:pPr>
        <w:spacing w:after="0" w:line="360" w:lineRule="auto"/>
        <w:jc w:val="both"/>
        <w:rPr>
          <w:rFonts w:ascii="Times New Roman" w:hAnsi="Times New Roman" w:cs="Times New Roman"/>
          <w:color w:val="0000FF"/>
          <w:sz w:val="24"/>
          <w:szCs w:val="24"/>
          <w:shd w:val="clear" w:color="auto" w:fill="FFFFFF"/>
        </w:rPr>
      </w:pPr>
      <w:r w:rsidRPr="0069661B">
        <w:rPr>
          <w:rFonts w:ascii="Times New Roman" w:hAnsi="Times New Roman" w:cs="Times New Roman"/>
          <w:color w:val="0000FF"/>
          <w:sz w:val="24"/>
          <w:szCs w:val="24"/>
          <w:shd w:val="clear" w:color="auto" w:fill="FFFFFF"/>
        </w:rPr>
        <w:t>Yousaf, I., Pham, L., &amp; Goodell, J. W. (2023). The connectedness between meme tokens, meme stocks, and other asset classes: Evidence from a quantile connectedness approach. </w:t>
      </w:r>
      <w:r w:rsidRPr="0069661B">
        <w:rPr>
          <w:rFonts w:ascii="Times New Roman" w:hAnsi="Times New Roman" w:cs="Times New Roman"/>
          <w:i/>
          <w:iCs/>
          <w:color w:val="0000FF"/>
          <w:sz w:val="24"/>
          <w:szCs w:val="24"/>
          <w:shd w:val="clear" w:color="auto" w:fill="FFFFFF"/>
        </w:rPr>
        <w:t>Journal of International Financial Markets, Institutions and Money</w:t>
      </w:r>
      <w:r w:rsidRPr="0069661B">
        <w:rPr>
          <w:rFonts w:ascii="Times New Roman" w:hAnsi="Times New Roman" w:cs="Times New Roman"/>
          <w:color w:val="0000FF"/>
          <w:sz w:val="24"/>
          <w:szCs w:val="24"/>
          <w:shd w:val="clear" w:color="auto" w:fill="FFFFFF"/>
        </w:rPr>
        <w:t>, </w:t>
      </w:r>
      <w:r w:rsidRPr="0069661B">
        <w:rPr>
          <w:rFonts w:ascii="Times New Roman" w:hAnsi="Times New Roman" w:cs="Times New Roman"/>
          <w:i/>
          <w:iCs/>
          <w:color w:val="0000FF"/>
          <w:sz w:val="24"/>
          <w:szCs w:val="24"/>
          <w:shd w:val="clear" w:color="auto" w:fill="FFFFFF"/>
        </w:rPr>
        <w:t>82</w:t>
      </w:r>
      <w:r w:rsidRPr="0069661B">
        <w:rPr>
          <w:rFonts w:ascii="Times New Roman" w:hAnsi="Times New Roman" w:cs="Times New Roman"/>
          <w:color w:val="0000FF"/>
          <w:sz w:val="24"/>
          <w:szCs w:val="24"/>
          <w:shd w:val="clear" w:color="auto" w:fill="FFFFFF"/>
        </w:rPr>
        <w:t>, 101694.</w:t>
      </w:r>
    </w:p>
    <w:p w14:paraId="25E6E8E4" w14:textId="77777777" w:rsidR="004E5F95" w:rsidRPr="0069661B" w:rsidRDefault="004E5F95" w:rsidP="00EF7F9D">
      <w:pPr>
        <w:jc w:val="both"/>
        <w:rPr>
          <w:rFonts w:ascii="Times New Roman" w:hAnsi="Times New Roman" w:cs="Times New Roman"/>
          <w:sz w:val="24"/>
          <w:szCs w:val="24"/>
          <w:shd w:val="clear" w:color="auto" w:fill="FFFFFF"/>
        </w:rPr>
      </w:pPr>
    </w:p>
    <w:p w14:paraId="1057EB28" w14:textId="488809A5"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shd w:val="clear" w:color="auto" w:fill="FFFFFF"/>
        </w:rPr>
        <w:t xml:space="preserve">Zaremba, A., </w:t>
      </w:r>
      <w:proofErr w:type="spellStart"/>
      <w:r w:rsidRPr="0069661B">
        <w:rPr>
          <w:rFonts w:ascii="Times New Roman" w:hAnsi="Times New Roman" w:cs="Times New Roman"/>
          <w:sz w:val="24"/>
          <w:szCs w:val="24"/>
          <w:shd w:val="clear" w:color="auto" w:fill="FFFFFF"/>
        </w:rPr>
        <w:t>Aharon</w:t>
      </w:r>
      <w:proofErr w:type="spellEnd"/>
      <w:r w:rsidRPr="0069661B">
        <w:rPr>
          <w:rFonts w:ascii="Times New Roman" w:hAnsi="Times New Roman" w:cs="Times New Roman"/>
          <w:sz w:val="24"/>
          <w:szCs w:val="24"/>
          <w:shd w:val="clear" w:color="auto" w:fill="FFFFFF"/>
        </w:rPr>
        <w:t xml:space="preserve">, D. Y., Demir, E., </w:t>
      </w:r>
      <w:proofErr w:type="spellStart"/>
      <w:r w:rsidRPr="0069661B">
        <w:rPr>
          <w:rFonts w:ascii="Times New Roman" w:hAnsi="Times New Roman" w:cs="Times New Roman"/>
          <w:sz w:val="24"/>
          <w:szCs w:val="24"/>
          <w:shd w:val="clear" w:color="auto" w:fill="FFFFFF"/>
        </w:rPr>
        <w:t>Kizys</w:t>
      </w:r>
      <w:proofErr w:type="spellEnd"/>
      <w:r w:rsidRPr="0069661B">
        <w:rPr>
          <w:rFonts w:ascii="Times New Roman" w:hAnsi="Times New Roman" w:cs="Times New Roman"/>
          <w:sz w:val="24"/>
          <w:szCs w:val="24"/>
          <w:shd w:val="clear" w:color="auto" w:fill="FFFFFF"/>
        </w:rPr>
        <w:t xml:space="preserve">, R., &amp; </w:t>
      </w:r>
      <w:proofErr w:type="spellStart"/>
      <w:r w:rsidRPr="0069661B">
        <w:rPr>
          <w:rFonts w:ascii="Times New Roman" w:hAnsi="Times New Roman" w:cs="Times New Roman"/>
          <w:sz w:val="24"/>
          <w:szCs w:val="24"/>
          <w:shd w:val="clear" w:color="auto" w:fill="FFFFFF"/>
        </w:rPr>
        <w:t>Zawadka</w:t>
      </w:r>
      <w:proofErr w:type="spellEnd"/>
      <w:r w:rsidRPr="0069661B">
        <w:rPr>
          <w:rFonts w:ascii="Times New Roman" w:hAnsi="Times New Roman" w:cs="Times New Roman"/>
          <w:sz w:val="24"/>
          <w:szCs w:val="24"/>
          <w:shd w:val="clear" w:color="auto" w:fill="FFFFFF"/>
        </w:rPr>
        <w:t>, D. (2021). COVID-19, government policy responses, and stock market liquidity around the world: A note. </w:t>
      </w:r>
      <w:r w:rsidRPr="0069661B">
        <w:rPr>
          <w:rFonts w:ascii="Times New Roman" w:hAnsi="Times New Roman" w:cs="Times New Roman"/>
          <w:i/>
          <w:iCs/>
          <w:sz w:val="24"/>
          <w:szCs w:val="24"/>
        </w:rPr>
        <w:t>Research in International Business and Finance</w:t>
      </w:r>
      <w:r w:rsidRPr="0069661B">
        <w:rPr>
          <w:rFonts w:ascii="Times New Roman" w:hAnsi="Times New Roman" w:cs="Times New Roman"/>
          <w:sz w:val="24"/>
          <w:szCs w:val="24"/>
        </w:rPr>
        <w:t>, </w:t>
      </w:r>
      <w:r w:rsidRPr="0069661B">
        <w:rPr>
          <w:rFonts w:ascii="Times New Roman" w:hAnsi="Times New Roman" w:cs="Times New Roman"/>
          <w:i/>
          <w:iCs/>
          <w:sz w:val="24"/>
          <w:szCs w:val="24"/>
        </w:rPr>
        <w:t>56</w:t>
      </w:r>
      <w:r w:rsidRPr="0069661B">
        <w:rPr>
          <w:rFonts w:ascii="Times New Roman" w:hAnsi="Times New Roman" w:cs="Times New Roman"/>
          <w:sz w:val="24"/>
          <w:szCs w:val="24"/>
        </w:rPr>
        <w:t>, 101359.</w:t>
      </w:r>
    </w:p>
    <w:p w14:paraId="17E50984" w14:textId="77777777" w:rsidR="00EF7F9D" w:rsidRPr="0069661B" w:rsidRDefault="00EF7F9D" w:rsidP="00EF7F9D">
      <w:pPr>
        <w:jc w:val="both"/>
        <w:rPr>
          <w:rFonts w:ascii="Times New Roman" w:hAnsi="Times New Roman" w:cs="Times New Roman"/>
          <w:sz w:val="24"/>
          <w:szCs w:val="24"/>
        </w:rPr>
      </w:pPr>
      <w:r w:rsidRPr="0069661B">
        <w:rPr>
          <w:rFonts w:ascii="Times New Roman" w:hAnsi="Times New Roman" w:cs="Times New Roman"/>
          <w:sz w:val="24"/>
          <w:szCs w:val="24"/>
        </w:rPr>
        <w:t xml:space="preserve">Zhang, D., Mohsin, M., Rasheed, A. K., Chang, Y., &amp; </w:t>
      </w:r>
      <w:proofErr w:type="spellStart"/>
      <w:r w:rsidRPr="0069661B">
        <w:rPr>
          <w:rFonts w:ascii="Times New Roman" w:hAnsi="Times New Roman" w:cs="Times New Roman"/>
          <w:sz w:val="24"/>
          <w:szCs w:val="24"/>
        </w:rPr>
        <w:t>Taghizadeh-Hesary</w:t>
      </w:r>
      <w:proofErr w:type="spellEnd"/>
      <w:r w:rsidRPr="0069661B">
        <w:rPr>
          <w:rFonts w:ascii="Times New Roman" w:hAnsi="Times New Roman" w:cs="Times New Roman"/>
          <w:sz w:val="24"/>
          <w:szCs w:val="24"/>
        </w:rPr>
        <w:t xml:space="preserve">, F. (2021). Public spending and green economic growth in BRI region: Mediating role of green finance. </w:t>
      </w:r>
      <w:r w:rsidRPr="0069661B">
        <w:rPr>
          <w:rFonts w:ascii="Times New Roman" w:hAnsi="Times New Roman" w:cs="Times New Roman"/>
          <w:i/>
          <w:iCs/>
          <w:sz w:val="24"/>
          <w:szCs w:val="24"/>
        </w:rPr>
        <w:t>Energy Policy</w:t>
      </w:r>
      <w:r w:rsidRPr="0069661B">
        <w:rPr>
          <w:rFonts w:ascii="Times New Roman" w:hAnsi="Times New Roman" w:cs="Times New Roman"/>
          <w:sz w:val="24"/>
          <w:szCs w:val="24"/>
        </w:rPr>
        <w:t xml:space="preserve">, </w:t>
      </w:r>
      <w:r w:rsidRPr="0069661B">
        <w:rPr>
          <w:rFonts w:ascii="Times New Roman" w:hAnsi="Times New Roman" w:cs="Times New Roman"/>
          <w:i/>
          <w:iCs/>
          <w:sz w:val="24"/>
          <w:szCs w:val="24"/>
        </w:rPr>
        <w:t>153</w:t>
      </w:r>
      <w:r w:rsidRPr="0069661B">
        <w:rPr>
          <w:rFonts w:ascii="Times New Roman" w:hAnsi="Times New Roman" w:cs="Times New Roman"/>
          <w:sz w:val="24"/>
          <w:szCs w:val="24"/>
        </w:rPr>
        <w:t>, 112256.</w:t>
      </w:r>
    </w:p>
    <w:p w14:paraId="48AAD855" w14:textId="77777777" w:rsidR="00EF7F9D" w:rsidRPr="000D3AD1" w:rsidRDefault="00EF7F9D" w:rsidP="00EF7F9D">
      <w:pPr>
        <w:jc w:val="both"/>
        <w:rPr>
          <w:rFonts w:ascii="Times New Roman" w:hAnsi="Times New Roman" w:cs="Times New Roman"/>
          <w:sz w:val="24"/>
          <w:szCs w:val="24"/>
        </w:rPr>
      </w:pPr>
    </w:p>
    <w:p w14:paraId="4CE8DAA0" w14:textId="77777777" w:rsidR="00EF7F9D" w:rsidRPr="000D3AD1" w:rsidRDefault="00EF7F9D" w:rsidP="00B406BB">
      <w:pPr>
        <w:spacing w:after="240" w:line="480" w:lineRule="auto"/>
        <w:jc w:val="both"/>
        <w:rPr>
          <w:rFonts w:ascii="Times New Roman" w:eastAsia="SimSun" w:hAnsi="Times New Roman" w:cs="Times New Roman"/>
          <w:b/>
          <w:bCs/>
          <w:sz w:val="24"/>
          <w:szCs w:val="24"/>
          <w:lang w:val="en-GB"/>
        </w:rPr>
      </w:pPr>
    </w:p>
    <w:p w14:paraId="360912F5" w14:textId="15290079" w:rsidR="00B406BB" w:rsidRPr="000D3AD1" w:rsidRDefault="00B406BB" w:rsidP="00B406BB">
      <w:pPr>
        <w:spacing w:after="240" w:line="480" w:lineRule="auto"/>
        <w:jc w:val="both"/>
        <w:rPr>
          <w:rFonts w:ascii="Times New Roman" w:eastAsia="SimSun" w:hAnsi="Times New Roman" w:cs="Times New Roman"/>
          <w:sz w:val="24"/>
          <w:szCs w:val="24"/>
          <w:lang w:val="en-GB"/>
        </w:rPr>
      </w:pPr>
    </w:p>
    <w:p w14:paraId="6103CFA9" w14:textId="6A427EF4" w:rsidR="00B406BB" w:rsidRPr="000D3AD1" w:rsidRDefault="00B406BB" w:rsidP="00B406BB">
      <w:pPr>
        <w:spacing w:after="240" w:line="480" w:lineRule="auto"/>
        <w:jc w:val="both"/>
        <w:rPr>
          <w:rFonts w:ascii="Times New Roman" w:eastAsia="SimSun" w:hAnsi="Times New Roman" w:cs="Times New Roman"/>
          <w:sz w:val="24"/>
          <w:szCs w:val="24"/>
          <w:lang w:val="en-GB"/>
        </w:rPr>
      </w:pPr>
    </w:p>
    <w:p w14:paraId="140D3A73" w14:textId="77777777" w:rsidR="00B406BB" w:rsidRPr="000D3AD1" w:rsidRDefault="00B406BB" w:rsidP="00B406BB">
      <w:pPr>
        <w:spacing w:after="240" w:line="480" w:lineRule="auto"/>
        <w:jc w:val="both"/>
        <w:rPr>
          <w:rFonts w:ascii="Times New Roman" w:eastAsia="SimSun" w:hAnsi="Times New Roman" w:cs="Times New Roman"/>
          <w:sz w:val="24"/>
          <w:szCs w:val="24"/>
          <w:lang w:val="en-GB"/>
        </w:rPr>
      </w:pPr>
    </w:p>
    <w:p w14:paraId="015D9F3D" w14:textId="77777777" w:rsidR="00B406BB" w:rsidRPr="000D3AD1" w:rsidRDefault="00B406BB">
      <w:pPr>
        <w:rPr>
          <w:rFonts w:ascii="Times New Roman" w:hAnsi="Times New Roman" w:cs="Times New Roman"/>
          <w:sz w:val="24"/>
          <w:szCs w:val="24"/>
        </w:rPr>
      </w:pPr>
    </w:p>
    <w:p w14:paraId="53102E51" w14:textId="77777777" w:rsidR="00235676" w:rsidRPr="000D3AD1" w:rsidRDefault="00235676">
      <w:pPr>
        <w:rPr>
          <w:rFonts w:ascii="Times New Roman" w:hAnsi="Times New Roman" w:cs="Times New Roman"/>
          <w:sz w:val="24"/>
          <w:szCs w:val="24"/>
        </w:rPr>
      </w:pPr>
    </w:p>
    <w:p w14:paraId="34C57230" w14:textId="49B22A5E" w:rsidR="002654A8" w:rsidRPr="000D3AD1" w:rsidRDefault="002654A8">
      <w:pPr>
        <w:rPr>
          <w:rFonts w:ascii="Times New Roman" w:hAnsi="Times New Roman" w:cs="Times New Roman"/>
          <w:sz w:val="24"/>
          <w:szCs w:val="24"/>
        </w:rPr>
      </w:pPr>
      <w:r w:rsidRPr="000D3AD1">
        <w:rPr>
          <w:rFonts w:ascii="Times New Roman" w:hAnsi="Times New Roman" w:cs="Times New Roman"/>
          <w:sz w:val="24"/>
          <w:szCs w:val="24"/>
        </w:rPr>
        <w:br w:type="page"/>
      </w:r>
    </w:p>
    <w:p w14:paraId="2F933A19" w14:textId="29524315" w:rsidR="00DB5493" w:rsidRPr="000D3AD1" w:rsidRDefault="00DB5493" w:rsidP="00DB5493">
      <w:pPr>
        <w:rPr>
          <w:rFonts w:ascii="Times New Roman" w:hAnsi="Times New Roman" w:cs="Times New Roman"/>
        </w:rPr>
      </w:pPr>
    </w:p>
    <w:tbl>
      <w:tblPr>
        <w:tblW w:w="8320" w:type="dxa"/>
        <w:jc w:val="center"/>
        <w:tblCellMar>
          <w:left w:w="0" w:type="dxa"/>
          <w:right w:w="0" w:type="dxa"/>
        </w:tblCellMar>
        <w:tblLook w:val="04A0" w:firstRow="1" w:lastRow="0" w:firstColumn="1" w:lastColumn="0" w:noHBand="0" w:noVBand="1"/>
      </w:tblPr>
      <w:tblGrid>
        <w:gridCol w:w="949"/>
        <w:gridCol w:w="1027"/>
        <w:gridCol w:w="1347"/>
        <w:gridCol w:w="1007"/>
        <w:gridCol w:w="1007"/>
        <w:gridCol w:w="894"/>
        <w:gridCol w:w="894"/>
        <w:gridCol w:w="894"/>
        <w:gridCol w:w="1007"/>
      </w:tblGrid>
      <w:tr w:rsidR="00F31C9D" w:rsidRPr="000D3AD1" w14:paraId="77AE37AA" w14:textId="77777777" w:rsidTr="00F31C9D">
        <w:trPr>
          <w:trHeight w:val="264"/>
          <w:jc w:val="center"/>
        </w:trPr>
        <w:tc>
          <w:tcPr>
            <w:tcW w:w="8320" w:type="dxa"/>
            <w:gridSpan w:val="9"/>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ECF7451" w14:textId="31BD27C3" w:rsidR="00F31C9D" w:rsidRPr="000D3AD1" w:rsidRDefault="00F31C9D" w:rsidP="00F31C9D">
            <w:pPr>
              <w:spacing w:after="0" w:line="240" w:lineRule="auto"/>
              <w:rPr>
                <w:rFonts w:ascii="Times New Roman" w:hAnsi="Times New Roman" w:cs="Times New Roman"/>
                <w:b/>
                <w:bCs/>
                <w:color w:val="000000"/>
                <w:sz w:val="20"/>
                <w:szCs w:val="20"/>
              </w:rPr>
            </w:pPr>
            <w:r w:rsidRPr="000D3AD1">
              <w:rPr>
                <w:rFonts w:ascii="Times New Roman" w:hAnsi="Times New Roman" w:cs="Times New Roman"/>
                <w:b/>
                <w:bCs/>
                <w:color w:val="000000"/>
                <w:sz w:val="20"/>
                <w:szCs w:val="20"/>
              </w:rPr>
              <w:t>Table 1: Descriptive statistics</w:t>
            </w:r>
            <w:r w:rsidR="007A151C" w:rsidRPr="000D3AD1">
              <w:rPr>
                <w:rFonts w:ascii="Times New Roman" w:hAnsi="Times New Roman" w:cs="Times New Roman"/>
                <w:b/>
                <w:bCs/>
                <w:color w:val="000000"/>
                <w:sz w:val="20"/>
                <w:szCs w:val="20"/>
              </w:rPr>
              <w:t xml:space="preserve"> of </w:t>
            </w:r>
            <w:r w:rsidR="00CE555C" w:rsidRPr="000D3AD1">
              <w:rPr>
                <w:rFonts w:ascii="Times New Roman" w:hAnsi="Times New Roman" w:cs="Times New Roman"/>
                <w:b/>
                <w:bCs/>
                <w:color w:val="000000"/>
                <w:sz w:val="20"/>
                <w:szCs w:val="20"/>
              </w:rPr>
              <w:t>Religious</w:t>
            </w:r>
            <w:r w:rsidR="007A151C" w:rsidRPr="000D3AD1">
              <w:rPr>
                <w:rFonts w:ascii="Times New Roman" w:hAnsi="Times New Roman" w:cs="Times New Roman"/>
                <w:b/>
                <w:bCs/>
                <w:color w:val="000000"/>
                <w:sz w:val="20"/>
                <w:szCs w:val="20"/>
              </w:rPr>
              <w:t xml:space="preserve">, </w:t>
            </w:r>
            <w:r w:rsidR="00CE555C" w:rsidRPr="000D3AD1">
              <w:rPr>
                <w:rFonts w:ascii="Times New Roman" w:hAnsi="Times New Roman" w:cs="Times New Roman"/>
                <w:b/>
                <w:bCs/>
                <w:color w:val="000000"/>
                <w:sz w:val="20"/>
                <w:szCs w:val="20"/>
              </w:rPr>
              <w:t>Sustainable</w:t>
            </w:r>
            <w:r w:rsidR="007A151C" w:rsidRPr="000D3AD1">
              <w:rPr>
                <w:rFonts w:ascii="Times New Roman" w:hAnsi="Times New Roman" w:cs="Times New Roman"/>
                <w:b/>
                <w:bCs/>
                <w:color w:val="000000"/>
                <w:sz w:val="20"/>
                <w:szCs w:val="20"/>
              </w:rPr>
              <w:t xml:space="preserve"> and </w:t>
            </w:r>
            <w:r w:rsidR="00CE555C" w:rsidRPr="000D3AD1">
              <w:rPr>
                <w:rFonts w:ascii="Times New Roman" w:hAnsi="Times New Roman" w:cs="Times New Roman"/>
                <w:b/>
                <w:bCs/>
                <w:color w:val="000000"/>
                <w:sz w:val="20"/>
                <w:szCs w:val="20"/>
              </w:rPr>
              <w:t>Conventional</w:t>
            </w:r>
            <w:r w:rsidR="007A151C" w:rsidRPr="000D3AD1">
              <w:rPr>
                <w:rFonts w:ascii="Times New Roman" w:hAnsi="Times New Roman" w:cs="Times New Roman"/>
                <w:b/>
                <w:bCs/>
                <w:color w:val="000000"/>
                <w:sz w:val="20"/>
                <w:szCs w:val="20"/>
              </w:rPr>
              <w:t xml:space="preserve"> markets.</w:t>
            </w:r>
          </w:p>
        </w:tc>
      </w:tr>
      <w:tr w:rsidR="00371384" w:rsidRPr="000D3AD1" w14:paraId="0D1F9C3D" w14:textId="77777777" w:rsidTr="00F31C9D">
        <w:trPr>
          <w:trHeight w:val="264"/>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9A78DB"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 </w:t>
            </w:r>
          </w:p>
        </w:tc>
        <w:tc>
          <w:tcPr>
            <w:tcW w:w="0" w:type="auto"/>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14:paraId="4E1B4C6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DJIS</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84E624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DJSK</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21D48B6"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SPGB</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87B3ED0"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DJSI</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B25A375"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SPGC</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DFC769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GSCI</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95DD2A6"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BBGT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F66FDB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SP500</w:t>
            </w:r>
          </w:p>
        </w:tc>
      </w:tr>
      <w:tr w:rsidR="00371384" w:rsidRPr="000D3AD1" w14:paraId="724EAAD1"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0B98C55"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Mean</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394946E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0.043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313A2C"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0.011</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917D4E"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0.003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A80F29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0.032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FE6D80E"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0.004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FB653C"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0.009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67619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0.010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1180A44"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0.048</w:t>
            </w:r>
          </w:p>
        </w:tc>
      </w:tr>
      <w:tr w:rsidR="00371384" w:rsidRPr="000D3AD1" w14:paraId="175E416B"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EFC0524"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Max</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355E219A"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7.916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73BDD85"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7.540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EAE2995"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6.815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A7E131F"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7.694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1B04582"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11.794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675D61"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7.683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75FAD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3.746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32541E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8.968</w:t>
            </w:r>
          </w:p>
        </w:tc>
      </w:tr>
      <w:tr w:rsidR="00371384" w:rsidRPr="000D3AD1" w14:paraId="431A341D"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6005B13"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Min</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26B29A08"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-9.639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CBEC3D"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-5.066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632B701"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-3.782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A368D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-10.604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1FA0B3F"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-12.800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8E557F"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-12.523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7298F0"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-2.336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A622B0C"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-12.765</w:t>
            </w:r>
          </w:p>
        </w:tc>
      </w:tr>
      <w:tr w:rsidR="00371384" w:rsidRPr="000D3AD1" w14:paraId="73A5D05A"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F4E24AF" w14:textId="77777777" w:rsidR="00F31C9D" w:rsidRPr="000D3AD1" w:rsidRDefault="00F31C9D" w:rsidP="00F31C9D">
            <w:pPr>
              <w:spacing w:after="0" w:line="240" w:lineRule="auto"/>
              <w:rPr>
                <w:rFonts w:ascii="Times New Roman" w:hAnsi="Times New Roman" w:cs="Times New Roman"/>
                <w:color w:val="000000"/>
                <w:sz w:val="20"/>
                <w:szCs w:val="20"/>
              </w:rPr>
            </w:pPr>
            <w:proofErr w:type="spellStart"/>
            <w:r w:rsidRPr="000D3AD1">
              <w:rPr>
                <w:rFonts w:ascii="Times New Roman" w:hAnsi="Times New Roman" w:cs="Times New Roman"/>
                <w:color w:val="000000"/>
                <w:sz w:val="20"/>
                <w:szCs w:val="20"/>
              </w:rPr>
              <w:t>Std.Dev</w:t>
            </w:r>
            <w:proofErr w:type="spellEnd"/>
            <w:r w:rsidRPr="000D3AD1">
              <w:rPr>
                <w:rFonts w:ascii="Times New Roman" w:hAnsi="Times New Roman" w:cs="Times New Roman"/>
                <w:color w:val="000000"/>
                <w:sz w:val="20"/>
                <w:szCs w:val="20"/>
              </w:rPr>
              <w:t>.</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53E239D8"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0.978</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D1FF5E"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0.303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B3E8235"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0.522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815E28D"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1.069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AA1170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1.664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0FC951F"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1.399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4F1A798"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0.379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5B74A2F"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1.166</w:t>
            </w:r>
          </w:p>
        </w:tc>
      </w:tr>
      <w:tr w:rsidR="00371384" w:rsidRPr="000D3AD1" w14:paraId="56F41DCA"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B370063"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Skewness</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48169AD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-0.794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63E67B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8.153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31DDA3B"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0.946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49E1D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-0.642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C6A2890"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-0.414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FA2D0FC"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-0.583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43847FD"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0.210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E2E72B9"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-0.757</w:t>
            </w:r>
          </w:p>
        </w:tc>
      </w:tr>
      <w:tr w:rsidR="00371384" w:rsidRPr="000D3AD1" w14:paraId="73CEC249"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E27AE83"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Kurtosis</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035ED985"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11.275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CB7597"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294.923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06B1D7C"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19.507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857130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9.791</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812253"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7.423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0E8186"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7.126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8BD470"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6.950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618F9A" w14:textId="7777777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13.728</w:t>
            </w:r>
          </w:p>
        </w:tc>
      </w:tr>
      <w:tr w:rsidR="00371384" w:rsidRPr="000D3AD1" w14:paraId="543B0973"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E006554"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JB</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503C2D31" w14:textId="5A3FDA52"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 xml:space="preserve">17561.25 </w:t>
            </w:r>
            <w:r w:rsidRPr="000D3AD1">
              <w:rPr>
                <w:rFonts w:ascii="Times New Roman" w:hAnsi="Times New Roman" w:cs="Times New Roman"/>
                <w:color w:val="000000"/>
                <w:sz w:val="20"/>
                <w:szCs w:val="20"/>
                <w:vertAlign w:val="superscript"/>
              </w:rPr>
              <w:t>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9E9D4C" w14:textId="55BD8573"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11814632.92</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05470C" w14:textId="6F147C89"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52022.38</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837A6B" w14:textId="6BF8B2AA"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13210.93</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FC1371" w14:textId="5C7C355F"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7557.60</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382B536" w14:textId="3701457A"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7065.02</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86EA652" w14:textId="2B5C4BBD"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6567.66</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EF5921" w14:textId="65874FEB"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17561.25</w:t>
            </w:r>
            <w:r w:rsidRPr="000D3AD1">
              <w:rPr>
                <w:rFonts w:ascii="Times New Roman" w:hAnsi="Times New Roman" w:cs="Times New Roman"/>
                <w:color w:val="000000"/>
                <w:sz w:val="20"/>
                <w:szCs w:val="20"/>
                <w:vertAlign w:val="superscript"/>
              </w:rPr>
              <w:t xml:space="preserve"> a</w:t>
            </w:r>
          </w:p>
        </w:tc>
      </w:tr>
      <w:tr w:rsidR="00371384" w:rsidRPr="000D3AD1" w14:paraId="7A98BBD0" w14:textId="77777777" w:rsidTr="00F31C9D">
        <w:trPr>
          <w:trHeight w:val="264"/>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7E65F09" w14:textId="77777777" w:rsidR="00F31C9D"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ARCH</w:t>
            </w:r>
          </w:p>
        </w:tc>
        <w:tc>
          <w:tcPr>
            <w:tcW w:w="0" w:type="auto"/>
            <w:tcBorders>
              <w:top w:val="nil"/>
              <w:left w:val="single" w:sz="4" w:space="0" w:color="auto"/>
              <w:bottom w:val="nil"/>
              <w:right w:val="nil"/>
            </w:tcBorders>
            <w:shd w:val="clear" w:color="auto" w:fill="auto"/>
            <w:noWrap/>
            <w:tcMar>
              <w:top w:w="15" w:type="dxa"/>
              <w:left w:w="15" w:type="dxa"/>
              <w:bottom w:w="0" w:type="dxa"/>
              <w:right w:w="15" w:type="dxa"/>
            </w:tcMar>
            <w:vAlign w:val="bottom"/>
            <w:hideMark/>
          </w:tcPr>
          <w:p w14:paraId="5BD8C970" w14:textId="588DFD6B"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 xml:space="preserve">994.477 </w:t>
            </w:r>
            <w:r w:rsidRPr="000D3AD1">
              <w:rPr>
                <w:rFonts w:ascii="Times New Roman" w:hAnsi="Times New Roman" w:cs="Times New Roman"/>
                <w:color w:val="000000"/>
                <w:sz w:val="20"/>
                <w:szCs w:val="20"/>
                <w:vertAlign w:val="superscript"/>
              </w:rPr>
              <w:t>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6B4C08E" w14:textId="67A3E53C"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11.842</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F4BCC84" w14:textId="479ED0B9"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753.723</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F1E85B" w14:textId="5B8AE593"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734.948</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6B9D08" w14:textId="59B8915E"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725.907</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744207" w14:textId="5F67997E"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368.488</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15E5C6" w14:textId="35A46B04"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187.205</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11CD809" w14:textId="5DE9D22D"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994.477</w:t>
            </w:r>
            <w:r w:rsidRPr="000D3AD1">
              <w:rPr>
                <w:rFonts w:ascii="Times New Roman" w:hAnsi="Times New Roman" w:cs="Times New Roman"/>
                <w:color w:val="000000"/>
                <w:sz w:val="20"/>
                <w:szCs w:val="20"/>
                <w:vertAlign w:val="superscript"/>
              </w:rPr>
              <w:t xml:space="preserve"> a</w:t>
            </w:r>
          </w:p>
        </w:tc>
      </w:tr>
      <w:tr w:rsidR="00371384" w:rsidRPr="000D3AD1" w14:paraId="321C1471" w14:textId="77777777" w:rsidTr="00F31C9D">
        <w:trPr>
          <w:trHeight w:val="264"/>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6A2627" w14:textId="77777777" w:rsidR="00F31C9D" w:rsidRPr="000D3AD1" w:rsidRDefault="00F31C9D" w:rsidP="00F31C9D">
            <w:pPr>
              <w:spacing w:after="0" w:line="240" w:lineRule="auto"/>
              <w:rPr>
                <w:rFonts w:ascii="Times New Roman" w:hAnsi="Times New Roman" w:cs="Times New Roman"/>
                <w:color w:val="000000"/>
                <w:sz w:val="20"/>
                <w:szCs w:val="20"/>
              </w:rPr>
            </w:pPr>
            <w:proofErr w:type="gramStart"/>
            <w:r w:rsidRPr="000D3AD1">
              <w:rPr>
                <w:rFonts w:ascii="Times New Roman" w:hAnsi="Times New Roman" w:cs="Times New Roman"/>
                <w:color w:val="000000"/>
                <w:sz w:val="20"/>
                <w:szCs w:val="20"/>
              </w:rPr>
              <w:t>Q(</w:t>
            </w:r>
            <w:proofErr w:type="gramEnd"/>
            <w:r w:rsidRPr="000D3AD1">
              <w:rPr>
                <w:rFonts w:ascii="Times New Roman" w:hAnsi="Times New Roman" w:cs="Times New Roman"/>
                <w:color w:val="000000"/>
                <w:sz w:val="20"/>
                <w:szCs w:val="20"/>
              </w:rPr>
              <w:t>20)</w:t>
            </w:r>
          </w:p>
        </w:tc>
        <w:tc>
          <w:tcPr>
            <w:tcW w:w="0" w:type="auto"/>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14:paraId="13468F4C" w14:textId="5B2FEC6D"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97.320</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4F40405" w14:textId="6FEE2B23"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58.369</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04AEA23" w14:textId="2A8BCD46"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79.131</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5053502" w14:textId="77F816FF"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79.011</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3CF3D9B" w14:textId="5A26E828"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79.296</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07B3FC5" w14:textId="562E15D0"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31.922</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34A47F4" w14:textId="40B7205D"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36.769</w:t>
            </w:r>
            <w:r w:rsidRPr="000D3AD1">
              <w:rPr>
                <w:rFonts w:ascii="Times New Roman" w:hAnsi="Times New Roman" w:cs="Times New Roman"/>
                <w:color w:val="000000"/>
                <w:sz w:val="20"/>
                <w:szCs w:val="20"/>
                <w:vertAlign w:val="superscript"/>
              </w:rPr>
              <w:t xml:space="preserve"> 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3B717E2" w14:textId="4EB3C117" w:rsidR="00F31C9D" w:rsidRPr="000D3AD1" w:rsidRDefault="00F31C9D" w:rsidP="00F31C9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97.320</w:t>
            </w:r>
            <w:r w:rsidRPr="000D3AD1">
              <w:rPr>
                <w:rFonts w:ascii="Times New Roman" w:hAnsi="Times New Roman" w:cs="Times New Roman"/>
                <w:color w:val="000000"/>
                <w:sz w:val="20"/>
                <w:szCs w:val="20"/>
                <w:vertAlign w:val="superscript"/>
              </w:rPr>
              <w:t xml:space="preserve"> a</w:t>
            </w:r>
          </w:p>
        </w:tc>
      </w:tr>
      <w:tr w:rsidR="00F31C9D" w:rsidRPr="000D3AD1" w14:paraId="5F9D1735" w14:textId="77777777" w:rsidTr="00F31C9D">
        <w:trPr>
          <w:trHeight w:val="264"/>
          <w:jc w:val="center"/>
        </w:trPr>
        <w:tc>
          <w:tcPr>
            <w:tcW w:w="0" w:type="auto"/>
            <w:gridSpan w:val="9"/>
            <w:tcBorders>
              <w:top w:val="nil"/>
              <w:left w:val="nil"/>
              <w:bottom w:val="nil"/>
              <w:right w:val="nil"/>
            </w:tcBorders>
            <w:shd w:val="clear" w:color="auto" w:fill="auto"/>
            <w:noWrap/>
            <w:tcMar>
              <w:top w:w="15" w:type="dxa"/>
              <w:left w:w="15" w:type="dxa"/>
              <w:bottom w:w="0" w:type="dxa"/>
              <w:right w:w="15" w:type="dxa"/>
            </w:tcMar>
            <w:vAlign w:val="bottom"/>
            <w:hideMark/>
          </w:tcPr>
          <w:p w14:paraId="7F5DA7E9" w14:textId="7E0E90C9" w:rsidR="00371384" w:rsidRPr="000D3AD1" w:rsidRDefault="00F31C9D"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 xml:space="preserve">Note: </w:t>
            </w:r>
            <w:r w:rsidR="00371384" w:rsidRPr="000D3AD1">
              <w:rPr>
                <w:rFonts w:ascii="Times New Roman" w:hAnsi="Times New Roman" w:cs="Times New Roman"/>
                <w:color w:val="000000"/>
                <w:sz w:val="20"/>
                <w:szCs w:val="20"/>
              </w:rPr>
              <w:t xml:space="preserve">Dow Jones Islamic Index (DJIS), Dow Jones Sukuk Index (DJSK), S&amp;P Green Bond Index (SPGB), Dow Jones Sustainability Index (DJSI), S&amp;P Global Clean Energy Index (SPGC), S&amp;P GSCI Commodity Index (GSCI), Bloomberg Barclays Global Treasury Index (BBGT), S&amp;P 500 Composite Index (SP500). </w:t>
            </w:r>
          </w:p>
          <w:p w14:paraId="7A490DA3" w14:textId="6B45B9D7" w:rsidR="00F31C9D" w:rsidRPr="000D3AD1" w:rsidRDefault="0073584E" w:rsidP="00F31C9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w:t>
            </w:r>
            <w:r w:rsidR="00F31C9D" w:rsidRPr="000D3AD1">
              <w:rPr>
                <w:rFonts w:ascii="Times New Roman" w:hAnsi="Times New Roman" w:cs="Times New Roman"/>
                <w:color w:val="000000"/>
                <w:sz w:val="20"/>
                <w:szCs w:val="20"/>
              </w:rPr>
              <w:t>a</w:t>
            </w:r>
            <w:r w:rsidRPr="000D3AD1">
              <w:rPr>
                <w:rFonts w:ascii="Times New Roman" w:hAnsi="Times New Roman" w:cs="Times New Roman"/>
                <w:color w:val="000000"/>
                <w:sz w:val="20"/>
                <w:szCs w:val="20"/>
              </w:rPr>
              <w:t>’</w:t>
            </w:r>
            <w:r w:rsidR="00F31C9D" w:rsidRPr="000D3AD1">
              <w:rPr>
                <w:rFonts w:ascii="Times New Roman" w:hAnsi="Times New Roman" w:cs="Times New Roman"/>
                <w:color w:val="000000"/>
                <w:sz w:val="20"/>
                <w:szCs w:val="20"/>
              </w:rPr>
              <w:t xml:space="preserve"> indicates significance at 1%.</w:t>
            </w:r>
          </w:p>
        </w:tc>
      </w:tr>
    </w:tbl>
    <w:p w14:paraId="53E45857" w14:textId="51A252EC" w:rsidR="008640F3" w:rsidRPr="000D3AD1" w:rsidRDefault="008640F3" w:rsidP="00DB5493">
      <w:pPr>
        <w:rPr>
          <w:rFonts w:ascii="Times New Roman" w:hAnsi="Times New Roman" w:cs="Times New Roman"/>
        </w:rPr>
      </w:pPr>
    </w:p>
    <w:p w14:paraId="5B541547" w14:textId="77777777" w:rsidR="008640F3" w:rsidRPr="000D3AD1" w:rsidRDefault="008640F3">
      <w:pPr>
        <w:rPr>
          <w:rFonts w:ascii="Times New Roman" w:hAnsi="Times New Roman" w:cs="Times New Roman"/>
        </w:rPr>
      </w:pPr>
      <w:r w:rsidRPr="000D3AD1">
        <w:rPr>
          <w:rFonts w:ascii="Times New Roman" w:hAnsi="Times New Roman" w:cs="Times New Roman"/>
        </w:rPr>
        <w:br w:type="page"/>
      </w:r>
    </w:p>
    <w:p w14:paraId="60B4D739" w14:textId="55DD1D7F" w:rsidR="00B13B01" w:rsidRPr="000D3AD1" w:rsidRDefault="00B13B01">
      <w:pPr>
        <w:rPr>
          <w:rFonts w:ascii="Times New Roman" w:hAnsi="Times New Roman" w:cs="Times New Roman"/>
          <w:sz w:val="24"/>
          <w:szCs w:val="24"/>
        </w:rPr>
      </w:pPr>
      <w:r w:rsidRPr="000D3AD1">
        <w:rPr>
          <w:rFonts w:ascii="Times New Roman" w:hAnsi="Times New Roman" w:cs="Times New Roman"/>
          <w:sz w:val="24"/>
          <w:szCs w:val="24"/>
        </w:rPr>
        <w:lastRenderedPageBreak/>
        <w:t>Figure 1. Q-Q plots</w:t>
      </w:r>
      <w:r w:rsidR="00F31C9D" w:rsidRPr="000D3AD1">
        <w:rPr>
          <w:rFonts w:ascii="Times New Roman" w:hAnsi="Times New Roman" w:cs="Times New Roman"/>
          <w:sz w:val="24"/>
          <w:szCs w:val="24"/>
        </w:rPr>
        <w:t xml:space="preserve"> for </w:t>
      </w:r>
      <w:r w:rsidR="00D17933" w:rsidRPr="000D3AD1">
        <w:rPr>
          <w:rFonts w:ascii="Times New Roman" w:hAnsi="Times New Roman" w:cs="Times New Roman"/>
          <w:sz w:val="24"/>
          <w:szCs w:val="24"/>
        </w:rPr>
        <w:t xml:space="preserve">green, </w:t>
      </w:r>
      <w:proofErr w:type="gramStart"/>
      <w:r w:rsidR="00D17933" w:rsidRPr="000D3AD1">
        <w:rPr>
          <w:rFonts w:ascii="Times New Roman" w:hAnsi="Times New Roman" w:cs="Times New Roman"/>
          <w:sz w:val="24"/>
          <w:szCs w:val="24"/>
        </w:rPr>
        <w:t>conventional</w:t>
      </w:r>
      <w:proofErr w:type="gramEnd"/>
      <w:r w:rsidR="00D17933" w:rsidRPr="000D3AD1">
        <w:rPr>
          <w:rFonts w:ascii="Times New Roman" w:hAnsi="Times New Roman" w:cs="Times New Roman"/>
          <w:sz w:val="24"/>
          <w:szCs w:val="24"/>
        </w:rPr>
        <w:t xml:space="preserve"> and Islamic markets</w:t>
      </w:r>
    </w:p>
    <w:p w14:paraId="2D93244B" w14:textId="799C2256" w:rsidR="00B13B01" w:rsidRPr="000D3AD1" w:rsidRDefault="00B13B01">
      <w:pPr>
        <w:rPr>
          <w:rFonts w:ascii="Times New Roman" w:hAnsi="Times New Roman" w:cs="Times New Roman"/>
          <w:sz w:val="24"/>
          <w:szCs w:val="24"/>
        </w:rPr>
      </w:pPr>
      <w:r w:rsidRPr="000D3AD1">
        <w:rPr>
          <w:rFonts w:ascii="Times New Roman" w:hAnsi="Times New Roman" w:cs="Times New Roman"/>
          <w:noProof/>
          <w:sz w:val="24"/>
          <w:szCs w:val="24"/>
        </w:rPr>
        <w:drawing>
          <wp:inline distT="0" distB="0" distL="0" distR="0" wp14:anchorId="75DE3EA4" wp14:editId="4BB1C77A">
            <wp:extent cx="5731510" cy="4690110"/>
            <wp:effectExtent l="0" t="0" r="254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Q Plots.tiff"/>
                    <pic:cNvPicPr/>
                  </pic:nvPicPr>
                  <pic:blipFill>
                    <a:blip r:embed="rId11">
                      <a:extLst>
                        <a:ext uri="{28A0092B-C50C-407E-A947-70E740481C1C}">
                          <a14:useLocalDpi xmlns:a14="http://schemas.microsoft.com/office/drawing/2010/main" val="0"/>
                        </a:ext>
                      </a:extLst>
                    </a:blip>
                    <a:stretch>
                      <a:fillRect/>
                    </a:stretch>
                  </pic:blipFill>
                  <pic:spPr>
                    <a:xfrm>
                      <a:off x="0" y="0"/>
                      <a:ext cx="5731510" cy="4690110"/>
                    </a:xfrm>
                    <a:prstGeom prst="rect">
                      <a:avLst/>
                    </a:prstGeom>
                  </pic:spPr>
                </pic:pic>
              </a:graphicData>
            </a:graphic>
          </wp:inline>
        </w:drawing>
      </w:r>
      <w:r w:rsidRPr="000D3AD1">
        <w:rPr>
          <w:rFonts w:ascii="Times New Roman" w:hAnsi="Times New Roman" w:cs="Times New Roman"/>
          <w:sz w:val="24"/>
          <w:szCs w:val="24"/>
        </w:rPr>
        <w:t xml:space="preserve"> </w:t>
      </w:r>
      <w:r w:rsidRPr="000D3AD1">
        <w:rPr>
          <w:rFonts w:ascii="Times New Roman" w:hAnsi="Times New Roman" w:cs="Times New Roman"/>
          <w:sz w:val="24"/>
          <w:szCs w:val="24"/>
        </w:rPr>
        <w:br w:type="page"/>
      </w:r>
    </w:p>
    <w:p w14:paraId="5C5C44AB" w14:textId="5D2B581C" w:rsidR="00B13B01" w:rsidRPr="000D3AD1" w:rsidRDefault="00BE0446">
      <w:pPr>
        <w:rPr>
          <w:rFonts w:ascii="Times New Roman" w:hAnsi="Times New Roman" w:cs="Times New Roman"/>
          <w:sz w:val="24"/>
          <w:szCs w:val="24"/>
        </w:rPr>
      </w:pPr>
      <w:r w:rsidRPr="000D3AD1">
        <w:rPr>
          <w:rFonts w:ascii="Times New Roman" w:hAnsi="Times New Roman" w:cs="Times New Roman"/>
          <w:sz w:val="24"/>
          <w:szCs w:val="24"/>
        </w:rPr>
        <w:lastRenderedPageBreak/>
        <w:t xml:space="preserve">Figure </w:t>
      </w:r>
      <w:r w:rsidR="00B13B01" w:rsidRPr="000D3AD1">
        <w:rPr>
          <w:rFonts w:ascii="Times New Roman" w:hAnsi="Times New Roman" w:cs="Times New Roman"/>
          <w:sz w:val="24"/>
          <w:szCs w:val="24"/>
        </w:rPr>
        <w:t>2</w:t>
      </w:r>
      <w:r w:rsidRPr="000D3AD1">
        <w:rPr>
          <w:rFonts w:ascii="Times New Roman" w:hAnsi="Times New Roman" w:cs="Times New Roman"/>
          <w:sz w:val="24"/>
          <w:szCs w:val="24"/>
        </w:rPr>
        <w:t xml:space="preserve">. </w:t>
      </w:r>
      <w:r w:rsidR="00B13B01" w:rsidRPr="000D3AD1">
        <w:rPr>
          <w:rFonts w:ascii="Times New Roman" w:hAnsi="Times New Roman" w:cs="Times New Roman"/>
          <w:sz w:val="24"/>
          <w:szCs w:val="24"/>
        </w:rPr>
        <w:t>Correlation plot</w:t>
      </w:r>
      <w:r w:rsidR="00F31C9D" w:rsidRPr="000D3AD1">
        <w:rPr>
          <w:rFonts w:ascii="Times New Roman" w:hAnsi="Times New Roman" w:cs="Times New Roman"/>
          <w:sz w:val="24"/>
          <w:szCs w:val="24"/>
        </w:rPr>
        <w:t xml:space="preserve"> among</w:t>
      </w:r>
      <w:r w:rsidR="00D17933" w:rsidRPr="000D3AD1">
        <w:rPr>
          <w:rFonts w:ascii="Times New Roman" w:hAnsi="Times New Roman" w:cs="Times New Roman"/>
          <w:sz w:val="24"/>
          <w:szCs w:val="24"/>
        </w:rPr>
        <w:t xml:space="preserve"> </w:t>
      </w:r>
      <w:r w:rsidR="00CE555C" w:rsidRPr="000D3AD1">
        <w:rPr>
          <w:rFonts w:ascii="Times New Roman" w:hAnsi="Times New Roman" w:cs="Times New Roman"/>
          <w:sz w:val="24"/>
          <w:szCs w:val="24"/>
        </w:rPr>
        <w:t xml:space="preserve">sustainable, religious, and </w:t>
      </w:r>
      <w:r w:rsidR="00D17933" w:rsidRPr="000D3AD1">
        <w:rPr>
          <w:rFonts w:ascii="Times New Roman" w:hAnsi="Times New Roman" w:cs="Times New Roman"/>
          <w:sz w:val="24"/>
          <w:szCs w:val="24"/>
        </w:rPr>
        <w:t xml:space="preserve">conventional </w:t>
      </w:r>
      <w:r w:rsidR="00F31C9D" w:rsidRPr="000D3AD1">
        <w:rPr>
          <w:rFonts w:ascii="Times New Roman" w:hAnsi="Times New Roman" w:cs="Times New Roman"/>
          <w:sz w:val="24"/>
          <w:szCs w:val="24"/>
        </w:rPr>
        <w:t>markets</w:t>
      </w:r>
    </w:p>
    <w:p w14:paraId="44CFB31E" w14:textId="0D738048" w:rsidR="00BE0446" w:rsidRPr="000D3AD1" w:rsidRDefault="00B13B01">
      <w:pPr>
        <w:rPr>
          <w:rFonts w:ascii="Times New Roman" w:hAnsi="Times New Roman" w:cs="Times New Roman"/>
          <w:sz w:val="24"/>
          <w:szCs w:val="24"/>
        </w:rPr>
      </w:pPr>
      <w:r w:rsidRPr="000D3AD1">
        <w:rPr>
          <w:rFonts w:ascii="Times New Roman" w:hAnsi="Times New Roman" w:cs="Times New Roman"/>
          <w:noProof/>
          <w:sz w:val="24"/>
          <w:szCs w:val="24"/>
        </w:rPr>
        <w:drawing>
          <wp:inline distT="0" distB="0" distL="0" distR="0" wp14:anchorId="230D1277" wp14:editId="0CF72733">
            <wp:extent cx="5731510" cy="4691380"/>
            <wp:effectExtent l="0" t="0" r="2540" b="0"/>
            <wp:docPr id="1" name="Picture 1" descr="Diagram,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relation.tiff"/>
                    <pic:cNvPicPr/>
                  </pic:nvPicPr>
                  <pic:blipFill>
                    <a:blip r:embed="rId12">
                      <a:extLst>
                        <a:ext uri="{28A0092B-C50C-407E-A947-70E740481C1C}">
                          <a14:useLocalDpi xmlns:a14="http://schemas.microsoft.com/office/drawing/2010/main" val="0"/>
                        </a:ext>
                      </a:extLst>
                    </a:blip>
                    <a:stretch>
                      <a:fillRect/>
                    </a:stretch>
                  </pic:blipFill>
                  <pic:spPr>
                    <a:xfrm>
                      <a:off x="0" y="0"/>
                      <a:ext cx="5731510" cy="4691380"/>
                    </a:xfrm>
                    <a:prstGeom prst="rect">
                      <a:avLst/>
                    </a:prstGeom>
                  </pic:spPr>
                </pic:pic>
              </a:graphicData>
            </a:graphic>
          </wp:inline>
        </w:drawing>
      </w:r>
      <w:r w:rsidR="00BE0446" w:rsidRPr="000D3AD1">
        <w:rPr>
          <w:rFonts w:ascii="Times New Roman" w:hAnsi="Times New Roman" w:cs="Times New Roman"/>
          <w:sz w:val="24"/>
          <w:szCs w:val="24"/>
        </w:rPr>
        <w:br w:type="page"/>
      </w:r>
    </w:p>
    <w:p w14:paraId="19FB1D5E" w14:textId="615C724A" w:rsidR="002654A8" w:rsidRPr="000D3AD1" w:rsidRDefault="008640F3" w:rsidP="00DB5493">
      <w:pPr>
        <w:rPr>
          <w:rFonts w:ascii="Times New Roman" w:hAnsi="Times New Roman" w:cs="Times New Roman"/>
          <w:sz w:val="24"/>
          <w:szCs w:val="24"/>
        </w:rPr>
      </w:pPr>
      <w:r w:rsidRPr="000D3AD1">
        <w:rPr>
          <w:rFonts w:ascii="Times New Roman" w:hAnsi="Times New Roman" w:cs="Times New Roman"/>
          <w:sz w:val="24"/>
          <w:szCs w:val="24"/>
        </w:rPr>
        <w:lastRenderedPageBreak/>
        <w:t xml:space="preserve">Figure </w:t>
      </w:r>
      <w:r w:rsidR="00C4264D" w:rsidRPr="000D3AD1">
        <w:rPr>
          <w:rFonts w:ascii="Times New Roman" w:hAnsi="Times New Roman" w:cs="Times New Roman"/>
          <w:sz w:val="24"/>
          <w:szCs w:val="24"/>
        </w:rPr>
        <w:t>3</w:t>
      </w:r>
      <w:r w:rsidRPr="000D3AD1">
        <w:rPr>
          <w:rFonts w:ascii="Times New Roman" w:hAnsi="Times New Roman" w:cs="Times New Roman"/>
          <w:sz w:val="24"/>
          <w:szCs w:val="24"/>
        </w:rPr>
        <w:t xml:space="preserve">. Plot of Returns (black dots), </w:t>
      </w:r>
      <w:proofErr w:type="spellStart"/>
      <w:r w:rsidRPr="000D3AD1">
        <w:rPr>
          <w:rFonts w:ascii="Times New Roman" w:hAnsi="Times New Roman" w:cs="Times New Roman"/>
          <w:sz w:val="24"/>
          <w:szCs w:val="24"/>
        </w:rPr>
        <w:t>VaR</w:t>
      </w:r>
      <w:proofErr w:type="spellEnd"/>
      <w:r w:rsidRPr="000D3AD1">
        <w:rPr>
          <w:rFonts w:ascii="Times New Roman" w:hAnsi="Times New Roman" w:cs="Times New Roman"/>
          <w:sz w:val="24"/>
          <w:szCs w:val="24"/>
        </w:rPr>
        <w:t xml:space="preserve"> (blue line) and </w:t>
      </w:r>
      <w:proofErr w:type="spellStart"/>
      <w:r w:rsidRPr="000D3AD1">
        <w:rPr>
          <w:rFonts w:ascii="Times New Roman" w:hAnsi="Times New Roman" w:cs="Times New Roman"/>
          <w:sz w:val="24"/>
          <w:szCs w:val="24"/>
        </w:rPr>
        <w:t>CoVaR</w:t>
      </w:r>
      <w:proofErr w:type="spellEnd"/>
      <w:r w:rsidRPr="000D3AD1">
        <w:rPr>
          <w:rFonts w:ascii="Times New Roman" w:hAnsi="Times New Roman" w:cs="Times New Roman"/>
          <w:sz w:val="24"/>
          <w:szCs w:val="24"/>
        </w:rPr>
        <w:t xml:space="preserve"> estimated by neural network quantile regression (red line)</w:t>
      </w:r>
      <w:r w:rsidR="00BE0446" w:rsidRPr="000D3AD1">
        <w:rPr>
          <w:rFonts w:ascii="Times New Roman" w:hAnsi="Times New Roman" w:cs="Times New Roman"/>
          <w:sz w:val="24"/>
          <w:szCs w:val="24"/>
        </w:rPr>
        <w:t xml:space="preserve"> for </w:t>
      </w:r>
      <w:r w:rsidR="00CE555C" w:rsidRPr="000D3AD1">
        <w:rPr>
          <w:rFonts w:ascii="Times New Roman" w:hAnsi="Times New Roman" w:cs="Times New Roman"/>
          <w:sz w:val="24"/>
          <w:szCs w:val="24"/>
        </w:rPr>
        <w:t xml:space="preserve">sustainable, religious, and conventional </w:t>
      </w:r>
      <w:r w:rsidR="007A151C" w:rsidRPr="000D3AD1">
        <w:rPr>
          <w:rFonts w:ascii="Times New Roman" w:hAnsi="Times New Roman" w:cs="Times New Roman"/>
          <w:sz w:val="24"/>
          <w:szCs w:val="24"/>
        </w:rPr>
        <w:t>markets</w:t>
      </w:r>
      <w:r w:rsidR="00BE0446" w:rsidRPr="000D3AD1">
        <w:rPr>
          <w:rFonts w:ascii="Times New Roman" w:hAnsi="Times New Roman" w:cs="Times New Roman"/>
          <w:sz w:val="24"/>
          <w:szCs w:val="24"/>
        </w:rPr>
        <w:t>,</w:t>
      </w:r>
      <w:r w:rsidRPr="000D3AD1">
        <w:rPr>
          <w:rFonts w:ascii="Times New Roman" w:hAnsi="Times New Roman" w:cs="Times New Roman"/>
          <w:sz w:val="24"/>
          <w:szCs w:val="24"/>
        </w:rPr>
        <w:t xml:space="preserve"> Tau = 5%.</w:t>
      </w:r>
    </w:p>
    <w:p w14:paraId="4626A13F" w14:textId="4A42E11E" w:rsidR="008640F3" w:rsidRPr="000D3AD1" w:rsidRDefault="00177393">
      <w:pPr>
        <w:rPr>
          <w:rFonts w:ascii="Times New Roman" w:hAnsi="Times New Roman" w:cs="Times New Roman"/>
        </w:rPr>
      </w:pPr>
      <w:r w:rsidRPr="000D3AD1">
        <w:rPr>
          <w:rFonts w:ascii="Times New Roman" w:hAnsi="Times New Roman" w:cs="Times New Roman"/>
          <w:noProof/>
        </w:rPr>
        <w:drawing>
          <wp:inline distT="0" distB="0" distL="0" distR="0" wp14:anchorId="57F27E58" wp14:editId="7BB9966F">
            <wp:extent cx="5036820" cy="71122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311" cy="7131263"/>
                    </a:xfrm>
                    <a:prstGeom prst="rect">
                      <a:avLst/>
                    </a:prstGeom>
                    <a:noFill/>
                    <a:ln>
                      <a:noFill/>
                    </a:ln>
                  </pic:spPr>
                </pic:pic>
              </a:graphicData>
            </a:graphic>
          </wp:inline>
        </w:drawing>
      </w:r>
      <w:r w:rsidR="008640F3" w:rsidRPr="000D3AD1">
        <w:rPr>
          <w:rFonts w:ascii="Times New Roman" w:hAnsi="Times New Roman" w:cs="Times New Roman"/>
        </w:rPr>
        <w:br w:type="page"/>
      </w:r>
    </w:p>
    <w:p w14:paraId="7664BDCC" w14:textId="40B8B730" w:rsidR="008640F3" w:rsidRPr="000D3AD1" w:rsidRDefault="008640F3" w:rsidP="00DB5493">
      <w:pPr>
        <w:rPr>
          <w:rFonts w:ascii="Times New Roman" w:hAnsi="Times New Roman" w:cs="Times New Roman"/>
          <w:sz w:val="24"/>
          <w:szCs w:val="24"/>
        </w:rPr>
      </w:pPr>
      <w:r w:rsidRPr="000D3AD1">
        <w:rPr>
          <w:rFonts w:ascii="Times New Roman" w:hAnsi="Times New Roman" w:cs="Times New Roman"/>
          <w:sz w:val="24"/>
          <w:szCs w:val="24"/>
        </w:rPr>
        <w:lastRenderedPageBreak/>
        <w:t xml:space="preserve">Figure </w:t>
      </w:r>
      <w:r w:rsidR="00C4264D" w:rsidRPr="000D3AD1">
        <w:rPr>
          <w:rFonts w:ascii="Times New Roman" w:hAnsi="Times New Roman" w:cs="Times New Roman"/>
          <w:sz w:val="24"/>
          <w:szCs w:val="24"/>
        </w:rPr>
        <w:t>4</w:t>
      </w:r>
      <w:r w:rsidRPr="000D3AD1">
        <w:rPr>
          <w:rFonts w:ascii="Times New Roman" w:hAnsi="Times New Roman" w:cs="Times New Roman"/>
          <w:sz w:val="24"/>
          <w:szCs w:val="24"/>
        </w:rPr>
        <w:t xml:space="preserve">. Time average of risk spillover effects across </w:t>
      </w:r>
      <w:r w:rsidR="00CE555C" w:rsidRPr="000D3AD1">
        <w:rPr>
          <w:rFonts w:ascii="Times New Roman" w:hAnsi="Times New Roman" w:cs="Times New Roman"/>
          <w:sz w:val="24"/>
          <w:szCs w:val="24"/>
        </w:rPr>
        <w:t xml:space="preserve">sustainable, religious, and conventional </w:t>
      </w:r>
      <w:r w:rsidR="00D17933" w:rsidRPr="000D3AD1">
        <w:rPr>
          <w:rFonts w:ascii="Times New Roman" w:hAnsi="Times New Roman" w:cs="Times New Roman"/>
          <w:sz w:val="24"/>
          <w:szCs w:val="24"/>
        </w:rPr>
        <w:t>markets</w:t>
      </w:r>
      <w:r w:rsidRPr="000D3AD1">
        <w:rPr>
          <w:rFonts w:ascii="Times New Roman" w:hAnsi="Times New Roman" w:cs="Times New Roman"/>
          <w:sz w:val="24"/>
          <w:szCs w:val="24"/>
        </w:rPr>
        <w:t xml:space="preserve"> for different time periods.</w:t>
      </w:r>
    </w:p>
    <w:p w14:paraId="7FD3C337" w14:textId="77777777" w:rsidR="00706BFB" w:rsidRPr="000D3AD1" w:rsidRDefault="00706BFB" w:rsidP="00DB5493">
      <w:pPr>
        <w:rPr>
          <w:rFonts w:ascii="Times New Roman" w:hAnsi="Times New Roman" w:cs="Times New Roman"/>
        </w:rPr>
      </w:pPr>
    </w:p>
    <w:p w14:paraId="50434443" w14:textId="1D87DA70" w:rsidR="000A0A72" w:rsidRPr="000D3AD1" w:rsidRDefault="00706BFB" w:rsidP="00DB5493">
      <w:pPr>
        <w:rPr>
          <w:rFonts w:ascii="Times New Roman" w:hAnsi="Times New Roman" w:cs="Times New Roman"/>
        </w:rPr>
      </w:pPr>
      <w:r w:rsidRPr="000D3AD1">
        <w:rPr>
          <w:rFonts w:ascii="Times New Roman" w:hAnsi="Times New Roman" w:cs="Times New Roman"/>
        </w:rPr>
        <w:t>a</w:t>
      </w:r>
      <w:r w:rsidR="008640F3" w:rsidRPr="000D3AD1">
        <w:rPr>
          <w:rFonts w:ascii="Times New Roman" w:hAnsi="Times New Roman" w:cs="Times New Roman"/>
        </w:rPr>
        <w:t xml:space="preserve">) </w:t>
      </w:r>
      <w:r w:rsidRPr="000D3AD1">
        <w:rPr>
          <w:rFonts w:ascii="Times New Roman" w:hAnsi="Times New Roman" w:cs="Times New Roman"/>
        </w:rPr>
        <w:t>Pre COVID-19 crisis period</w:t>
      </w:r>
    </w:p>
    <w:p w14:paraId="0C4F9044" w14:textId="66394E93" w:rsidR="000A0A72" w:rsidRPr="000D3AD1" w:rsidRDefault="00706BFB" w:rsidP="00DB5493">
      <w:pPr>
        <w:rPr>
          <w:rFonts w:ascii="Times New Roman" w:hAnsi="Times New Roman" w:cs="Times New Roman"/>
        </w:rPr>
      </w:pPr>
      <w:r w:rsidRPr="000D3AD1">
        <w:rPr>
          <w:rFonts w:ascii="Times New Roman" w:hAnsi="Times New Roman" w:cs="Times New Roman"/>
          <w:noProof/>
        </w:rPr>
        <w:drawing>
          <wp:inline distT="0" distB="0" distL="0" distR="0" wp14:anchorId="60FCDEBE" wp14:editId="63B79E66">
            <wp:extent cx="3573780" cy="2731025"/>
            <wp:effectExtent l="0" t="0" r="7620" b="0"/>
            <wp:docPr id="10" name="Picture 1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e.tiff"/>
                    <pic:cNvPicPr/>
                  </pic:nvPicPr>
                  <pic:blipFill rotWithShape="1">
                    <a:blip r:embed="rId14">
                      <a:extLst>
                        <a:ext uri="{28A0092B-C50C-407E-A947-70E740481C1C}">
                          <a14:useLocalDpi xmlns:a14="http://schemas.microsoft.com/office/drawing/2010/main" val="0"/>
                        </a:ext>
                      </a:extLst>
                    </a:blip>
                    <a:srcRect l="3977" t="4863" b="5391"/>
                    <a:stretch/>
                  </pic:blipFill>
                  <pic:spPr bwMode="auto">
                    <a:xfrm>
                      <a:off x="0" y="0"/>
                      <a:ext cx="3599027" cy="2750319"/>
                    </a:xfrm>
                    <a:prstGeom prst="rect">
                      <a:avLst/>
                    </a:prstGeom>
                    <a:ln>
                      <a:noFill/>
                    </a:ln>
                    <a:extLst>
                      <a:ext uri="{53640926-AAD7-44D8-BBD7-CCE9431645EC}">
                        <a14:shadowObscured xmlns:a14="http://schemas.microsoft.com/office/drawing/2010/main"/>
                      </a:ext>
                    </a:extLst>
                  </pic:spPr>
                </pic:pic>
              </a:graphicData>
            </a:graphic>
          </wp:inline>
        </w:drawing>
      </w:r>
      <w:r w:rsidR="008640F3" w:rsidRPr="000D3AD1">
        <w:rPr>
          <w:rFonts w:ascii="Times New Roman" w:hAnsi="Times New Roman" w:cs="Times New Roman"/>
        </w:rPr>
        <w:t xml:space="preserve"> </w:t>
      </w:r>
    </w:p>
    <w:p w14:paraId="0F2E546C" w14:textId="77777777" w:rsidR="00706BFB" w:rsidRPr="000D3AD1" w:rsidRDefault="00706BFB" w:rsidP="00DB5493">
      <w:pPr>
        <w:rPr>
          <w:rFonts w:ascii="Times New Roman" w:hAnsi="Times New Roman" w:cs="Times New Roman"/>
        </w:rPr>
      </w:pPr>
    </w:p>
    <w:p w14:paraId="26E3C454" w14:textId="0528029C" w:rsidR="000A0A72" w:rsidRPr="000D3AD1" w:rsidRDefault="00706BFB" w:rsidP="00DB5493">
      <w:pPr>
        <w:rPr>
          <w:rFonts w:ascii="Times New Roman" w:hAnsi="Times New Roman" w:cs="Times New Roman"/>
        </w:rPr>
      </w:pPr>
      <w:r w:rsidRPr="000D3AD1">
        <w:rPr>
          <w:rFonts w:ascii="Times New Roman" w:hAnsi="Times New Roman" w:cs="Times New Roman"/>
        </w:rPr>
        <w:t>b</w:t>
      </w:r>
      <w:r w:rsidR="000A0A72" w:rsidRPr="000D3AD1">
        <w:rPr>
          <w:rFonts w:ascii="Times New Roman" w:hAnsi="Times New Roman" w:cs="Times New Roman"/>
        </w:rPr>
        <w:t xml:space="preserve">) </w:t>
      </w:r>
      <w:r w:rsidRPr="000D3AD1">
        <w:rPr>
          <w:rFonts w:ascii="Times New Roman" w:hAnsi="Times New Roman" w:cs="Times New Roman"/>
        </w:rPr>
        <w:t>COVID-19 crisis period</w:t>
      </w:r>
    </w:p>
    <w:p w14:paraId="26B1B0CE" w14:textId="033FA466" w:rsidR="000A0A72" w:rsidRPr="000D3AD1" w:rsidRDefault="00706BFB" w:rsidP="00DB5493">
      <w:pPr>
        <w:rPr>
          <w:rFonts w:ascii="Times New Roman" w:hAnsi="Times New Roman" w:cs="Times New Roman"/>
        </w:rPr>
      </w:pPr>
      <w:r w:rsidRPr="000D3AD1">
        <w:rPr>
          <w:rFonts w:ascii="Times New Roman" w:hAnsi="Times New Roman" w:cs="Times New Roman"/>
          <w:noProof/>
        </w:rPr>
        <w:drawing>
          <wp:inline distT="0" distB="0" distL="0" distR="0" wp14:anchorId="3B929D6B" wp14:editId="3518FA0A">
            <wp:extent cx="3573780" cy="2677978"/>
            <wp:effectExtent l="0" t="0" r="7620" b="8255"/>
            <wp:docPr id="11" name="Picture 1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V.tiff"/>
                    <pic:cNvPicPr/>
                  </pic:nvPicPr>
                  <pic:blipFill rotWithShape="1">
                    <a:blip r:embed="rId15">
                      <a:extLst>
                        <a:ext uri="{28A0092B-C50C-407E-A947-70E740481C1C}">
                          <a14:useLocalDpi xmlns:a14="http://schemas.microsoft.com/office/drawing/2010/main" val="0"/>
                        </a:ext>
                      </a:extLst>
                    </a:blip>
                    <a:srcRect l="4534" t="6572" b="5936"/>
                    <a:stretch/>
                  </pic:blipFill>
                  <pic:spPr bwMode="auto">
                    <a:xfrm>
                      <a:off x="0" y="0"/>
                      <a:ext cx="3613895" cy="2708038"/>
                    </a:xfrm>
                    <a:prstGeom prst="rect">
                      <a:avLst/>
                    </a:prstGeom>
                    <a:ln>
                      <a:noFill/>
                    </a:ln>
                    <a:extLst>
                      <a:ext uri="{53640926-AAD7-44D8-BBD7-CCE9431645EC}">
                        <a14:shadowObscured xmlns:a14="http://schemas.microsoft.com/office/drawing/2010/main"/>
                      </a:ext>
                    </a:extLst>
                  </pic:spPr>
                </pic:pic>
              </a:graphicData>
            </a:graphic>
          </wp:inline>
        </w:drawing>
      </w:r>
    </w:p>
    <w:p w14:paraId="1EF86BE5" w14:textId="77777777" w:rsidR="00706BFB" w:rsidRPr="000D3AD1" w:rsidRDefault="00706BFB">
      <w:pPr>
        <w:rPr>
          <w:rFonts w:ascii="Times New Roman" w:hAnsi="Times New Roman" w:cs="Times New Roman"/>
          <w:sz w:val="24"/>
          <w:szCs w:val="24"/>
        </w:rPr>
      </w:pPr>
      <w:r w:rsidRPr="000D3AD1">
        <w:rPr>
          <w:rFonts w:ascii="Times New Roman" w:hAnsi="Times New Roman" w:cs="Times New Roman"/>
          <w:sz w:val="24"/>
          <w:szCs w:val="24"/>
        </w:rPr>
        <w:br w:type="page"/>
      </w:r>
    </w:p>
    <w:p w14:paraId="7F2654F1" w14:textId="25A55223" w:rsidR="00B138C1" w:rsidRPr="000D3AD1" w:rsidRDefault="00B138C1" w:rsidP="00DB5493">
      <w:pPr>
        <w:rPr>
          <w:rFonts w:ascii="Times New Roman" w:hAnsi="Times New Roman" w:cs="Times New Roman"/>
          <w:sz w:val="24"/>
          <w:szCs w:val="24"/>
        </w:rPr>
      </w:pPr>
      <w:r w:rsidRPr="000D3AD1">
        <w:rPr>
          <w:rFonts w:ascii="Times New Roman" w:hAnsi="Times New Roman" w:cs="Times New Roman"/>
          <w:sz w:val="24"/>
          <w:szCs w:val="24"/>
        </w:rPr>
        <w:lastRenderedPageBreak/>
        <w:t xml:space="preserve">Figure </w:t>
      </w:r>
      <w:r w:rsidR="00F90603" w:rsidRPr="000D3AD1">
        <w:rPr>
          <w:rFonts w:ascii="Times New Roman" w:hAnsi="Times New Roman" w:cs="Times New Roman"/>
          <w:sz w:val="24"/>
          <w:szCs w:val="24"/>
        </w:rPr>
        <w:t>5</w:t>
      </w:r>
      <w:r w:rsidRPr="000D3AD1">
        <w:rPr>
          <w:rFonts w:ascii="Times New Roman" w:hAnsi="Times New Roman" w:cs="Times New Roman"/>
          <w:sz w:val="24"/>
          <w:szCs w:val="24"/>
        </w:rPr>
        <w:t xml:space="preserve">. Time average of risk spillover effects </w:t>
      </w:r>
      <w:r w:rsidR="00C4264D" w:rsidRPr="000D3AD1">
        <w:rPr>
          <w:rFonts w:ascii="Times New Roman" w:hAnsi="Times New Roman" w:cs="Times New Roman"/>
          <w:sz w:val="24"/>
          <w:szCs w:val="24"/>
        </w:rPr>
        <w:t xml:space="preserve">across </w:t>
      </w:r>
      <w:r w:rsidR="00CE555C" w:rsidRPr="000D3AD1">
        <w:rPr>
          <w:rFonts w:ascii="Times New Roman" w:hAnsi="Times New Roman" w:cs="Times New Roman"/>
          <w:sz w:val="24"/>
          <w:szCs w:val="24"/>
        </w:rPr>
        <w:t xml:space="preserve">sustainable, religious, and conventional </w:t>
      </w:r>
      <w:r w:rsidR="00D17933" w:rsidRPr="000D3AD1">
        <w:rPr>
          <w:rFonts w:ascii="Times New Roman" w:hAnsi="Times New Roman" w:cs="Times New Roman"/>
          <w:sz w:val="24"/>
          <w:szCs w:val="24"/>
        </w:rPr>
        <w:t>markets</w:t>
      </w:r>
      <w:r w:rsidRPr="000D3AD1">
        <w:rPr>
          <w:rFonts w:ascii="Times New Roman" w:hAnsi="Times New Roman" w:cs="Times New Roman"/>
          <w:sz w:val="24"/>
          <w:szCs w:val="24"/>
        </w:rPr>
        <w:t xml:space="preserve"> for different time periods.</w:t>
      </w:r>
    </w:p>
    <w:p w14:paraId="1C78644B" w14:textId="77777777" w:rsidR="00C4264D" w:rsidRPr="000D3AD1" w:rsidRDefault="00C4264D" w:rsidP="00C4264D">
      <w:pPr>
        <w:rPr>
          <w:rFonts w:ascii="Times New Roman" w:hAnsi="Times New Roman" w:cs="Times New Roman"/>
        </w:rPr>
      </w:pPr>
      <w:r w:rsidRPr="000D3AD1">
        <w:rPr>
          <w:rFonts w:ascii="Times New Roman" w:hAnsi="Times New Roman" w:cs="Times New Roman"/>
        </w:rPr>
        <w:t>a) Pre COVID-19 crisis period</w:t>
      </w:r>
    </w:p>
    <w:p w14:paraId="51AC4DF0" w14:textId="6F45BF1C" w:rsidR="00C4264D" w:rsidRPr="000D3AD1" w:rsidRDefault="00C4264D" w:rsidP="00C4264D">
      <w:pPr>
        <w:rPr>
          <w:rFonts w:ascii="Times New Roman" w:hAnsi="Times New Roman" w:cs="Times New Roman"/>
        </w:rPr>
      </w:pPr>
      <w:r w:rsidRPr="000D3AD1">
        <w:rPr>
          <w:rFonts w:ascii="Times New Roman" w:hAnsi="Times New Roman" w:cs="Times New Roman"/>
          <w:noProof/>
        </w:rPr>
        <w:drawing>
          <wp:inline distT="0" distB="0" distL="0" distR="0" wp14:anchorId="61C1924D" wp14:editId="7D8EAF97">
            <wp:extent cx="3416394" cy="3451860"/>
            <wp:effectExtent l="0" t="0" r="0" b="0"/>
            <wp:docPr id="21" name="Picture 21" descr="A picture containing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e_0.7.tiff"/>
                    <pic:cNvPicPr/>
                  </pic:nvPicPr>
                  <pic:blipFill rotWithShape="1">
                    <a:blip r:embed="rId16">
                      <a:extLst>
                        <a:ext uri="{28A0092B-C50C-407E-A947-70E740481C1C}">
                          <a14:useLocalDpi xmlns:a14="http://schemas.microsoft.com/office/drawing/2010/main" val="0"/>
                        </a:ext>
                      </a:extLst>
                    </a:blip>
                    <a:srcRect l="11700" t="2928" r="11456" b="2113"/>
                    <a:stretch/>
                  </pic:blipFill>
                  <pic:spPr bwMode="auto">
                    <a:xfrm>
                      <a:off x="0" y="0"/>
                      <a:ext cx="3446664" cy="3482444"/>
                    </a:xfrm>
                    <a:prstGeom prst="rect">
                      <a:avLst/>
                    </a:prstGeom>
                    <a:ln>
                      <a:noFill/>
                    </a:ln>
                    <a:extLst>
                      <a:ext uri="{53640926-AAD7-44D8-BBD7-CCE9431645EC}">
                        <a14:shadowObscured xmlns:a14="http://schemas.microsoft.com/office/drawing/2010/main"/>
                      </a:ext>
                    </a:extLst>
                  </pic:spPr>
                </pic:pic>
              </a:graphicData>
            </a:graphic>
          </wp:inline>
        </w:drawing>
      </w:r>
      <w:r w:rsidRPr="000D3AD1">
        <w:rPr>
          <w:rFonts w:ascii="Times New Roman" w:hAnsi="Times New Roman" w:cs="Times New Roman"/>
        </w:rPr>
        <w:t xml:space="preserve"> </w:t>
      </w:r>
    </w:p>
    <w:p w14:paraId="03AEF7AF" w14:textId="77777777" w:rsidR="00C4264D" w:rsidRPr="000D3AD1" w:rsidRDefault="00C4264D" w:rsidP="00C4264D">
      <w:pPr>
        <w:rPr>
          <w:rFonts w:ascii="Times New Roman" w:hAnsi="Times New Roman" w:cs="Times New Roman"/>
        </w:rPr>
      </w:pPr>
      <w:r w:rsidRPr="000D3AD1">
        <w:rPr>
          <w:rFonts w:ascii="Times New Roman" w:hAnsi="Times New Roman" w:cs="Times New Roman"/>
        </w:rPr>
        <w:t>b) COVID-19 crisis period</w:t>
      </w:r>
    </w:p>
    <w:p w14:paraId="6A60A427" w14:textId="43FE0919" w:rsidR="00C4264D" w:rsidRPr="000D3AD1" w:rsidRDefault="00C4264D" w:rsidP="00C4264D">
      <w:pPr>
        <w:rPr>
          <w:rFonts w:ascii="Times New Roman" w:hAnsi="Times New Roman" w:cs="Times New Roman"/>
        </w:rPr>
      </w:pPr>
      <w:r w:rsidRPr="000D3AD1">
        <w:rPr>
          <w:rFonts w:ascii="Times New Roman" w:hAnsi="Times New Roman" w:cs="Times New Roman"/>
          <w:noProof/>
        </w:rPr>
        <w:drawing>
          <wp:inline distT="0" distB="0" distL="0" distR="0" wp14:anchorId="03AFE33F" wp14:editId="44992867">
            <wp:extent cx="3416300" cy="3382475"/>
            <wp:effectExtent l="0" t="0" r="0" b="8890"/>
            <wp:docPr id="22" name="Picture 22" descr="A picture containing yellow,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V_0.7.tiff"/>
                    <pic:cNvPicPr/>
                  </pic:nvPicPr>
                  <pic:blipFill rotWithShape="1">
                    <a:blip r:embed="rId17">
                      <a:extLst>
                        <a:ext uri="{28A0092B-C50C-407E-A947-70E740481C1C}">
                          <a14:useLocalDpi xmlns:a14="http://schemas.microsoft.com/office/drawing/2010/main" val="0"/>
                        </a:ext>
                      </a:extLst>
                    </a:blip>
                    <a:srcRect l="11188" t="2831" r="10874" b="2792"/>
                    <a:stretch/>
                  </pic:blipFill>
                  <pic:spPr bwMode="auto">
                    <a:xfrm>
                      <a:off x="0" y="0"/>
                      <a:ext cx="3439495" cy="3405440"/>
                    </a:xfrm>
                    <a:prstGeom prst="rect">
                      <a:avLst/>
                    </a:prstGeom>
                    <a:ln>
                      <a:noFill/>
                    </a:ln>
                    <a:extLst>
                      <a:ext uri="{53640926-AAD7-44D8-BBD7-CCE9431645EC}">
                        <a14:shadowObscured xmlns:a14="http://schemas.microsoft.com/office/drawing/2010/main"/>
                      </a:ext>
                    </a:extLst>
                  </pic:spPr>
                </pic:pic>
              </a:graphicData>
            </a:graphic>
          </wp:inline>
        </w:drawing>
      </w:r>
    </w:p>
    <w:p w14:paraId="49D7E453" w14:textId="30E62780" w:rsidR="009F0715" w:rsidRPr="000D3AD1" w:rsidRDefault="009F0715">
      <w:pPr>
        <w:rPr>
          <w:rFonts w:ascii="Times New Roman" w:hAnsi="Times New Roman" w:cs="Times New Roman"/>
        </w:rPr>
      </w:pPr>
      <w:r w:rsidRPr="000D3AD1">
        <w:rPr>
          <w:rFonts w:ascii="Times New Roman" w:hAnsi="Times New Roman" w:cs="Times New Roman"/>
        </w:rPr>
        <w:br w:type="page"/>
      </w:r>
    </w:p>
    <w:p w14:paraId="264BC81F" w14:textId="53DD83A8" w:rsidR="009F0715" w:rsidRPr="000D3AD1" w:rsidRDefault="009F0715" w:rsidP="009F0715">
      <w:pPr>
        <w:autoSpaceDE w:val="0"/>
        <w:autoSpaceDN w:val="0"/>
        <w:adjustRightInd w:val="0"/>
        <w:spacing w:after="0" w:line="240" w:lineRule="auto"/>
        <w:rPr>
          <w:rFonts w:ascii="Times New Roman" w:hAnsi="Times New Roman" w:cs="Times New Roman"/>
          <w:sz w:val="24"/>
          <w:szCs w:val="24"/>
        </w:rPr>
      </w:pPr>
      <w:r w:rsidRPr="000D3AD1">
        <w:rPr>
          <w:rFonts w:ascii="Times New Roman" w:hAnsi="Times New Roman" w:cs="Times New Roman"/>
          <w:sz w:val="24"/>
          <w:szCs w:val="24"/>
        </w:rPr>
        <w:lastRenderedPageBreak/>
        <w:t xml:space="preserve">Figure </w:t>
      </w:r>
      <w:r w:rsidR="00F90603" w:rsidRPr="000D3AD1">
        <w:rPr>
          <w:rFonts w:ascii="Times New Roman" w:hAnsi="Times New Roman" w:cs="Times New Roman"/>
          <w:sz w:val="24"/>
          <w:szCs w:val="24"/>
        </w:rPr>
        <w:t>6</w:t>
      </w:r>
      <w:r w:rsidRPr="000D3AD1">
        <w:rPr>
          <w:rFonts w:ascii="Times New Roman" w:hAnsi="Times New Roman" w:cs="Times New Roman"/>
          <w:sz w:val="24"/>
          <w:szCs w:val="24"/>
        </w:rPr>
        <w:t>. Time series of the SNRI.</w:t>
      </w:r>
    </w:p>
    <w:p w14:paraId="444915F1" w14:textId="77777777" w:rsidR="009F0715" w:rsidRPr="000D3AD1" w:rsidRDefault="009F0715" w:rsidP="009F0715">
      <w:pPr>
        <w:autoSpaceDE w:val="0"/>
        <w:autoSpaceDN w:val="0"/>
        <w:adjustRightInd w:val="0"/>
        <w:spacing w:after="0" w:line="240" w:lineRule="auto"/>
        <w:rPr>
          <w:rFonts w:ascii="Times New Roman" w:hAnsi="Times New Roman" w:cs="Times New Roman"/>
          <w:sz w:val="24"/>
          <w:szCs w:val="24"/>
        </w:rPr>
      </w:pPr>
    </w:p>
    <w:p w14:paraId="42DB9FBC" w14:textId="1DA63F19" w:rsidR="009F0715" w:rsidRPr="000D3AD1" w:rsidRDefault="00B13B01" w:rsidP="009F0715">
      <w:pPr>
        <w:autoSpaceDE w:val="0"/>
        <w:autoSpaceDN w:val="0"/>
        <w:adjustRightInd w:val="0"/>
        <w:spacing w:after="0" w:line="240" w:lineRule="auto"/>
        <w:rPr>
          <w:rFonts w:ascii="Times New Roman" w:hAnsi="Times New Roman" w:cs="Times New Roman"/>
          <w:sz w:val="24"/>
          <w:szCs w:val="24"/>
        </w:rPr>
      </w:pPr>
      <w:r w:rsidRPr="000D3AD1">
        <w:rPr>
          <w:rFonts w:ascii="Times New Roman" w:hAnsi="Times New Roman" w:cs="Times New Roman"/>
          <w:noProof/>
          <w:sz w:val="24"/>
          <w:szCs w:val="24"/>
        </w:rPr>
        <w:drawing>
          <wp:inline distT="0" distB="0" distL="0" distR="0" wp14:anchorId="0DCF6F56" wp14:editId="420CABEA">
            <wp:extent cx="5341620" cy="3901440"/>
            <wp:effectExtent l="0" t="0" r="0" b="3810"/>
            <wp:docPr id="8" name="Picture 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NRI.tiff"/>
                    <pic:cNvPicPr/>
                  </pic:nvPicPr>
                  <pic:blipFill rotWithShape="1">
                    <a:blip r:embed="rId18">
                      <a:extLst>
                        <a:ext uri="{28A0092B-C50C-407E-A947-70E740481C1C}">
                          <a14:useLocalDpi xmlns:a14="http://schemas.microsoft.com/office/drawing/2010/main" val="0"/>
                        </a:ext>
                      </a:extLst>
                    </a:blip>
                    <a:srcRect l="3191" t="9273" r="3612" b="7442"/>
                    <a:stretch/>
                  </pic:blipFill>
                  <pic:spPr bwMode="auto">
                    <a:xfrm>
                      <a:off x="0" y="0"/>
                      <a:ext cx="5341620" cy="3901440"/>
                    </a:xfrm>
                    <a:prstGeom prst="rect">
                      <a:avLst/>
                    </a:prstGeom>
                    <a:ln>
                      <a:noFill/>
                    </a:ln>
                    <a:extLst>
                      <a:ext uri="{53640926-AAD7-44D8-BBD7-CCE9431645EC}">
                        <a14:shadowObscured xmlns:a14="http://schemas.microsoft.com/office/drawing/2010/main"/>
                      </a:ext>
                    </a:extLst>
                  </pic:spPr>
                </pic:pic>
              </a:graphicData>
            </a:graphic>
          </wp:inline>
        </w:drawing>
      </w:r>
    </w:p>
    <w:p w14:paraId="1233F92E" w14:textId="77777777" w:rsidR="00B2613A" w:rsidRPr="000D3AD1" w:rsidRDefault="00B2613A" w:rsidP="009F0715">
      <w:pPr>
        <w:rPr>
          <w:rFonts w:ascii="Times New Roman" w:hAnsi="Times New Roman" w:cs="Times New Roman"/>
          <w:sz w:val="24"/>
          <w:szCs w:val="24"/>
        </w:rPr>
      </w:pPr>
    </w:p>
    <w:p w14:paraId="1A833AC8" w14:textId="6EEB08FE" w:rsidR="009F0715" w:rsidRPr="000D3AD1" w:rsidRDefault="009F0715">
      <w:pPr>
        <w:rPr>
          <w:rFonts w:ascii="Times New Roman" w:hAnsi="Times New Roman" w:cs="Times New Roman"/>
          <w:sz w:val="24"/>
          <w:szCs w:val="24"/>
        </w:rPr>
      </w:pPr>
      <w:r w:rsidRPr="000D3AD1">
        <w:rPr>
          <w:rFonts w:ascii="Times New Roman" w:hAnsi="Times New Roman" w:cs="Times New Roman"/>
          <w:sz w:val="24"/>
          <w:szCs w:val="24"/>
        </w:rPr>
        <w:t xml:space="preserve">Note: </w:t>
      </w:r>
      <w:r w:rsidR="00B13B01" w:rsidRPr="000D3AD1">
        <w:rPr>
          <w:rFonts w:ascii="Times New Roman" w:hAnsi="Times New Roman" w:cs="Times New Roman"/>
          <w:sz w:val="24"/>
          <w:szCs w:val="24"/>
        </w:rPr>
        <w:t>T</w:t>
      </w:r>
      <w:r w:rsidRPr="000D3AD1">
        <w:rPr>
          <w:rFonts w:ascii="Times New Roman" w:hAnsi="Times New Roman" w:cs="Times New Roman"/>
          <w:sz w:val="24"/>
          <w:szCs w:val="24"/>
        </w:rPr>
        <w:t>he blue line indicates smoothed SNRI</w:t>
      </w:r>
      <w:r w:rsidRPr="000D3AD1">
        <w:rPr>
          <w:rFonts w:ascii="Times New Roman" w:hAnsi="Times New Roman" w:cs="Times New Roman"/>
          <w:sz w:val="24"/>
          <w:szCs w:val="24"/>
        </w:rPr>
        <w:br w:type="page"/>
      </w:r>
    </w:p>
    <w:p w14:paraId="5972FB53" w14:textId="658CE3A1" w:rsidR="00B138C1" w:rsidRPr="000D3AD1" w:rsidRDefault="00B138C1" w:rsidP="009F0715">
      <w:pPr>
        <w:rPr>
          <w:rFonts w:ascii="Times New Roman" w:hAnsi="Times New Roman" w:cs="Times New Roman"/>
        </w:rPr>
      </w:pPr>
    </w:p>
    <w:tbl>
      <w:tblPr>
        <w:tblW w:w="7186" w:type="dxa"/>
        <w:jc w:val="center"/>
        <w:tblCellMar>
          <w:left w:w="0" w:type="dxa"/>
          <w:right w:w="0" w:type="dxa"/>
        </w:tblCellMar>
        <w:tblLook w:val="04A0" w:firstRow="1" w:lastRow="0" w:firstColumn="1" w:lastColumn="0" w:noHBand="0" w:noVBand="1"/>
      </w:tblPr>
      <w:tblGrid>
        <w:gridCol w:w="1197"/>
        <w:gridCol w:w="1726"/>
        <w:gridCol w:w="1269"/>
        <w:gridCol w:w="1726"/>
        <w:gridCol w:w="1269"/>
      </w:tblGrid>
      <w:tr w:rsidR="00FB126D" w:rsidRPr="000D3AD1" w14:paraId="2AE66951" w14:textId="77777777" w:rsidTr="00FB126D">
        <w:trPr>
          <w:trHeight w:val="239"/>
          <w:jc w:val="center"/>
        </w:trPr>
        <w:tc>
          <w:tcPr>
            <w:tcW w:w="7186" w:type="dxa"/>
            <w:gridSpan w:val="5"/>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7BBCE4E" w14:textId="68464E28" w:rsidR="00FB126D" w:rsidRPr="000D3AD1" w:rsidRDefault="00FB126D" w:rsidP="00FB126D">
            <w:pPr>
              <w:spacing w:after="0" w:line="240" w:lineRule="auto"/>
              <w:rPr>
                <w:rFonts w:ascii="Times New Roman" w:hAnsi="Times New Roman" w:cs="Times New Roman"/>
                <w:b/>
                <w:bCs/>
                <w:color w:val="000000"/>
                <w:sz w:val="20"/>
                <w:szCs w:val="20"/>
              </w:rPr>
            </w:pPr>
            <w:r w:rsidRPr="000D3AD1">
              <w:rPr>
                <w:rFonts w:ascii="Times New Roman" w:hAnsi="Times New Roman" w:cs="Times New Roman"/>
                <w:b/>
                <w:bCs/>
                <w:color w:val="000000"/>
              </w:rPr>
              <w:t xml:space="preserve">Table 2: Ranking of </w:t>
            </w:r>
            <w:r w:rsidR="00CE555C" w:rsidRPr="000D3AD1">
              <w:rPr>
                <w:rFonts w:ascii="Times New Roman" w:hAnsi="Times New Roman" w:cs="Times New Roman"/>
                <w:b/>
                <w:bCs/>
                <w:sz w:val="24"/>
                <w:szCs w:val="24"/>
              </w:rPr>
              <w:t xml:space="preserve">sustainable, religious, and conventional </w:t>
            </w:r>
            <w:r w:rsidRPr="000D3AD1">
              <w:rPr>
                <w:rFonts w:ascii="Times New Roman" w:hAnsi="Times New Roman" w:cs="Times New Roman"/>
                <w:b/>
                <w:bCs/>
                <w:color w:val="000000"/>
              </w:rPr>
              <w:t>markets according to average SFI for different periods.</w:t>
            </w:r>
          </w:p>
        </w:tc>
      </w:tr>
      <w:tr w:rsidR="00FB126D" w:rsidRPr="000D3AD1" w14:paraId="53E19174"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63203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 </w:t>
            </w:r>
          </w:p>
        </w:tc>
        <w:tc>
          <w:tcPr>
            <w:tcW w:w="0" w:type="auto"/>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bottom"/>
            <w:hideMark/>
          </w:tcPr>
          <w:p w14:paraId="49D8BFD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Pre-COVID-19</w:t>
            </w:r>
          </w:p>
        </w:tc>
        <w:tc>
          <w:tcPr>
            <w:tcW w:w="0" w:type="auto"/>
            <w:gridSpan w:val="2"/>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B457D3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COVID-19</w:t>
            </w:r>
          </w:p>
        </w:tc>
      </w:tr>
      <w:tr w:rsidR="00FB126D" w:rsidRPr="000D3AD1" w14:paraId="169BDF0C"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95ED4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Rank</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5BB8F7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Symbol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77C5CB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SFI</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8FDBC0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Symbol</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92474A6"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SFI</w:t>
            </w:r>
          </w:p>
        </w:tc>
      </w:tr>
      <w:tr w:rsidR="00FB126D" w:rsidRPr="000D3AD1" w14:paraId="33081BEB"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4C8818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1F3F9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SP500</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8D83CD6"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3.664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AA2863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DJIS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035606"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4.678</w:t>
            </w:r>
          </w:p>
        </w:tc>
      </w:tr>
      <w:tr w:rsidR="00FB126D" w:rsidRPr="000D3AD1" w14:paraId="00BBEA2E"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923C40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2479E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BBGT</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E65EE62"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3.643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77006B"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DJSK</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57C20B"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4.644</w:t>
            </w:r>
          </w:p>
        </w:tc>
      </w:tr>
      <w:tr w:rsidR="00FB126D" w:rsidRPr="000D3AD1" w14:paraId="4A083CC2"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413937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0C40C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SPGB</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71CDDD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3.626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78588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SP500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8E8120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4.633</w:t>
            </w:r>
          </w:p>
        </w:tc>
      </w:tr>
      <w:tr w:rsidR="00FB126D" w:rsidRPr="000D3AD1" w14:paraId="7A067764"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90FAA6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08252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DJIS</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88621C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3.523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CCBD77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315E533"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4.624</w:t>
            </w:r>
          </w:p>
        </w:tc>
      </w:tr>
      <w:tr w:rsidR="00FB126D" w:rsidRPr="000D3AD1" w14:paraId="56221B54"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51F3B6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A37BE5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DJSI</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78E894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3.438</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34D83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GSCI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584A2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4.548</w:t>
            </w:r>
          </w:p>
        </w:tc>
      </w:tr>
      <w:tr w:rsidR="00FB126D" w:rsidRPr="000D3AD1" w14:paraId="22B78A71"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57F38D6"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B4515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GSCI</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CA26515"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3.245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0C999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6E04B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4.521</w:t>
            </w:r>
          </w:p>
        </w:tc>
      </w:tr>
      <w:tr w:rsidR="00FB126D" w:rsidRPr="000D3AD1" w14:paraId="498DD809"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646E01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10112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DJSK</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B6DBDC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3.206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C16949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94F7D7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4.472</w:t>
            </w:r>
          </w:p>
        </w:tc>
      </w:tr>
      <w:tr w:rsidR="00FB126D" w:rsidRPr="000D3AD1" w14:paraId="1D2E0DBA"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A5B0E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8</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C7F78E3"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SPGC</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4D6B7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3.096</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21F92C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BBGT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04E0BF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4.273</w:t>
            </w:r>
          </w:p>
        </w:tc>
      </w:tr>
      <w:tr w:rsidR="00FB126D" w:rsidRPr="000D3AD1" w14:paraId="1D7E5615" w14:textId="77777777" w:rsidTr="00FB126D">
        <w:trPr>
          <w:trHeight w:val="239"/>
          <w:jc w:val="center"/>
        </w:trPr>
        <w:tc>
          <w:tcPr>
            <w:tcW w:w="0" w:type="auto"/>
            <w:gridSpan w:val="5"/>
            <w:tcBorders>
              <w:top w:val="nil"/>
              <w:left w:val="nil"/>
              <w:bottom w:val="nil"/>
              <w:right w:val="nil"/>
            </w:tcBorders>
            <w:shd w:val="clear" w:color="auto" w:fill="auto"/>
            <w:noWrap/>
            <w:tcMar>
              <w:top w:w="15" w:type="dxa"/>
              <w:left w:w="15" w:type="dxa"/>
              <w:bottom w:w="0" w:type="dxa"/>
              <w:right w:w="15" w:type="dxa"/>
            </w:tcMar>
            <w:vAlign w:val="bottom"/>
            <w:hideMark/>
          </w:tcPr>
          <w:p w14:paraId="0AD160E1" w14:textId="77777777" w:rsidR="00FB126D" w:rsidRPr="000D3AD1" w:rsidRDefault="00FB126D" w:rsidP="00FB126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Note: This table reports average SFI over different time intervals.</w:t>
            </w:r>
          </w:p>
        </w:tc>
      </w:tr>
    </w:tbl>
    <w:p w14:paraId="69057585" w14:textId="66D2A05F" w:rsidR="009F0715" w:rsidRPr="000D3AD1" w:rsidRDefault="009F0715" w:rsidP="009F0715">
      <w:pPr>
        <w:rPr>
          <w:rFonts w:ascii="Times New Roman" w:hAnsi="Times New Roman" w:cs="Times New Roman"/>
        </w:rPr>
      </w:pPr>
    </w:p>
    <w:p w14:paraId="36C85E2B" w14:textId="77777777" w:rsidR="00B2613A" w:rsidRPr="000D3AD1" w:rsidRDefault="00B2613A" w:rsidP="00B2613A">
      <w:pPr>
        <w:autoSpaceDE w:val="0"/>
        <w:autoSpaceDN w:val="0"/>
        <w:adjustRightInd w:val="0"/>
        <w:spacing w:after="0" w:line="240" w:lineRule="auto"/>
        <w:rPr>
          <w:rFonts w:ascii="Times New Roman" w:hAnsi="Times New Roman" w:cs="Times New Roman"/>
          <w:sz w:val="24"/>
          <w:szCs w:val="24"/>
        </w:rPr>
      </w:pPr>
      <w:r w:rsidRPr="000D3AD1">
        <w:rPr>
          <w:rFonts w:ascii="Times New Roman" w:hAnsi="Times New Roman" w:cs="Times New Roman"/>
          <w:sz w:val="24"/>
          <w:szCs w:val="24"/>
        </w:rPr>
        <w:t>Figure 7. Time series of the SFI for SP500 and DJIS.</w:t>
      </w:r>
    </w:p>
    <w:p w14:paraId="3FD1647F" w14:textId="77777777" w:rsidR="00B2613A" w:rsidRPr="000D3AD1" w:rsidRDefault="00B2613A" w:rsidP="00B2613A">
      <w:pPr>
        <w:autoSpaceDE w:val="0"/>
        <w:autoSpaceDN w:val="0"/>
        <w:adjustRightInd w:val="0"/>
        <w:spacing w:after="0" w:line="240" w:lineRule="auto"/>
        <w:rPr>
          <w:rFonts w:ascii="Times New Roman" w:hAnsi="Times New Roman" w:cs="Times New Roman"/>
          <w:sz w:val="24"/>
          <w:szCs w:val="24"/>
        </w:rPr>
      </w:pPr>
    </w:p>
    <w:p w14:paraId="395F5B97" w14:textId="7E06DF32" w:rsidR="00FB126D" w:rsidRPr="000D3AD1" w:rsidRDefault="00B2613A" w:rsidP="00B2613A">
      <w:pPr>
        <w:rPr>
          <w:rFonts w:ascii="Times New Roman" w:hAnsi="Times New Roman" w:cs="Times New Roman"/>
        </w:rPr>
      </w:pPr>
      <w:r w:rsidRPr="000D3AD1">
        <w:rPr>
          <w:rFonts w:ascii="Times New Roman" w:hAnsi="Times New Roman" w:cs="Times New Roman"/>
          <w:noProof/>
          <w:sz w:val="24"/>
          <w:szCs w:val="24"/>
        </w:rPr>
        <w:drawing>
          <wp:inline distT="0" distB="0" distL="0" distR="0" wp14:anchorId="017F3171" wp14:editId="07986FD4">
            <wp:extent cx="5120640" cy="3726180"/>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5717" t="13550" r="4941" b="3628"/>
                    <a:stretch/>
                  </pic:blipFill>
                  <pic:spPr bwMode="auto">
                    <a:xfrm>
                      <a:off x="0" y="0"/>
                      <a:ext cx="5120640" cy="3726180"/>
                    </a:xfrm>
                    <a:prstGeom prst="rect">
                      <a:avLst/>
                    </a:prstGeom>
                    <a:noFill/>
                    <a:ln>
                      <a:noFill/>
                    </a:ln>
                    <a:extLst>
                      <a:ext uri="{53640926-AAD7-44D8-BBD7-CCE9431645EC}">
                        <a14:shadowObscured xmlns:a14="http://schemas.microsoft.com/office/drawing/2010/main"/>
                      </a:ext>
                    </a:extLst>
                  </pic:spPr>
                </pic:pic>
              </a:graphicData>
            </a:graphic>
          </wp:inline>
        </w:drawing>
      </w:r>
    </w:p>
    <w:p w14:paraId="68AD7BEF" w14:textId="62785E4F" w:rsidR="00B2613A" w:rsidRPr="000D3AD1" w:rsidRDefault="00B2613A">
      <w:pPr>
        <w:rPr>
          <w:rFonts w:ascii="Times New Roman" w:hAnsi="Times New Roman" w:cs="Times New Roman"/>
        </w:rPr>
      </w:pPr>
      <w:r w:rsidRPr="000D3AD1">
        <w:rPr>
          <w:rFonts w:ascii="Times New Roman" w:hAnsi="Times New Roman" w:cs="Times New Roman"/>
        </w:rPr>
        <w:br w:type="page"/>
      </w:r>
    </w:p>
    <w:p w14:paraId="3EC6D869" w14:textId="77777777" w:rsidR="00B2613A" w:rsidRPr="000D3AD1" w:rsidRDefault="00B2613A" w:rsidP="00B2613A">
      <w:pPr>
        <w:rPr>
          <w:rFonts w:ascii="Times New Roman" w:hAnsi="Times New Roman" w:cs="Times New Roman"/>
        </w:rPr>
      </w:pPr>
    </w:p>
    <w:tbl>
      <w:tblPr>
        <w:tblW w:w="7158" w:type="dxa"/>
        <w:jc w:val="center"/>
        <w:tblCellMar>
          <w:left w:w="0" w:type="dxa"/>
          <w:right w:w="0" w:type="dxa"/>
        </w:tblCellMar>
        <w:tblLook w:val="04A0" w:firstRow="1" w:lastRow="0" w:firstColumn="1" w:lastColumn="0" w:noHBand="0" w:noVBand="1"/>
      </w:tblPr>
      <w:tblGrid>
        <w:gridCol w:w="1193"/>
        <w:gridCol w:w="1719"/>
        <w:gridCol w:w="1264"/>
        <w:gridCol w:w="1719"/>
        <w:gridCol w:w="1264"/>
      </w:tblGrid>
      <w:tr w:rsidR="00FB126D" w:rsidRPr="000D3AD1" w14:paraId="73A31FE6" w14:textId="77777777" w:rsidTr="00FB126D">
        <w:trPr>
          <w:trHeight w:val="239"/>
          <w:jc w:val="center"/>
        </w:trPr>
        <w:tc>
          <w:tcPr>
            <w:tcW w:w="7158" w:type="dxa"/>
            <w:gridSpan w:val="5"/>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6E82A14" w14:textId="37B56E33" w:rsidR="00FB126D" w:rsidRPr="000D3AD1" w:rsidRDefault="00FB126D" w:rsidP="00FB126D">
            <w:pPr>
              <w:spacing w:after="0" w:line="240" w:lineRule="auto"/>
              <w:rPr>
                <w:rFonts w:ascii="Times New Roman" w:hAnsi="Times New Roman" w:cs="Times New Roman"/>
                <w:b/>
                <w:bCs/>
                <w:color w:val="000000"/>
              </w:rPr>
            </w:pPr>
            <w:r w:rsidRPr="000D3AD1">
              <w:rPr>
                <w:rFonts w:ascii="Times New Roman" w:hAnsi="Times New Roman" w:cs="Times New Roman"/>
                <w:b/>
                <w:bCs/>
                <w:color w:val="000000"/>
              </w:rPr>
              <w:t xml:space="preserve">Table 3: Ranking of </w:t>
            </w:r>
            <w:r w:rsidR="00CE555C" w:rsidRPr="000D3AD1">
              <w:rPr>
                <w:rFonts w:ascii="Times New Roman" w:hAnsi="Times New Roman" w:cs="Times New Roman"/>
                <w:b/>
                <w:bCs/>
                <w:sz w:val="24"/>
                <w:szCs w:val="24"/>
              </w:rPr>
              <w:t xml:space="preserve">sustainable, religious, and conventional </w:t>
            </w:r>
            <w:r w:rsidR="00D17933" w:rsidRPr="000D3AD1">
              <w:rPr>
                <w:rFonts w:ascii="Times New Roman" w:hAnsi="Times New Roman" w:cs="Times New Roman"/>
                <w:b/>
                <w:bCs/>
                <w:color w:val="000000"/>
              </w:rPr>
              <w:t>markets</w:t>
            </w:r>
            <w:r w:rsidRPr="000D3AD1">
              <w:rPr>
                <w:rFonts w:ascii="Times New Roman" w:hAnsi="Times New Roman" w:cs="Times New Roman"/>
                <w:b/>
                <w:bCs/>
                <w:color w:val="000000"/>
              </w:rPr>
              <w:t xml:space="preserve"> according to average SHI for different periods</w:t>
            </w:r>
          </w:p>
        </w:tc>
      </w:tr>
      <w:tr w:rsidR="00FB126D" w:rsidRPr="000D3AD1" w14:paraId="2607F824"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0BA43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 </w:t>
            </w:r>
          </w:p>
        </w:tc>
        <w:tc>
          <w:tcPr>
            <w:tcW w:w="0" w:type="auto"/>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bottom"/>
            <w:hideMark/>
          </w:tcPr>
          <w:p w14:paraId="5DA73D3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Pre-COVID-19</w:t>
            </w:r>
          </w:p>
        </w:tc>
        <w:tc>
          <w:tcPr>
            <w:tcW w:w="0" w:type="auto"/>
            <w:gridSpan w:val="2"/>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3E4A7D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COVID-19</w:t>
            </w:r>
          </w:p>
        </w:tc>
      </w:tr>
      <w:tr w:rsidR="00FB126D" w:rsidRPr="000D3AD1" w14:paraId="484258CE"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C73B7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Rank</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842366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Symbol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2CE66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SHI</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88FDBFB"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Symbol</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1F6E88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SHI</w:t>
            </w:r>
          </w:p>
        </w:tc>
      </w:tr>
      <w:tr w:rsidR="00FB126D" w:rsidRPr="000D3AD1" w14:paraId="00EF6233"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455BCA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1</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3399D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DJIS</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EA12C36"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6.336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29F76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DJIS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05C1F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6.702</w:t>
            </w:r>
          </w:p>
        </w:tc>
      </w:tr>
      <w:tr w:rsidR="00FB126D" w:rsidRPr="000D3AD1" w14:paraId="5D9C7558"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A96F1D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C9224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DJSI</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E35846B"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5.484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625C94D"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A84CF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6.069</w:t>
            </w:r>
          </w:p>
        </w:tc>
      </w:tr>
      <w:tr w:rsidR="00FB126D" w:rsidRPr="000D3AD1" w14:paraId="7F576ED0"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64E88D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E53C3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SPGB</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E449B3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4.768</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04845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SP500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570B4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5.682</w:t>
            </w:r>
          </w:p>
        </w:tc>
      </w:tr>
      <w:tr w:rsidR="00FB126D" w:rsidRPr="000D3AD1" w14:paraId="10A2BF63"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843163A"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0B881D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SP500</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15AF079"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4.736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C82F1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C37D1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4.724</w:t>
            </w:r>
          </w:p>
        </w:tc>
      </w:tr>
      <w:tr w:rsidR="00FB126D" w:rsidRPr="000D3AD1" w14:paraId="5CEF6F22"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E94FF3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510FC43"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BBGT</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7AA712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4.097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0C3C4B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BBGT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5DF793"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4.673</w:t>
            </w:r>
          </w:p>
        </w:tc>
      </w:tr>
      <w:tr w:rsidR="00FB126D" w:rsidRPr="000D3AD1" w14:paraId="1395CD52"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887560C"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6</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AFCFD6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SPGC</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6911EBF"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3.612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8555B2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SPGC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D97CCBB"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4.100</w:t>
            </w:r>
          </w:p>
        </w:tc>
      </w:tr>
      <w:tr w:rsidR="00FB126D" w:rsidRPr="000D3AD1" w14:paraId="74F26F05" w14:textId="77777777" w:rsidTr="00FB126D">
        <w:trPr>
          <w:trHeight w:val="239"/>
          <w:jc w:val="center"/>
        </w:trPr>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4F27CC8"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A9F52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DJSK</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42D98D4"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3.097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44CCC70"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DJSK</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14BD335"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3.818</w:t>
            </w:r>
          </w:p>
        </w:tc>
      </w:tr>
      <w:tr w:rsidR="00FB126D" w:rsidRPr="000D3AD1" w14:paraId="4AF9BDA0" w14:textId="77777777" w:rsidTr="00FB126D">
        <w:trPr>
          <w:trHeight w:val="239"/>
          <w:jc w:val="center"/>
        </w:trPr>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99F9B2"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8</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50CE447"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GSCI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9E3DA1"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2.548</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3AF080E"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GSCI</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CD4CE43" w14:textId="77777777" w:rsidR="00FB126D" w:rsidRPr="000D3AD1" w:rsidRDefault="00FB126D" w:rsidP="00FB126D">
            <w:pPr>
              <w:spacing w:after="0" w:line="240" w:lineRule="auto"/>
              <w:jc w:val="center"/>
              <w:rPr>
                <w:rFonts w:ascii="Times New Roman" w:hAnsi="Times New Roman" w:cs="Times New Roman"/>
                <w:color w:val="000000"/>
                <w:sz w:val="20"/>
                <w:szCs w:val="20"/>
              </w:rPr>
            </w:pPr>
            <w:r w:rsidRPr="000D3AD1">
              <w:rPr>
                <w:rFonts w:ascii="Times New Roman" w:hAnsi="Times New Roman" w:cs="Times New Roman"/>
                <w:color w:val="000000"/>
                <w:sz w:val="20"/>
                <w:szCs w:val="20"/>
              </w:rPr>
              <w:t>3.212</w:t>
            </w:r>
          </w:p>
        </w:tc>
      </w:tr>
      <w:tr w:rsidR="00FB126D" w:rsidRPr="000D3AD1" w14:paraId="3154B7F6" w14:textId="77777777" w:rsidTr="00FB126D">
        <w:trPr>
          <w:trHeight w:val="239"/>
          <w:jc w:val="center"/>
        </w:trPr>
        <w:tc>
          <w:tcPr>
            <w:tcW w:w="0" w:type="auto"/>
            <w:gridSpan w:val="5"/>
            <w:tcBorders>
              <w:top w:val="nil"/>
              <w:left w:val="nil"/>
              <w:bottom w:val="nil"/>
              <w:right w:val="nil"/>
            </w:tcBorders>
            <w:shd w:val="clear" w:color="auto" w:fill="auto"/>
            <w:noWrap/>
            <w:tcMar>
              <w:top w:w="15" w:type="dxa"/>
              <w:left w:w="15" w:type="dxa"/>
              <w:bottom w:w="0" w:type="dxa"/>
              <w:right w:w="15" w:type="dxa"/>
            </w:tcMar>
            <w:vAlign w:val="bottom"/>
            <w:hideMark/>
          </w:tcPr>
          <w:p w14:paraId="69EC826E" w14:textId="77777777" w:rsidR="00FB126D" w:rsidRPr="000D3AD1" w:rsidRDefault="00FB126D" w:rsidP="00FB126D">
            <w:pPr>
              <w:spacing w:after="0" w:line="240" w:lineRule="auto"/>
              <w:rPr>
                <w:rFonts w:ascii="Times New Roman" w:hAnsi="Times New Roman" w:cs="Times New Roman"/>
                <w:color w:val="000000"/>
                <w:sz w:val="20"/>
                <w:szCs w:val="20"/>
              </w:rPr>
            </w:pPr>
            <w:r w:rsidRPr="000D3AD1">
              <w:rPr>
                <w:rFonts w:ascii="Times New Roman" w:hAnsi="Times New Roman" w:cs="Times New Roman"/>
                <w:color w:val="000000"/>
                <w:sz w:val="20"/>
                <w:szCs w:val="20"/>
              </w:rPr>
              <w:t>Note: This table reports average SHI over different time intervals.</w:t>
            </w:r>
          </w:p>
        </w:tc>
      </w:tr>
    </w:tbl>
    <w:p w14:paraId="3D9B94B6" w14:textId="77777777" w:rsidR="009F0715" w:rsidRPr="000D3AD1" w:rsidRDefault="009F0715" w:rsidP="00FB126D">
      <w:pPr>
        <w:jc w:val="center"/>
        <w:rPr>
          <w:rFonts w:ascii="Times New Roman" w:hAnsi="Times New Roman" w:cs="Times New Roman"/>
        </w:rPr>
      </w:pPr>
    </w:p>
    <w:p w14:paraId="78E8579E" w14:textId="6FCD1E22" w:rsidR="001A2077" w:rsidRPr="000D3AD1" w:rsidRDefault="001A2077" w:rsidP="001A2077">
      <w:pPr>
        <w:autoSpaceDE w:val="0"/>
        <w:autoSpaceDN w:val="0"/>
        <w:adjustRightInd w:val="0"/>
        <w:spacing w:after="0" w:line="240" w:lineRule="auto"/>
        <w:rPr>
          <w:rFonts w:ascii="Times New Roman" w:hAnsi="Times New Roman" w:cs="Times New Roman"/>
          <w:sz w:val="24"/>
          <w:szCs w:val="24"/>
        </w:rPr>
      </w:pPr>
      <w:r w:rsidRPr="000D3AD1">
        <w:rPr>
          <w:rFonts w:ascii="Times New Roman" w:hAnsi="Times New Roman" w:cs="Times New Roman"/>
          <w:sz w:val="24"/>
          <w:szCs w:val="24"/>
        </w:rPr>
        <w:t xml:space="preserve">Figure </w:t>
      </w:r>
      <w:r w:rsidR="00F90603" w:rsidRPr="000D3AD1">
        <w:rPr>
          <w:rFonts w:ascii="Times New Roman" w:hAnsi="Times New Roman" w:cs="Times New Roman"/>
          <w:sz w:val="24"/>
          <w:szCs w:val="24"/>
        </w:rPr>
        <w:t>8</w:t>
      </w:r>
      <w:r w:rsidRPr="000D3AD1">
        <w:rPr>
          <w:rFonts w:ascii="Times New Roman" w:hAnsi="Times New Roman" w:cs="Times New Roman"/>
          <w:sz w:val="24"/>
          <w:szCs w:val="24"/>
        </w:rPr>
        <w:t xml:space="preserve">. Time series of the SHI for </w:t>
      </w:r>
      <w:r w:rsidR="00FB126D" w:rsidRPr="000D3AD1">
        <w:rPr>
          <w:rFonts w:ascii="Times New Roman" w:hAnsi="Times New Roman" w:cs="Times New Roman"/>
          <w:sz w:val="24"/>
          <w:szCs w:val="24"/>
        </w:rPr>
        <w:t>DJIS</w:t>
      </w:r>
    </w:p>
    <w:p w14:paraId="6F24FB6B" w14:textId="3964B92F" w:rsidR="000D3AD1" w:rsidRPr="000D3AD1" w:rsidRDefault="00FB126D" w:rsidP="00B2613A">
      <w:pPr>
        <w:autoSpaceDE w:val="0"/>
        <w:autoSpaceDN w:val="0"/>
        <w:adjustRightInd w:val="0"/>
        <w:spacing w:after="0" w:line="240" w:lineRule="auto"/>
        <w:jc w:val="center"/>
        <w:rPr>
          <w:rFonts w:ascii="Times New Roman" w:hAnsi="Times New Roman" w:cs="Times New Roman"/>
          <w:sz w:val="24"/>
          <w:szCs w:val="24"/>
        </w:rPr>
      </w:pPr>
      <w:r w:rsidRPr="000D3AD1">
        <w:rPr>
          <w:rFonts w:ascii="Times New Roman" w:hAnsi="Times New Roman" w:cs="Times New Roman"/>
          <w:noProof/>
          <w:sz w:val="24"/>
          <w:szCs w:val="24"/>
        </w:rPr>
        <w:drawing>
          <wp:inline distT="0" distB="0" distL="0" distR="0" wp14:anchorId="5349716D" wp14:editId="1A6D4C60">
            <wp:extent cx="5128260" cy="3718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5318" t="13550" r="5207" b="3797"/>
                    <a:stretch/>
                  </pic:blipFill>
                  <pic:spPr bwMode="auto">
                    <a:xfrm>
                      <a:off x="0" y="0"/>
                      <a:ext cx="5128260" cy="3718560"/>
                    </a:xfrm>
                    <a:prstGeom prst="rect">
                      <a:avLst/>
                    </a:prstGeom>
                    <a:noFill/>
                    <a:ln>
                      <a:noFill/>
                    </a:ln>
                    <a:extLst>
                      <a:ext uri="{53640926-AAD7-44D8-BBD7-CCE9431645EC}">
                        <a14:shadowObscured xmlns:a14="http://schemas.microsoft.com/office/drawing/2010/main"/>
                      </a:ext>
                    </a:extLst>
                  </pic:spPr>
                </pic:pic>
              </a:graphicData>
            </a:graphic>
          </wp:inline>
        </w:drawing>
      </w:r>
    </w:p>
    <w:p w14:paraId="2C0E3DC7" w14:textId="569B9AB1" w:rsidR="00014507" w:rsidRPr="000D3AD1" w:rsidRDefault="00014507" w:rsidP="000D3AD1">
      <w:pPr>
        <w:rPr>
          <w:rFonts w:ascii="Times New Roman" w:hAnsi="Times New Roman" w:cs="Times New Roman"/>
          <w:sz w:val="24"/>
          <w:szCs w:val="24"/>
        </w:rPr>
      </w:pPr>
    </w:p>
    <w:sectPr w:rsidR="00014507" w:rsidRPr="000D3AD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D0C701" w14:textId="77777777" w:rsidR="00193F5F" w:rsidRDefault="00193F5F" w:rsidP="001629D3">
      <w:pPr>
        <w:spacing w:after="0" w:line="240" w:lineRule="auto"/>
      </w:pPr>
      <w:r>
        <w:separator/>
      </w:r>
    </w:p>
  </w:endnote>
  <w:endnote w:type="continuationSeparator" w:id="0">
    <w:p w14:paraId="176EEC10" w14:textId="77777777" w:rsidR="00193F5F" w:rsidRDefault="00193F5F" w:rsidP="001629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D79CC" w14:textId="77777777" w:rsidR="00193F5F" w:rsidRDefault="00193F5F" w:rsidP="001629D3">
      <w:pPr>
        <w:spacing w:after="0" w:line="240" w:lineRule="auto"/>
      </w:pPr>
      <w:r>
        <w:separator/>
      </w:r>
    </w:p>
  </w:footnote>
  <w:footnote w:type="continuationSeparator" w:id="0">
    <w:p w14:paraId="3E9A53FD" w14:textId="77777777" w:rsidR="00193F5F" w:rsidRDefault="00193F5F" w:rsidP="001629D3">
      <w:pPr>
        <w:spacing w:after="0" w:line="240" w:lineRule="auto"/>
      </w:pPr>
      <w:r>
        <w:continuationSeparator/>
      </w:r>
    </w:p>
  </w:footnote>
  <w:footnote w:id="1">
    <w:p w14:paraId="5B56062F" w14:textId="473E1B7D" w:rsidR="00745415" w:rsidRPr="00745415" w:rsidRDefault="00745415">
      <w:pPr>
        <w:pStyle w:val="FootnoteText"/>
        <w:rPr>
          <w:rFonts w:ascii="Times New Roman" w:hAnsi="Times New Roman" w:cs="Times New Roman"/>
          <w:lang w:val="en-US"/>
        </w:rPr>
      </w:pPr>
      <w:r w:rsidRPr="00745415">
        <w:rPr>
          <w:rStyle w:val="FootnoteReference"/>
          <w:rFonts w:ascii="Times New Roman" w:hAnsi="Times New Roman" w:cs="Times New Roman"/>
        </w:rPr>
        <w:footnoteRef/>
      </w:r>
      <w:r w:rsidRPr="00745415">
        <w:rPr>
          <w:rFonts w:ascii="Times New Roman" w:hAnsi="Times New Roman" w:cs="Times New Roman"/>
        </w:rPr>
        <w:t xml:space="preserve"> </w:t>
      </w:r>
      <w:r w:rsidRPr="00745415">
        <w:rPr>
          <w:rFonts w:ascii="Times New Roman" w:hAnsi="Times New Roman" w:cs="Times New Roman"/>
          <w:lang w:val="en-US"/>
        </w:rPr>
        <w:t xml:space="preserve">Please see: </w:t>
      </w:r>
      <w:hyperlink r:id="rId1" w:history="1">
        <w:r w:rsidRPr="00745415">
          <w:rPr>
            <w:rStyle w:val="Hyperlink"/>
            <w:rFonts w:ascii="Times New Roman" w:hAnsi="Times New Roman" w:cs="Times New Roman"/>
          </w:rPr>
          <w:t>https://www.climatebonds.net/2021/08/climate-bonds-updates-2021-green-forecast-half-trillion-latest-h1-figures-signal-new-surge</w:t>
        </w:r>
      </w:hyperlink>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7QwNDI0MbUwsjAwNjdW0lEKTi0uzszPAykwNKsFAGdqJ6MtAAAA"/>
  </w:docVars>
  <w:rsids>
    <w:rsidRoot w:val="00B06E6C"/>
    <w:rsid w:val="00013C17"/>
    <w:rsid w:val="00014507"/>
    <w:rsid w:val="000219BE"/>
    <w:rsid w:val="0003232D"/>
    <w:rsid w:val="000669F3"/>
    <w:rsid w:val="00085679"/>
    <w:rsid w:val="00087A18"/>
    <w:rsid w:val="000A0A72"/>
    <w:rsid w:val="000A386F"/>
    <w:rsid w:val="000A6990"/>
    <w:rsid w:val="000B0665"/>
    <w:rsid w:val="000B17B1"/>
    <w:rsid w:val="000B19EE"/>
    <w:rsid w:val="000B25EF"/>
    <w:rsid w:val="000B378E"/>
    <w:rsid w:val="000B496B"/>
    <w:rsid w:val="000C0FEF"/>
    <w:rsid w:val="000C4971"/>
    <w:rsid w:val="000D1D72"/>
    <w:rsid w:val="000D3AD1"/>
    <w:rsid w:val="000D5D47"/>
    <w:rsid w:val="000D68B1"/>
    <w:rsid w:val="000E23ED"/>
    <w:rsid w:val="000F50B7"/>
    <w:rsid w:val="00112D90"/>
    <w:rsid w:val="00113192"/>
    <w:rsid w:val="00116EEA"/>
    <w:rsid w:val="00120292"/>
    <w:rsid w:val="0012061A"/>
    <w:rsid w:val="0012104D"/>
    <w:rsid w:val="00133839"/>
    <w:rsid w:val="00146BF2"/>
    <w:rsid w:val="00147EB1"/>
    <w:rsid w:val="00150494"/>
    <w:rsid w:val="00152308"/>
    <w:rsid w:val="00157062"/>
    <w:rsid w:val="001573FC"/>
    <w:rsid w:val="001629D3"/>
    <w:rsid w:val="0017570A"/>
    <w:rsid w:val="00177393"/>
    <w:rsid w:val="00193F5F"/>
    <w:rsid w:val="001A2077"/>
    <w:rsid w:val="001A313F"/>
    <w:rsid w:val="001A33DD"/>
    <w:rsid w:val="001A6575"/>
    <w:rsid w:val="001B425D"/>
    <w:rsid w:val="001B4CEC"/>
    <w:rsid w:val="001C5672"/>
    <w:rsid w:val="001D30DA"/>
    <w:rsid w:val="001D4E05"/>
    <w:rsid w:val="001D7062"/>
    <w:rsid w:val="001E08A1"/>
    <w:rsid w:val="001F3E57"/>
    <w:rsid w:val="00205953"/>
    <w:rsid w:val="00211122"/>
    <w:rsid w:val="00222409"/>
    <w:rsid w:val="00225C8D"/>
    <w:rsid w:val="00235676"/>
    <w:rsid w:val="00236952"/>
    <w:rsid w:val="002414D8"/>
    <w:rsid w:val="00243E7B"/>
    <w:rsid w:val="00245E3E"/>
    <w:rsid w:val="00246716"/>
    <w:rsid w:val="002508DE"/>
    <w:rsid w:val="00252A87"/>
    <w:rsid w:val="00263B88"/>
    <w:rsid w:val="002654A8"/>
    <w:rsid w:val="00267F64"/>
    <w:rsid w:val="00287A88"/>
    <w:rsid w:val="00291F95"/>
    <w:rsid w:val="00294EC4"/>
    <w:rsid w:val="002A478C"/>
    <w:rsid w:val="002C2617"/>
    <w:rsid w:val="002C617D"/>
    <w:rsid w:val="00310C8A"/>
    <w:rsid w:val="00334600"/>
    <w:rsid w:val="0033769E"/>
    <w:rsid w:val="0034373B"/>
    <w:rsid w:val="00346346"/>
    <w:rsid w:val="00361DD2"/>
    <w:rsid w:val="00371384"/>
    <w:rsid w:val="00396330"/>
    <w:rsid w:val="003978EB"/>
    <w:rsid w:val="003A434B"/>
    <w:rsid w:val="003C5683"/>
    <w:rsid w:val="003C6BAC"/>
    <w:rsid w:val="003D2D11"/>
    <w:rsid w:val="003D390F"/>
    <w:rsid w:val="003E2830"/>
    <w:rsid w:val="003F3905"/>
    <w:rsid w:val="003F5848"/>
    <w:rsid w:val="00446159"/>
    <w:rsid w:val="00450699"/>
    <w:rsid w:val="00452F5D"/>
    <w:rsid w:val="00455054"/>
    <w:rsid w:val="0045725D"/>
    <w:rsid w:val="00471034"/>
    <w:rsid w:val="00473005"/>
    <w:rsid w:val="0047442B"/>
    <w:rsid w:val="00476D82"/>
    <w:rsid w:val="00490513"/>
    <w:rsid w:val="004B4699"/>
    <w:rsid w:val="004D0BC6"/>
    <w:rsid w:val="004D320B"/>
    <w:rsid w:val="004D3593"/>
    <w:rsid w:val="004E5F95"/>
    <w:rsid w:val="004F0A32"/>
    <w:rsid w:val="004F543D"/>
    <w:rsid w:val="0050026A"/>
    <w:rsid w:val="00510E7A"/>
    <w:rsid w:val="00513215"/>
    <w:rsid w:val="00521619"/>
    <w:rsid w:val="005364BC"/>
    <w:rsid w:val="005441B9"/>
    <w:rsid w:val="0054643E"/>
    <w:rsid w:val="00582FF5"/>
    <w:rsid w:val="00584BE2"/>
    <w:rsid w:val="00590454"/>
    <w:rsid w:val="005B2A84"/>
    <w:rsid w:val="005C15D6"/>
    <w:rsid w:val="005F03D5"/>
    <w:rsid w:val="00601090"/>
    <w:rsid w:val="00611375"/>
    <w:rsid w:val="006207C7"/>
    <w:rsid w:val="00633633"/>
    <w:rsid w:val="006352B1"/>
    <w:rsid w:val="00654706"/>
    <w:rsid w:val="00664CB1"/>
    <w:rsid w:val="00672FA5"/>
    <w:rsid w:val="006759F0"/>
    <w:rsid w:val="00683D31"/>
    <w:rsid w:val="006932BC"/>
    <w:rsid w:val="0069661B"/>
    <w:rsid w:val="00696911"/>
    <w:rsid w:val="006A5811"/>
    <w:rsid w:val="006B0EEC"/>
    <w:rsid w:val="006B644B"/>
    <w:rsid w:val="006C0C6B"/>
    <w:rsid w:val="006C4344"/>
    <w:rsid w:val="006D259D"/>
    <w:rsid w:val="006F15CC"/>
    <w:rsid w:val="006F2630"/>
    <w:rsid w:val="00706BFB"/>
    <w:rsid w:val="0072098A"/>
    <w:rsid w:val="00722FF7"/>
    <w:rsid w:val="0073584E"/>
    <w:rsid w:val="00745415"/>
    <w:rsid w:val="00745A1E"/>
    <w:rsid w:val="00772600"/>
    <w:rsid w:val="00776E31"/>
    <w:rsid w:val="007846D2"/>
    <w:rsid w:val="007A0DFD"/>
    <w:rsid w:val="007A151C"/>
    <w:rsid w:val="007A4856"/>
    <w:rsid w:val="007B35AA"/>
    <w:rsid w:val="007B3C74"/>
    <w:rsid w:val="007E011F"/>
    <w:rsid w:val="007E49BB"/>
    <w:rsid w:val="007F3A30"/>
    <w:rsid w:val="007F6225"/>
    <w:rsid w:val="00822C90"/>
    <w:rsid w:val="00823835"/>
    <w:rsid w:val="00836110"/>
    <w:rsid w:val="0084214E"/>
    <w:rsid w:val="0084598D"/>
    <w:rsid w:val="0085261F"/>
    <w:rsid w:val="008640F3"/>
    <w:rsid w:val="00873627"/>
    <w:rsid w:val="0087750D"/>
    <w:rsid w:val="00880FD0"/>
    <w:rsid w:val="008A3568"/>
    <w:rsid w:val="008A35ED"/>
    <w:rsid w:val="008B7958"/>
    <w:rsid w:val="008C589E"/>
    <w:rsid w:val="008D2369"/>
    <w:rsid w:val="008D3FE7"/>
    <w:rsid w:val="008F2020"/>
    <w:rsid w:val="00914F88"/>
    <w:rsid w:val="00934A6F"/>
    <w:rsid w:val="00942A7B"/>
    <w:rsid w:val="00950E4F"/>
    <w:rsid w:val="00964C88"/>
    <w:rsid w:val="009723B0"/>
    <w:rsid w:val="00972ECA"/>
    <w:rsid w:val="00977A96"/>
    <w:rsid w:val="00985DCE"/>
    <w:rsid w:val="00995628"/>
    <w:rsid w:val="009B0A99"/>
    <w:rsid w:val="009B5B71"/>
    <w:rsid w:val="009D5F0B"/>
    <w:rsid w:val="009D6620"/>
    <w:rsid w:val="009E1D10"/>
    <w:rsid w:val="009F0715"/>
    <w:rsid w:val="00A01AE1"/>
    <w:rsid w:val="00A03783"/>
    <w:rsid w:val="00A12B56"/>
    <w:rsid w:val="00A14731"/>
    <w:rsid w:val="00A173B5"/>
    <w:rsid w:val="00A32EED"/>
    <w:rsid w:val="00A50106"/>
    <w:rsid w:val="00A558CE"/>
    <w:rsid w:val="00A62859"/>
    <w:rsid w:val="00A70D53"/>
    <w:rsid w:val="00A910C4"/>
    <w:rsid w:val="00A93E17"/>
    <w:rsid w:val="00A94FAC"/>
    <w:rsid w:val="00A967C0"/>
    <w:rsid w:val="00AA64D1"/>
    <w:rsid w:val="00AB2A3C"/>
    <w:rsid w:val="00AB3786"/>
    <w:rsid w:val="00AC3E6B"/>
    <w:rsid w:val="00AC73DE"/>
    <w:rsid w:val="00AE370A"/>
    <w:rsid w:val="00AE598F"/>
    <w:rsid w:val="00AE62AB"/>
    <w:rsid w:val="00AE6F4B"/>
    <w:rsid w:val="00AF4527"/>
    <w:rsid w:val="00B05D4E"/>
    <w:rsid w:val="00B06E6C"/>
    <w:rsid w:val="00B10747"/>
    <w:rsid w:val="00B107F9"/>
    <w:rsid w:val="00B138C1"/>
    <w:rsid w:val="00B13ADF"/>
    <w:rsid w:val="00B13B01"/>
    <w:rsid w:val="00B2613A"/>
    <w:rsid w:val="00B31BEE"/>
    <w:rsid w:val="00B406BB"/>
    <w:rsid w:val="00B40C9B"/>
    <w:rsid w:val="00B42524"/>
    <w:rsid w:val="00B6038B"/>
    <w:rsid w:val="00B6574F"/>
    <w:rsid w:val="00B66952"/>
    <w:rsid w:val="00B82918"/>
    <w:rsid w:val="00B94A80"/>
    <w:rsid w:val="00B96BC5"/>
    <w:rsid w:val="00BA51A6"/>
    <w:rsid w:val="00BA7966"/>
    <w:rsid w:val="00BB2EA6"/>
    <w:rsid w:val="00BC4EAB"/>
    <w:rsid w:val="00BD5264"/>
    <w:rsid w:val="00BD5F57"/>
    <w:rsid w:val="00BE0446"/>
    <w:rsid w:val="00BE170D"/>
    <w:rsid w:val="00BE5C2B"/>
    <w:rsid w:val="00BF7D51"/>
    <w:rsid w:val="00C007F4"/>
    <w:rsid w:val="00C3085B"/>
    <w:rsid w:val="00C32145"/>
    <w:rsid w:val="00C36312"/>
    <w:rsid w:val="00C4264D"/>
    <w:rsid w:val="00C44C1D"/>
    <w:rsid w:val="00C47ACD"/>
    <w:rsid w:val="00C51EE2"/>
    <w:rsid w:val="00C51F84"/>
    <w:rsid w:val="00C5265A"/>
    <w:rsid w:val="00C54E60"/>
    <w:rsid w:val="00C55E65"/>
    <w:rsid w:val="00C61878"/>
    <w:rsid w:val="00C668F5"/>
    <w:rsid w:val="00C74AD4"/>
    <w:rsid w:val="00C77055"/>
    <w:rsid w:val="00C80A18"/>
    <w:rsid w:val="00C83AEA"/>
    <w:rsid w:val="00C87CB9"/>
    <w:rsid w:val="00CD0694"/>
    <w:rsid w:val="00CD5545"/>
    <w:rsid w:val="00CE06D1"/>
    <w:rsid w:val="00CE555C"/>
    <w:rsid w:val="00D17933"/>
    <w:rsid w:val="00D2302D"/>
    <w:rsid w:val="00D23AAD"/>
    <w:rsid w:val="00D410E6"/>
    <w:rsid w:val="00D56E15"/>
    <w:rsid w:val="00D85425"/>
    <w:rsid w:val="00D94F22"/>
    <w:rsid w:val="00D957F7"/>
    <w:rsid w:val="00DA287F"/>
    <w:rsid w:val="00DA4B66"/>
    <w:rsid w:val="00DB3C14"/>
    <w:rsid w:val="00DB5493"/>
    <w:rsid w:val="00DC2DC3"/>
    <w:rsid w:val="00DC652B"/>
    <w:rsid w:val="00DD2306"/>
    <w:rsid w:val="00DD6311"/>
    <w:rsid w:val="00DE0F6F"/>
    <w:rsid w:val="00DE1CA1"/>
    <w:rsid w:val="00DE3613"/>
    <w:rsid w:val="00E02F09"/>
    <w:rsid w:val="00E11384"/>
    <w:rsid w:val="00E21C96"/>
    <w:rsid w:val="00E373C0"/>
    <w:rsid w:val="00E40123"/>
    <w:rsid w:val="00E444BB"/>
    <w:rsid w:val="00E45111"/>
    <w:rsid w:val="00E47A9A"/>
    <w:rsid w:val="00E6512E"/>
    <w:rsid w:val="00E67E2E"/>
    <w:rsid w:val="00E70379"/>
    <w:rsid w:val="00E84238"/>
    <w:rsid w:val="00E848E5"/>
    <w:rsid w:val="00EB4CFA"/>
    <w:rsid w:val="00EB6BE7"/>
    <w:rsid w:val="00ED6AF8"/>
    <w:rsid w:val="00EE2227"/>
    <w:rsid w:val="00EE2F2D"/>
    <w:rsid w:val="00EE33A1"/>
    <w:rsid w:val="00EF1476"/>
    <w:rsid w:val="00EF73E5"/>
    <w:rsid w:val="00EF7F9D"/>
    <w:rsid w:val="00F0079D"/>
    <w:rsid w:val="00F0678E"/>
    <w:rsid w:val="00F1354A"/>
    <w:rsid w:val="00F21BE8"/>
    <w:rsid w:val="00F269CE"/>
    <w:rsid w:val="00F26AD0"/>
    <w:rsid w:val="00F31C9D"/>
    <w:rsid w:val="00F31FB6"/>
    <w:rsid w:val="00F34E26"/>
    <w:rsid w:val="00F41D61"/>
    <w:rsid w:val="00F423AA"/>
    <w:rsid w:val="00F44BD1"/>
    <w:rsid w:val="00F57DD4"/>
    <w:rsid w:val="00F6007B"/>
    <w:rsid w:val="00F739AA"/>
    <w:rsid w:val="00F754F3"/>
    <w:rsid w:val="00F85183"/>
    <w:rsid w:val="00F90603"/>
    <w:rsid w:val="00FA0BEF"/>
    <w:rsid w:val="00FB02E9"/>
    <w:rsid w:val="00FB126D"/>
    <w:rsid w:val="00FF3B8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9D27D9"/>
  <w15:chartTrackingRefBased/>
  <w15:docId w15:val="{1E10516D-CFF8-4E87-8F9F-C369B62AA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E21C96"/>
    <w:rPr>
      <w:i/>
      <w:iCs/>
    </w:rPr>
  </w:style>
  <w:style w:type="character" w:styleId="CommentReference">
    <w:name w:val="annotation reference"/>
    <w:basedOn w:val="DefaultParagraphFont"/>
    <w:uiPriority w:val="99"/>
    <w:semiHidden/>
    <w:unhideWhenUsed/>
    <w:rsid w:val="00FA0BEF"/>
    <w:rPr>
      <w:sz w:val="16"/>
      <w:szCs w:val="16"/>
    </w:rPr>
  </w:style>
  <w:style w:type="paragraph" w:styleId="CommentText">
    <w:name w:val="annotation text"/>
    <w:basedOn w:val="Normal"/>
    <w:link w:val="CommentTextChar"/>
    <w:uiPriority w:val="99"/>
    <w:semiHidden/>
    <w:unhideWhenUsed/>
    <w:rsid w:val="00FA0BEF"/>
    <w:pPr>
      <w:spacing w:line="240" w:lineRule="auto"/>
    </w:pPr>
    <w:rPr>
      <w:sz w:val="20"/>
      <w:szCs w:val="20"/>
    </w:rPr>
  </w:style>
  <w:style w:type="character" w:customStyle="1" w:styleId="CommentTextChar">
    <w:name w:val="Comment Text Char"/>
    <w:basedOn w:val="DefaultParagraphFont"/>
    <w:link w:val="CommentText"/>
    <w:uiPriority w:val="99"/>
    <w:semiHidden/>
    <w:rsid w:val="00FA0BEF"/>
    <w:rPr>
      <w:sz w:val="20"/>
      <w:szCs w:val="20"/>
      <w:lang w:val="en-US"/>
    </w:rPr>
  </w:style>
  <w:style w:type="paragraph" w:styleId="CommentSubject">
    <w:name w:val="annotation subject"/>
    <w:basedOn w:val="CommentText"/>
    <w:next w:val="CommentText"/>
    <w:link w:val="CommentSubjectChar"/>
    <w:uiPriority w:val="99"/>
    <w:semiHidden/>
    <w:unhideWhenUsed/>
    <w:rsid w:val="00FA0BEF"/>
    <w:rPr>
      <w:b/>
      <w:bCs/>
    </w:rPr>
  </w:style>
  <w:style w:type="character" w:customStyle="1" w:styleId="CommentSubjectChar">
    <w:name w:val="Comment Subject Char"/>
    <w:basedOn w:val="CommentTextChar"/>
    <w:link w:val="CommentSubject"/>
    <w:uiPriority w:val="99"/>
    <w:semiHidden/>
    <w:rsid w:val="00FA0BEF"/>
    <w:rPr>
      <w:b/>
      <w:bCs/>
      <w:sz w:val="20"/>
      <w:szCs w:val="20"/>
      <w:lang w:val="en-US"/>
    </w:rPr>
  </w:style>
  <w:style w:type="paragraph" w:styleId="BalloonText">
    <w:name w:val="Balloon Text"/>
    <w:basedOn w:val="Normal"/>
    <w:link w:val="BalloonTextChar"/>
    <w:uiPriority w:val="99"/>
    <w:semiHidden/>
    <w:unhideWhenUsed/>
    <w:rsid w:val="00FA0B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0BEF"/>
    <w:rPr>
      <w:rFonts w:ascii="Segoe UI" w:hAnsi="Segoe UI" w:cs="Segoe UI"/>
      <w:sz w:val="18"/>
      <w:szCs w:val="18"/>
      <w:lang w:val="en-US"/>
    </w:rPr>
  </w:style>
  <w:style w:type="paragraph" w:styleId="ListParagraph">
    <w:name w:val="List Paragraph"/>
    <w:basedOn w:val="Normal"/>
    <w:uiPriority w:val="34"/>
    <w:qFormat/>
    <w:rsid w:val="001629D3"/>
    <w:pPr>
      <w:ind w:left="720"/>
      <w:contextualSpacing/>
    </w:pPr>
  </w:style>
  <w:style w:type="paragraph" w:styleId="FootnoteText">
    <w:name w:val="footnote text"/>
    <w:basedOn w:val="Normal"/>
    <w:link w:val="FootnoteTextChar"/>
    <w:uiPriority w:val="99"/>
    <w:unhideWhenUsed/>
    <w:rsid w:val="001629D3"/>
    <w:pPr>
      <w:spacing w:after="0" w:line="240" w:lineRule="auto"/>
    </w:pPr>
    <w:rPr>
      <w:sz w:val="20"/>
      <w:szCs w:val="20"/>
      <w:lang w:val="en-GB"/>
    </w:rPr>
  </w:style>
  <w:style w:type="character" w:customStyle="1" w:styleId="FootnoteTextChar">
    <w:name w:val="Footnote Text Char"/>
    <w:basedOn w:val="DefaultParagraphFont"/>
    <w:link w:val="FootnoteText"/>
    <w:uiPriority w:val="99"/>
    <w:rsid w:val="001629D3"/>
    <w:rPr>
      <w:sz w:val="20"/>
      <w:szCs w:val="20"/>
      <w:lang w:val="en-GB"/>
    </w:rPr>
  </w:style>
  <w:style w:type="character" w:styleId="FootnoteReference">
    <w:name w:val="footnote reference"/>
    <w:basedOn w:val="DefaultParagraphFont"/>
    <w:uiPriority w:val="99"/>
    <w:semiHidden/>
    <w:unhideWhenUsed/>
    <w:rsid w:val="001629D3"/>
    <w:rPr>
      <w:vertAlign w:val="superscript"/>
    </w:rPr>
  </w:style>
  <w:style w:type="character" w:styleId="Hyperlink">
    <w:name w:val="Hyperlink"/>
    <w:basedOn w:val="DefaultParagraphFont"/>
    <w:uiPriority w:val="99"/>
    <w:unhideWhenUsed/>
    <w:rsid w:val="00745415"/>
    <w:rPr>
      <w:color w:val="0563C1" w:themeColor="hyperlink"/>
      <w:u w:val="single"/>
    </w:rPr>
  </w:style>
  <w:style w:type="paragraph" w:customStyle="1" w:styleId="EndNoteBibliography">
    <w:name w:val="EndNote Bibliography"/>
    <w:basedOn w:val="Normal"/>
    <w:link w:val="EndNoteBibliographyChar"/>
    <w:rsid w:val="00EF7F9D"/>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EF7F9D"/>
    <w:rPr>
      <w:rFonts w:ascii="Calibri" w:hAnsi="Calibri" w:cs="Calibri"/>
      <w:noProof/>
      <w:lang w:val="en-US"/>
    </w:rPr>
  </w:style>
  <w:style w:type="character" w:customStyle="1" w:styleId="NoSpacingChar">
    <w:name w:val="No Spacing Char"/>
    <w:link w:val="NoSpacing"/>
    <w:uiPriority w:val="1"/>
    <w:locked/>
    <w:rsid w:val="00DB3C14"/>
  </w:style>
  <w:style w:type="paragraph" w:styleId="NoSpacing">
    <w:name w:val="No Spacing"/>
    <w:link w:val="NoSpacingChar"/>
    <w:uiPriority w:val="1"/>
    <w:qFormat/>
    <w:rsid w:val="00DB3C14"/>
    <w:pPr>
      <w:spacing w:after="0" w:line="240" w:lineRule="auto"/>
    </w:pPr>
  </w:style>
  <w:style w:type="character" w:styleId="UnresolvedMention">
    <w:name w:val="Unresolved Mention"/>
    <w:basedOn w:val="DefaultParagraphFont"/>
    <w:uiPriority w:val="99"/>
    <w:semiHidden/>
    <w:unhideWhenUsed/>
    <w:rsid w:val="00DB3C14"/>
    <w:rPr>
      <w:color w:val="605E5C"/>
      <w:shd w:val="clear" w:color="auto" w:fill="E1DFDD"/>
    </w:rPr>
  </w:style>
  <w:style w:type="paragraph" w:customStyle="1" w:styleId="Default">
    <w:name w:val="Default"/>
    <w:rsid w:val="00DB3C14"/>
    <w:pPr>
      <w:autoSpaceDE w:val="0"/>
      <w:autoSpaceDN w:val="0"/>
      <w:adjustRightInd w:val="0"/>
      <w:spacing w:after="0" w:line="240" w:lineRule="auto"/>
    </w:pPr>
    <w:rPr>
      <w:rFonts w:ascii="Arial" w:eastAsia="Calibri"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462738">
      <w:bodyDiv w:val="1"/>
      <w:marLeft w:val="0"/>
      <w:marRight w:val="0"/>
      <w:marTop w:val="0"/>
      <w:marBottom w:val="0"/>
      <w:divBdr>
        <w:top w:val="none" w:sz="0" w:space="0" w:color="auto"/>
        <w:left w:val="none" w:sz="0" w:space="0" w:color="auto"/>
        <w:bottom w:val="none" w:sz="0" w:space="0" w:color="auto"/>
        <w:right w:val="none" w:sz="0" w:space="0" w:color="auto"/>
      </w:divBdr>
    </w:div>
    <w:div w:id="483743304">
      <w:bodyDiv w:val="1"/>
      <w:marLeft w:val="0"/>
      <w:marRight w:val="0"/>
      <w:marTop w:val="0"/>
      <w:marBottom w:val="0"/>
      <w:divBdr>
        <w:top w:val="none" w:sz="0" w:space="0" w:color="auto"/>
        <w:left w:val="none" w:sz="0" w:space="0" w:color="auto"/>
        <w:bottom w:val="none" w:sz="0" w:space="0" w:color="auto"/>
        <w:right w:val="none" w:sz="0" w:space="0" w:color="auto"/>
      </w:divBdr>
    </w:div>
    <w:div w:id="742947752">
      <w:bodyDiv w:val="1"/>
      <w:marLeft w:val="0"/>
      <w:marRight w:val="0"/>
      <w:marTop w:val="0"/>
      <w:marBottom w:val="0"/>
      <w:divBdr>
        <w:top w:val="none" w:sz="0" w:space="0" w:color="auto"/>
        <w:left w:val="none" w:sz="0" w:space="0" w:color="auto"/>
        <w:bottom w:val="none" w:sz="0" w:space="0" w:color="auto"/>
        <w:right w:val="none" w:sz="0" w:space="0" w:color="auto"/>
      </w:divBdr>
    </w:div>
    <w:div w:id="1038698027">
      <w:bodyDiv w:val="1"/>
      <w:marLeft w:val="0"/>
      <w:marRight w:val="0"/>
      <w:marTop w:val="0"/>
      <w:marBottom w:val="0"/>
      <w:divBdr>
        <w:top w:val="none" w:sz="0" w:space="0" w:color="auto"/>
        <w:left w:val="none" w:sz="0" w:space="0" w:color="auto"/>
        <w:bottom w:val="none" w:sz="0" w:space="0" w:color="auto"/>
        <w:right w:val="none" w:sz="0" w:space="0" w:color="auto"/>
      </w:divBdr>
    </w:div>
    <w:div w:id="1157264652">
      <w:bodyDiv w:val="1"/>
      <w:marLeft w:val="0"/>
      <w:marRight w:val="0"/>
      <w:marTop w:val="0"/>
      <w:marBottom w:val="0"/>
      <w:divBdr>
        <w:top w:val="none" w:sz="0" w:space="0" w:color="auto"/>
        <w:left w:val="none" w:sz="0" w:space="0" w:color="auto"/>
        <w:bottom w:val="none" w:sz="0" w:space="0" w:color="auto"/>
        <w:right w:val="none" w:sz="0" w:space="0" w:color="auto"/>
      </w:divBdr>
    </w:div>
    <w:div w:id="2051295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uhammad.naeem@uaeu.ac.ae" TargetMode="External"/><Relationship Id="rId13" Type="http://schemas.openxmlformats.org/officeDocument/2006/relationships/image" Target="media/image3.emf"/><Relationship Id="rId18" Type="http://schemas.openxmlformats.org/officeDocument/2006/relationships/image" Target="media/image8.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m.ab.naeem@gmail.com" TargetMode="Externa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tiff"/><Relationship Id="rId5" Type="http://schemas.openxmlformats.org/officeDocument/2006/relationships/footnotes" Target="footnotes.xml"/><Relationship Id="rId15" Type="http://schemas.openxmlformats.org/officeDocument/2006/relationships/image" Target="media/image5.tiff"/><Relationship Id="rId10" Type="http://schemas.openxmlformats.org/officeDocument/2006/relationships/hyperlink" Target="mailto:brian.lucey@tcd.ie" TargetMode="External"/><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hyperlink" Target="mailto:sitarak@sunway.edu.my" TargetMode="External"/><Relationship Id="rId14" Type="http://schemas.openxmlformats.org/officeDocument/2006/relationships/image" Target="media/image4.tiff"/><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climatebonds.net/2021/08/climate-bonds-updates-2021-green-forecast-half-trillion-latest-h1-figures-signal-new-sur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59E81-4EDF-42A1-85E8-1B67E5DCA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1159</TotalTime>
  <Pages>38</Pages>
  <Words>9316</Words>
  <Characters>53104</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Naeem</dc:creator>
  <cp:keywords/>
  <dc:description/>
  <cp:lastModifiedBy>Muhammad Naeem</cp:lastModifiedBy>
  <cp:revision>179</cp:revision>
  <dcterms:created xsi:type="dcterms:W3CDTF">2021-12-13T17:49:00Z</dcterms:created>
  <dcterms:modified xsi:type="dcterms:W3CDTF">2023-02-24T21:16:00Z</dcterms:modified>
</cp:coreProperties>
</file>