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97687" w14:textId="2DF7A865" w:rsidR="00CE3E48" w:rsidRPr="00D9116D" w:rsidRDefault="001A3933" w:rsidP="0001280B">
      <w:pPr>
        <w:spacing w:line="360" w:lineRule="auto"/>
      </w:pPr>
      <w:r w:rsidRPr="00D9116D">
        <w:t xml:space="preserve">RMA Research Chronicle </w:t>
      </w:r>
      <w:r w:rsidR="00175B05" w:rsidRPr="00D9116D">
        <w:t>Review</w:t>
      </w:r>
    </w:p>
    <w:p w14:paraId="3B16DA4C" w14:textId="347B8AF9" w:rsidR="00175B05" w:rsidRPr="00D9116D" w:rsidRDefault="00175B05" w:rsidP="0001280B">
      <w:pPr>
        <w:spacing w:line="360" w:lineRule="auto"/>
      </w:pPr>
      <w:r w:rsidRPr="00D9116D">
        <w:t xml:space="preserve">Erin Johnson-Williams </w:t>
      </w:r>
    </w:p>
    <w:p w14:paraId="028F4781" w14:textId="66A560D4" w:rsidR="00B07552" w:rsidRPr="00D9116D" w:rsidRDefault="00B07552" w:rsidP="0001280B">
      <w:pPr>
        <w:spacing w:line="360" w:lineRule="auto"/>
      </w:pPr>
      <w:r w:rsidRPr="00D9116D">
        <w:t xml:space="preserve">Durham University </w:t>
      </w:r>
    </w:p>
    <w:p w14:paraId="7180A00C" w14:textId="43786BCB" w:rsidR="00B07552" w:rsidRPr="00D9116D" w:rsidRDefault="005C17D7" w:rsidP="0001280B">
      <w:pPr>
        <w:spacing w:line="360" w:lineRule="auto"/>
      </w:pPr>
      <w:hyperlink r:id="rId7" w:history="1">
        <w:r w:rsidR="00B07552" w:rsidRPr="00D9116D">
          <w:rPr>
            <w:rStyle w:val="Hyperlink"/>
          </w:rPr>
          <w:t>erin.g.johnson-williams@durham.ac.uk</w:t>
        </w:r>
      </w:hyperlink>
      <w:r w:rsidR="00B07552" w:rsidRPr="00D9116D">
        <w:t xml:space="preserve"> </w:t>
      </w:r>
    </w:p>
    <w:p w14:paraId="292DFEE9" w14:textId="6498E70A" w:rsidR="001822A7" w:rsidRPr="00D9116D" w:rsidRDefault="001822A7" w:rsidP="0001280B">
      <w:pPr>
        <w:spacing w:line="360" w:lineRule="auto"/>
      </w:pPr>
    </w:p>
    <w:p w14:paraId="58E465E3" w14:textId="6C265802" w:rsidR="001822A7" w:rsidRPr="00D9116D" w:rsidRDefault="00D27C7A" w:rsidP="0001280B">
      <w:pPr>
        <w:spacing w:line="360" w:lineRule="auto"/>
        <w:jc w:val="center"/>
        <w:rPr>
          <w:b/>
          <w:bCs/>
        </w:rPr>
      </w:pPr>
      <w:r w:rsidRPr="00D9116D">
        <w:rPr>
          <w:b/>
          <w:bCs/>
        </w:rPr>
        <w:t xml:space="preserve">Title: </w:t>
      </w:r>
      <w:r w:rsidR="004F69CC" w:rsidRPr="00D9116D">
        <w:rPr>
          <w:b/>
          <w:bCs/>
        </w:rPr>
        <w:t>‘</w:t>
      </w:r>
      <w:r w:rsidR="00642F8F" w:rsidRPr="00D9116D">
        <w:rPr>
          <w:b/>
          <w:bCs/>
        </w:rPr>
        <w:t>Online EDI Resources: Towards a Reflexive Archive’</w:t>
      </w:r>
    </w:p>
    <w:p w14:paraId="15463B8E" w14:textId="426767AA" w:rsidR="00C93A29" w:rsidRPr="00D9116D" w:rsidRDefault="00C93A29" w:rsidP="0001280B">
      <w:pPr>
        <w:spacing w:line="360" w:lineRule="auto"/>
      </w:pPr>
    </w:p>
    <w:p w14:paraId="21AAF213" w14:textId="1D6B28C2" w:rsidR="00503364" w:rsidRPr="00D9116D" w:rsidRDefault="00503364" w:rsidP="0001280B">
      <w:pPr>
        <w:spacing w:line="360" w:lineRule="auto"/>
      </w:pPr>
      <w:r w:rsidRPr="00D9116D">
        <w:t>On 2 June 2020 the music world fell silent for ‘Blackout Tuesday’ as a response to the murder</w:t>
      </w:r>
      <w:r w:rsidR="00642F8F" w:rsidRPr="00D9116D">
        <w:t>s</w:t>
      </w:r>
      <w:r w:rsidRPr="00D9116D">
        <w:t xml:space="preserve"> of George Floyd</w:t>
      </w:r>
      <w:r w:rsidR="00642F8F" w:rsidRPr="00D9116D">
        <w:t>, Breonna Taylor</w:t>
      </w:r>
      <w:r w:rsidR="000C45CD" w:rsidRPr="00D9116D">
        <w:t>,</w:t>
      </w:r>
      <w:r w:rsidR="00642F8F" w:rsidRPr="00D9116D">
        <w:t xml:space="preserve"> and Ahmaud Arbery</w:t>
      </w:r>
      <w:r w:rsidRPr="00D9116D">
        <w:t xml:space="preserve"> and in solidarity for </w:t>
      </w:r>
      <w:r w:rsidR="003D3F28" w:rsidRPr="00D9116D">
        <w:t xml:space="preserve">the </w:t>
      </w:r>
      <w:r w:rsidRPr="00D9116D">
        <w:t>Black Lives Matter</w:t>
      </w:r>
      <w:r w:rsidR="000C752D" w:rsidRPr="00D9116D">
        <w:t xml:space="preserve"> (BLM)</w:t>
      </w:r>
      <w:r w:rsidR="003D3F28" w:rsidRPr="00D9116D">
        <w:t xml:space="preserve"> movement</w:t>
      </w:r>
      <w:r w:rsidRPr="00D9116D">
        <w:t>.</w:t>
      </w:r>
      <w:r w:rsidRPr="00D9116D">
        <w:rPr>
          <w:rStyle w:val="FootnoteReference"/>
        </w:rPr>
        <w:footnoteReference w:id="1"/>
      </w:r>
      <w:r w:rsidRPr="00D9116D">
        <w:t xml:space="preserve"> Two days later, Classic FM followed up by publishing a list of ‘9 Black </w:t>
      </w:r>
      <w:r w:rsidR="003D481F" w:rsidRPr="00D9116D">
        <w:t>C</w:t>
      </w:r>
      <w:r w:rsidRPr="00D9116D">
        <w:t xml:space="preserve">omposers who </w:t>
      </w:r>
      <w:r w:rsidR="003D481F" w:rsidRPr="00D9116D">
        <w:t>C</w:t>
      </w:r>
      <w:r w:rsidRPr="00D9116D">
        <w:t xml:space="preserve">hanged the </w:t>
      </w:r>
      <w:r w:rsidR="003D481F" w:rsidRPr="00D9116D">
        <w:t>C</w:t>
      </w:r>
      <w:r w:rsidRPr="00D9116D">
        <w:t xml:space="preserve">ourse of </w:t>
      </w:r>
      <w:r w:rsidR="003D481F" w:rsidRPr="00D9116D">
        <w:t>C</w:t>
      </w:r>
      <w:r w:rsidRPr="00D9116D">
        <w:t xml:space="preserve">lassical </w:t>
      </w:r>
      <w:r w:rsidR="003D481F" w:rsidRPr="00D9116D">
        <w:t>M</w:t>
      </w:r>
      <w:r w:rsidRPr="00D9116D">
        <w:t xml:space="preserve">usic </w:t>
      </w:r>
      <w:r w:rsidR="003D481F" w:rsidRPr="00D9116D">
        <w:t>H</w:t>
      </w:r>
      <w:r w:rsidRPr="00D9116D">
        <w:t>istory’.</w:t>
      </w:r>
      <w:r w:rsidRPr="00D9116D">
        <w:rPr>
          <w:rStyle w:val="FootnoteReference"/>
        </w:rPr>
        <w:footnoteReference w:id="2"/>
      </w:r>
      <w:r w:rsidRPr="00D9116D">
        <w:t xml:space="preserve"> Now over a year later, there has been an explosion of interest in how </w:t>
      </w:r>
      <w:r w:rsidR="00D546BC" w:rsidRPr="00D9116D">
        <w:t xml:space="preserve">the history and teaching of </w:t>
      </w:r>
      <w:r w:rsidRPr="00D9116D">
        <w:t>western classical music can be expanded to make room for more diverse composers, performers</w:t>
      </w:r>
      <w:r w:rsidR="00644182" w:rsidRPr="00D9116D">
        <w:t>,</w:t>
      </w:r>
      <w:r w:rsidRPr="00D9116D">
        <w:t xml:space="preserve"> and educators</w:t>
      </w:r>
      <w:r w:rsidR="000C45CD" w:rsidRPr="00D9116D">
        <w:t>.</w:t>
      </w:r>
      <w:r w:rsidRPr="00D9116D">
        <w:t xml:space="preserve"> </w:t>
      </w:r>
      <w:r w:rsidR="000C45CD" w:rsidRPr="00D9116D">
        <w:t>Ye</w:t>
      </w:r>
      <w:r w:rsidRPr="00D9116D">
        <w:t>t there is still a risk t</w:t>
      </w:r>
      <w:r w:rsidR="00D546BC" w:rsidRPr="00D9116D">
        <w:t xml:space="preserve">hat many of these new </w:t>
      </w:r>
      <w:r w:rsidR="003B4EB2" w:rsidRPr="00D9116D">
        <w:t xml:space="preserve">diversity </w:t>
      </w:r>
      <w:r w:rsidR="00D546BC" w:rsidRPr="00D9116D">
        <w:t xml:space="preserve">‘archives’ </w:t>
      </w:r>
      <w:r w:rsidRPr="00D9116D">
        <w:t xml:space="preserve">– as in the Classic FM list – will remain uncomfortably tokenistic until they have been integrated systemically within </w:t>
      </w:r>
      <w:r w:rsidR="002950A0" w:rsidRPr="00D9116D">
        <w:t>pedagogical</w:t>
      </w:r>
      <w:r w:rsidR="003B4EB2" w:rsidRPr="00D9116D">
        <w:t xml:space="preserve"> </w:t>
      </w:r>
      <w:r w:rsidR="002950A0" w:rsidRPr="00D9116D">
        <w:t xml:space="preserve">and </w:t>
      </w:r>
      <w:r w:rsidR="007A3D74" w:rsidRPr="00D9116D">
        <w:t>historiographical</w:t>
      </w:r>
      <w:r w:rsidR="002950A0" w:rsidRPr="00D9116D">
        <w:t xml:space="preserve"> </w:t>
      </w:r>
      <w:r w:rsidR="003B4EB2" w:rsidRPr="00D9116D">
        <w:t>discourses</w:t>
      </w:r>
      <w:r w:rsidR="007A3D74" w:rsidRPr="00D9116D">
        <w:t>.</w:t>
      </w:r>
    </w:p>
    <w:p w14:paraId="1400BDA0" w14:textId="1CA4F020" w:rsidR="00C93A29" w:rsidRPr="00D9116D" w:rsidRDefault="00503364" w:rsidP="0001280B">
      <w:pPr>
        <w:spacing w:line="360" w:lineRule="auto"/>
      </w:pPr>
      <w:r w:rsidRPr="00D9116D">
        <w:tab/>
      </w:r>
      <w:r w:rsidR="00D14BB9" w:rsidRPr="00D9116D">
        <w:t>We</w:t>
      </w:r>
      <w:r w:rsidR="00134A08" w:rsidRPr="00D9116D">
        <w:t xml:space="preserve"> live </w:t>
      </w:r>
      <w:r w:rsidR="00477713" w:rsidRPr="00D9116D">
        <w:t xml:space="preserve">at </w:t>
      </w:r>
      <w:r w:rsidR="00134A08" w:rsidRPr="00D9116D">
        <w:t xml:space="preserve">a momentous </w:t>
      </w:r>
      <w:r w:rsidR="00477713" w:rsidRPr="00D9116D">
        <w:t>time</w:t>
      </w:r>
      <w:r w:rsidR="00134A08" w:rsidRPr="00D9116D">
        <w:t xml:space="preserve"> for encountering and engaging with the possibilities of </w:t>
      </w:r>
      <w:r w:rsidR="000B0809" w:rsidRPr="00D9116D">
        <w:t>E</w:t>
      </w:r>
      <w:r w:rsidR="00134A08" w:rsidRPr="00D9116D">
        <w:t xml:space="preserve">quality, </w:t>
      </w:r>
      <w:r w:rsidR="000B0809" w:rsidRPr="00D9116D">
        <w:t>D</w:t>
      </w:r>
      <w:r w:rsidR="00134A08" w:rsidRPr="00D9116D">
        <w:t>iversity</w:t>
      </w:r>
      <w:r w:rsidR="000B0809" w:rsidRPr="00D9116D">
        <w:t>,</w:t>
      </w:r>
      <w:r w:rsidR="00134A08" w:rsidRPr="00D9116D">
        <w:t xml:space="preserve"> and </w:t>
      </w:r>
      <w:r w:rsidR="000B0809" w:rsidRPr="00D9116D">
        <w:t>I</w:t>
      </w:r>
      <w:r w:rsidR="00134A08" w:rsidRPr="00D9116D">
        <w:t>nclusion</w:t>
      </w:r>
      <w:r w:rsidR="000B0809" w:rsidRPr="00D9116D">
        <w:t xml:space="preserve"> (EDI)</w:t>
      </w:r>
      <w:r w:rsidR="005C353B" w:rsidRPr="00D9116D">
        <w:t xml:space="preserve"> and</w:t>
      </w:r>
      <w:r w:rsidR="00572515" w:rsidRPr="00D9116D">
        <w:t>, specifically,</w:t>
      </w:r>
      <w:r w:rsidR="005C353B" w:rsidRPr="00D9116D">
        <w:t xml:space="preserve"> </w:t>
      </w:r>
      <w:r w:rsidR="00773A61" w:rsidRPr="00D9116D">
        <w:t xml:space="preserve">decolonial and </w:t>
      </w:r>
      <w:r w:rsidR="005C353B" w:rsidRPr="00D9116D">
        <w:t>anti-racist activism</w:t>
      </w:r>
      <w:r w:rsidR="00134A08" w:rsidRPr="00D9116D">
        <w:t xml:space="preserve"> in the musical archive.</w:t>
      </w:r>
      <w:r w:rsidR="0021510B" w:rsidRPr="00D9116D">
        <w:rPr>
          <w:rStyle w:val="FootnoteReference"/>
        </w:rPr>
        <w:footnoteReference w:id="3"/>
      </w:r>
      <w:r w:rsidR="00134A08" w:rsidRPr="00D9116D">
        <w:t xml:space="preserve"> </w:t>
      </w:r>
      <w:r w:rsidR="00783D7E" w:rsidRPr="00D9116D">
        <w:t>D</w:t>
      </w:r>
      <w:r w:rsidR="008D0A62" w:rsidRPr="00D9116D">
        <w:t>igital archives have been growing for several decades now</w:t>
      </w:r>
      <w:r w:rsidR="00783D7E" w:rsidRPr="00D9116D">
        <w:t>.</w:t>
      </w:r>
      <w:r w:rsidR="008D0A62" w:rsidRPr="00D9116D">
        <w:t xml:space="preserve"> </w:t>
      </w:r>
      <w:r w:rsidR="00461BBC" w:rsidRPr="00D9116D">
        <w:t>Yet</w:t>
      </w:r>
      <w:r w:rsidR="000C752D" w:rsidRPr="00D9116D">
        <w:t xml:space="preserve">, given the rise of the BLM and Rhodes Must Fall movements (where academics have been </w:t>
      </w:r>
      <w:r w:rsidR="00CE2F74" w:rsidRPr="00D9116D">
        <w:t xml:space="preserve">called </w:t>
      </w:r>
      <w:r w:rsidR="000C752D" w:rsidRPr="00D9116D">
        <w:t xml:space="preserve">to drastically rethink their curricula) complicated by </w:t>
      </w:r>
      <w:r w:rsidR="008D0A62" w:rsidRPr="00D9116D">
        <w:t xml:space="preserve">the Covid-19 pandemic (where researchers have been </w:t>
      </w:r>
      <w:r w:rsidR="00CE2F74" w:rsidRPr="00D9116D">
        <w:t>constrained</w:t>
      </w:r>
      <w:r w:rsidR="008D0A62" w:rsidRPr="00D9116D">
        <w:t xml:space="preserve"> to work from archival material in </w:t>
      </w:r>
      <w:r w:rsidR="00D14BB9" w:rsidRPr="00D9116D">
        <w:t xml:space="preserve">largely </w:t>
      </w:r>
      <w:r w:rsidR="008D0A62" w:rsidRPr="00D9116D">
        <w:t>digital forms)</w:t>
      </w:r>
      <w:r w:rsidR="000C752D" w:rsidRPr="00D9116D">
        <w:t xml:space="preserve">, there </w:t>
      </w:r>
      <w:r w:rsidR="008D0A62" w:rsidRPr="00D9116D">
        <w:t xml:space="preserve">has </w:t>
      </w:r>
      <w:r w:rsidR="000C752D" w:rsidRPr="00D9116D">
        <w:t>been</w:t>
      </w:r>
      <w:r w:rsidR="008D0A62" w:rsidRPr="00D9116D">
        <w:t xml:space="preserve"> </w:t>
      </w:r>
      <w:r w:rsidR="00D21A11" w:rsidRPr="00D9116D">
        <w:t xml:space="preserve">an </w:t>
      </w:r>
      <w:r w:rsidR="004F096E" w:rsidRPr="00D9116D">
        <w:t>upsurge</w:t>
      </w:r>
      <w:r w:rsidR="00D21A11" w:rsidRPr="00D9116D">
        <w:t xml:space="preserve"> of digital resources that attempt to highlight the </w:t>
      </w:r>
      <w:r w:rsidR="00826B10" w:rsidRPr="00D9116D">
        <w:t>extensive</w:t>
      </w:r>
      <w:r w:rsidR="00D21A11" w:rsidRPr="00D9116D">
        <w:t xml:space="preserve"> range of diverse </w:t>
      </w:r>
      <w:r w:rsidR="00D63C98" w:rsidRPr="00D9116D">
        <w:t xml:space="preserve">(and previously silenced) </w:t>
      </w:r>
      <w:r w:rsidR="00D21A11" w:rsidRPr="00D9116D">
        <w:t xml:space="preserve">musicians </w:t>
      </w:r>
      <w:r w:rsidR="00FC1E2E" w:rsidRPr="00D9116D">
        <w:t>throughout</w:t>
      </w:r>
      <w:r w:rsidR="00D21A11" w:rsidRPr="00D9116D">
        <w:t xml:space="preserve"> history.</w:t>
      </w:r>
      <w:r w:rsidR="000B0809" w:rsidRPr="00D9116D">
        <w:t xml:space="preserve"> Over the academic year </w:t>
      </w:r>
      <w:r w:rsidR="000B0809" w:rsidRPr="00D9116D">
        <w:lastRenderedPageBreak/>
        <w:t>of 2020–2021 alone, music departments</w:t>
      </w:r>
      <w:r w:rsidR="004A53E2" w:rsidRPr="00D9116D">
        <w:t>, particularly</w:t>
      </w:r>
      <w:r w:rsidR="000B0809" w:rsidRPr="00D9116D">
        <w:t xml:space="preserve"> across the </w:t>
      </w:r>
      <w:r w:rsidR="004A53E2" w:rsidRPr="00D9116D">
        <w:t>Global North</w:t>
      </w:r>
      <w:r w:rsidR="00DA0525" w:rsidRPr="00D9116D">
        <w:t>,</w:t>
      </w:r>
      <w:r w:rsidR="00DA0525" w:rsidRPr="00D9116D">
        <w:rPr>
          <w:rStyle w:val="FootnoteReference"/>
        </w:rPr>
        <w:footnoteReference w:id="4"/>
      </w:r>
      <w:r w:rsidR="004A53E2" w:rsidRPr="00D9116D">
        <w:t xml:space="preserve"> </w:t>
      </w:r>
      <w:r w:rsidR="000B0809" w:rsidRPr="00D9116D">
        <w:t>have started to compile EDI-themed</w:t>
      </w:r>
      <w:r w:rsidR="00E8159B" w:rsidRPr="00D9116D">
        <w:t xml:space="preserve"> –</w:t>
      </w:r>
      <w:r w:rsidR="004A53E2" w:rsidRPr="00D9116D">
        <w:t xml:space="preserve"> and often</w:t>
      </w:r>
      <w:r w:rsidR="00E8159B" w:rsidRPr="00D9116D">
        <w:t xml:space="preserve"> </w:t>
      </w:r>
      <w:r w:rsidR="00572515" w:rsidRPr="00D9116D">
        <w:t>explicitly</w:t>
      </w:r>
      <w:r w:rsidR="00E8159B" w:rsidRPr="00D9116D">
        <w:t xml:space="preserve"> anti-racist –</w:t>
      </w:r>
      <w:r w:rsidR="000B0809" w:rsidRPr="00D9116D">
        <w:t xml:space="preserve"> resource lists</w:t>
      </w:r>
      <w:r w:rsidR="00CE2F74" w:rsidRPr="00D9116D">
        <w:t>. T</w:t>
      </w:r>
      <w:r w:rsidR="006D2FBB" w:rsidRPr="00D9116D">
        <w:t xml:space="preserve">here is </w:t>
      </w:r>
      <w:r w:rsidR="00CE2F74" w:rsidRPr="00D9116D">
        <w:t xml:space="preserve">also </w:t>
      </w:r>
      <w:r w:rsidR="006D2FBB" w:rsidRPr="00D9116D">
        <w:t xml:space="preserve">a growing </w:t>
      </w:r>
      <w:r w:rsidR="0099774D" w:rsidRPr="00D9116D">
        <w:t xml:space="preserve">(and entirely warranted) </w:t>
      </w:r>
      <w:r w:rsidR="00133D88" w:rsidRPr="00D9116D">
        <w:t>pressure</w:t>
      </w:r>
      <w:r w:rsidR="006D2FBB" w:rsidRPr="00D9116D">
        <w:t xml:space="preserve"> from undergraduate students </w:t>
      </w:r>
      <w:r w:rsidR="00AE5086" w:rsidRPr="00D9116D">
        <w:t xml:space="preserve">to be assigned readings from open-access </w:t>
      </w:r>
      <w:r w:rsidR="006D2FBB" w:rsidRPr="00D9116D">
        <w:t xml:space="preserve">online sources rather than </w:t>
      </w:r>
      <w:r w:rsidR="00F04525" w:rsidRPr="00D9116D">
        <w:t xml:space="preserve">expensive, </w:t>
      </w:r>
      <w:r w:rsidR="00FF4C3F" w:rsidRPr="00D9116D">
        <w:t>physical</w:t>
      </w:r>
      <w:r w:rsidR="006D2FBB" w:rsidRPr="00D9116D">
        <w:t xml:space="preserve"> textbooks written by white men about white men.</w:t>
      </w:r>
      <w:r w:rsidR="006D2FBB" w:rsidRPr="00D9116D">
        <w:rPr>
          <w:rStyle w:val="FootnoteReference"/>
        </w:rPr>
        <w:footnoteReference w:id="5"/>
      </w:r>
      <w:r w:rsidR="000B0809" w:rsidRPr="00D9116D">
        <w:t xml:space="preserve"> </w:t>
      </w:r>
      <w:r w:rsidR="005010C6" w:rsidRPr="00D9116D">
        <w:t>In</w:t>
      </w:r>
      <w:r w:rsidR="006D2FBB" w:rsidRPr="00D9116D">
        <w:t xml:space="preserve"> light of the </w:t>
      </w:r>
      <w:r w:rsidR="006D2FBB" w:rsidRPr="00D9116D">
        <w:rPr>
          <w:i/>
          <w:iCs/>
        </w:rPr>
        <w:t>RMA Research Chronicle</w:t>
      </w:r>
      <w:r w:rsidR="006D2FBB" w:rsidRPr="00D9116D">
        <w:t xml:space="preserve">’s commitment to </w:t>
      </w:r>
      <w:r w:rsidR="00FC1E2E" w:rsidRPr="00D9116D">
        <w:t xml:space="preserve">critically </w:t>
      </w:r>
      <w:r w:rsidR="006D2FBB" w:rsidRPr="00D9116D">
        <w:t xml:space="preserve">discuss </w:t>
      </w:r>
      <w:r w:rsidR="004D415E" w:rsidRPr="00D9116D">
        <w:t xml:space="preserve">‘primary sources’ (or, up until the 2020 issue, </w:t>
      </w:r>
      <w:r w:rsidR="006D2FBB" w:rsidRPr="00D9116D">
        <w:t>‘raw materials’</w:t>
      </w:r>
      <w:r w:rsidR="004D415E" w:rsidRPr="00D9116D">
        <w:t>)</w:t>
      </w:r>
      <w:r w:rsidR="006D2FBB" w:rsidRPr="00D9116D">
        <w:t xml:space="preserve">, the </w:t>
      </w:r>
      <w:r w:rsidR="00A26807" w:rsidRPr="00D9116D">
        <w:t>challenges</w:t>
      </w:r>
      <w:r w:rsidR="006D2FBB" w:rsidRPr="00D9116D">
        <w:t xml:space="preserve"> of </w:t>
      </w:r>
      <w:r w:rsidR="00C71D0A" w:rsidRPr="00D9116D">
        <w:t xml:space="preserve">actually </w:t>
      </w:r>
      <w:r w:rsidR="006D2FBB" w:rsidRPr="00D9116D">
        <w:t xml:space="preserve">getting to physical archives </w:t>
      </w:r>
      <w:r w:rsidR="00C71D0A" w:rsidRPr="00D9116D">
        <w:t>in</w:t>
      </w:r>
      <w:r w:rsidR="007E37EF" w:rsidRPr="00D9116D">
        <w:t xml:space="preserve"> Covid</w:t>
      </w:r>
      <w:r w:rsidR="00C71D0A" w:rsidRPr="00D9116D">
        <w:t xml:space="preserve"> lockdown </w:t>
      </w:r>
      <w:r w:rsidR="001F6574" w:rsidRPr="00D9116D">
        <w:t xml:space="preserve">also </w:t>
      </w:r>
      <w:r w:rsidR="006D2FBB" w:rsidRPr="00D9116D">
        <w:t>raise</w:t>
      </w:r>
      <w:r w:rsidR="00E65129" w:rsidRPr="00D9116D">
        <w:t xml:space="preserve"> </w:t>
      </w:r>
      <w:r w:rsidR="006D2FBB" w:rsidRPr="00D9116D">
        <w:t>important questions about access and equity</w:t>
      </w:r>
      <w:r w:rsidR="00FF4C3F" w:rsidRPr="00D9116D">
        <w:t xml:space="preserve">: </w:t>
      </w:r>
      <w:r w:rsidR="006D2FBB" w:rsidRPr="00D9116D">
        <w:t xml:space="preserve">who has, traditionally, held the power in terms of archival access to the </w:t>
      </w:r>
      <w:r w:rsidR="00B72BB7" w:rsidRPr="00D9116D">
        <w:t>‘primary sources’</w:t>
      </w:r>
      <w:r w:rsidR="006D2FBB" w:rsidRPr="00D9116D">
        <w:t xml:space="preserve"> of history</w:t>
      </w:r>
      <w:r w:rsidR="00FF4C3F" w:rsidRPr="00D9116D">
        <w:t>?</w:t>
      </w:r>
      <w:r w:rsidR="006D2FBB" w:rsidRPr="00D9116D">
        <w:t xml:space="preserve"> </w:t>
      </w:r>
      <w:r w:rsidR="009140C4" w:rsidRPr="00D9116D">
        <w:t>H</w:t>
      </w:r>
      <w:r w:rsidR="006D2FBB" w:rsidRPr="00D9116D">
        <w:t>ow can academic studies respond</w:t>
      </w:r>
      <w:r w:rsidR="00F401DA" w:rsidRPr="00D9116D">
        <w:t>, critically and productively,</w:t>
      </w:r>
      <w:r w:rsidR="006D2FBB" w:rsidRPr="00D9116D">
        <w:t xml:space="preserve"> to </w:t>
      </w:r>
      <w:r w:rsidR="00F401DA" w:rsidRPr="00D9116D">
        <w:t>the explosion of online resources that by their very existence and utility underscore the limitations of how music history has been written?</w:t>
      </w:r>
      <w:r w:rsidR="00C340A3" w:rsidRPr="00D9116D">
        <w:t xml:space="preserve"> Will we</w:t>
      </w:r>
      <w:r w:rsidR="009B5D6B" w:rsidRPr="00D9116D">
        <w:t>, as a discipline,</w:t>
      </w:r>
      <w:r w:rsidR="00C340A3" w:rsidRPr="00D9116D">
        <w:t xml:space="preserve"> rise to the challenge </w:t>
      </w:r>
      <w:r w:rsidR="009B5D6B" w:rsidRPr="00D9116D">
        <w:t>and</w:t>
      </w:r>
      <w:r w:rsidR="00C340A3" w:rsidRPr="00D9116D">
        <w:t xml:space="preserve"> use the last year as a chance to reassess what archival ‘representation’ means</w:t>
      </w:r>
      <w:r w:rsidR="00D97052" w:rsidRPr="00D9116D">
        <w:t xml:space="preserve"> for</w:t>
      </w:r>
      <w:r w:rsidR="009B5D6B" w:rsidRPr="00D9116D">
        <w:t xml:space="preserve"> </w:t>
      </w:r>
      <w:r w:rsidR="00C340A3" w:rsidRPr="00D9116D">
        <w:t xml:space="preserve">our </w:t>
      </w:r>
      <w:r w:rsidR="006F1D0E" w:rsidRPr="00D9116D">
        <w:t>work</w:t>
      </w:r>
      <w:r w:rsidR="009B5D6B" w:rsidRPr="00D9116D">
        <w:t xml:space="preserve"> </w:t>
      </w:r>
      <w:r w:rsidR="006F1D0E" w:rsidRPr="00D9116D">
        <w:t xml:space="preserve">and our understanding of ourselves? </w:t>
      </w:r>
    </w:p>
    <w:p w14:paraId="5441806D" w14:textId="04217836" w:rsidR="00134A08" w:rsidRPr="00D9116D" w:rsidRDefault="00A949B1" w:rsidP="0001280B">
      <w:pPr>
        <w:spacing w:line="360" w:lineRule="auto"/>
      </w:pPr>
      <w:r w:rsidRPr="00D9116D">
        <w:tab/>
      </w:r>
      <w:r w:rsidR="00370E02" w:rsidRPr="00D9116D">
        <w:t>Drawing upon the wider context that we</w:t>
      </w:r>
      <w:r w:rsidR="0058241D" w:rsidRPr="00D9116D">
        <w:t xml:space="preserve"> now</w:t>
      </w:r>
      <w:r w:rsidR="00370E02" w:rsidRPr="00D9116D">
        <w:t xml:space="preserve"> find ourselves in, this review take</w:t>
      </w:r>
      <w:r w:rsidR="00B55520" w:rsidRPr="00D9116D">
        <w:t>s</w:t>
      </w:r>
      <w:r w:rsidR="00370E02" w:rsidRPr="00D9116D">
        <w:t xml:space="preserve"> several EDI </w:t>
      </w:r>
      <w:r w:rsidR="00317BF7" w:rsidRPr="00D9116D">
        <w:t xml:space="preserve">web </w:t>
      </w:r>
      <w:r w:rsidR="00370E02" w:rsidRPr="00D9116D">
        <w:t xml:space="preserve">resources as </w:t>
      </w:r>
      <w:r w:rsidR="0058241D" w:rsidRPr="00D9116D">
        <w:t xml:space="preserve">case-study </w:t>
      </w:r>
      <w:r w:rsidR="00370E02" w:rsidRPr="00D9116D">
        <w:t>examples of the ‘</w:t>
      </w:r>
      <w:r w:rsidR="00891C23" w:rsidRPr="00D9116D">
        <w:t>primary sources</w:t>
      </w:r>
      <w:r w:rsidR="00370E02" w:rsidRPr="00D9116D">
        <w:t xml:space="preserve">’ of </w:t>
      </w:r>
      <w:r w:rsidR="00B04E35" w:rsidRPr="00D9116D">
        <w:t xml:space="preserve">music EDI </w:t>
      </w:r>
      <w:r w:rsidR="009B7434" w:rsidRPr="00D9116D">
        <w:t>initiatives</w:t>
      </w:r>
      <w:r w:rsidR="00B04E35" w:rsidRPr="00D9116D">
        <w:t xml:space="preserve"> in 2020–2</w:t>
      </w:r>
      <w:r w:rsidR="00370E02" w:rsidRPr="00D9116D">
        <w:t xml:space="preserve">021. </w:t>
      </w:r>
      <w:r w:rsidR="004B77A1" w:rsidRPr="00D9116D">
        <w:t xml:space="preserve">Holding </w:t>
      </w:r>
      <w:r w:rsidR="00F5384B" w:rsidRPr="00D9116D">
        <w:t>digital resources to be</w:t>
      </w:r>
      <w:r w:rsidR="00530418" w:rsidRPr="00D9116D">
        <w:t xml:space="preserve"> worthy of academic review is conceivably a positive decolonial step</w:t>
      </w:r>
      <w:r w:rsidR="00317BF7" w:rsidRPr="00D9116D">
        <w:t xml:space="preserve"> in itself</w:t>
      </w:r>
      <w:r w:rsidR="001A582E" w:rsidRPr="00D9116D">
        <w:t>,</w:t>
      </w:r>
      <w:r w:rsidR="00DB2522" w:rsidRPr="00D9116D">
        <w:t xml:space="preserve"> because of the potential for</w:t>
      </w:r>
      <w:r w:rsidR="00085238" w:rsidRPr="00D9116D">
        <w:t xml:space="preserve"> disrupting and dismantling</w:t>
      </w:r>
      <w:r w:rsidR="008937C6" w:rsidRPr="00D9116D">
        <w:t xml:space="preserve"> ‘elite’</w:t>
      </w:r>
      <w:r w:rsidR="00085238" w:rsidRPr="00D9116D">
        <w:t xml:space="preserve"> hierarchies of knowledge</w:t>
      </w:r>
      <w:r w:rsidR="00530418" w:rsidRPr="00D9116D">
        <w:t xml:space="preserve">, although I am </w:t>
      </w:r>
      <w:r w:rsidR="0026261B" w:rsidRPr="00D9116D">
        <w:t>careful</w:t>
      </w:r>
      <w:r w:rsidR="00530418" w:rsidRPr="00D9116D">
        <w:t xml:space="preserve"> </w:t>
      </w:r>
      <w:r w:rsidR="00CF5066" w:rsidRPr="00D9116D">
        <w:t>to</w:t>
      </w:r>
      <w:r w:rsidR="00530418" w:rsidRPr="00D9116D">
        <w:t xml:space="preserve"> bear in mind </w:t>
      </w:r>
      <w:r w:rsidR="00871052" w:rsidRPr="00D9116D">
        <w:t xml:space="preserve">Eve </w:t>
      </w:r>
      <w:r w:rsidR="00CF5066" w:rsidRPr="00D9116D">
        <w:t xml:space="preserve">Tuck and </w:t>
      </w:r>
      <w:r w:rsidR="00871052" w:rsidRPr="00D9116D">
        <w:t xml:space="preserve">K. Wayne </w:t>
      </w:r>
      <w:r w:rsidR="00CF5066" w:rsidRPr="00D9116D">
        <w:t>Yang’s</w:t>
      </w:r>
      <w:r w:rsidR="00542F41" w:rsidRPr="00D9116D">
        <w:t xml:space="preserve"> compelling </w:t>
      </w:r>
      <w:r w:rsidR="005B2DF6" w:rsidRPr="00D9116D">
        <w:t xml:space="preserve">argument that pretentions to decolonisation must be sensitive to issues of </w:t>
      </w:r>
      <w:r w:rsidR="00EA310C" w:rsidRPr="00D9116D">
        <w:t>material</w:t>
      </w:r>
      <w:r w:rsidR="005B2DF6" w:rsidRPr="00D9116D">
        <w:t xml:space="preserve"> reparation</w:t>
      </w:r>
      <w:r w:rsidR="00EA310C" w:rsidRPr="00D9116D">
        <w:t>s</w:t>
      </w:r>
      <w:r w:rsidR="00E37F42" w:rsidRPr="00D9116D">
        <w:t>.</w:t>
      </w:r>
      <w:r w:rsidR="00E37F42" w:rsidRPr="00D9116D">
        <w:rPr>
          <w:rStyle w:val="FootnoteReference"/>
        </w:rPr>
        <w:footnoteReference w:id="6"/>
      </w:r>
      <w:r w:rsidR="00E37F42" w:rsidRPr="00D9116D">
        <w:t xml:space="preserve"> </w:t>
      </w:r>
      <w:r w:rsidR="00D62E96" w:rsidRPr="00D9116D">
        <w:t>Taking Tuck and Yang’s approach onboard</w:t>
      </w:r>
      <w:r w:rsidR="00E72683" w:rsidRPr="00D9116D">
        <w:t xml:space="preserve"> and conscious of reinforcing racial tokenism in the name of inclusion</w:t>
      </w:r>
      <w:r w:rsidR="00D62E96" w:rsidRPr="00D9116D">
        <w:t xml:space="preserve">, I </w:t>
      </w:r>
      <w:r w:rsidR="00006962" w:rsidRPr="00D9116D">
        <w:t xml:space="preserve">contend </w:t>
      </w:r>
      <w:r w:rsidR="00D62E96" w:rsidRPr="00D9116D">
        <w:t xml:space="preserve">that it is important to recognise </w:t>
      </w:r>
      <w:r w:rsidR="006B5645" w:rsidRPr="00D9116D">
        <w:t xml:space="preserve">that unless digital EDI resources are embedded within the </w:t>
      </w:r>
      <w:r w:rsidR="00CB4C9B" w:rsidRPr="00D9116D">
        <w:t xml:space="preserve">highest </w:t>
      </w:r>
      <w:r w:rsidR="006B5645" w:rsidRPr="00D9116D">
        <w:t xml:space="preserve">structures of music academia, they run the risk of </w:t>
      </w:r>
      <w:r w:rsidR="00E72683" w:rsidRPr="00D9116D">
        <w:t>being perfunctory</w:t>
      </w:r>
      <w:r w:rsidR="006B5645" w:rsidRPr="00D9116D">
        <w:t>.</w:t>
      </w:r>
      <w:r w:rsidR="00B227BD" w:rsidRPr="00D9116D">
        <w:t xml:space="preserve"> As Juliet Hess claim</w:t>
      </w:r>
      <w:r w:rsidR="00E72683" w:rsidRPr="00D9116D">
        <w:t>s</w:t>
      </w:r>
      <w:r w:rsidR="00A96513" w:rsidRPr="00D9116D">
        <w:t>,</w:t>
      </w:r>
      <w:r w:rsidR="00B227BD" w:rsidRPr="00D9116D">
        <w:t xml:space="preserve"> </w:t>
      </w:r>
      <w:r w:rsidR="00B227BD" w:rsidRPr="00D9116D">
        <w:lastRenderedPageBreak/>
        <w:t>‘</w:t>
      </w:r>
      <w:r w:rsidR="00D4642F" w:rsidRPr="00D9116D">
        <w:t>W</w:t>
      </w:r>
      <w:r w:rsidR="00B227BD" w:rsidRPr="00D9116D">
        <w:t>estern music in music education</w:t>
      </w:r>
      <w:r w:rsidR="00A96513" w:rsidRPr="00D9116D">
        <w:t>’</w:t>
      </w:r>
      <w:r w:rsidR="00B227BD" w:rsidRPr="00D9116D">
        <w:t xml:space="preserve"> </w:t>
      </w:r>
      <w:r w:rsidR="00A96513" w:rsidRPr="00D9116D">
        <w:t xml:space="preserve">continues to </w:t>
      </w:r>
      <w:r w:rsidR="00B227BD" w:rsidRPr="00D9116D">
        <w:t xml:space="preserve">act </w:t>
      </w:r>
      <w:r w:rsidR="00A96513" w:rsidRPr="00D9116D">
        <w:t>‘</w:t>
      </w:r>
      <w:r w:rsidR="00B227BD" w:rsidRPr="00D9116D">
        <w:t>as a colonizer’</w:t>
      </w:r>
      <w:r w:rsidR="00576FC3" w:rsidRPr="00D9116D">
        <w:t>.</w:t>
      </w:r>
      <w:r w:rsidR="008752D6" w:rsidRPr="00D9116D">
        <w:rPr>
          <w:rStyle w:val="FootnoteReference"/>
        </w:rPr>
        <w:footnoteReference w:id="7"/>
      </w:r>
      <w:r w:rsidR="00B227BD" w:rsidRPr="00D9116D">
        <w:t xml:space="preserve"> </w:t>
      </w:r>
      <w:r w:rsidR="00576FC3" w:rsidRPr="00D9116D">
        <w:t>B</w:t>
      </w:r>
      <w:r w:rsidR="00E25D1D" w:rsidRPr="00D9116D">
        <w:t xml:space="preserve">y extension, </w:t>
      </w:r>
      <w:r w:rsidR="002056B7" w:rsidRPr="00D9116D">
        <w:t>owing to previous scholarship’s tendency to reproduce white European</w:t>
      </w:r>
      <w:r w:rsidR="00882B1B" w:rsidRPr="00D9116D">
        <w:t xml:space="preserve"> forms of</w:t>
      </w:r>
      <w:r w:rsidR="002056B7" w:rsidRPr="00D9116D">
        <w:t xml:space="preserve"> </w:t>
      </w:r>
      <w:r w:rsidR="00261A2B" w:rsidRPr="00D9116D">
        <w:t>knowledge</w:t>
      </w:r>
      <w:r w:rsidR="002056B7" w:rsidRPr="00D9116D">
        <w:t xml:space="preserve">, </w:t>
      </w:r>
      <w:r w:rsidR="00E25D1D" w:rsidRPr="00D9116D">
        <w:t>one could argu</w:t>
      </w:r>
      <w:r w:rsidR="00D21A93" w:rsidRPr="00D9116D">
        <w:t>e</w:t>
      </w:r>
      <w:r w:rsidR="00E25D1D" w:rsidRPr="00D9116D">
        <w:t xml:space="preserve"> </w:t>
      </w:r>
      <w:r w:rsidR="00D21A93" w:rsidRPr="00D9116D">
        <w:t>that</w:t>
      </w:r>
      <w:r w:rsidR="002056B7" w:rsidRPr="00D9116D">
        <w:t xml:space="preserve"> </w:t>
      </w:r>
      <w:r w:rsidR="0014020C" w:rsidRPr="00D9116D">
        <w:t xml:space="preserve">older </w:t>
      </w:r>
      <w:r w:rsidR="0047182C" w:rsidRPr="00D9116D">
        <w:t xml:space="preserve">published </w:t>
      </w:r>
      <w:r w:rsidR="00E25D1D" w:rsidRPr="00D9116D">
        <w:t xml:space="preserve">academic histories of music </w:t>
      </w:r>
      <w:r w:rsidR="00A013A6" w:rsidRPr="00D9116D">
        <w:t xml:space="preserve">continue to </w:t>
      </w:r>
      <w:r w:rsidR="0014020C" w:rsidRPr="00D9116D">
        <w:t>‘</w:t>
      </w:r>
      <w:r w:rsidR="00E25D1D" w:rsidRPr="00D9116D">
        <w:t>colonise</w:t>
      </w:r>
      <w:r w:rsidR="0014020C" w:rsidRPr="00D9116D">
        <w:t>’</w:t>
      </w:r>
      <w:r w:rsidR="00E25D1D" w:rsidRPr="00D9116D">
        <w:t xml:space="preserve"> educational curricula despite the </w:t>
      </w:r>
      <w:r w:rsidR="00585E21" w:rsidRPr="00D9116D">
        <w:t>enormous range of divers</w:t>
      </w:r>
      <w:r w:rsidR="00EC1B41" w:rsidRPr="00D9116D">
        <w:t>e sources</w:t>
      </w:r>
      <w:r w:rsidR="00585E21" w:rsidRPr="00D9116D">
        <w:t xml:space="preserve"> now available through </w:t>
      </w:r>
      <w:r w:rsidR="00772EDC" w:rsidRPr="00D9116D">
        <w:t xml:space="preserve">digital </w:t>
      </w:r>
      <w:r w:rsidR="005A0539" w:rsidRPr="00D9116D">
        <w:t>formats</w:t>
      </w:r>
      <w:r w:rsidR="00585E21" w:rsidRPr="00D9116D">
        <w:t>.</w:t>
      </w:r>
      <w:r w:rsidR="002F3891" w:rsidRPr="00D9116D">
        <w:t xml:space="preserve"> As such, I suggest that the below</w:t>
      </w:r>
      <w:r w:rsidR="002D30EB" w:rsidRPr="00D9116D">
        <w:t xml:space="preserve"> </w:t>
      </w:r>
      <w:r w:rsidR="00585E21" w:rsidRPr="00D9116D">
        <w:t>sources</w:t>
      </w:r>
      <w:r w:rsidR="002F3891" w:rsidRPr="00D9116D">
        <w:t xml:space="preserve"> </w:t>
      </w:r>
      <w:r w:rsidR="00585E21" w:rsidRPr="00D9116D">
        <w:t>are</w:t>
      </w:r>
      <w:r w:rsidR="002F3891" w:rsidRPr="00D9116D">
        <w:t xml:space="preserve"> useful for </w:t>
      </w:r>
      <w:r w:rsidR="00614845" w:rsidRPr="00D9116D">
        <w:t>initiating</w:t>
      </w:r>
      <w:r w:rsidR="002F3891" w:rsidRPr="00D9116D">
        <w:t xml:space="preserve"> decolonial dialogues about what values </w:t>
      </w:r>
      <w:r w:rsidR="00861511" w:rsidRPr="00D9116D">
        <w:t>have upheld</w:t>
      </w:r>
      <w:r w:rsidR="00C26647" w:rsidRPr="00D9116D">
        <w:t>,</w:t>
      </w:r>
      <w:r w:rsidR="00861511" w:rsidRPr="00D9116D">
        <w:t xml:space="preserve"> and continue to uphold</w:t>
      </w:r>
      <w:r w:rsidR="00C26647" w:rsidRPr="00D9116D">
        <w:t>,</w:t>
      </w:r>
      <w:r w:rsidR="002F3891" w:rsidRPr="00D9116D">
        <w:t xml:space="preserve"> the musicological canon</w:t>
      </w:r>
      <w:r w:rsidR="005B6CBD" w:rsidRPr="00D9116D">
        <w:t>.</w:t>
      </w:r>
    </w:p>
    <w:p w14:paraId="40F6F236" w14:textId="0DF70A15" w:rsidR="001822A7" w:rsidRPr="00D9116D" w:rsidRDefault="001822A7" w:rsidP="0001280B">
      <w:pPr>
        <w:spacing w:line="360" w:lineRule="auto"/>
        <w:ind w:firstLine="720"/>
      </w:pPr>
      <w:r w:rsidRPr="00D9116D">
        <w:t xml:space="preserve">The </w:t>
      </w:r>
      <w:r w:rsidR="00B462EF" w:rsidRPr="00D9116D">
        <w:t>‘</w:t>
      </w:r>
      <w:r w:rsidRPr="00D9116D">
        <w:t>Composers of Color Resource Project</w:t>
      </w:r>
      <w:r w:rsidR="00B462EF" w:rsidRPr="00D9116D">
        <w:t>’</w:t>
      </w:r>
      <w:r w:rsidR="002D30EB" w:rsidRPr="00D9116D">
        <w:t>,</w:t>
      </w:r>
      <w:r w:rsidRPr="00D9116D">
        <w:t xml:space="preserve"> </w:t>
      </w:r>
      <w:r w:rsidR="002D30EB" w:rsidRPr="00D9116D">
        <w:t>set up as a Humanities Commons op</w:t>
      </w:r>
      <w:r w:rsidR="007177BE" w:rsidRPr="00D9116D">
        <w:t xml:space="preserve">en access </w:t>
      </w:r>
      <w:r w:rsidR="00961408" w:rsidRPr="00D9116D">
        <w:t>webpage</w:t>
      </w:r>
      <w:r w:rsidR="007177BE" w:rsidRPr="00D9116D">
        <w:t>, is described on their home page as a site ‘for music by composers of color’, not limited to ‘traditional’ music theory topics or ‘notated music in the Western art tradition’.</w:t>
      </w:r>
      <w:r w:rsidR="00A16F38" w:rsidRPr="00D9116D">
        <w:rPr>
          <w:rStyle w:val="FootnoteReference"/>
        </w:rPr>
        <w:footnoteReference w:id="8"/>
      </w:r>
      <w:r w:rsidR="002061BB" w:rsidRPr="00D9116D">
        <w:t xml:space="preserve"> Submissions of annotated scores and lesson plans are welcome, and the site is updated regularly. </w:t>
      </w:r>
      <w:r w:rsidR="000563C7" w:rsidRPr="00D9116D">
        <w:t>The website is professionally presented and easy to navigate. The overriding intention is to make it as easy as possible for music educators to diversify their teaching curricula with music by composers of colour. As the home page proposes: ‘</w:t>
      </w:r>
      <w:r w:rsidR="00686E9B" w:rsidRPr="00D9116D">
        <w:t>S</w:t>
      </w:r>
      <w:r w:rsidR="000563C7" w:rsidRPr="00D9116D">
        <w:t>imply swap out some of the examples by white men that you fall back on when teaching, e.g., the IV chord, and you’ll introduce the representation of voices of color and non-canonic composers overnight</w:t>
      </w:r>
      <w:r w:rsidR="003F593B" w:rsidRPr="00D9116D">
        <w:t>.</w:t>
      </w:r>
      <w:r w:rsidR="000563C7" w:rsidRPr="00D9116D">
        <w:t>’</w:t>
      </w:r>
      <w:r w:rsidR="00FB5FC4" w:rsidRPr="00D9116D">
        <w:t xml:space="preserve"> Practically speaking, the growing list of </w:t>
      </w:r>
      <w:r w:rsidR="000857AA" w:rsidRPr="00D9116D">
        <w:t>‘analytical notes and annotated scores’ and ‘lesson materials’</w:t>
      </w:r>
      <w:r w:rsidR="00FB5FC4" w:rsidRPr="00D9116D">
        <w:t xml:space="preserve"> </w:t>
      </w:r>
      <w:r w:rsidR="000857AA" w:rsidRPr="00D9116D">
        <w:t xml:space="preserve">provided on the website </w:t>
      </w:r>
      <w:r w:rsidR="00A915CD" w:rsidRPr="00D9116D">
        <w:t>comprise</w:t>
      </w:r>
      <w:r w:rsidR="00F60461" w:rsidRPr="00D9116D">
        <w:t>s</w:t>
      </w:r>
      <w:r w:rsidR="00A915CD" w:rsidRPr="00D9116D">
        <w:t xml:space="preserve"> </w:t>
      </w:r>
      <w:r w:rsidR="000857AA" w:rsidRPr="00D9116D">
        <w:t>a rich, helpful</w:t>
      </w:r>
      <w:r w:rsidR="00BC6619" w:rsidRPr="00D9116D">
        <w:t>,</w:t>
      </w:r>
      <w:r w:rsidR="000857AA" w:rsidRPr="00D9116D">
        <w:t xml:space="preserve"> and very accessible resource </w:t>
      </w:r>
      <w:r w:rsidR="00296CB1" w:rsidRPr="00D9116D">
        <w:t xml:space="preserve">that is easy and quick to use. </w:t>
      </w:r>
      <w:r w:rsidR="000857AA" w:rsidRPr="00D9116D">
        <w:t xml:space="preserve">What the </w:t>
      </w:r>
      <w:r w:rsidR="00FC061E" w:rsidRPr="00D9116D">
        <w:t>project</w:t>
      </w:r>
      <w:r w:rsidR="000857AA" w:rsidRPr="00D9116D">
        <w:t xml:space="preserve"> might benefit from is a</w:t>
      </w:r>
      <w:r w:rsidR="00367FB7" w:rsidRPr="00D9116D">
        <w:t xml:space="preserve"> greater</w:t>
      </w:r>
      <w:r w:rsidR="000857AA" w:rsidRPr="00D9116D">
        <w:t xml:space="preserve"> critical reflection</w:t>
      </w:r>
      <w:r w:rsidR="00D453F1" w:rsidRPr="00D9116D">
        <w:t xml:space="preserve"> on — </w:t>
      </w:r>
      <w:r w:rsidR="000857AA" w:rsidRPr="00D9116D">
        <w:t xml:space="preserve">or at least </w:t>
      </w:r>
      <w:r w:rsidR="00234F7E" w:rsidRPr="00D9116D">
        <w:t xml:space="preserve">a </w:t>
      </w:r>
      <w:r w:rsidR="000857AA" w:rsidRPr="00D9116D">
        <w:t>positioning of</w:t>
      </w:r>
      <w:r w:rsidR="00D453F1" w:rsidRPr="00D9116D">
        <w:t xml:space="preserve"> —</w:t>
      </w:r>
      <w:r w:rsidR="000857AA" w:rsidRPr="00D9116D">
        <w:t xml:space="preserve"> ‘how’ these scores and lessons are being presented</w:t>
      </w:r>
      <w:r w:rsidR="00D453F1" w:rsidRPr="00D9116D">
        <w:t>.</w:t>
      </w:r>
      <w:r w:rsidR="000857AA" w:rsidRPr="00D9116D">
        <w:t xml:space="preserve"> </w:t>
      </w:r>
      <w:r w:rsidR="00D453F1" w:rsidRPr="00D9116D">
        <w:t>T</w:t>
      </w:r>
      <w:r w:rsidR="000857AA" w:rsidRPr="00D9116D">
        <w:t xml:space="preserve">he directive to ‘simply swap out’ one </w:t>
      </w:r>
      <w:r w:rsidR="00596313" w:rsidRPr="00D9116D">
        <w:t>musical example</w:t>
      </w:r>
      <w:r w:rsidR="000857AA" w:rsidRPr="00D9116D">
        <w:t xml:space="preserve"> for another leaves the reader drowning in annotated scores before there is any contextualisation about ‘why’ </w:t>
      </w:r>
      <w:r w:rsidR="00854057" w:rsidRPr="00D9116D">
        <w:t>these repertoires</w:t>
      </w:r>
      <w:r w:rsidR="000857AA" w:rsidRPr="00D9116D">
        <w:t xml:space="preserve"> ha</w:t>
      </w:r>
      <w:r w:rsidR="00854057" w:rsidRPr="00D9116D">
        <w:t>ve</w:t>
      </w:r>
      <w:r w:rsidR="000857AA" w:rsidRPr="00D9116D">
        <w:t xml:space="preserve"> been so </w:t>
      </w:r>
      <w:r w:rsidR="00E96571" w:rsidRPr="00D9116D">
        <w:t xml:space="preserve">historically </w:t>
      </w:r>
      <w:r w:rsidR="000857AA" w:rsidRPr="00D9116D">
        <w:t xml:space="preserve">side-lined, or the fact that the methods of score annotation </w:t>
      </w:r>
      <w:r w:rsidR="000E671F" w:rsidRPr="00D9116D">
        <w:t xml:space="preserve">promoted here </w:t>
      </w:r>
      <w:r w:rsidR="000857AA" w:rsidRPr="00D9116D">
        <w:t xml:space="preserve">stem from the same structures of white academia </w:t>
      </w:r>
      <w:r w:rsidR="009F409E" w:rsidRPr="00D9116D">
        <w:t xml:space="preserve">that </w:t>
      </w:r>
      <w:r w:rsidR="000857AA" w:rsidRPr="00D9116D">
        <w:t>silenced an archive of compositions by composers of colour in the first place.</w:t>
      </w:r>
      <w:r w:rsidR="00C35845" w:rsidRPr="00D9116D">
        <w:t xml:space="preserve"> </w:t>
      </w:r>
    </w:p>
    <w:p w14:paraId="5F64B4B4" w14:textId="29AB07F2" w:rsidR="003C05FF" w:rsidRPr="00D9116D" w:rsidRDefault="002D30EB" w:rsidP="0001280B">
      <w:pPr>
        <w:spacing w:line="360" w:lineRule="auto"/>
      </w:pPr>
      <w:r w:rsidRPr="00D9116D">
        <w:tab/>
      </w:r>
      <w:r w:rsidR="00C35845" w:rsidRPr="00D9116D">
        <w:t xml:space="preserve">The website </w:t>
      </w:r>
      <w:r w:rsidR="00B462EF" w:rsidRPr="00D9116D">
        <w:t>‘</w:t>
      </w:r>
      <w:r w:rsidR="001822A7" w:rsidRPr="00D9116D">
        <w:t>Engaged Music Theory</w:t>
      </w:r>
      <w:r w:rsidR="00B462EF" w:rsidRPr="00D9116D">
        <w:t>’,</w:t>
      </w:r>
      <w:r w:rsidR="0030518E" w:rsidRPr="00D9116D">
        <w:rPr>
          <w:rStyle w:val="FootnoteReference"/>
        </w:rPr>
        <w:footnoteReference w:id="9"/>
      </w:r>
      <w:r w:rsidR="00B462EF" w:rsidRPr="00D9116D">
        <w:t xml:space="preserve"> by contrast,</w:t>
      </w:r>
      <w:r w:rsidR="001822A7" w:rsidRPr="00D9116D">
        <w:t xml:space="preserve"> </w:t>
      </w:r>
      <w:r w:rsidR="008234E2" w:rsidRPr="00D9116D">
        <w:t>frame</w:t>
      </w:r>
      <w:r w:rsidR="001216C3" w:rsidRPr="00D9116D">
        <w:t>s</w:t>
      </w:r>
      <w:r w:rsidR="008234E2" w:rsidRPr="00D9116D">
        <w:t xml:space="preserve"> the </w:t>
      </w:r>
      <w:r w:rsidR="001216C3" w:rsidRPr="00D9116D">
        <w:t>project</w:t>
      </w:r>
      <w:r w:rsidR="00CD26BB" w:rsidRPr="00D9116D">
        <w:t xml:space="preserve"> </w:t>
      </w:r>
      <w:r w:rsidR="008234E2" w:rsidRPr="00D9116D">
        <w:t xml:space="preserve">of an academic bibliography on diversity in </w:t>
      </w:r>
      <w:r w:rsidR="003C05FF" w:rsidRPr="00D9116D">
        <w:t xml:space="preserve">music theory as a direct, critical response to </w:t>
      </w:r>
      <w:r w:rsidR="00A754C9" w:rsidRPr="00D9116D">
        <w:t xml:space="preserve">the </w:t>
      </w:r>
      <w:r w:rsidR="003C05FF" w:rsidRPr="00D9116D">
        <w:t>cultural politics</w:t>
      </w:r>
      <w:r w:rsidR="00BD51DB" w:rsidRPr="00D9116D">
        <w:t xml:space="preserve"> </w:t>
      </w:r>
      <w:r w:rsidR="00BD51DB" w:rsidRPr="00D9116D">
        <w:lastRenderedPageBreak/>
        <w:t>of</w:t>
      </w:r>
      <w:r w:rsidR="0087169D" w:rsidRPr="00D9116D">
        <w:t xml:space="preserve"> </w:t>
      </w:r>
      <w:r w:rsidR="00082167" w:rsidRPr="00D9116D">
        <w:t>‘</w:t>
      </w:r>
      <w:r w:rsidR="003C05FF" w:rsidRPr="00D9116D">
        <w:t>race, ethnicity, gender, sexuality, class, intersectionality, decolonization, and disability’</w:t>
      </w:r>
      <w:r w:rsidR="005971E3" w:rsidRPr="00D9116D">
        <w:t xml:space="preserve"> i</w:t>
      </w:r>
      <w:r w:rsidR="003C05FF" w:rsidRPr="00D9116D">
        <w:t>n order to ‘highlight scholarly work that confronts the centralized, historically Eurocentric and heteropatriarchal framing of North American music theory</w:t>
      </w:r>
      <w:r w:rsidR="00BC6619" w:rsidRPr="00D9116D">
        <w:t>.</w:t>
      </w:r>
      <w:r w:rsidR="003C05FF" w:rsidRPr="00D9116D">
        <w:t xml:space="preserve">’ </w:t>
      </w:r>
      <w:r w:rsidR="006118C9" w:rsidRPr="00D9116D">
        <w:t>Se</w:t>
      </w:r>
      <w:r w:rsidR="007D19EB" w:rsidRPr="00D9116D">
        <w:t>t</w:t>
      </w:r>
      <w:r w:rsidR="006118C9" w:rsidRPr="00D9116D">
        <w:t xml:space="preserve"> up by </w:t>
      </w:r>
      <w:r w:rsidR="00A74C26" w:rsidRPr="00D9116D">
        <w:t>the Engaged Music Theory Working Group</w:t>
      </w:r>
      <w:r w:rsidR="00502B55" w:rsidRPr="00D9116D">
        <w:t xml:space="preserve">, </w:t>
      </w:r>
      <w:r w:rsidR="0078242C" w:rsidRPr="00D9116D">
        <w:t>made up of</w:t>
      </w:r>
      <w:r w:rsidR="00A74C26" w:rsidRPr="00D9116D">
        <w:t xml:space="preserve"> </w:t>
      </w:r>
      <w:r w:rsidR="006118C9" w:rsidRPr="00D9116D">
        <w:t xml:space="preserve">a diverse range of </w:t>
      </w:r>
      <w:r w:rsidR="000C0835" w:rsidRPr="00D9116D">
        <w:t>primarily US-based</w:t>
      </w:r>
      <w:r w:rsidR="00A74C26" w:rsidRPr="00D9116D">
        <w:t xml:space="preserve"> graduate students and</w:t>
      </w:r>
      <w:r w:rsidR="006118C9" w:rsidRPr="00D9116D">
        <w:t xml:space="preserve"> early-career scholars</w:t>
      </w:r>
      <w:r w:rsidR="00502B55" w:rsidRPr="00D9116D">
        <w:t>,</w:t>
      </w:r>
      <w:r w:rsidR="00A62C30" w:rsidRPr="00D9116D">
        <w:rPr>
          <w:rStyle w:val="FootnoteReference"/>
        </w:rPr>
        <w:footnoteReference w:id="10"/>
      </w:r>
      <w:r w:rsidR="00502B55" w:rsidRPr="00D9116D">
        <w:t xml:space="preserve"> </w:t>
      </w:r>
      <w:r w:rsidR="006118C9" w:rsidRPr="00D9116D">
        <w:t xml:space="preserve">the project takes </w:t>
      </w:r>
      <w:r w:rsidR="003C05FF" w:rsidRPr="00D9116D">
        <w:t>Naomi André’s 2018 challenge of an ‘engaged musicology’ as the inspiration for the</w:t>
      </w:r>
      <w:r w:rsidR="00013781" w:rsidRPr="00D9116D">
        <w:t>ir</w:t>
      </w:r>
      <w:r w:rsidR="003C05FF" w:rsidRPr="00D9116D">
        <w:t xml:space="preserve"> title.</w:t>
      </w:r>
      <w:r w:rsidR="005B21F0" w:rsidRPr="00D9116D">
        <w:rPr>
          <w:rStyle w:val="FootnoteReference"/>
        </w:rPr>
        <w:footnoteReference w:id="11"/>
      </w:r>
      <w:r w:rsidR="006118C9" w:rsidRPr="00D9116D">
        <w:t xml:space="preserve"> The bibliography that </w:t>
      </w:r>
      <w:r w:rsidR="006736F3" w:rsidRPr="00D9116D">
        <w:t>forms the substance</w:t>
      </w:r>
      <w:r w:rsidR="003E5212" w:rsidRPr="00D9116D">
        <w:t xml:space="preserve"> of the</w:t>
      </w:r>
      <w:r w:rsidR="006118C9" w:rsidRPr="00D9116D">
        <w:t xml:space="preserve"> website – which is constantly growing, and readers are invited to submit suggestions for consideration – is easily-searchable and well-presented, with direct hyperlinks provided for </w:t>
      </w:r>
      <w:r w:rsidR="003E5212" w:rsidRPr="00D9116D">
        <w:t>many of the</w:t>
      </w:r>
      <w:r w:rsidR="006118C9" w:rsidRPr="00D9116D">
        <w:t xml:space="preserve"> online sources. Indeed, the</w:t>
      </w:r>
      <w:r w:rsidR="00447226" w:rsidRPr="00D9116D">
        <w:t xml:space="preserve"> website’s</w:t>
      </w:r>
      <w:r w:rsidR="006118C9" w:rsidRPr="00D9116D">
        <w:t xml:space="preserve"> </w:t>
      </w:r>
      <w:r w:rsidR="00EF5D72" w:rsidRPr="00D9116D">
        <w:t>transparency is refreshing</w:t>
      </w:r>
      <w:r w:rsidR="002C5693" w:rsidRPr="00D9116D">
        <w:t>. I</w:t>
      </w:r>
      <w:r w:rsidR="00EF5D72" w:rsidRPr="00D9116D">
        <w:t xml:space="preserve">n its </w:t>
      </w:r>
      <w:r w:rsidR="00352BD0" w:rsidRPr="00D9116D">
        <w:t xml:space="preserve">presentational </w:t>
      </w:r>
      <w:r w:rsidR="00EF5D72" w:rsidRPr="00D9116D">
        <w:t xml:space="preserve">simplicity, the list of </w:t>
      </w:r>
      <w:r w:rsidR="0078242C" w:rsidRPr="00D9116D">
        <w:t xml:space="preserve">bibliographical </w:t>
      </w:r>
      <w:r w:rsidR="00EF5D72" w:rsidRPr="00D9116D">
        <w:t>sources provided highlights just how m</w:t>
      </w:r>
      <w:r w:rsidR="00B2227F" w:rsidRPr="00D9116D">
        <w:t>uch</w:t>
      </w:r>
      <w:r w:rsidR="00EF5D72" w:rsidRPr="00D9116D">
        <w:t xml:space="preserve"> EDI-related </w:t>
      </w:r>
      <w:r w:rsidR="00B2227F" w:rsidRPr="00D9116D">
        <w:t>scholarship</w:t>
      </w:r>
      <w:r w:rsidR="00EF5D72" w:rsidRPr="00D9116D">
        <w:t xml:space="preserve"> on music theory </w:t>
      </w:r>
      <w:r w:rsidR="00B2227F" w:rsidRPr="00D9116D">
        <w:t>is already</w:t>
      </w:r>
      <w:r w:rsidR="00AD4B6A" w:rsidRPr="00D9116D">
        <w:t xml:space="preserve"> available</w:t>
      </w:r>
      <w:r w:rsidR="00814729" w:rsidRPr="00D9116D">
        <w:t xml:space="preserve">. </w:t>
      </w:r>
      <w:r w:rsidR="000213C7" w:rsidRPr="00D9116D">
        <w:t>The list</w:t>
      </w:r>
      <w:r w:rsidR="00A97469" w:rsidRPr="00D9116D">
        <w:t xml:space="preserve"> will be an invaluable resource for</w:t>
      </w:r>
      <w:r w:rsidR="00E3436F" w:rsidRPr="00D9116D">
        <w:t xml:space="preserve"> </w:t>
      </w:r>
      <w:r w:rsidR="00DB2CEC" w:rsidRPr="00D9116D">
        <w:t xml:space="preserve">academics and students who are looking to diversify </w:t>
      </w:r>
      <w:r w:rsidR="003E5212" w:rsidRPr="00D9116D">
        <w:t xml:space="preserve">their </w:t>
      </w:r>
      <w:r w:rsidR="00DB2CEC" w:rsidRPr="00D9116D">
        <w:t xml:space="preserve">music theory and analysis reading lists. </w:t>
      </w:r>
      <w:r w:rsidR="0078242C" w:rsidRPr="00D9116D">
        <w:t>T</w:t>
      </w:r>
      <w:r w:rsidR="009C347E" w:rsidRPr="00D9116D">
        <w:t>he form</w:t>
      </w:r>
      <w:r w:rsidR="004E5AD4" w:rsidRPr="00D9116D">
        <w:t>at</w:t>
      </w:r>
      <w:r w:rsidR="009C347E" w:rsidRPr="00D9116D">
        <w:t xml:space="preserve"> of </w:t>
      </w:r>
      <w:r w:rsidR="004E5AD4" w:rsidRPr="00D9116D">
        <w:t>one, long</w:t>
      </w:r>
      <w:r w:rsidR="009C347E" w:rsidRPr="00D9116D">
        <w:t xml:space="preserve"> bibliography</w:t>
      </w:r>
      <w:r w:rsidR="004E5AD4" w:rsidRPr="00D9116D">
        <w:t>,</w:t>
      </w:r>
      <w:r w:rsidR="009C347E" w:rsidRPr="00D9116D">
        <w:t xml:space="preserve"> </w:t>
      </w:r>
      <w:r w:rsidR="0078242C" w:rsidRPr="00D9116D">
        <w:t>nevertheless</w:t>
      </w:r>
      <w:r w:rsidR="004E5AD4" w:rsidRPr="00D9116D">
        <w:t>,</w:t>
      </w:r>
      <w:r w:rsidR="0078242C" w:rsidRPr="00D9116D">
        <w:t xml:space="preserve"> </w:t>
      </w:r>
      <w:r w:rsidR="004E5AD4" w:rsidRPr="00D9116D">
        <w:rPr>
          <w:lang w:val="en-US" w:eastAsia="zh-TW"/>
        </w:rPr>
        <w:t>is itself</w:t>
      </w:r>
      <w:r w:rsidR="0078242C" w:rsidRPr="00D9116D">
        <w:rPr>
          <w:lang w:val="en-US" w:eastAsia="zh-TW"/>
        </w:rPr>
        <w:t xml:space="preserve"> t</w:t>
      </w:r>
      <w:r w:rsidR="00DB2CEC" w:rsidRPr="00D9116D">
        <w:t xml:space="preserve">he </w:t>
      </w:r>
      <w:r w:rsidR="00BB7BE7" w:rsidRPr="00D9116D">
        <w:t xml:space="preserve">main </w:t>
      </w:r>
      <w:r w:rsidR="00394410" w:rsidRPr="00D9116D">
        <w:t>obstacle to the website being more accessible</w:t>
      </w:r>
      <w:r w:rsidR="001D383B" w:rsidRPr="00D9116D">
        <w:t xml:space="preserve">: while the </w:t>
      </w:r>
      <w:r w:rsidR="00200BE1" w:rsidRPr="00D9116D">
        <w:t xml:space="preserve">opening </w:t>
      </w:r>
      <w:r w:rsidR="001D383B" w:rsidRPr="00D9116D">
        <w:t>introduction provide</w:t>
      </w:r>
      <w:r w:rsidR="008A31C0" w:rsidRPr="00D9116D">
        <w:t>s</w:t>
      </w:r>
      <w:r w:rsidR="001D383B" w:rsidRPr="00D9116D">
        <w:t xml:space="preserve"> a helpful list of scholars whose work comes from outside of music</w:t>
      </w:r>
      <w:r w:rsidR="00273238" w:rsidRPr="00D9116D">
        <w:t>,</w:t>
      </w:r>
      <w:r w:rsidR="00273238" w:rsidRPr="00D9116D">
        <w:rPr>
          <w:rStyle w:val="FootnoteReference"/>
        </w:rPr>
        <w:footnoteReference w:id="12"/>
      </w:r>
      <w:r w:rsidR="001D383B" w:rsidRPr="00D9116D">
        <w:t xml:space="preserve"> </w:t>
      </w:r>
      <w:r w:rsidR="005566EB" w:rsidRPr="00D9116D">
        <w:t xml:space="preserve">there is </w:t>
      </w:r>
      <w:r w:rsidR="00F61495" w:rsidRPr="00D9116D">
        <w:t xml:space="preserve">little </w:t>
      </w:r>
      <w:r w:rsidR="005566EB" w:rsidRPr="00D9116D">
        <w:t>framing available for the non-initiated</w:t>
      </w:r>
      <w:r w:rsidR="00273238" w:rsidRPr="00D9116D">
        <w:t xml:space="preserve"> reader</w:t>
      </w:r>
      <w:r w:rsidR="005566EB" w:rsidRPr="00D9116D">
        <w:t xml:space="preserve"> in terms of </w:t>
      </w:r>
      <w:r w:rsidR="003E5212" w:rsidRPr="00D9116D">
        <w:t xml:space="preserve">understanding a </w:t>
      </w:r>
      <w:r w:rsidR="005566EB" w:rsidRPr="00D9116D">
        <w:t xml:space="preserve">sub-discipline or </w:t>
      </w:r>
      <w:r w:rsidR="003E5212" w:rsidRPr="00D9116D">
        <w:t>providing a</w:t>
      </w:r>
      <w:r w:rsidR="00E10C79" w:rsidRPr="00D9116D">
        <w:t xml:space="preserve"> point of entry for non-academic</w:t>
      </w:r>
      <w:r w:rsidR="00D25BC8" w:rsidRPr="00D9116D">
        <w:t>s.</w:t>
      </w:r>
      <w:r w:rsidR="0058519A" w:rsidRPr="00D9116D">
        <w:t xml:space="preserve"> </w:t>
      </w:r>
      <w:r w:rsidR="00C64758" w:rsidRPr="00D9116D">
        <w:t xml:space="preserve">A list alone is </w:t>
      </w:r>
      <w:r w:rsidR="00200BE1" w:rsidRPr="00D9116D">
        <w:t>in this way</w:t>
      </w:r>
      <w:r w:rsidR="00C64758" w:rsidRPr="00D9116D">
        <w:t xml:space="preserve"> both powerful and limiting</w:t>
      </w:r>
      <w:r w:rsidR="0078242C" w:rsidRPr="00D9116D">
        <w:t>.</w:t>
      </w:r>
      <w:r w:rsidR="0041015E" w:rsidRPr="00D9116D">
        <w:t xml:space="preserve"> </w:t>
      </w:r>
      <w:r w:rsidR="0078242C" w:rsidRPr="00D9116D">
        <w:t>I</w:t>
      </w:r>
      <w:r w:rsidR="0058519A" w:rsidRPr="00D9116D">
        <w:t xml:space="preserve">t demonstrates, by its length, the </w:t>
      </w:r>
      <w:r w:rsidR="00727B17" w:rsidRPr="00D9116D">
        <w:t xml:space="preserve">sheer </w:t>
      </w:r>
      <w:r w:rsidR="0058519A" w:rsidRPr="00D9116D">
        <w:t>amount of content available</w:t>
      </w:r>
      <w:r w:rsidR="0078242C" w:rsidRPr="00D9116D">
        <w:t xml:space="preserve">. </w:t>
      </w:r>
      <w:r w:rsidR="00DF4610" w:rsidRPr="00D9116D">
        <w:t>Ye</w:t>
      </w:r>
      <w:r w:rsidR="0058519A" w:rsidRPr="00D9116D">
        <w:t>t a list always runs the risk of appearing decontextualised, despite the excellent gestures to</w:t>
      </w:r>
      <w:r w:rsidR="000438E8" w:rsidRPr="00D9116D">
        <w:t xml:space="preserve"> </w:t>
      </w:r>
      <w:r w:rsidR="00623AA9" w:rsidRPr="00D9116D">
        <w:t xml:space="preserve">academic </w:t>
      </w:r>
      <w:r w:rsidR="0058519A" w:rsidRPr="00D9116D">
        <w:t xml:space="preserve">contextualisation </w:t>
      </w:r>
      <w:r w:rsidR="00727B17" w:rsidRPr="00D9116D">
        <w:t xml:space="preserve">outlined </w:t>
      </w:r>
      <w:r w:rsidR="0058519A" w:rsidRPr="00D9116D">
        <w:t xml:space="preserve">at the </w:t>
      </w:r>
      <w:r w:rsidR="00727B17" w:rsidRPr="00D9116D">
        <w:t>top of the website’s home page</w:t>
      </w:r>
      <w:r w:rsidR="0058519A" w:rsidRPr="00D9116D">
        <w:t>.</w:t>
      </w:r>
      <w:r w:rsidR="00B66436" w:rsidRPr="00D9116D">
        <w:rPr>
          <w:rStyle w:val="FootnoteReference"/>
        </w:rPr>
        <w:footnoteReference w:id="13"/>
      </w:r>
      <w:r w:rsidR="0058519A" w:rsidRPr="00D9116D">
        <w:t xml:space="preserve"> Would a </w:t>
      </w:r>
      <w:r w:rsidR="0058519A" w:rsidRPr="00D9116D">
        <w:lastRenderedPageBreak/>
        <w:t>future incarnation of the website include summaries, discussions, or pathways to interdisciplinary exploration</w:t>
      </w:r>
      <w:r w:rsidR="00200BE1" w:rsidRPr="00D9116D">
        <w:t>s</w:t>
      </w:r>
      <w:r w:rsidR="0058519A" w:rsidRPr="00D9116D">
        <w:t>?</w:t>
      </w:r>
    </w:p>
    <w:p w14:paraId="705E0E88" w14:textId="44D4EE79" w:rsidR="001822A7" w:rsidRPr="00D9116D" w:rsidRDefault="00E5698E" w:rsidP="006338F0">
      <w:pPr>
        <w:spacing w:line="360" w:lineRule="auto"/>
        <w:ind w:firstLine="720"/>
      </w:pPr>
      <w:r w:rsidRPr="00D9116D">
        <w:t xml:space="preserve">In a </w:t>
      </w:r>
      <w:r w:rsidR="0062091C" w:rsidRPr="00D9116D">
        <w:t xml:space="preserve">slightly </w:t>
      </w:r>
      <w:r w:rsidRPr="00D9116D">
        <w:t>different vein, the</w:t>
      </w:r>
      <w:r w:rsidR="003D67F0" w:rsidRPr="00D9116D">
        <w:t xml:space="preserve"> </w:t>
      </w:r>
      <w:r w:rsidR="00B462EF" w:rsidRPr="00D9116D">
        <w:t>‘</w:t>
      </w:r>
      <w:r w:rsidR="001822A7" w:rsidRPr="00D9116D">
        <w:t>Inclusive Early Music</w:t>
      </w:r>
      <w:r w:rsidR="00B462EF" w:rsidRPr="00D9116D">
        <w:t>’</w:t>
      </w:r>
      <w:r w:rsidR="00B34EE4" w:rsidRPr="00D9116D">
        <w:rPr>
          <w:rStyle w:val="FootnoteReference"/>
        </w:rPr>
        <w:footnoteReference w:id="14"/>
      </w:r>
      <w:r w:rsidR="00B34EE4" w:rsidRPr="00D9116D">
        <w:t xml:space="preserve"> </w:t>
      </w:r>
      <w:r w:rsidR="00EC43AA" w:rsidRPr="00D9116D">
        <w:t xml:space="preserve">site </w:t>
      </w:r>
      <w:r w:rsidR="00580921" w:rsidRPr="00D9116D">
        <w:t xml:space="preserve">aims to foster a community of inclusive scholarship on early music, with the bibliography and teaching resources </w:t>
      </w:r>
      <w:r w:rsidR="00727B17" w:rsidRPr="00D9116D">
        <w:t>appearing</w:t>
      </w:r>
      <w:r w:rsidR="00580921" w:rsidRPr="00D9116D">
        <w:t xml:space="preserve"> </w:t>
      </w:r>
      <w:r w:rsidR="00727B17" w:rsidRPr="00D9116D">
        <w:t>as</w:t>
      </w:r>
      <w:r w:rsidR="00580921" w:rsidRPr="00D9116D">
        <w:t xml:space="preserve"> subsections of their </w:t>
      </w:r>
      <w:r w:rsidR="00D25E93" w:rsidRPr="00D9116D">
        <w:t xml:space="preserve">website. Attractively presented with colourful images of </w:t>
      </w:r>
      <w:r w:rsidR="007D79D7" w:rsidRPr="00D9116D">
        <w:t xml:space="preserve">early </w:t>
      </w:r>
      <w:r w:rsidR="00342EC3" w:rsidRPr="00D9116D">
        <w:t xml:space="preserve">music-making </w:t>
      </w:r>
      <w:r w:rsidR="007D79D7" w:rsidRPr="00D9116D">
        <w:t>– the image on the home page shows two musicians playing stringed instruments with different skin tones</w:t>
      </w:r>
      <w:r w:rsidR="007D79D7" w:rsidRPr="00D9116D">
        <w:rPr>
          <w:rStyle w:val="FootnoteReference"/>
        </w:rPr>
        <w:footnoteReference w:id="15"/>
      </w:r>
      <w:r w:rsidR="007D79D7" w:rsidRPr="00D9116D">
        <w:t xml:space="preserve"> – </w:t>
      </w:r>
      <w:r w:rsidR="00E06002" w:rsidRPr="00D9116D">
        <w:t xml:space="preserve">‘Inclusive Early Music’ was set up in 2020 </w:t>
      </w:r>
      <w:r w:rsidR="00AA6FE5" w:rsidRPr="00D9116D">
        <w:t xml:space="preserve">by </w:t>
      </w:r>
      <w:r w:rsidR="002F6418" w:rsidRPr="00D9116D">
        <w:t>a community of academics</w:t>
      </w:r>
      <w:r w:rsidR="007D79D7" w:rsidRPr="00D9116D">
        <w:t xml:space="preserve"> </w:t>
      </w:r>
      <w:r w:rsidR="00E5660B" w:rsidRPr="00D9116D">
        <w:t xml:space="preserve">associated with the American Musicological Society, led in the first instance by Erika Honisch and Giovanni Zanovello. </w:t>
      </w:r>
      <w:r w:rsidR="0041777B" w:rsidRPr="00D9116D">
        <w:t xml:space="preserve">In the spirit of fostering a community, the website has a ‘News and Updates’ section, where </w:t>
      </w:r>
      <w:r w:rsidR="00727B17" w:rsidRPr="00D9116D">
        <w:t>recent</w:t>
      </w:r>
      <w:r w:rsidR="0041777B" w:rsidRPr="00D9116D">
        <w:t xml:space="preserve"> publications, conferences and roundtables on early music and inclusive pedagogy are posted. </w:t>
      </w:r>
      <w:r w:rsidR="007029E7" w:rsidRPr="00D9116D">
        <w:t>The ‘bibliography’ hyperlink</w:t>
      </w:r>
      <w:r w:rsidR="00727B17" w:rsidRPr="00D9116D">
        <w:t xml:space="preserve"> </w:t>
      </w:r>
      <w:r w:rsidR="007029E7" w:rsidRPr="00D9116D">
        <w:t>takes us</w:t>
      </w:r>
      <w:r w:rsidR="00DF6B7F" w:rsidRPr="00D9116D">
        <w:t>ers</w:t>
      </w:r>
      <w:r w:rsidR="007029E7" w:rsidRPr="00D9116D">
        <w:t xml:space="preserve"> to a Zotero tab, which is </w:t>
      </w:r>
      <w:r w:rsidR="00EF7A7A" w:rsidRPr="00D9116D">
        <w:t>effective</w:t>
      </w:r>
      <w:r w:rsidR="007029E7" w:rsidRPr="00D9116D">
        <w:t xml:space="preserve"> for those who are accustomed to </w:t>
      </w:r>
      <w:r w:rsidR="00A35684" w:rsidRPr="00D9116D">
        <w:t>the open-source application</w:t>
      </w:r>
      <w:r w:rsidR="00FA572B" w:rsidRPr="00D9116D">
        <w:t xml:space="preserve"> (and it contains an exhaustive list of resources)</w:t>
      </w:r>
      <w:r w:rsidR="007029E7" w:rsidRPr="00D9116D">
        <w:t>, but less accessible to those who are not</w:t>
      </w:r>
      <w:r w:rsidR="00DF65A0" w:rsidRPr="00D9116D">
        <w:t>.</w:t>
      </w:r>
      <w:r w:rsidR="00FA572B" w:rsidRPr="00D9116D">
        <w:t xml:space="preserve"> </w:t>
      </w:r>
      <w:r w:rsidR="00447849" w:rsidRPr="00D9116D">
        <w:t>T</w:t>
      </w:r>
      <w:r w:rsidR="00DF65A0" w:rsidRPr="00D9116D">
        <w:t>h</w:t>
      </w:r>
      <w:r w:rsidR="005A555A" w:rsidRPr="00D9116D">
        <w:t>e</w:t>
      </w:r>
      <w:r w:rsidR="00DF65A0" w:rsidRPr="00D9116D">
        <w:t xml:space="preserve"> Zotero </w:t>
      </w:r>
      <w:r w:rsidR="00A35684" w:rsidRPr="00D9116D">
        <w:t>bibliography</w:t>
      </w:r>
      <w:r w:rsidR="00DF65A0" w:rsidRPr="00D9116D">
        <w:t xml:space="preserve"> </w:t>
      </w:r>
      <w:r w:rsidR="006338F0" w:rsidRPr="00D9116D">
        <w:t>likewise</w:t>
      </w:r>
      <w:r w:rsidR="00FA572B" w:rsidRPr="00D9116D">
        <w:t xml:space="preserve"> brings up</w:t>
      </w:r>
      <w:r w:rsidR="006338F0" w:rsidRPr="00D9116D">
        <w:t xml:space="preserve"> </w:t>
      </w:r>
      <w:r w:rsidR="00FA572B" w:rsidRPr="00D9116D">
        <w:t>challenges about categori</w:t>
      </w:r>
      <w:r w:rsidR="00431615" w:rsidRPr="00D9116D">
        <w:t>z</w:t>
      </w:r>
      <w:r w:rsidR="00FA572B" w:rsidRPr="00D9116D">
        <w:t>ation and disciplinary crossover</w:t>
      </w:r>
      <w:r w:rsidR="00447849" w:rsidRPr="00D9116D">
        <w:t xml:space="preserve"> </w:t>
      </w:r>
      <w:r w:rsidR="006338F0" w:rsidRPr="00D9116D">
        <w:t>i</w:t>
      </w:r>
      <w:r w:rsidR="00447849" w:rsidRPr="00D9116D">
        <w:t>n line with my comments above about the ‘Engaged Music Theory’ project</w:t>
      </w:r>
      <w:r w:rsidR="00FA572B" w:rsidRPr="00D9116D">
        <w:t xml:space="preserve">. </w:t>
      </w:r>
      <w:r w:rsidR="00C45A58" w:rsidRPr="00D9116D">
        <w:t xml:space="preserve">Less exhaustive is the ‘Assignments’ hyperlink, which </w:t>
      </w:r>
      <w:r w:rsidR="00AE1ED8" w:rsidRPr="00D9116D">
        <w:t>links</w:t>
      </w:r>
      <w:r w:rsidR="00A965A7" w:rsidRPr="00D9116D">
        <w:t xml:space="preserve"> </w:t>
      </w:r>
      <w:r w:rsidR="00C45A58" w:rsidRPr="00D9116D">
        <w:t>to a OneDrive folder, where at the time of writing there are only two assignment examples available, although</w:t>
      </w:r>
      <w:r w:rsidR="00A965A7" w:rsidRPr="00D9116D">
        <w:t xml:space="preserve"> there is</w:t>
      </w:r>
      <w:r w:rsidR="00C45A58" w:rsidRPr="00D9116D">
        <w:t xml:space="preserve"> an invitation</w:t>
      </w:r>
      <w:r w:rsidR="00B94DAB" w:rsidRPr="00D9116D">
        <w:t xml:space="preserve"> for contributors</w:t>
      </w:r>
      <w:r w:rsidR="00C45A58" w:rsidRPr="00D9116D">
        <w:t xml:space="preserve"> to submit </w:t>
      </w:r>
      <w:r w:rsidR="00B31F21" w:rsidRPr="00D9116D">
        <w:t>suggestions</w:t>
      </w:r>
      <w:r w:rsidR="00C45A58" w:rsidRPr="00D9116D">
        <w:t xml:space="preserve">. </w:t>
      </w:r>
      <w:r w:rsidR="00E006FF" w:rsidRPr="00D9116D">
        <w:t xml:space="preserve">Contact information is accessible and the website as a whole is very inviting.  </w:t>
      </w:r>
    </w:p>
    <w:p w14:paraId="14F6E3CE" w14:textId="5A9B1B26" w:rsidR="007D54B4" w:rsidRPr="00D9116D" w:rsidRDefault="00B223B7" w:rsidP="0001280B">
      <w:pPr>
        <w:spacing w:line="360" w:lineRule="auto"/>
      </w:pPr>
      <w:r w:rsidRPr="00D9116D">
        <w:tab/>
        <w:t xml:space="preserve">The elephant in the room for </w:t>
      </w:r>
      <w:r w:rsidR="00AE1ED8" w:rsidRPr="00D9116D">
        <w:t>many of these resource sites</w:t>
      </w:r>
      <w:r w:rsidRPr="00D9116D">
        <w:t xml:space="preserve"> is</w:t>
      </w:r>
      <w:r w:rsidR="00E9259D" w:rsidRPr="00D9116D">
        <w:t xml:space="preserve"> ultimately</w:t>
      </w:r>
      <w:r w:rsidRPr="00D9116D">
        <w:t xml:space="preserve"> the issue of tokenism. </w:t>
      </w:r>
      <w:r w:rsidR="00A13419" w:rsidRPr="00D9116D">
        <w:t>The three websites</w:t>
      </w:r>
      <w:r w:rsidR="00B15799" w:rsidRPr="00D9116D">
        <w:t xml:space="preserve"> described here</w:t>
      </w:r>
      <w:r w:rsidR="00A13419" w:rsidRPr="00D9116D">
        <w:t>, for example,</w:t>
      </w:r>
      <w:r w:rsidR="00B15799" w:rsidRPr="00D9116D">
        <w:t xml:space="preserve"> have been set up in context of Anglo-American academic privilege</w:t>
      </w:r>
      <w:r w:rsidR="00BA0CE2" w:rsidRPr="00D9116D">
        <w:t xml:space="preserve"> (at least as far as is readily obvious from the available content)</w:t>
      </w:r>
      <w:r w:rsidR="00B15799" w:rsidRPr="00D9116D">
        <w:t xml:space="preserve">, and, as such, </w:t>
      </w:r>
      <w:r w:rsidR="00BA0CE2" w:rsidRPr="00D9116D">
        <w:t xml:space="preserve">do not take into account the </w:t>
      </w:r>
      <w:r w:rsidR="00313E1B" w:rsidRPr="00D9116D">
        <w:t xml:space="preserve">complexities </w:t>
      </w:r>
      <w:r w:rsidR="00BA0CE2" w:rsidRPr="00D9116D">
        <w:t xml:space="preserve">of </w:t>
      </w:r>
      <w:r w:rsidR="00313E1B" w:rsidRPr="00D9116D">
        <w:t xml:space="preserve">EDI </w:t>
      </w:r>
      <w:r w:rsidR="00AA3A30" w:rsidRPr="00D9116D">
        <w:t xml:space="preserve">for </w:t>
      </w:r>
      <w:r w:rsidR="00313E1B" w:rsidRPr="00D9116D">
        <w:t xml:space="preserve">teaching music in </w:t>
      </w:r>
      <w:r w:rsidR="00AA3A30" w:rsidRPr="00D9116D">
        <w:t xml:space="preserve">global, </w:t>
      </w:r>
      <w:r w:rsidR="00BA0CE2" w:rsidRPr="00D9116D">
        <w:t>postcolonial contexts</w:t>
      </w:r>
      <w:r w:rsidR="00B15799" w:rsidRPr="00D9116D">
        <w:t>.</w:t>
      </w:r>
      <w:r w:rsidR="00290E7A" w:rsidRPr="00D9116D">
        <w:t xml:space="preserve"> Further,</w:t>
      </w:r>
      <w:r w:rsidR="00B15799" w:rsidRPr="00D9116D">
        <w:t xml:space="preserve"> </w:t>
      </w:r>
      <w:r w:rsidR="00A77279" w:rsidRPr="00D9116D">
        <w:t xml:space="preserve">over the course of writing this review, </w:t>
      </w:r>
      <w:r w:rsidR="00065337" w:rsidRPr="00D9116D">
        <w:t>several contacts</w:t>
      </w:r>
      <w:r w:rsidR="00057EC8" w:rsidRPr="00D9116D">
        <w:t xml:space="preserve"> who identify as musicians</w:t>
      </w:r>
      <w:r w:rsidRPr="00D9116D">
        <w:t xml:space="preserve"> of colour</w:t>
      </w:r>
      <w:r w:rsidR="00C7731A" w:rsidRPr="00D9116D">
        <w:t xml:space="preserve"> </w:t>
      </w:r>
      <w:r w:rsidR="00941A88" w:rsidRPr="00D9116D">
        <w:t xml:space="preserve">have </w:t>
      </w:r>
      <w:r w:rsidR="003764D3" w:rsidRPr="00D9116D">
        <w:t xml:space="preserve">indicated </w:t>
      </w:r>
      <w:r w:rsidR="00941A88" w:rsidRPr="00D9116D">
        <w:t xml:space="preserve">to me </w:t>
      </w:r>
      <w:r w:rsidR="005A35F0" w:rsidRPr="00D9116D">
        <w:t>that they would</w:t>
      </w:r>
      <w:r w:rsidRPr="00D9116D">
        <w:t xml:space="preserve"> object to being included on a ‘diversity list’ because of the idea of being ‘reduced’ to a list, where </w:t>
      </w:r>
      <w:r w:rsidR="007A6C3D" w:rsidRPr="00D9116D">
        <w:t>one</w:t>
      </w:r>
      <w:r w:rsidRPr="00D9116D">
        <w:t xml:space="preserve"> </w:t>
      </w:r>
      <w:r w:rsidR="007A6C3D" w:rsidRPr="00D9116D">
        <w:t>c</w:t>
      </w:r>
      <w:r w:rsidRPr="00D9116D">
        <w:t>ould simply be ‘swapped out’ for a white composer</w:t>
      </w:r>
      <w:r w:rsidR="007A6C3D" w:rsidRPr="00D9116D">
        <w:t>, and for no other reason</w:t>
      </w:r>
      <w:r w:rsidRPr="00D9116D">
        <w:t xml:space="preserve">. The deeper issue, which the </w:t>
      </w:r>
      <w:r w:rsidR="00486AB3" w:rsidRPr="00D9116D">
        <w:t xml:space="preserve">above </w:t>
      </w:r>
      <w:r w:rsidRPr="00D9116D">
        <w:t xml:space="preserve">websites </w:t>
      </w:r>
      <w:r w:rsidR="00791555" w:rsidRPr="00D9116D">
        <w:t>touch</w:t>
      </w:r>
      <w:r w:rsidRPr="00D9116D">
        <w:t xml:space="preserve"> on without necessarily foregrounding, is that </w:t>
      </w:r>
      <w:r w:rsidRPr="00D9116D">
        <w:lastRenderedPageBreak/>
        <w:t xml:space="preserve">achieving equity and </w:t>
      </w:r>
      <w:r w:rsidR="007B13BF" w:rsidRPr="00D9116D">
        <w:t xml:space="preserve">pursuing </w:t>
      </w:r>
      <w:r w:rsidRPr="00D9116D">
        <w:t xml:space="preserve">decolonisation, at least as defined by Tuck and Yang, is not possible without dismantling and </w:t>
      </w:r>
      <w:r w:rsidR="007A6C3D" w:rsidRPr="00D9116D">
        <w:t xml:space="preserve">critically </w:t>
      </w:r>
      <w:r w:rsidRPr="00D9116D">
        <w:t xml:space="preserve">reframing the systemic structures of racism that have upheld academia for so long. Therefore, while lists of works by composers of colour or academic bibliographies are </w:t>
      </w:r>
      <w:r w:rsidR="00572FDE" w:rsidRPr="00D9116D">
        <w:t>immensely</w:t>
      </w:r>
      <w:r w:rsidRPr="00D9116D">
        <w:t xml:space="preserve"> important as digital archives, they will remain just that – lists – unless </w:t>
      </w:r>
      <w:r w:rsidRPr="00D9116D">
        <w:rPr>
          <w:i/>
          <w:iCs/>
        </w:rPr>
        <w:t>reflexively</w:t>
      </w:r>
      <w:r w:rsidRPr="00D9116D">
        <w:t xml:space="preserve"> embedded into how we teach and write about music</w:t>
      </w:r>
      <w:r w:rsidR="00E9259D" w:rsidRPr="00D9116D">
        <w:t xml:space="preserve"> studies</w:t>
      </w:r>
      <w:r w:rsidRPr="00D9116D">
        <w:t xml:space="preserve">. </w:t>
      </w:r>
      <w:r w:rsidR="003746C3" w:rsidRPr="00D9116D">
        <w:t xml:space="preserve">One </w:t>
      </w:r>
      <w:r w:rsidR="00A965A7" w:rsidRPr="00D9116D">
        <w:t xml:space="preserve">digital </w:t>
      </w:r>
      <w:r w:rsidR="003746C3" w:rsidRPr="00D9116D">
        <w:t>project that is</w:t>
      </w:r>
      <w:r w:rsidR="002C64A0" w:rsidRPr="00D9116D">
        <w:t>, in this way,</w:t>
      </w:r>
      <w:r w:rsidR="00A62AE6" w:rsidRPr="00D9116D">
        <w:t xml:space="preserve"> more</w:t>
      </w:r>
      <w:r w:rsidR="003746C3" w:rsidRPr="00D9116D">
        <w:t xml:space="preserve"> </w:t>
      </w:r>
      <w:r w:rsidR="00B33A47" w:rsidRPr="00D9116D">
        <w:t xml:space="preserve">directly </w:t>
      </w:r>
      <w:r w:rsidR="003746C3" w:rsidRPr="00D9116D">
        <w:t xml:space="preserve">seeking to </w:t>
      </w:r>
      <w:r w:rsidR="00CC172D" w:rsidRPr="00D9116D">
        <w:t xml:space="preserve">‘reframe’ </w:t>
      </w:r>
      <w:r w:rsidR="00E9259D" w:rsidRPr="00D9116D">
        <w:t xml:space="preserve">pedagogical </w:t>
      </w:r>
      <w:r w:rsidR="00CC172D" w:rsidRPr="00D9116D">
        <w:t>discourses in a critical way is ‘Beyond Tokenism: Dismantling, Rethinking &amp; Reframing Narratives in Music History Pedagogy’.</w:t>
      </w:r>
      <w:r w:rsidR="00B33A47" w:rsidRPr="00D9116D">
        <w:rPr>
          <w:rStyle w:val="FootnoteReference"/>
        </w:rPr>
        <w:footnoteReference w:id="16"/>
      </w:r>
      <w:r w:rsidR="00B33A47" w:rsidRPr="00D9116D">
        <w:t xml:space="preserve"> Set up by a </w:t>
      </w:r>
      <w:r w:rsidR="00394015" w:rsidRPr="00D9116D">
        <w:t>group</w:t>
      </w:r>
      <w:r w:rsidR="00B33A47" w:rsidRPr="00D9116D">
        <w:t xml:space="preserve"> of </w:t>
      </w:r>
      <w:r w:rsidR="00E9259D" w:rsidRPr="00D9116D">
        <w:t>US-based</w:t>
      </w:r>
      <w:r w:rsidR="00B33A47" w:rsidRPr="00D9116D">
        <w:t xml:space="preserve"> scholars,</w:t>
      </w:r>
      <w:r w:rsidR="00015CBA" w:rsidRPr="00D9116D">
        <w:rPr>
          <w:rStyle w:val="FootnoteReference"/>
        </w:rPr>
        <w:footnoteReference w:id="17"/>
      </w:r>
      <w:r w:rsidR="00B33A47" w:rsidRPr="00D9116D">
        <w:t xml:space="preserve"> this website avoids the reductive list format by dividing the</w:t>
      </w:r>
      <w:r w:rsidR="00DC2FFB" w:rsidRPr="00D9116D">
        <w:t xml:space="preserve"> sections of the website </w:t>
      </w:r>
      <w:r w:rsidR="00B33A47" w:rsidRPr="00D9116D">
        <w:t xml:space="preserve">into </w:t>
      </w:r>
      <w:r w:rsidR="00DC2FFB" w:rsidRPr="00D9116D">
        <w:t xml:space="preserve">narratives, techniques, testimonies, and resources that are further contextualised as ‘calls for action’, ‘reflection essays’, and ‘techniques that can be implemented immediately’. </w:t>
      </w:r>
      <w:r w:rsidR="00226E6B" w:rsidRPr="00D9116D">
        <w:t>This kind of contextualisation makes ‘Beyond Tokenism’ accessible to the non-academic</w:t>
      </w:r>
      <w:r w:rsidR="001C5A08" w:rsidRPr="00D9116D">
        <w:t xml:space="preserve"> as it</w:t>
      </w:r>
      <w:r w:rsidR="00226E6B" w:rsidRPr="00D9116D">
        <w:t xml:space="preserve"> provid</w:t>
      </w:r>
      <w:r w:rsidR="001C5A08" w:rsidRPr="00D9116D">
        <w:t>es</w:t>
      </w:r>
      <w:r w:rsidR="00226E6B" w:rsidRPr="00D9116D">
        <w:t xml:space="preserve"> lesson plans, reflection essays, and reading suggestions for working </w:t>
      </w:r>
      <w:r w:rsidR="00727B34" w:rsidRPr="00D9116D">
        <w:t>music educators</w:t>
      </w:r>
      <w:r w:rsidR="00226E6B" w:rsidRPr="00D9116D">
        <w:t xml:space="preserve">. </w:t>
      </w:r>
    </w:p>
    <w:p w14:paraId="63607236" w14:textId="502F318D" w:rsidR="001822A7" w:rsidRPr="0069241B" w:rsidRDefault="007D54B4" w:rsidP="0001280B">
      <w:pPr>
        <w:spacing w:line="360" w:lineRule="auto"/>
      </w:pPr>
      <w:r w:rsidRPr="00D9116D">
        <w:tab/>
        <w:t xml:space="preserve">The websites described here comprise only a small fraction of the growing number of EDI online resources that are </w:t>
      </w:r>
      <w:r w:rsidR="00785E9D" w:rsidRPr="00D9116D">
        <w:t>currently</w:t>
      </w:r>
      <w:r w:rsidRPr="00D9116D">
        <w:t xml:space="preserve"> available. </w:t>
      </w:r>
      <w:r w:rsidR="008967F6" w:rsidRPr="00D9116D">
        <w:t>R</w:t>
      </w:r>
      <w:r w:rsidR="00DB3FB3" w:rsidRPr="00D9116D">
        <w:t xml:space="preserve">eturning to the context of the explosion of EDI conversations during Covid lockdowns, it will be interesting to watch the longevity of </w:t>
      </w:r>
      <w:r w:rsidR="00B63C11" w:rsidRPr="00D9116D">
        <w:t>online archives over the next decade: will</w:t>
      </w:r>
      <w:r w:rsidR="008967F6" w:rsidRPr="00D9116D">
        <w:t xml:space="preserve"> </w:t>
      </w:r>
      <w:r w:rsidR="009B07EB" w:rsidRPr="00D9116D">
        <w:t>a</w:t>
      </w:r>
      <w:r w:rsidR="00B63C11" w:rsidRPr="00D9116D">
        <w:t xml:space="preserve"> fetishisation </w:t>
      </w:r>
      <w:r w:rsidR="009731C8" w:rsidRPr="00D9116D">
        <w:t>of ‘</w:t>
      </w:r>
      <w:r w:rsidR="00D74DB4" w:rsidRPr="00D9116D">
        <w:t>primary sources</w:t>
      </w:r>
      <w:r w:rsidR="009731C8" w:rsidRPr="00D9116D">
        <w:t xml:space="preserve">’ </w:t>
      </w:r>
      <w:r w:rsidR="00CD3A0D" w:rsidRPr="00D9116D">
        <w:t xml:space="preserve">from </w:t>
      </w:r>
      <w:r w:rsidR="009731C8" w:rsidRPr="00D9116D">
        <w:t>the</w:t>
      </w:r>
      <w:r w:rsidR="00CD3A0D" w:rsidRPr="00D9116D">
        <w:t xml:space="preserve"> physical,</w:t>
      </w:r>
      <w:r w:rsidR="009731C8" w:rsidRPr="00D9116D">
        <w:t xml:space="preserve"> </w:t>
      </w:r>
      <w:r w:rsidR="005704D9" w:rsidRPr="00D9116D">
        <w:t>institutional</w:t>
      </w:r>
      <w:r w:rsidR="00B63C11" w:rsidRPr="00D9116D">
        <w:t xml:space="preserve"> archive retur</w:t>
      </w:r>
      <w:r w:rsidR="005704D9" w:rsidRPr="00D9116D">
        <w:t>n, leaving ‘critical’ discussions about</w:t>
      </w:r>
      <w:r w:rsidR="00CD3A0D" w:rsidRPr="00D9116D">
        <w:t xml:space="preserve"> open</w:t>
      </w:r>
      <w:r w:rsidR="005704D9" w:rsidRPr="00D9116D">
        <w:t xml:space="preserve"> access, information, and power to </w:t>
      </w:r>
      <w:r w:rsidR="00785E9D" w:rsidRPr="00D9116D">
        <w:t xml:space="preserve">be </w:t>
      </w:r>
      <w:r w:rsidR="009B07EB" w:rsidRPr="00D9116D">
        <w:t>confined to</w:t>
      </w:r>
      <w:r w:rsidR="00785E9D" w:rsidRPr="00D9116D">
        <w:t xml:space="preserve"> </w:t>
      </w:r>
      <w:r w:rsidR="001503A9" w:rsidRPr="00D9116D">
        <w:t>prestigious</w:t>
      </w:r>
      <w:r w:rsidR="00F03F96" w:rsidRPr="00D9116D">
        <w:t>, well-funded</w:t>
      </w:r>
      <w:r w:rsidR="001503A9" w:rsidRPr="00D9116D">
        <w:t xml:space="preserve"> </w:t>
      </w:r>
      <w:r w:rsidR="00C840FD" w:rsidRPr="00D9116D">
        <w:t>accredited</w:t>
      </w:r>
      <w:r w:rsidR="00CD3A0D" w:rsidRPr="00D9116D">
        <w:t xml:space="preserve"> </w:t>
      </w:r>
      <w:r w:rsidR="005704D9" w:rsidRPr="00D9116D">
        <w:t>institutions</w:t>
      </w:r>
      <w:r w:rsidR="001503A9" w:rsidRPr="00D9116D">
        <w:t xml:space="preserve"> (like libraries and museums)</w:t>
      </w:r>
      <w:r w:rsidR="005704D9" w:rsidRPr="00D9116D">
        <w:t xml:space="preserve"> rather than grassroots digital projects? </w:t>
      </w:r>
      <w:r w:rsidR="00810EF9" w:rsidRPr="00D9116D">
        <w:t>Digital EDI</w:t>
      </w:r>
      <w:r w:rsidR="005704D9" w:rsidRPr="00D9116D">
        <w:t xml:space="preserve"> resources hold </w:t>
      </w:r>
      <w:r w:rsidR="00234182" w:rsidRPr="00D9116D">
        <w:t>significant</w:t>
      </w:r>
      <w:r w:rsidR="005704D9" w:rsidRPr="00D9116D">
        <w:t xml:space="preserve"> potential </w:t>
      </w:r>
      <w:r w:rsidR="00810EF9" w:rsidRPr="00D9116D">
        <w:t>for democrati</w:t>
      </w:r>
      <w:r w:rsidR="00191DB3" w:rsidRPr="00D9116D">
        <w:t>z</w:t>
      </w:r>
      <w:r w:rsidR="00810EF9" w:rsidRPr="00D9116D">
        <w:t>ing and decoloni</w:t>
      </w:r>
      <w:r w:rsidR="00191DB3" w:rsidRPr="00D9116D">
        <w:t>z</w:t>
      </w:r>
      <w:r w:rsidR="00810EF9" w:rsidRPr="00D9116D">
        <w:t xml:space="preserve">ing music studies, if we can remain open to </w:t>
      </w:r>
      <w:r w:rsidR="00810EF9" w:rsidRPr="00D9116D">
        <w:rPr>
          <w:i/>
          <w:iCs/>
        </w:rPr>
        <w:t>how</w:t>
      </w:r>
      <w:r w:rsidR="00810EF9" w:rsidRPr="00D9116D">
        <w:t xml:space="preserve"> digital archives are sounded, and who they are sounded for (i.e., </w:t>
      </w:r>
      <w:r w:rsidR="00FC6DE9" w:rsidRPr="00D9116D">
        <w:t>as noted</w:t>
      </w:r>
      <w:r w:rsidR="00810EF9" w:rsidRPr="00D9116D">
        <w:t xml:space="preserve">, most </w:t>
      </w:r>
      <w:r w:rsidR="001216C3" w:rsidRPr="00D9116D">
        <w:t xml:space="preserve">online </w:t>
      </w:r>
      <w:r w:rsidR="00810EF9" w:rsidRPr="00D9116D">
        <w:t>EDI music resources are geared towards Anglo-American forms of teaching</w:t>
      </w:r>
      <w:r w:rsidR="00511CD3" w:rsidRPr="00D9116D">
        <w:t>, learning and researching</w:t>
      </w:r>
      <w:r w:rsidR="00810EF9" w:rsidRPr="00D9116D">
        <w:t xml:space="preserve">). As </w:t>
      </w:r>
      <w:r w:rsidR="0050002B" w:rsidRPr="00D9116D">
        <w:t>Venter</w:t>
      </w:r>
      <w:r w:rsidR="00810EF9" w:rsidRPr="00D9116D">
        <w:t xml:space="preserve"> et al have proposed, the process of decoloniality is a ‘fracture’, </w:t>
      </w:r>
      <w:r w:rsidR="00D74DB4" w:rsidRPr="00D9116D">
        <w:t>and</w:t>
      </w:r>
      <w:r w:rsidR="00810EF9" w:rsidRPr="00D9116D">
        <w:t xml:space="preserve"> ‘like every break, it sounds. Let musicology find the words with which to listen’.</w:t>
      </w:r>
      <w:r w:rsidR="00810EF9" w:rsidRPr="00D9116D">
        <w:rPr>
          <w:rStyle w:val="FootnoteReference"/>
        </w:rPr>
        <w:footnoteReference w:id="18"/>
      </w:r>
      <w:r w:rsidR="00810EF9" w:rsidRPr="00D9116D">
        <w:t xml:space="preserve"> There are ways in which online EDI resources can be both a </w:t>
      </w:r>
      <w:r w:rsidR="00810EF9" w:rsidRPr="00D9116D">
        <w:lastRenderedPageBreak/>
        <w:t>decolonial fracture as well as a reinforcement of the structures that they are trying to break away from</w:t>
      </w:r>
      <w:r w:rsidR="00511CD3" w:rsidRPr="00D9116D">
        <w:t>. If</w:t>
      </w:r>
      <w:r w:rsidR="0069241B" w:rsidRPr="00D9116D">
        <w:t xml:space="preserve"> EDI resources can be critically understood as a </w:t>
      </w:r>
      <w:r w:rsidR="0069241B" w:rsidRPr="00D9116D">
        <w:rPr>
          <w:iCs/>
        </w:rPr>
        <w:t>reflexive</w:t>
      </w:r>
      <w:r w:rsidR="0069241B" w:rsidRPr="00D9116D">
        <w:t xml:space="preserve"> archive, </w:t>
      </w:r>
      <w:r w:rsidR="002B3C30" w:rsidRPr="00D9116D">
        <w:t xml:space="preserve">we may hopefully be looking toward a future where online archives can become </w:t>
      </w:r>
      <w:r w:rsidR="00511CD3" w:rsidRPr="00D9116D">
        <w:t xml:space="preserve">even </w:t>
      </w:r>
      <w:r w:rsidR="002B3C30" w:rsidRPr="00D9116D">
        <w:t xml:space="preserve">more creative, and </w:t>
      </w:r>
      <w:r w:rsidR="00511CD3" w:rsidRPr="00D9116D">
        <w:t xml:space="preserve">ultimately </w:t>
      </w:r>
      <w:r w:rsidR="002B3C30" w:rsidRPr="00D9116D">
        <w:t>paradigm shifting</w:t>
      </w:r>
      <w:r w:rsidR="002E6B97" w:rsidRPr="00D9116D">
        <w:t xml:space="preserve">, </w:t>
      </w:r>
      <w:r w:rsidR="00C8735A" w:rsidRPr="00D9116D">
        <w:t>suggesting alternatives</w:t>
      </w:r>
      <w:r w:rsidR="002E6B97" w:rsidRPr="00D9116D">
        <w:t xml:space="preserve"> for more ‘traditional’ forms of archiving and knowing.</w:t>
      </w:r>
      <w:r w:rsidR="002E6B97">
        <w:t xml:space="preserve"> </w:t>
      </w:r>
    </w:p>
    <w:p w14:paraId="345361B2" w14:textId="7F5D2277" w:rsidR="00A60AEC" w:rsidRDefault="00A60AEC" w:rsidP="0001280B">
      <w:pPr>
        <w:spacing w:line="360" w:lineRule="auto"/>
      </w:pPr>
    </w:p>
    <w:sectPr w:rsidR="00A60AEC" w:rsidSect="00203E76">
      <w:headerReference w:type="even" r:id="rId8"/>
      <w:headerReference w:type="default" r:id="rId9"/>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50F88" w14:textId="77777777" w:rsidR="005C17D7" w:rsidRDefault="005C17D7" w:rsidP="00203E76">
      <w:r>
        <w:separator/>
      </w:r>
    </w:p>
  </w:endnote>
  <w:endnote w:type="continuationSeparator" w:id="0">
    <w:p w14:paraId="2BDD1007" w14:textId="77777777" w:rsidR="005C17D7" w:rsidRDefault="005C17D7" w:rsidP="00203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CEE79" w14:textId="77777777" w:rsidR="005C17D7" w:rsidRDefault="005C17D7" w:rsidP="00203E76">
      <w:r>
        <w:separator/>
      </w:r>
    </w:p>
  </w:footnote>
  <w:footnote w:type="continuationSeparator" w:id="0">
    <w:p w14:paraId="5932CB04" w14:textId="77777777" w:rsidR="005C17D7" w:rsidRDefault="005C17D7" w:rsidP="00203E76">
      <w:r>
        <w:continuationSeparator/>
      </w:r>
    </w:p>
  </w:footnote>
  <w:footnote w:id="1">
    <w:p w14:paraId="73175A21" w14:textId="7DBBD3C9" w:rsidR="00503364" w:rsidRDefault="00503364" w:rsidP="00503364">
      <w:pPr>
        <w:pStyle w:val="FootnoteText"/>
      </w:pPr>
      <w:r>
        <w:rPr>
          <w:rStyle w:val="FootnoteReference"/>
        </w:rPr>
        <w:footnoteRef/>
      </w:r>
      <w:r w:rsidR="005B603B">
        <w:t xml:space="preserve"> </w:t>
      </w:r>
      <w:r w:rsidR="00D6636E">
        <w:t xml:space="preserve">Helena Asprou, </w:t>
      </w:r>
      <w:r w:rsidR="005B603B">
        <w:t>‘</w:t>
      </w:r>
      <w:r w:rsidR="005B603B" w:rsidRPr="005B603B">
        <w:t xml:space="preserve">The </w:t>
      </w:r>
      <w:r w:rsidR="00940814">
        <w:t>S</w:t>
      </w:r>
      <w:r w:rsidR="005B603B" w:rsidRPr="005B603B">
        <w:t xml:space="preserve">how </w:t>
      </w:r>
      <w:r w:rsidR="00940814">
        <w:t>M</w:t>
      </w:r>
      <w:r w:rsidR="005B603B" w:rsidRPr="005B603B">
        <w:t xml:space="preserve">ust be </w:t>
      </w:r>
      <w:r w:rsidR="00940814">
        <w:t>P</w:t>
      </w:r>
      <w:r w:rsidR="005B603B" w:rsidRPr="005B603B">
        <w:t xml:space="preserve">aused: </w:t>
      </w:r>
      <w:r w:rsidR="00940814">
        <w:t>T</w:t>
      </w:r>
      <w:r w:rsidR="005B603B" w:rsidRPr="005B603B">
        <w:t xml:space="preserve">he </w:t>
      </w:r>
      <w:r w:rsidR="00940814">
        <w:t>C</w:t>
      </w:r>
      <w:r w:rsidR="005B603B" w:rsidRPr="005B603B">
        <w:t xml:space="preserve">lassical </w:t>
      </w:r>
      <w:r w:rsidR="00940814">
        <w:t>W</w:t>
      </w:r>
      <w:r w:rsidR="005B603B" w:rsidRPr="005B603B">
        <w:t xml:space="preserve">orld </w:t>
      </w:r>
      <w:r w:rsidR="00940814">
        <w:t>F</w:t>
      </w:r>
      <w:r w:rsidR="005B603B" w:rsidRPr="005B603B">
        <w:t xml:space="preserve">alls </w:t>
      </w:r>
      <w:r w:rsidR="00940814">
        <w:t>S</w:t>
      </w:r>
      <w:r w:rsidR="005B603B" w:rsidRPr="005B603B">
        <w:t xml:space="preserve">ilent to </w:t>
      </w:r>
      <w:r w:rsidR="00940814">
        <w:t>H</w:t>
      </w:r>
      <w:r w:rsidR="005B603B" w:rsidRPr="005B603B">
        <w:t>onour George Floyd</w:t>
      </w:r>
      <w:r w:rsidR="005B603B">
        <w:t>’,</w:t>
      </w:r>
      <w:r>
        <w:t xml:space="preserve"> </w:t>
      </w:r>
      <w:r w:rsidR="00D6636E" w:rsidRPr="00D9116D">
        <w:rPr>
          <w:i/>
        </w:rPr>
        <w:t>Classic FM</w:t>
      </w:r>
      <w:r w:rsidR="00D6636E">
        <w:t xml:space="preserve">, </w:t>
      </w:r>
      <w:r w:rsidR="005B603B">
        <w:t>2 June 2020</w:t>
      </w:r>
      <w:r w:rsidR="00D6636E">
        <w:t>,</w:t>
      </w:r>
      <w:r w:rsidR="005B603B">
        <w:t xml:space="preserve"> </w:t>
      </w:r>
      <w:hyperlink r:id="rId1" w:history="1">
        <w:r w:rsidR="005B603B" w:rsidRPr="00CB5B1E">
          <w:rPr>
            <w:rStyle w:val="Hyperlink"/>
          </w:rPr>
          <w:t>https://www.classicfm.com/music-news/show-paused-classical-world-silent-george-floyd/</w:t>
        </w:r>
      </w:hyperlink>
      <w:r w:rsidR="005B603B">
        <w:t xml:space="preserve">. </w:t>
      </w:r>
      <w:r>
        <w:t xml:space="preserve"> </w:t>
      </w:r>
    </w:p>
  </w:footnote>
  <w:footnote w:id="2">
    <w:p w14:paraId="61E98E03" w14:textId="2DCD8ABB" w:rsidR="00503364" w:rsidRDefault="00503364" w:rsidP="00503364">
      <w:pPr>
        <w:pStyle w:val="FootnoteText"/>
      </w:pPr>
      <w:r>
        <w:rPr>
          <w:rStyle w:val="FootnoteReference"/>
        </w:rPr>
        <w:footnoteRef/>
      </w:r>
      <w:r>
        <w:t xml:space="preserve"> </w:t>
      </w:r>
      <w:r w:rsidR="00372E78">
        <w:t xml:space="preserve">‘9 Black Composers who Changed the Course of Classical Music History’, </w:t>
      </w:r>
      <w:r w:rsidR="00D6636E" w:rsidRPr="00D9116D">
        <w:rPr>
          <w:i/>
        </w:rPr>
        <w:t>Classic FM</w:t>
      </w:r>
      <w:r w:rsidR="00D6636E">
        <w:t xml:space="preserve">, </w:t>
      </w:r>
      <w:r w:rsidR="00777889">
        <w:t xml:space="preserve">4 June 2020 (updated 6 October 2020), </w:t>
      </w:r>
      <w:hyperlink r:id="rId2" w:history="1">
        <w:r w:rsidR="00777889" w:rsidRPr="00777889">
          <w:rPr>
            <w:rStyle w:val="Hyperlink"/>
          </w:rPr>
          <w:t>https://www.classicfm.com/discover-music/black-composers-who-made-classical-music-history/</w:t>
        </w:r>
      </w:hyperlink>
      <w:r w:rsidR="00372E78">
        <w:t xml:space="preserve">. </w:t>
      </w:r>
      <w:r>
        <w:t xml:space="preserve"> </w:t>
      </w:r>
    </w:p>
  </w:footnote>
  <w:footnote w:id="3">
    <w:p w14:paraId="226165FF" w14:textId="18E4DB48" w:rsidR="0021510B" w:rsidRDefault="0021510B">
      <w:pPr>
        <w:pStyle w:val="FootnoteText"/>
      </w:pPr>
      <w:r>
        <w:rPr>
          <w:rStyle w:val="FootnoteReference"/>
        </w:rPr>
        <w:footnoteRef/>
      </w:r>
      <w:r>
        <w:t xml:space="preserve"> While “EDI” is often used</w:t>
      </w:r>
      <w:r w:rsidR="00CB3FAC">
        <w:t xml:space="preserve"> in the UK</w:t>
      </w:r>
      <w:r>
        <w:t xml:space="preserve"> as an umbrella term for all matters of equality, diversity and inclusion, which includes topics such as gender, sexuality, religion, race and disability, the themes of anti-racism and decolonisation have received heightened attention by academic institutions since the Black Lives Matter protests of 2020. It is important to not conflate these terms, and to contextualise the </w:t>
      </w:r>
      <w:r w:rsidR="006B55CB">
        <w:t xml:space="preserve">recent </w:t>
      </w:r>
      <w:r>
        <w:t xml:space="preserve">rise of decolonial and anti-racist resources </w:t>
      </w:r>
      <w:r w:rsidR="006B55CB">
        <w:t xml:space="preserve">as a sub-category of EDI topics. </w:t>
      </w:r>
    </w:p>
  </w:footnote>
  <w:footnote w:id="4">
    <w:p w14:paraId="31D9BBBE" w14:textId="2CDCA533" w:rsidR="00DA0525" w:rsidRDefault="00DA0525">
      <w:pPr>
        <w:pStyle w:val="FootnoteText"/>
      </w:pPr>
      <w:r>
        <w:rPr>
          <w:rStyle w:val="FootnoteReference"/>
        </w:rPr>
        <w:footnoteRef/>
      </w:r>
      <w:r>
        <w:t xml:space="preserve"> Search engine results</w:t>
      </w:r>
      <w:r w:rsidR="005C353B">
        <w:t xml:space="preserve"> for the terms ‘music EDI resources’, ‘music decolonisation resources’ and ‘anti-racist music resources’</w:t>
      </w:r>
      <w:r>
        <w:t xml:space="preserve"> from my UK internet connection at the time of writing this review reveal</w:t>
      </w:r>
      <w:r w:rsidR="005C353B">
        <w:t>ed</w:t>
      </w:r>
      <w:r>
        <w:t xml:space="preserve"> a range of music departments across the UK, the USA and Canada who are compiling such open-access websites. I am acutely aware, however, that this does not mean that the higher education institutions of the Global North are alone in doing this work, and that what is ‘visible’ from a UK search engine</w:t>
      </w:r>
      <w:r w:rsidR="005C353B">
        <w:t xml:space="preserve"> or a university / department webpage</w:t>
      </w:r>
      <w:r>
        <w:t xml:space="preserve"> does not provide a full picture of EDI resources</w:t>
      </w:r>
      <w:r w:rsidR="001A582E">
        <w:t xml:space="preserve"> or conversations</w:t>
      </w:r>
      <w:r>
        <w:t xml:space="preserve"> in the rest of the world. </w:t>
      </w:r>
    </w:p>
  </w:footnote>
  <w:footnote w:id="5">
    <w:p w14:paraId="342E3252" w14:textId="57B637C2" w:rsidR="006D2FBB" w:rsidRPr="00FD07F9" w:rsidRDefault="006D2FBB">
      <w:pPr>
        <w:pStyle w:val="FootnoteText"/>
      </w:pPr>
      <w:r>
        <w:rPr>
          <w:rStyle w:val="FootnoteReference"/>
        </w:rPr>
        <w:footnoteRef/>
      </w:r>
      <w:r>
        <w:t xml:space="preserve"> </w:t>
      </w:r>
      <w:r w:rsidR="00FD07F9">
        <w:t xml:space="preserve">For a summary of recent disciplinary controversies written for a general audience, see Alex Ross, ‘Black Scholars Confront White Supremacy in Classical Music’, </w:t>
      </w:r>
      <w:r w:rsidR="00FD07F9">
        <w:rPr>
          <w:i/>
          <w:iCs/>
        </w:rPr>
        <w:t>The New Yorker</w:t>
      </w:r>
      <w:r w:rsidR="00AE4A92">
        <w:t xml:space="preserve">, </w:t>
      </w:r>
      <w:r w:rsidR="00FD07F9">
        <w:t>21 September 2020</w:t>
      </w:r>
      <w:r w:rsidR="00AE4A92">
        <w:t xml:space="preserve">, </w:t>
      </w:r>
      <w:hyperlink r:id="rId3" w:history="1">
        <w:r w:rsidR="00AE4A92" w:rsidRPr="00AE4A92">
          <w:rPr>
            <w:rStyle w:val="Hyperlink"/>
          </w:rPr>
          <w:t>https://www.newyorker.com/magazine/2020/09/21/black-scholars-confront-white-supremacy-in-classical-music</w:t>
        </w:r>
      </w:hyperlink>
      <w:r w:rsidR="00FD07F9">
        <w:t xml:space="preserve">. </w:t>
      </w:r>
    </w:p>
  </w:footnote>
  <w:footnote w:id="6">
    <w:p w14:paraId="48B94F36" w14:textId="77777777" w:rsidR="00E37F42" w:rsidRDefault="00E37F42" w:rsidP="00E37F42">
      <w:pPr>
        <w:pStyle w:val="FootnoteText"/>
      </w:pPr>
      <w:r>
        <w:rPr>
          <w:rStyle w:val="FootnoteReference"/>
        </w:rPr>
        <w:footnoteRef/>
      </w:r>
      <w:r>
        <w:t xml:space="preserve"> See Eve Tuck and K. Wayne Yang, ‘Decolonization is Not a Metaphor’, </w:t>
      </w:r>
      <w:r>
        <w:rPr>
          <w:i/>
          <w:iCs/>
        </w:rPr>
        <w:t>Decolonization: Indigeneity, Education &amp; Society</w:t>
      </w:r>
      <w:r>
        <w:t xml:space="preserve"> 1, no. 1 (2012): 1–40.  </w:t>
      </w:r>
    </w:p>
  </w:footnote>
  <w:footnote w:id="7">
    <w:p w14:paraId="41E55B2C" w14:textId="22C3B3BF" w:rsidR="008752D6" w:rsidRPr="008752D6" w:rsidRDefault="008752D6">
      <w:pPr>
        <w:pStyle w:val="FootnoteText"/>
      </w:pPr>
      <w:r>
        <w:rPr>
          <w:rStyle w:val="FootnoteReference"/>
        </w:rPr>
        <w:footnoteRef/>
      </w:r>
      <w:r>
        <w:t xml:space="preserve"> Juliet Hess, ‘Decolonizing Music Education: Moving Beyond Tokenism’, </w:t>
      </w:r>
      <w:r>
        <w:rPr>
          <w:i/>
          <w:iCs/>
        </w:rPr>
        <w:t xml:space="preserve">International Journal of Music Education </w:t>
      </w:r>
      <w:r>
        <w:t xml:space="preserve">1–2 (2015), 1.  </w:t>
      </w:r>
    </w:p>
  </w:footnote>
  <w:footnote w:id="8">
    <w:p w14:paraId="19F3FB27" w14:textId="09788335" w:rsidR="00A16F38" w:rsidRDefault="00A16F38" w:rsidP="00A16F38">
      <w:pPr>
        <w:pStyle w:val="FootnoteText"/>
      </w:pPr>
      <w:r>
        <w:rPr>
          <w:rStyle w:val="FootnoteReference"/>
        </w:rPr>
        <w:footnoteRef/>
      </w:r>
      <w:r>
        <w:t xml:space="preserve"> Composers of Color Resource Project, accessed 20 August 2021, </w:t>
      </w:r>
      <w:hyperlink r:id="rId4" w:history="1">
        <w:r w:rsidRPr="001304B7">
          <w:rPr>
            <w:rStyle w:val="Hyperlink"/>
          </w:rPr>
          <w:t>https://composersofcolor.hcommons.org</w:t>
        </w:r>
      </w:hyperlink>
      <w:r>
        <w:t xml:space="preserve">. </w:t>
      </w:r>
      <w:r w:rsidR="00D0613C">
        <w:t xml:space="preserve">In contrast to some of the other </w:t>
      </w:r>
      <w:r w:rsidR="00EE3F65">
        <w:t>sites</w:t>
      </w:r>
      <w:r w:rsidR="00D0613C">
        <w:t xml:space="preserve"> mentioned here, it is not immediately evident </w:t>
      </w:r>
      <w:r w:rsidR="00416FCF">
        <w:t>from</w:t>
      </w:r>
      <w:r w:rsidR="00EE3F65">
        <w:t xml:space="preserve"> the</w:t>
      </w:r>
      <w:r w:rsidR="00416FCF">
        <w:t xml:space="preserve"> Composers of Color </w:t>
      </w:r>
      <w:r w:rsidR="00EE3F65">
        <w:t xml:space="preserve">webpage </w:t>
      </w:r>
      <w:r w:rsidR="00416FCF">
        <w:t>who</w:t>
      </w:r>
      <w:r w:rsidR="00200119">
        <w:t>, exactly,</w:t>
      </w:r>
      <w:r w:rsidR="00416FCF">
        <w:t xml:space="preserve"> has been involved in setting it up.</w:t>
      </w:r>
    </w:p>
  </w:footnote>
  <w:footnote w:id="9">
    <w:p w14:paraId="51088F10" w14:textId="0485EED0" w:rsidR="0030518E" w:rsidRDefault="0030518E">
      <w:pPr>
        <w:pStyle w:val="FootnoteText"/>
      </w:pPr>
      <w:r>
        <w:rPr>
          <w:rStyle w:val="FootnoteReference"/>
        </w:rPr>
        <w:footnoteRef/>
      </w:r>
      <w:r>
        <w:t xml:space="preserve"> </w:t>
      </w:r>
      <w:r w:rsidR="00E21B51">
        <w:t xml:space="preserve">Engaged Music Theory, </w:t>
      </w:r>
      <w:hyperlink r:id="rId5" w:history="1">
        <w:r w:rsidR="00E21B51" w:rsidRPr="00E21B51">
          <w:rPr>
            <w:rStyle w:val="Hyperlink"/>
          </w:rPr>
          <w:t>https://engagedmusictheory.com</w:t>
        </w:r>
      </w:hyperlink>
      <w:r w:rsidR="00697F4B">
        <w:t xml:space="preserve">. </w:t>
      </w:r>
    </w:p>
  </w:footnote>
  <w:footnote w:id="10">
    <w:p w14:paraId="19C8289B" w14:textId="264DD544" w:rsidR="00A62C30" w:rsidRDefault="00A62C30" w:rsidP="00A62C30">
      <w:pPr>
        <w:pStyle w:val="FootnoteText"/>
      </w:pPr>
      <w:r>
        <w:rPr>
          <w:rStyle w:val="FootnoteReference"/>
        </w:rPr>
        <w:footnoteRef/>
      </w:r>
      <w:r>
        <w:t xml:space="preserve"> The members of the working group are listed as: Co-organizers – Michèle Duguay, Marc Hannaford, and Toru Momii; and Group Members – Makulumy Alexander-Hills, Clifton Boyd, Michael Bruschi, Samuel Chan,</w:t>
      </w:r>
    </w:p>
    <w:p w14:paraId="3CDABEBB" w14:textId="6A457DA1" w:rsidR="00A62C30" w:rsidRDefault="00A62C30" w:rsidP="00A62C30">
      <w:pPr>
        <w:pStyle w:val="FootnoteText"/>
      </w:pPr>
      <w:r>
        <w:t>Johanna Devaney, Kristi Hardman, Stephen Lett, Vivian Luong, Rowland Moseley, Nathan Pell,</w:t>
      </w:r>
    </w:p>
    <w:p w14:paraId="3F15E2D7" w14:textId="2127532B" w:rsidR="00A62C30" w:rsidRDefault="00A62C30">
      <w:pPr>
        <w:pStyle w:val="FootnoteText"/>
      </w:pPr>
      <w:r>
        <w:t>Blake Ritchie, Lauren Shepherd, Danielle Shlomit Sofer, and Noel Torres-Rivera.</w:t>
      </w:r>
      <w:r w:rsidR="001E12D0">
        <w:t xml:space="preserve"> </w:t>
      </w:r>
      <w:r w:rsidR="00E21B51">
        <w:t xml:space="preserve">‘About’, Engaged Music Theory, accessed 1 September 2021, </w:t>
      </w:r>
      <w:hyperlink r:id="rId6" w:history="1">
        <w:r w:rsidR="00E21B51" w:rsidRPr="00E21B51">
          <w:rPr>
            <w:rStyle w:val="Hyperlink"/>
          </w:rPr>
          <w:t>https://engagedmusictheory.com</w:t>
        </w:r>
      </w:hyperlink>
      <w:r w:rsidR="00E21B51">
        <w:t xml:space="preserve">. </w:t>
      </w:r>
    </w:p>
  </w:footnote>
  <w:footnote w:id="11">
    <w:p w14:paraId="5474F2D8" w14:textId="078E6CA2" w:rsidR="005B21F0" w:rsidRPr="005B21F0" w:rsidRDefault="005B21F0">
      <w:pPr>
        <w:pStyle w:val="FootnoteText"/>
      </w:pPr>
      <w:r>
        <w:rPr>
          <w:rStyle w:val="FootnoteReference"/>
        </w:rPr>
        <w:footnoteRef/>
      </w:r>
      <w:r>
        <w:t xml:space="preserve"> </w:t>
      </w:r>
      <w:r w:rsidR="00621AEA">
        <w:t xml:space="preserve">See </w:t>
      </w:r>
      <w:r>
        <w:t xml:space="preserve">Naomi </w:t>
      </w:r>
      <w:r w:rsidRPr="005B21F0">
        <w:t>André</w:t>
      </w:r>
      <w:r>
        <w:t xml:space="preserve">, </w:t>
      </w:r>
      <w:r>
        <w:rPr>
          <w:i/>
          <w:iCs/>
        </w:rPr>
        <w:t>Black Opera: History, Power, Engagement</w:t>
      </w:r>
      <w:r>
        <w:t xml:space="preserve"> (</w:t>
      </w:r>
      <w:r w:rsidR="00BC6619">
        <w:t xml:space="preserve">Champaign, IL: </w:t>
      </w:r>
      <w:r>
        <w:t xml:space="preserve">University of Illinois Press, 2018). </w:t>
      </w:r>
    </w:p>
  </w:footnote>
  <w:footnote w:id="12">
    <w:p w14:paraId="717C2A96" w14:textId="732BDFB9" w:rsidR="00273238" w:rsidRDefault="00273238" w:rsidP="00273238">
      <w:pPr>
        <w:pStyle w:val="FootnoteText"/>
      </w:pPr>
      <w:r>
        <w:rPr>
          <w:rStyle w:val="FootnoteReference"/>
        </w:rPr>
        <w:footnoteRef/>
      </w:r>
      <w:r>
        <w:t xml:space="preserve"> For example, the home page introduces the limitations of the bibliography by pointing to relevant work that is not included: ‘</w:t>
      </w:r>
      <w:r w:rsidRPr="00623AA9">
        <w:t>The bibliography purposefully omits work by scholars who do not self-identify as music theorists or musicologists, but whose work is indispensable to the aims of our group. A list of these authors would include Sara Ahmed, Daphne Brooks, Patricia Hill Collins, Rosemarie Garland-Thomson, Saidiya Hartman, Lisa Lowe, Fred Moten, José Esteban Muñoz, Christina Sharpe, Eve Tuck, and Alexander G. Weheliye, among many others. We strongly encourage anyone who is interested in the goals of our group to read and cite this body of scholarship</w:t>
      </w:r>
      <w:r>
        <w:t>’.</w:t>
      </w:r>
      <w:r w:rsidR="002402F5">
        <w:t xml:space="preserve"> Engaged Music Theory, accessed 1 September 2021, </w:t>
      </w:r>
      <w:hyperlink r:id="rId7" w:history="1">
        <w:r w:rsidR="002402F5" w:rsidRPr="002402F5">
          <w:rPr>
            <w:rStyle w:val="Hyperlink"/>
          </w:rPr>
          <w:t>https://engagedmusictheory.com</w:t>
        </w:r>
      </w:hyperlink>
      <w:r w:rsidR="002402F5">
        <w:t xml:space="preserve">. </w:t>
      </w:r>
      <w:r w:rsidR="00112B50">
        <w:t xml:space="preserve"> </w:t>
      </w:r>
    </w:p>
  </w:footnote>
  <w:footnote w:id="13">
    <w:p w14:paraId="5B56C7D8" w14:textId="7532B9A2" w:rsidR="00B66436" w:rsidRDefault="00B66436">
      <w:pPr>
        <w:pStyle w:val="FootnoteText"/>
      </w:pPr>
      <w:r>
        <w:rPr>
          <w:rStyle w:val="FootnoteReference"/>
        </w:rPr>
        <w:footnoteRef/>
      </w:r>
      <w:r>
        <w:t xml:space="preserve"> As the opening statement notes, ‘</w:t>
      </w:r>
      <w:r w:rsidRPr="00B66436">
        <w:t>While this list is not meant to be exhaustive, we hope it offers a starting point for engaged music theoretical research. It focuses primarily on music theoretical work as well as directly relevant scholarship from musicology and ethnomusicology</w:t>
      </w:r>
      <w:r>
        <w:t>’.</w:t>
      </w:r>
      <w:r w:rsidR="00E62450" w:rsidRPr="00E62450">
        <w:t xml:space="preserve"> </w:t>
      </w:r>
      <w:r w:rsidR="002402F5">
        <w:t xml:space="preserve">Engaged Music Theory, accessed 1 September 2021, </w:t>
      </w:r>
      <w:hyperlink r:id="rId8" w:history="1">
        <w:r w:rsidR="002402F5" w:rsidRPr="002402F5">
          <w:rPr>
            <w:rStyle w:val="Hyperlink"/>
          </w:rPr>
          <w:t>https://engagedmusictheory.com</w:t>
        </w:r>
      </w:hyperlink>
      <w:r w:rsidR="002402F5">
        <w:t xml:space="preserve">. </w:t>
      </w:r>
    </w:p>
  </w:footnote>
  <w:footnote w:id="14">
    <w:p w14:paraId="62C736E5" w14:textId="36087EC1" w:rsidR="00B34EE4" w:rsidRDefault="00B34EE4">
      <w:pPr>
        <w:pStyle w:val="FootnoteText"/>
      </w:pPr>
      <w:r>
        <w:rPr>
          <w:rStyle w:val="FootnoteReference"/>
        </w:rPr>
        <w:footnoteRef/>
      </w:r>
      <w:r>
        <w:t xml:space="preserve"> </w:t>
      </w:r>
      <w:r w:rsidR="002402F5">
        <w:t xml:space="preserve">Inclusive Early Music, </w:t>
      </w:r>
      <w:hyperlink r:id="rId9" w:history="1">
        <w:r w:rsidR="002402F5" w:rsidRPr="002402F5">
          <w:rPr>
            <w:rStyle w:val="Hyperlink"/>
          </w:rPr>
          <w:t>https://inclusiveearlymusic.org</w:t>
        </w:r>
      </w:hyperlink>
      <w:r w:rsidR="000C2E0A">
        <w:t xml:space="preserve">. </w:t>
      </w:r>
    </w:p>
  </w:footnote>
  <w:footnote w:id="15">
    <w:p w14:paraId="58911152" w14:textId="51CE4937" w:rsidR="007D79D7" w:rsidRDefault="007D79D7">
      <w:pPr>
        <w:pStyle w:val="FootnoteText"/>
      </w:pPr>
      <w:r>
        <w:rPr>
          <w:rStyle w:val="FootnoteReference"/>
        </w:rPr>
        <w:footnoteRef/>
      </w:r>
      <w:r>
        <w:t xml:space="preserve"> </w:t>
      </w:r>
      <w:r w:rsidR="00AF50B8">
        <w:t>The caption given for this image is ‘Musicians Playing Stringed Instruments. Madrid, San Lorenzo de El Escorial Library, The Cantigas de Santa Maria. Canticle n. 120</w:t>
      </w:r>
      <w:r w:rsidR="00621AEA">
        <w:t>’</w:t>
      </w:r>
      <w:r w:rsidR="003C7CE9">
        <w:t>,</w:t>
      </w:r>
      <w:r w:rsidR="002402F5">
        <w:t xml:space="preserve"> Inclusive Early Music, accessed 20 August 2021, </w:t>
      </w:r>
      <w:hyperlink r:id="rId10" w:history="1">
        <w:r w:rsidR="002402F5" w:rsidRPr="002402F5">
          <w:rPr>
            <w:rStyle w:val="Hyperlink"/>
          </w:rPr>
          <w:t>https://inclusiveearlymusic.org</w:t>
        </w:r>
      </w:hyperlink>
      <w:r w:rsidR="002402F5">
        <w:t>.</w:t>
      </w:r>
      <w:r w:rsidR="000609AF">
        <w:t xml:space="preserve"> </w:t>
      </w:r>
    </w:p>
  </w:footnote>
  <w:footnote w:id="16">
    <w:p w14:paraId="7377D3EA" w14:textId="10A26E90" w:rsidR="00B33A47" w:rsidRDefault="00B33A47">
      <w:pPr>
        <w:pStyle w:val="FootnoteText"/>
      </w:pPr>
      <w:r>
        <w:rPr>
          <w:rStyle w:val="FootnoteReference"/>
        </w:rPr>
        <w:footnoteRef/>
      </w:r>
      <w:r>
        <w:t xml:space="preserve"> </w:t>
      </w:r>
      <w:r w:rsidR="00B54531">
        <w:t xml:space="preserve">Beyond Tokenism: Dismantling, Rethinking &amp; Reframing Narratives in Music History Pedagogy, </w:t>
      </w:r>
      <w:r w:rsidR="00E36777">
        <w:t xml:space="preserve">accessed 20 August 2021, </w:t>
      </w:r>
      <w:hyperlink r:id="rId11" w:history="1">
        <w:r w:rsidR="00B54531" w:rsidRPr="008A637A">
          <w:rPr>
            <w:rStyle w:val="Hyperlink"/>
          </w:rPr>
          <w:t>https://musichistoryredo.wordpress.com</w:t>
        </w:r>
      </w:hyperlink>
      <w:r w:rsidR="00E36777">
        <w:t>.</w:t>
      </w:r>
      <w:r w:rsidR="00B54531">
        <w:t xml:space="preserve"> </w:t>
      </w:r>
      <w:hyperlink w:history="1"/>
    </w:p>
  </w:footnote>
  <w:footnote w:id="17">
    <w:p w14:paraId="4576935E" w14:textId="12FD79DC" w:rsidR="00015CBA" w:rsidRPr="00015CBA" w:rsidRDefault="00015CBA">
      <w:pPr>
        <w:pStyle w:val="FootnoteText"/>
      </w:pPr>
      <w:r>
        <w:rPr>
          <w:rStyle w:val="FootnoteReference"/>
        </w:rPr>
        <w:footnoteRef/>
      </w:r>
      <w:r>
        <w:t xml:space="preserve"> The listed project founders are Jacqueline Avila, Joy Marie Doan, Kunio Hara, Jasmine A. Henry, and Eric Huang</w:t>
      </w:r>
      <w:r w:rsidR="00051BE2">
        <w:t>.</w:t>
      </w:r>
      <w:r w:rsidR="00B54531">
        <w:t xml:space="preserve"> ‘Policies and Project Team’, </w:t>
      </w:r>
      <w:r w:rsidR="00B54531" w:rsidRPr="00D9116D">
        <w:t>Beyond Tokenism</w:t>
      </w:r>
      <w:r w:rsidR="00B54531">
        <w:t>,</w:t>
      </w:r>
      <w:r w:rsidR="00E36777" w:rsidRPr="00E36777">
        <w:t xml:space="preserve"> </w:t>
      </w:r>
      <w:r w:rsidR="00E36777">
        <w:t xml:space="preserve">accessed 20 August 2021, </w:t>
      </w:r>
      <w:hyperlink r:id="rId12" w:history="1">
        <w:r w:rsidR="00E36777" w:rsidRPr="00E36777">
          <w:rPr>
            <w:rStyle w:val="Hyperlink"/>
          </w:rPr>
          <w:t>https://musichistoryredo.wordpress.com/policies-and-project-team/</w:t>
        </w:r>
      </w:hyperlink>
      <w:r w:rsidR="00E36777">
        <w:t xml:space="preserve">. </w:t>
      </w:r>
    </w:p>
  </w:footnote>
  <w:footnote w:id="18">
    <w:p w14:paraId="5D096414" w14:textId="7EA1A4C1" w:rsidR="00810EF9" w:rsidRDefault="00810EF9" w:rsidP="00810EF9">
      <w:pPr>
        <w:pStyle w:val="FootnoteText"/>
      </w:pPr>
      <w:r>
        <w:rPr>
          <w:rStyle w:val="FootnoteReference"/>
        </w:rPr>
        <w:footnoteRef/>
      </w:r>
      <w:r>
        <w:t xml:space="preserve"> </w:t>
      </w:r>
      <w:r w:rsidR="00823D4A" w:rsidRPr="002112AC">
        <w:t xml:space="preserve">Carina Venter, William Fourie, Juliana M. Pistorius, and neo muyanga, </w:t>
      </w:r>
      <w:r w:rsidR="00823D4A">
        <w:t>‘</w:t>
      </w:r>
      <w:r w:rsidR="00823D4A" w:rsidRPr="002112AC">
        <w:t>Decolonizing Musicology: A Response and Three Positions</w:t>
      </w:r>
      <w:r w:rsidR="00823D4A">
        <w:t>’,</w:t>
      </w:r>
      <w:r w:rsidR="00823D4A" w:rsidRPr="002112AC">
        <w:t xml:space="preserve"> </w:t>
      </w:r>
      <w:r w:rsidR="00823D4A" w:rsidRPr="002112AC">
        <w:rPr>
          <w:i/>
          <w:iCs/>
        </w:rPr>
        <w:t>SAMUS: South African Music Studies</w:t>
      </w:r>
      <w:r w:rsidR="00823D4A" w:rsidRPr="002112AC">
        <w:t xml:space="preserve"> 36–37 (2017)</w:t>
      </w:r>
      <w:r w:rsidR="00823D4A">
        <w:t xml:space="preserve">, </w:t>
      </w:r>
      <w:r>
        <w:t>149.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6750505"/>
      <w:docPartObj>
        <w:docPartGallery w:val="Page Numbers (Top of Page)"/>
        <w:docPartUnique/>
      </w:docPartObj>
    </w:sdtPr>
    <w:sdtEndPr>
      <w:rPr>
        <w:rStyle w:val="PageNumber"/>
      </w:rPr>
    </w:sdtEndPr>
    <w:sdtContent>
      <w:p w14:paraId="20AB83A1" w14:textId="76C6038A" w:rsidR="00203E76" w:rsidRDefault="00203E76" w:rsidP="00CB5B1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A1FE74" w14:textId="77777777" w:rsidR="00203E76" w:rsidRDefault="00203E76" w:rsidP="00203E7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1236914"/>
      <w:docPartObj>
        <w:docPartGallery w:val="Page Numbers (Top of Page)"/>
        <w:docPartUnique/>
      </w:docPartObj>
    </w:sdtPr>
    <w:sdtEndPr>
      <w:rPr>
        <w:rStyle w:val="PageNumber"/>
      </w:rPr>
    </w:sdtEndPr>
    <w:sdtContent>
      <w:p w14:paraId="001A8A7E" w14:textId="0425A289" w:rsidR="00203E76" w:rsidRDefault="00203E76" w:rsidP="00CB5B1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73F3D2B" w14:textId="77777777" w:rsidR="00203E76" w:rsidRDefault="00203E76" w:rsidP="00203E7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33"/>
    <w:rsid w:val="000059BE"/>
    <w:rsid w:val="00006962"/>
    <w:rsid w:val="0001280B"/>
    <w:rsid w:val="00013781"/>
    <w:rsid w:val="000142FC"/>
    <w:rsid w:val="00015CBA"/>
    <w:rsid w:val="000213C7"/>
    <w:rsid w:val="000257E5"/>
    <w:rsid w:val="00030A5A"/>
    <w:rsid w:val="00040B3B"/>
    <w:rsid w:val="000438E8"/>
    <w:rsid w:val="00051BE2"/>
    <w:rsid w:val="000563C7"/>
    <w:rsid w:val="00057EC8"/>
    <w:rsid w:val="00057FC2"/>
    <w:rsid w:val="000609AF"/>
    <w:rsid w:val="00062442"/>
    <w:rsid w:val="00065337"/>
    <w:rsid w:val="000721F1"/>
    <w:rsid w:val="00074F4F"/>
    <w:rsid w:val="00082167"/>
    <w:rsid w:val="00085238"/>
    <w:rsid w:val="000857AA"/>
    <w:rsid w:val="000B0809"/>
    <w:rsid w:val="000C0835"/>
    <w:rsid w:val="000C2E0A"/>
    <w:rsid w:val="000C45CD"/>
    <w:rsid w:val="000C752D"/>
    <w:rsid w:val="000E3360"/>
    <w:rsid w:val="000E671F"/>
    <w:rsid w:val="000F4EAD"/>
    <w:rsid w:val="000F76E8"/>
    <w:rsid w:val="00107057"/>
    <w:rsid w:val="0011066B"/>
    <w:rsid w:val="00112B50"/>
    <w:rsid w:val="00115C01"/>
    <w:rsid w:val="001216C3"/>
    <w:rsid w:val="00125CE1"/>
    <w:rsid w:val="00125E5F"/>
    <w:rsid w:val="001304B7"/>
    <w:rsid w:val="00133D88"/>
    <w:rsid w:val="0013429B"/>
    <w:rsid w:val="00134A08"/>
    <w:rsid w:val="00135058"/>
    <w:rsid w:val="0014020C"/>
    <w:rsid w:val="00146B2D"/>
    <w:rsid w:val="001503A9"/>
    <w:rsid w:val="00175B05"/>
    <w:rsid w:val="00180C50"/>
    <w:rsid w:val="00181716"/>
    <w:rsid w:val="00181D5F"/>
    <w:rsid w:val="001822A7"/>
    <w:rsid w:val="0019110D"/>
    <w:rsid w:val="00191DB3"/>
    <w:rsid w:val="001A3933"/>
    <w:rsid w:val="001A582E"/>
    <w:rsid w:val="001C5A08"/>
    <w:rsid w:val="001D06F0"/>
    <w:rsid w:val="001D383B"/>
    <w:rsid w:val="001E12D0"/>
    <w:rsid w:val="001F6574"/>
    <w:rsid w:val="00200119"/>
    <w:rsid w:val="00200BE1"/>
    <w:rsid w:val="00203E76"/>
    <w:rsid w:val="002056B7"/>
    <w:rsid w:val="002061BB"/>
    <w:rsid w:val="00212976"/>
    <w:rsid w:val="0021510B"/>
    <w:rsid w:val="00226B67"/>
    <w:rsid w:val="00226E6B"/>
    <w:rsid w:val="00234182"/>
    <w:rsid w:val="00234F7E"/>
    <w:rsid w:val="002402F5"/>
    <w:rsid w:val="00244A23"/>
    <w:rsid w:val="00252218"/>
    <w:rsid w:val="00261A2B"/>
    <w:rsid w:val="00262387"/>
    <w:rsid w:val="0026261B"/>
    <w:rsid w:val="00263322"/>
    <w:rsid w:val="002666E6"/>
    <w:rsid w:val="00273238"/>
    <w:rsid w:val="00273D50"/>
    <w:rsid w:val="00277086"/>
    <w:rsid w:val="002814FC"/>
    <w:rsid w:val="00290E7A"/>
    <w:rsid w:val="00291D9B"/>
    <w:rsid w:val="0029248B"/>
    <w:rsid w:val="002950A0"/>
    <w:rsid w:val="00296CB1"/>
    <w:rsid w:val="002A4F93"/>
    <w:rsid w:val="002A6468"/>
    <w:rsid w:val="002B3C30"/>
    <w:rsid w:val="002B65BD"/>
    <w:rsid w:val="002C5693"/>
    <w:rsid w:val="002C64A0"/>
    <w:rsid w:val="002C668F"/>
    <w:rsid w:val="002C7F35"/>
    <w:rsid w:val="002D30EB"/>
    <w:rsid w:val="002D3C79"/>
    <w:rsid w:val="002E6B97"/>
    <w:rsid w:val="002E6CE3"/>
    <w:rsid w:val="002E7AC0"/>
    <w:rsid w:val="002F3891"/>
    <w:rsid w:val="002F6418"/>
    <w:rsid w:val="0030518E"/>
    <w:rsid w:val="00313E1B"/>
    <w:rsid w:val="00314BED"/>
    <w:rsid w:val="00317BF7"/>
    <w:rsid w:val="00317FFD"/>
    <w:rsid w:val="00320100"/>
    <w:rsid w:val="003239BA"/>
    <w:rsid w:val="0033010F"/>
    <w:rsid w:val="00340BDB"/>
    <w:rsid w:val="003419FD"/>
    <w:rsid w:val="00342EC3"/>
    <w:rsid w:val="00352BD0"/>
    <w:rsid w:val="00367FB7"/>
    <w:rsid w:val="00370E02"/>
    <w:rsid w:val="003728E7"/>
    <w:rsid w:val="00372E78"/>
    <w:rsid w:val="003741AF"/>
    <w:rsid w:val="003746C3"/>
    <w:rsid w:val="00375A0F"/>
    <w:rsid w:val="003764D3"/>
    <w:rsid w:val="0038148E"/>
    <w:rsid w:val="00394015"/>
    <w:rsid w:val="00394410"/>
    <w:rsid w:val="003B4EB2"/>
    <w:rsid w:val="003C05FF"/>
    <w:rsid w:val="003C6A57"/>
    <w:rsid w:val="003C7CE9"/>
    <w:rsid w:val="003D3F28"/>
    <w:rsid w:val="003D481F"/>
    <w:rsid w:val="003D67F0"/>
    <w:rsid w:val="003E5212"/>
    <w:rsid w:val="003F3919"/>
    <w:rsid w:val="003F593B"/>
    <w:rsid w:val="00403115"/>
    <w:rsid w:val="00407A70"/>
    <w:rsid w:val="0041015E"/>
    <w:rsid w:val="00411476"/>
    <w:rsid w:val="00416FCF"/>
    <w:rsid w:val="0041777B"/>
    <w:rsid w:val="00422D85"/>
    <w:rsid w:val="00431615"/>
    <w:rsid w:val="00447226"/>
    <w:rsid w:val="00447849"/>
    <w:rsid w:val="0045117F"/>
    <w:rsid w:val="00452BD9"/>
    <w:rsid w:val="00453B65"/>
    <w:rsid w:val="004561C0"/>
    <w:rsid w:val="00461BBC"/>
    <w:rsid w:val="0046662C"/>
    <w:rsid w:val="0047182C"/>
    <w:rsid w:val="00471CD5"/>
    <w:rsid w:val="00477713"/>
    <w:rsid w:val="00486AB3"/>
    <w:rsid w:val="004A53E2"/>
    <w:rsid w:val="004B714F"/>
    <w:rsid w:val="004B77A1"/>
    <w:rsid w:val="004D415E"/>
    <w:rsid w:val="004D4D57"/>
    <w:rsid w:val="004E5AD4"/>
    <w:rsid w:val="004E612C"/>
    <w:rsid w:val="004F096E"/>
    <w:rsid w:val="004F69CC"/>
    <w:rsid w:val="0050002B"/>
    <w:rsid w:val="005010C6"/>
    <w:rsid w:val="0050204E"/>
    <w:rsid w:val="00502B55"/>
    <w:rsid w:val="00503364"/>
    <w:rsid w:val="00511CD3"/>
    <w:rsid w:val="00515AFE"/>
    <w:rsid w:val="00530418"/>
    <w:rsid w:val="005358C5"/>
    <w:rsid w:val="005417BC"/>
    <w:rsid w:val="00542F41"/>
    <w:rsid w:val="005458CA"/>
    <w:rsid w:val="0054644A"/>
    <w:rsid w:val="005566EB"/>
    <w:rsid w:val="005704D9"/>
    <w:rsid w:val="00571310"/>
    <w:rsid w:val="00572515"/>
    <w:rsid w:val="00572FDE"/>
    <w:rsid w:val="00576FC3"/>
    <w:rsid w:val="00580921"/>
    <w:rsid w:val="0058241D"/>
    <w:rsid w:val="0058444D"/>
    <w:rsid w:val="0058519A"/>
    <w:rsid w:val="00585E21"/>
    <w:rsid w:val="00596313"/>
    <w:rsid w:val="005971E3"/>
    <w:rsid w:val="005A0539"/>
    <w:rsid w:val="005A35F0"/>
    <w:rsid w:val="005A555A"/>
    <w:rsid w:val="005B21F0"/>
    <w:rsid w:val="005B2DF6"/>
    <w:rsid w:val="005B603B"/>
    <w:rsid w:val="005B6CBD"/>
    <w:rsid w:val="005C17D7"/>
    <w:rsid w:val="005C353B"/>
    <w:rsid w:val="005D008F"/>
    <w:rsid w:val="005D19C3"/>
    <w:rsid w:val="005D1AC0"/>
    <w:rsid w:val="005D1F20"/>
    <w:rsid w:val="005E0804"/>
    <w:rsid w:val="005E3FD6"/>
    <w:rsid w:val="005E53F9"/>
    <w:rsid w:val="005F2CEF"/>
    <w:rsid w:val="005F70E8"/>
    <w:rsid w:val="00601269"/>
    <w:rsid w:val="006118C9"/>
    <w:rsid w:val="0061267F"/>
    <w:rsid w:val="00614845"/>
    <w:rsid w:val="0062091C"/>
    <w:rsid w:val="00621AEA"/>
    <w:rsid w:val="00623AA9"/>
    <w:rsid w:val="00627D24"/>
    <w:rsid w:val="006338F0"/>
    <w:rsid w:val="00642F8F"/>
    <w:rsid w:val="00644182"/>
    <w:rsid w:val="00656EE4"/>
    <w:rsid w:val="006736F3"/>
    <w:rsid w:val="00686E9B"/>
    <w:rsid w:val="0069241B"/>
    <w:rsid w:val="00697F4B"/>
    <w:rsid w:val="006B2926"/>
    <w:rsid w:val="006B55CB"/>
    <w:rsid w:val="006B5645"/>
    <w:rsid w:val="006D2FBB"/>
    <w:rsid w:val="006F1D0E"/>
    <w:rsid w:val="00701C51"/>
    <w:rsid w:val="007029E7"/>
    <w:rsid w:val="00712F27"/>
    <w:rsid w:val="007177BE"/>
    <w:rsid w:val="00726AD4"/>
    <w:rsid w:val="00727B17"/>
    <w:rsid w:val="00727B34"/>
    <w:rsid w:val="007308CA"/>
    <w:rsid w:val="00740E45"/>
    <w:rsid w:val="007466B8"/>
    <w:rsid w:val="00750638"/>
    <w:rsid w:val="00751FEE"/>
    <w:rsid w:val="0075330E"/>
    <w:rsid w:val="00753891"/>
    <w:rsid w:val="00766F02"/>
    <w:rsid w:val="00772EDC"/>
    <w:rsid w:val="00773A61"/>
    <w:rsid w:val="00776069"/>
    <w:rsid w:val="00776250"/>
    <w:rsid w:val="00777889"/>
    <w:rsid w:val="0078242C"/>
    <w:rsid w:val="00783D7E"/>
    <w:rsid w:val="0078417C"/>
    <w:rsid w:val="00785E9D"/>
    <w:rsid w:val="00791555"/>
    <w:rsid w:val="00795A82"/>
    <w:rsid w:val="007A3D74"/>
    <w:rsid w:val="007A6C3D"/>
    <w:rsid w:val="007B13BF"/>
    <w:rsid w:val="007C7B4C"/>
    <w:rsid w:val="007D19EB"/>
    <w:rsid w:val="007D408E"/>
    <w:rsid w:val="007D54B4"/>
    <w:rsid w:val="007D79D7"/>
    <w:rsid w:val="007E37EF"/>
    <w:rsid w:val="007E6861"/>
    <w:rsid w:val="00810EF9"/>
    <w:rsid w:val="00814729"/>
    <w:rsid w:val="00820DB3"/>
    <w:rsid w:val="008234E2"/>
    <w:rsid w:val="00823D4A"/>
    <w:rsid w:val="00826B10"/>
    <w:rsid w:val="00835C48"/>
    <w:rsid w:val="00835EAC"/>
    <w:rsid w:val="00844232"/>
    <w:rsid w:val="008468CE"/>
    <w:rsid w:val="008473E4"/>
    <w:rsid w:val="00854057"/>
    <w:rsid w:val="00861511"/>
    <w:rsid w:val="00871052"/>
    <w:rsid w:val="0087169D"/>
    <w:rsid w:val="008752D6"/>
    <w:rsid w:val="00882B1B"/>
    <w:rsid w:val="00891C23"/>
    <w:rsid w:val="008937C6"/>
    <w:rsid w:val="008967F6"/>
    <w:rsid w:val="008A3106"/>
    <w:rsid w:val="008A31C0"/>
    <w:rsid w:val="008A5F80"/>
    <w:rsid w:val="008C505D"/>
    <w:rsid w:val="008D0A62"/>
    <w:rsid w:val="008E6CE6"/>
    <w:rsid w:val="008F1029"/>
    <w:rsid w:val="008F5321"/>
    <w:rsid w:val="00901AF3"/>
    <w:rsid w:val="00907270"/>
    <w:rsid w:val="00910815"/>
    <w:rsid w:val="009140C4"/>
    <w:rsid w:val="009155AF"/>
    <w:rsid w:val="00916B07"/>
    <w:rsid w:val="00923FAF"/>
    <w:rsid w:val="00940814"/>
    <w:rsid w:val="00941A88"/>
    <w:rsid w:val="00944A2E"/>
    <w:rsid w:val="00945451"/>
    <w:rsid w:val="00947741"/>
    <w:rsid w:val="00961408"/>
    <w:rsid w:val="00967097"/>
    <w:rsid w:val="00967604"/>
    <w:rsid w:val="00971101"/>
    <w:rsid w:val="009731C8"/>
    <w:rsid w:val="009970AC"/>
    <w:rsid w:val="0099774D"/>
    <w:rsid w:val="009A1F68"/>
    <w:rsid w:val="009A22FD"/>
    <w:rsid w:val="009B07EB"/>
    <w:rsid w:val="009B1896"/>
    <w:rsid w:val="009B39F5"/>
    <w:rsid w:val="009B5D6B"/>
    <w:rsid w:val="009B7434"/>
    <w:rsid w:val="009C347E"/>
    <w:rsid w:val="009E5B3B"/>
    <w:rsid w:val="009F409E"/>
    <w:rsid w:val="00A013A6"/>
    <w:rsid w:val="00A05787"/>
    <w:rsid w:val="00A13419"/>
    <w:rsid w:val="00A134A4"/>
    <w:rsid w:val="00A16F38"/>
    <w:rsid w:val="00A1747A"/>
    <w:rsid w:val="00A26807"/>
    <w:rsid w:val="00A35684"/>
    <w:rsid w:val="00A515AE"/>
    <w:rsid w:val="00A5426E"/>
    <w:rsid w:val="00A60AEC"/>
    <w:rsid w:val="00A62AE6"/>
    <w:rsid w:val="00A62C30"/>
    <w:rsid w:val="00A74C26"/>
    <w:rsid w:val="00A754C9"/>
    <w:rsid w:val="00A77279"/>
    <w:rsid w:val="00A8284C"/>
    <w:rsid w:val="00A915CD"/>
    <w:rsid w:val="00A91EEA"/>
    <w:rsid w:val="00A91F2A"/>
    <w:rsid w:val="00A949B1"/>
    <w:rsid w:val="00A96513"/>
    <w:rsid w:val="00A965A7"/>
    <w:rsid w:val="00A97469"/>
    <w:rsid w:val="00AA1191"/>
    <w:rsid w:val="00AA321D"/>
    <w:rsid w:val="00AA3A30"/>
    <w:rsid w:val="00AA64B7"/>
    <w:rsid w:val="00AA6FE5"/>
    <w:rsid w:val="00AB70FD"/>
    <w:rsid w:val="00AC5126"/>
    <w:rsid w:val="00AD1F08"/>
    <w:rsid w:val="00AD4B6A"/>
    <w:rsid w:val="00AD6824"/>
    <w:rsid w:val="00AE14CE"/>
    <w:rsid w:val="00AE1ED8"/>
    <w:rsid w:val="00AE4A92"/>
    <w:rsid w:val="00AE5086"/>
    <w:rsid w:val="00AE76A1"/>
    <w:rsid w:val="00AF50B8"/>
    <w:rsid w:val="00B02336"/>
    <w:rsid w:val="00B04E35"/>
    <w:rsid w:val="00B06EEC"/>
    <w:rsid w:val="00B07552"/>
    <w:rsid w:val="00B13A11"/>
    <w:rsid w:val="00B15799"/>
    <w:rsid w:val="00B220E5"/>
    <w:rsid w:val="00B2227F"/>
    <w:rsid w:val="00B223B7"/>
    <w:rsid w:val="00B227BD"/>
    <w:rsid w:val="00B30F51"/>
    <w:rsid w:val="00B31F21"/>
    <w:rsid w:val="00B33A47"/>
    <w:rsid w:val="00B34EE4"/>
    <w:rsid w:val="00B43341"/>
    <w:rsid w:val="00B462EF"/>
    <w:rsid w:val="00B504AD"/>
    <w:rsid w:val="00B54531"/>
    <w:rsid w:val="00B55520"/>
    <w:rsid w:val="00B63C11"/>
    <w:rsid w:val="00B66436"/>
    <w:rsid w:val="00B701D5"/>
    <w:rsid w:val="00B72BB7"/>
    <w:rsid w:val="00B81D4F"/>
    <w:rsid w:val="00B81E18"/>
    <w:rsid w:val="00B82617"/>
    <w:rsid w:val="00B90A67"/>
    <w:rsid w:val="00B94DAB"/>
    <w:rsid w:val="00BA0CE2"/>
    <w:rsid w:val="00BB7BE7"/>
    <w:rsid w:val="00BC6619"/>
    <w:rsid w:val="00BD51DB"/>
    <w:rsid w:val="00BE6391"/>
    <w:rsid w:val="00C26647"/>
    <w:rsid w:val="00C340A3"/>
    <w:rsid w:val="00C35845"/>
    <w:rsid w:val="00C45A58"/>
    <w:rsid w:val="00C471D8"/>
    <w:rsid w:val="00C53E6A"/>
    <w:rsid w:val="00C64758"/>
    <w:rsid w:val="00C71D0A"/>
    <w:rsid w:val="00C7731A"/>
    <w:rsid w:val="00C838A3"/>
    <w:rsid w:val="00C840FD"/>
    <w:rsid w:val="00C8735A"/>
    <w:rsid w:val="00C93A29"/>
    <w:rsid w:val="00CA3BAC"/>
    <w:rsid w:val="00CB3FAC"/>
    <w:rsid w:val="00CB4B30"/>
    <w:rsid w:val="00CB4C9B"/>
    <w:rsid w:val="00CC172D"/>
    <w:rsid w:val="00CD26BB"/>
    <w:rsid w:val="00CD3A0D"/>
    <w:rsid w:val="00CD68AD"/>
    <w:rsid w:val="00CE2F74"/>
    <w:rsid w:val="00CE3E48"/>
    <w:rsid w:val="00CF10B6"/>
    <w:rsid w:val="00CF5066"/>
    <w:rsid w:val="00D0613C"/>
    <w:rsid w:val="00D149F6"/>
    <w:rsid w:val="00D14BB9"/>
    <w:rsid w:val="00D21A11"/>
    <w:rsid w:val="00D21A93"/>
    <w:rsid w:val="00D25BC8"/>
    <w:rsid w:val="00D25E93"/>
    <w:rsid w:val="00D27C7A"/>
    <w:rsid w:val="00D40E7E"/>
    <w:rsid w:val="00D453F1"/>
    <w:rsid w:val="00D4642F"/>
    <w:rsid w:val="00D50312"/>
    <w:rsid w:val="00D546BC"/>
    <w:rsid w:val="00D62E96"/>
    <w:rsid w:val="00D63C98"/>
    <w:rsid w:val="00D6636E"/>
    <w:rsid w:val="00D74DB4"/>
    <w:rsid w:val="00D82553"/>
    <w:rsid w:val="00D847BF"/>
    <w:rsid w:val="00D9116D"/>
    <w:rsid w:val="00D97052"/>
    <w:rsid w:val="00DA0525"/>
    <w:rsid w:val="00DA6B1E"/>
    <w:rsid w:val="00DB03C3"/>
    <w:rsid w:val="00DB2522"/>
    <w:rsid w:val="00DB2CEC"/>
    <w:rsid w:val="00DB3FB3"/>
    <w:rsid w:val="00DC2FFB"/>
    <w:rsid w:val="00DC3B22"/>
    <w:rsid w:val="00DC3B8F"/>
    <w:rsid w:val="00DD1F70"/>
    <w:rsid w:val="00DF439D"/>
    <w:rsid w:val="00DF4610"/>
    <w:rsid w:val="00DF65A0"/>
    <w:rsid w:val="00DF6B7F"/>
    <w:rsid w:val="00E006FF"/>
    <w:rsid w:val="00E0332C"/>
    <w:rsid w:val="00E06002"/>
    <w:rsid w:val="00E10C79"/>
    <w:rsid w:val="00E121F5"/>
    <w:rsid w:val="00E179DC"/>
    <w:rsid w:val="00E207BF"/>
    <w:rsid w:val="00E21B51"/>
    <w:rsid w:val="00E24A38"/>
    <w:rsid w:val="00E25D1D"/>
    <w:rsid w:val="00E25F7C"/>
    <w:rsid w:val="00E32FA0"/>
    <w:rsid w:val="00E3436F"/>
    <w:rsid w:val="00E35BCE"/>
    <w:rsid w:val="00E36777"/>
    <w:rsid w:val="00E37F42"/>
    <w:rsid w:val="00E52FAE"/>
    <w:rsid w:val="00E5660B"/>
    <w:rsid w:val="00E5698E"/>
    <w:rsid w:val="00E62450"/>
    <w:rsid w:val="00E65129"/>
    <w:rsid w:val="00E72683"/>
    <w:rsid w:val="00E7684D"/>
    <w:rsid w:val="00E8159B"/>
    <w:rsid w:val="00E83B0A"/>
    <w:rsid w:val="00E9259D"/>
    <w:rsid w:val="00E96571"/>
    <w:rsid w:val="00E96B43"/>
    <w:rsid w:val="00EA310C"/>
    <w:rsid w:val="00EC1B41"/>
    <w:rsid w:val="00EC43AA"/>
    <w:rsid w:val="00ED348A"/>
    <w:rsid w:val="00EE3A16"/>
    <w:rsid w:val="00EE3F65"/>
    <w:rsid w:val="00EE6AEB"/>
    <w:rsid w:val="00EF5D72"/>
    <w:rsid w:val="00EF7A7A"/>
    <w:rsid w:val="00F03F96"/>
    <w:rsid w:val="00F04525"/>
    <w:rsid w:val="00F12C10"/>
    <w:rsid w:val="00F401DA"/>
    <w:rsid w:val="00F433B0"/>
    <w:rsid w:val="00F47D02"/>
    <w:rsid w:val="00F523E9"/>
    <w:rsid w:val="00F5384B"/>
    <w:rsid w:val="00F60461"/>
    <w:rsid w:val="00F61495"/>
    <w:rsid w:val="00F656C1"/>
    <w:rsid w:val="00F8541A"/>
    <w:rsid w:val="00FA572B"/>
    <w:rsid w:val="00FA75AA"/>
    <w:rsid w:val="00FB5FC4"/>
    <w:rsid w:val="00FC061E"/>
    <w:rsid w:val="00FC1E2E"/>
    <w:rsid w:val="00FC6DE9"/>
    <w:rsid w:val="00FD07F9"/>
    <w:rsid w:val="00FF4C3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3FB7E54D"/>
  <w14:defaultImageDpi w14:val="32767"/>
  <w15:chartTrackingRefBased/>
  <w15:docId w15:val="{7C9E9D0E-E04E-934E-AE85-3551BE22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22A7"/>
    <w:rPr>
      <w:color w:val="0563C1" w:themeColor="hyperlink"/>
      <w:u w:val="single"/>
    </w:rPr>
  </w:style>
  <w:style w:type="character" w:styleId="UnresolvedMention">
    <w:name w:val="Unresolved Mention"/>
    <w:basedOn w:val="DefaultParagraphFont"/>
    <w:uiPriority w:val="99"/>
    <w:rsid w:val="001822A7"/>
    <w:rPr>
      <w:color w:val="605E5C"/>
      <w:shd w:val="clear" w:color="auto" w:fill="E1DFDD"/>
    </w:rPr>
  </w:style>
  <w:style w:type="paragraph" w:styleId="Header">
    <w:name w:val="header"/>
    <w:basedOn w:val="Normal"/>
    <w:link w:val="HeaderChar"/>
    <w:uiPriority w:val="99"/>
    <w:unhideWhenUsed/>
    <w:rsid w:val="00203E76"/>
    <w:pPr>
      <w:tabs>
        <w:tab w:val="center" w:pos="4513"/>
        <w:tab w:val="right" w:pos="9026"/>
      </w:tabs>
    </w:pPr>
  </w:style>
  <w:style w:type="character" w:customStyle="1" w:styleId="HeaderChar">
    <w:name w:val="Header Char"/>
    <w:basedOn w:val="DefaultParagraphFont"/>
    <w:link w:val="Header"/>
    <w:uiPriority w:val="99"/>
    <w:rsid w:val="00203E76"/>
  </w:style>
  <w:style w:type="character" w:styleId="PageNumber">
    <w:name w:val="page number"/>
    <w:basedOn w:val="DefaultParagraphFont"/>
    <w:uiPriority w:val="99"/>
    <w:semiHidden/>
    <w:unhideWhenUsed/>
    <w:rsid w:val="00203E76"/>
  </w:style>
  <w:style w:type="character" w:styleId="FollowedHyperlink">
    <w:name w:val="FollowedHyperlink"/>
    <w:basedOn w:val="DefaultParagraphFont"/>
    <w:uiPriority w:val="99"/>
    <w:semiHidden/>
    <w:unhideWhenUsed/>
    <w:rsid w:val="008A5F80"/>
    <w:rPr>
      <w:color w:val="954F72" w:themeColor="followedHyperlink"/>
      <w:u w:val="single"/>
    </w:rPr>
  </w:style>
  <w:style w:type="paragraph" w:styleId="FootnoteText">
    <w:name w:val="footnote text"/>
    <w:basedOn w:val="Normal"/>
    <w:link w:val="FootnoteTextChar"/>
    <w:uiPriority w:val="99"/>
    <w:semiHidden/>
    <w:unhideWhenUsed/>
    <w:rsid w:val="006D2FBB"/>
    <w:rPr>
      <w:sz w:val="20"/>
      <w:szCs w:val="20"/>
    </w:rPr>
  </w:style>
  <w:style w:type="character" w:customStyle="1" w:styleId="FootnoteTextChar">
    <w:name w:val="Footnote Text Char"/>
    <w:basedOn w:val="DefaultParagraphFont"/>
    <w:link w:val="FootnoteText"/>
    <w:uiPriority w:val="99"/>
    <w:semiHidden/>
    <w:rsid w:val="006D2FBB"/>
    <w:rPr>
      <w:sz w:val="20"/>
      <w:szCs w:val="20"/>
    </w:rPr>
  </w:style>
  <w:style w:type="character" w:styleId="FootnoteReference">
    <w:name w:val="footnote reference"/>
    <w:basedOn w:val="DefaultParagraphFont"/>
    <w:uiPriority w:val="99"/>
    <w:semiHidden/>
    <w:unhideWhenUsed/>
    <w:rsid w:val="006D2FBB"/>
    <w:rPr>
      <w:vertAlign w:val="superscript"/>
    </w:rPr>
  </w:style>
  <w:style w:type="paragraph" w:styleId="EndnoteText">
    <w:name w:val="endnote text"/>
    <w:basedOn w:val="Normal"/>
    <w:link w:val="EndnoteTextChar"/>
    <w:uiPriority w:val="99"/>
    <w:semiHidden/>
    <w:unhideWhenUsed/>
    <w:rsid w:val="00901AF3"/>
    <w:rPr>
      <w:sz w:val="20"/>
      <w:szCs w:val="20"/>
    </w:rPr>
  </w:style>
  <w:style w:type="character" w:customStyle="1" w:styleId="EndnoteTextChar">
    <w:name w:val="Endnote Text Char"/>
    <w:basedOn w:val="DefaultParagraphFont"/>
    <w:link w:val="EndnoteText"/>
    <w:uiPriority w:val="99"/>
    <w:semiHidden/>
    <w:rsid w:val="00901AF3"/>
    <w:rPr>
      <w:sz w:val="20"/>
      <w:szCs w:val="20"/>
    </w:rPr>
  </w:style>
  <w:style w:type="character" w:styleId="EndnoteReference">
    <w:name w:val="endnote reference"/>
    <w:basedOn w:val="DefaultParagraphFont"/>
    <w:uiPriority w:val="99"/>
    <w:semiHidden/>
    <w:unhideWhenUsed/>
    <w:rsid w:val="00901AF3"/>
    <w:rPr>
      <w:vertAlign w:val="superscript"/>
    </w:rPr>
  </w:style>
  <w:style w:type="character" w:styleId="CommentReference">
    <w:name w:val="annotation reference"/>
    <w:basedOn w:val="DefaultParagraphFont"/>
    <w:uiPriority w:val="99"/>
    <w:semiHidden/>
    <w:unhideWhenUsed/>
    <w:rsid w:val="00D40E7E"/>
    <w:rPr>
      <w:sz w:val="16"/>
      <w:szCs w:val="16"/>
    </w:rPr>
  </w:style>
  <w:style w:type="paragraph" w:styleId="CommentText">
    <w:name w:val="annotation text"/>
    <w:basedOn w:val="Normal"/>
    <w:link w:val="CommentTextChar"/>
    <w:uiPriority w:val="99"/>
    <w:semiHidden/>
    <w:unhideWhenUsed/>
    <w:rsid w:val="00D40E7E"/>
    <w:rPr>
      <w:sz w:val="20"/>
      <w:szCs w:val="20"/>
    </w:rPr>
  </w:style>
  <w:style w:type="character" w:customStyle="1" w:styleId="CommentTextChar">
    <w:name w:val="Comment Text Char"/>
    <w:basedOn w:val="DefaultParagraphFont"/>
    <w:link w:val="CommentText"/>
    <w:uiPriority w:val="99"/>
    <w:semiHidden/>
    <w:rsid w:val="00D40E7E"/>
    <w:rPr>
      <w:sz w:val="20"/>
      <w:szCs w:val="20"/>
    </w:rPr>
  </w:style>
  <w:style w:type="paragraph" w:styleId="CommentSubject">
    <w:name w:val="annotation subject"/>
    <w:basedOn w:val="CommentText"/>
    <w:next w:val="CommentText"/>
    <w:link w:val="CommentSubjectChar"/>
    <w:uiPriority w:val="99"/>
    <w:semiHidden/>
    <w:unhideWhenUsed/>
    <w:rsid w:val="00D40E7E"/>
    <w:rPr>
      <w:b/>
      <w:bCs/>
    </w:rPr>
  </w:style>
  <w:style w:type="character" w:customStyle="1" w:styleId="CommentSubjectChar">
    <w:name w:val="Comment Subject Char"/>
    <w:basedOn w:val="CommentTextChar"/>
    <w:link w:val="CommentSubject"/>
    <w:uiPriority w:val="99"/>
    <w:semiHidden/>
    <w:rsid w:val="00D40E7E"/>
    <w:rPr>
      <w:b/>
      <w:bCs/>
      <w:sz w:val="20"/>
      <w:szCs w:val="20"/>
    </w:rPr>
  </w:style>
  <w:style w:type="paragraph" w:styleId="BalloonText">
    <w:name w:val="Balloon Text"/>
    <w:basedOn w:val="Normal"/>
    <w:link w:val="BalloonTextChar"/>
    <w:uiPriority w:val="99"/>
    <w:semiHidden/>
    <w:unhideWhenUsed/>
    <w:rsid w:val="00D40E7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0E7E"/>
    <w:rPr>
      <w:rFonts w:ascii="Times New Roman" w:hAnsi="Times New Roman" w:cs="Times New Roman"/>
      <w:sz w:val="18"/>
      <w:szCs w:val="18"/>
    </w:rPr>
  </w:style>
  <w:style w:type="paragraph" w:styleId="Revision">
    <w:name w:val="Revision"/>
    <w:hidden/>
    <w:uiPriority w:val="99"/>
    <w:semiHidden/>
    <w:rsid w:val="004A5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179">
      <w:bodyDiv w:val="1"/>
      <w:marLeft w:val="0"/>
      <w:marRight w:val="0"/>
      <w:marTop w:val="0"/>
      <w:marBottom w:val="0"/>
      <w:divBdr>
        <w:top w:val="none" w:sz="0" w:space="0" w:color="auto"/>
        <w:left w:val="none" w:sz="0" w:space="0" w:color="auto"/>
        <w:bottom w:val="none" w:sz="0" w:space="0" w:color="auto"/>
        <w:right w:val="none" w:sz="0" w:space="0" w:color="auto"/>
      </w:divBdr>
    </w:div>
    <w:div w:id="18941096">
      <w:bodyDiv w:val="1"/>
      <w:marLeft w:val="0"/>
      <w:marRight w:val="0"/>
      <w:marTop w:val="0"/>
      <w:marBottom w:val="0"/>
      <w:divBdr>
        <w:top w:val="none" w:sz="0" w:space="0" w:color="auto"/>
        <w:left w:val="none" w:sz="0" w:space="0" w:color="auto"/>
        <w:bottom w:val="none" w:sz="0" w:space="0" w:color="auto"/>
        <w:right w:val="none" w:sz="0" w:space="0" w:color="auto"/>
      </w:divBdr>
    </w:div>
    <w:div w:id="32661256">
      <w:bodyDiv w:val="1"/>
      <w:marLeft w:val="0"/>
      <w:marRight w:val="0"/>
      <w:marTop w:val="0"/>
      <w:marBottom w:val="0"/>
      <w:divBdr>
        <w:top w:val="none" w:sz="0" w:space="0" w:color="auto"/>
        <w:left w:val="none" w:sz="0" w:space="0" w:color="auto"/>
        <w:bottom w:val="none" w:sz="0" w:space="0" w:color="auto"/>
        <w:right w:val="none" w:sz="0" w:space="0" w:color="auto"/>
      </w:divBdr>
    </w:div>
    <w:div w:id="116340720">
      <w:bodyDiv w:val="1"/>
      <w:marLeft w:val="0"/>
      <w:marRight w:val="0"/>
      <w:marTop w:val="0"/>
      <w:marBottom w:val="0"/>
      <w:divBdr>
        <w:top w:val="none" w:sz="0" w:space="0" w:color="auto"/>
        <w:left w:val="none" w:sz="0" w:space="0" w:color="auto"/>
        <w:bottom w:val="none" w:sz="0" w:space="0" w:color="auto"/>
        <w:right w:val="none" w:sz="0" w:space="0" w:color="auto"/>
      </w:divBdr>
    </w:div>
    <w:div w:id="245118071">
      <w:bodyDiv w:val="1"/>
      <w:marLeft w:val="0"/>
      <w:marRight w:val="0"/>
      <w:marTop w:val="0"/>
      <w:marBottom w:val="0"/>
      <w:divBdr>
        <w:top w:val="none" w:sz="0" w:space="0" w:color="auto"/>
        <w:left w:val="none" w:sz="0" w:space="0" w:color="auto"/>
        <w:bottom w:val="none" w:sz="0" w:space="0" w:color="auto"/>
        <w:right w:val="none" w:sz="0" w:space="0" w:color="auto"/>
      </w:divBdr>
    </w:div>
    <w:div w:id="759258661">
      <w:bodyDiv w:val="1"/>
      <w:marLeft w:val="0"/>
      <w:marRight w:val="0"/>
      <w:marTop w:val="0"/>
      <w:marBottom w:val="0"/>
      <w:divBdr>
        <w:top w:val="none" w:sz="0" w:space="0" w:color="auto"/>
        <w:left w:val="none" w:sz="0" w:space="0" w:color="auto"/>
        <w:bottom w:val="none" w:sz="0" w:space="0" w:color="auto"/>
        <w:right w:val="none" w:sz="0" w:space="0" w:color="auto"/>
      </w:divBdr>
    </w:div>
    <w:div w:id="899824732">
      <w:bodyDiv w:val="1"/>
      <w:marLeft w:val="0"/>
      <w:marRight w:val="0"/>
      <w:marTop w:val="0"/>
      <w:marBottom w:val="0"/>
      <w:divBdr>
        <w:top w:val="none" w:sz="0" w:space="0" w:color="auto"/>
        <w:left w:val="none" w:sz="0" w:space="0" w:color="auto"/>
        <w:bottom w:val="none" w:sz="0" w:space="0" w:color="auto"/>
        <w:right w:val="none" w:sz="0" w:space="0" w:color="auto"/>
      </w:divBdr>
    </w:div>
    <w:div w:id="904879084">
      <w:bodyDiv w:val="1"/>
      <w:marLeft w:val="0"/>
      <w:marRight w:val="0"/>
      <w:marTop w:val="0"/>
      <w:marBottom w:val="0"/>
      <w:divBdr>
        <w:top w:val="none" w:sz="0" w:space="0" w:color="auto"/>
        <w:left w:val="none" w:sz="0" w:space="0" w:color="auto"/>
        <w:bottom w:val="none" w:sz="0" w:space="0" w:color="auto"/>
        <w:right w:val="none" w:sz="0" w:space="0" w:color="auto"/>
      </w:divBdr>
    </w:div>
    <w:div w:id="991830404">
      <w:bodyDiv w:val="1"/>
      <w:marLeft w:val="0"/>
      <w:marRight w:val="0"/>
      <w:marTop w:val="0"/>
      <w:marBottom w:val="0"/>
      <w:divBdr>
        <w:top w:val="none" w:sz="0" w:space="0" w:color="auto"/>
        <w:left w:val="none" w:sz="0" w:space="0" w:color="auto"/>
        <w:bottom w:val="none" w:sz="0" w:space="0" w:color="auto"/>
        <w:right w:val="none" w:sz="0" w:space="0" w:color="auto"/>
      </w:divBdr>
    </w:div>
    <w:div w:id="1014457718">
      <w:bodyDiv w:val="1"/>
      <w:marLeft w:val="0"/>
      <w:marRight w:val="0"/>
      <w:marTop w:val="0"/>
      <w:marBottom w:val="0"/>
      <w:divBdr>
        <w:top w:val="none" w:sz="0" w:space="0" w:color="auto"/>
        <w:left w:val="none" w:sz="0" w:space="0" w:color="auto"/>
        <w:bottom w:val="none" w:sz="0" w:space="0" w:color="auto"/>
        <w:right w:val="none" w:sz="0" w:space="0" w:color="auto"/>
      </w:divBdr>
    </w:div>
    <w:div w:id="1032918302">
      <w:bodyDiv w:val="1"/>
      <w:marLeft w:val="0"/>
      <w:marRight w:val="0"/>
      <w:marTop w:val="0"/>
      <w:marBottom w:val="0"/>
      <w:divBdr>
        <w:top w:val="none" w:sz="0" w:space="0" w:color="auto"/>
        <w:left w:val="none" w:sz="0" w:space="0" w:color="auto"/>
        <w:bottom w:val="none" w:sz="0" w:space="0" w:color="auto"/>
        <w:right w:val="none" w:sz="0" w:space="0" w:color="auto"/>
      </w:divBdr>
      <w:divsChild>
        <w:div w:id="273824373">
          <w:marLeft w:val="0"/>
          <w:marRight w:val="0"/>
          <w:marTop w:val="0"/>
          <w:marBottom w:val="0"/>
          <w:divBdr>
            <w:top w:val="none" w:sz="0" w:space="0" w:color="auto"/>
            <w:left w:val="none" w:sz="0" w:space="0" w:color="auto"/>
            <w:bottom w:val="none" w:sz="0" w:space="0" w:color="auto"/>
            <w:right w:val="none" w:sz="0" w:space="0" w:color="auto"/>
          </w:divBdr>
        </w:div>
        <w:div w:id="600527645">
          <w:marLeft w:val="0"/>
          <w:marRight w:val="0"/>
          <w:marTop w:val="0"/>
          <w:marBottom w:val="0"/>
          <w:divBdr>
            <w:top w:val="none" w:sz="0" w:space="0" w:color="auto"/>
            <w:left w:val="none" w:sz="0" w:space="0" w:color="auto"/>
            <w:bottom w:val="none" w:sz="0" w:space="0" w:color="auto"/>
            <w:right w:val="none" w:sz="0" w:space="0" w:color="auto"/>
          </w:divBdr>
        </w:div>
        <w:div w:id="1453591701">
          <w:marLeft w:val="0"/>
          <w:marRight w:val="0"/>
          <w:marTop w:val="0"/>
          <w:marBottom w:val="0"/>
          <w:divBdr>
            <w:top w:val="none" w:sz="0" w:space="0" w:color="auto"/>
            <w:left w:val="none" w:sz="0" w:space="0" w:color="auto"/>
            <w:bottom w:val="none" w:sz="0" w:space="0" w:color="auto"/>
            <w:right w:val="none" w:sz="0" w:space="0" w:color="auto"/>
          </w:divBdr>
          <w:divsChild>
            <w:div w:id="448936777">
              <w:marLeft w:val="0"/>
              <w:marRight w:val="0"/>
              <w:marTop w:val="0"/>
              <w:marBottom w:val="0"/>
              <w:divBdr>
                <w:top w:val="none" w:sz="0" w:space="0" w:color="auto"/>
                <w:left w:val="none" w:sz="0" w:space="0" w:color="auto"/>
                <w:bottom w:val="none" w:sz="0" w:space="0" w:color="auto"/>
                <w:right w:val="none" w:sz="0" w:space="0" w:color="auto"/>
              </w:divBdr>
            </w:div>
            <w:div w:id="179319711">
              <w:marLeft w:val="0"/>
              <w:marRight w:val="0"/>
              <w:marTop w:val="0"/>
              <w:marBottom w:val="0"/>
              <w:divBdr>
                <w:top w:val="none" w:sz="0" w:space="0" w:color="auto"/>
                <w:left w:val="none" w:sz="0" w:space="0" w:color="auto"/>
                <w:bottom w:val="none" w:sz="0" w:space="0" w:color="auto"/>
                <w:right w:val="none" w:sz="0" w:space="0" w:color="auto"/>
              </w:divBdr>
            </w:div>
            <w:div w:id="1904371447">
              <w:marLeft w:val="0"/>
              <w:marRight w:val="0"/>
              <w:marTop w:val="0"/>
              <w:marBottom w:val="0"/>
              <w:divBdr>
                <w:top w:val="none" w:sz="0" w:space="0" w:color="auto"/>
                <w:left w:val="none" w:sz="0" w:space="0" w:color="auto"/>
                <w:bottom w:val="none" w:sz="0" w:space="0" w:color="auto"/>
                <w:right w:val="none" w:sz="0" w:space="0" w:color="auto"/>
              </w:divBdr>
            </w:div>
            <w:div w:id="824929441">
              <w:marLeft w:val="0"/>
              <w:marRight w:val="0"/>
              <w:marTop w:val="0"/>
              <w:marBottom w:val="0"/>
              <w:divBdr>
                <w:top w:val="none" w:sz="0" w:space="0" w:color="auto"/>
                <w:left w:val="none" w:sz="0" w:space="0" w:color="auto"/>
                <w:bottom w:val="none" w:sz="0" w:space="0" w:color="auto"/>
                <w:right w:val="none" w:sz="0" w:space="0" w:color="auto"/>
              </w:divBdr>
            </w:div>
            <w:div w:id="158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28977">
      <w:bodyDiv w:val="1"/>
      <w:marLeft w:val="0"/>
      <w:marRight w:val="0"/>
      <w:marTop w:val="0"/>
      <w:marBottom w:val="0"/>
      <w:divBdr>
        <w:top w:val="none" w:sz="0" w:space="0" w:color="auto"/>
        <w:left w:val="none" w:sz="0" w:space="0" w:color="auto"/>
        <w:bottom w:val="none" w:sz="0" w:space="0" w:color="auto"/>
        <w:right w:val="none" w:sz="0" w:space="0" w:color="auto"/>
      </w:divBdr>
      <w:divsChild>
        <w:div w:id="1674914838">
          <w:marLeft w:val="0"/>
          <w:marRight w:val="0"/>
          <w:marTop w:val="0"/>
          <w:marBottom w:val="0"/>
          <w:divBdr>
            <w:top w:val="none" w:sz="0" w:space="0" w:color="auto"/>
            <w:left w:val="none" w:sz="0" w:space="0" w:color="auto"/>
            <w:bottom w:val="none" w:sz="0" w:space="0" w:color="auto"/>
            <w:right w:val="none" w:sz="0" w:space="0" w:color="auto"/>
          </w:divBdr>
        </w:div>
        <w:div w:id="1498303497">
          <w:marLeft w:val="0"/>
          <w:marRight w:val="0"/>
          <w:marTop w:val="0"/>
          <w:marBottom w:val="0"/>
          <w:divBdr>
            <w:top w:val="none" w:sz="0" w:space="0" w:color="auto"/>
            <w:left w:val="none" w:sz="0" w:space="0" w:color="auto"/>
            <w:bottom w:val="none" w:sz="0" w:space="0" w:color="auto"/>
            <w:right w:val="none" w:sz="0" w:space="0" w:color="auto"/>
          </w:divBdr>
        </w:div>
        <w:div w:id="621813036">
          <w:marLeft w:val="0"/>
          <w:marRight w:val="0"/>
          <w:marTop w:val="0"/>
          <w:marBottom w:val="0"/>
          <w:divBdr>
            <w:top w:val="none" w:sz="0" w:space="0" w:color="auto"/>
            <w:left w:val="none" w:sz="0" w:space="0" w:color="auto"/>
            <w:bottom w:val="none" w:sz="0" w:space="0" w:color="auto"/>
            <w:right w:val="none" w:sz="0" w:space="0" w:color="auto"/>
          </w:divBdr>
          <w:divsChild>
            <w:div w:id="309479598">
              <w:marLeft w:val="0"/>
              <w:marRight w:val="0"/>
              <w:marTop w:val="0"/>
              <w:marBottom w:val="0"/>
              <w:divBdr>
                <w:top w:val="none" w:sz="0" w:space="0" w:color="auto"/>
                <w:left w:val="none" w:sz="0" w:space="0" w:color="auto"/>
                <w:bottom w:val="none" w:sz="0" w:space="0" w:color="auto"/>
                <w:right w:val="none" w:sz="0" w:space="0" w:color="auto"/>
              </w:divBdr>
            </w:div>
            <w:div w:id="1628583158">
              <w:marLeft w:val="0"/>
              <w:marRight w:val="0"/>
              <w:marTop w:val="0"/>
              <w:marBottom w:val="0"/>
              <w:divBdr>
                <w:top w:val="none" w:sz="0" w:space="0" w:color="auto"/>
                <w:left w:val="none" w:sz="0" w:space="0" w:color="auto"/>
                <w:bottom w:val="none" w:sz="0" w:space="0" w:color="auto"/>
                <w:right w:val="none" w:sz="0" w:space="0" w:color="auto"/>
              </w:divBdr>
            </w:div>
            <w:div w:id="1471635217">
              <w:marLeft w:val="0"/>
              <w:marRight w:val="0"/>
              <w:marTop w:val="0"/>
              <w:marBottom w:val="0"/>
              <w:divBdr>
                <w:top w:val="none" w:sz="0" w:space="0" w:color="auto"/>
                <w:left w:val="none" w:sz="0" w:space="0" w:color="auto"/>
                <w:bottom w:val="none" w:sz="0" w:space="0" w:color="auto"/>
                <w:right w:val="none" w:sz="0" w:space="0" w:color="auto"/>
              </w:divBdr>
            </w:div>
            <w:div w:id="1183128679">
              <w:marLeft w:val="0"/>
              <w:marRight w:val="0"/>
              <w:marTop w:val="0"/>
              <w:marBottom w:val="0"/>
              <w:divBdr>
                <w:top w:val="none" w:sz="0" w:space="0" w:color="auto"/>
                <w:left w:val="none" w:sz="0" w:space="0" w:color="auto"/>
                <w:bottom w:val="none" w:sz="0" w:space="0" w:color="auto"/>
                <w:right w:val="none" w:sz="0" w:space="0" w:color="auto"/>
              </w:divBdr>
            </w:div>
            <w:div w:id="9540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04907">
      <w:bodyDiv w:val="1"/>
      <w:marLeft w:val="0"/>
      <w:marRight w:val="0"/>
      <w:marTop w:val="0"/>
      <w:marBottom w:val="0"/>
      <w:divBdr>
        <w:top w:val="none" w:sz="0" w:space="0" w:color="auto"/>
        <w:left w:val="none" w:sz="0" w:space="0" w:color="auto"/>
        <w:bottom w:val="none" w:sz="0" w:space="0" w:color="auto"/>
        <w:right w:val="none" w:sz="0" w:space="0" w:color="auto"/>
      </w:divBdr>
    </w:div>
    <w:div w:id="1487237763">
      <w:bodyDiv w:val="1"/>
      <w:marLeft w:val="0"/>
      <w:marRight w:val="0"/>
      <w:marTop w:val="0"/>
      <w:marBottom w:val="0"/>
      <w:divBdr>
        <w:top w:val="none" w:sz="0" w:space="0" w:color="auto"/>
        <w:left w:val="none" w:sz="0" w:space="0" w:color="auto"/>
        <w:bottom w:val="none" w:sz="0" w:space="0" w:color="auto"/>
        <w:right w:val="none" w:sz="0" w:space="0" w:color="auto"/>
      </w:divBdr>
    </w:div>
    <w:div w:id="1513716288">
      <w:bodyDiv w:val="1"/>
      <w:marLeft w:val="0"/>
      <w:marRight w:val="0"/>
      <w:marTop w:val="0"/>
      <w:marBottom w:val="0"/>
      <w:divBdr>
        <w:top w:val="none" w:sz="0" w:space="0" w:color="auto"/>
        <w:left w:val="none" w:sz="0" w:space="0" w:color="auto"/>
        <w:bottom w:val="none" w:sz="0" w:space="0" w:color="auto"/>
        <w:right w:val="none" w:sz="0" w:space="0" w:color="auto"/>
      </w:divBdr>
    </w:div>
    <w:div w:id="1587613332">
      <w:bodyDiv w:val="1"/>
      <w:marLeft w:val="0"/>
      <w:marRight w:val="0"/>
      <w:marTop w:val="0"/>
      <w:marBottom w:val="0"/>
      <w:divBdr>
        <w:top w:val="none" w:sz="0" w:space="0" w:color="auto"/>
        <w:left w:val="none" w:sz="0" w:space="0" w:color="auto"/>
        <w:bottom w:val="none" w:sz="0" w:space="0" w:color="auto"/>
        <w:right w:val="none" w:sz="0" w:space="0" w:color="auto"/>
      </w:divBdr>
    </w:div>
    <w:div w:id="202724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rin.g.johnson-williams@durham.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engagedmusictheory.com" TargetMode="External"/><Relationship Id="rId3" Type="http://schemas.openxmlformats.org/officeDocument/2006/relationships/hyperlink" Target="https://www.newyorker.com/magazine/2020/09/21/black-scholars-confront-white-supremacy-in-classical-music" TargetMode="External"/><Relationship Id="rId7" Type="http://schemas.openxmlformats.org/officeDocument/2006/relationships/hyperlink" Target="https://engagedmusictheory.com" TargetMode="External"/><Relationship Id="rId12" Type="http://schemas.openxmlformats.org/officeDocument/2006/relationships/hyperlink" Target="https://musichistoryredo.wordpress.com/policies-and-project-team/" TargetMode="External"/><Relationship Id="rId2" Type="http://schemas.openxmlformats.org/officeDocument/2006/relationships/hyperlink" Target="https://www.classicfm.com/discover-music/black-composers-who-made-classical-music-history/" TargetMode="External"/><Relationship Id="rId1" Type="http://schemas.openxmlformats.org/officeDocument/2006/relationships/hyperlink" Target="https://www.classicfm.com/music-news/show-paused-classical-world-silent-george-floyd/" TargetMode="External"/><Relationship Id="rId6" Type="http://schemas.openxmlformats.org/officeDocument/2006/relationships/hyperlink" Target="https://engagedmusictheory.com" TargetMode="External"/><Relationship Id="rId11" Type="http://schemas.openxmlformats.org/officeDocument/2006/relationships/hyperlink" Target="https://musichistoryredo.wordpress.com" TargetMode="External"/><Relationship Id="rId5" Type="http://schemas.openxmlformats.org/officeDocument/2006/relationships/hyperlink" Target="https://engagedmusictheory.com" TargetMode="External"/><Relationship Id="rId10" Type="http://schemas.openxmlformats.org/officeDocument/2006/relationships/hyperlink" Target="https://inclusiveearlymusic.org" TargetMode="External"/><Relationship Id="rId4" Type="http://schemas.openxmlformats.org/officeDocument/2006/relationships/hyperlink" Target="https://composersofcolor.hcommons.org" TargetMode="External"/><Relationship Id="rId9" Type="http://schemas.openxmlformats.org/officeDocument/2006/relationships/hyperlink" Target="https://inclusiveearlymus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1184E-A367-2F42-9CC1-3DB50914B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1947</Words>
  <Characters>11100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JOHNSON-WILLIAMS, ERIN G.</dc:creator>
  <cp:keywords/>
  <dc:description/>
  <cp:lastModifiedBy>JOHNSON-WILLIAMS, ERIN G.</cp:lastModifiedBy>
  <cp:revision>40</cp:revision>
  <dcterms:created xsi:type="dcterms:W3CDTF">2021-09-23T12:19:00Z</dcterms:created>
  <dcterms:modified xsi:type="dcterms:W3CDTF">2021-11-29T15:12:00Z</dcterms:modified>
</cp:coreProperties>
</file>