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43DEB" w14:textId="47099220" w:rsidR="001F15A7" w:rsidRPr="00024FD1" w:rsidRDefault="00156431" w:rsidP="00C45A4C">
      <w:pPr>
        <w:pStyle w:val="BATitle"/>
        <w:rPr>
          <w:rFonts w:cs="Arial"/>
          <w:b/>
          <w:szCs w:val="24"/>
          <w:lang w:val="en-GB"/>
        </w:rPr>
      </w:pPr>
      <w:bookmarkStart w:id="0" w:name="_Hlk101711157"/>
      <w:bookmarkStart w:id="1" w:name="_Hlk56351967"/>
      <w:r>
        <w:rPr>
          <w:rFonts w:cs="Arial"/>
          <w:bCs/>
          <w:szCs w:val="24"/>
          <w:lang w:val="en-GB"/>
        </w:rPr>
        <w:t>Rapid fabrication and screening of tailored functional 3D biomaterials</w:t>
      </w:r>
      <w:r w:rsidR="00304C9A">
        <w:rPr>
          <w:rFonts w:cs="Arial"/>
          <w:bCs/>
          <w:szCs w:val="24"/>
          <w:lang w:val="en-GB"/>
        </w:rPr>
        <w:t>; validation in bone tissue repair</w:t>
      </w:r>
      <w:r>
        <w:rPr>
          <w:rFonts w:cs="Arial"/>
          <w:bCs/>
          <w:szCs w:val="24"/>
          <w:lang w:val="en-GB"/>
        </w:rPr>
        <w:t xml:space="preserve"> – part </w:t>
      </w:r>
      <w:r w:rsidR="00937A22">
        <w:rPr>
          <w:rFonts w:cs="Arial"/>
          <w:bCs/>
          <w:szCs w:val="24"/>
          <w:lang w:val="en-GB"/>
        </w:rPr>
        <w:t>II</w:t>
      </w:r>
      <w:bookmarkEnd w:id="0"/>
    </w:p>
    <w:p w14:paraId="4BC44161" w14:textId="5933B08A" w:rsidR="00C45A4C" w:rsidRPr="00024FD1" w:rsidRDefault="00C45A4C" w:rsidP="00C45A4C">
      <w:pPr>
        <w:pStyle w:val="BBAuthorName"/>
        <w:rPr>
          <w:lang w:val="en-GB"/>
        </w:rPr>
      </w:pPr>
      <w:bookmarkStart w:id="2" w:name="_Hlk57466776"/>
      <w:bookmarkEnd w:id="1"/>
      <w:r w:rsidRPr="00024FD1">
        <w:rPr>
          <w:lang w:val="en-GB"/>
        </w:rPr>
        <w:t>Antonio Conde-González,</w:t>
      </w:r>
      <w:r w:rsidR="00560967" w:rsidRPr="00024FD1">
        <w:rPr>
          <w:lang w:val="en-GB"/>
        </w:rPr>
        <w:t>‡</w:t>
      </w:r>
      <w:r w:rsidRPr="00024FD1">
        <w:rPr>
          <w:lang w:val="en-GB"/>
        </w:rPr>
        <w:t xml:space="preserve"> Michael Glinka,</w:t>
      </w:r>
      <w:r w:rsidR="00560967" w:rsidRPr="00024FD1">
        <w:rPr>
          <w:lang w:val="en-GB"/>
        </w:rPr>
        <w:t>‡</w:t>
      </w:r>
      <w:r w:rsidRPr="00024FD1">
        <w:rPr>
          <w:vertAlign w:val="superscript"/>
          <w:lang w:val="en-GB"/>
        </w:rPr>
        <w:t xml:space="preserve"> </w:t>
      </w:r>
      <w:r w:rsidRPr="00024FD1">
        <w:rPr>
          <w:lang w:val="en-GB"/>
        </w:rPr>
        <w:t>Deepanjalee Dutta,</w:t>
      </w:r>
      <w:r w:rsidR="00560967" w:rsidRPr="00024FD1">
        <w:rPr>
          <w:lang w:val="en-GB"/>
        </w:rPr>
        <w:t>‡</w:t>
      </w:r>
      <w:r w:rsidR="00416524">
        <w:rPr>
          <w:lang w:val="en-GB"/>
        </w:rPr>
        <w:t xml:space="preserve"> </w:t>
      </w:r>
      <w:r w:rsidRPr="00024FD1">
        <w:rPr>
          <w:lang w:val="en-GB"/>
        </w:rPr>
        <w:t>Robert Wallace, Anthony Callanan, Richard O.C. Oreffo,* and Mark Bradley*</w:t>
      </w:r>
    </w:p>
    <w:bookmarkEnd w:id="2"/>
    <w:p w14:paraId="51641FEC" w14:textId="77777777" w:rsidR="00134EBA" w:rsidRPr="00024FD1" w:rsidRDefault="00134EBA" w:rsidP="00F00A81">
      <w:pPr>
        <w:spacing w:line="240" w:lineRule="auto"/>
        <w:jc w:val="both"/>
        <w:rPr>
          <w:rFonts w:cs="Arial"/>
          <w:szCs w:val="24"/>
        </w:rPr>
      </w:pPr>
    </w:p>
    <w:p w14:paraId="1610F316" w14:textId="5C65B985" w:rsidR="00C45A4C" w:rsidRPr="00024FD1" w:rsidRDefault="00C45A4C" w:rsidP="00F00A81">
      <w:pPr>
        <w:pStyle w:val="BCAuthorAddress"/>
        <w:jc w:val="both"/>
        <w:rPr>
          <w:lang w:val="en-GB"/>
        </w:rPr>
      </w:pPr>
      <w:proofErr w:type="spellStart"/>
      <w:r w:rsidRPr="00024FD1">
        <w:rPr>
          <w:lang w:val="en-GB"/>
        </w:rPr>
        <w:t>Dr.</w:t>
      </w:r>
      <w:proofErr w:type="spellEnd"/>
      <w:r w:rsidRPr="00024FD1">
        <w:rPr>
          <w:lang w:val="en-GB"/>
        </w:rPr>
        <w:t xml:space="preserve"> A. Conde-González, </w:t>
      </w:r>
      <w:proofErr w:type="spellStart"/>
      <w:r w:rsidRPr="00024FD1">
        <w:rPr>
          <w:lang w:val="en-GB"/>
        </w:rPr>
        <w:t>Dr.</w:t>
      </w:r>
      <w:proofErr w:type="spellEnd"/>
      <w:r w:rsidRPr="00024FD1">
        <w:rPr>
          <w:lang w:val="en-GB"/>
        </w:rPr>
        <w:t xml:space="preserve"> D. Dutta, Prof. M. Bradley</w:t>
      </w:r>
      <w:r w:rsidR="00B20727" w:rsidRPr="00024FD1">
        <w:rPr>
          <w:lang w:val="en-GB"/>
        </w:rPr>
        <w:t xml:space="preserve">. </w:t>
      </w:r>
      <w:proofErr w:type="spellStart"/>
      <w:r w:rsidRPr="00024FD1">
        <w:rPr>
          <w:lang w:val="en-GB"/>
        </w:rPr>
        <w:t>EaStCHEM</w:t>
      </w:r>
      <w:proofErr w:type="spellEnd"/>
      <w:r w:rsidRPr="00024FD1">
        <w:rPr>
          <w:lang w:val="en-GB"/>
        </w:rPr>
        <w:t xml:space="preserve"> School of Chemistry, University of Edinburgh, Edinburgh EH9 3FJ, UK</w:t>
      </w:r>
      <w:r w:rsidR="00B20727" w:rsidRPr="00024FD1">
        <w:rPr>
          <w:lang w:val="en-GB"/>
        </w:rPr>
        <w:t xml:space="preserve">. </w:t>
      </w:r>
      <w:r w:rsidRPr="00024FD1">
        <w:rPr>
          <w:lang w:val="en-GB"/>
        </w:rPr>
        <w:t>Email: Mark.Bradley@ed.ac.uk</w:t>
      </w:r>
    </w:p>
    <w:p w14:paraId="0CDAAF9E" w14:textId="5CCE4606" w:rsidR="00C45A4C" w:rsidRPr="00024FD1" w:rsidRDefault="00C45A4C" w:rsidP="00F00A81">
      <w:pPr>
        <w:pStyle w:val="BCAuthorAddress"/>
        <w:jc w:val="both"/>
        <w:rPr>
          <w:lang w:val="en-GB"/>
        </w:rPr>
      </w:pPr>
      <w:proofErr w:type="spellStart"/>
      <w:r w:rsidRPr="00024FD1">
        <w:rPr>
          <w:lang w:val="en-GB"/>
        </w:rPr>
        <w:t>Dr.</w:t>
      </w:r>
      <w:proofErr w:type="spellEnd"/>
      <w:r w:rsidRPr="00024FD1">
        <w:rPr>
          <w:lang w:val="en-GB"/>
        </w:rPr>
        <w:t xml:space="preserve"> M. Glinka, Prof. R. O. C. Oreffo</w:t>
      </w:r>
      <w:r w:rsidR="00B20727" w:rsidRPr="00024FD1">
        <w:rPr>
          <w:lang w:val="en-GB"/>
        </w:rPr>
        <w:t xml:space="preserve">. </w:t>
      </w:r>
      <w:r w:rsidRPr="00024FD1">
        <w:rPr>
          <w:lang w:val="en-GB"/>
        </w:rPr>
        <w:t>Bone and Joint Research Group, Centre for Human Development, Stem Cells and Regeneration, Faculty of Medicine, University of Southampton, Southampton SO16 6YD, UK. Email: Richard.Oreffo@soton.ac.uk</w:t>
      </w:r>
    </w:p>
    <w:p w14:paraId="5443FDCE" w14:textId="634215EF" w:rsidR="00C45A4C" w:rsidRPr="00024FD1" w:rsidRDefault="00C45A4C" w:rsidP="00F00A81">
      <w:pPr>
        <w:pStyle w:val="BCAuthorAddress"/>
        <w:jc w:val="both"/>
        <w:rPr>
          <w:lang w:val="en-GB"/>
        </w:rPr>
      </w:pPr>
      <w:proofErr w:type="spellStart"/>
      <w:r w:rsidRPr="00024FD1">
        <w:rPr>
          <w:lang w:val="en-GB"/>
        </w:rPr>
        <w:t>Dr.</w:t>
      </w:r>
      <w:proofErr w:type="spellEnd"/>
      <w:r w:rsidRPr="00024FD1">
        <w:rPr>
          <w:lang w:val="en-GB"/>
        </w:rPr>
        <w:t xml:space="preserve"> R. Wallace</w:t>
      </w:r>
      <w:r w:rsidR="00B20727" w:rsidRPr="00024FD1">
        <w:rPr>
          <w:lang w:val="en-GB"/>
        </w:rPr>
        <w:t xml:space="preserve">. </w:t>
      </w:r>
      <w:r w:rsidRPr="00024FD1">
        <w:rPr>
          <w:lang w:val="en-GB"/>
        </w:rPr>
        <w:t>Orthopaedics and Trauma, University of Edinburgh, Edinburgh EH16 4SB, UK</w:t>
      </w:r>
      <w:r w:rsidR="00B20727" w:rsidRPr="00024FD1">
        <w:rPr>
          <w:lang w:val="en-GB"/>
        </w:rPr>
        <w:t>.</w:t>
      </w:r>
    </w:p>
    <w:p w14:paraId="0A283AF3" w14:textId="34B1F252" w:rsidR="00C45A4C" w:rsidRPr="00024FD1" w:rsidRDefault="00C45A4C" w:rsidP="00F00A81">
      <w:pPr>
        <w:pStyle w:val="BCAuthorAddress"/>
        <w:jc w:val="both"/>
        <w:rPr>
          <w:lang w:val="en-GB"/>
        </w:rPr>
      </w:pPr>
      <w:proofErr w:type="spellStart"/>
      <w:r w:rsidRPr="00024FD1">
        <w:rPr>
          <w:lang w:val="en-GB"/>
        </w:rPr>
        <w:t>Dr.</w:t>
      </w:r>
      <w:proofErr w:type="spellEnd"/>
      <w:r w:rsidRPr="00024FD1">
        <w:rPr>
          <w:lang w:val="en-GB"/>
        </w:rPr>
        <w:t xml:space="preserve"> A. Callanan</w:t>
      </w:r>
      <w:r w:rsidR="00B20727" w:rsidRPr="00024FD1">
        <w:rPr>
          <w:lang w:val="en-GB"/>
        </w:rPr>
        <w:t xml:space="preserve">. </w:t>
      </w:r>
      <w:r w:rsidRPr="00024FD1">
        <w:rPr>
          <w:lang w:val="en-GB"/>
        </w:rPr>
        <w:t>School of Engineering, Institute for Bioengineering, University of Edinburgh, Edinburgh EH9 3DW, UK</w:t>
      </w:r>
      <w:r w:rsidR="00B20727" w:rsidRPr="00024FD1">
        <w:rPr>
          <w:lang w:val="en-GB"/>
        </w:rPr>
        <w:t>.</w:t>
      </w:r>
    </w:p>
    <w:p w14:paraId="23C4FD78" w14:textId="77777777" w:rsidR="00560967" w:rsidRPr="00024FD1" w:rsidRDefault="00560967" w:rsidP="00C45A4C">
      <w:pPr>
        <w:pStyle w:val="BCAuthorAddress"/>
        <w:jc w:val="left"/>
        <w:rPr>
          <w:lang w:val="en-GB"/>
        </w:rPr>
      </w:pPr>
      <w:r w:rsidRPr="00024FD1">
        <w:rPr>
          <w:lang w:val="en-GB"/>
        </w:rPr>
        <w:t xml:space="preserve">‡These authors contributed equally </w:t>
      </w:r>
    </w:p>
    <w:p w14:paraId="2A0C2A8E" w14:textId="082F9071" w:rsidR="00C45A4C" w:rsidRPr="00024FD1" w:rsidRDefault="00C45A4C" w:rsidP="00C45A4C">
      <w:pPr>
        <w:pStyle w:val="BCAuthorAddress"/>
        <w:jc w:val="left"/>
        <w:rPr>
          <w:lang w:val="en-GB"/>
        </w:rPr>
      </w:pPr>
      <w:r w:rsidRPr="00024FD1">
        <w:rPr>
          <w:lang w:val="en-GB"/>
        </w:rPr>
        <w:t>*Corresponding authors</w:t>
      </w:r>
    </w:p>
    <w:p w14:paraId="53278202" w14:textId="60CA5EEA" w:rsidR="001F15A7" w:rsidRPr="00024FD1" w:rsidRDefault="001F15A7" w:rsidP="00892BA9">
      <w:pPr>
        <w:spacing w:after="0" w:line="240" w:lineRule="auto"/>
        <w:jc w:val="both"/>
        <w:rPr>
          <w:rFonts w:cs="Arial"/>
          <w:szCs w:val="24"/>
        </w:rPr>
      </w:pPr>
    </w:p>
    <w:p w14:paraId="091B52D3" w14:textId="77777777" w:rsidR="00B20727" w:rsidRPr="00024FD1" w:rsidRDefault="00B20727" w:rsidP="00B20727">
      <w:pPr>
        <w:spacing w:line="480" w:lineRule="auto"/>
        <w:jc w:val="both"/>
        <w:rPr>
          <w:rFonts w:cs="Times New Roman"/>
          <w:szCs w:val="20"/>
        </w:rPr>
      </w:pPr>
    </w:p>
    <w:p w14:paraId="3EF4BC7E" w14:textId="4A82611E" w:rsidR="00B20727" w:rsidRPr="00024FD1" w:rsidRDefault="00BA4A40" w:rsidP="00B20727">
      <w:pPr>
        <w:pStyle w:val="BCAuthorAddress"/>
        <w:jc w:val="both"/>
        <w:rPr>
          <w:b/>
          <w:bCs/>
          <w:lang w:val="en-GB"/>
        </w:rPr>
      </w:pPr>
      <w:r>
        <w:rPr>
          <w:b/>
          <w:bCs/>
          <w:lang w:val="en-GB"/>
        </w:rPr>
        <w:lastRenderedPageBreak/>
        <w:t>ABSTRACT</w:t>
      </w:r>
    </w:p>
    <w:p w14:paraId="4DEFF2B5" w14:textId="13B014E6" w:rsidR="00B20727" w:rsidRPr="00024FD1" w:rsidRDefault="00B20727" w:rsidP="00B20727">
      <w:pPr>
        <w:pStyle w:val="BCAuthorAddress"/>
        <w:jc w:val="both"/>
        <w:rPr>
          <w:lang w:val="en-GB"/>
        </w:rPr>
      </w:pPr>
      <w:bookmarkStart w:id="3" w:name="_Hlk42337187"/>
      <w:r w:rsidRPr="00024FD1">
        <w:rPr>
          <w:lang w:val="en-GB"/>
        </w:rPr>
        <w:t xml:space="preserve">Regenerative medicine strategies place increasingly sophisticated demands on 3D biomaterials to promote tissue formation at sites where tissue would otherwise not form. </w:t>
      </w:r>
      <w:r w:rsidR="000A2C43">
        <w:rPr>
          <w:lang w:val="en-GB"/>
        </w:rPr>
        <w:t>Ideally</w:t>
      </w:r>
      <w:r w:rsidR="00156431">
        <w:rPr>
          <w:lang w:val="en-GB"/>
        </w:rPr>
        <w:t xml:space="preserve">, the </w:t>
      </w:r>
      <w:r w:rsidR="000A2C43">
        <w:rPr>
          <w:lang w:val="en-GB"/>
        </w:rPr>
        <w:t>discovery/</w:t>
      </w:r>
      <w:r w:rsidR="00156431">
        <w:rPr>
          <w:lang w:val="en-GB"/>
        </w:rPr>
        <w:t>fabrication of the 3D scaffolds needs</w:t>
      </w:r>
      <w:r w:rsidR="00CA6E8A">
        <w:rPr>
          <w:lang w:val="en-GB"/>
        </w:rPr>
        <w:t xml:space="preserve"> </w:t>
      </w:r>
      <w:r w:rsidR="00156431">
        <w:rPr>
          <w:lang w:val="en-GB"/>
        </w:rPr>
        <w:t>to be high-throughput and uniform to ensure quick and in-depth analysis in order to pinpoint appropriate chemical and mechanical properties of a biomaterial.</w:t>
      </w:r>
      <w:r w:rsidR="00416524">
        <w:rPr>
          <w:lang w:val="en-GB"/>
        </w:rPr>
        <w:t xml:space="preserve"> </w:t>
      </w:r>
      <w:r w:rsidRPr="00024FD1">
        <w:rPr>
          <w:lang w:val="en-GB"/>
        </w:rPr>
        <w:t>Herein we present a versatile technique to screen</w:t>
      </w:r>
      <w:r w:rsidR="000A2C43">
        <w:rPr>
          <w:lang w:val="en-GB"/>
        </w:rPr>
        <w:t xml:space="preserve"> new</w:t>
      </w:r>
      <w:r w:rsidRPr="00024FD1">
        <w:rPr>
          <w:lang w:val="en-GB"/>
        </w:rPr>
        <w:t xml:space="preserve"> potential biocompatible acrylate-based 3D scaffolds with the ultimate aim of application in tissue repair.</w:t>
      </w:r>
      <w:r w:rsidR="000A2C43">
        <w:rPr>
          <w:lang w:val="en-GB"/>
        </w:rPr>
        <w:t xml:space="preserve"> As part of this process, w</w:t>
      </w:r>
      <w:r w:rsidRPr="00024FD1">
        <w:rPr>
          <w:lang w:val="en-GB"/>
        </w:rPr>
        <w:t xml:space="preserve">e identified an acrylate-based 3D porous scaffold that promoted </w:t>
      </w:r>
      <w:r w:rsidR="00156431">
        <w:rPr>
          <w:lang w:val="en-GB"/>
        </w:rPr>
        <w:t>cell proliferation</w:t>
      </w:r>
      <w:r w:rsidR="00156431" w:rsidRPr="00024FD1">
        <w:rPr>
          <w:lang w:val="en-GB"/>
        </w:rPr>
        <w:t xml:space="preserve"> </w:t>
      </w:r>
      <w:r w:rsidRPr="00024FD1">
        <w:rPr>
          <w:lang w:val="en-GB"/>
        </w:rPr>
        <w:t xml:space="preserve">followed by accelerated tissue formation, pre-requisites for tissue repair. Scaffolds were fabricated by a facile freeze-casting and an </w:t>
      </w:r>
      <w:r w:rsidRPr="00024FD1">
        <w:rPr>
          <w:i/>
          <w:iCs/>
          <w:lang w:val="en-GB"/>
        </w:rPr>
        <w:t>in-situ</w:t>
      </w:r>
      <w:r w:rsidRPr="00024FD1">
        <w:rPr>
          <w:lang w:val="en-GB"/>
        </w:rPr>
        <w:t xml:space="preserve"> photo-polymerisation route, embracing a high-throughput synthesis, </w:t>
      </w:r>
      <w:proofErr w:type="gramStart"/>
      <w:r w:rsidRPr="00024FD1">
        <w:rPr>
          <w:lang w:val="en-GB"/>
        </w:rPr>
        <w:t>screening</w:t>
      </w:r>
      <w:proofErr w:type="gramEnd"/>
      <w:r w:rsidRPr="00024FD1">
        <w:rPr>
          <w:lang w:val="en-GB"/>
        </w:rPr>
        <w:t xml:space="preserve"> and characterization </w:t>
      </w:r>
      <w:r w:rsidR="000A2C43">
        <w:rPr>
          <w:lang w:val="en-GB"/>
        </w:rPr>
        <w:t>protocol</w:t>
      </w:r>
      <w:r w:rsidRPr="00024FD1">
        <w:rPr>
          <w:lang w:val="en-GB"/>
        </w:rPr>
        <w:t xml:space="preserve">. The current studies demonstrate the </w:t>
      </w:r>
      <w:r w:rsidR="000A2C43">
        <w:rPr>
          <w:lang w:val="en-GB"/>
        </w:rPr>
        <w:t>dependence of</w:t>
      </w:r>
      <w:r w:rsidRPr="00024FD1">
        <w:rPr>
          <w:lang w:val="en-GB"/>
        </w:rPr>
        <w:t xml:space="preserve"> cellular growth and vascularization </w:t>
      </w:r>
      <w:r w:rsidR="000A2C43">
        <w:rPr>
          <w:lang w:val="en-GB"/>
        </w:rPr>
        <w:t>on the</w:t>
      </w:r>
      <w:r w:rsidRPr="00024FD1">
        <w:rPr>
          <w:lang w:val="en-GB"/>
        </w:rPr>
        <w:t xml:space="preserve"> porosity and intrinsic chemical nature of the scaffolds, with </w:t>
      </w:r>
      <w:r w:rsidR="00CB5506" w:rsidRPr="00024FD1">
        <w:rPr>
          <w:lang w:val="en-GB"/>
        </w:rPr>
        <w:t>tuneable</w:t>
      </w:r>
      <w:r w:rsidRPr="00024FD1">
        <w:rPr>
          <w:lang w:val="en-GB"/>
        </w:rPr>
        <w:t xml:space="preserve"> 3D scaffolds generated with </w:t>
      </w:r>
      <w:r w:rsidR="00CB5506" w:rsidRPr="00024FD1">
        <w:rPr>
          <w:lang w:val="en-GB"/>
        </w:rPr>
        <w:t>large, interconnected</w:t>
      </w:r>
      <w:r w:rsidRPr="00024FD1">
        <w:rPr>
          <w:lang w:val="en-GB"/>
        </w:rPr>
        <w:t xml:space="preserve"> pores suitable for cellular growth</w:t>
      </w:r>
      <w:r w:rsidR="00304C9A">
        <w:rPr>
          <w:lang w:val="en-GB"/>
        </w:rPr>
        <w:t xml:space="preserve"> applied to skeletal reparation</w:t>
      </w:r>
      <w:r w:rsidRPr="00024FD1">
        <w:rPr>
          <w:lang w:val="en-GB"/>
        </w:rPr>
        <w:t xml:space="preserve">. </w:t>
      </w:r>
      <w:r w:rsidR="000A2C43">
        <w:rPr>
          <w:lang w:val="en-GB"/>
        </w:rPr>
        <w:t>Our s</w:t>
      </w:r>
      <w:r w:rsidRPr="00024FD1">
        <w:rPr>
          <w:lang w:val="en-GB"/>
        </w:rPr>
        <w:t xml:space="preserve">tudies showed increased cell proliferation, </w:t>
      </w:r>
      <w:proofErr w:type="gramStart"/>
      <w:r w:rsidRPr="00024FD1">
        <w:rPr>
          <w:lang w:val="en-GB"/>
        </w:rPr>
        <w:t>collagen</w:t>
      </w:r>
      <w:proofErr w:type="gramEnd"/>
      <w:r w:rsidRPr="00024FD1">
        <w:rPr>
          <w:lang w:val="en-GB"/>
        </w:rPr>
        <w:t xml:space="preserve"> and ALP expression</w:t>
      </w:r>
      <w:r w:rsidR="001C062D">
        <w:rPr>
          <w:lang w:val="en-GB"/>
        </w:rPr>
        <w:t xml:space="preserve">, </w:t>
      </w:r>
      <w:r w:rsidRPr="00024FD1">
        <w:rPr>
          <w:lang w:val="en-GB"/>
        </w:rPr>
        <w:t xml:space="preserve">while chorioallantoic membrane assays indicated biocompatibility and demonstrated the angiogenic nature of the scaffolds. VEGRF2 expression </w:t>
      </w:r>
      <w:r w:rsidRPr="00024FD1">
        <w:rPr>
          <w:i/>
          <w:iCs/>
          <w:lang w:val="en-GB"/>
        </w:rPr>
        <w:t>in vivo</w:t>
      </w:r>
      <w:r w:rsidRPr="00024FD1">
        <w:rPr>
          <w:lang w:val="en-GB"/>
        </w:rPr>
        <w:t xml:space="preserve"> </w:t>
      </w:r>
      <w:r w:rsidR="0003645C">
        <w:rPr>
          <w:lang w:val="en-GB"/>
        </w:rPr>
        <w:t xml:space="preserve">observed </w:t>
      </w:r>
      <w:r w:rsidRPr="00024FD1">
        <w:rPr>
          <w:lang w:val="en-GB"/>
        </w:rPr>
        <w:t>throughout the 3D scaffolds in the absence of growth factor supplementation demonstrate</w:t>
      </w:r>
      <w:r w:rsidR="00156431">
        <w:rPr>
          <w:lang w:val="en-GB"/>
        </w:rPr>
        <w:t xml:space="preserve">s a potential for angiogenesis. </w:t>
      </w:r>
      <w:r w:rsidR="00237063">
        <w:rPr>
          <w:lang w:val="en-GB"/>
        </w:rPr>
        <w:t>This novel platform prov</w:t>
      </w:r>
      <w:r w:rsidR="00CF272E">
        <w:rPr>
          <w:lang w:val="en-GB"/>
        </w:rPr>
        <w:t>ides</w:t>
      </w:r>
      <w:r w:rsidR="0003645C">
        <w:rPr>
          <w:lang w:val="en-GB"/>
        </w:rPr>
        <w:t xml:space="preserve"> an innovative approach to </w:t>
      </w:r>
      <w:r w:rsidR="00237063">
        <w:rPr>
          <w:lang w:val="en-GB"/>
        </w:rPr>
        <w:t>3D scanning of synthetic biomaterials</w:t>
      </w:r>
      <w:r w:rsidR="00CF272E">
        <w:rPr>
          <w:lang w:val="en-GB"/>
        </w:rPr>
        <w:t xml:space="preserve"> for tissue regeneration</w:t>
      </w:r>
      <w:r w:rsidR="00237063">
        <w:rPr>
          <w:lang w:val="en-GB"/>
        </w:rPr>
        <w:t>.</w:t>
      </w:r>
      <w:r w:rsidRPr="00024FD1">
        <w:rPr>
          <w:lang w:val="en-GB"/>
        </w:rPr>
        <w:t xml:space="preserve"> </w:t>
      </w:r>
    </w:p>
    <w:p w14:paraId="4DBCB49A" w14:textId="77777777" w:rsidR="00DF017A" w:rsidRPr="00024FD1" w:rsidRDefault="00DF017A" w:rsidP="00DF017A">
      <w:pPr>
        <w:spacing w:after="0" w:line="240" w:lineRule="auto"/>
        <w:jc w:val="both"/>
        <w:rPr>
          <w:rFonts w:cs="Arial"/>
          <w:b/>
          <w:szCs w:val="24"/>
        </w:rPr>
      </w:pPr>
    </w:p>
    <w:p w14:paraId="56F09DE8" w14:textId="77777777" w:rsidR="00DF017A" w:rsidRPr="00024FD1" w:rsidRDefault="00DF017A" w:rsidP="00DF017A">
      <w:pPr>
        <w:pStyle w:val="BCAuthorAddress"/>
        <w:jc w:val="both"/>
        <w:rPr>
          <w:b/>
          <w:bCs/>
          <w:lang w:val="en-GB"/>
        </w:rPr>
      </w:pPr>
    </w:p>
    <w:p w14:paraId="1780981C" w14:textId="77777777" w:rsidR="00DF017A" w:rsidRPr="00024FD1" w:rsidRDefault="00DF017A" w:rsidP="00DF017A">
      <w:pPr>
        <w:pStyle w:val="BCAuthorAddress"/>
        <w:jc w:val="both"/>
        <w:rPr>
          <w:b/>
          <w:bCs/>
          <w:lang w:val="en-GB"/>
        </w:rPr>
      </w:pPr>
    </w:p>
    <w:p w14:paraId="3D73869E" w14:textId="77777777" w:rsidR="00DF017A" w:rsidRPr="00024FD1" w:rsidRDefault="00DF017A" w:rsidP="00DF017A">
      <w:pPr>
        <w:pStyle w:val="BCAuthorAddress"/>
        <w:jc w:val="both"/>
        <w:rPr>
          <w:b/>
          <w:bCs/>
          <w:lang w:val="en-GB"/>
        </w:rPr>
      </w:pPr>
    </w:p>
    <w:p w14:paraId="5B69444C" w14:textId="5636F587" w:rsidR="00DF017A" w:rsidRPr="00024FD1" w:rsidRDefault="001C394A" w:rsidP="00DF017A">
      <w:pPr>
        <w:pStyle w:val="BCAuthorAddress"/>
        <w:jc w:val="both"/>
        <w:rPr>
          <w:b/>
          <w:bCs/>
          <w:lang w:val="en-GB"/>
        </w:rPr>
      </w:pPr>
      <w:r>
        <w:rPr>
          <w:b/>
          <w:bCs/>
          <w:lang w:val="en-GB"/>
        </w:rPr>
        <w:lastRenderedPageBreak/>
        <w:t>G</w:t>
      </w:r>
      <w:r w:rsidR="00DF017A" w:rsidRPr="00024FD1">
        <w:rPr>
          <w:b/>
          <w:bCs/>
          <w:lang w:val="en-GB"/>
        </w:rPr>
        <w:t>RAPHICAL ABSTRACT</w:t>
      </w:r>
    </w:p>
    <w:bookmarkEnd w:id="3"/>
    <w:p w14:paraId="1E4350E9" w14:textId="0836149B" w:rsidR="00585349" w:rsidRPr="00024FD1" w:rsidRDefault="00B8124F" w:rsidP="00892BA9">
      <w:pPr>
        <w:spacing w:after="0" w:line="240" w:lineRule="auto"/>
        <w:jc w:val="both"/>
        <w:rPr>
          <w:rFonts w:cs="Arial"/>
          <w:b/>
          <w:szCs w:val="24"/>
        </w:rPr>
      </w:pPr>
      <w:r>
        <w:rPr>
          <w:rFonts w:cs="Arial"/>
          <w:b/>
          <w:noProof/>
          <w:szCs w:val="24"/>
          <w:lang w:eastAsia="en-GB"/>
        </w:rPr>
        <w:drawing>
          <wp:inline distT="0" distB="0" distL="0" distR="0" wp14:anchorId="6E0C6FBC" wp14:editId="1D55F57A">
            <wp:extent cx="5455757" cy="359443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5917" cy="3601127"/>
                    </a:xfrm>
                    <a:prstGeom prst="rect">
                      <a:avLst/>
                    </a:prstGeom>
                    <a:noFill/>
                  </pic:spPr>
                </pic:pic>
              </a:graphicData>
            </a:graphic>
          </wp:inline>
        </w:drawing>
      </w:r>
    </w:p>
    <w:p w14:paraId="522C7289" w14:textId="77777777" w:rsidR="00B8124F" w:rsidRDefault="00B8124F" w:rsidP="00DF017A">
      <w:pPr>
        <w:pStyle w:val="BCAuthorAddress"/>
        <w:jc w:val="both"/>
        <w:rPr>
          <w:b/>
          <w:bCs/>
          <w:lang w:val="en-GB"/>
        </w:rPr>
      </w:pPr>
    </w:p>
    <w:p w14:paraId="7A973F15" w14:textId="3FE1BD6A" w:rsidR="00DF017A" w:rsidRPr="00024FD1" w:rsidRDefault="00DF017A" w:rsidP="00DF017A">
      <w:pPr>
        <w:pStyle w:val="BCAuthorAddress"/>
        <w:jc w:val="both"/>
        <w:rPr>
          <w:b/>
          <w:bCs/>
          <w:lang w:val="en-GB"/>
        </w:rPr>
      </w:pPr>
      <w:r w:rsidRPr="00024FD1">
        <w:rPr>
          <w:b/>
          <w:bCs/>
          <w:lang w:val="en-GB"/>
        </w:rPr>
        <w:t>SUBJECT AREAS</w:t>
      </w:r>
    </w:p>
    <w:p w14:paraId="77388C3D" w14:textId="54755CE1" w:rsidR="00DF017A" w:rsidRPr="00024FD1" w:rsidRDefault="00DF017A" w:rsidP="00DF017A">
      <w:pPr>
        <w:rPr>
          <w:rFonts w:cs="Times New Roman"/>
          <w:szCs w:val="20"/>
        </w:rPr>
      </w:pPr>
      <w:r w:rsidRPr="00024FD1">
        <w:rPr>
          <w:rFonts w:cs="Times New Roman"/>
          <w:szCs w:val="20"/>
        </w:rPr>
        <w:t>3D scaffolds, biomaterials,</w:t>
      </w:r>
      <w:r w:rsidR="00044938">
        <w:rPr>
          <w:rFonts w:cs="Times New Roman"/>
          <w:szCs w:val="20"/>
        </w:rPr>
        <w:t xml:space="preserve"> </w:t>
      </w:r>
      <w:r w:rsidR="0066209E">
        <w:rPr>
          <w:rFonts w:cs="Times New Roman"/>
          <w:szCs w:val="20"/>
        </w:rPr>
        <w:t>high throughput</w:t>
      </w:r>
      <w:r w:rsidR="00044938">
        <w:rPr>
          <w:rFonts w:cs="Times New Roman"/>
          <w:szCs w:val="20"/>
        </w:rPr>
        <w:t>,</w:t>
      </w:r>
      <w:r w:rsidRPr="00024FD1">
        <w:rPr>
          <w:rFonts w:cs="Times New Roman"/>
          <w:szCs w:val="20"/>
        </w:rPr>
        <w:t xml:space="preserve"> tissue engineering</w:t>
      </w:r>
      <w:r w:rsidR="00304C9A">
        <w:rPr>
          <w:rFonts w:cs="Times New Roman"/>
          <w:szCs w:val="20"/>
        </w:rPr>
        <w:t>, bone</w:t>
      </w:r>
    </w:p>
    <w:p w14:paraId="46BCDDAF" w14:textId="77777777" w:rsidR="00DF017A" w:rsidRPr="00024FD1" w:rsidRDefault="00DF017A" w:rsidP="00DF017A">
      <w:pPr>
        <w:rPr>
          <w:lang w:eastAsia="en-US"/>
        </w:rPr>
      </w:pPr>
    </w:p>
    <w:p w14:paraId="675DBDFB" w14:textId="06013F9C" w:rsidR="00B23A12" w:rsidRPr="00024FD1" w:rsidRDefault="00B23A12" w:rsidP="00B20727">
      <w:pPr>
        <w:pStyle w:val="BCAuthorAddress"/>
        <w:jc w:val="both"/>
        <w:rPr>
          <w:b/>
          <w:bCs/>
          <w:lang w:val="en-GB"/>
        </w:rPr>
      </w:pPr>
      <w:r w:rsidRPr="00024FD1">
        <w:rPr>
          <w:b/>
          <w:bCs/>
          <w:lang w:val="en-GB"/>
        </w:rPr>
        <w:t>I</w:t>
      </w:r>
      <w:r w:rsidR="00B20727" w:rsidRPr="00024FD1">
        <w:rPr>
          <w:b/>
          <w:bCs/>
          <w:lang w:val="en-GB"/>
        </w:rPr>
        <w:t>NTRODUCTION</w:t>
      </w:r>
    </w:p>
    <w:p w14:paraId="124E2BB7" w14:textId="25C521C5" w:rsidR="00B23A12" w:rsidRPr="00024FD1" w:rsidRDefault="00B23A12" w:rsidP="00AA47F2">
      <w:pPr>
        <w:spacing w:line="480" w:lineRule="auto"/>
        <w:jc w:val="both"/>
        <w:rPr>
          <w:rFonts w:cs="Arial"/>
          <w:szCs w:val="24"/>
        </w:rPr>
      </w:pPr>
      <w:r w:rsidRPr="00024FD1">
        <w:rPr>
          <w:rFonts w:eastAsia="Times New Roman" w:cs="Times New Roman"/>
          <w:szCs w:val="20"/>
          <w:lang w:eastAsia="en-US"/>
        </w:rPr>
        <w:t>Tissue regenerative therapies</w:t>
      </w:r>
      <w:r w:rsidRPr="00024FD1">
        <w:rPr>
          <w:rFonts w:cs="Arial"/>
          <w:szCs w:val="24"/>
        </w:rPr>
        <w:t xml:space="preserve"> necessitate the temporal and coordinated control of stem</w:t>
      </w:r>
      <w:r w:rsidR="00BC1B46" w:rsidRPr="00024FD1">
        <w:rPr>
          <w:rFonts w:cs="Arial"/>
          <w:szCs w:val="24"/>
        </w:rPr>
        <w:t xml:space="preserve"> and progenitor</w:t>
      </w:r>
      <w:r w:rsidRPr="00024FD1">
        <w:rPr>
          <w:rFonts w:cs="Arial"/>
          <w:szCs w:val="24"/>
        </w:rPr>
        <w:t xml:space="preserve"> cells. To achieve this, synthetic polymer scaffolds have been explored as substrates for supporting stem</w:t>
      </w:r>
      <w:r w:rsidR="00BC1B46" w:rsidRPr="00024FD1">
        <w:rPr>
          <w:rFonts w:cs="Arial"/>
          <w:szCs w:val="24"/>
        </w:rPr>
        <w:t xml:space="preserve"> and progenitor</w:t>
      </w:r>
      <w:r w:rsidRPr="00024FD1">
        <w:rPr>
          <w:rFonts w:cs="Arial"/>
          <w:szCs w:val="24"/>
        </w:rPr>
        <w:t xml:space="preserve"> cell growth and function</w:t>
      </w:r>
      <w:r w:rsidR="00416524">
        <w:rPr>
          <w:rFonts w:cs="Arial"/>
          <w:szCs w:val="24"/>
        </w:rPr>
        <w:t xml:space="preserve"> </w:t>
      </w:r>
      <w:r w:rsidR="00D31DD4" w:rsidRPr="00024FD1">
        <w:rPr>
          <w:rFonts w:cs="Arial"/>
          <w:szCs w:val="24"/>
        </w:rPr>
        <w:fldChar w:fldCharType="begin" w:fldLock="1"/>
      </w:r>
      <w:r w:rsidR="0033591E">
        <w:rPr>
          <w:rFonts w:cs="Arial"/>
          <w:szCs w:val="24"/>
        </w:rPr>
        <w:instrText xml:space="preserve"> ADDIN ZOTERO_ITEM CSL_CITATION {"citationID":"FKhGB4u4","properties":{"formattedCitation":"\\super 1\\nosupersub{}","plainCitation":"1","noteIndex":0},"citationItems":[{"id":"1dryys0K/7wfdd09P","uris":["http://www.mendeley.com/documents/?uuid=7228fd34-4f3f-456c-a466-adf1b80d6cac","http://www.mendeley.com/documents/?uuid=1ef0ce35-eb3a-476e-bc09-0b2357f18550"],"itemData":{"DOI":"10.1186/s13287-016-0440-y","ISSN":"17576512","abstract":"© 2016 The Author(s). The functionality of stem cells is tightly regulated by cues from the niche, comprising both intrinsic and extrinsic cell signals. Besides chemical and growth factors, biophysical signals are important components of extrinsic signals that dictate the stem cell properties. The materials used in the fabrication of scaffolds provide the chemical cues whereas the shape of the scaffolds provides the biophysical cues. The effect of the chemical composition of the scaffolds on stem cell fate is well researched. Biophysical signals such as nanotopography, mechanical forces, stiffness of the matrix, and roughness of the biomaterial influence the fate of stem cells. However, not much is known about their role in signaling crosstalk, stem cell maintenance, and directed differentiation. Among the various techniques for scaffold design, nanotechnology has special significance. The role of nanoscale topography in scaffold design for the regulation of stem cell behavior has gained importance in regenerative medicine. Nanotechnology allows manipulation of highly advanced surfaces/scaffolds for optimal regulation of cellular behavior. Techniques such as electrospinning, soft lithography, microfluidics, carbon nanotubes, and nanostructured hydrogel are described in this review, along with their potential usage in regenerative medicine. We have also provided a brief insight into the potential signaling crosstalk that is triggered by nanomaterials that dictate a specific outcome of stem cells. This concise review compiles recent developments in nanoscale architecture and its importance in directing stem cell differentiation for prospective therapeutic applications.","author":[{"dropping-particle":"","family":"Krishna","given":"Lekshmi","non-dropping-particle":"","parse-names":false,"suffix":""},{"dropping-particle":"","family":"Dhamodaran","given":"Kamesh","non-dropping-particle":"","parse-names":false,"suffix":""},{"dropping-particle":"","family":"Jayadev","given":"Chaitra","non-dropping-particle":"","parse-names":false,"suffix":""},{"dropping-particle":"","family":"Chatterjee","given":"Kaushik","non-dropping-particle":"","parse-names":false,"suffix":""},{"dropping-particle":"","family":"Shetty","given":"Rohit","non-dropping-particle":"","parse-names":false,"suffix":""},{"dropping-particle":"","family":"Khora","given":"S. S.","non-dropping-particle":"","parse-names":false,"suffix":""},{"dropping-particle":"","family":"Das","given":"Debashish","non-dropping-particle":"","parse-names":false,"suffix":""}],"container-title":"Stem Cell Research and Therapy","id":"ITEM-1","issue":"188","issued":{"date-parts":[["2016","12"]]},"publisher":"BioMed Central Ltd.","title":"Nanostructured scaffold as a determinant of stem cell fate","type":"article","volume":"7"}}],"schema":"https://github.com/citation-style-language/schema/raw/master/csl-citation.json"} </w:instrText>
      </w:r>
      <w:r w:rsidR="00D31DD4" w:rsidRPr="00024FD1">
        <w:rPr>
          <w:rFonts w:cs="Arial"/>
          <w:szCs w:val="24"/>
        </w:rPr>
        <w:fldChar w:fldCharType="separate"/>
      </w:r>
      <w:r w:rsidR="00A6161F" w:rsidRPr="00A6161F">
        <w:rPr>
          <w:rFonts w:cs="Times"/>
          <w:szCs w:val="24"/>
          <w:vertAlign w:val="superscript"/>
        </w:rPr>
        <w:t>1</w:t>
      </w:r>
      <w:r w:rsidR="00D31DD4" w:rsidRPr="00024FD1">
        <w:rPr>
          <w:rFonts w:cs="Arial"/>
          <w:szCs w:val="24"/>
        </w:rPr>
        <w:fldChar w:fldCharType="end"/>
      </w:r>
      <w:r w:rsidR="00D351DC" w:rsidRPr="00024FD1">
        <w:rPr>
          <w:rFonts w:cs="Arial"/>
          <w:szCs w:val="24"/>
        </w:rPr>
        <w:t xml:space="preserve">. </w:t>
      </w:r>
      <w:r w:rsidRPr="00024FD1">
        <w:rPr>
          <w:rFonts w:cs="Arial"/>
          <w:szCs w:val="24"/>
        </w:rPr>
        <w:t>For example, acrylate-based scaffolds have found wide applications in musculoskeletal regeneration including regeneration of cartilage, with evidence of</w:t>
      </w:r>
      <w:r w:rsidR="00416524">
        <w:rPr>
          <w:rFonts w:cs="Arial"/>
          <w:szCs w:val="24"/>
        </w:rPr>
        <w:t xml:space="preserve"> </w:t>
      </w:r>
      <w:r w:rsidRPr="00024FD1">
        <w:rPr>
          <w:rFonts w:cs="Arial"/>
          <w:szCs w:val="24"/>
        </w:rPr>
        <w:t>excellent tissue regeneration three months post</w:t>
      </w:r>
      <w:r w:rsidR="00A73734" w:rsidRPr="00024FD1">
        <w:rPr>
          <w:rFonts w:cs="Arial"/>
          <w:szCs w:val="24"/>
        </w:rPr>
        <w:t>-</w:t>
      </w:r>
      <w:r w:rsidRPr="00024FD1">
        <w:rPr>
          <w:rFonts w:cs="Arial"/>
          <w:szCs w:val="24"/>
        </w:rPr>
        <w:t>implantation</w:t>
      </w:r>
      <w:r w:rsidR="00D351DC" w:rsidRPr="00024FD1">
        <w:rPr>
          <w:rFonts w:cs="Arial"/>
          <w:szCs w:val="24"/>
        </w:rPr>
        <w:t xml:space="preserve"> </w:t>
      </w:r>
      <w:r w:rsidR="00D31DD4" w:rsidRPr="00024FD1">
        <w:rPr>
          <w:rFonts w:cs="Arial"/>
          <w:szCs w:val="24"/>
        </w:rPr>
        <w:fldChar w:fldCharType="begin" w:fldLock="1"/>
      </w:r>
      <w:r w:rsidR="0033591E">
        <w:rPr>
          <w:rFonts w:cs="Arial"/>
          <w:szCs w:val="24"/>
        </w:rPr>
        <w:instrText xml:space="preserve"> ADDIN ZOTERO_ITEM CSL_CITATION {"citationID":"61GzJukc","properties":{"formattedCitation":"\\super 2\\nosupersub{}","plainCitation":"2","noteIndex":0},"citationItems":[{"id":"1dryys0K/pu4L91UM","uris":["http://www.mendeley.com/documents/?uuid=1099aea0-899c-4c03-9c50-957552dc17af"],"itemData":{"DOI":"10.5301/ijao.5000598","ISSN":"03913988","abstract":"© 2017 The Authors. Purpose: To study the influence of scaffold properties on the organization of in vivo cartilage regeneration. O ur hypothesis was that stress transmission to the cells seeded inside the pores of the scaffold or surrounding it, which is highly dependent on the scaffold properties, determines the differentiation of both mesenchymal cells and dedifferentiated autologous chondrocytes. Methods: 4 series of porous scaffolds made of different polyacrylate polymers, previously seeded with cultured rabbit chondrocytes or without cells, were implanted in cartilage defects in rabbits. Subchondral bone was injured during the surgery to allow blood to reach the implantation site and fill the scaffold pores. Results: At 3 months after implantation, excellent tissue regeneration was obtained, with a well-organized layer of hyaline-like cartilage at the condylar surface in most cases of the hydrophobic or slightly hydrophilic series. The most hydrophilic material induced the poorest regeneration. However, no statistically significant difference was observed between preseeded and non-preseeded scaffolds. All of the materials used were biocompatible, biostable polymers, so, in contrast to some other studies, our results were not perturbed by possible effects attributable to material degradation products or to the loss of scaffold mechanical properties over time due to degradation. Conclusions: Cartilage regeneration depends mainly on the properties of the scaffold, such as stiffness and hydrophilicity, whereas little difference was observed between preseeded and non-preseeded scaffolds.","author":[{"dropping-particle":"","family":"Sancho-Tello","given":"María","non-dropping-particle":"","parse-names":false,"suffix":""},{"dropping-particle":"","family":"Forriol","given":"Francisco","non-dropping-particle":"","parse-names":false,"suffix":""},{"dropping-particle":"","family":"Martín de Llano","given":"José J.","non-dropping-particle":"","parse-names":false,"suffix":""},{"dropping-particle":"","family":"Antolinos-Turpin","given":"Carmen","non-dropping-particle":"","parse-names":false,"suffix":""},{"dropping-particle":"","family":"Gómez-Tejedor","given":"José A.","non-dropping-particle":"","parse-names":false,"suffix":""},{"dropping-particle":"","family":"Gómez Ribelles","given":"José L.","non-dropping-particle":"","parse-names":false,"suffix":""},{"dropping-particle":"","family":"Carda","given":"Carmen","non-dropping-particle":"","parse-names":false,"suffix":""}],"container-title":"International Journal of Artificial Organs","id":"ITEM-1","issue":"7","issued":{"date-parts":[["2017"]]},"page":"350-357","title":"Biostable scaffolds of polyacrylate polymers implanted in the articular cartilage induce hyaline-like cartilage regeneration in rabbits","type":"article-journal","volume":"40"}}],"schema":"https://github.com/citation-style-language/schema/raw/master/csl-citation.json"} </w:instrText>
      </w:r>
      <w:r w:rsidR="00D31DD4" w:rsidRPr="00024FD1">
        <w:rPr>
          <w:rFonts w:cs="Arial"/>
          <w:szCs w:val="24"/>
        </w:rPr>
        <w:fldChar w:fldCharType="separate"/>
      </w:r>
      <w:r w:rsidR="00A6161F" w:rsidRPr="00A6161F">
        <w:rPr>
          <w:rFonts w:cs="Times"/>
          <w:szCs w:val="24"/>
          <w:vertAlign w:val="superscript"/>
        </w:rPr>
        <w:t>2</w:t>
      </w:r>
      <w:r w:rsidR="00D31DD4" w:rsidRPr="00024FD1">
        <w:rPr>
          <w:rFonts w:cs="Arial"/>
          <w:szCs w:val="24"/>
        </w:rPr>
        <w:fldChar w:fldCharType="end"/>
      </w:r>
      <w:r w:rsidR="00D351DC" w:rsidRPr="00024FD1">
        <w:rPr>
          <w:rFonts w:cs="Arial"/>
          <w:szCs w:val="24"/>
        </w:rPr>
        <w:t>.</w:t>
      </w:r>
      <w:r w:rsidRPr="00024FD1">
        <w:rPr>
          <w:rFonts w:cs="Arial"/>
          <w:szCs w:val="24"/>
        </w:rPr>
        <w:t xml:space="preserve"> </w:t>
      </w:r>
      <w:r w:rsidR="002041F7" w:rsidRPr="00024FD1">
        <w:rPr>
          <w:rFonts w:cs="Arial"/>
          <w:bCs/>
          <w:szCs w:val="24"/>
        </w:rPr>
        <w:t>Moreover</w:t>
      </w:r>
      <w:r w:rsidRPr="00024FD1">
        <w:rPr>
          <w:rFonts w:cs="Arial"/>
          <w:bCs/>
          <w:szCs w:val="24"/>
        </w:rPr>
        <w:t xml:space="preserve">, acrylate coatings have </w:t>
      </w:r>
      <w:r w:rsidR="00F755D2" w:rsidRPr="00024FD1">
        <w:rPr>
          <w:rFonts w:cs="Arial"/>
          <w:bCs/>
          <w:szCs w:val="24"/>
        </w:rPr>
        <w:t xml:space="preserve">been </w:t>
      </w:r>
      <w:r w:rsidRPr="00024FD1">
        <w:rPr>
          <w:rFonts w:cs="Arial"/>
          <w:bCs/>
          <w:szCs w:val="24"/>
        </w:rPr>
        <w:t xml:space="preserve">shown to </w:t>
      </w:r>
      <w:r w:rsidR="00F755D2" w:rsidRPr="00024FD1">
        <w:rPr>
          <w:rFonts w:cs="Arial"/>
          <w:bCs/>
          <w:szCs w:val="24"/>
        </w:rPr>
        <w:t xml:space="preserve">enhance </w:t>
      </w:r>
      <w:r w:rsidRPr="00024FD1">
        <w:rPr>
          <w:rFonts w:cs="Arial"/>
          <w:bCs/>
          <w:szCs w:val="24"/>
        </w:rPr>
        <w:t xml:space="preserve">endothelial coverage and </w:t>
      </w:r>
      <w:r w:rsidR="00F755D2" w:rsidRPr="00024FD1">
        <w:rPr>
          <w:rFonts w:cs="Arial"/>
          <w:bCs/>
          <w:szCs w:val="24"/>
        </w:rPr>
        <w:t>improve</w:t>
      </w:r>
      <w:r w:rsidR="00F755D2" w:rsidRPr="00024FD1">
        <w:rPr>
          <w:rFonts w:cs="Arial"/>
          <w:szCs w:val="24"/>
        </w:rPr>
        <w:t xml:space="preserve"> </w:t>
      </w:r>
      <w:r w:rsidRPr="00024FD1">
        <w:rPr>
          <w:rFonts w:cs="Arial"/>
          <w:szCs w:val="24"/>
        </w:rPr>
        <w:t>biomechanical properties of vascular grafts</w:t>
      </w:r>
      <w:r w:rsidR="00416524">
        <w:rPr>
          <w:rFonts w:cs="Arial"/>
          <w:szCs w:val="24"/>
        </w:rPr>
        <w:t xml:space="preserve"> </w:t>
      </w:r>
      <w:r w:rsidR="00CC076F" w:rsidRPr="00024FD1">
        <w:rPr>
          <w:rFonts w:cs="Arial"/>
          <w:szCs w:val="24"/>
        </w:rPr>
        <w:fldChar w:fldCharType="begin" w:fldLock="1"/>
      </w:r>
      <w:r w:rsidR="0033591E">
        <w:rPr>
          <w:rFonts w:cs="Arial"/>
          <w:szCs w:val="24"/>
        </w:rPr>
        <w:instrText xml:space="preserve"> ADDIN ZOTERO_ITEM CSL_CITATION {"citationID":"KzOpQsQu","properties":{"formattedCitation":"\\super 3\\nosupersub{}","plainCitation":"3","noteIndex":0},"citationItems":[{"id":"1dryys0K/R7qPcyZa","uris":["http://www.mendeley.com/documents/?uuid=f895c8ed-9b2a-42f6-a00b-1b340c1780e1","http://www.mendeley.com/documents/?uuid=75a3593b-c595-424a-a504-15f2a1291cba"],"itemData":{"DOI":"10.1038/s41598-017-00294-6","ISSN":"20452322","abstract":"© 2017 The Author(s). Decellularized vascular scaffolds are promising materials for vessel replacements. However, despite the natural origin of decellularized vessels, issues such as biomechanical incompatibility, immunogenicity risks and the hazards of thrombus formation, still need to be addressed. In this study, we coated decellularized vessels obtained from porcine carotid arteries with poly (ethylmethacrylate-co-diethylaminoethylacrylate) (8g7) with the purpose of improving endothelial coverage and minimizing platelet attachment while enhancing the mechanical properties of the decellularized vascular scaffolds. The polymer facilitated binding of endothelial cells (ECs) with high affinity and also induced endothelial cell capillary tube formation. In addition, platelets showed reduced adhesion on the polymer under flow conditions. Moreover, the coating of the decellularized arteries improved biomechanical properties by increasing its tensile strength and load. In addition, after 5 days in culture, ECs seeded on the luminal surface of 8g7-coated decellularized arteries showed good regeneration of the endothelium. Overall, this study shows that polymer coating of decellularized vessels provides a new strategy to improve re-endothelialization of vascular grafts, maintaining or enhancing mechanical properties while reducing the risk of thrombogenesis. These results could have potential applications in improving tissue-engineered vascular grafts for card iovascular therapies with small caliber vessels.","author":[{"dropping-particle":"","family":"López-Ruiz","given":"Elena","non-dropping-particle":"","parse-names":false,"suffix":""},{"dropping-particle":"","family":"Venkateswaran","given":"Seshasailam","non-dropping-particle":"","parse-names":false,"suffix":""},{"dropping-particle":"","family":"Perán","given":"MacArena","non-dropping-particle":"","parse-names":false,"suffix":""},{"dropping-particle":"","family":"Jiménez","given":"Gema","non-dropping-particle":"","parse-names":false,"suffix":""},{"dropping-particle":"","family":"Pernagallo","given":"Salvatore","non-dropping-particle":"","parse-names":false,"suffix":""},{"dropping-particle":"","family":"DÍaz-Mochón","given":"Juan J.","non-dropping-particle":"","parse-names":false,"suffix":""},{"dropping-particle":"","family":"Tura-Ceide","given":"Olga","non-dropping-particle":"","parse-names":false,"suffix":""},{"dropping-particle":"","family":"Arrebola","given":"Francisco","non-dropping-particle":"","parse-names":false,"suffix":""},{"dropping-particle":"","family":"Melchor","given":"Juan","non-dropping-particle":"","parse-names":false,"suffix":""},{"dropping-particle":"","family":"Soto","given":"Juan","non-dropping-particle":"","parse-names":false,"suffix":""},{"dropping-particle":"","family":"Rus","given":"Guillermo","non-dropping-particle":"","parse-names":false,"suffix":""},{"dropping-particle":"","family":"Real","given":"Pedro J.","non-dropping-particle":"","parse-names":false,"suffix":""},{"dropping-particle":"","family":"DIaz-Ricart","given":"María","non-dropping-particle":"","parse-names":false,"suffix":""},{"dropping-particle":"","family":"Conde-González","given":"Antonio","non-dropping-particle":"","parse-names":false,"suffix":""},{"dropping-particle":"","family":"Bradley","given":"Mark","non-dropping-particle":"","parse-names":false,"suffix":""},{"dropping-particle":"","family":"Marchal","given":"Juan A.","non-dropping-particle":"","parse-names":false,"suffix":""}],"container-title":"Scientific Reports","id":"ITEM-1","issue":"1","issued":{"date-parts":[["2017"]]},"page":"1-14","title":"Poly(ethylmethacrylate-co-diethylaminoethyl acrylate) coating improves endothelial re-population, bio-mechanical and anti-thrombogenic properties of decellularized carotid arteries for blood vessel replacement","type":"article-journal","volume":"7"}}],"schema":"https://github.com/citation-style-language/schema/raw/master/csl-citation.json"} </w:instrText>
      </w:r>
      <w:r w:rsidR="00CC076F" w:rsidRPr="00024FD1">
        <w:rPr>
          <w:rFonts w:cs="Arial"/>
          <w:szCs w:val="24"/>
        </w:rPr>
        <w:fldChar w:fldCharType="separate"/>
      </w:r>
      <w:r w:rsidR="00A6161F" w:rsidRPr="00A6161F">
        <w:rPr>
          <w:rFonts w:cs="Times"/>
          <w:szCs w:val="24"/>
          <w:vertAlign w:val="superscript"/>
        </w:rPr>
        <w:t>3</w:t>
      </w:r>
      <w:r w:rsidR="00CC076F" w:rsidRPr="00024FD1">
        <w:rPr>
          <w:rFonts w:cs="Arial"/>
          <w:szCs w:val="24"/>
        </w:rPr>
        <w:fldChar w:fldCharType="end"/>
      </w:r>
      <w:r w:rsidR="00D351DC" w:rsidRPr="00024FD1">
        <w:rPr>
          <w:rFonts w:cs="Arial"/>
          <w:szCs w:val="24"/>
        </w:rPr>
        <w:t>.</w:t>
      </w:r>
      <w:r w:rsidRPr="00024FD1">
        <w:rPr>
          <w:rFonts w:cs="Arial"/>
          <w:szCs w:val="24"/>
        </w:rPr>
        <w:t xml:space="preserve"> </w:t>
      </w:r>
      <w:r w:rsidR="00F755D2" w:rsidRPr="00024FD1">
        <w:rPr>
          <w:rFonts w:cs="Arial"/>
          <w:szCs w:val="24"/>
        </w:rPr>
        <w:t>To</w:t>
      </w:r>
      <w:r w:rsidRPr="00024FD1">
        <w:rPr>
          <w:rFonts w:cs="Arial"/>
          <w:szCs w:val="24"/>
        </w:rPr>
        <w:t xml:space="preserve"> develop polymer scaffolds </w:t>
      </w:r>
      <w:r w:rsidR="00F755D2" w:rsidRPr="00024FD1">
        <w:rPr>
          <w:rFonts w:cs="Arial"/>
          <w:szCs w:val="24"/>
        </w:rPr>
        <w:t xml:space="preserve">that </w:t>
      </w:r>
      <w:r w:rsidRPr="00024FD1">
        <w:rPr>
          <w:rFonts w:cs="Arial"/>
          <w:szCs w:val="24"/>
        </w:rPr>
        <w:t xml:space="preserve">meet tissue specific prerequisites </w:t>
      </w:r>
      <w:r w:rsidR="00CC076F" w:rsidRPr="00024FD1">
        <w:rPr>
          <w:rFonts w:cs="Arial"/>
          <w:szCs w:val="24"/>
        </w:rPr>
        <w:t xml:space="preserve">such as </w:t>
      </w:r>
      <w:r w:rsidR="00F755D2" w:rsidRPr="00024FD1">
        <w:rPr>
          <w:rFonts w:cs="Arial"/>
          <w:szCs w:val="24"/>
        </w:rPr>
        <w:t xml:space="preserve">cell </w:t>
      </w:r>
      <w:r w:rsidR="00CC076F" w:rsidRPr="00024FD1">
        <w:rPr>
          <w:rFonts w:cs="Arial"/>
          <w:szCs w:val="24"/>
        </w:rPr>
        <w:t>maintenance</w:t>
      </w:r>
      <w:r w:rsidR="00456DF4">
        <w:rPr>
          <w:rFonts w:cs="Arial"/>
          <w:szCs w:val="24"/>
        </w:rPr>
        <w:t>,</w:t>
      </w:r>
      <w:r w:rsidR="00CC076F" w:rsidRPr="00024FD1">
        <w:rPr>
          <w:rFonts w:cs="Arial"/>
          <w:szCs w:val="24"/>
        </w:rPr>
        <w:t xml:space="preserve"> </w:t>
      </w:r>
      <w:r w:rsidR="00456DF4">
        <w:rPr>
          <w:rFonts w:cs="Arial"/>
          <w:szCs w:val="24"/>
        </w:rPr>
        <w:t xml:space="preserve">provide </w:t>
      </w:r>
      <w:r w:rsidR="00CC076F" w:rsidRPr="00024FD1">
        <w:rPr>
          <w:rFonts w:cs="Arial"/>
          <w:szCs w:val="24"/>
        </w:rPr>
        <w:t xml:space="preserve">appropriate biochemical cues and </w:t>
      </w:r>
      <w:r w:rsidR="00456DF4" w:rsidRPr="00024FD1">
        <w:rPr>
          <w:rFonts w:cs="Arial"/>
          <w:szCs w:val="24"/>
        </w:rPr>
        <w:lastRenderedPageBreak/>
        <w:t>induc</w:t>
      </w:r>
      <w:r w:rsidR="00456DF4">
        <w:rPr>
          <w:rFonts w:cs="Arial"/>
          <w:szCs w:val="24"/>
        </w:rPr>
        <w:t xml:space="preserve">e </w:t>
      </w:r>
      <w:r w:rsidR="00CC076F" w:rsidRPr="00024FD1">
        <w:rPr>
          <w:rFonts w:cs="Arial"/>
          <w:szCs w:val="24"/>
        </w:rPr>
        <w:t xml:space="preserve">vasculature formation, </w:t>
      </w:r>
      <w:r w:rsidR="00F755D2" w:rsidRPr="00024FD1">
        <w:rPr>
          <w:rFonts w:cs="Arial"/>
          <w:szCs w:val="24"/>
        </w:rPr>
        <w:t xml:space="preserve">high-throughput </w:t>
      </w:r>
      <w:r w:rsidR="00CC076F" w:rsidRPr="00024FD1">
        <w:rPr>
          <w:rFonts w:cs="Arial"/>
          <w:szCs w:val="24"/>
        </w:rPr>
        <w:t>production</w:t>
      </w:r>
      <w:r w:rsidR="00F755D2" w:rsidRPr="00024FD1">
        <w:rPr>
          <w:rFonts w:cs="Arial"/>
          <w:szCs w:val="24"/>
        </w:rPr>
        <w:t xml:space="preserve"> and screening</w:t>
      </w:r>
      <w:r w:rsidR="00CC076F" w:rsidRPr="00024FD1">
        <w:rPr>
          <w:rFonts w:cs="Arial"/>
          <w:szCs w:val="24"/>
        </w:rPr>
        <w:t xml:space="preserve"> </w:t>
      </w:r>
      <w:r w:rsidR="0062450D" w:rsidRPr="00024FD1">
        <w:rPr>
          <w:rFonts w:cs="Arial"/>
          <w:szCs w:val="24"/>
        </w:rPr>
        <w:t xml:space="preserve">of novel biomaterials </w:t>
      </w:r>
      <w:r w:rsidR="0062450D">
        <w:rPr>
          <w:rFonts w:cs="Arial"/>
          <w:szCs w:val="24"/>
        </w:rPr>
        <w:t xml:space="preserve">becomes </w:t>
      </w:r>
      <w:r w:rsidR="009A2D6E" w:rsidRPr="00024FD1">
        <w:rPr>
          <w:rFonts w:cs="Arial"/>
          <w:szCs w:val="24"/>
        </w:rPr>
        <w:t>a prerequisite</w:t>
      </w:r>
      <w:r w:rsidR="00CC076F" w:rsidRPr="00024FD1">
        <w:rPr>
          <w:rFonts w:cs="Arial"/>
          <w:szCs w:val="24"/>
        </w:rPr>
        <w:t xml:space="preserve">. </w:t>
      </w:r>
      <w:r w:rsidRPr="00024FD1">
        <w:rPr>
          <w:rFonts w:cs="Arial"/>
          <w:szCs w:val="24"/>
        </w:rPr>
        <w:t xml:space="preserve">Recent efforts in this direction include the application of inkjet fabrication of arrays of thousands of acrylate-based polymers for the discovery of substrates </w:t>
      </w:r>
      <w:r w:rsidR="00BF6649" w:rsidRPr="00024FD1">
        <w:rPr>
          <w:rFonts w:cs="Arial"/>
          <w:szCs w:val="24"/>
        </w:rPr>
        <w:t xml:space="preserve">that </w:t>
      </w:r>
      <w:r w:rsidRPr="00024FD1">
        <w:rPr>
          <w:rFonts w:cs="Arial"/>
          <w:szCs w:val="24"/>
        </w:rPr>
        <w:t>support the culture of human embryonic stem cells</w:t>
      </w:r>
      <w:r w:rsidR="00D351DC" w:rsidRPr="00024FD1">
        <w:rPr>
          <w:rFonts w:cs="Arial"/>
          <w:szCs w:val="24"/>
        </w:rPr>
        <w:t xml:space="preserve"> </w:t>
      </w:r>
      <w:r w:rsidR="00D31DD4" w:rsidRPr="00024FD1">
        <w:rPr>
          <w:rFonts w:cs="Arial"/>
          <w:szCs w:val="24"/>
        </w:rPr>
        <w:fldChar w:fldCharType="begin" w:fldLock="1"/>
      </w:r>
      <w:r w:rsidR="0033591E">
        <w:rPr>
          <w:rFonts w:cs="Arial"/>
          <w:szCs w:val="24"/>
        </w:rPr>
        <w:instrText xml:space="preserve"> ADDIN ZOTERO_ITEM CSL_CITATION {"citationID":"q5hyGQd5","properties":{"formattedCitation":"\\super 4\\uc0\\u8211{}7\\nosupersub{}","plainCitation":"4–7","noteIndex":0},"citationItems":[{"id":"1dryys0K/odwPVu4v","uris":["http://www.mendeley.com/documents/?uuid=c2ce24c5-3d5a-4e63-a94c-b4a576e3a578"],"itemData":{"DOI":"10.1002/adhm.201300489","ISSN":"21922659","abstract":"The fabrication of high-density polymer microarray is described, allowing the simultaneous and efficient evaluation of more than 7000 different polymers in a single-cellular-based screen. These high-density polymer arrays are applied in the search for synthetic substrates for hESCs culture. Up-scaling of the identified hit polymers enables long-term cellular cultivation and promoted successful stem-cell maintenance. © 2013 WILEY-VCH Verlag GmbH &amp; Co.","author":[{"dropping-particle":"","family":"Hansen","given":"Anne","non-dropping-particle":"","parse-names":false,"suffix":""},{"dropping-particle":"","family":"Mjoseng","given":"Heidi K.","non-dropping-particle":"","parse-names":false,"suffix":""},{"dropping-particle":"","family":"Zhang","given":"Rong","non-dropping-particle":"","parse-names":false,"suffix":""},{"dropping-particle":"","family":"Kalloudis","given":"Michail","non-dropping-particle":"","parse-names":false,"suffix":""},{"dropping-particle":"","family":"Koutsos","given":"Vasileios","non-dropping-particle":"","parse-names":false,"suffix":""},{"dropping-particle":"","family":"Sousa","given":"Paul A.","non-dropping-particle":"de","parse-names":false,"suffix":""},{"dropping-particle":"","family":"Bradley","given":"Mark","non-dropping-particle":"","parse-names":false,"suffix":""}],"container-title":"Advanced Healthcare Materials","id":"ITEM-1","issue":"6","issued":{"date-parts":[["2014"]]},"page":"848-853","title":"High-Density Polymer Microarrays: Identifying Synthetic Polymers that Control Human Embryonic Stem Cell Growth","type":"article-journal","volume":"3"}},{"id":"1dryys0K/6VyfM3Q8","uris":["http://www.mendeley.com/documents/?uuid=6fd8df33-5955-4627-a72b-e078a9ca541a","http://www.mendeley.com/documents/?uuid=ef6d2e87-38ee-4134-be89-012ec25ba704"],"itemData":{"DOI":"10.1038/ncomms2341","ISBN":"2041-1723 (Electronic)\\r2041-1723 (Linking)","ISSN":"2041-1723","PMID":"23299885","abstract":"Cultures of human embryonic stem cell typically rely on protein matrices or feeder cells to support attachment and growth, while mechanical, enzymatic or chemical cell dissociation methods are used for cellular passaging. However, these methods are ill defined, thus introducing variability into the system, and may damage cells. They also exert selective pressures favouring cell aneuploidy and loss of differentiation potential. Here we report the identification of a family of chemically defined thermoresponsive synthetic hydrogels based on 2-(diethylamino)ethyl acrylate, which support long-term human embryonic stem cell growth and pluripotency over a period of 2-6 months. The hydrogels permitted gentle, reagent-free cell passaging by virtue of transient modulation of the ambient temperature from 37 to 15 °C for 30 min. These chemically defined alternatives to currently used, undefined biological substrates represent a flexible and scalable approach for improving the definition, efficacy and safety of human embryonic stem cell culture systems for research, industrial and clinical applications.","author":[{"dropping-particle":"","family":"Zhang","given":"Rong","non-dropping-particle":"","parse-names":false,"suffix":""},{"dropping-particle":"","family":"Mjoseng","given":"Heidi K","non-dropping-particle":"","parse-names":false,"suffix":""},{"dropping-particle":"","family":"Hoeve","given":"Marieke a","non-dropping-particle":"","parse-names":false,"suffix":""},{"dropping-particle":"","family":"Bauer","given":"Nina G","non-dropping-particle":"","parse-names":false,"suffix":""},{"dropping-particle":"","family":"Pells","given":"Steve","non-dropping-particle":"","parse-names":false,"suffix":""},{"dropping-particle":"","family":"Besseling","given":"Rut","non-dropping-particle":"","parse-names":false,"suffix":""},{"dropping-particle":"","family":"Velugotla","given":"Srinivas","non-dropping-particle":"","parse-names":false,"suffix":""},{"dropping-particle":"","family":"Tourniaire","given":"Guilhem","non-dropping-particle":"","parse-names":false,"suffix":""},{"dropping-particle":"","family":"Kishen","given":"Ria E B","non-dropping-particle":"","parse-names":false,"suffix":""},{"dropping-particle":"","family":"Tsenkina","given":"Yanina","non-dropping-particle":"","parse-names":false,"suffix":""},{"dropping-particle":"","family":"Armit","given":"Chris","non-dropping-particle":"","parse-names":false,"suffix":""},{"dropping-particle":"","family":"Duffy","given":"Cairnan R E","non-dropping-particle":"","parse-names":false,"suffix":""},{"dropping-particle":"","family":"Helfen","given":"Martina","non-dropping-particle":"","parse-names":false,"suffix":""},{"dropping-particle":"","family":"Edenhofer","given":"Frank","non-dropping-particle":"","parse-names":false,"suffix":""},{"dropping-particle":"","family":"Sousa","given":"Paul a","non-dropping-particle":"de","parse-names":false,"suffix":""},{"dropping-particle":"","family":"Bradley","given":"Mark","non-dropping-particle":"","parse-names":false,"suffix":""}],"container-title":"Nature communications","id":"ITEM-2","issued":{"date-parts":[["2013"]]},"page":"1335","publisher":"Nature Publishing Group","title":"A thermoresponsive and chemically defined hydrogel for long-term culture of human embryonic stem cells.","type":"article-journal","volume":"4"}},{"id":2780,"uris":["http://zotero.org/users/8425864/items/EIF6FJJD"],"itemData":{"id":2780,"type":"article-journal","abstract":"Aim: This study investigated biodegradable thiol-acrylate hydrogels as stem cell carriers to facilitate cranial bone regeneration. Materials &amp; methods: Two formulations of thiol-acrylate hydrogels (5 and 15 wt% Poly[ethylene glycol]-diacrylate [PEGDA] hydrogels) were used as stem cell carriers. Bone marrow mesenchymal stromal cells and dental pulp mesenchymal stromal cells were photoencapsulated and cultured in basal or osteogenic medium 3 days before the surgery. Using New Zealand White Rabbits, four defects (5 mm diameter and 2 mm thickness) were created and hydrogel scaffolds were implanted in each rabbit cranium for 6 weeks. Results &amp; Conclusion: AlamarBlue assay showed increasing metabolic activity levels in 5 wt% PEGDA hydrogels than 15 wt% PEGDA hydrogels. Photoencapsulated-mesenchymal stromal cells in 15 wt% PEGDA hydrogels demonstrated significantly increasing alkaline phosphatase activity levels on day 7 compared with days 1 and 3. Histological diagnosis showed 5 wt% PEGDA hydrogels resulted in lower averaged residual gel areas than 15 wt% PEGDA hydrogel specimens and control groups 6 weeks postimplantation.","container-title":"Regenerative Medicine","DOI":"10.2217/rme-2020-0061","ISSN":"1746-0751, 1746-076X","issue":"9","journalAbbreviation":"Regenerative Medicine","language":"en","page":"2115-2127","source":"DOI.org (Crossref)","title":"Photoencapsulated-mesenchymal stromal cells in biodegradable thiol-acrylate hydrogels enhance regeneration of craniofacial bone tissue defects","volume":"15","author":[{"family":"Aghali","given":"Arbi"},{"family":"Arman","given":"Huseyin E"}],"issued":{"date-parts":[["2020",9]]}}},{"id":2781,"uris":["http://zotero.org/users/8425864/items/CGJ4PXAL"],"itemData":{"id":2781,"type":"article-journal","abstract":"Additive manufacturing or 3D printing of materials is a prominent process technology which involves the fabrication of materials layer-by-layer or point-by-point in a subsequent manner. With recent advancements in additive manufacturing, the technology has excited a great potential for extension of simple designs to complex multi-material geometries. Vat photopolymerization is a subdivision of additive manufacturing which possesses many attractive features, including excellent printing resolution, high dimensional accuracy, low-cost manufacturing, and the ability to spatially control the material properties. However, the technology is currently limited by design strategies, material chemistries, and equipment limitations. This review aims to provide readers with a comprehensive comparison of different additive manufacturing technologies along with detailed knowledge on advances in multi-material vat photopolymerization technologies. Furthermore, we describe popular material chemistries both from the past and more recently, along with future prospects to address the material-related limitations of vat photopolymerization. Examples of the impressive multi-material capabilities inspired by nature which are applicable today in multiple areas of life are briefly presented in the applications section. Finally, we describe our point of view on the future prospects of 3D printed multi-material structures as well as on the way forward towards promising further advancements in vat photopolymerization.","container-title":"Polymers","DOI":"10.3390/polym14122449","ISSN":"2073-4360","issue":"12","journalAbbreviation":"Polymers","language":"en","page":"2449","source":"DOI.org (Crossref)","title":"A Review of Multi-Material 3D Printing of Functional Materials via Vat Photopolymerization","volume":"14","author":[{"family":"Shaukat","given":"Usman"},{"family":"Rossegger","given":"Elisabeth"},{"family":"Schlögl","given":"Sandra"}],"issued":{"date-parts":[["2022",6,16]]}}}],"schema":"https://github.com/citation-style-language/schema/raw/master/csl-citation.json"} </w:instrText>
      </w:r>
      <w:r w:rsidR="00D31DD4" w:rsidRPr="00024FD1">
        <w:rPr>
          <w:rFonts w:cs="Arial"/>
          <w:szCs w:val="24"/>
        </w:rPr>
        <w:fldChar w:fldCharType="separate"/>
      </w:r>
      <w:r w:rsidR="00F14C47" w:rsidRPr="00F14C47">
        <w:rPr>
          <w:rFonts w:cs="Times"/>
          <w:szCs w:val="24"/>
          <w:vertAlign w:val="superscript"/>
        </w:rPr>
        <w:t>4–7</w:t>
      </w:r>
      <w:r w:rsidR="00D31DD4" w:rsidRPr="00024FD1">
        <w:rPr>
          <w:rFonts w:cs="Arial"/>
          <w:szCs w:val="24"/>
        </w:rPr>
        <w:fldChar w:fldCharType="end"/>
      </w:r>
      <w:r w:rsidR="000A2C43">
        <w:rPr>
          <w:rFonts w:cs="Arial"/>
          <w:szCs w:val="24"/>
        </w:rPr>
        <w:t xml:space="preserve"> and </w:t>
      </w:r>
      <w:r w:rsidRPr="00024FD1">
        <w:rPr>
          <w:rFonts w:cs="Arial"/>
          <w:szCs w:val="24"/>
        </w:rPr>
        <w:t>polymer blend evaluation for the discovery of materials that support the growth and differentiation of STRO</w:t>
      </w:r>
      <w:r w:rsidRPr="00024FD1">
        <w:rPr>
          <w:rFonts w:ascii="Cambria Math" w:hAnsi="Cambria Math" w:cs="Cambria Math"/>
          <w:szCs w:val="24"/>
        </w:rPr>
        <w:t>‐</w:t>
      </w:r>
      <w:r w:rsidRPr="00024FD1">
        <w:rPr>
          <w:rFonts w:cs="Arial"/>
          <w:szCs w:val="24"/>
        </w:rPr>
        <w:t xml:space="preserve">1+ human skeletal stem </w:t>
      </w:r>
      <w:r w:rsidR="0003645C">
        <w:rPr>
          <w:rFonts w:cs="Arial"/>
          <w:szCs w:val="24"/>
        </w:rPr>
        <w:t>and osteoprogenitor populations</w:t>
      </w:r>
      <w:r w:rsidR="00D351DC" w:rsidRPr="00024FD1">
        <w:rPr>
          <w:rFonts w:cs="Arial"/>
          <w:szCs w:val="24"/>
        </w:rPr>
        <w:t xml:space="preserve"> </w:t>
      </w:r>
      <w:r w:rsidR="00D31DD4" w:rsidRPr="00024FD1">
        <w:rPr>
          <w:rFonts w:cs="Arial"/>
          <w:szCs w:val="24"/>
        </w:rPr>
        <w:fldChar w:fldCharType="begin" w:fldLock="1"/>
      </w:r>
      <w:r w:rsidR="0033591E">
        <w:rPr>
          <w:rFonts w:cs="Arial"/>
          <w:szCs w:val="24"/>
        </w:rPr>
        <w:instrText xml:space="preserve"> ADDIN ZOTERO_ITEM CSL_CITATION {"citationID":"RezkGbx2","properties":{"formattedCitation":"\\super 8\\nosupersub{}","plainCitation":"8","noteIndex":0},"citationItems":[{"id":"1dryys0K/mjJkvHUD","uris":["http://www.mendeley.com/documents/?uuid=6a83b536-ebde-4b73-b7f8-3cebeb69fdcd","http://www.mendeley.com/documents/?uuid=c42b1a7d-c87f-49e9-8f20-c3a8755e5f43"],"itemData":{"DOI":"10.1002/adfm.201202710","ISBN":"1616-3028","ISSN":"1616301X","abstract":"Skeletal tissue regeneration is often required following trauma, where substantial bone or cartilage loss may be encountered and is a significant driver for the development of biomaterials with a defined 3D structural network. Solvent blending is a process that avoids complications associated with conventional thermal or mechanical polymer blending or synthesis, opening up large areas of chemical and physical space, while potentially simplifying regulatory pathways towards in vivo application. Here ternary mixtures of natural and synthetic polymers were solvent blended and evaluated as potential bone tissue engineering matrices for osteoregeneration by the assessment of growth and differentiation of STRO-1+ skeletal stem cells. Several of the blend materials were found to be excellent supports for human bone marrow-derived STRO-1+ skeletal cells and fetal skeletal cells, with the optimized blend exhibiting in vivo osteogenic potential, suggesting that these polymer blends could act as suitable matrices for bioengineering of hard tissues.","author":[{"dropping-particle":"","family":"Khan","given":"Ferdous","non-dropping-particle":"","parse-names":false,"suffix":""},{"dropping-particle":"","family":"Smith","given":"James O.","non-dropping-particle":"","parse-names":false,"suffix":""},{"dropping-particle":"","family":"Kanczler","given":"Janos M.","non-dropping-particle":"","parse-names":false,"suffix":""},{"dropping-particle":"","family":"Tare","given":"Rahul S.","non-dropping-particle":"","parse-names":false,"suffix":""},{"dropping-particle":"","family":"Oreffo","given":"Richard O C","non-dropping-particle":"","parse-names":false,"suffix":""},{"dropping-particle":"","family":"Bradley","given":"Mark","non-dropping-particle":"","parse-names":false,"suffix":""}],"container-title":"Advanced Functional Materials","id":"ITEM-1","issue":"22","issued":{"date-parts":[["2013"]]},"page":"2850-2862","title":"Discovery and evaluation of a functional ternary polymer blend for bone repair: Translation from a microarray to a clinical model","type":"article-journal","volume":"23"}}],"schema":"https://github.com/citation-style-language/schema/raw/master/csl-citation.json"} </w:instrText>
      </w:r>
      <w:r w:rsidR="00D31DD4" w:rsidRPr="00024FD1">
        <w:rPr>
          <w:rFonts w:cs="Arial"/>
          <w:szCs w:val="24"/>
        </w:rPr>
        <w:fldChar w:fldCharType="separate"/>
      </w:r>
      <w:r w:rsidR="00F14C47" w:rsidRPr="00F14C47">
        <w:rPr>
          <w:rFonts w:cs="Times"/>
          <w:szCs w:val="24"/>
          <w:vertAlign w:val="superscript"/>
        </w:rPr>
        <w:t>8</w:t>
      </w:r>
      <w:r w:rsidR="00D31DD4" w:rsidRPr="00024FD1">
        <w:rPr>
          <w:rFonts w:cs="Arial"/>
          <w:szCs w:val="24"/>
        </w:rPr>
        <w:fldChar w:fldCharType="end"/>
      </w:r>
      <w:r w:rsidR="00D351DC" w:rsidRPr="00024FD1">
        <w:rPr>
          <w:rFonts w:cs="Arial"/>
          <w:szCs w:val="24"/>
        </w:rPr>
        <w:t>.</w:t>
      </w:r>
    </w:p>
    <w:p w14:paraId="5BEFC3AD" w14:textId="1BCFFFEC" w:rsidR="00B23A12" w:rsidRPr="00024FD1" w:rsidRDefault="00926D4B" w:rsidP="00AA47F2">
      <w:pPr>
        <w:spacing w:line="480" w:lineRule="auto"/>
        <w:jc w:val="both"/>
        <w:rPr>
          <w:rFonts w:cs="Arial"/>
          <w:szCs w:val="24"/>
        </w:rPr>
      </w:pPr>
      <w:r w:rsidRPr="00024FD1">
        <w:rPr>
          <w:rFonts w:cs="Arial"/>
          <w:szCs w:val="24"/>
        </w:rPr>
        <w:t xml:space="preserve">A central </w:t>
      </w:r>
      <w:r w:rsidR="00B23A12" w:rsidRPr="00024FD1">
        <w:rPr>
          <w:rFonts w:cs="Arial"/>
          <w:szCs w:val="24"/>
        </w:rPr>
        <w:t xml:space="preserve">challenge associated with </w:t>
      </w:r>
      <w:r w:rsidR="0005594C" w:rsidRPr="00024FD1">
        <w:rPr>
          <w:rFonts w:cs="Arial"/>
          <w:szCs w:val="24"/>
        </w:rPr>
        <w:t xml:space="preserve">an implanted </w:t>
      </w:r>
      <w:r w:rsidR="00B23A12" w:rsidRPr="00024FD1">
        <w:rPr>
          <w:rFonts w:cs="Arial"/>
          <w:szCs w:val="24"/>
        </w:rPr>
        <w:t>scaffold</w:t>
      </w:r>
      <w:r w:rsidR="00F2465C" w:rsidRPr="00024FD1">
        <w:rPr>
          <w:rFonts w:cs="Arial"/>
          <w:szCs w:val="24"/>
        </w:rPr>
        <w:t xml:space="preserve"> </w:t>
      </w:r>
      <w:r w:rsidR="00B23A12" w:rsidRPr="00024FD1">
        <w:rPr>
          <w:rFonts w:cs="Arial"/>
          <w:szCs w:val="24"/>
        </w:rPr>
        <w:t>resides in the</w:t>
      </w:r>
      <w:r w:rsidR="0003645C">
        <w:rPr>
          <w:rFonts w:cs="Arial"/>
          <w:szCs w:val="24"/>
        </w:rPr>
        <w:t xml:space="preserve"> scaffold</w:t>
      </w:r>
      <w:r w:rsidR="00B23A12" w:rsidRPr="00024FD1">
        <w:rPr>
          <w:rFonts w:cs="Arial"/>
          <w:szCs w:val="24"/>
        </w:rPr>
        <w:t xml:space="preserve"> association with the host tissue vasculature. Scaffold-tissue integration is mediated, in part, by the presence of endothelial cells on the </w:t>
      </w:r>
      <w:r w:rsidR="00FC2666" w:rsidRPr="00024FD1">
        <w:rPr>
          <w:rFonts w:cs="Arial"/>
          <w:szCs w:val="24"/>
        </w:rPr>
        <w:t xml:space="preserve">lining of the </w:t>
      </w:r>
      <w:r w:rsidR="00B23A12" w:rsidRPr="00024FD1">
        <w:rPr>
          <w:rFonts w:cs="Arial"/>
          <w:szCs w:val="24"/>
        </w:rPr>
        <w:t>blood vessel</w:t>
      </w:r>
      <w:r w:rsidR="00FC2666" w:rsidRPr="00024FD1">
        <w:rPr>
          <w:rFonts w:cs="Arial"/>
          <w:szCs w:val="24"/>
        </w:rPr>
        <w:t>s</w:t>
      </w:r>
      <w:r w:rsidR="00B23A12" w:rsidRPr="00024FD1">
        <w:rPr>
          <w:rFonts w:cs="Arial"/>
          <w:szCs w:val="24"/>
        </w:rPr>
        <w:t xml:space="preserve">, which secrete growth factors </w:t>
      </w:r>
      <w:r w:rsidR="00FC2666" w:rsidRPr="00024FD1">
        <w:rPr>
          <w:rFonts w:cs="Arial"/>
          <w:szCs w:val="24"/>
        </w:rPr>
        <w:t>that</w:t>
      </w:r>
      <w:r w:rsidR="00B23A12" w:rsidRPr="00024FD1">
        <w:rPr>
          <w:rFonts w:cs="Arial"/>
          <w:szCs w:val="24"/>
        </w:rPr>
        <w:t xml:space="preserve"> promot</w:t>
      </w:r>
      <w:r w:rsidR="00FC2666" w:rsidRPr="00024FD1">
        <w:rPr>
          <w:rFonts w:cs="Arial"/>
          <w:szCs w:val="24"/>
        </w:rPr>
        <w:t>e</w:t>
      </w:r>
      <w:r w:rsidR="00B23A12" w:rsidRPr="00024FD1">
        <w:rPr>
          <w:rFonts w:cs="Arial"/>
          <w:szCs w:val="24"/>
        </w:rPr>
        <w:t xml:space="preserve"> angiogenesis, a prerequisite for tissue </w:t>
      </w:r>
      <w:r w:rsidR="00FC2666" w:rsidRPr="00024FD1">
        <w:rPr>
          <w:rFonts w:cs="Arial"/>
          <w:szCs w:val="24"/>
        </w:rPr>
        <w:t>re</w:t>
      </w:r>
      <w:r w:rsidR="00B23A12" w:rsidRPr="00024FD1">
        <w:rPr>
          <w:rFonts w:cs="Arial"/>
          <w:szCs w:val="24"/>
        </w:rPr>
        <w:t>generation to occur</w:t>
      </w:r>
      <w:r w:rsidR="00D351DC" w:rsidRPr="00024FD1">
        <w:rPr>
          <w:rFonts w:cs="Arial"/>
          <w:szCs w:val="24"/>
        </w:rPr>
        <w:t xml:space="preserve"> </w:t>
      </w:r>
      <w:r w:rsidR="005863FF" w:rsidRPr="00024FD1">
        <w:rPr>
          <w:rFonts w:cs="Arial"/>
          <w:szCs w:val="24"/>
        </w:rPr>
        <w:fldChar w:fldCharType="begin" w:fldLock="1"/>
      </w:r>
      <w:r w:rsidR="0033591E">
        <w:rPr>
          <w:rFonts w:cs="Arial"/>
          <w:szCs w:val="24"/>
        </w:rPr>
        <w:instrText xml:space="preserve"> ADDIN ZOTERO_ITEM CSL_CITATION {"citationID":"kScV5gGj","properties":{"formattedCitation":"\\super 9\\nosupersub{}","plainCitation":"9","noteIndex":0},"citationItems":[{"id":"1dryys0K/pdmfOdQc","uris":["http://www.mendeley.com/documents/?uuid=992cdd10-ab86-48a8-a9d0-b5c8c1c97cd8","http://www.mendeley.com/documents/?uuid=5a8cfaee-162a-4ff2-80f4-12198620aa29"],"itemData":{"DOI":"10.1002/cbf.2911","ISSN":"02636484","author":[{"dropping-particle":"","family":"Clarkin","given":"Claire E.","non-dropping-particle":"","parse-names":false,"suffix":""},{"dropping-particle":"","family":"Gerstenfeld","given":"Louis C.","non-dropping-particle":"","parse-names":false,"suffix":""}],"container-title":"Cell Biochemistry and Function","id":"ITEM-1","issue":"1","issued":{"date-parts":[["2013","1"]]},"page":"1-11","publisher":"John Wiley &amp; Sons, Ltd","title":"VEGF and bone cell signalling: an essential vessel for communication?","type":"article-journal","volume":"31"}}],"schema":"https://github.com/citation-style-language/schema/raw/master/csl-citation.json"} </w:instrText>
      </w:r>
      <w:r w:rsidR="005863FF" w:rsidRPr="00024FD1">
        <w:rPr>
          <w:rFonts w:cs="Arial"/>
          <w:szCs w:val="24"/>
        </w:rPr>
        <w:fldChar w:fldCharType="separate"/>
      </w:r>
      <w:r w:rsidR="00F14C47" w:rsidRPr="00F14C47">
        <w:rPr>
          <w:rFonts w:cs="Times"/>
          <w:szCs w:val="24"/>
          <w:vertAlign w:val="superscript"/>
        </w:rPr>
        <w:t>9</w:t>
      </w:r>
      <w:r w:rsidR="005863FF" w:rsidRPr="00024FD1">
        <w:rPr>
          <w:rFonts w:cs="Arial"/>
          <w:szCs w:val="24"/>
        </w:rPr>
        <w:fldChar w:fldCharType="end"/>
      </w:r>
      <w:r w:rsidR="00D351DC" w:rsidRPr="00024FD1">
        <w:rPr>
          <w:rFonts w:cs="Arial"/>
          <w:szCs w:val="24"/>
        </w:rPr>
        <w:t>.</w:t>
      </w:r>
      <w:r w:rsidR="005863FF" w:rsidRPr="00024FD1">
        <w:rPr>
          <w:rFonts w:cs="Arial"/>
          <w:szCs w:val="24"/>
        </w:rPr>
        <w:t xml:space="preserve"> </w:t>
      </w:r>
      <w:r w:rsidR="00FC2666" w:rsidRPr="00024FD1">
        <w:rPr>
          <w:rFonts w:cs="Arial"/>
          <w:szCs w:val="24"/>
        </w:rPr>
        <w:t>Indeed</w:t>
      </w:r>
      <w:r w:rsidR="003251D9" w:rsidRPr="00024FD1">
        <w:rPr>
          <w:rFonts w:cs="Arial"/>
          <w:szCs w:val="24"/>
        </w:rPr>
        <w:t>,</w:t>
      </w:r>
      <w:r w:rsidR="00B23A12" w:rsidRPr="00024FD1">
        <w:rPr>
          <w:rFonts w:cs="Arial"/>
          <w:szCs w:val="24"/>
        </w:rPr>
        <w:t xml:space="preserve"> in the formation of new bone and </w:t>
      </w:r>
      <w:r w:rsidR="00FC2666" w:rsidRPr="00024FD1">
        <w:rPr>
          <w:rFonts w:cs="Arial"/>
          <w:szCs w:val="24"/>
        </w:rPr>
        <w:t xml:space="preserve">the </w:t>
      </w:r>
      <w:r w:rsidR="00B23A12" w:rsidRPr="00024FD1">
        <w:rPr>
          <w:rFonts w:cs="Arial"/>
          <w:szCs w:val="24"/>
        </w:rPr>
        <w:t xml:space="preserve">reparation of local skeletal injuries (fracture), </w:t>
      </w:r>
      <w:r w:rsidR="0003645C">
        <w:rPr>
          <w:rFonts w:cs="Arial"/>
          <w:szCs w:val="24"/>
        </w:rPr>
        <w:t xml:space="preserve">the </w:t>
      </w:r>
      <w:r w:rsidR="00B23A12" w:rsidRPr="00024FD1">
        <w:rPr>
          <w:rFonts w:cs="Arial"/>
          <w:szCs w:val="24"/>
        </w:rPr>
        <w:t>vasculature plays a significant role in supporting cell recruitment, maintenance and directed cell differentiation</w:t>
      </w:r>
      <w:r w:rsidR="009A2D6E" w:rsidRPr="00024FD1">
        <w:rPr>
          <w:rFonts w:cs="Arial"/>
          <w:szCs w:val="24"/>
        </w:rPr>
        <w:t xml:space="preserve"> facilitating repair</w:t>
      </w:r>
      <w:r w:rsidR="00B23A12" w:rsidRPr="00024FD1">
        <w:rPr>
          <w:rFonts w:cs="Arial"/>
          <w:szCs w:val="24"/>
        </w:rPr>
        <w:t>. Furthermore, in bone regeneration, blood vessels supplying oxygen and nutrients</w:t>
      </w:r>
      <w:r w:rsidR="0003645C">
        <w:rPr>
          <w:rFonts w:cs="Arial"/>
          <w:szCs w:val="24"/>
        </w:rPr>
        <w:t xml:space="preserve">, remove toxic components and, </w:t>
      </w:r>
      <w:r w:rsidR="00B23A12" w:rsidRPr="00024FD1">
        <w:rPr>
          <w:rFonts w:cs="Arial"/>
          <w:szCs w:val="24"/>
        </w:rPr>
        <w:t>additionally</w:t>
      </w:r>
      <w:r w:rsidR="0003645C">
        <w:rPr>
          <w:rFonts w:cs="Arial"/>
          <w:szCs w:val="24"/>
        </w:rPr>
        <w:t>,</w:t>
      </w:r>
      <w:r w:rsidR="00B23A12" w:rsidRPr="00024FD1">
        <w:rPr>
          <w:rFonts w:cs="Arial"/>
          <w:szCs w:val="24"/>
        </w:rPr>
        <w:t xml:space="preserve"> serve as a reservoir for pericytes and osteoblasts, which further support and induce cell differentiation</w:t>
      </w:r>
      <w:r w:rsidR="00D351DC" w:rsidRPr="00024FD1">
        <w:rPr>
          <w:rFonts w:cs="Arial"/>
          <w:szCs w:val="24"/>
        </w:rPr>
        <w:t xml:space="preserve"> </w:t>
      </w:r>
      <w:r w:rsidR="00CC076F" w:rsidRPr="00024FD1">
        <w:rPr>
          <w:rFonts w:cs="Arial"/>
          <w:szCs w:val="24"/>
        </w:rPr>
        <w:fldChar w:fldCharType="begin" w:fldLock="1"/>
      </w:r>
      <w:r w:rsidR="0033591E">
        <w:rPr>
          <w:rFonts w:cs="Arial"/>
          <w:szCs w:val="24"/>
        </w:rPr>
        <w:instrText xml:space="preserve"> ADDIN ZOTERO_ITEM CSL_CITATION {"citationID":"vcv3lATR","properties":{"formattedCitation":"\\super 10\\nosupersub{}","plainCitation":"10","noteIndex":0},"citationItems":[{"id":"1dryys0K/PPGgwoFw","uris":["http://www.mendeley.com/documents/?uuid=9f2df07a-bf63-4891-9dc4-c9cb5b3614d5","http://www.mendeley.com/documents/?uuid=a2703cb3-53a2-4f24-a65a-b742eaf0fd27"],"itemData":{"DOI":"10.1098/rsob.190144","ISSN":"20462441","abstract":"Skeletal vasculature plays a central role in the maintenance of microenvironments for osteogenesis and haematopoiesis. In addition to supplying oxygen and nutrients, vasculature provides a number of inductive factors termed as angiocrine signals. Blood vessels drive recruitment of osteoblast precursors and bone formation during development. Angiogenesis is indispensable for bone repair and regeneration. Dysregulation of the angiocrine crosstalk is a hallmark of ageing and pathobiological conditions in the skeletal system. The skeletal vascular bed is complex, heterogeneous and characterized by distinct capillary subtypes (type H and type L), which exhibit differential expression of angiocrine factors. Furthermore, distinct blood vessel subtypes with differential angiocrine profiles differentially regulate osteogenesis and haematopoiesis, and drive disease states in the skeletal system. This review provides an overview of the role of angiocrine signals in bone during homeostasis and disease.","author":[{"dropping-particle":"","family":"Sivan","given":"Unnikrishnan","non-dropping-particle":"","parse-names":false,"suffix":""},{"dropping-particle":"","family":"Angelis","given":"Jessica","non-dropping-particle":"De","parse-names":false,"suffix":""},{"dropping-particle":"","family":"Kusumbe","given":"Anjali P.","non-dropping-particle":"","parse-names":false,"suffix":""}],"container-title":"Open biology","id":"ITEM-1","issue":"10","issued":{"date-parts":[["2019"]]},"page":"190144","title":"Role of angiocrine signals in bone development, homeostasis and disease","type":"article-journal","volume":"9"}}],"schema":"https://github.com/citation-style-language/schema/raw/master/csl-citation.json"} </w:instrText>
      </w:r>
      <w:r w:rsidR="00CC076F" w:rsidRPr="00024FD1">
        <w:rPr>
          <w:rFonts w:cs="Arial"/>
          <w:szCs w:val="24"/>
        </w:rPr>
        <w:fldChar w:fldCharType="separate"/>
      </w:r>
      <w:r w:rsidR="00F14C47" w:rsidRPr="00F14C47">
        <w:rPr>
          <w:rFonts w:cs="Times"/>
          <w:szCs w:val="24"/>
          <w:vertAlign w:val="superscript"/>
        </w:rPr>
        <w:t>10</w:t>
      </w:r>
      <w:r w:rsidR="00CC076F" w:rsidRPr="00024FD1">
        <w:rPr>
          <w:rFonts w:cs="Arial"/>
          <w:szCs w:val="24"/>
        </w:rPr>
        <w:fldChar w:fldCharType="end"/>
      </w:r>
      <w:r w:rsidR="00D351DC" w:rsidRPr="00024FD1">
        <w:rPr>
          <w:rFonts w:cs="Arial"/>
          <w:szCs w:val="24"/>
        </w:rPr>
        <w:t>.</w:t>
      </w:r>
      <w:r w:rsidR="00B23A12" w:rsidRPr="00024FD1">
        <w:rPr>
          <w:rFonts w:cs="Arial"/>
          <w:szCs w:val="24"/>
        </w:rPr>
        <w:t xml:space="preserve"> The appropriate surface chemistry and mechanical properties offered by </w:t>
      </w:r>
      <w:r w:rsidR="003251D9" w:rsidRPr="00024FD1">
        <w:rPr>
          <w:rFonts w:cs="Arial"/>
          <w:szCs w:val="24"/>
        </w:rPr>
        <w:t xml:space="preserve">porous </w:t>
      </w:r>
      <w:r w:rsidR="00B23A12" w:rsidRPr="00024FD1">
        <w:rPr>
          <w:rFonts w:cs="Arial"/>
          <w:szCs w:val="24"/>
        </w:rPr>
        <w:t xml:space="preserve">scaffolds </w:t>
      </w:r>
      <w:r w:rsidR="0003645C">
        <w:rPr>
          <w:rFonts w:cs="Arial"/>
          <w:szCs w:val="24"/>
        </w:rPr>
        <w:t xml:space="preserve">thus </w:t>
      </w:r>
      <w:r w:rsidR="00B23A12" w:rsidRPr="00024FD1">
        <w:rPr>
          <w:rFonts w:cs="Arial"/>
          <w:szCs w:val="24"/>
        </w:rPr>
        <w:t>become</w:t>
      </w:r>
      <w:r w:rsidR="0003645C">
        <w:rPr>
          <w:rFonts w:cs="Arial"/>
          <w:szCs w:val="24"/>
        </w:rPr>
        <w:t>s</w:t>
      </w:r>
      <w:r w:rsidR="00B23A12" w:rsidRPr="00024FD1">
        <w:rPr>
          <w:rFonts w:cs="Arial"/>
          <w:szCs w:val="24"/>
        </w:rPr>
        <w:t xml:space="preserve"> important in directing such tissue repair through angiogenesis and tissue regeneration</w:t>
      </w:r>
      <w:r w:rsidR="00D351DC" w:rsidRPr="00024FD1">
        <w:rPr>
          <w:rFonts w:cs="Arial"/>
          <w:szCs w:val="24"/>
        </w:rPr>
        <w:t xml:space="preserve"> </w:t>
      </w:r>
      <w:r w:rsidR="005863FF" w:rsidRPr="00024FD1">
        <w:rPr>
          <w:rFonts w:cs="Arial"/>
          <w:szCs w:val="24"/>
        </w:rPr>
        <w:fldChar w:fldCharType="begin" w:fldLock="1"/>
      </w:r>
      <w:r w:rsidR="0033591E">
        <w:rPr>
          <w:rFonts w:cs="Arial"/>
          <w:szCs w:val="24"/>
        </w:rPr>
        <w:instrText xml:space="preserve"> ADDIN ZOTERO_ITEM CSL_CITATION {"citationID":"1Cd9gpGr","properties":{"formattedCitation":"\\super 11,12\\nosupersub{}","plainCitation":"11,12","noteIndex":0},"citationItems":[{"id":"1dryys0K/BEPS0WtI","uris":["http://www.mendeley.com/documents/?uuid=f1e2d9a7-25c4-49bc-b1c2-39185d9b2fde","http://www.mendeley.com/documents/?uuid=95ecaee9-4cdb-41a5-b737-b93389bdbe50"],"itemData":{"DOI":"10.1039/C6TB00783J","ISSN":"2050-750X","abstract":"&lt;p&gt;This review provides an outline of various approaches for building bioactive elements into synthetic scaffolds for bone tissue engineering and classifies them broadly under two distinct schemes; namely, the top-down approach and the bottom-up approach.&lt;/p&gt;","author":[{"dropping-particle":"","family":"Kesireddy","given":"Venu","non-dropping-particle":"","parse-names":false,"suffix":""},{"dropping-particle":"","family":"Kasper","given":"F. Kurtis","non-dropping-particle":"","parse-names":false,"suffix":""}],"container-title":"Journal of Materials Chemistry B","id":"ITEM-1","issue":"42","issued":{"date-parts":[["2016","10"]]},"page":"6773-6786","publisher":"The Royal Society of Chemistry","title":"Approaches for building bioactive elements into synthetic scaffolds for bone tissue engineering","type":"article-journal","volume":"4"}},{"id":2784,"uris":["http://zotero.org/users/8425864/items/CBY9RSWD"],"itemData":{"id":2784,"type":"article-journal","abstract":"Abstract\n            The vascular system, which transports oxygen and nutrients, plays an important role in wound healing, cardiovascular disease treatment and bone tissue engineering. Angiogenesis is a complex and delicate regulatory process. Vascular cells, the extracellular matrix (ECM) and angiogenic factors are indispensable in the promotion of lumen formation and vascular maturation to support blood flow. However, the addition of growth factors or proteins involved in proangiogenic effects is not effective for regulating angiogenesis in different microenvironments. The construction of biomaterial scaffolds to achieve optimal growth conditions and earlier vascularization is undoubtedly one of the most important considerations and major challenges among engineering strategies. Nanomaterials have attracted much attention in biomedical applications due to their structure and unique photoelectric and catalytic properties. Nanomaterials not only serve as carriers that effectively deliver factors such as angiogenesis-related proteins and mRNA but also simulate the nano-topological structure of the primary ECM of blood vessels and stimulate the gene expression of angiogenic effects facilitating angiogenesis. Therefore, the introduction of nanomaterials to promote angiogenesis is a great helpful to the success of tissue regeneration and some ischaemic diseases. This review focuses on the angiogenic effects of nanoscaffolds in different types of tissue regeneration and discusses the influencing factors as well as possible related mechanisms of nanomaterials in endothelial neovascularization. It contributes novel insights into the design and development of novel nanomaterials for vascularization and therapeutic applications.","container-title":"Journal of Nanobiotechnology","DOI":"10.1186/s12951-019-0570-3","ISSN":"1477-3155","issue":"1","journalAbbreviation":"J Nanobiotechnol","language":"en","page":"9","source":"DOI.org (Crossref)","title":"Insights into the angiogenic effects of nanomaterials: mechanisms involved and potential applications","title-short":"Insights into the angiogenic effects of nanomaterials","volume":"18","author":[{"family":"Liu","given":"Wenjing"},{"family":"Zhang","given":"Guilan"},{"family":"Wu","given":"Junrong"},{"family":"Zhang","given":"Yanli"},{"family":"Liu","given":"Jia"},{"family":"Luo","given":"Haiyun"},{"family":"Shao","given":"Longquan"}],"issued":{"date-parts":[["2020",12]]}}}],"schema":"https://github.com/citation-style-language/schema/raw/master/csl-citation.json"} </w:instrText>
      </w:r>
      <w:r w:rsidR="005863FF" w:rsidRPr="00024FD1">
        <w:rPr>
          <w:rFonts w:cs="Arial"/>
          <w:szCs w:val="24"/>
        </w:rPr>
        <w:fldChar w:fldCharType="separate"/>
      </w:r>
      <w:r w:rsidR="00276F52" w:rsidRPr="00276F52">
        <w:rPr>
          <w:rFonts w:cs="Times"/>
          <w:szCs w:val="24"/>
          <w:vertAlign w:val="superscript"/>
        </w:rPr>
        <w:t>11,12</w:t>
      </w:r>
      <w:r w:rsidR="005863FF" w:rsidRPr="00024FD1">
        <w:rPr>
          <w:rFonts w:cs="Arial"/>
          <w:szCs w:val="24"/>
        </w:rPr>
        <w:fldChar w:fldCharType="end"/>
      </w:r>
      <w:r w:rsidR="00D351DC" w:rsidRPr="00024FD1">
        <w:rPr>
          <w:rFonts w:cs="Arial"/>
          <w:szCs w:val="24"/>
        </w:rPr>
        <w:t>.</w:t>
      </w:r>
      <w:r w:rsidR="005863FF" w:rsidRPr="00024FD1">
        <w:rPr>
          <w:rFonts w:cs="Arial"/>
          <w:szCs w:val="24"/>
        </w:rPr>
        <w:t xml:space="preserve"> </w:t>
      </w:r>
      <w:r w:rsidR="00B23A12" w:rsidRPr="00024FD1">
        <w:rPr>
          <w:rFonts w:cs="Arial"/>
          <w:szCs w:val="24"/>
        </w:rPr>
        <w:t>Optimum bone regeneration in concert with vasculature formation</w:t>
      </w:r>
      <w:r w:rsidR="00CC076F" w:rsidRPr="00024FD1">
        <w:rPr>
          <w:rFonts w:cs="Arial"/>
          <w:szCs w:val="24"/>
        </w:rPr>
        <w:t xml:space="preserve"> requires that the scaffolds </w:t>
      </w:r>
      <w:r w:rsidR="0003645C">
        <w:rPr>
          <w:rFonts w:cs="Arial"/>
          <w:szCs w:val="24"/>
        </w:rPr>
        <w:t xml:space="preserve">display </w:t>
      </w:r>
      <w:r w:rsidR="00CC076F" w:rsidRPr="00024FD1">
        <w:rPr>
          <w:rFonts w:cs="Arial"/>
          <w:szCs w:val="24"/>
        </w:rPr>
        <w:t xml:space="preserve">a range of </w:t>
      </w:r>
      <w:r w:rsidR="00B23A12" w:rsidRPr="00024FD1">
        <w:rPr>
          <w:rFonts w:cs="Arial"/>
          <w:szCs w:val="24"/>
        </w:rPr>
        <w:t>interconnected pores that correspond to the size of the trabeculae</w:t>
      </w:r>
      <w:r w:rsidR="006A001B" w:rsidRPr="00024FD1">
        <w:rPr>
          <w:rFonts w:cs="Arial"/>
          <w:szCs w:val="24"/>
        </w:rPr>
        <w:t xml:space="preserve"> (100 to 400 µm), as these pore sizes </w:t>
      </w:r>
      <w:r w:rsidR="00983FDA" w:rsidRPr="00024FD1">
        <w:rPr>
          <w:rFonts w:cs="Arial"/>
          <w:szCs w:val="24"/>
        </w:rPr>
        <w:t xml:space="preserve">facilitate and </w:t>
      </w:r>
      <w:r w:rsidR="006A001B" w:rsidRPr="00024FD1">
        <w:rPr>
          <w:rFonts w:cs="Arial"/>
          <w:szCs w:val="24"/>
        </w:rPr>
        <w:t>stimulate proliferation and osteogenesis (100 to 200 µm) along with angiogenesis (200 to 400 µm</w:t>
      </w:r>
      <w:r w:rsidRPr="00024FD1">
        <w:rPr>
          <w:rFonts w:cs="Arial"/>
          <w:szCs w:val="24"/>
        </w:rPr>
        <w:t>)</w:t>
      </w:r>
      <w:r w:rsidR="00D351DC" w:rsidRPr="00024FD1">
        <w:rPr>
          <w:rFonts w:cs="Arial"/>
          <w:szCs w:val="24"/>
        </w:rPr>
        <w:t xml:space="preserve"> </w:t>
      </w:r>
      <w:r w:rsidR="00A07BB8" w:rsidRPr="00024FD1">
        <w:rPr>
          <w:rFonts w:cs="Arial"/>
          <w:szCs w:val="24"/>
        </w:rPr>
        <w:fldChar w:fldCharType="begin" w:fldLock="1"/>
      </w:r>
      <w:r w:rsidR="0033591E">
        <w:rPr>
          <w:rFonts w:cs="Arial"/>
          <w:szCs w:val="24"/>
        </w:rPr>
        <w:instrText xml:space="preserve"> ADDIN ZOTERO_ITEM CSL_CITATION {"citationID":"FXyaClvU","properties":{"formattedCitation":"\\super 7,13\\uc0\\u8211{}15\\nosupersub{}","plainCitation":"7,13–15","noteIndex":0},"citationItems":[{"id":2781,"uris":["http://zotero.org/users/8425864/items/CGJ4PXAL"],"itemData":{"id":2781,"type":"article-journal","abstract":"Additive manufacturing or 3D printing of materials is a prominent process technology which involves the fabrication of materials layer-by-layer or point-by-point in a subsequent manner. With recent advancements in additive manufacturing, the technology has excited a great potential for extension of simple designs to complex multi-material geometries. Vat photopolymerization is a subdivision of additive manufacturing which possesses many attractive features, including excellent printing resolution, high dimensional accuracy, low-cost manufacturing, and the ability to spatially control the material properties. However, the technology is currently limited by design strategies, material chemistries, and equipment limitations. This review aims to provide readers with a comprehensive comparison of different additive manufacturing technologies along with detailed knowledge on advances in multi-material vat photopolymerization technologies. Furthermore, we describe popular material chemistries both from the past and more recently, along with future prospects to address the material-related limitations of vat photopolymerization. Examples of the impressive multi-material capabilities inspired by nature which are applicable today in multiple areas of life are briefly presented in the applications section. Finally, we describe our point of view on the future prospects of 3D printed multi-material structures as well as on the way forward towards promising further advancements in vat photopolymerization.","container-title":"Polymers","DOI":"10.3390/polym14122449","ISSN":"2073-4360","issue":"12","journalAbbreviation":"Polymers","language":"en","page":"2449","source":"DOI.org (Crossref)","title":"A Review of Multi-Material 3D Printing of Functional Materials via Vat Photopolymerization","volume":"14","author":[{"family":"Shaukat","given":"Usman"},{"family":"Rossegger","given":"Elisabeth"},{"family":"Schlögl","given":"Sandra"}],"issued":{"date-parts":[["2022",6,16]]}}},{"id":"1dryys0K/YwqVWd8a","uris":["http://www.mendeley.com/documents/?uuid=3b61a6be-d85b-4d27-a60c-f1fed5ae108a","http://www.mendeley.com/documents/?uuid=5b444855-f77f-43bd-90db-58005c522294"],"itemData":{"DOI":"10.1002/jbm.a","ISBN":"1301435635","ISSN":"1549-3296","PMID":"17226806","author":[{"dropping-particle":"","family":"Simon","given":"Joshua L","non-dropping-particle":"","parse-names":false,"suffix":""},{"dropping-particle":"","family":"Michna","given":"Sarah","non-dropping-particle":"","parse-names":false,"suffix":""},{"dropping-particle":"","family":"Lewis","given":"Jennifer A","non-dropping-particle":"","parse-names":false,"suffix":""},{"dropping-particle":"","family":"Rekow","given":"E Dianne","non-dropping-particle":"","parse-names":false,"suffix":""},{"dropping-particle":"","family":"Thompson","given":"Van P","non-dropping-particle":"","parse-names":false,"suffix":""},{"dropping-particle":"","family":"Smay","given":"James E","non-dropping-particle":"","parse-names":false,"suffix":""},{"dropping-particle":"","family":"Yampolsky","given":"Andrew","non-dropping-particle":"","parse-names":false,"suffix":""},{"dropping-particle":"","family":"Parsons","given":"J Russell","non-dropping-particle":"","parse-names":false,"suffix":""},{"dropping-particle":"","family":"Ricci","given":"John L","non-dropping-particle":"","parse-names":false,"suffix":""}],"container-title":"Journal of Biomedical Materials Research Part A","id":"ITEM-1","issue":"3","issued":{"date-parts":[["2007"]]},"page":"747-758","title":"In vivo bone response to 3D periodic hydroxyapatite scaffolds assembled by direct ink writing","type":"article-journal","volume":"83"}},{"id":"1dryys0K/faBGptID","uris":["http://www.mendeley.com/documents/?uuid=1ac8fc7f-3f2f-4036-b7e0-5b5a4d151fcf","http://www.mendeley.com/documents/?uuid=7424b589-0861-49a1-aef0-0f58d0ae0712"],"itemData":{"DOI":"10.1002/jbm.a.31559","ISSN":"15493296","abstract":"The repair of bone defects with biomaterials depends on a sufficient vascularization of the implantation site. We analyzed the effect of pore size on the vascularization and osseointegration of biphasic calcium phosphate particles, which were implanted into critical-sized cranial defects in Balb/c mice. Dense particles and particles with pore sizes in the ranges 40-70, 70-140, 140-210, and 210-280 μm were tested (n = 6 animals per group). Angiogenesis, vascularization, and leukocyte-endothelium interactions were monitored for 28 days by intravital microscopy. The formation of new bone and the bone-interface contact (BIC) were determined histomorphometrically. Twenty-eight days after implantation, the functional capillary density was significantly higher with ceramic particles whose pore sizes exceeded 140 μm [140-210 μm: 6.6 (±0.8) mm/mm2; 210-280 μm: 7.3 (±0.6) mm/mm2] than with those whose pore sizes were lesser than 140 μm [40-70 μm: 5.3 (±0.4) mm/mm2; 70-140 μm: 5.6 (±0.3) mm/mm2] or with dense particles [5.7 (±0.8) mm/mm2]. The volume of newly-formed bone deposited within the implants increased as the pore size increased [40-70 μm: 0.07 (±0.02) mm3; 70-140 μm: 0.10 (±0.06) mm3; 140-210 μm: 0.13 (±0.05) mm3; 210-280 μm: 0.15 (±0.06) mm3]. Similar results were observed for the BIC. The data demonstrates pore size to be a critical parameter governing the dynamic processes of vascularization and osseointegration of bone substitutes. © 2007 Wiley Periodicals, Inc.","author":[{"dropping-particle":"","family":"Klenke","given":"Frank M.","non-dropping-particle":"","parse-names":false,"suffix":""},{"dropping-particle":"","family":"Liu","given":"Yuelian","non-dropping-particle":"","parse-names":false,"suffix":""},{"dropping-particle":"","family":"Yuan","given":"Huipin","non-dropping-particle":"","parse-names":false,"suffix":""},{"dropping-particle":"","family":"Hunziker","given":"Ernst B.","non-dropping-particle":"","parse-names":false,"suffix":""},{"dropping-particle":"","family":"Siebenrock","given":"Klaus A.","non-dropping-particle":"","parse-names":false,"suffix":""},{"dropping-particle":"","family":"Hofstetter","given":"Willy","non-dropping-particle":"","parse-names":false,"suffix":""}],"container-title":"Journal of Biomedical Materials Research Part A","id":"ITEM-2","issue":"3","issued":{"date-parts":[["2008"]]},"page":"777-786","title":"Impact of pore size on the vascularization and osseointegration of ceramic bone substitutes in vivo","type":"article-journal","volume":"85"}},{"id":"1dryys0K/HDlRQF8X","uris":["http://www.mendeley.com/documents/?uuid=7b829852-8e18-4a41-83d0-3526af1a24db"],"itemData":{"DOI":"10.1016/j.msec.2015.12.087","ISSN":"09284931","abstract":"Biomaterials in the form of scaffolds hold great promise in the regeneration of diseased tissues. The scaffolds stimulate cellular adhesion, proliferation and differentiation. While the scaffold composition will dictate their biocompatibility, their porosity plays a key role in allowing proper cell penetration, nutrient diffusion as well as bone ingrowth. Porous scaffolds are processed with the help of a wide variety of techniques. Designing scaffolds with the appropriate porosity is a complex issue since this may jeopardize other physico-chemical properties. From a macroscopic point of view, parameters such as the overall architecture, pore morphology, interconnectivity and pore size distribution, have unique roles in allowing bone ingrowth to take place. From a microscopic perspective, the adsorption and retention of proteins in the microporosities of the material will dictate the subsequent cell adhesion. Therefore, the microstructure of the substrate can determine cell proliferation as well as the expression of specific osteogenic genes. This review aims at discussing the effect of micro- and macroporosity on the physico-chemical and biological properties of scaffolds for musculo-skeletal tissue regeneration.","author":[{"dropping-particle":"","family":"Perez","given":"Roman A.","non-dropping-particle":"","parse-names":false,"suffix":""},{"dropping-particle":"","family":"Mestres","given":"Gemma","non-dropping-particle":"","parse-names":false,"suffix":""}],"container-title":"Materials Science and Engineering C","id":"ITEM-3","issued":{"date-parts":[["2016"]]},"page":"922-939","publisher":"Elsevier B.V.","title":"Role of pore size and morphology in musculo-skeletal tissue regeneration","type":"article-journal","volume":"61"}}],"schema":"https://github.com/citation-style-language/schema/raw/master/csl-citation.json"} </w:instrText>
      </w:r>
      <w:r w:rsidR="00A07BB8" w:rsidRPr="00024FD1">
        <w:rPr>
          <w:rFonts w:cs="Arial"/>
          <w:szCs w:val="24"/>
        </w:rPr>
        <w:fldChar w:fldCharType="separate"/>
      </w:r>
      <w:r w:rsidR="00276F52" w:rsidRPr="00276F52">
        <w:rPr>
          <w:rFonts w:cs="Times"/>
          <w:szCs w:val="24"/>
          <w:vertAlign w:val="superscript"/>
        </w:rPr>
        <w:t>7,13–15</w:t>
      </w:r>
      <w:r w:rsidR="00A07BB8" w:rsidRPr="00024FD1">
        <w:rPr>
          <w:rFonts w:cs="Arial"/>
          <w:szCs w:val="24"/>
        </w:rPr>
        <w:fldChar w:fldCharType="end"/>
      </w:r>
      <w:r w:rsidR="00D351DC" w:rsidRPr="00024FD1">
        <w:rPr>
          <w:rFonts w:cs="Arial"/>
          <w:szCs w:val="24"/>
        </w:rPr>
        <w:t>.</w:t>
      </w:r>
      <w:r w:rsidR="00A07BB8" w:rsidRPr="00024FD1">
        <w:rPr>
          <w:rFonts w:cs="Arial"/>
          <w:szCs w:val="24"/>
          <w:vertAlign w:val="superscript"/>
        </w:rPr>
        <w:t xml:space="preserve"> </w:t>
      </w:r>
      <w:r w:rsidR="006A001B" w:rsidRPr="00024FD1">
        <w:rPr>
          <w:rFonts w:cs="Arial"/>
          <w:szCs w:val="24"/>
        </w:rPr>
        <w:t>In addition</w:t>
      </w:r>
      <w:r w:rsidR="00B23A12" w:rsidRPr="00024FD1">
        <w:rPr>
          <w:rFonts w:cs="Arial"/>
          <w:szCs w:val="24"/>
        </w:rPr>
        <w:t xml:space="preserve"> a plethora of studies have harnessed scaffolds loaded with growth factors such as BMP-2 and VEGF</w:t>
      </w:r>
      <w:r w:rsidR="005D3D05" w:rsidRPr="00024FD1">
        <w:rPr>
          <w:rFonts w:cs="Arial"/>
          <w:szCs w:val="24"/>
        </w:rPr>
        <w:t xml:space="preserve"> </w:t>
      </w:r>
      <w:r w:rsidR="006A001B" w:rsidRPr="00024FD1">
        <w:rPr>
          <w:rFonts w:cs="Arial"/>
          <w:szCs w:val="24"/>
        </w:rPr>
        <w:t>to facilitate tissue regeneration</w:t>
      </w:r>
      <w:r w:rsidR="00D351DC" w:rsidRPr="00024FD1">
        <w:rPr>
          <w:rFonts w:cs="Arial"/>
          <w:szCs w:val="24"/>
        </w:rPr>
        <w:t xml:space="preserve"> </w:t>
      </w:r>
      <w:r w:rsidR="005D3D05" w:rsidRPr="00024FD1">
        <w:rPr>
          <w:rFonts w:cs="Arial"/>
          <w:szCs w:val="24"/>
        </w:rPr>
        <w:fldChar w:fldCharType="begin" w:fldLock="1"/>
      </w:r>
      <w:r w:rsidR="0033591E">
        <w:rPr>
          <w:rFonts w:cs="Arial"/>
          <w:szCs w:val="24"/>
        </w:rPr>
        <w:instrText xml:space="preserve"> ADDIN ZOTERO_ITEM CSL_CITATION {"citationID":"mkPqI2pH","properties":{"formattedCitation":"\\super 16\\uc0\\u8211{}18\\nosupersub{}","plainCitation":"16–18","noteIndex":0},"citationItems":[{"id":"1dryys0K/Fsu9lqnH","uris":["http://www.mendeley.com/documents/?uuid=5f3692bc-a7da-41f9-9ecb-58549ac6039d","http://www.mendeley.com/documents/?uuid=d71b4d4f-c3b2-455a-9541-f0a4d6738fa9"],"itemData":{"DOI":"10.231/jim.0b013e3181f18e38","PMID":"20683343","author":[{"dropping-particle":"","family":"Papavasiliou","given":"Georgia","non-dropping-particle":"","parse-names":false,"suffix":""},{"dropping-particle":"","family":"Cheng","given":"Ming Huei","non-dropping-particle":"","parse-names":false,"suffix":""},{"dropping-particle":"","family":"Brey","given":"Eric M.","non-dropping-particle":"","parse-names":false,"suffix":""}],"container-title":"Journal of investigative medicine : the official publication of the American Federation for Clinical Research","id":"ITEM-1","issue":"7","issued":{"date-parts":[["2010"]]},"page":"838","publisher":"NIH Public Access","title":"Strategies for Vascularization of Polymer Scaffolds","type":"article-journal","volume":"58"}},{"id":"1dryys0K/7MP4YIQG","uris":["http://www.mendeley.com/documents/?uuid=6cedefe4-f731-48ea-b1a1-9c06d153cb11","http://www.mendeley.com/documents/?uuid=e7071668-8503-460a-becf-7182757d177e"],"itemData":{"DOI":"10.1021/acsnano.5b07950","ISSN":"1936086X","abstract":"© 2016 American Chemical Society. Growth factors are of great potential in regenerative medicine. However, their clinical applications are largely limited by the short in vivo half-lives and the narrow therapeutic window. Thus, a robust controlled release system remains an unmet medical need for growth-factor-based therapies. In this research, a nanoscale controlled release system (degradable protein nanocapsule) is established via in situ polymerization on growth factor. The release rate can be finely tuned by engineering the surface polymer composition. Improved therapeutic outcomes can be achieved with growth factor nanocapsules, as illustrated in spinal cord fusion mediated by bone morphogenetic protein-2 nanocapsules.","author":[{"dropping-particle":"","family":"Tian","given":"Haijun","non-dropping-particle":"","parse-names":false,"suffix":""},{"dropping-particle":"","family":"Du","given":"Juanjuan","non-dropping-particle":"","parse-names":false,"suffix":""},{"dropping-particle":"","family":"Wen","given":"Jing","non-dropping-particle":"","parse-names":false,"suffix":""},{"dropping-particle":"","family":"Liu","given":"Yang","non-dropping-particle":"","parse-names":false,"suffix":""},{"dropping-particle":"","family":"Montgomery","given":"Scott R.","non-dropping-particle":"","parse-names":false,"suffix":""},{"dropping-particle":"","family":"Scott","given":"Trevor P.","non-dropping-particle":"","parse-names":false,"suffix":""},{"dropping-particle":"","family":"Aghdasi","given":"Bayan","non-dropping-particle":"","parse-names":false,"suffix":""},{"dropping-particle":"","family":"Xiong","given":"Chengjie","non-dropping-particle":"","parse-names":false,"suffix":""},{"dropping-particle":"","family":"Suzuki","given":"Akinobu","non-dropping-particle":"","parse-names":false,"suffix":""},{"dropping-particle":"","family":"Hayashi","given":"Tetsuo","non-dropping-particle":"","parse-names":false,"suffix":""},{"dropping-particle":"","family":"Ruangchainikom","given":"Monchai","non-dropping-particle":"","parse-names":false,"suffix":""},{"dropping-particle":"","family":"Phan","given":"Kevin","non-dropping-particle":"","parse-names":false,"suffix":""},{"dropping-particle":"","family":"Weintraub","given":"Gil","non-dropping-particle":"","parse-names":false,"suffix":""},{"dropping-particle":"","family":"Raed","given":"Alobaidaan","non-dropping-particle":"","parse-names":false,"suffix":""},{"dropping-particle":"","family":"Murray","given":"Samuel S.","non-dropping-particle":"","parse-names":false,"suffix":""},{"dropping-particle":"","family":"Daubs","given":"Michael D.","non-dropping-particle":"","parse-names":false,"suffix":""},{"dropping-particle":"","family":"Yang","given":"Xianjin","non-dropping-particle":"","parse-names":false,"suffix":""},{"dropping-particle":"","family":"Yuan","given":"Xu Bo","non-dropping-particle":"","parse-names":false,"suffix":""},{"dropping-particle":"","family":"Wang","given":"Jeffrey C.","non-dropping-particle":"","parse-names":false,"suffix":""},{"dropping-particle":"","family":"Lu","given":"Yunfeng","non-dropping-particle":"","parse-names":false,"suffix":""}],"container-title":"ACS Nano","id":"ITEM-2","issue":"8","issued":{"date-parts":[["2016","8"]]},"page":"7362-7369","publisher":"American Chemical Society","title":"Growth-Factor Nanocapsules That Enable Tunable Controlled Release for Bone Regeneration","type":"article-journal","volume":"10"}},{"id":"1dryys0K/QFKrQiA3","uris":["http://www.mendeley.com/documents/?uuid=2da1d26f-c121-41af-8170-176a3e19522f"],"itemData":{"DOI":"10.1016/j.biomaterials.2016.05.010","ISSN":"1878-5905","abstract":"Bone Morphogenic Protein 2 (BMP2) can induce ectopic bone. This ability, which first motivated the widespread application of BMP2 in fracture healing and spinal arthrodesis has, more recently, been indicated as one of several serious adverse effects associated with the supra-physiological doses of BMP2 relied upon for clinical efficacy. Key to harnessing BMPs and other agents safely and effectively will be the ability to localize activity at a target site at substantially reduced doses. Clay (Laponite) nanoparticles can self assemble into gels under physiological conditions and bind growth factors for enhanced and localized efficacy. Here we show the ability to localize and enhance the activity of BMP2 to achieve ectopic bone formation at doses within the sub-microgram per ml range of concentrations sufficient to induce differentiation of responsive cell populations in vitro and at approximately 3000 fold lower than those employed in clinical practice.","author":[{"dropping-particle":"","family":"Gibbs","given":"D M","non-dropping-particle":"","parse-names":false,"suffix":""},{"dropping-particle":"","family":"Black","given":"C R","non-dropping-particle":"","parse-names":false,"suffix":""},{"dropping-particle":"","family":"Hulsart-Billstrom","given":"G","non-dropping-particle":"","parse-names":false,"suffix":""},{"dropping-particle":"","family":"Shi","given":"P","non-dropping-particle":"","parse-names":false,"suffix":""},{"dropping-particle":"","family":"Scarpa","given":"E","non-dropping-particle":"","parse-names":false,"suffix":""},{"dropping-particle":"","family":"Oreffo","given":"R O","non-dropping-particle":"","parse-names":false,"suffix":""},{"dropping-particle":"","family":"Dawson","given":"J I","non-dropping-particle":"","parse-names":false,"suffix":""}],"container-title":"Biomaterials","id":"ITEM-3","issued":{"date-parts":[["2016"]]},"language":"ENG","page":"16-23","title":"Bone induction at physiological doses of BMP through localization by clay nanoparticle gels","type":"article-journal","volume":"99"}}],"schema":"https://github.com/citation-style-language/schema/raw/master/csl-citation.json"} </w:instrText>
      </w:r>
      <w:r w:rsidR="005D3D05" w:rsidRPr="00024FD1">
        <w:rPr>
          <w:rFonts w:cs="Arial"/>
          <w:szCs w:val="24"/>
        </w:rPr>
        <w:fldChar w:fldCharType="separate"/>
      </w:r>
      <w:r w:rsidR="00276F52" w:rsidRPr="00276F52">
        <w:rPr>
          <w:rFonts w:cs="Times"/>
          <w:szCs w:val="24"/>
          <w:vertAlign w:val="superscript"/>
        </w:rPr>
        <w:t>16–18</w:t>
      </w:r>
      <w:r w:rsidR="005D3D05" w:rsidRPr="00024FD1">
        <w:rPr>
          <w:rFonts w:cs="Arial"/>
          <w:szCs w:val="24"/>
        </w:rPr>
        <w:fldChar w:fldCharType="end"/>
      </w:r>
      <w:r w:rsidR="00D351DC" w:rsidRPr="00024FD1">
        <w:rPr>
          <w:rFonts w:cs="Arial"/>
          <w:szCs w:val="24"/>
        </w:rPr>
        <w:t>.</w:t>
      </w:r>
      <w:r w:rsidR="00A07BB8" w:rsidRPr="00024FD1">
        <w:rPr>
          <w:rFonts w:cs="Arial"/>
          <w:noProof/>
          <w:szCs w:val="24"/>
          <w:vertAlign w:val="superscript"/>
        </w:rPr>
        <w:t xml:space="preserve"> </w:t>
      </w:r>
      <w:r w:rsidR="00B23A12" w:rsidRPr="00024FD1">
        <w:rPr>
          <w:rFonts w:cs="Arial"/>
          <w:szCs w:val="24"/>
        </w:rPr>
        <w:t xml:space="preserve">However, </w:t>
      </w:r>
      <w:r w:rsidR="0003645C">
        <w:rPr>
          <w:rFonts w:cs="Arial"/>
          <w:szCs w:val="24"/>
        </w:rPr>
        <w:t xml:space="preserve">to date, </w:t>
      </w:r>
      <w:r w:rsidR="00B23A12" w:rsidRPr="00024FD1">
        <w:rPr>
          <w:rFonts w:cs="Arial"/>
          <w:szCs w:val="24"/>
        </w:rPr>
        <w:t xml:space="preserve">few studies have explored the fabrication of a potent synthetic biomaterial </w:t>
      </w:r>
      <w:r w:rsidR="009E0916">
        <w:rPr>
          <w:rFonts w:cs="Arial"/>
          <w:szCs w:val="24"/>
        </w:rPr>
        <w:t xml:space="preserve">with the potential to </w:t>
      </w:r>
      <w:r w:rsidR="00B23A12" w:rsidRPr="00024FD1">
        <w:rPr>
          <w:rFonts w:cs="Arial"/>
          <w:szCs w:val="24"/>
        </w:rPr>
        <w:t xml:space="preserve">facilitate growth factor-free angiogenesis and tissue formation. </w:t>
      </w:r>
    </w:p>
    <w:p w14:paraId="1005BF79" w14:textId="1569F441" w:rsidR="00F425E9" w:rsidRDefault="004F2608" w:rsidP="00B23A12">
      <w:pPr>
        <w:spacing w:line="480" w:lineRule="auto"/>
        <w:jc w:val="both"/>
        <w:rPr>
          <w:rFonts w:cs="Arial"/>
          <w:szCs w:val="24"/>
        </w:rPr>
      </w:pPr>
      <w:r>
        <w:rPr>
          <w:rFonts w:cs="Arial"/>
          <w:szCs w:val="24"/>
        </w:rPr>
        <w:lastRenderedPageBreak/>
        <w:t>This study</w:t>
      </w:r>
      <w:r w:rsidR="00B23A12" w:rsidRPr="00024FD1">
        <w:rPr>
          <w:rFonts w:cs="Arial"/>
          <w:szCs w:val="24"/>
        </w:rPr>
        <w:t xml:space="preserve"> </w:t>
      </w:r>
      <w:r w:rsidR="006B4AB4">
        <w:rPr>
          <w:rFonts w:cs="Arial"/>
          <w:szCs w:val="24"/>
        </w:rPr>
        <w:t>is based on the</w:t>
      </w:r>
      <w:r w:rsidR="00044938">
        <w:rPr>
          <w:rFonts w:cs="Arial"/>
          <w:szCs w:val="24"/>
        </w:rPr>
        <w:t xml:space="preserve"> previously developed and characterised high-throughput technique allowing </w:t>
      </w:r>
      <w:r w:rsidR="00044938" w:rsidRPr="00024FD1">
        <w:rPr>
          <w:rFonts w:cs="Arial"/>
          <w:szCs w:val="24"/>
        </w:rPr>
        <w:t xml:space="preserve">efficient fabrication approach to obtain libraries of 3D polymer scaffolds </w:t>
      </w:r>
      <w:r w:rsidR="00044938" w:rsidRPr="00024FD1">
        <w:rPr>
          <w:rFonts w:cs="Arial"/>
          <w:i/>
          <w:szCs w:val="24"/>
        </w:rPr>
        <w:t>via</w:t>
      </w:r>
      <w:r w:rsidR="00044938" w:rsidRPr="00024FD1">
        <w:rPr>
          <w:rFonts w:cs="Arial"/>
          <w:szCs w:val="24"/>
        </w:rPr>
        <w:t xml:space="preserve"> freeze-casting and photo-polymerization for studying cell-material interaction and screening functional polymeric biomaterials</w:t>
      </w:r>
      <w:r w:rsidR="00044938">
        <w:rPr>
          <w:rFonts w:cs="Arial"/>
          <w:szCs w:val="24"/>
        </w:rPr>
        <w:t xml:space="preserve"> </w:t>
      </w:r>
      <w:r w:rsidR="00044938">
        <w:rPr>
          <w:rFonts w:cs="Arial"/>
          <w:szCs w:val="24"/>
        </w:rPr>
        <w:fldChar w:fldCharType="begin"/>
      </w:r>
      <w:r w:rsidR="0033591E">
        <w:rPr>
          <w:rFonts w:cs="Arial"/>
          <w:szCs w:val="24"/>
        </w:rPr>
        <w:instrText xml:space="preserve"> ADDIN ZOTERO_ITEM CSL_CITATION {"citationID":"YfmUl1fk","properties":{"formattedCitation":"\\super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C","id":"QxUABRr4/PTn7YXmX","issue":"November 2019","issued":{"date-parts":[["2020"]]},"page":"110489","publisher":"Elsevier","title":"Rapid fabrication and screening of tailored functional 3D biomaterials","type":"article-journal","volume":"108"}}],"schema":"https://github.com/citation-style-language/schema/raw/master/csl-citation.json"} </w:instrText>
      </w:r>
      <w:r w:rsidR="00044938">
        <w:rPr>
          <w:rFonts w:cs="Arial"/>
          <w:szCs w:val="24"/>
        </w:rPr>
        <w:fldChar w:fldCharType="separate"/>
      </w:r>
      <w:r w:rsidR="00276F52" w:rsidRPr="00276F52">
        <w:rPr>
          <w:rFonts w:cs="Times"/>
          <w:szCs w:val="24"/>
          <w:vertAlign w:val="superscript"/>
        </w:rPr>
        <w:t>19</w:t>
      </w:r>
      <w:r w:rsidR="00044938">
        <w:rPr>
          <w:rFonts w:cs="Arial"/>
          <w:szCs w:val="24"/>
        </w:rPr>
        <w:fldChar w:fldCharType="end"/>
      </w:r>
      <w:r w:rsidR="00044938">
        <w:rPr>
          <w:rFonts w:cs="Arial"/>
          <w:szCs w:val="24"/>
        </w:rPr>
        <w:t>.</w:t>
      </w:r>
      <w:r w:rsidR="00B23A12" w:rsidRPr="00024FD1">
        <w:rPr>
          <w:rFonts w:cs="Arial"/>
          <w:szCs w:val="24"/>
        </w:rPr>
        <w:t xml:space="preserve"> This facile process accelerate</w:t>
      </w:r>
      <w:r w:rsidR="00B56B88" w:rsidRPr="00024FD1">
        <w:rPr>
          <w:rFonts w:cs="Arial"/>
          <w:szCs w:val="24"/>
        </w:rPr>
        <w:t>s</w:t>
      </w:r>
      <w:r w:rsidR="00B23A12" w:rsidRPr="00024FD1">
        <w:rPr>
          <w:rFonts w:cs="Arial"/>
          <w:szCs w:val="24"/>
        </w:rPr>
        <w:t xml:space="preserve"> the development of new biomaterials for potential tissue regenerat</w:t>
      </w:r>
      <w:r w:rsidR="00B56B88" w:rsidRPr="00024FD1">
        <w:rPr>
          <w:rFonts w:cs="Arial"/>
          <w:szCs w:val="24"/>
        </w:rPr>
        <w:t>ion</w:t>
      </w:r>
      <w:r w:rsidR="00DD0722">
        <w:rPr>
          <w:rFonts w:cs="Arial"/>
          <w:szCs w:val="24"/>
        </w:rPr>
        <w:t xml:space="preserve">, </w:t>
      </w:r>
      <w:r w:rsidR="00926D4B" w:rsidRPr="00024FD1">
        <w:rPr>
          <w:rFonts w:cs="Arial"/>
          <w:szCs w:val="24"/>
        </w:rPr>
        <w:t xml:space="preserve">harnessing </w:t>
      </w:r>
      <w:r w:rsidR="005D3D05" w:rsidRPr="00024FD1">
        <w:rPr>
          <w:rFonts w:cs="Arial"/>
          <w:i/>
          <w:iCs/>
          <w:szCs w:val="24"/>
        </w:rPr>
        <w:t>in situ</w:t>
      </w:r>
      <w:r w:rsidR="005D3D05" w:rsidRPr="00024FD1">
        <w:rPr>
          <w:rFonts w:cs="Arial"/>
          <w:szCs w:val="24"/>
        </w:rPr>
        <w:t xml:space="preserve"> photo-polymerization</w:t>
      </w:r>
      <w:r w:rsidR="00B56B88" w:rsidRPr="00024FD1">
        <w:rPr>
          <w:rFonts w:cs="Arial"/>
          <w:szCs w:val="24"/>
        </w:rPr>
        <w:t xml:space="preserve"> to </w:t>
      </w:r>
      <w:r w:rsidR="005D3D05" w:rsidRPr="00024FD1">
        <w:rPr>
          <w:rFonts w:cs="Arial"/>
          <w:szCs w:val="24"/>
        </w:rPr>
        <w:t>explor</w:t>
      </w:r>
      <w:r w:rsidR="00B56B88" w:rsidRPr="00024FD1">
        <w:rPr>
          <w:rFonts w:cs="Arial"/>
          <w:szCs w:val="24"/>
        </w:rPr>
        <w:t>e a</w:t>
      </w:r>
      <w:r w:rsidR="005D3D05" w:rsidRPr="00024FD1">
        <w:rPr>
          <w:rFonts w:cs="Arial"/>
          <w:szCs w:val="24"/>
        </w:rPr>
        <w:t xml:space="preserve"> variety of monomer combinations for </w:t>
      </w:r>
      <w:r w:rsidR="00B56B88" w:rsidRPr="00024FD1">
        <w:rPr>
          <w:rFonts w:cs="Arial"/>
          <w:szCs w:val="24"/>
        </w:rPr>
        <w:t xml:space="preserve">the </w:t>
      </w:r>
      <w:r w:rsidR="005D3D05" w:rsidRPr="00024FD1">
        <w:rPr>
          <w:rFonts w:cs="Arial"/>
          <w:szCs w:val="24"/>
        </w:rPr>
        <w:t>formation of porous 3D scaffolds</w:t>
      </w:r>
      <w:r w:rsidR="00B56B88" w:rsidRPr="00024FD1">
        <w:rPr>
          <w:rFonts w:cs="Arial"/>
          <w:szCs w:val="24"/>
        </w:rPr>
        <w:t>, a unique</w:t>
      </w:r>
      <w:r w:rsidR="005D3D05" w:rsidRPr="00024FD1">
        <w:rPr>
          <w:rFonts w:cs="Arial"/>
          <w:szCs w:val="24"/>
        </w:rPr>
        <w:t xml:space="preserve"> approach </w:t>
      </w:r>
      <w:r w:rsidR="00B56B88" w:rsidRPr="00024FD1">
        <w:rPr>
          <w:rFonts w:cs="Arial"/>
          <w:szCs w:val="24"/>
        </w:rPr>
        <w:t xml:space="preserve">compared </w:t>
      </w:r>
      <w:r w:rsidR="005D3D05" w:rsidRPr="00024FD1">
        <w:rPr>
          <w:rFonts w:cs="Arial"/>
          <w:szCs w:val="24"/>
        </w:rPr>
        <w:t>to previous reports, whe</w:t>
      </w:r>
      <w:r w:rsidR="00B72E9E" w:rsidRPr="00024FD1">
        <w:rPr>
          <w:rFonts w:cs="Arial"/>
          <w:szCs w:val="24"/>
        </w:rPr>
        <w:t>re</w:t>
      </w:r>
      <w:r w:rsidR="005D3D05" w:rsidRPr="00024FD1">
        <w:rPr>
          <w:rFonts w:cs="Arial"/>
          <w:szCs w:val="24"/>
        </w:rPr>
        <w:t xml:space="preserve"> pre-synthesized polymers </w:t>
      </w:r>
      <w:r w:rsidR="00B56B88" w:rsidRPr="00024FD1">
        <w:rPr>
          <w:rFonts w:cs="Arial"/>
          <w:szCs w:val="24"/>
        </w:rPr>
        <w:t xml:space="preserve">were </w:t>
      </w:r>
      <w:r w:rsidR="005D3D05" w:rsidRPr="00024FD1">
        <w:rPr>
          <w:rFonts w:cs="Arial"/>
          <w:szCs w:val="24"/>
        </w:rPr>
        <w:t>used in the production of scaffolds</w:t>
      </w:r>
      <w:r w:rsidR="00D351DC" w:rsidRPr="00024FD1">
        <w:rPr>
          <w:rFonts w:cs="Arial"/>
          <w:szCs w:val="24"/>
        </w:rPr>
        <w:t xml:space="preserve"> </w:t>
      </w:r>
      <w:r w:rsidR="00165E7D" w:rsidRPr="00024FD1">
        <w:rPr>
          <w:rFonts w:cs="Arial"/>
          <w:szCs w:val="24"/>
        </w:rPr>
        <w:fldChar w:fldCharType="begin" w:fldLock="1"/>
      </w:r>
      <w:r w:rsidR="0033591E">
        <w:rPr>
          <w:rFonts w:cs="Arial"/>
          <w:szCs w:val="24"/>
        </w:rPr>
        <w:instrText xml:space="preserve"> ADDIN ZOTERO_ITEM CSL_CITATION {"citationID":"jQfK27Ig","properties":{"formattedCitation":"\\super 20\\uc0\\u8211{}22\\nosupersub{}","plainCitation":"20–22","noteIndex":0},"citationItems":[{"id":"1dryys0K/KfYQYFH9","uris":["http://www.mendeley.com/documents/?uuid=d1dcdb0d-f3a1-4c3d-a5a4-a8ec9843a4cf","http://www.mendeley.com/documents/?uuid=10eee159-b16d-41ab-a170-c1900c6f1b9f"],"itemData":{"DOI":"10.1016/j.biomaterials.2008.03.015","ISSN":"01429612","abstract":"Many whole cell-based assays in use today rely on flat, two-dimensional (2D) glass or plastic substrates that may not produce results characteristic of in vivo conditions. In this study, a three-dimensional (3D) cell-based assay platform was established by integrating 3D synthetic polymer scaffolds with standard cell culture dishes and multi-well plates. This technology can be used to feasibly modify any traditional 2D cell-based assay vessels for 3D cell-based assay with currently used high throughput screening (HTS) systems. We examined neural stem (NS) cells' growth profile, morphology, cell-matrix interaction, gene expression and voltage gated calcium channel (VGCC) functionality of this novel 3D assay platform. Our results showed that unlike the NS cells cultured on traditional 2D planar surfaces, cells in 3D scaffolds are more physiologically relevant with respect to in vivo characteristics exhibited by in-vivo surrogates such as neural spheres. This new biomimetic cell-based assay platform may provide a broadly applicable 3D cell-based system for use in drug discovery programs and other research fields. © 2008 Elsevier Ltd. All rights reserved.","author":[{"dropping-particle":"","family":"Cheng","given":"Ke","non-dropping-particle":"","parse-names":false,"suffix":""},{"dropping-particle":"","family":"Lai","given":"Yinzhi","non-dropping-particle":"","parse-names":false,"suffix":""},{"dropping-particle":"","family":"Kisaalita","given":"William S.","non-dropping-particle":"","parse-names":false,"suffix":""}],"container-title":"Biomaterials","id":"ITEM-1","issue":"18","issued":{"date-parts":[["2008"]]},"page":"2802-2812","title":"Three-dimensional polymer scaffolds for high throughput cell-based assay systems","type":"article-journal","volume":"29"}},{"id":"1dryys0K/GTaKyh0o","uris":["http://www.mendeley.com/documents/?uuid=b56b9170-df0f-44c8-878f-fc5d8f98e415","http://www.mendeley.com/documents/?uuid=33f2c2df-2a1c-48e6-bad9-c3750907f09d"],"itemData":{"DOI":"10.1002/adma.200702088","ISBN":"0935-9648","ISSN":"09359648","abstract":"A combinatorial method for screening cell-biomaterial interactions in 3D is presented; polymeric, salt-leached scaffolds with varied composition and properties are present in a 96-well plate. Previous high-throughput approaches for screening cell-material interactions have focused on planar 2D surfaces or films. However, biomaterials are commonly used in a 3D scaffold format and cells behave more physiologically when cultured in 3D.","author":[{"dropping-particle":"","family":"Yang","given":"Yanyin","non-dropping-particle":"","parse-names":false,"suffix":""},{"dropping-particle":"","family":"Bolikal","given":"Durgadas","non-dropping-particle":"","parse-names":false,"suffix":""},{"dropping-particle":"","family":"Becker","given":"Matthew L.","non-dropping-particle":"","parse-names":false,"suffix":""},{"dropping-particle":"","family":"Kohn","given":"Joachim","non-dropping-particle":"","parse-names":false,"suffix":""},{"dropping-particle":"","family":"Zeiger","given":"Diana N.","non-dropping-particle":"","parse-names":false,"suffix":""},{"dropping-particle":"","family":"Simon","given":"Carl G.","non-dropping-particle":"","parse-names":false,"suffix":""}],"container-title":"Advanced Materials","id":"ITEM-2","issue":"11","issued":{"date-parts":[["2008"]]},"page":"2037-2043","title":"Combinatorial polymer scaffold libraries for screening cell-biomaterial interactions in 3D","type":"article-journal","volume":"20"}},{"id":"1dryys0K/fZZmsO6j","uris":["http://www.mendeley.com/documents/?uuid=04cfbfc2-9cb3-4a25-8a26-28ac39b6a004","http://www.mendeley.com/documents/?uuid=4f515d22-3c33-4990-b90a-35bc1a8399d2"],"itemData":{"DOI":"10.1039/c3lc51103k","ISBN":"1473-0197","ISSN":"14730189","PMID":"24287736","abstract":"Cell-based high throughput drug screening accelerates the pace of drug discovery which is routinely operated on planar high-density multi-well plates with sophisticated robotic liquid-dispensing systems for cell seeding and drug administration. Considerable efforts have been made to upgrade in vitro cellular models from 2D to a more biomimetic 3D configuration. For instance, in anti-cancer drug screening, tumor spheroids are increasingly applied as a gold-standard 3D model exhibiting cellular behaviors and drug responses distinguishable from the 2D counterpart. However, translation of spheroids to high throughput drug screening is challenging since pre-formation of spheroids and subsequent translocation to multi-well plates for drug testing are usually uncontrollable and time/reagent consuming and cell loss is inevitable during medium exchange for drug testing. Here we present an off-the-shelf micro-scaffold array chip which enables high throughput 3D cell culture, drug administration and quantitative in situ assays entirely on the same chip. The sponge-like micro-scaffolds functioned both as absorbents to realize parallel auto-loading of cells or drugs and as barriers to prevent cell loss during medium exchange via centrifugation. Rapid manual loading of cell suspensions or drugs into the 96 isolated micro-scaffolds on the chip was achieved in the timescale of several seconds, meanwhile with total medium consumption reduced to the order of microliters. Proof of concept demonstration of drug cytotoxicity testing was performed on multiple cancer cells using common benchtop equipment, making it accessible to most biomedical labs with basic cell culture setups. Higher cellular drug resistance was constantly obtained with this platform compared to the planar cultures, which was partially attributed to the malignant phenotype of cancer cells yielded by enhanced cell-matrix interactions in the micro-scaffolds. Interestingly, the high drug resistance of 3D cultured cells in the micro-scaffold was shown to be density-independent in contrast to the density-dependent drug response for 2D cultured cells, indicating intrinsic differences between the two culture models. This platform is expected to facilitate upgrade of the current cell-based high throughput drug testing to the 3D level and be widely applicable across various disciplines.","author":[{"dropping-particle":"","family":"Li","given":"Xiaokang","non-dropping-particle":"","parse-names":false,"suffix":""},{"dropping-particle":"","family":"Zhang","given":"Xinyong","non-dropping-particle":"","parse-names":false,"suffix":""},{"dropping-particle":"","family":"Zhao","given":"Shan","non-dropping-particle":"","parse-names":false,"suffix":""},{"dropping-particle":"","family":"Wang","given":"Jingyu","non-dropping-particle":"","parse-names":false,"suffix":""},{"dropping-particle":"","family":"Liu","given":"Gang","non-dropping-particle":"","parse-names":false,"suffix":""},{"dropping-particle":"","family":"Du","given":"Yanan","non-dropping-particle":"","parse-names":false,"suffix":""}],"container-title":"Lab on a Chip","id":"ITEM-3","issue":"3","issued":{"date-parts":[["2014"]]},"page":"471-481","title":"Micro-scaffold array chip for upgrading cell-based high-throughput drug testing to 3D using benchtop equipment","type":"article-journal","volume":"14"}}],"schema":"https://github.com/citation-style-language/schema/raw/master/csl-citation.json"} </w:instrText>
      </w:r>
      <w:r w:rsidR="00165E7D" w:rsidRPr="00024FD1">
        <w:rPr>
          <w:rFonts w:cs="Arial"/>
          <w:szCs w:val="24"/>
        </w:rPr>
        <w:fldChar w:fldCharType="separate"/>
      </w:r>
      <w:r w:rsidR="00276F52" w:rsidRPr="00276F52">
        <w:rPr>
          <w:rFonts w:cs="Times"/>
          <w:szCs w:val="24"/>
          <w:vertAlign w:val="superscript"/>
        </w:rPr>
        <w:t>20–22</w:t>
      </w:r>
      <w:r w:rsidR="00165E7D" w:rsidRPr="00024FD1">
        <w:rPr>
          <w:rFonts w:cs="Arial"/>
          <w:szCs w:val="24"/>
        </w:rPr>
        <w:fldChar w:fldCharType="end"/>
      </w:r>
      <w:r w:rsidR="00D351DC" w:rsidRPr="00024FD1">
        <w:rPr>
          <w:rFonts w:cs="Arial"/>
          <w:szCs w:val="24"/>
        </w:rPr>
        <w:t>.</w:t>
      </w:r>
      <w:r w:rsidR="00AC7869">
        <w:rPr>
          <w:rFonts w:cs="Arial"/>
          <w:szCs w:val="24"/>
        </w:rPr>
        <w:t xml:space="preserve"> </w:t>
      </w:r>
      <w:bookmarkStart w:id="4" w:name="_Hlk118375016"/>
      <w:r w:rsidR="00AC7869">
        <w:rPr>
          <w:rFonts w:cs="Arial"/>
          <w:szCs w:val="24"/>
        </w:rPr>
        <w:t>Most of the high throughput techniques developed</w:t>
      </w:r>
      <w:r w:rsidR="009E0916">
        <w:rPr>
          <w:rFonts w:cs="Arial"/>
          <w:szCs w:val="24"/>
        </w:rPr>
        <w:t>,</w:t>
      </w:r>
      <w:r w:rsidR="00AC7869">
        <w:rPr>
          <w:rFonts w:cs="Arial"/>
          <w:szCs w:val="24"/>
        </w:rPr>
        <w:t xml:space="preserve"> even most recently </w:t>
      </w:r>
      <w:r w:rsidR="009E0916">
        <w:rPr>
          <w:rFonts w:cs="Arial"/>
          <w:szCs w:val="24"/>
        </w:rPr>
        <w:t>such as approaches</w:t>
      </w:r>
      <w:r w:rsidR="0033591E">
        <w:rPr>
          <w:rFonts w:cs="Arial"/>
          <w:szCs w:val="24"/>
        </w:rPr>
        <w:t xml:space="preserve"> presented by </w:t>
      </w:r>
      <w:proofErr w:type="spellStart"/>
      <w:r w:rsidR="00AC7869">
        <w:rPr>
          <w:rFonts w:cs="Arial"/>
          <w:szCs w:val="24"/>
        </w:rPr>
        <w:t>Revia</w:t>
      </w:r>
      <w:proofErr w:type="spellEnd"/>
      <w:r w:rsidR="00AC7869">
        <w:rPr>
          <w:rFonts w:cs="Arial"/>
          <w:szCs w:val="24"/>
        </w:rPr>
        <w:t xml:space="preserve"> and co-</w:t>
      </w:r>
      <w:r w:rsidR="008146F6">
        <w:rPr>
          <w:rFonts w:cs="Arial"/>
          <w:szCs w:val="24"/>
        </w:rPr>
        <w:t>workers where</w:t>
      </w:r>
      <w:r w:rsidR="00AC7869">
        <w:rPr>
          <w:rFonts w:cs="Arial"/>
          <w:szCs w:val="24"/>
        </w:rPr>
        <w:t xml:space="preserve"> an automated dispensing platform for high throughput 3D scaffold preparation</w:t>
      </w:r>
      <w:r w:rsidR="009E0916">
        <w:rPr>
          <w:rFonts w:cs="Arial"/>
          <w:szCs w:val="24"/>
        </w:rPr>
        <w:t xml:space="preserve"> centre</w:t>
      </w:r>
      <w:r w:rsidR="00AC7869">
        <w:rPr>
          <w:rFonts w:cs="Arial"/>
          <w:szCs w:val="24"/>
        </w:rPr>
        <w:t xml:space="preserve"> around the idea of casting pre-synthesized polymer solutions into multi</w:t>
      </w:r>
      <w:r w:rsidR="0033591E">
        <w:rPr>
          <w:rFonts w:cs="Arial"/>
          <w:szCs w:val="24"/>
        </w:rPr>
        <w:t>-</w:t>
      </w:r>
      <w:r w:rsidR="00AC7869">
        <w:rPr>
          <w:rFonts w:cs="Arial"/>
          <w:szCs w:val="24"/>
        </w:rPr>
        <w:t xml:space="preserve">well plates. </w:t>
      </w:r>
      <w:r w:rsidR="009E0916">
        <w:rPr>
          <w:rFonts w:cs="Arial"/>
          <w:szCs w:val="24"/>
        </w:rPr>
        <w:t>I</w:t>
      </w:r>
      <w:r w:rsidR="00AC7869">
        <w:rPr>
          <w:rFonts w:cs="Arial"/>
          <w:szCs w:val="24"/>
        </w:rPr>
        <w:t>n the present study we present a novel method to synthesize the polymer scaffolds in the multi-well format. This reduce</w:t>
      </w:r>
      <w:r w:rsidR="0033591E">
        <w:rPr>
          <w:rFonts w:cs="Arial"/>
          <w:szCs w:val="24"/>
        </w:rPr>
        <w:t>s</w:t>
      </w:r>
      <w:r w:rsidR="00AC7869">
        <w:rPr>
          <w:rFonts w:cs="Arial"/>
          <w:szCs w:val="24"/>
        </w:rPr>
        <w:t xml:space="preserve"> artifacts introduced during transfer of a preformed polymer scaffold onto a well plate using dispensing techniques</w:t>
      </w:r>
      <w:r w:rsidR="0033591E">
        <w:rPr>
          <w:rFonts w:cs="Arial"/>
          <w:szCs w:val="24"/>
        </w:rPr>
        <w:t xml:space="preserve"> </w:t>
      </w:r>
      <w:r w:rsidR="0033591E">
        <w:rPr>
          <w:rFonts w:cs="Arial"/>
          <w:szCs w:val="24"/>
        </w:rPr>
        <w:fldChar w:fldCharType="begin"/>
      </w:r>
      <w:r w:rsidR="0033591E">
        <w:rPr>
          <w:rFonts w:cs="Arial"/>
          <w:szCs w:val="24"/>
        </w:rPr>
        <w:instrText xml:space="preserve"> ADDIN ZOTERO_ITEM CSL_CITATION {"citationID":"9gfaYerN","properties":{"formattedCitation":"\\super 23\\nosupersub{}","plainCitation":"23","noteIndex":0},"citationItems":[{"id":2794,"uris":["http://zotero.org/users/8425864/items/RXRYFE99"],"itemData":{"id":2794,"type":"article-journal","abstract":"Cells cultured in three-dimensional scaffolds express a phenotype closer to in vivo cells than cells cultured in two-dimensional containers. Natural polymers are suitable materials to make three-dimensional scaffolds to develop disease models for high-throughput drug screening owing to their excellent biocompatibility. However, natural polymer solutions have a range of viscosities, and none of the currently available liquid dispensers are capable of dispensing highly viscous polymer solutions. Here, we report the development of an automated scaffold dispensing system for rapid, reliable, and homogeneous creation of scaffolds in well-plate formats. We employ computer-controlled solenoid valves to regulate air pressure impinging upon a syringe barrel filled with scaffold solution to be dispensed. Automated dispensing of scaffold solution is achieved via a programmable software interface that coordinates solution extrusion and the movement of a dispensing head. We show that our pneumatically actuated dispensing system can evenly distribute high-viscosity, chitosan-based polymer solutions into 96- and 384-well plates to yield highly uniform three-dimensional scaffolds after lyophilization. We provide a proof-of-concept demonstration of high-throughput drug screening by culturing glioblastoma cells in scaffolds and exposing them to temozolomide. This work introduces a device that can hasten the creation of three-dimensional cell scaffolds and their application to high-throughput testing.","container-title":"Micromachines","DOI":"10.3390/mi13101730","ISSN":"2072-666X","issue":"10","journalAbbreviation":"Micromachines","language":"en","page":"1730","source":"DOI.org (Crossref)","title":"High-Throughput Dispensing of Viscous Solutions for Biomedical Applications","volume":"13","author":[{"family":"Revia","given":"Richard A."},{"family":"Wagner","given":"Brandon"},{"family":"James","given":"Matthew"},{"family":"Zhang","given":"Miqin"}],"issued":{"date-parts":[["2022",10,13]]}}}],"schema":"https://github.com/citation-style-language/schema/raw/master/csl-citation.json"} </w:instrText>
      </w:r>
      <w:r w:rsidR="0033591E">
        <w:rPr>
          <w:rFonts w:cs="Arial"/>
          <w:szCs w:val="24"/>
        </w:rPr>
        <w:fldChar w:fldCharType="separate"/>
      </w:r>
      <w:r w:rsidR="0033591E" w:rsidRPr="0033591E">
        <w:rPr>
          <w:rFonts w:cs="Times"/>
          <w:szCs w:val="24"/>
          <w:vertAlign w:val="superscript"/>
        </w:rPr>
        <w:t>23</w:t>
      </w:r>
      <w:r w:rsidR="0033591E">
        <w:rPr>
          <w:rFonts w:cs="Arial"/>
          <w:szCs w:val="24"/>
        </w:rPr>
        <w:fldChar w:fldCharType="end"/>
      </w:r>
      <w:r w:rsidR="00AC7869">
        <w:rPr>
          <w:rFonts w:cs="Arial"/>
          <w:szCs w:val="24"/>
        </w:rPr>
        <w:t xml:space="preserve">. </w:t>
      </w:r>
      <w:r w:rsidR="00F425E9">
        <w:rPr>
          <w:rFonts w:cs="Arial"/>
          <w:szCs w:val="24"/>
        </w:rPr>
        <w:t xml:space="preserve">Such </w:t>
      </w:r>
      <w:r w:rsidR="009E0916">
        <w:rPr>
          <w:rFonts w:cs="Arial"/>
          <w:szCs w:val="24"/>
        </w:rPr>
        <w:t xml:space="preserve">a </w:t>
      </w:r>
      <w:r w:rsidR="00F425E9">
        <w:rPr>
          <w:rFonts w:cs="Arial"/>
          <w:szCs w:val="24"/>
        </w:rPr>
        <w:t>high throughput technique</w:t>
      </w:r>
      <w:r w:rsidR="006E0498">
        <w:rPr>
          <w:rFonts w:cs="Arial"/>
          <w:szCs w:val="24"/>
        </w:rPr>
        <w:t xml:space="preserve"> presented in th</w:t>
      </w:r>
      <w:r w:rsidR="009E0916">
        <w:rPr>
          <w:rFonts w:cs="Arial"/>
          <w:szCs w:val="24"/>
        </w:rPr>
        <w:t>is</w:t>
      </w:r>
      <w:r w:rsidR="006E0498">
        <w:rPr>
          <w:rFonts w:cs="Arial"/>
          <w:szCs w:val="24"/>
        </w:rPr>
        <w:t xml:space="preserve"> current study</w:t>
      </w:r>
      <w:r w:rsidR="00F425E9">
        <w:rPr>
          <w:rFonts w:cs="Arial"/>
          <w:szCs w:val="24"/>
        </w:rPr>
        <w:t xml:space="preserve"> provides an advantage over other methods such as 3D printing as it </w:t>
      </w:r>
      <w:r w:rsidR="009E0916">
        <w:rPr>
          <w:rFonts w:cs="Arial"/>
          <w:szCs w:val="24"/>
        </w:rPr>
        <w:t xml:space="preserve">facilitates </w:t>
      </w:r>
      <w:r w:rsidR="00F425E9">
        <w:rPr>
          <w:rFonts w:cs="Arial"/>
          <w:szCs w:val="24"/>
        </w:rPr>
        <w:t xml:space="preserve">not only elimination of polymer blends that are toxic to the cells and the potential host but also </w:t>
      </w:r>
      <w:r w:rsidR="009E0916">
        <w:rPr>
          <w:rFonts w:cs="Arial"/>
          <w:szCs w:val="24"/>
        </w:rPr>
        <w:t xml:space="preserve">provides </w:t>
      </w:r>
      <w:r w:rsidR="00F425E9">
        <w:rPr>
          <w:rFonts w:cs="Arial"/>
          <w:szCs w:val="24"/>
        </w:rPr>
        <w:t xml:space="preserve">for a thorough investigation of </w:t>
      </w:r>
      <w:r w:rsidR="009E0916">
        <w:rPr>
          <w:rFonts w:cs="Arial"/>
          <w:szCs w:val="24"/>
        </w:rPr>
        <w:t xml:space="preserve">cell behaviour </w:t>
      </w:r>
      <w:r w:rsidR="00F425E9">
        <w:rPr>
          <w:rFonts w:cs="Arial"/>
          <w:szCs w:val="24"/>
        </w:rPr>
        <w:t xml:space="preserve">in a three-dimensional environment with highly controlled porosity, often lacking in 3D printing techniques </w:t>
      </w:r>
      <w:r w:rsidR="00F425E9">
        <w:rPr>
          <w:rFonts w:cs="Arial"/>
          <w:szCs w:val="24"/>
        </w:rPr>
        <w:fldChar w:fldCharType="begin"/>
      </w:r>
      <w:r w:rsidR="0033591E">
        <w:rPr>
          <w:rFonts w:cs="Arial"/>
          <w:szCs w:val="24"/>
        </w:rPr>
        <w:instrText xml:space="preserve"> ADDIN ZOTERO_ITEM CSL_CITATION {"citationID":"xyAY49fQ","properties":{"formattedCitation":"\\super 7,24\\nosupersub{}","plainCitation":"7,24","noteIndex":0},"citationItems":[{"id":2781,"uris":["http://zotero.org/users/8425864/items/CGJ4PXAL"],"itemData":{"id":2781,"type":"article-journal","abstract":"Additive manufacturing or 3D printing of materials is a prominent process technology which involves the fabrication of materials layer-by-layer or point-by-point in a subsequent manner. With recent advancements in additive manufacturing, the technology has excited a great potential for extension of simple designs to complex multi-material geometries. Vat photopolymerization is a subdivision of additive manufacturing which possesses many attractive features, including excellent printing resolution, high dimensional accuracy, low-cost manufacturing, and the ability to spatially control the material properties. However, the technology is currently limited by design strategies, material chemistries, and equipment limitations. This review aims to provide readers with a comprehensive comparison of different additive manufacturing technologies along with detailed knowledge on advances in multi-material vat photopolymerization technologies. Furthermore, we describe popular material chemistries both from the past and more recently, along with future prospects to address the material-related limitations of vat photopolymerization. Examples of the impressive multi-material capabilities inspired by nature which are applicable today in multiple areas of life are briefly presented in the applications section. Finally, we describe our point of view on the future prospects of 3D printed multi-material structures as well as on the way forward towards promising further advancements in vat photopolymerization.","container-title":"Polymers","DOI":"10.3390/polym14122449","ISSN":"2073-4360","issue":"12","journalAbbreviation":"Polymers","language":"en","page":"2449","source":"DOI.org (Crossref)","title":"A Review of Multi-Material 3D Printing of Functional Materials via Vat Photopolymerization","volume":"14","author":[{"family":"Shaukat","given":"Usman"},{"family":"Rossegger","given":"Elisabeth"},{"family":"Schlögl","given":"Sandra"}],"issued":{"date-parts":[["2022",6,16]]}}},{"id":2793,"uris":["http://zotero.org/users/8425864/items/7BGAVG62"],"itemData":{"id":2793,"type":"article-journal","container-title":"Journal of Biomedical Materials Research Part B: Applied Biomaterials","DOI":"10.1002/jbm.b.34979","ISSN":"1552-4973, 1552-4981","issue":"5","journalAbbreviation":"J Biomed Mater Res","language":"en","page":"1206-1214","source":"DOI.org (Crossref)","title":"Vascularization in tissue engineering: The architecture cues of pores in scaffolds","title-short":"Vascularization in tissue engineering","volume":"110","author":[{"family":"Xia","given":"Ping"},{"family":"Luo","given":"Yongxiang"}],"issued":{"date-parts":[["2022",5]]}}}],"schema":"https://github.com/citation-style-language/schema/raw/master/csl-citation.json"} </w:instrText>
      </w:r>
      <w:r w:rsidR="00F425E9">
        <w:rPr>
          <w:rFonts w:cs="Arial"/>
          <w:szCs w:val="24"/>
        </w:rPr>
        <w:fldChar w:fldCharType="separate"/>
      </w:r>
      <w:r w:rsidR="0033591E" w:rsidRPr="0033591E">
        <w:rPr>
          <w:rFonts w:cs="Times"/>
          <w:szCs w:val="24"/>
          <w:vertAlign w:val="superscript"/>
        </w:rPr>
        <w:t>7,24</w:t>
      </w:r>
      <w:r w:rsidR="00F425E9">
        <w:rPr>
          <w:rFonts w:cs="Arial"/>
          <w:szCs w:val="24"/>
        </w:rPr>
        <w:fldChar w:fldCharType="end"/>
      </w:r>
      <w:r w:rsidR="00825B68">
        <w:rPr>
          <w:rFonts w:cs="Arial"/>
          <w:szCs w:val="24"/>
        </w:rPr>
        <w:t>.</w:t>
      </w:r>
    </w:p>
    <w:bookmarkEnd w:id="4"/>
    <w:p w14:paraId="6A2B6B59" w14:textId="26E1FE66" w:rsidR="00B23A12" w:rsidRPr="00024FD1" w:rsidRDefault="00B23A12" w:rsidP="00B23A12">
      <w:pPr>
        <w:spacing w:line="480" w:lineRule="auto"/>
        <w:jc w:val="both"/>
        <w:rPr>
          <w:rFonts w:cs="Arial"/>
          <w:szCs w:val="24"/>
        </w:rPr>
      </w:pPr>
      <w:r w:rsidRPr="00024FD1">
        <w:rPr>
          <w:rFonts w:cs="Arial"/>
          <w:szCs w:val="24"/>
        </w:rPr>
        <w:t xml:space="preserve">Herein, we </w:t>
      </w:r>
      <w:r w:rsidR="00456DF4">
        <w:rPr>
          <w:rFonts w:cs="Arial"/>
          <w:szCs w:val="24"/>
        </w:rPr>
        <w:t xml:space="preserve">improvise </w:t>
      </w:r>
      <w:r w:rsidR="00044938">
        <w:rPr>
          <w:rFonts w:cs="Arial"/>
          <w:szCs w:val="24"/>
        </w:rPr>
        <w:t xml:space="preserve">on the </w:t>
      </w:r>
      <w:r w:rsidR="00304C9A">
        <w:rPr>
          <w:rFonts w:cs="Arial"/>
          <w:szCs w:val="24"/>
        </w:rPr>
        <w:t xml:space="preserve">developed </w:t>
      </w:r>
      <w:r w:rsidR="00044938">
        <w:rPr>
          <w:rFonts w:cs="Arial"/>
          <w:szCs w:val="24"/>
        </w:rPr>
        <w:t xml:space="preserve">technique </w:t>
      </w:r>
      <w:r w:rsidR="006B4AB4">
        <w:rPr>
          <w:rFonts w:cs="Arial"/>
          <w:szCs w:val="24"/>
        </w:rPr>
        <w:t xml:space="preserve"> by testing the growth and cell behaviour of </w:t>
      </w:r>
      <w:r w:rsidR="00044938">
        <w:rPr>
          <w:rFonts w:cs="Arial"/>
          <w:szCs w:val="24"/>
        </w:rPr>
        <w:t xml:space="preserve"> </w:t>
      </w:r>
      <w:r w:rsidR="00044938" w:rsidRPr="00024FD1">
        <w:rPr>
          <w:rFonts w:cs="Arial"/>
          <w:szCs w:val="24"/>
        </w:rPr>
        <w:t xml:space="preserve">human </w:t>
      </w:r>
      <w:proofErr w:type="spellStart"/>
      <w:r w:rsidR="00044938" w:rsidRPr="00024FD1">
        <w:rPr>
          <w:rFonts w:cs="Arial"/>
          <w:szCs w:val="24"/>
        </w:rPr>
        <w:t>fetal</w:t>
      </w:r>
      <w:proofErr w:type="spellEnd"/>
      <w:r w:rsidR="00044938" w:rsidRPr="00024FD1">
        <w:rPr>
          <w:rFonts w:cs="Arial"/>
          <w:szCs w:val="24"/>
        </w:rPr>
        <w:t xml:space="preserve"> bone marrow stromal cells (FBMSCs)</w:t>
      </w:r>
      <w:r w:rsidR="00044938">
        <w:rPr>
          <w:rFonts w:cs="Arial"/>
          <w:szCs w:val="24"/>
        </w:rPr>
        <w:t xml:space="preserve"> over the osteosarcoma cell line (SAOS-2) used in the original study </w:t>
      </w:r>
      <w:r w:rsidR="00044938">
        <w:rPr>
          <w:rFonts w:cs="Arial"/>
          <w:szCs w:val="24"/>
        </w:rPr>
        <w:fldChar w:fldCharType="begin"/>
      </w:r>
      <w:r w:rsidR="0033591E">
        <w:rPr>
          <w:rFonts w:cs="Arial"/>
          <w:szCs w:val="24"/>
        </w:rPr>
        <w:instrText xml:space="preserve"> ADDIN ZOTERO_ITEM CSL_CITATION {"citationID":"ANFU3ZK5","properties":{"formattedCitation":"\\super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C","id":"QxUABRr4/PTn7YXmX","issue":"November 2019","issued":{"date-parts":[["2020"]]},"page":"110489","publisher":"Elsevier","title":"Rapid fabrication and screening of tailored functional 3D biomaterials","type":"article-journal","volume":"108"}}],"schema":"https://github.com/citation-style-language/schema/raw/master/csl-citation.json"} </w:instrText>
      </w:r>
      <w:r w:rsidR="00044938">
        <w:rPr>
          <w:rFonts w:cs="Arial"/>
          <w:szCs w:val="24"/>
        </w:rPr>
        <w:fldChar w:fldCharType="separate"/>
      </w:r>
      <w:r w:rsidR="00276F52" w:rsidRPr="00276F52">
        <w:rPr>
          <w:rFonts w:cs="Times"/>
          <w:szCs w:val="24"/>
          <w:vertAlign w:val="superscript"/>
        </w:rPr>
        <w:t>19</w:t>
      </w:r>
      <w:r w:rsidR="00044938">
        <w:rPr>
          <w:rFonts w:cs="Arial"/>
          <w:szCs w:val="24"/>
        </w:rPr>
        <w:fldChar w:fldCharType="end"/>
      </w:r>
      <w:r w:rsidR="00044938">
        <w:rPr>
          <w:rFonts w:cs="Arial"/>
          <w:szCs w:val="24"/>
        </w:rPr>
        <w:t xml:space="preserve"> to provide </w:t>
      </w:r>
      <w:r w:rsidR="00304C9A">
        <w:rPr>
          <w:rFonts w:cs="Arial"/>
          <w:szCs w:val="24"/>
        </w:rPr>
        <w:t xml:space="preserve">clinically relevant </w:t>
      </w:r>
      <w:r w:rsidR="00044938">
        <w:rPr>
          <w:rFonts w:cs="Arial"/>
          <w:szCs w:val="24"/>
        </w:rPr>
        <w:t>conditions and determine t</w:t>
      </w:r>
      <w:r w:rsidR="00304C9A">
        <w:rPr>
          <w:rFonts w:cs="Arial"/>
          <w:szCs w:val="24"/>
        </w:rPr>
        <w:t>he</w:t>
      </w:r>
      <w:r w:rsidR="00044938">
        <w:rPr>
          <w:rFonts w:cs="Arial"/>
          <w:szCs w:val="24"/>
        </w:rPr>
        <w:t xml:space="preserve"> biocompatibility of the synthetic polymer scaffolds.</w:t>
      </w:r>
      <w:r w:rsidR="006B4AB4">
        <w:rPr>
          <w:rFonts w:cs="Arial"/>
          <w:szCs w:val="24"/>
        </w:rPr>
        <w:t xml:space="preserve"> </w:t>
      </w:r>
      <w:bookmarkStart w:id="5" w:name="_Hlk118375052"/>
      <w:r w:rsidR="006B4AB4">
        <w:rPr>
          <w:rFonts w:cs="Arial"/>
          <w:szCs w:val="24"/>
        </w:rPr>
        <w:t>Further</w:t>
      </w:r>
      <w:r w:rsidR="00CE5E21">
        <w:rPr>
          <w:rFonts w:cs="Arial"/>
          <w:szCs w:val="24"/>
        </w:rPr>
        <w:t>,</w:t>
      </w:r>
      <w:r w:rsidR="006B4AB4">
        <w:rPr>
          <w:rFonts w:cs="Arial"/>
          <w:szCs w:val="24"/>
        </w:rPr>
        <w:t xml:space="preserve"> based on the </w:t>
      </w:r>
      <w:r w:rsidR="006B4AB4" w:rsidRPr="009E0916">
        <w:rPr>
          <w:rFonts w:cs="Arial"/>
          <w:i/>
          <w:iCs/>
          <w:szCs w:val="24"/>
        </w:rPr>
        <w:t>in</w:t>
      </w:r>
      <w:r w:rsidR="00CE5E21" w:rsidRPr="009E0916">
        <w:rPr>
          <w:rFonts w:cs="Arial"/>
          <w:i/>
          <w:iCs/>
          <w:szCs w:val="24"/>
        </w:rPr>
        <w:t xml:space="preserve"> </w:t>
      </w:r>
      <w:r w:rsidR="006B4AB4" w:rsidRPr="009E0916">
        <w:rPr>
          <w:rFonts w:cs="Arial"/>
          <w:i/>
          <w:iCs/>
          <w:szCs w:val="24"/>
        </w:rPr>
        <w:t>vitro</w:t>
      </w:r>
      <w:r w:rsidR="006B4AB4">
        <w:rPr>
          <w:rFonts w:cs="Arial"/>
          <w:szCs w:val="24"/>
        </w:rPr>
        <w:t xml:space="preserve"> cell culture studies selected polymer scaffolds were explored in</w:t>
      </w:r>
      <w:r w:rsidR="009E0916">
        <w:rPr>
          <w:rFonts w:cs="Arial"/>
          <w:szCs w:val="24"/>
        </w:rPr>
        <w:t xml:space="preserve"> an ex vivo</w:t>
      </w:r>
      <w:r w:rsidR="006B4AB4">
        <w:rPr>
          <w:rFonts w:cs="Arial"/>
          <w:szCs w:val="24"/>
        </w:rPr>
        <w:t xml:space="preserve"> </w:t>
      </w:r>
      <w:r w:rsidR="00CE5E21">
        <w:rPr>
          <w:rFonts w:cs="Arial"/>
          <w:szCs w:val="24"/>
        </w:rPr>
        <w:t xml:space="preserve">CAM assay and </w:t>
      </w:r>
      <w:r w:rsidR="006B4AB4" w:rsidRPr="009E0916">
        <w:rPr>
          <w:rFonts w:cs="Arial"/>
          <w:i/>
          <w:iCs/>
          <w:szCs w:val="24"/>
        </w:rPr>
        <w:t>in vivo</w:t>
      </w:r>
      <w:r w:rsidR="006B4AB4">
        <w:rPr>
          <w:rFonts w:cs="Arial"/>
          <w:szCs w:val="24"/>
        </w:rPr>
        <w:t xml:space="preserve"> studies </w:t>
      </w:r>
      <w:r w:rsidR="009E0916">
        <w:rPr>
          <w:rFonts w:cs="Arial"/>
          <w:szCs w:val="24"/>
        </w:rPr>
        <w:t xml:space="preserve">to determine their </w:t>
      </w:r>
      <w:r w:rsidR="006B4AB4">
        <w:rPr>
          <w:rFonts w:cs="Arial"/>
          <w:szCs w:val="24"/>
        </w:rPr>
        <w:t xml:space="preserve">potential </w:t>
      </w:r>
      <w:r w:rsidR="009E0916">
        <w:rPr>
          <w:rFonts w:cs="Arial"/>
          <w:szCs w:val="24"/>
        </w:rPr>
        <w:t>using preclinical models</w:t>
      </w:r>
      <w:r w:rsidR="006B4AB4">
        <w:rPr>
          <w:rFonts w:cs="Arial"/>
          <w:szCs w:val="24"/>
        </w:rPr>
        <w:t xml:space="preserve">. </w:t>
      </w:r>
      <w:bookmarkEnd w:id="5"/>
      <w:r w:rsidRPr="00024FD1">
        <w:rPr>
          <w:rFonts w:cs="Arial"/>
          <w:szCs w:val="24"/>
        </w:rPr>
        <w:t xml:space="preserve">The </w:t>
      </w:r>
      <w:r w:rsidR="00F70A29" w:rsidRPr="00024FD1">
        <w:rPr>
          <w:rFonts w:cs="Arial"/>
          <w:szCs w:val="24"/>
        </w:rPr>
        <w:t xml:space="preserve">new </w:t>
      </w:r>
      <w:r w:rsidRPr="00024FD1">
        <w:rPr>
          <w:rFonts w:cs="Arial"/>
          <w:szCs w:val="24"/>
        </w:rPr>
        <w:t xml:space="preserve">3D scaffolds promoted </w:t>
      </w:r>
      <w:r w:rsidR="00044938">
        <w:rPr>
          <w:rFonts w:cs="Arial"/>
          <w:szCs w:val="24"/>
        </w:rPr>
        <w:t xml:space="preserve">cellular proliferation and showed preliminary </w:t>
      </w:r>
      <w:r w:rsidRPr="00024FD1">
        <w:rPr>
          <w:rFonts w:cs="Arial"/>
          <w:szCs w:val="24"/>
        </w:rPr>
        <w:t xml:space="preserve">vasculature </w:t>
      </w:r>
      <w:r w:rsidR="00044938">
        <w:rPr>
          <w:rFonts w:cs="Arial"/>
          <w:szCs w:val="24"/>
        </w:rPr>
        <w:t xml:space="preserve">formation </w:t>
      </w:r>
      <w:r w:rsidRPr="00024FD1">
        <w:rPr>
          <w:rFonts w:cs="Arial"/>
          <w:szCs w:val="24"/>
        </w:rPr>
        <w:t xml:space="preserve">penetration throughout the entire </w:t>
      </w:r>
      <w:r w:rsidRPr="00024FD1">
        <w:rPr>
          <w:rFonts w:cs="Arial"/>
          <w:szCs w:val="24"/>
        </w:rPr>
        <w:lastRenderedPageBreak/>
        <w:t xml:space="preserve">scaffold structure. The intrinsic properties of the scaffolds, together with the characteristics of the porous network, were central in facilitating </w:t>
      </w:r>
      <w:r w:rsidRPr="00D86B49">
        <w:rPr>
          <w:rFonts w:cs="Arial"/>
          <w:szCs w:val="24"/>
        </w:rPr>
        <w:t>and accounting for</w:t>
      </w:r>
      <w:r w:rsidRPr="00024FD1">
        <w:rPr>
          <w:rFonts w:cs="Arial"/>
          <w:szCs w:val="24"/>
        </w:rPr>
        <w:t xml:space="preserve"> their proangiogenic nature</w:t>
      </w:r>
      <w:r w:rsidR="009E0916">
        <w:rPr>
          <w:rFonts w:cs="Arial"/>
          <w:szCs w:val="24"/>
        </w:rPr>
        <w:t>. T</w:t>
      </w:r>
      <w:r w:rsidR="00DD0652" w:rsidRPr="00024FD1">
        <w:rPr>
          <w:rFonts w:cs="Arial"/>
          <w:szCs w:val="24"/>
        </w:rPr>
        <w:t xml:space="preserve">he </w:t>
      </w:r>
      <w:r w:rsidR="009E0916">
        <w:rPr>
          <w:rFonts w:cs="Arial"/>
          <w:szCs w:val="24"/>
        </w:rPr>
        <w:t xml:space="preserve">subsequent </w:t>
      </w:r>
      <w:r w:rsidRPr="00024FD1">
        <w:rPr>
          <w:rFonts w:cs="Arial"/>
          <w:szCs w:val="24"/>
        </w:rPr>
        <w:t xml:space="preserve">stimulation of osteoblastic differentiation of </w:t>
      </w:r>
      <w:r w:rsidR="00AF434A">
        <w:rPr>
          <w:rFonts w:cs="Arial"/>
          <w:szCs w:val="24"/>
        </w:rPr>
        <w:t xml:space="preserve">the </w:t>
      </w:r>
      <w:r w:rsidRPr="00024FD1">
        <w:rPr>
          <w:rFonts w:cs="Arial"/>
          <w:szCs w:val="24"/>
        </w:rPr>
        <w:t xml:space="preserve">human </w:t>
      </w:r>
      <w:proofErr w:type="spellStart"/>
      <w:r w:rsidRPr="00024FD1">
        <w:rPr>
          <w:rFonts w:cs="Arial"/>
          <w:szCs w:val="24"/>
        </w:rPr>
        <w:t>fetal</w:t>
      </w:r>
      <w:proofErr w:type="spellEnd"/>
      <w:r w:rsidRPr="00024FD1">
        <w:rPr>
          <w:rFonts w:cs="Arial"/>
          <w:szCs w:val="24"/>
        </w:rPr>
        <w:t xml:space="preserve"> bone marrow stromal cells (FBMSCs)</w:t>
      </w:r>
      <w:r w:rsidR="00AF434A">
        <w:rPr>
          <w:rFonts w:cs="Arial"/>
          <w:szCs w:val="24"/>
        </w:rPr>
        <w:t xml:space="preserve"> observed indicated</w:t>
      </w:r>
      <w:r w:rsidR="00983FDA" w:rsidRPr="00024FD1">
        <w:rPr>
          <w:rFonts w:cs="Arial"/>
          <w:szCs w:val="24"/>
        </w:rPr>
        <w:t xml:space="preserve"> </w:t>
      </w:r>
      <w:r w:rsidRPr="00024FD1">
        <w:rPr>
          <w:rFonts w:cs="Arial"/>
          <w:szCs w:val="24"/>
        </w:rPr>
        <w:t xml:space="preserve">scaffolds which </w:t>
      </w:r>
      <w:r w:rsidR="00AF434A">
        <w:rPr>
          <w:rFonts w:cs="Arial"/>
          <w:szCs w:val="24"/>
        </w:rPr>
        <w:t>w</w:t>
      </w:r>
      <w:r w:rsidRPr="00024FD1">
        <w:rPr>
          <w:rFonts w:cs="Arial"/>
          <w:szCs w:val="24"/>
        </w:rPr>
        <w:t xml:space="preserve">ould be applicable to bone repair. </w:t>
      </w:r>
      <w:bookmarkStart w:id="6" w:name="_Hlk118375103"/>
      <w:r w:rsidR="006B4AB4">
        <w:rPr>
          <w:rFonts w:cs="Arial"/>
          <w:szCs w:val="24"/>
        </w:rPr>
        <w:t>This is</w:t>
      </w:r>
      <w:r w:rsidR="00AF434A">
        <w:rPr>
          <w:rFonts w:cs="Arial"/>
          <w:szCs w:val="24"/>
        </w:rPr>
        <w:t xml:space="preserve"> a key finding</w:t>
      </w:r>
      <w:r w:rsidR="006B4AB4">
        <w:rPr>
          <w:rFonts w:cs="Arial"/>
          <w:szCs w:val="24"/>
        </w:rPr>
        <w:t xml:space="preserve"> of the current work where the polymer scaffolds were able to </w:t>
      </w:r>
      <w:r w:rsidR="006F4E2B">
        <w:rPr>
          <w:rFonts w:cs="Arial"/>
          <w:szCs w:val="24"/>
        </w:rPr>
        <w:t xml:space="preserve">maintain cells and </w:t>
      </w:r>
      <w:r w:rsidR="006B4AB4">
        <w:rPr>
          <w:rFonts w:cs="Arial"/>
          <w:szCs w:val="24"/>
        </w:rPr>
        <w:t xml:space="preserve">promote preliminary vasculature formation </w:t>
      </w:r>
      <w:r w:rsidR="00AF434A">
        <w:rPr>
          <w:rFonts w:cs="Arial"/>
          <w:szCs w:val="24"/>
        </w:rPr>
        <w:t>in the absence of a</w:t>
      </w:r>
      <w:r w:rsidR="006B4AB4">
        <w:rPr>
          <w:rFonts w:cs="Arial"/>
          <w:szCs w:val="24"/>
        </w:rPr>
        <w:t xml:space="preserve">ny </w:t>
      </w:r>
      <w:r w:rsidR="00AF434A">
        <w:rPr>
          <w:rFonts w:cs="Arial"/>
          <w:szCs w:val="24"/>
        </w:rPr>
        <w:t xml:space="preserve">applied </w:t>
      </w:r>
      <w:r w:rsidR="006B4AB4">
        <w:rPr>
          <w:rFonts w:cs="Arial"/>
          <w:szCs w:val="24"/>
        </w:rPr>
        <w:t>ex</w:t>
      </w:r>
      <w:r w:rsidR="00AF434A">
        <w:rPr>
          <w:rFonts w:cs="Arial"/>
          <w:szCs w:val="24"/>
        </w:rPr>
        <w:t>ogenous</w:t>
      </w:r>
      <w:r w:rsidR="006B4AB4">
        <w:rPr>
          <w:rFonts w:cs="Arial"/>
          <w:szCs w:val="24"/>
        </w:rPr>
        <w:t xml:space="preserve"> growth factors.</w:t>
      </w:r>
      <w:bookmarkEnd w:id="6"/>
    </w:p>
    <w:p w14:paraId="1EC21B29" w14:textId="489243F4" w:rsidR="00B23A12" w:rsidRPr="00024FD1" w:rsidRDefault="0066209E" w:rsidP="00B23A12">
      <w:pPr>
        <w:spacing w:line="480" w:lineRule="auto"/>
        <w:jc w:val="both"/>
        <w:rPr>
          <w:rFonts w:cs="Arial"/>
          <w:szCs w:val="24"/>
        </w:rPr>
      </w:pPr>
      <w:r>
        <w:rPr>
          <w:rFonts w:cs="Arial"/>
          <w:szCs w:val="24"/>
        </w:rPr>
        <w:t xml:space="preserve">The current study </w:t>
      </w:r>
      <w:r w:rsidR="00456DF4">
        <w:rPr>
          <w:rFonts w:cs="Arial"/>
          <w:szCs w:val="24"/>
        </w:rPr>
        <w:t xml:space="preserve"> explores the application of the most promising polymer scaffolds which were selected based on the </w:t>
      </w:r>
      <w:r>
        <w:rPr>
          <w:rFonts w:cs="Arial"/>
          <w:szCs w:val="24"/>
        </w:rPr>
        <w:t xml:space="preserve"> original </w:t>
      </w:r>
      <w:r w:rsidR="00456DF4">
        <w:rPr>
          <w:rFonts w:cs="Arial"/>
          <w:szCs w:val="24"/>
        </w:rPr>
        <w:t xml:space="preserve">combinatorial screening </w:t>
      </w:r>
      <w:r>
        <w:rPr>
          <w:rFonts w:cs="Arial"/>
          <w:szCs w:val="24"/>
        </w:rPr>
        <w:t xml:space="preserve">study </w:t>
      </w:r>
      <w:r w:rsidR="00456DF4">
        <w:rPr>
          <w:rFonts w:cs="Arial"/>
          <w:szCs w:val="24"/>
        </w:rPr>
        <w:t xml:space="preserve">performed </w:t>
      </w:r>
      <w:r>
        <w:rPr>
          <w:rFonts w:cs="Arial"/>
          <w:szCs w:val="24"/>
        </w:rPr>
        <w:t>by Conde-Gonz</w:t>
      </w:r>
      <w:r w:rsidR="00E16373" w:rsidRPr="00E16373">
        <w:rPr>
          <w:rFonts w:cs="Arial"/>
          <w:szCs w:val="24"/>
        </w:rPr>
        <w:t>á</w:t>
      </w:r>
      <w:r>
        <w:rPr>
          <w:rFonts w:cs="Arial"/>
          <w:szCs w:val="24"/>
        </w:rPr>
        <w:t xml:space="preserve">lez </w:t>
      </w:r>
      <w:r>
        <w:rPr>
          <w:rFonts w:cs="Arial"/>
          <w:szCs w:val="24"/>
        </w:rPr>
        <w:fldChar w:fldCharType="begin"/>
      </w:r>
      <w:r w:rsidR="0033591E">
        <w:rPr>
          <w:rFonts w:cs="Arial"/>
          <w:szCs w:val="24"/>
        </w:rPr>
        <w:instrText xml:space="preserve"> ADDIN ZOTERO_ITEM CSL_CITATION {"citationID":"JvXCKA5M","properties":{"formattedCitation":"\\super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C","id":"QxUABRr4/PTn7YXmX","issue":"November 2019","issued":{"date-parts":[["2020"]]},"page":"110489","publisher":"Elsevier","title":"Rapid fabrication and screening of tailored functional 3D biomaterials","type":"article-journal","volume":"108"}}],"schema":"https://github.com/citation-style-language/schema/raw/master/csl-citation.json"} </w:instrText>
      </w:r>
      <w:r>
        <w:rPr>
          <w:rFonts w:cs="Arial"/>
          <w:szCs w:val="24"/>
        </w:rPr>
        <w:fldChar w:fldCharType="separate"/>
      </w:r>
      <w:r w:rsidR="00276F52" w:rsidRPr="00276F52">
        <w:rPr>
          <w:rFonts w:cs="Times"/>
          <w:szCs w:val="24"/>
          <w:vertAlign w:val="superscript"/>
        </w:rPr>
        <w:t>19</w:t>
      </w:r>
      <w:r>
        <w:rPr>
          <w:rFonts w:cs="Arial"/>
          <w:szCs w:val="24"/>
        </w:rPr>
        <w:fldChar w:fldCharType="end"/>
      </w:r>
      <w:r>
        <w:rPr>
          <w:rFonts w:cs="Arial"/>
          <w:szCs w:val="24"/>
        </w:rPr>
        <w:t xml:space="preserve">. </w:t>
      </w:r>
      <w:r w:rsidR="00B23A12" w:rsidRPr="00024FD1">
        <w:rPr>
          <w:rFonts w:cs="Arial"/>
          <w:szCs w:val="24"/>
        </w:rPr>
        <w:t>The fabrication process explored a variety of</w:t>
      </w:r>
      <w:r w:rsidR="000B7C07">
        <w:rPr>
          <w:rFonts w:cs="Arial"/>
          <w:szCs w:val="24"/>
        </w:rPr>
        <w:t xml:space="preserve"> novel</w:t>
      </w:r>
      <w:r w:rsidR="00B23A12" w:rsidRPr="00024FD1">
        <w:rPr>
          <w:rFonts w:cs="Arial"/>
          <w:szCs w:val="24"/>
        </w:rPr>
        <w:t xml:space="preserve"> polyacrylates and 3D microstructures that were interrogated using a robust 3D screening methodology employing FBMSCs. FBMSCs were selected for evaluation given their highly proliferative nature and demonstrated multipotentiality </w:t>
      </w:r>
      <w:r w:rsidR="00AF434A">
        <w:rPr>
          <w:rFonts w:cs="Arial"/>
          <w:szCs w:val="24"/>
        </w:rPr>
        <w:t>to differentiate</w:t>
      </w:r>
      <w:r w:rsidR="00B23A12" w:rsidRPr="00024FD1">
        <w:rPr>
          <w:rFonts w:cs="Arial"/>
          <w:szCs w:val="24"/>
        </w:rPr>
        <w:t xml:space="preserve"> along the various stromal </w:t>
      </w:r>
      <w:r w:rsidR="00AF434A">
        <w:rPr>
          <w:rFonts w:cs="Arial"/>
          <w:szCs w:val="24"/>
        </w:rPr>
        <w:t>lineages</w:t>
      </w:r>
      <w:r w:rsidR="00D351DC" w:rsidRPr="00024FD1">
        <w:rPr>
          <w:rFonts w:cs="Arial"/>
          <w:szCs w:val="24"/>
        </w:rPr>
        <w:t xml:space="preserve"> </w:t>
      </w:r>
      <w:r w:rsidR="00A07BB8" w:rsidRPr="00024FD1">
        <w:rPr>
          <w:rFonts w:cs="Arial"/>
          <w:szCs w:val="24"/>
        </w:rPr>
        <w:fldChar w:fldCharType="begin" w:fldLock="1"/>
      </w:r>
      <w:r w:rsidR="0033591E">
        <w:rPr>
          <w:rFonts w:cs="Arial"/>
          <w:szCs w:val="24"/>
        </w:rPr>
        <w:instrText xml:space="preserve"> ADDIN ZOTERO_ITEM CSL_CITATION {"citationID":"HnjhWiRP","properties":{"formattedCitation":"\\super 25\\nosupersub{}","plainCitation":"25","noteIndex":0},"citationItems":[{"id":"1dryys0K/VSCCulJu","uris":["http://www.mendeley.com/documents/?uuid=86c15e68-f993-42a8-96c8-445bf75e77da"],"itemData":{"DOI":"10.1016/j.bpobgyn.2004.06.010","ISSN":"15216934","abstract":"Fetal stem cells can be isolated from fetal blood and bone marrow as well as from other fetal tissues, including liver and kidney. Fetal blood is a rich source of haemopoietic stem cells (HSC), which proliferate more rapidly than those in cord blood or adult bone marrow. First trimester fetal blood also contains a population of non-haemopoietic mesenchymal stem cells (MSC), which support haemopoiesis and can differentiate along multiple lineages. In terms of eventual downstream application, both fetal HSC and MSC have advantages over their adult counterparts, including better intrinsic homing and engraftment, greater multipotentiality and lower immunogenicity. Fetal stem cells are less ethically contentious than embryonic stem cells and their differentiation potential appears greater than adult stem cells. Fetal stem cells represent powerful tools for exploring many aspects of cell biology and hold considerable promise as therapeutic tools for cell transplantation and ex vivo gene therapy. © 2004 Elsevier Ltd. All rights reserved.","author":[{"dropping-particle":"","family":"O'Donoghue","given":"Keelin","non-dropping-particle":"","parse-names":false,"suffix":""},{"dropping-particle":"","family":"Fisk","given":"Nicholas M.","non-dropping-particle":"","parse-names":false,"suffix":""}],"container-title":"Best Practice and Research: Clinical Obstetrics and Gynaecology","id":"ITEM-1","issue":"6","issued":{"date-parts":[["2004"]]},"page":"853-875","title":"Fetal stem cells","type":"article-journal","volume":"18"}}],"schema":"https://github.com/citation-style-language/schema/raw/master/csl-citation.json"} </w:instrText>
      </w:r>
      <w:r w:rsidR="00A07BB8" w:rsidRPr="00024FD1">
        <w:rPr>
          <w:rFonts w:cs="Arial"/>
          <w:szCs w:val="24"/>
        </w:rPr>
        <w:fldChar w:fldCharType="separate"/>
      </w:r>
      <w:r w:rsidR="0033591E" w:rsidRPr="0033591E">
        <w:rPr>
          <w:rFonts w:cs="Times"/>
          <w:szCs w:val="24"/>
          <w:vertAlign w:val="superscript"/>
        </w:rPr>
        <w:t>25</w:t>
      </w:r>
      <w:r w:rsidR="00A07BB8" w:rsidRPr="00024FD1">
        <w:rPr>
          <w:rFonts w:cs="Arial"/>
          <w:szCs w:val="24"/>
        </w:rPr>
        <w:fldChar w:fldCharType="end"/>
      </w:r>
      <w:r w:rsidR="00D351DC" w:rsidRPr="00024FD1">
        <w:rPr>
          <w:rFonts w:cs="Arial"/>
          <w:szCs w:val="24"/>
        </w:rPr>
        <w:t>.</w:t>
      </w:r>
      <w:r w:rsidR="00A07BB8" w:rsidRPr="00024FD1">
        <w:rPr>
          <w:rFonts w:cs="Arial"/>
          <w:szCs w:val="24"/>
        </w:rPr>
        <w:t xml:space="preserve"> </w:t>
      </w:r>
      <w:r w:rsidR="00B23A12" w:rsidRPr="00024FD1">
        <w:rPr>
          <w:rFonts w:cs="Arial"/>
          <w:szCs w:val="24"/>
        </w:rPr>
        <w:t xml:space="preserve">High porosity scaffolds that supported 3D cell proliferation and facilitated the expression of high </w:t>
      </w:r>
      <w:r w:rsidR="00DD0722">
        <w:rPr>
          <w:rFonts w:cs="Arial"/>
          <w:szCs w:val="24"/>
        </w:rPr>
        <w:t xml:space="preserve">levels of </w:t>
      </w:r>
      <w:r w:rsidR="00B23A12" w:rsidRPr="00024FD1">
        <w:rPr>
          <w:rFonts w:cs="Arial"/>
          <w:szCs w:val="24"/>
        </w:rPr>
        <w:t>collagen</w:t>
      </w:r>
      <w:r w:rsidR="00DD0722">
        <w:rPr>
          <w:rFonts w:cs="Arial"/>
          <w:szCs w:val="24"/>
        </w:rPr>
        <w:t>,</w:t>
      </w:r>
      <w:r w:rsidR="00B23A12" w:rsidRPr="00024FD1">
        <w:rPr>
          <w:rFonts w:cs="Arial"/>
          <w:szCs w:val="24"/>
        </w:rPr>
        <w:t xml:space="preserve"> and displayed mechanical properties comparable to native musculoskeletal tissue</w:t>
      </w:r>
      <w:r w:rsidR="00DD0722">
        <w:rPr>
          <w:rFonts w:cs="Arial"/>
          <w:szCs w:val="24"/>
        </w:rPr>
        <w:t>,</w:t>
      </w:r>
      <w:r w:rsidR="00B23A12" w:rsidRPr="00024FD1">
        <w:rPr>
          <w:rFonts w:cs="Arial"/>
          <w:szCs w:val="24"/>
        </w:rPr>
        <w:t xml:space="preserve"> were identified. In addition, the </w:t>
      </w:r>
      <w:r w:rsidR="00AF434A">
        <w:rPr>
          <w:rFonts w:cs="Arial"/>
          <w:szCs w:val="24"/>
        </w:rPr>
        <w:t xml:space="preserve">identified </w:t>
      </w:r>
      <w:r w:rsidR="00B23A12" w:rsidRPr="00024FD1">
        <w:rPr>
          <w:rFonts w:cs="Arial"/>
          <w:szCs w:val="24"/>
        </w:rPr>
        <w:t xml:space="preserve">scaffolds demonstrated, uniquely, substantial integration within the chick chorioallantoic </w:t>
      </w:r>
      <w:r w:rsidR="00DD0652" w:rsidRPr="00024FD1">
        <w:rPr>
          <w:rFonts w:cs="Arial"/>
          <w:szCs w:val="24"/>
        </w:rPr>
        <w:t>membrane model</w:t>
      </w:r>
      <w:r w:rsidR="00B23A12" w:rsidRPr="00024FD1">
        <w:rPr>
          <w:rFonts w:cs="Arial"/>
          <w:szCs w:val="24"/>
        </w:rPr>
        <w:t xml:space="preserve"> (CAM) as well as within a subcutaneous murine model, with prominent </w:t>
      </w:r>
      <w:r w:rsidR="00B72E9E" w:rsidRPr="00024FD1">
        <w:rPr>
          <w:rFonts w:cs="Arial"/>
          <w:szCs w:val="24"/>
        </w:rPr>
        <w:t xml:space="preserve">angiogenesis </w:t>
      </w:r>
      <w:r w:rsidR="00B23A12" w:rsidRPr="00024FD1">
        <w:rPr>
          <w:rFonts w:cs="Arial"/>
          <w:szCs w:val="24"/>
        </w:rPr>
        <w:t>observed within the implanted scaffolds</w:t>
      </w:r>
      <w:r w:rsidR="00066CC0">
        <w:rPr>
          <w:rFonts w:cs="Arial"/>
          <w:szCs w:val="24"/>
        </w:rPr>
        <w:t xml:space="preserve"> </w:t>
      </w:r>
      <w:r w:rsidR="00066CC0">
        <w:rPr>
          <w:rFonts w:cs="Arial"/>
          <w:szCs w:val="24"/>
        </w:rPr>
        <w:fldChar w:fldCharType="begin"/>
      </w:r>
      <w:r w:rsidR="0033591E">
        <w:rPr>
          <w:rFonts w:cs="Arial"/>
          <w:szCs w:val="24"/>
        </w:rPr>
        <w:instrText xml:space="preserve"> ADDIN ZOTERO_ITEM CSL_CITATION {"citationID":"gQWu4UWw","properties":{"formattedCitation":"\\super 26,27\\nosupersub{}","plainCitation":"26,27","noteIndex":0},"citationItems":[{"id":2790,"uris":["http://zotero.org/users/8425864/items/H7KIGILX"],"itemData":{"id":2790,"type":"article-journal","abstract":"The chorioallantoic membrane (CAM) is a highly vascularized avian extraembryonic membrane widely used as an in vivo model to study angiogenesis and its inhibition in response to tissues, cells, or soluble factors. In recent years, the use of CAM has become an integral part of the biocompatibility testing process for developing biomaterials intended for regenerative strategies and tissue engineering applications. In this study, we used the chicken ex ovo CAM assay to investigate the angiogenic potential of innovative acellular biopolymer polyhydroxybutyrate/chitosan (PHB/CHIT) scaffold, which is intended for the treatment of hard tissue defects, depending on treatment with pro- and anti-angiogenic substances. On embryonic day (ED) 7, the experimental biomaterials were placed on the CAM alone or soaked in vascular endothelial growth factor (VEGF-A), saline solution (PHY), or tyrosine kinase inhibitor (SU5402). After 72 h, the formation of vessels was analyzed in the surrounding area of the scaffold and inside the pores of the implants, using markers of embryonic endothelium (WGA, SNA), myofibroblasts (α-SMA), and macrophages (KUL-01). The morphological and histochemical analysis showed strong angiogenic potential of untreated scaffolds without additional effect of the angiogenic factor, VEGF-A. The lowest angiogenic potential was observed in scaffolds soaked with SU5402. Gene expression of pro-angiogenic growth factors, i.e., VEGF-A, ANG-2, and VE-CAD, was upregulated in untreated scaffolds after 72 h, indicating a pro-angiogenic environment. We concluded that the PHB/CHIT has a strong endogenous angiogenic potential and could be promising biomaterial for the treatment of hard tissue defects.","container-title":"Cancers","DOI":"10.3390/cancers14174194","ISSN":"2072-6694","issue":"17","journalAbbreviation":"Cancers","language":"en","page":"4194","source":"DOI.org (Crossref)","title":"Evaluation of Angiogenesis in an Acellular Porous Biomaterial Based on Polyhydroxybutyrate and Chitosan Using the Chicken Ex Ovo Chorioallantoic Membrane Model","volume":"14","author":[{"family":"Demcisakova","given":"Zuzana"},{"family":"Luptakova","given":"Lenka"},{"family":"Tirpakova","given":"Zuzana"},{"family":"Kvasilova","given":"Alena"},{"family":"Medvecky","given":"Lubomir"},{"family":"De Spiegelaere","given":"Ward"},{"family":"Petrovova","given":"Eva"}],"issued":{"date-parts":[["2022",8,30]]}}},{"id":"1dryys0K/MfT4vhYs","uris":["http://www.mendeley.com/documents/?uuid=16a17b22-5963-4311-969e-7bee9a090d48","http://www.mendeley.com/documents/?uuid=a5e5dd74-e03b-4671-863d-62b0573aa47f"],"itemData":{"DOI":"10.1038/srep32168","ISSN":"20452322","abstract":"© 2016 The Author(s). Biomaterial development for tissue engineering applications is rapidly increasing but necessitates efficacy and safety testing prior to clinical application. Current in vitro and in vivo models hold a number of limitations, including expense, lack of correlation between animal models and human outcomes and the need to perform invasive procedures on animals; hence requiring new predictive screening methods. In the present study we tested the hypothesis that the chick embryo chorioallantoic membrane (CAM) can be used as a bioreactor to culture and study the regeneration of human living bone. We extracted bone cylinders from human femoral heads, simulated an injury using a drill-hole defect, and implanted the bone on CAM or in vitro control-culture. Micro-computed tomography (μCT) was used to quantify the magnitude and location of bone volume changes followed by histological analyses to assess bone repair. CAM blood vessels were observed to infiltrate the human bone cylinder and maintain human cell viability. Histological evaluation revealed extensive extracellular matrix deposition in proximity to endochondral condensations (Sox9+) on the CAM-implanted bone cylinders, correlating with a significant increase in bone volume by μCT analysis (p  &lt;  0.01). This human-avian system offers a simple refinement model for animal research and a step towards a humanized in vivo model for tissue engineering.","author":[{"dropping-particle":"","family":"Moreno-Jiménez","given":"Inés","non-dropping-particle":"","parse-names":false,"suffix":""},{"dropping-particle":"","family":"Hulsart-Billstrom","given":"Gry","non-dropping-particle":"","parse-names":false,"suffix":""},{"dropping-particle":"","family":"Lanham","given":"Stuart A.","non-dropping-particle":"","parse-names":false,"suffix":""},{"dropping-particle":"","family":"Janeczek","given":"Agnieszka A.","non-dropping-particle":"","parse-names":false,"suffix":""},{"dropping-particle":"","family":"Kontouli","given":"Nasia","non-dropping-particle":"","parse-names":false,"suffix":""},{"dropping-particle":"","family":"Kanczler","given":"Janos M.","non-dropping-particle":"","parse-names":false,"suffix":""},{"dropping-particle":"","family":"Evans","given":"Nicholas D.","non-dropping-particle":"","parse-names":false,"suffix":""},{"dropping-particle":"","family":"Oreffo","given":"Richard O.C.","non-dropping-particle":"","parse-names":false,"suffix":""}],"container-title":"Scientific Reports","id":"JQIhMOt6/RrecMXON","issue":"August","issued":{"date-parts":[["2016"]]},"page":"1-12","publisher":"Nature Publishing Group","title":"The chorioallantoic membrane (CAM) assay for the study of human bone regeneration: A refinement animal model for tissue engineering","type":"article-journal","volume":"6"}}],"schema":"https://github.com/citation-style-language/schema/raw/master/csl-citation.json"} </w:instrText>
      </w:r>
      <w:r w:rsidR="00066CC0">
        <w:rPr>
          <w:rFonts w:cs="Arial"/>
          <w:szCs w:val="24"/>
        </w:rPr>
        <w:fldChar w:fldCharType="separate"/>
      </w:r>
      <w:r w:rsidR="0033591E" w:rsidRPr="0033591E">
        <w:rPr>
          <w:rFonts w:cs="Times"/>
          <w:szCs w:val="24"/>
          <w:vertAlign w:val="superscript"/>
        </w:rPr>
        <w:t>26,27</w:t>
      </w:r>
      <w:r w:rsidR="00066CC0">
        <w:rPr>
          <w:rFonts w:cs="Arial"/>
          <w:szCs w:val="24"/>
        </w:rPr>
        <w:fldChar w:fldCharType="end"/>
      </w:r>
      <w:r w:rsidR="00B23A12" w:rsidRPr="00024FD1">
        <w:rPr>
          <w:rFonts w:cs="Arial"/>
          <w:szCs w:val="24"/>
        </w:rPr>
        <w:t xml:space="preserve">. The promotion of </w:t>
      </w:r>
      <w:r w:rsidR="00B72E9E" w:rsidRPr="00024FD1">
        <w:rPr>
          <w:rFonts w:cs="Arial"/>
          <w:szCs w:val="24"/>
        </w:rPr>
        <w:t xml:space="preserve">angiogenesis </w:t>
      </w:r>
      <w:r w:rsidR="00B23A12" w:rsidRPr="00024FD1">
        <w:rPr>
          <w:rFonts w:cs="Arial"/>
          <w:szCs w:val="24"/>
        </w:rPr>
        <w:t xml:space="preserve">using only synthetic biomaterials is a challenging, yet essential </w:t>
      </w:r>
      <w:r w:rsidR="00030F81" w:rsidRPr="00024FD1">
        <w:rPr>
          <w:rFonts w:cs="Arial"/>
          <w:szCs w:val="24"/>
        </w:rPr>
        <w:t>requirement</w:t>
      </w:r>
      <w:r w:rsidR="00B23A12" w:rsidRPr="00024FD1">
        <w:rPr>
          <w:rFonts w:cs="Arial"/>
          <w:szCs w:val="24"/>
        </w:rPr>
        <w:t xml:space="preserve"> for a successful transplant. </w:t>
      </w:r>
      <w:bookmarkStart w:id="7" w:name="_Hlk118375147"/>
      <w:r w:rsidR="00B23A12" w:rsidRPr="00024FD1">
        <w:rPr>
          <w:rFonts w:cs="Arial"/>
          <w:szCs w:val="24"/>
        </w:rPr>
        <w:t>The current</w:t>
      </w:r>
      <w:r w:rsidR="00945840">
        <w:rPr>
          <w:rFonts w:cs="Arial"/>
          <w:szCs w:val="24"/>
        </w:rPr>
        <w:t xml:space="preserve"> </w:t>
      </w:r>
      <w:r w:rsidR="008146F6">
        <w:rPr>
          <w:rFonts w:cs="Arial"/>
          <w:szCs w:val="24"/>
        </w:rPr>
        <w:t xml:space="preserve">work </w:t>
      </w:r>
      <w:r w:rsidR="008146F6" w:rsidRPr="00024FD1">
        <w:rPr>
          <w:rFonts w:cs="Arial"/>
          <w:szCs w:val="24"/>
        </w:rPr>
        <w:t>demonstrate</w:t>
      </w:r>
      <w:r w:rsidR="008146F6">
        <w:rPr>
          <w:rFonts w:cs="Arial"/>
          <w:szCs w:val="24"/>
        </w:rPr>
        <w:t>s</w:t>
      </w:r>
      <w:r w:rsidR="00B23A12" w:rsidRPr="00024FD1">
        <w:rPr>
          <w:rFonts w:cs="Arial"/>
          <w:szCs w:val="24"/>
        </w:rPr>
        <w:t xml:space="preserve"> identification of </w:t>
      </w:r>
      <w:r w:rsidR="000B7C07">
        <w:rPr>
          <w:rFonts w:cs="Arial"/>
          <w:szCs w:val="24"/>
        </w:rPr>
        <w:t xml:space="preserve"> novel</w:t>
      </w:r>
      <w:r w:rsidR="00917AC6">
        <w:rPr>
          <w:rFonts w:cs="Arial"/>
          <w:szCs w:val="24"/>
        </w:rPr>
        <w:t xml:space="preserve"> </w:t>
      </w:r>
      <w:r w:rsidR="00B23A12" w:rsidRPr="00024FD1">
        <w:rPr>
          <w:rFonts w:cs="Arial"/>
          <w:szCs w:val="24"/>
        </w:rPr>
        <w:t>synthetic</w:t>
      </w:r>
      <w:r w:rsidR="00DD0722">
        <w:rPr>
          <w:rFonts w:cs="Arial"/>
          <w:szCs w:val="24"/>
        </w:rPr>
        <w:t xml:space="preserve">, </w:t>
      </w:r>
      <w:r w:rsidR="00B23A12" w:rsidRPr="00024FD1">
        <w:rPr>
          <w:rFonts w:cs="Arial"/>
          <w:szCs w:val="24"/>
        </w:rPr>
        <w:t>polymer-based 3D scaffolds that support growth and proliferation of FBMSCs</w:t>
      </w:r>
      <w:r>
        <w:rPr>
          <w:rFonts w:cs="Arial"/>
          <w:szCs w:val="24"/>
        </w:rPr>
        <w:t xml:space="preserve">, indicate preliminary vasculature formation and prove the significance of </w:t>
      </w:r>
      <w:r w:rsidR="00917AC6">
        <w:rPr>
          <w:rFonts w:cs="Arial"/>
          <w:szCs w:val="24"/>
        </w:rPr>
        <w:t xml:space="preserve">the </w:t>
      </w:r>
      <w:r w:rsidR="00AF434A">
        <w:rPr>
          <w:rFonts w:cs="Arial"/>
          <w:szCs w:val="24"/>
        </w:rPr>
        <w:t>innovative</w:t>
      </w:r>
      <w:r w:rsidR="000B7C07">
        <w:rPr>
          <w:rFonts w:cs="Arial"/>
          <w:szCs w:val="24"/>
        </w:rPr>
        <w:t xml:space="preserve"> </w:t>
      </w:r>
      <w:r w:rsidR="00917AC6">
        <w:rPr>
          <w:rFonts w:cs="Arial"/>
          <w:szCs w:val="24"/>
        </w:rPr>
        <w:t>technique</w:t>
      </w:r>
      <w:r w:rsidR="00AF434A">
        <w:rPr>
          <w:rFonts w:cs="Arial"/>
          <w:szCs w:val="24"/>
        </w:rPr>
        <w:t xml:space="preserve"> detailed herein</w:t>
      </w:r>
      <w:r w:rsidR="00917AC6">
        <w:rPr>
          <w:rFonts w:cs="Arial"/>
          <w:szCs w:val="24"/>
        </w:rPr>
        <w:t xml:space="preserve"> for </w:t>
      </w:r>
      <w:r>
        <w:rPr>
          <w:rFonts w:cs="Arial"/>
          <w:szCs w:val="24"/>
        </w:rPr>
        <w:t xml:space="preserve">rapid 3D polymer scaffold formation </w:t>
      </w:r>
      <w:r w:rsidR="00945840">
        <w:rPr>
          <w:rFonts w:cs="Arial"/>
          <w:szCs w:val="24"/>
        </w:rPr>
        <w:t xml:space="preserve"> applicable in </w:t>
      </w:r>
      <w:r>
        <w:rPr>
          <w:rFonts w:cs="Arial"/>
          <w:szCs w:val="24"/>
        </w:rPr>
        <w:t>high throughput analysis</w:t>
      </w:r>
      <w:r w:rsidR="00B23A12" w:rsidRPr="00024FD1">
        <w:rPr>
          <w:rFonts w:cs="Arial"/>
          <w:szCs w:val="24"/>
        </w:rPr>
        <w:t xml:space="preserve">. </w:t>
      </w:r>
      <w:bookmarkEnd w:id="7"/>
    </w:p>
    <w:p w14:paraId="0E430D7D" w14:textId="034D170F" w:rsidR="00917AC6" w:rsidRDefault="00917AC6" w:rsidP="00946A33">
      <w:pPr>
        <w:spacing w:line="480" w:lineRule="auto"/>
        <w:jc w:val="both"/>
        <w:rPr>
          <w:rFonts w:cs="Arial"/>
          <w:szCs w:val="24"/>
        </w:rPr>
      </w:pPr>
      <w:r>
        <w:rPr>
          <w:rFonts w:cs="Arial"/>
          <w:noProof/>
          <w:szCs w:val="24"/>
          <w:lang w:eastAsia="en-GB"/>
        </w:rPr>
        <w:lastRenderedPageBreak/>
        <w:drawing>
          <wp:inline distT="0" distB="0" distL="0" distR="0" wp14:anchorId="1775BECF" wp14:editId="76BE86F8">
            <wp:extent cx="6241415" cy="241538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870" cy="2425235"/>
                    </a:xfrm>
                    <a:prstGeom prst="rect">
                      <a:avLst/>
                    </a:prstGeom>
                    <a:noFill/>
                  </pic:spPr>
                </pic:pic>
              </a:graphicData>
            </a:graphic>
          </wp:inline>
        </w:drawing>
      </w:r>
    </w:p>
    <w:p w14:paraId="10E42A9C" w14:textId="40CA31A7" w:rsidR="0015450F" w:rsidRPr="00024FD1" w:rsidRDefault="00110800" w:rsidP="00BA4A70">
      <w:pPr>
        <w:jc w:val="both"/>
      </w:pPr>
      <w:r w:rsidRPr="00024FD1">
        <w:rPr>
          <w:b/>
          <w:bCs/>
        </w:rPr>
        <w:t xml:space="preserve">Figure </w:t>
      </w:r>
      <w:r w:rsidRPr="00024FD1">
        <w:rPr>
          <w:b/>
          <w:bCs/>
        </w:rPr>
        <w:fldChar w:fldCharType="begin"/>
      </w:r>
      <w:r w:rsidRPr="00024FD1">
        <w:rPr>
          <w:b/>
          <w:bCs/>
        </w:rPr>
        <w:instrText xml:space="preserve"> SEQ Figure \* ARABIC </w:instrText>
      </w:r>
      <w:r w:rsidRPr="00024FD1">
        <w:rPr>
          <w:b/>
          <w:bCs/>
        </w:rPr>
        <w:fldChar w:fldCharType="separate"/>
      </w:r>
      <w:r w:rsidR="0045364C" w:rsidRPr="00024FD1">
        <w:rPr>
          <w:b/>
          <w:bCs/>
          <w:noProof/>
        </w:rPr>
        <w:t>1</w:t>
      </w:r>
      <w:r w:rsidRPr="00024FD1">
        <w:rPr>
          <w:b/>
          <w:bCs/>
        </w:rPr>
        <w:fldChar w:fldCharType="end"/>
      </w:r>
      <w:r w:rsidRPr="00024FD1">
        <w:rPr>
          <w:b/>
          <w:bCs/>
        </w:rPr>
        <w:t>.</w:t>
      </w:r>
      <w:r w:rsidRPr="00024FD1">
        <w:t xml:space="preserve"> </w:t>
      </w:r>
      <w:r w:rsidR="0066209E">
        <w:t xml:space="preserve">(A) </w:t>
      </w:r>
      <w:r w:rsidR="0043775F" w:rsidRPr="00024FD1">
        <w:t>S</w:t>
      </w:r>
      <w:r w:rsidR="001A3E03" w:rsidRPr="00024FD1">
        <w:t>creening and validation strategy for the identification of functional 3D porous scaffolds</w:t>
      </w:r>
      <w:r w:rsidR="0043775F" w:rsidRPr="00024FD1">
        <w:t xml:space="preserve"> that promote the formation of vascularized tissue</w:t>
      </w:r>
      <w:r w:rsidR="00442C42" w:rsidRPr="00024FD1">
        <w:t xml:space="preserve"> </w:t>
      </w:r>
      <w:r w:rsidR="00442C42" w:rsidRPr="00024FD1">
        <w:rPr>
          <w:i/>
        </w:rPr>
        <w:t>in vivo</w:t>
      </w:r>
      <w:r w:rsidR="001A3E03" w:rsidRPr="00024FD1">
        <w:t xml:space="preserve">. Arrays of 3D porous scaffolds </w:t>
      </w:r>
      <w:r w:rsidR="008B3174" w:rsidRPr="00024FD1">
        <w:t>containing</w:t>
      </w:r>
      <w:r w:rsidR="001A3E03" w:rsidRPr="00024FD1">
        <w:t xml:space="preserve"> </w:t>
      </w:r>
      <w:r w:rsidR="00874F08" w:rsidRPr="00024FD1">
        <w:t xml:space="preserve">FBMSCs </w:t>
      </w:r>
      <w:r w:rsidR="001A3E03" w:rsidRPr="00024FD1">
        <w:t>were used to rapidly</w:t>
      </w:r>
      <w:r w:rsidR="0043775F" w:rsidRPr="00024FD1">
        <w:t xml:space="preserve"> analy</w:t>
      </w:r>
      <w:r w:rsidR="00AF434A">
        <w:t>s</w:t>
      </w:r>
      <w:r w:rsidR="0043775F" w:rsidRPr="00024FD1">
        <w:t>e</w:t>
      </w:r>
      <w:r w:rsidR="001A3E03" w:rsidRPr="00024FD1">
        <w:t xml:space="preserve"> </w:t>
      </w:r>
      <w:r w:rsidR="00464E88" w:rsidRPr="00024FD1">
        <w:t xml:space="preserve">and identify </w:t>
      </w:r>
      <w:r w:rsidR="001A3E03" w:rsidRPr="00024FD1">
        <w:t xml:space="preserve">optimal polymer </w:t>
      </w:r>
      <w:r w:rsidR="007F458A" w:rsidRPr="00024FD1">
        <w:t>compositions</w:t>
      </w:r>
      <w:r w:rsidR="001A3E03" w:rsidRPr="00024FD1">
        <w:t xml:space="preserve"> and 3D structures.</w:t>
      </w:r>
      <w:r w:rsidR="0066209E">
        <w:t xml:space="preserve"> (B)</w:t>
      </w:r>
      <w:r w:rsidR="001A3E03" w:rsidRPr="00024FD1">
        <w:t xml:space="preserve"> Selected scaffolds </w:t>
      </w:r>
      <w:r w:rsidR="00464E88" w:rsidRPr="00024FD1">
        <w:t xml:space="preserve">with relevant </w:t>
      </w:r>
      <w:r w:rsidR="0043775F" w:rsidRPr="00024FD1">
        <w:t>physical properties</w:t>
      </w:r>
      <w:r w:rsidR="00464E88" w:rsidRPr="00024FD1">
        <w:t xml:space="preserve"> and </w:t>
      </w:r>
      <w:r w:rsidR="00464E88" w:rsidRPr="00024FD1">
        <w:rPr>
          <w:i/>
        </w:rPr>
        <w:t>in vitro</w:t>
      </w:r>
      <w:r w:rsidR="00464E88" w:rsidRPr="00024FD1">
        <w:t xml:space="preserve"> cell </w:t>
      </w:r>
      <w:r w:rsidR="007F458A" w:rsidRPr="00024FD1">
        <w:t>behavio</w:t>
      </w:r>
      <w:r w:rsidR="00AF434A">
        <w:t>u</w:t>
      </w:r>
      <w:r w:rsidR="007F458A" w:rsidRPr="00024FD1">
        <w:t>r</w:t>
      </w:r>
      <w:r w:rsidR="00464E88" w:rsidRPr="00024FD1">
        <w:t xml:space="preserve"> </w:t>
      </w:r>
      <w:r w:rsidR="001A3E03" w:rsidRPr="00024FD1">
        <w:t>were scaled</w:t>
      </w:r>
      <w:r w:rsidR="008D6EB5" w:rsidRPr="00024FD1">
        <w:t>-</w:t>
      </w:r>
      <w:r w:rsidR="001A3E03" w:rsidRPr="00024FD1">
        <w:t xml:space="preserve">up to study scaffold </w:t>
      </w:r>
      <w:r w:rsidR="007F458A" w:rsidRPr="00024FD1">
        <w:t>biocompatibility</w:t>
      </w:r>
      <w:r w:rsidR="001A3E03" w:rsidRPr="00024FD1">
        <w:t xml:space="preserve"> </w:t>
      </w:r>
      <w:r w:rsidR="00DE7A94" w:rsidRPr="00024FD1">
        <w:t xml:space="preserve">and angiogenesis, </w:t>
      </w:r>
      <w:r w:rsidR="00DE7A94" w:rsidRPr="00024FD1">
        <w:rPr>
          <w:i/>
        </w:rPr>
        <w:t>in vitro</w:t>
      </w:r>
      <w:r w:rsidR="00DE7A94" w:rsidRPr="00024FD1">
        <w:t xml:space="preserve"> production</w:t>
      </w:r>
      <w:r w:rsidR="00004DC3" w:rsidRPr="00024FD1">
        <w:t xml:space="preserve"> of</w:t>
      </w:r>
      <w:r w:rsidR="00DE7A94" w:rsidRPr="00024FD1">
        <w:t xml:space="preserve"> ECM </w:t>
      </w:r>
      <w:r w:rsidR="00442C42" w:rsidRPr="00024FD1">
        <w:t xml:space="preserve">and </w:t>
      </w:r>
      <w:r w:rsidR="00C94466" w:rsidRPr="00024FD1">
        <w:rPr>
          <w:i/>
        </w:rPr>
        <w:t>in vivo</w:t>
      </w:r>
      <w:r w:rsidR="00C94466" w:rsidRPr="00024FD1">
        <w:t xml:space="preserve"> </w:t>
      </w:r>
      <w:r w:rsidR="00442C42" w:rsidRPr="00024FD1">
        <w:t xml:space="preserve">tissue formation with </w:t>
      </w:r>
      <w:r w:rsidR="00464E88" w:rsidRPr="00024FD1">
        <w:t xml:space="preserve">vascularization. </w:t>
      </w:r>
    </w:p>
    <w:p w14:paraId="1BDB241C" w14:textId="34667E67" w:rsidR="005A6465" w:rsidRPr="00024FD1" w:rsidRDefault="005A6465" w:rsidP="0060308B">
      <w:pPr>
        <w:spacing w:after="0" w:line="240" w:lineRule="auto"/>
        <w:jc w:val="both"/>
        <w:rPr>
          <w:rFonts w:cs="Arial"/>
          <w:b/>
          <w:bCs/>
        </w:rPr>
      </w:pPr>
    </w:p>
    <w:p w14:paraId="099668C5" w14:textId="150DED40" w:rsidR="007D7F13" w:rsidRPr="00024FD1" w:rsidRDefault="007D7F13" w:rsidP="00560967">
      <w:pPr>
        <w:pStyle w:val="BCAuthorAddress"/>
        <w:jc w:val="both"/>
        <w:rPr>
          <w:b/>
          <w:bCs/>
          <w:lang w:val="en-GB"/>
        </w:rPr>
      </w:pPr>
      <w:r w:rsidRPr="00024FD1">
        <w:rPr>
          <w:b/>
          <w:bCs/>
          <w:lang w:val="en-GB"/>
        </w:rPr>
        <w:t>R</w:t>
      </w:r>
      <w:r w:rsidR="00560967" w:rsidRPr="00024FD1">
        <w:rPr>
          <w:b/>
          <w:bCs/>
          <w:lang w:val="en-GB"/>
        </w:rPr>
        <w:t>ESULTS</w:t>
      </w:r>
      <w:r w:rsidRPr="00024FD1">
        <w:rPr>
          <w:b/>
          <w:bCs/>
          <w:lang w:val="en-GB"/>
        </w:rPr>
        <w:t xml:space="preserve"> </w:t>
      </w:r>
    </w:p>
    <w:p w14:paraId="64FCA885" w14:textId="49106DC9" w:rsidR="00D351DC" w:rsidRPr="00024FD1" w:rsidRDefault="009E1AFB" w:rsidP="000E2592">
      <w:pPr>
        <w:spacing w:line="480" w:lineRule="auto"/>
        <w:jc w:val="both"/>
      </w:pPr>
      <w:r w:rsidRPr="00024FD1">
        <w:rPr>
          <w:b/>
          <w:bCs/>
        </w:rPr>
        <w:t xml:space="preserve">Fabrication of a library of 3D polymer scaffolds and </w:t>
      </w:r>
      <w:r w:rsidR="00392C86" w:rsidRPr="00024FD1">
        <w:rPr>
          <w:b/>
          <w:bCs/>
        </w:rPr>
        <w:t>characterization</w:t>
      </w:r>
      <w:r w:rsidR="000E2592" w:rsidRPr="00024FD1">
        <w:t xml:space="preserve"> </w:t>
      </w:r>
    </w:p>
    <w:p w14:paraId="4009E1ED" w14:textId="4C4C57AC" w:rsidR="009D73E7" w:rsidRDefault="00250C13" w:rsidP="000E2592">
      <w:pPr>
        <w:spacing w:line="480" w:lineRule="auto"/>
        <w:jc w:val="both"/>
        <w:rPr>
          <w:rFonts w:cs="Arial"/>
          <w:szCs w:val="24"/>
        </w:rPr>
      </w:pPr>
      <w:r w:rsidRPr="00024FD1">
        <w:rPr>
          <w:rFonts w:cs="Arial"/>
          <w:szCs w:val="24"/>
        </w:rPr>
        <w:t>P</w:t>
      </w:r>
      <w:r w:rsidR="00450492" w:rsidRPr="00024FD1">
        <w:rPr>
          <w:rFonts w:cs="Arial"/>
          <w:szCs w:val="24"/>
        </w:rPr>
        <w:t xml:space="preserve">olymer scaffolds based on </w:t>
      </w:r>
      <w:r w:rsidR="00947911" w:rsidRPr="00024FD1">
        <w:rPr>
          <w:rFonts w:cs="Arial"/>
          <w:szCs w:val="24"/>
        </w:rPr>
        <w:t xml:space="preserve">6 core </w:t>
      </w:r>
      <w:r w:rsidR="00791219" w:rsidRPr="00024FD1">
        <w:rPr>
          <w:rFonts w:cs="Arial"/>
          <w:szCs w:val="24"/>
        </w:rPr>
        <w:t xml:space="preserve">acrylate </w:t>
      </w:r>
      <w:r w:rsidR="00C22AB6" w:rsidRPr="00024FD1">
        <w:rPr>
          <w:rFonts w:cs="Arial"/>
          <w:szCs w:val="24"/>
        </w:rPr>
        <w:t>polymers</w:t>
      </w:r>
      <w:r w:rsidR="00D61838" w:rsidRPr="00024FD1">
        <w:rPr>
          <w:rFonts w:cs="Arial"/>
          <w:szCs w:val="24"/>
        </w:rPr>
        <w:t xml:space="preserve"> (</w:t>
      </w:r>
      <w:r w:rsidR="00D61838" w:rsidRPr="00024FD1">
        <w:rPr>
          <w:rFonts w:cs="Arial"/>
          <w:b/>
          <w:bCs/>
          <w:szCs w:val="24"/>
        </w:rPr>
        <w:t>polymer</w:t>
      </w:r>
      <w:r w:rsidR="00030F81" w:rsidRPr="00024FD1">
        <w:rPr>
          <w:rFonts w:cs="Arial"/>
          <w:b/>
          <w:bCs/>
          <w:szCs w:val="24"/>
        </w:rPr>
        <w:t>s</w:t>
      </w:r>
      <w:r w:rsidR="00D61838" w:rsidRPr="00024FD1">
        <w:rPr>
          <w:rFonts w:cs="Arial"/>
          <w:b/>
          <w:bCs/>
          <w:szCs w:val="24"/>
        </w:rPr>
        <w:t xml:space="preserve"> 1 to 6</w:t>
      </w:r>
      <w:r w:rsidR="00D61838" w:rsidRPr="00024FD1">
        <w:rPr>
          <w:rFonts w:cs="Arial"/>
          <w:szCs w:val="24"/>
        </w:rPr>
        <w:t>)</w:t>
      </w:r>
      <w:r w:rsidRPr="00024FD1">
        <w:rPr>
          <w:rFonts w:cs="Arial"/>
          <w:szCs w:val="24"/>
        </w:rPr>
        <w:t xml:space="preserve">, </w:t>
      </w:r>
      <w:r w:rsidR="00791219" w:rsidRPr="00024FD1">
        <w:rPr>
          <w:rFonts w:cs="Arial"/>
          <w:szCs w:val="24"/>
        </w:rPr>
        <w:t>w</w:t>
      </w:r>
      <w:r w:rsidR="001A7AC3" w:rsidRPr="00024FD1">
        <w:rPr>
          <w:rFonts w:cs="Arial"/>
          <w:szCs w:val="24"/>
        </w:rPr>
        <w:t>ith the</w:t>
      </w:r>
      <w:r w:rsidR="00791219" w:rsidRPr="00024FD1">
        <w:rPr>
          <w:rFonts w:cs="Arial"/>
          <w:szCs w:val="24"/>
        </w:rPr>
        <w:t xml:space="preserve"> potential to control stem cell fate</w:t>
      </w:r>
      <w:r w:rsidR="0045364C" w:rsidRPr="00024FD1">
        <w:rPr>
          <w:rFonts w:cs="Arial"/>
          <w:szCs w:val="24"/>
        </w:rPr>
        <w:t xml:space="preserve"> and 3D structure</w:t>
      </w:r>
      <w:r w:rsidR="00D351DC" w:rsidRPr="00024FD1">
        <w:rPr>
          <w:rFonts w:cs="Arial"/>
          <w:szCs w:val="24"/>
        </w:rPr>
        <w:t xml:space="preserve"> </w:t>
      </w:r>
      <w:r w:rsidR="00DD28E9" w:rsidRPr="00024FD1">
        <w:rPr>
          <w:rFonts w:cs="Arial"/>
          <w:szCs w:val="24"/>
        </w:rPr>
        <w:fldChar w:fldCharType="begin" w:fldLock="1"/>
      </w:r>
      <w:r w:rsidR="0033591E">
        <w:rPr>
          <w:rFonts w:cs="Arial"/>
          <w:szCs w:val="24"/>
        </w:rPr>
        <w:instrText xml:space="preserve"> ADDIN ZOTERO_ITEM CSL_CITATION {"citationID":"NzESke3b","properties":{"formattedCitation":"\\super 4,19\\nosupersub{}","plainCitation":"4,19","noteIndex":0},"citationItems":[{"id":"1dryys0K/odwPVu4v","uris":["http://www.mendeley.com/documents/?uuid=c2ce24c5-3d5a-4e63-a94c-b4a576e3a578"],"itemData":{"DOI":"10.1002/adhm.201300489","ISSN":"21922659","abstract":"The fabrication of high-density polymer microarray is described, allowing the simultaneous and efficient evaluation of more than 7000 different polymers in a single-cellular-based screen. These high-density polymer arrays are applied in the search for synthetic substrates for hESCs culture. Up-scaling of the identified hit polymers enables long-term cellular cultivation and promoted successful stem-cell maintenance. © 2013 WILEY-VCH Verlag GmbH &amp; Co.","author":[{"dropping-particle":"","family":"Hansen","given":"Anne","non-dropping-particle":"","parse-names":false,"suffix":""},{"dropping-particle":"","family":"Mjoseng","given":"Heidi K.","non-dropping-particle":"","parse-names":false,"suffix":""},{"dropping-particle":"","family":"Zhang","given":"Rong","non-dropping-particle":"","parse-names":false,"suffix":""},{"dropping-particle":"","family":"Kalloudis","given":"Michail","non-dropping-particle":"","parse-names":false,"suffix":""},{"dropping-particle":"","family":"Koutsos","given":"Vasileios","non-dropping-particle":"","parse-names":false,"suffix":""},{"dropping-particle":"","family":"Sousa","given":"Paul A.","non-dropping-particle":"de","parse-names":false,"suffix":""},{"dropping-particle":"","family":"Bradley","given":"Mark","non-dropping-particle":"","parse-names":false,"suffix":""}],"container-title":"Advanced Healthcare Materials","id":"ITEM-1","issue":"6","issued":{"date-parts":[["2014"]]},"page":"848-853","title":"High-Density Polymer Microarrays: Identifying Synthetic Polymers that Control Human Embryonic Stem Cell Growth","type":"article-journal","volume":"3"}},{"id":"1dryys0K/fL2r8HOf","uris":["http://www.mendeley.com/documents/?uuid=6adbd48a-2191-4da6-bad9-752e9ac45771"],"itemData":{"DOI":"10.1016/j.msec.2019.110489","ISSN":"18730191","abstract":"Three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C","id":"ITEM-2","issue":"November 2019","issued":{"date-parts":[["2020"]]},"page":"110489","publisher":"Elsevier","title":"Rapid fabrication and screening of tailored functional 3D biomaterials","type":"article-journal","volume":"108"}}],"schema":"https://github.com/citation-style-language/schema/raw/master/csl-citation.json"} </w:instrText>
      </w:r>
      <w:r w:rsidR="00DD28E9" w:rsidRPr="00024FD1">
        <w:rPr>
          <w:rFonts w:cs="Arial"/>
          <w:szCs w:val="24"/>
        </w:rPr>
        <w:fldChar w:fldCharType="separate"/>
      </w:r>
      <w:r w:rsidR="00276F52" w:rsidRPr="00276F52">
        <w:rPr>
          <w:rFonts w:cs="Times"/>
          <w:szCs w:val="24"/>
          <w:vertAlign w:val="superscript"/>
        </w:rPr>
        <w:t>4,19</w:t>
      </w:r>
      <w:r w:rsidR="00DD28E9" w:rsidRPr="00024FD1">
        <w:rPr>
          <w:rFonts w:cs="Arial"/>
          <w:szCs w:val="24"/>
        </w:rPr>
        <w:fldChar w:fldCharType="end"/>
      </w:r>
      <w:r w:rsidR="002A3112" w:rsidRPr="00024FD1">
        <w:rPr>
          <w:rFonts w:cs="Arial"/>
          <w:szCs w:val="24"/>
        </w:rPr>
        <w:t xml:space="preserve">, </w:t>
      </w:r>
      <w:r w:rsidR="00450492" w:rsidRPr="00024FD1">
        <w:rPr>
          <w:rFonts w:cs="Arial"/>
          <w:szCs w:val="24"/>
        </w:rPr>
        <w:t>were</w:t>
      </w:r>
      <w:r w:rsidR="002B3D04" w:rsidRPr="00024FD1">
        <w:rPr>
          <w:rFonts w:cs="Arial"/>
          <w:szCs w:val="24"/>
        </w:rPr>
        <w:t xml:space="preserve"> fabricated and</w:t>
      </w:r>
      <w:r w:rsidR="00450492" w:rsidRPr="00024FD1">
        <w:rPr>
          <w:rFonts w:cs="Arial"/>
          <w:szCs w:val="24"/>
        </w:rPr>
        <w:t xml:space="preserve"> analy</w:t>
      </w:r>
      <w:r w:rsidR="00AF434A">
        <w:rPr>
          <w:rFonts w:cs="Arial"/>
          <w:szCs w:val="24"/>
        </w:rPr>
        <w:t>s</w:t>
      </w:r>
      <w:r w:rsidR="00450492" w:rsidRPr="00024FD1">
        <w:rPr>
          <w:rFonts w:cs="Arial"/>
          <w:szCs w:val="24"/>
        </w:rPr>
        <w:t xml:space="preserve">ed for requisite </w:t>
      </w:r>
      <w:r w:rsidR="00E8348C" w:rsidRPr="00024FD1">
        <w:rPr>
          <w:rFonts w:cs="Arial"/>
          <w:szCs w:val="24"/>
        </w:rPr>
        <w:t>physical properties</w:t>
      </w:r>
      <w:r w:rsidR="006839A8" w:rsidRPr="00024FD1">
        <w:rPr>
          <w:rFonts w:cs="Arial"/>
          <w:szCs w:val="24"/>
        </w:rPr>
        <w:t xml:space="preserve">. </w:t>
      </w:r>
      <w:r w:rsidR="002B3D04" w:rsidRPr="00024FD1">
        <w:rPr>
          <w:rFonts w:cs="Arial"/>
          <w:szCs w:val="24"/>
        </w:rPr>
        <w:t xml:space="preserve">Arrays of 3D porous scaffolds were generated </w:t>
      </w:r>
      <w:r w:rsidR="00E644B8">
        <w:rPr>
          <w:rFonts w:cs="Arial"/>
          <w:szCs w:val="24"/>
        </w:rPr>
        <w:t>using</w:t>
      </w:r>
      <w:r w:rsidR="00E644B8" w:rsidRPr="00024FD1">
        <w:rPr>
          <w:rFonts w:cs="Arial"/>
          <w:szCs w:val="24"/>
        </w:rPr>
        <w:t xml:space="preserve"> </w:t>
      </w:r>
      <w:r w:rsidR="002B3D04" w:rsidRPr="00024FD1">
        <w:rPr>
          <w:rFonts w:cs="Arial"/>
          <w:szCs w:val="24"/>
        </w:rPr>
        <w:t>various polymerization mixtures (</w:t>
      </w:r>
      <w:r w:rsidR="00AF2AC2">
        <w:rPr>
          <w:rFonts w:cs="Arial"/>
          <w:szCs w:val="24"/>
        </w:rPr>
        <w:t>Table 1</w:t>
      </w:r>
      <w:r w:rsidR="002B3D04" w:rsidRPr="00024FD1">
        <w:rPr>
          <w:rFonts w:cs="Arial"/>
          <w:szCs w:val="24"/>
        </w:rPr>
        <w:t xml:space="preserve">) with different levels of </w:t>
      </w:r>
      <w:proofErr w:type="spellStart"/>
      <w:r w:rsidR="002B3D04" w:rsidRPr="00024FD1">
        <w:rPr>
          <w:rFonts w:cs="Arial"/>
          <w:szCs w:val="24"/>
        </w:rPr>
        <w:t>porogens</w:t>
      </w:r>
      <w:proofErr w:type="spellEnd"/>
      <w:r w:rsidR="002B3D04" w:rsidRPr="00024FD1">
        <w:rPr>
          <w:rFonts w:cs="Arial"/>
          <w:szCs w:val="24"/>
        </w:rPr>
        <w:t xml:space="preserve"> in flat-bottomed polypropylene 96-well plates. </w:t>
      </w:r>
      <w:r w:rsidR="00222254">
        <w:rPr>
          <w:rFonts w:cs="Arial"/>
          <w:szCs w:val="24"/>
        </w:rPr>
        <w:t>Low</w:t>
      </w:r>
      <w:r w:rsidR="002B3D04" w:rsidRPr="00024FD1">
        <w:rPr>
          <w:rFonts w:cs="Arial"/>
          <w:szCs w:val="24"/>
        </w:rPr>
        <w:t xml:space="preserve"> temperatures were used to </w:t>
      </w:r>
      <w:r w:rsidR="00222254">
        <w:rPr>
          <w:rFonts w:cs="Arial"/>
          <w:szCs w:val="24"/>
        </w:rPr>
        <w:t>drive</w:t>
      </w:r>
      <w:r w:rsidR="00222254" w:rsidRPr="00024FD1">
        <w:rPr>
          <w:rFonts w:cs="Arial"/>
          <w:szCs w:val="24"/>
        </w:rPr>
        <w:t xml:space="preserve"> </w:t>
      </w:r>
      <w:r w:rsidR="002B3D04" w:rsidRPr="00024FD1">
        <w:rPr>
          <w:rFonts w:cs="Arial"/>
          <w:szCs w:val="24"/>
        </w:rPr>
        <w:t xml:space="preserve">phase separation between the </w:t>
      </w:r>
      <w:proofErr w:type="spellStart"/>
      <w:r w:rsidR="002B3D04" w:rsidRPr="00024FD1">
        <w:rPr>
          <w:rFonts w:cs="Arial"/>
          <w:szCs w:val="24"/>
        </w:rPr>
        <w:t>porogen</w:t>
      </w:r>
      <w:proofErr w:type="spellEnd"/>
      <w:r w:rsidR="002B3D04" w:rsidRPr="00024FD1">
        <w:rPr>
          <w:rFonts w:cs="Arial"/>
          <w:szCs w:val="24"/>
        </w:rPr>
        <w:t xml:space="preserve"> and the polymerization mixtures with UV photo-polymerization used to cure the monomers, resulting in porous polymeric materials</w:t>
      </w:r>
      <w:r w:rsidR="002A3112" w:rsidRPr="00024FD1">
        <w:rPr>
          <w:rFonts w:cs="Arial"/>
          <w:szCs w:val="24"/>
        </w:rPr>
        <w:t xml:space="preserve"> </w:t>
      </w:r>
      <w:r w:rsidR="009047CD" w:rsidRPr="00024FD1">
        <w:rPr>
          <w:rFonts w:cs="Arial"/>
          <w:szCs w:val="24"/>
        </w:rPr>
        <w:fldChar w:fldCharType="begin" w:fldLock="1"/>
      </w:r>
      <w:r w:rsidR="0033591E">
        <w:rPr>
          <w:rFonts w:cs="Arial"/>
          <w:szCs w:val="24"/>
        </w:rPr>
        <w:instrText xml:space="preserve"> ADDIN ZOTERO_ITEM CSL_CITATION {"citationID":"bnYhctfb","properties":{"formattedCitation":"\\super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C","id":"ITEM-1","issue":"November 2019","issued":{"date-parts":[["2020"]]},"page":"110489","publisher":"Elsevier","title":"Rapid fabrication and screening of tailored functional 3D biomaterials","type":"article-journal","volume":"108"}}],"schema":"https://github.com/citation-style-language/schema/raw/master/csl-citation.json"} </w:instrText>
      </w:r>
      <w:r w:rsidR="009047CD" w:rsidRPr="00024FD1">
        <w:rPr>
          <w:rFonts w:cs="Arial"/>
          <w:szCs w:val="24"/>
        </w:rPr>
        <w:fldChar w:fldCharType="separate"/>
      </w:r>
      <w:r w:rsidR="00276F52" w:rsidRPr="00276F52">
        <w:rPr>
          <w:rFonts w:cs="Times"/>
          <w:szCs w:val="24"/>
          <w:vertAlign w:val="superscript"/>
        </w:rPr>
        <w:t>19</w:t>
      </w:r>
      <w:r w:rsidR="009047CD" w:rsidRPr="00024FD1">
        <w:rPr>
          <w:rFonts w:cs="Arial"/>
          <w:szCs w:val="24"/>
        </w:rPr>
        <w:fldChar w:fldCharType="end"/>
      </w:r>
      <w:r w:rsidR="002A3112" w:rsidRPr="00024FD1">
        <w:rPr>
          <w:rFonts w:cs="Arial"/>
          <w:szCs w:val="24"/>
        </w:rPr>
        <w:t>.</w:t>
      </w:r>
      <w:r w:rsidR="009047CD" w:rsidRPr="00024FD1">
        <w:rPr>
          <w:rFonts w:cs="Arial"/>
          <w:szCs w:val="24"/>
        </w:rPr>
        <w:t xml:space="preserve"> </w:t>
      </w:r>
      <w:r w:rsidR="00E8348C" w:rsidRPr="00024FD1">
        <w:rPr>
          <w:rFonts w:cs="Arial"/>
          <w:szCs w:val="24"/>
        </w:rPr>
        <w:t xml:space="preserve">From the </w:t>
      </w:r>
      <w:r w:rsidR="00030F81" w:rsidRPr="00024FD1">
        <w:rPr>
          <w:rFonts w:cs="Arial"/>
          <w:szCs w:val="24"/>
        </w:rPr>
        <w:t xml:space="preserve">perspective </w:t>
      </w:r>
      <w:r w:rsidR="00E8348C" w:rsidRPr="00024FD1">
        <w:rPr>
          <w:rFonts w:cs="Arial"/>
          <w:szCs w:val="24"/>
        </w:rPr>
        <w:t>of the</w:t>
      </w:r>
      <w:r w:rsidR="000B0F06">
        <w:rPr>
          <w:rFonts w:cs="Arial"/>
          <w:szCs w:val="24"/>
        </w:rPr>
        <w:t xml:space="preserve"> required</w:t>
      </w:r>
      <w:r w:rsidR="00E8348C" w:rsidRPr="00024FD1">
        <w:rPr>
          <w:rFonts w:cs="Arial"/>
          <w:szCs w:val="24"/>
        </w:rPr>
        <w:t xml:space="preserve"> mechanical properties</w:t>
      </w:r>
      <w:r w:rsidR="00110800" w:rsidRPr="00024FD1">
        <w:rPr>
          <w:rFonts w:cs="Arial"/>
          <w:szCs w:val="24"/>
        </w:rPr>
        <w:t xml:space="preserve"> and 3D microstructure</w:t>
      </w:r>
      <w:r w:rsidR="000B0F06">
        <w:rPr>
          <w:rFonts w:cs="Arial"/>
          <w:szCs w:val="24"/>
        </w:rPr>
        <w:t>s</w:t>
      </w:r>
      <w:r w:rsidR="00E8348C" w:rsidRPr="00024FD1">
        <w:rPr>
          <w:rFonts w:cs="Arial"/>
          <w:szCs w:val="24"/>
        </w:rPr>
        <w:t>, the</w:t>
      </w:r>
      <w:r w:rsidR="00636548" w:rsidRPr="00024FD1">
        <w:rPr>
          <w:rFonts w:cs="Arial"/>
          <w:szCs w:val="24"/>
        </w:rPr>
        <w:t xml:space="preserve"> </w:t>
      </w:r>
      <w:r w:rsidR="00E8348C" w:rsidRPr="00024FD1">
        <w:rPr>
          <w:rFonts w:cs="Arial"/>
          <w:szCs w:val="24"/>
        </w:rPr>
        <w:t xml:space="preserve">polymeric scaffolds </w:t>
      </w:r>
      <w:r w:rsidR="000B0F06">
        <w:rPr>
          <w:rFonts w:cs="Arial"/>
          <w:szCs w:val="24"/>
        </w:rPr>
        <w:t>used</w:t>
      </w:r>
      <w:r w:rsidR="00636548" w:rsidRPr="00024FD1">
        <w:rPr>
          <w:rFonts w:cs="Arial"/>
          <w:szCs w:val="24"/>
        </w:rPr>
        <w:t xml:space="preserve"> a</w:t>
      </w:r>
      <w:r w:rsidR="00110800" w:rsidRPr="00024FD1">
        <w:rPr>
          <w:rFonts w:cs="Arial"/>
          <w:szCs w:val="24"/>
        </w:rPr>
        <w:t xml:space="preserve"> polymer composition that result</w:t>
      </w:r>
      <w:r w:rsidR="000B0F06">
        <w:rPr>
          <w:rFonts w:cs="Arial"/>
          <w:szCs w:val="24"/>
        </w:rPr>
        <w:t>ed</w:t>
      </w:r>
      <w:r w:rsidR="00110800" w:rsidRPr="00024FD1">
        <w:rPr>
          <w:rFonts w:cs="Arial"/>
          <w:szCs w:val="24"/>
        </w:rPr>
        <w:t xml:space="preserve"> in a stiff</w:t>
      </w:r>
      <w:r w:rsidR="005719D2" w:rsidRPr="00024FD1">
        <w:rPr>
          <w:rFonts w:cs="Arial"/>
          <w:szCs w:val="24"/>
        </w:rPr>
        <w:t xml:space="preserve"> substrate</w:t>
      </w:r>
      <w:r w:rsidR="00110800" w:rsidRPr="00024FD1">
        <w:rPr>
          <w:rFonts w:cs="Arial"/>
          <w:szCs w:val="24"/>
        </w:rPr>
        <w:t xml:space="preserve"> and </w:t>
      </w:r>
      <w:r w:rsidR="00E8348C" w:rsidRPr="00024FD1">
        <w:rPr>
          <w:rFonts w:cs="Arial"/>
          <w:szCs w:val="24"/>
        </w:rPr>
        <w:t xml:space="preserve">an interconnected porous structure with </w:t>
      </w:r>
      <w:r w:rsidR="00664B52" w:rsidRPr="00024FD1">
        <w:rPr>
          <w:rFonts w:cs="Arial"/>
          <w:szCs w:val="24"/>
        </w:rPr>
        <w:t>pores ranging from 100 to 400 µm</w:t>
      </w:r>
      <w:r w:rsidR="00E8348C" w:rsidRPr="00024FD1">
        <w:rPr>
          <w:rFonts w:cs="Arial"/>
          <w:szCs w:val="24"/>
        </w:rPr>
        <w:t>.</w:t>
      </w:r>
      <w:r w:rsidR="005719D2" w:rsidRPr="00024FD1">
        <w:rPr>
          <w:rFonts w:cs="Arial"/>
          <w:szCs w:val="24"/>
        </w:rPr>
        <w:t xml:space="preserve"> </w:t>
      </w:r>
    </w:p>
    <w:p w14:paraId="3874F23B" w14:textId="180BD20D" w:rsidR="00AF2AC2" w:rsidRPr="00F403D0" w:rsidRDefault="00AF2AC2" w:rsidP="008146F6">
      <w:pPr>
        <w:jc w:val="both"/>
      </w:pPr>
      <w:r w:rsidRPr="00F403D0">
        <w:rPr>
          <w:b/>
          <w:bCs/>
        </w:rPr>
        <w:t xml:space="preserve">Table </w:t>
      </w:r>
      <w:r w:rsidR="00540D10">
        <w:rPr>
          <w:b/>
          <w:bCs/>
        </w:rPr>
        <w:fldChar w:fldCharType="begin"/>
      </w:r>
      <w:r w:rsidR="00540D10">
        <w:rPr>
          <w:b/>
          <w:bCs/>
        </w:rPr>
        <w:instrText xml:space="preserve"> SEQ Table \* ARABIC </w:instrText>
      </w:r>
      <w:r w:rsidR="00540D10">
        <w:rPr>
          <w:b/>
          <w:bCs/>
        </w:rPr>
        <w:fldChar w:fldCharType="separate"/>
      </w:r>
      <w:r w:rsidR="00540D10">
        <w:rPr>
          <w:b/>
          <w:bCs/>
          <w:noProof/>
        </w:rPr>
        <w:t>1</w:t>
      </w:r>
      <w:r w:rsidR="00540D10">
        <w:rPr>
          <w:b/>
          <w:bCs/>
        </w:rPr>
        <w:fldChar w:fldCharType="end"/>
      </w:r>
      <w:r w:rsidRPr="00F403D0">
        <w:rPr>
          <w:b/>
          <w:bCs/>
        </w:rPr>
        <w:t>.</w:t>
      </w:r>
      <w:r w:rsidRPr="00EE3371">
        <w:t xml:space="preserve"> Polymer composition for the fabrication </w:t>
      </w:r>
      <w:r>
        <w:t xml:space="preserve">of the </w:t>
      </w:r>
      <w:r w:rsidRPr="00EE3371">
        <w:t xml:space="preserve">3D porous scaffold arrays. The polymerisation mixtures contained the photo-initiator (10% mol), the cross-linker (18% mol) and the monomers (72% mol). DMSO was used as solvent to obtain porous scaffolds MPS </w:t>
      </w:r>
      <w:r w:rsidRPr="00F403D0">
        <w:t xml:space="preserve">(60% </w:t>
      </w:r>
      <w:r w:rsidRPr="00F403D0">
        <w:lastRenderedPageBreak/>
        <w:t>v/v DMSO) and HPS (80% v/v DMSO) together with their non-porous</w:t>
      </w:r>
      <w:r>
        <w:t xml:space="preserve"> controls</w:t>
      </w:r>
      <w:r w:rsidRPr="00F403D0">
        <w:t xml:space="preserve"> CPS (0% v/v DMSO).</w:t>
      </w:r>
      <w:r w:rsidR="00540D10">
        <w:t xml:space="preserve"> Full chemical name list for each monomer can be found in </w:t>
      </w:r>
      <w:r w:rsidR="00540D10">
        <w:fldChar w:fldCharType="begin"/>
      </w:r>
      <w:r w:rsidR="00540D10">
        <w:instrText xml:space="preserve"> REF _Ref118201702 \h </w:instrText>
      </w:r>
      <w:r w:rsidR="00540D10">
        <w:fldChar w:fldCharType="separate"/>
      </w:r>
      <w:r w:rsidR="00540D10" w:rsidRPr="00540D10">
        <w:rPr>
          <w:szCs w:val="24"/>
        </w:rPr>
        <w:t xml:space="preserve">Table </w:t>
      </w:r>
      <w:r w:rsidR="00540D10" w:rsidRPr="00540D10">
        <w:rPr>
          <w:noProof/>
          <w:szCs w:val="24"/>
        </w:rPr>
        <w:t>2</w:t>
      </w:r>
      <w:r w:rsidR="00540D10">
        <w:fldChar w:fldCharType="end"/>
      </w:r>
      <w:r w:rsidR="00540D10">
        <w:t>.</w:t>
      </w:r>
    </w:p>
    <w:tbl>
      <w:tblPr>
        <w:tblStyle w:val="TableGrid"/>
        <w:tblW w:w="0" w:type="auto"/>
        <w:jc w:val="center"/>
        <w:tblLook w:val="04A0" w:firstRow="1" w:lastRow="0" w:firstColumn="1" w:lastColumn="0" w:noHBand="0" w:noVBand="1"/>
      </w:tblPr>
      <w:tblGrid>
        <w:gridCol w:w="816"/>
        <w:gridCol w:w="1251"/>
        <w:gridCol w:w="1406"/>
        <w:gridCol w:w="875"/>
        <w:gridCol w:w="875"/>
      </w:tblGrid>
      <w:tr w:rsidR="00AF2AC2" w:rsidRPr="00EE3371" w14:paraId="68CF3893" w14:textId="77777777" w:rsidTr="007960E7">
        <w:trPr>
          <w:jc w:val="center"/>
        </w:trPr>
        <w:tc>
          <w:tcPr>
            <w:tcW w:w="0" w:type="auto"/>
            <w:vAlign w:val="center"/>
          </w:tcPr>
          <w:p w14:paraId="797D9D11" w14:textId="77777777" w:rsidR="00AF2AC2" w:rsidRPr="00F403D0" w:rsidRDefault="00AF2AC2" w:rsidP="007960E7">
            <w:pPr>
              <w:jc w:val="center"/>
              <w:rPr>
                <w:rFonts w:ascii="Arial" w:hAnsi="Arial" w:cs="Arial"/>
                <w:b/>
                <w:bCs/>
                <w:szCs w:val="20"/>
                <w:lang w:val="en-US"/>
              </w:rPr>
            </w:pPr>
            <w:r w:rsidRPr="00F403D0">
              <w:rPr>
                <w:rFonts w:ascii="Arial" w:hAnsi="Arial" w:cs="Arial"/>
                <w:b/>
                <w:bCs/>
                <w:szCs w:val="20"/>
                <w:lang w:val="en-US"/>
              </w:rPr>
              <w:t>Code</w:t>
            </w:r>
          </w:p>
        </w:tc>
        <w:tc>
          <w:tcPr>
            <w:tcW w:w="0" w:type="auto"/>
            <w:gridSpan w:val="2"/>
            <w:vAlign w:val="center"/>
          </w:tcPr>
          <w:p w14:paraId="62FF9AFF" w14:textId="77777777" w:rsidR="00AF2AC2" w:rsidRPr="00F403D0" w:rsidRDefault="00AF2AC2" w:rsidP="007960E7">
            <w:pPr>
              <w:jc w:val="center"/>
              <w:rPr>
                <w:rFonts w:ascii="Arial" w:hAnsi="Arial" w:cs="Arial"/>
                <w:b/>
                <w:bCs/>
                <w:szCs w:val="20"/>
                <w:lang w:val="en-US"/>
              </w:rPr>
            </w:pPr>
            <w:r w:rsidRPr="00F403D0">
              <w:rPr>
                <w:rFonts w:ascii="Arial" w:hAnsi="Arial" w:cs="Arial"/>
                <w:b/>
                <w:bCs/>
                <w:szCs w:val="20"/>
                <w:lang w:val="en-US"/>
              </w:rPr>
              <w:t>Polymer composition</w:t>
            </w:r>
          </w:p>
        </w:tc>
        <w:tc>
          <w:tcPr>
            <w:tcW w:w="0" w:type="auto"/>
            <w:gridSpan w:val="2"/>
            <w:vAlign w:val="center"/>
          </w:tcPr>
          <w:p w14:paraId="02EA125D" w14:textId="77777777" w:rsidR="00AF2AC2" w:rsidRPr="00F403D0" w:rsidRDefault="00AF2AC2" w:rsidP="007960E7">
            <w:pPr>
              <w:jc w:val="center"/>
              <w:rPr>
                <w:rFonts w:ascii="Arial" w:hAnsi="Arial" w:cs="Arial"/>
                <w:b/>
                <w:bCs/>
                <w:szCs w:val="20"/>
                <w:lang w:val="en-US"/>
              </w:rPr>
            </w:pPr>
            <w:r w:rsidRPr="00F403D0">
              <w:rPr>
                <w:rFonts w:ascii="Arial" w:hAnsi="Arial" w:cs="Arial"/>
                <w:b/>
                <w:bCs/>
                <w:szCs w:val="20"/>
                <w:lang w:val="en-US"/>
              </w:rPr>
              <w:t>Ratio (mol %)</w:t>
            </w:r>
          </w:p>
        </w:tc>
      </w:tr>
      <w:tr w:rsidR="00AF2AC2" w:rsidRPr="00EE3371" w14:paraId="340FD199" w14:textId="77777777" w:rsidTr="007960E7">
        <w:trPr>
          <w:jc w:val="center"/>
        </w:trPr>
        <w:tc>
          <w:tcPr>
            <w:tcW w:w="0" w:type="auto"/>
            <w:vAlign w:val="center"/>
          </w:tcPr>
          <w:p w14:paraId="70BA417C" w14:textId="77777777" w:rsidR="00AF2AC2" w:rsidRPr="00F403D0" w:rsidRDefault="00AF2AC2" w:rsidP="007960E7">
            <w:pPr>
              <w:jc w:val="center"/>
              <w:rPr>
                <w:rFonts w:ascii="Arial" w:hAnsi="Arial" w:cs="Arial"/>
                <w:b/>
                <w:bCs/>
                <w:szCs w:val="20"/>
                <w:lang w:val="en-US"/>
              </w:rPr>
            </w:pPr>
          </w:p>
        </w:tc>
        <w:tc>
          <w:tcPr>
            <w:tcW w:w="0" w:type="auto"/>
            <w:vAlign w:val="center"/>
          </w:tcPr>
          <w:p w14:paraId="346F19F9" w14:textId="77777777" w:rsidR="00AF2AC2" w:rsidRPr="00F403D0" w:rsidRDefault="00AF2AC2" w:rsidP="007960E7">
            <w:pPr>
              <w:jc w:val="center"/>
              <w:rPr>
                <w:rFonts w:ascii="Arial" w:hAnsi="Arial" w:cs="Arial"/>
                <w:b/>
                <w:bCs/>
                <w:szCs w:val="20"/>
                <w:lang w:val="en-US"/>
              </w:rPr>
            </w:pPr>
            <w:r w:rsidRPr="00F403D0">
              <w:rPr>
                <w:rFonts w:ascii="Arial" w:hAnsi="Arial" w:cs="Arial"/>
                <w:b/>
                <w:bCs/>
                <w:szCs w:val="20"/>
                <w:lang w:val="en-US"/>
              </w:rPr>
              <w:t>M (1)</w:t>
            </w:r>
          </w:p>
        </w:tc>
        <w:tc>
          <w:tcPr>
            <w:tcW w:w="0" w:type="auto"/>
            <w:vAlign w:val="center"/>
          </w:tcPr>
          <w:p w14:paraId="25443CE6" w14:textId="77777777" w:rsidR="00AF2AC2" w:rsidRPr="00F403D0" w:rsidRDefault="00AF2AC2" w:rsidP="007960E7">
            <w:pPr>
              <w:jc w:val="center"/>
              <w:rPr>
                <w:rFonts w:ascii="Arial" w:hAnsi="Arial" w:cs="Arial"/>
                <w:b/>
                <w:bCs/>
                <w:szCs w:val="20"/>
                <w:lang w:val="en-US"/>
              </w:rPr>
            </w:pPr>
            <w:r w:rsidRPr="00F403D0">
              <w:rPr>
                <w:rFonts w:ascii="Arial" w:hAnsi="Arial" w:cs="Arial"/>
                <w:b/>
                <w:bCs/>
                <w:szCs w:val="20"/>
                <w:lang w:val="en-US"/>
              </w:rPr>
              <w:t>M (2)</w:t>
            </w:r>
          </w:p>
        </w:tc>
        <w:tc>
          <w:tcPr>
            <w:tcW w:w="0" w:type="auto"/>
            <w:vAlign w:val="center"/>
          </w:tcPr>
          <w:p w14:paraId="45E11C6B" w14:textId="77777777" w:rsidR="00AF2AC2" w:rsidRPr="00F403D0" w:rsidRDefault="00AF2AC2" w:rsidP="007960E7">
            <w:pPr>
              <w:jc w:val="center"/>
              <w:rPr>
                <w:rFonts w:ascii="Arial" w:hAnsi="Arial" w:cs="Arial"/>
                <w:b/>
                <w:bCs/>
                <w:szCs w:val="20"/>
                <w:lang w:val="en-US"/>
              </w:rPr>
            </w:pPr>
            <w:r w:rsidRPr="00F403D0">
              <w:rPr>
                <w:rFonts w:ascii="Arial" w:hAnsi="Arial" w:cs="Arial"/>
                <w:b/>
                <w:bCs/>
                <w:szCs w:val="20"/>
                <w:lang w:val="en-US"/>
              </w:rPr>
              <w:t>M (1)</w:t>
            </w:r>
          </w:p>
        </w:tc>
        <w:tc>
          <w:tcPr>
            <w:tcW w:w="0" w:type="auto"/>
            <w:vAlign w:val="center"/>
          </w:tcPr>
          <w:p w14:paraId="680C1F0B" w14:textId="77777777" w:rsidR="00AF2AC2" w:rsidRPr="00F403D0" w:rsidRDefault="00AF2AC2" w:rsidP="007960E7">
            <w:pPr>
              <w:jc w:val="center"/>
              <w:rPr>
                <w:rFonts w:ascii="Arial" w:hAnsi="Arial" w:cs="Arial"/>
                <w:b/>
                <w:bCs/>
                <w:szCs w:val="20"/>
                <w:lang w:val="en-US"/>
              </w:rPr>
            </w:pPr>
            <w:r w:rsidRPr="00F403D0">
              <w:rPr>
                <w:rFonts w:ascii="Arial" w:hAnsi="Arial" w:cs="Arial"/>
                <w:b/>
                <w:bCs/>
                <w:szCs w:val="20"/>
                <w:lang w:val="en-US"/>
              </w:rPr>
              <w:t>M (2)</w:t>
            </w:r>
          </w:p>
        </w:tc>
      </w:tr>
      <w:tr w:rsidR="00AF2AC2" w:rsidRPr="00EE3371" w14:paraId="07D0CD93" w14:textId="77777777" w:rsidTr="007960E7">
        <w:trPr>
          <w:jc w:val="center"/>
        </w:trPr>
        <w:tc>
          <w:tcPr>
            <w:tcW w:w="0" w:type="auto"/>
            <w:vAlign w:val="center"/>
          </w:tcPr>
          <w:p w14:paraId="5DE8A3EF"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1</w:t>
            </w:r>
          </w:p>
        </w:tc>
        <w:tc>
          <w:tcPr>
            <w:tcW w:w="0" w:type="auto"/>
            <w:vAlign w:val="center"/>
          </w:tcPr>
          <w:p w14:paraId="40E6015C"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IBA</w:t>
            </w:r>
          </w:p>
        </w:tc>
        <w:tc>
          <w:tcPr>
            <w:tcW w:w="0" w:type="auto"/>
            <w:vAlign w:val="center"/>
          </w:tcPr>
          <w:p w14:paraId="52CEF1B9"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w:t>
            </w:r>
          </w:p>
        </w:tc>
        <w:tc>
          <w:tcPr>
            <w:tcW w:w="0" w:type="auto"/>
            <w:vAlign w:val="center"/>
          </w:tcPr>
          <w:p w14:paraId="681C3519"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72</w:t>
            </w:r>
          </w:p>
        </w:tc>
        <w:tc>
          <w:tcPr>
            <w:tcW w:w="0" w:type="auto"/>
            <w:vAlign w:val="center"/>
          </w:tcPr>
          <w:p w14:paraId="1D2DF9B1"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w:t>
            </w:r>
          </w:p>
        </w:tc>
      </w:tr>
      <w:tr w:rsidR="00AF2AC2" w:rsidRPr="00EE3371" w14:paraId="78E94929" w14:textId="77777777" w:rsidTr="007960E7">
        <w:trPr>
          <w:jc w:val="center"/>
        </w:trPr>
        <w:tc>
          <w:tcPr>
            <w:tcW w:w="0" w:type="auto"/>
            <w:vAlign w:val="center"/>
          </w:tcPr>
          <w:p w14:paraId="706B44CF"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2</w:t>
            </w:r>
          </w:p>
        </w:tc>
        <w:tc>
          <w:tcPr>
            <w:tcW w:w="0" w:type="auto"/>
            <w:vAlign w:val="center"/>
          </w:tcPr>
          <w:p w14:paraId="5E3BB32E"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MTEMA</w:t>
            </w:r>
          </w:p>
        </w:tc>
        <w:tc>
          <w:tcPr>
            <w:tcW w:w="0" w:type="auto"/>
            <w:vAlign w:val="center"/>
          </w:tcPr>
          <w:p w14:paraId="3355E0D3"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IBA</w:t>
            </w:r>
          </w:p>
        </w:tc>
        <w:tc>
          <w:tcPr>
            <w:tcW w:w="0" w:type="auto"/>
            <w:vAlign w:val="center"/>
          </w:tcPr>
          <w:p w14:paraId="009ED4D3"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c>
          <w:tcPr>
            <w:tcW w:w="0" w:type="auto"/>
            <w:vAlign w:val="center"/>
          </w:tcPr>
          <w:p w14:paraId="685751C8"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r>
      <w:tr w:rsidR="00AF2AC2" w:rsidRPr="00EE3371" w14:paraId="79BF3C41" w14:textId="77777777" w:rsidTr="007960E7">
        <w:trPr>
          <w:jc w:val="center"/>
        </w:trPr>
        <w:tc>
          <w:tcPr>
            <w:tcW w:w="0" w:type="auto"/>
            <w:vAlign w:val="center"/>
          </w:tcPr>
          <w:p w14:paraId="28A89797"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w:t>
            </w:r>
          </w:p>
        </w:tc>
        <w:tc>
          <w:tcPr>
            <w:tcW w:w="0" w:type="auto"/>
            <w:vAlign w:val="center"/>
          </w:tcPr>
          <w:p w14:paraId="66CC52B2"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MTEMA</w:t>
            </w:r>
          </w:p>
        </w:tc>
        <w:tc>
          <w:tcPr>
            <w:tcW w:w="0" w:type="auto"/>
            <w:vAlign w:val="center"/>
          </w:tcPr>
          <w:p w14:paraId="478D6482"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EGDPEA</w:t>
            </w:r>
          </w:p>
        </w:tc>
        <w:tc>
          <w:tcPr>
            <w:tcW w:w="0" w:type="auto"/>
            <w:vAlign w:val="center"/>
          </w:tcPr>
          <w:p w14:paraId="1655B402"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c>
          <w:tcPr>
            <w:tcW w:w="0" w:type="auto"/>
            <w:vAlign w:val="center"/>
          </w:tcPr>
          <w:p w14:paraId="70E76FF7"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r>
      <w:tr w:rsidR="00AF2AC2" w:rsidRPr="00EE3371" w14:paraId="4A7B98E0" w14:textId="77777777" w:rsidTr="007960E7">
        <w:trPr>
          <w:jc w:val="center"/>
        </w:trPr>
        <w:tc>
          <w:tcPr>
            <w:tcW w:w="0" w:type="auto"/>
            <w:vAlign w:val="center"/>
          </w:tcPr>
          <w:p w14:paraId="38778E9D"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4</w:t>
            </w:r>
          </w:p>
        </w:tc>
        <w:tc>
          <w:tcPr>
            <w:tcW w:w="0" w:type="auto"/>
            <w:vAlign w:val="center"/>
          </w:tcPr>
          <w:p w14:paraId="5DA6E065"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BMA</w:t>
            </w:r>
          </w:p>
        </w:tc>
        <w:tc>
          <w:tcPr>
            <w:tcW w:w="0" w:type="auto"/>
            <w:vAlign w:val="center"/>
          </w:tcPr>
          <w:p w14:paraId="65FB67D8"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BHA</w:t>
            </w:r>
          </w:p>
        </w:tc>
        <w:tc>
          <w:tcPr>
            <w:tcW w:w="0" w:type="auto"/>
            <w:vAlign w:val="center"/>
          </w:tcPr>
          <w:p w14:paraId="78CBAB8C"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c>
          <w:tcPr>
            <w:tcW w:w="0" w:type="auto"/>
            <w:vAlign w:val="center"/>
          </w:tcPr>
          <w:p w14:paraId="38811125"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r>
      <w:tr w:rsidR="00AF2AC2" w:rsidRPr="00EE3371" w14:paraId="34004532" w14:textId="77777777" w:rsidTr="007960E7">
        <w:trPr>
          <w:jc w:val="center"/>
        </w:trPr>
        <w:tc>
          <w:tcPr>
            <w:tcW w:w="0" w:type="auto"/>
            <w:vAlign w:val="center"/>
          </w:tcPr>
          <w:p w14:paraId="02A49A74"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5</w:t>
            </w:r>
          </w:p>
        </w:tc>
        <w:tc>
          <w:tcPr>
            <w:tcW w:w="0" w:type="auto"/>
            <w:vAlign w:val="center"/>
          </w:tcPr>
          <w:p w14:paraId="7FC5F5C8"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BMA</w:t>
            </w:r>
          </w:p>
        </w:tc>
        <w:tc>
          <w:tcPr>
            <w:tcW w:w="0" w:type="auto"/>
            <w:vAlign w:val="center"/>
          </w:tcPr>
          <w:p w14:paraId="6872E8DA"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IBA</w:t>
            </w:r>
          </w:p>
        </w:tc>
        <w:tc>
          <w:tcPr>
            <w:tcW w:w="0" w:type="auto"/>
            <w:vAlign w:val="center"/>
          </w:tcPr>
          <w:p w14:paraId="1B5BD308"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c>
          <w:tcPr>
            <w:tcW w:w="0" w:type="auto"/>
            <w:vAlign w:val="center"/>
          </w:tcPr>
          <w:p w14:paraId="2CBB9999"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r>
      <w:tr w:rsidR="00AF2AC2" w:rsidRPr="00EE3371" w14:paraId="707BF2B0" w14:textId="77777777" w:rsidTr="007960E7">
        <w:trPr>
          <w:jc w:val="center"/>
        </w:trPr>
        <w:tc>
          <w:tcPr>
            <w:tcW w:w="0" w:type="auto"/>
            <w:vAlign w:val="center"/>
          </w:tcPr>
          <w:p w14:paraId="096B5500"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6</w:t>
            </w:r>
          </w:p>
        </w:tc>
        <w:tc>
          <w:tcPr>
            <w:tcW w:w="0" w:type="auto"/>
            <w:vAlign w:val="center"/>
          </w:tcPr>
          <w:p w14:paraId="75A89F90"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BMA</w:t>
            </w:r>
          </w:p>
        </w:tc>
        <w:tc>
          <w:tcPr>
            <w:tcW w:w="0" w:type="auto"/>
            <w:vAlign w:val="center"/>
          </w:tcPr>
          <w:p w14:paraId="60FE4ADA"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EGDPEA</w:t>
            </w:r>
          </w:p>
        </w:tc>
        <w:tc>
          <w:tcPr>
            <w:tcW w:w="0" w:type="auto"/>
            <w:vAlign w:val="center"/>
          </w:tcPr>
          <w:p w14:paraId="168A6AA2"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c>
          <w:tcPr>
            <w:tcW w:w="0" w:type="auto"/>
            <w:vAlign w:val="center"/>
          </w:tcPr>
          <w:p w14:paraId="57298FBC" w14:textId="77777777" w:rsidR="00AF2AC2" w:rsidRPr="00F403D0" w:rsidRDefault="00AF2AC2" w:rsidP="007960E7">
            <w:pPr>
              <w:jc w:val="center"/>
              <w:rPr>
                <w:rFonts w:ascii="Arial" w:hAnsi="Arial" w:cs="Arial"/>
                <w:szCs w:val="20"/>
                <w:lang w:val="en-US"/>
              </w:rPr>
            </w:pPr>
            <w:r w:rsidRPr="00F403D0">
              <w:rPr>
                <w:rFonts w:ascii="Arial" w:hAnsi="Arial" w:cs="Arial"/>
                <w:szCs w:val="20"/>
                <w:lang w:val="en-US"/>
              </w:rPr>
              <w:t>36</w:t>
            </w:r>
          </w:p>
        </w:tc>
      </w:tr>
    </w:tbl>
    <w:p w14:paraId="03B34104" w14:textId="77777777" w:rsidR="00416524" w:rsidRPr="00024FD1" w:rsidRDefault="00416524" w:rsidP="008146F6">
      <w:pPr>
        <w:pStyle w:val="NoSpacing"/>
      </w:pPr>
    </w:p>
    <w:p w14:paraId="21535054" w14:textId="6D192AEE" w:rsidR="00B75B78" w:rsidRPr="00024FD1" w:rsidRDefault="00B75B78" w:rsidP="00B75B78">
      <w:pPr>
        <w:spacing w:line="480" w:lineRule="auto"/>
        <w:jc w:val="both"/>
        <w:rPr>
          <w:rFonts w:cs="Arial"/>
          <w:szCs w:val="24"/>
        </w:rPr>
      </w:pPr>
      <w:r w:rsidRPr="00024FD1">
        <w:rPr>
          <w:rFonts w:cs="Arial"/>
          <w:szCs w:val="24"/>
        </w:rPr>
        <w:t xml:space="preserve">Analysis of scaffold microstructure was carried out using micro-computed tomography (micro-CT) adapted to allow characterization of twelve 3D polymer scaffolds in a single scan. Representative transverse images of </w:t>
      </w:r>
      <w:r w:rsidR="00947911" w:rsidRPr="00024FD1">
        <w:rPr>
          <w:rFonts w:cs="Arial"/>
          <w:szCs w:val="24"/>
        </w:rPr>
        <w:t xml:space="preserve">the </w:t>
      </w:r>
      <w:r w:rsidRPr="00024FD1">
        <w:rPr>
          <w:rFonts w:cs="Arial"/>
          <w:szCs w:val="24"/>
        </w:rPr>
        <w:t>“high” porosity scaffolds (HPS (80% v/v DMSO))</w:t>
      </w:r>
      <w:r w:rsidR="002B3D04" w:rsidRPr="00024FD1">
        <w:rPr>
          <w:rFonts w:cs="Arial"/>
          <w:szCs w:val="24"/>
        </w:rPr>
        <w:t>, the</w:t>
      </w:r>
      <w:r w:rsidRPr="00024FD1">
        <w:rPr>
          <w:rFonts w:cs="Arial"/>
          <w:szCs w:val="24"/>
        </w:rPr>
        <w:t xml:space="preserve"> </w:t>
      </w:r>
      <w:r w:rsidR="002B3D04" w:rsidRPr="00024FD1">
        <w:rPr>
          <w:rFonts w:cs="Arial"/>
          <w:szCs w:val="24"/>
        </w:rPr>
        <w:t xml:space="preserve">“medium” porosity scaffolds (MPS (60% v/v DMSO)), </w:t>
      </w:r>
      <w:r w:rsidRPr="00024FD1">
        <w:rPr>
          <w:rFonts w:cs="Arial"/>
          <w:szCs w:val="24"/>
        </w:rPr>
        <w:t xml:space="preserve">together with their non-porous controls (CPS (0% v/v DMSO)) of </w:t>
      </w:r>
      <w:r w:rsidRPr="00024FD1">
        <w:rPr>
          <w:rFonts w:cs="Arial"/>
          <w:b/>
          <w:szCs w:val="24"/>
        </w:rPr>
        <w:t>polymers 1 to 6</w:t>
      </w:r>
      <w:r w:rsidRPr="00024FD1">
        <w:rPr>
          <w:rFonts w:cs="Arial"/>
          <w:szCs w:val="24"/>
        </w:rPr>
        <w:t xml:space="preserve"> illustrate the increase in porosity and pore size with </w:t>
      </w:r>
      <w:proofErr w:type="spellStart"/>
      <w:r w:rsidRPr="00024FD1">
        <w:rPr>
          <w:rFonts w:cs="Arial"/>
          <w:szCs w:val="24"/>
        </w:rPr>
        <w:t>porogen</w:t>
      </w:r>
      <w:proofErr w:type="spellEnd"/>
      <w:r w:rsidRPr="00024FD1">
        <w:rPr>
          <w:rFonts w:cs="Arial"/>
          <w:szCs w:val="24"/>
        </w:rPr>
        <w:t xml:space="preserve"> levels (</w:t>
      </w:r>
      <w:r w:rsidRPr="00024FD1">
        <w:rPr>
          <w:rFonts w:cs="Arial"/>
          <w:szCs w:val="24"/>
        </w:rPr>
        <w:fldChar w:fldCharType="begin"/>
      </w:r>
      <w:r w:rsidRPr="00024FD1">
        <w:rPr>
          <w:rFonts w:cs="Arial"/>
          <w:szCs w:val="24"/>
        </w:rPr>
        <w:instrText xml:space="preserve"> REF _Ref41127508 \h  \* MERGEFORMAT </w:instrText>
      </w:r>
      <w:r w:rsidRPr="00024FD1">
        <w:rPr>
          <w:rFonts w:cs="Arial"/>
          <w:szCs w:val="24"/>
        </w:rPr>
      </w:r>
      <w:r w:rsidRPr="00024FD1">
        <w:rPr>
          <w:rFonts w:cs="Arial"/>
          <w:szCs w:val="24"/>
        </w:rPr>
        <w:fldChar w:fldCharType="separate"/>
      </w:r>
      <w:r w:rsidRPr="00024FD1">
        <w:t xml:space="preserve">Figure </w:t>
      </w:r>
      <w:r w:rsidRPr="00024FD1">
        <w:rPr>
          <w:noProof/>
        </w:rPr>
        <w:t>2</w:t>
      </w:r>
      <w:r w:rsidRPr="00024FD1">
        <w:rPr>
          <w:rFonts w:cs="Arial"/>
          <w:szCs w:val="24"/>
        </w:rPr>
        <w:fldChar w:fldCharType="end"/>
      </w:r>
      <w:r w:rsidRPr="00024FD1">
        <w:rPr>
          <w:rFonts w:cs="Arial"/>
          <w:szCs w:val="24"/>
        </w:rPr>
        <w:t xml:space="preserve">). </w:t>
      </w:r>
    </w:p>
    <w:p w14:paraId="5F10B092" w14:textId="44395118" w:rsidR="002B3D04" w:rsidRPr="00024FD1" w:rsidRDefault="00B75B78" w:rsidP="00B75B78">
      <w:pPr>
        <w:spacing w:line="480" w:lineRule="auto"/>
        <w:jc w:val="both"/>
        <w:rPr>
          <w:rFonts w:cs="Arial"/>
          <w:szCs w:val="24"/>
        </w:rPr>
      </w:pPr>
      <w:r w:rsidRPr="00024FD1">
        <w:rPr>
          <w:rFonts w:cs="Arial"/>
          <w:szCs w:val="24"/>
        </w:rPr>
        <w:t>Images of the transverse section of</w:t>
      </w:r>
      <w:r w:rsidR="002B3D04" w:rsidRPr="00024FD1">
        <w:rPr>
          <w:rFonts w:cs="Arial"/>
          <w:szCs w:val="24"/>
        </w:rPr>
        <w:t xml:space="preserve"> </w:t>
      </w:r>
      <w:r w:rsidRPr="00024FD1">
        <w:rPr>
          <w:rFonts w:cs="Arial"/>
          <w:szCs w:val="24"/>
        </w:rPr>
        <w:t xml:space="preserve">2-HPS </w:t>
      </w:r>
      <w:r w:rsidR="000B0F06">
        <w:rPr>
          <w:rFonts w:cs="Arial"/>
          <w:szCs w:val="24"/>
        </w:rPr>
        <w:t xml:space="preserve">(polymer 2 with high porosity) </w:t>
      </w:r>
      <w:r w:rsidRPr="00024FD1">
        <w:rPr>
          <w:rFonts w:cs="Arial"/>
          <w:szCs w:val="24"/>
        </w:rPr>
        <w:t xml:space="preserve">showed a highly interconnected porous structure with pore channels </w:t>
      </w:r>
      <w:r w:rsidR="004F3230" w:rsidRPr="00024FD1">
        <w:rPr>
          <w:rFonts w:cs="Arial"/>
          <w:szCs w:val="24"/>
        </w:rPr>
        <w:t>penetrating</w:t>
      </w:r>
      <w:r w:rsidR="000B0F06">
        <w:rPr>
          <w:rFonts w:cs="Arial"/>
          <w:szCs w:val="24"/>
        </w:rPr>
        <w:t xml:space="preserve"> into</w:t>
      </w:r>
      <w:r w:rsidRPr="00024FD1">
        <w:rPr>
          <w:rFonts w:cs="Arial"/>
          <w:szCs w:val="24"/>
        </w:rPr>
        <w:t xml:space="preserve"> the scaffolds (Figure </w:t>
      </w:r>
      <w:r w:rsidR="00D61838" w:rsidRPr="00024FD1">
        <w:rPr>
          <w:rFonts w:cs="Arial"/>
          <w:noProof/>
          <w:szCs w:val="24"/>
        </w:rPr>
        <w:t>3</w:t>
      </w:r>
      <w:r w:rsidRPr="00024FD1">
        <w:rPr>
          <w:rFonts w:cs="Arial"/>
          <w:szCs w:val="24"/>
        </w:rPr>
        <w:t>A). In contrast, scaffolds with medium porosity displayed dense</w:t>
      </w:r>
      <w:r w:rsidR="002B3D04" w:rsidRPr="00024FD1">
        <w:rPr>
          <w:rFonts w:cs="Arial"/>
          <w:szCs w:val="24"/>
        </w:rPr>
        <w:t>r</w:t>
      </w:r>
      <w:r w:rsidRPr="00024FD1">
        <w:rPr>
          <w:rFonts w:cs="Arial"/>
          <w:szCs w:val="24"/>
        </w:rPr>
        <w:t xml:space="preserve"> packaged structure</w:t>
      </w:r>
      <w:r w:rsidR="00AF434A">
        <w:rPr>
          <w:rFonts w:cs="Arial"/>
          <w:szCs w:val="24"/>
        </w:rPr>
        <w:t>s</w:t>
      </w:r>
      <w:r w:rsidRPr="00024FD1">
        <w:rPr>
          <w:rFonts w:cs="Arial"/>
          <w:szCs w:val="24"/>
        </w:rPr>
        <w:t xml:space="preserve">. </w:t>
      </w:r>
    </w:p>
    <w:p w14:paraId="143D59B2" w14:textId="25097932" w:rsidR="00B75B78" w:rsidRPr="00024FD1" w:rsidRDefault="00B75B78" w:rsidP="00B75B78">
      <w:pPr>
        <w:spacing w:line="480" w:lineRule="auto"/>
        <w:jc w:val="both"/>
        <w:rPr>
          <w:rFonts w:cs="Arial"/>
          <w:szCs w:val="24"/>
        </w:rPr>
      </w:pPr>
      <w:r w:rsidRPr="00024FD1">
        <w:rPr>
          <w:rFonts w:cs="Arial"/>
          <w:szCs w:val="24"/>
        </w:rPr>
        <w:t>Interestingly, both</w:t>
      </w:r>
      <w:r w:rsidR="003C76BB" w:rsidRPr="00024FD1">
        <w:rPr>
          <w:rFonts w:cs="Arial"/>
          <w:szCs w:val="24"/>
        </w:rPr>
        <w:t xml:space="preserve"> scaffolds of polymer 2 with </w:t>
      </w:r>
      <w:r w:rsidR="00A51AF7" w:rsidRPr="00024FD1">
        <w:rPr>
          <w:rFonts w:cs="Arial"/>
          <w:szCs w:val="24"/>
        </w:rPr>
        <w:t>“medium”</w:t>
      </w:r>
      <w:r w:rsidR="00416524">
        <w:rPr>
          <w:rFonts w:cs="Arial"/>
          <w:szCs w:val="24"/>
        </w:rPr>
        <w:t xml:space="preserve"> </w:t>
      </w:r>
      <w:r w:rsidR="003C76BB" w:rsidRPr="00024FD1">
        <w:rPr>
          <w:rFonts w:cs="Arial"/>
          <w:szCs w:val="24"/>
        </w:rPr>
        <w:t xml:space="preserve">and </w:t>
      </w:r>
      <w:r w:rsidR="00A51AF7" w:rsidRPr="00024FD1">
        <w:rPr>
          <w:rFonts w:cs="Arial"/>
          <w:szCs w:val="24"/>
        </w:rPr>
        <w:t>“high”</w:t>
      </w:r>
      <w:r w:rsidR="00416524">
        <w:rPr>
          <w:rFonts w:cs="Arial"/>
          <w:szCs w:val="24"/>
        </w:rPr>
        <w:t xml:space="preserve"> </w:t>
      </w:r>
      <w:r w:rsidR="003C76BB" w:rsidRPr="00024FD1">
        <w:rPr>
          <w:rFonts w:cs="Arial"/>
          <w:szCs w:val="24"/>
        </w:rPr>
        <w:t>porosity</w:t>
      </w:r>
      <w:r w:rsidRPr="00024FD1">
        <w:rPr>
          <w:rFonts w:cs="Arial"/>
          <w:szCs w:val="24"/>
        </w:rPr>
        <w:t xml:space="preserve"> displayed high </w:t>
      </w:r>
      <w:r w:rsidR="002B3D04" w:rsidRPr="00024FD1">
        <w:rPr>
          <w:rFonts w:cs="Arial"/>
          <w:szCs w:val="24"/>
        </w:rPr>
        <w:t xml:space="preserve">density </w:t>
      </w:r>
      <w:r w:rsidRPr="00024FD1">
        <w:rPr>
          <w:rFonts w:cs="Arial"/>
          <w:szCs w:val="24"/>
        </w:rPr>
        <w:t xml:space="preserve">connectivity </w:t>
      </w:r>
      <w:r w:rsidR="002B3D04" w:rsidRPr="00024FD1">
        <w:rPr>
          <w:rFonts w:cs="Arial"/>
          <w:szCs w:val="24"/>
        </w:rPr>
        <w:t xml:space="preserve">as </w:t>
      </w:r>
      <w:r w:rsidRPr="00024FD1">
        <w:rPr>
          <w:rFonts w:cs="Arial"/>
          <w:szCs w:val="24"/>
        </w:rPr>
        <w:t xml:space="preserve">quantified using </w:t>
      </w:r>
      <w:r w:rsidR="002B3D04" w:rsidRPr="00024FD1">
        <w:rPr>
          <w:rFonts w:cs="Arial"/>
          <w:szCs w:val="24"/>
        </w:rPr>
        <w:t xml:space="preserve">the </w:t>
      </w:r>
      <w:proofErr w:type="spellStart"/>
      <w:r w:rsidRPr="00024FD1">
        <w:rPr>
          <w:rFonts w:cs="Arial"/>
          <w:szCs w:val="24"/>
        </w:rPr>
        <w:t>BoneJ</w:t>
      </w:r>
      <w:proofErr w:type="spellEnd"/>
      <w:r w:rsidRPr="00024FD1">
        <w:rPr>
          <w:rFonts w:cs="Arial"/>
          <w:szCs w:val="24"/>
        </w:rPr>
        <w:t xml:space="preserve"> plugin</w:t>
      </w:r>
      <w:r w:rsidR="002B3D04" w:rsidRPr="00024FD1">
        <w:rPr>
          <w:rFonts w:cs="Arial"/>
          <w:szCs w:val="24"/>
        </w:rPr>
        <w:t xml:space="preserve"> in </w:t>
      </w:r>
      <w:r w:rsidRPr="00024FD1">
        <w:rPr>
          <w:rFonts w:cs="Arial"/>
          <w:szCs w:val="24"/>
        </w:rPr>
        <w:t>ImageJ (Figure S1)</w:t>
      </w:r>
      <w:r w:rsidR="002A3112" w:rsidRPr="00024FD1">
        <w:rPr>
          <w:rFonts w:cs="Arial"/>
          <w:szCs w:val="24"/>
        </w:rPr>
        <w:t xml:space="preserve"> </w:t>
      </w:r>
      <w:r w:rsidRPr="00024FD1">
        <w:rPr>
          <w:rFonts w:cs="Arial"/>
          <w:szCs w:val="24"/>
        </w:rPr>
        <w:fldChar w:fldCharType="begin" w:fldLock="1"/>
      </w:r>
      <w:r w:rsidR="0033591E">
        <w:rPr>
          <w:rFonts w:cs="Arial"/>
          <w:szCs w:val="24"/>
        </w:rPr>
        <w:instrText xml:space="preserve"> ADDIN ZOTERO_ITEM CSL_CITATION {"citationID":"vnEjuR7N","properties":{"formattedCitation":"\\super 28\\nosupersub{}","plainCitation":"28","noteIndex":0},"citationItems":[{"id":"1dryys0K/TSEpsH4q","uris":["http://www.mendeley.com/documents/?uuid=0dc5c6a9-22a8-4020-8867-c53fac78ff02","http://www.mendeley.com/documents/?uuid=a417ecf9-d81c-4edb-9163-cc2cd30c5cce"],"itemData":{"DOI":"10.1016/j.bone.2010.08.023","ISBN":"1873-2763 (Electronic)\\r1873-2763 (Linking)","ISSN":"87563282","PMID":"20817052","abstract":"Bone geometry is commonly measured on computed tomographic (CT) and X-ray microtomographic (μCT) images. We obtained hundreds of CT, μCT and synchrotron μCT images of bones from diverse species that needed to be analysed remote from scanning hardware, but found that available software solutions were expensive, inflexible or methodologically opaque. We implemented standard bone measurements in a novel ImageJ plugin, BoneJ, with which we analysed trabecular bone, whole bones and osteocyte lacunae. BoneJ is open source and free for anyone to download, use, modify and distribute. © 2010 Elsevier Inc.","author":[{"dropping-particle":"","family":"Doube","given":"Michael","non-dropping-particle":"","parse-names":false,"suffix":""},{"dropping-particle":"","family":"Klosowski","given":"Michal M.","non-dropping-particle":"","parse-names":false,"suffix":""},{"dropping-particle":"","family":"Arganda-Carreras","given":"Ignacio","non-dropping-particle":"","parse-names":false,"suffix":""},{"dropping-particle":"","family":"Cordelières","given":"Fabrice P.","non-dropping-particle":"","parse-names":false,"suffix":""},{"dropping-particle":"","family":"Dougherty","given":"Robert P.","non-dropping-particle":"","parse-names":false,"suffix":""},{"dropping-particle":"","family":"Jackson","given":"Jonathan S.","non-dropping-particle":"","parse-names":false,"suffix":""},{"dropping-particle":"","family":"Schmid","given":"Benjamin","non-dropping-particle":"","parse-names":false,"suffix":""},{"dropping-particle":"","family":"Hutchinson","given":"John R.","non-dropping-particle":"","parse-names":false,"suffix":""},{"dropping-particle":"","family":"Shefelbine","given":"Sandra J.","non-dropping-particle":"","parse-names":false,"suffix":""}],"container-title":"Bone","id":"ITEM-1","issue":"6","issued":{"date-parts":[["2010"]]},"page":"1076-1079","title":"BoneJ: Free and extensible bone image analysis in ImageJ","type":"article-journal","volume":"47"}}],"schema":"https://github.com/citation-style-language/schema/raw/master/csl-citation.json"} </w:instrText>
      </w:r>
      <w:r w:rsidRPr="00024FD1">
        <w:rPr>
          <w:rFonts w:cs="Arial"/>
          <w:szCs w:val="24"/>
        </w:rPr>
        <w:fldChar w:fldCharType="separate"/>
      </w:r>
      <w:r w:rsidR="0033591E" w:rsidRPr="0033591E">
        <w:rPr>
          <w:rFonts w:cs="Times"/>
          <w:szCs w:val="24"/>
          <w:vertAlign w:val="superscript"/>
        </w:rPr>
        <w:t>28</w:t>
      </w:r>
      <w:r w:rsidRPr="00024FD1">
        <w:rPr>
          <w:rFonts w:cs="Arial"/>
          <w:szCs w:val="24"/>
        </w:rPr>
        <w:fldChar w:fldCharType="end"/>
      </w:r>
      <w:r w:rsidR="002A3112" w:rsidRPr="00024FD1">
        <w:rPr>
          <w:rFonts w:cs="Arial"/>
          <w:szCs w:val="24"/>
        </w:rPr>
        <w:t xml:space="preserve">. </w:t>
      </w:r>
      <w:r w:rsidRPr="00024FD1">
        <w:rPr>
          <w:rFonts w:cs="Arial"/>
          <w:szCs w:val="24"/>
        </w:rPr>
        <w:t xml:space="preserve">The porosity of the polymer scaffolds was tuned effectively by the level of DMSO in the polymerization mixture (Figure </w:t>
      </w:r>
      <w:r w:rsidR="00CB75B8" w:rsidRPr="00024FD1">
        <w:rPr>
          <w:rFonts w:cs="Arial"/>
          <w:szCs w:val="24"/>
        </w:rPr>
        <w:t>3</w:t>
      </w:r>
      <w:r w:rsidRPr="00024FD1">
        <w:rPr>
          <w:rFonts w:cs="Arial"/>
          <w:szCs w:val="24"/>
        </w:rPr>
        <w:t>B)</w:t>
      </w:r>
      <w:r w:rsidR="002B3D04" w:rsidRPr="00024FD1">
        <w:rPr>
          <w:rFonts w:cs="Arial"/>
          <w:noProof/>
          <w:szCs w:val="24"/>
          <w:vertAlign w:val="superscript"/>
        </w:rPr>
        <w:t xml:space="preserve">, </w:t>
      </w:r>
      <w:r w:rsidR="002B3D04" w:rsidRPr="00024FD1">
        <w:rPr>
          <w:rFonts w:cs="Arial"/>
          <w:szCs w:val="24"/>
        </w:rPr>
        <w:t>while a</w:t>
      </w:r>
      <w:r w:rsidRPr="00024FD1">
        <w:rPr>
          <w:rFonts w:cs="Arial"/>
          <w:szCs w:val="24"/>
        </w:rPr>
        <w:t xml:space="preserve">nalysis using 3D distance </w:t>
      </w:r>
      <w:r w:rsidR="000B0F06" w:rsidRPr="00024FD1">
        <w:rPr>
          <w:rFonts w:cs="Arial"/>
          <w:szCs w:val="24"/>
        </w:rPr>
        <w:t>modelling</w:t>
      </w:r>
      <w:r w:rsidRPr="00024FD1">
        <w:rPr>
          <w:rFonts w:cs="Arial"/>
          <w:szCs w:val="24"/>
        </w:rPr>
        <w:t xml:space="preserve"> demonstrated highly abundant pores independent of the scaffold composition and, on average, larger than 100 µm for MPS and HPS (Figure </w:t>
      </w:r>
      <w:r w:rsidR="00CB75B8" w:rsidRPr="00024FD1">
        <w:rPr>
          <w:rFonts w:cs="Arial"/>
          <w:noProof/>
          <w:szCs w:val="24"/>
        </w:rPr>
        <w:t>3</w:t>
      </w:r>
      <w:r w:rsidRPr="00024FD1">
        <w:rPr>
          <w:rFonts w:cs="Arial"/>
          <w:szCs w:val="24"/>
        </w:rPr>
        <w:t xml:space="preserve">C). Analysis of the pore size distribution showed the presence of pores larger than 200 µm for scaffolds </w:t>
      </w:r>
      <w:r w:rsidR="002B3D04" w:rsidRPr="00024FD1">
        <w:rPr>
          <w:rFonts w:cs="Arial"/>
          <w:szCs w:val="24"/>
        </w:rPr>
        <w:t xml:space="preserve">generated using </w:t>
      </w:r>
      <w:r w:rsidRPr="00024FD1">
        <w:rPr>
          <w:rFonts w:cs="Arial"/>
          <w:szCs w:val="24"/>
        </w:rPr>
        <w:t xml:space="preserve">polymers 1, 2 and 5 (Figure S2). </w:t>
      </w:r>
    </w:p>
    <w:p w14:paraId="75BE51C1" w14:textId="77777777" w:rsidR="00B75B78" w:rsidRPr="00024FD1" w:rsidRDefault="00B75B78" w:rsidP="00946A33">
      <w:pPr>
        <w:spacing w:line="480" w:lineRule="auto"/>
        <w:jc w:val="both"/>
        <w:rPr>
          <w:rFonts w:cs="Arial"/>
          <w:szCs w:val="24"/>
        </w:rPr>
      </w:pPr>
    </w:p>
    <w:p w14:paraId="7FC45F27" w14:textId="507F084F" w:rsidR="009D73E7" w:rsidRPr="00024FD1" w:rsidRDefault="008D0D36" w:rsidP="009D73E7">
      <w:pPr>
        <w:spacing w:line="480" w:lineRule="auto"/>
        <w:jc w:val="center"/>
        <w:rPr>
          <w:rFonts w:cs="Arial"/>
          <w:szCs w:val="24"/>
        </w:rPr>
      </w:pPr>
      <w:r w:rsidRPr="00024FD1">
        <w:rPr>
          <w:rFonts w:cs="Arial"/>
          <w:noProof/>
          <w:szCs w:val="24"/>
          <w:lang w:eastAsia="en-GB"/>
        </w:rPr>
        <w:lastRenderedPageBreak/>
        <w:drawing>
          <wp:inline distT="0" distB="0" distL="0" distR="0" wp14:anchorId="346EB011" wp14:editId="55B5C9AF">
            <wp:extent cx="4320000" cy="7556694"/>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revised.png"/>
                    <pic:cNvPicPr/>
                  </pic:nvPicPr>
                  <pic:blipFill>
                    <a:blip r:embed="rId10"/>
                    <a:stretch>
                      <a:fillRect/>
                    </a:stretch>
                  </pic:blipFill>
                  <pic:spPr>
                    <a:xfrm>
                      <a:off x="0" y="0"/>
                      <a:ext cx="4320000" cy="7556694"/>
                    </a:xfrm>
                    <a:prstGeom prst="rect">
                      <a:avLst/>
                    </a:prstGeom>
                  </pic:spPr>
                </pic:pic>
              </a:graphicData>
            </a:graphic>
          </wp:inline>
        </w:drawing>
      </w:r>
    </w:p>
    <w:p w14:paraId="2B83608B" w14:textId="51413161" w:rsidR="009D73E7" w:rsidRPr="00024FD1" w:rsidRDefault="00110800" w:rsidP="00BA4A70">
      <w:pPr>
        <w:jc w:val="both"/>
      </w:pPr>
      <w:bookmarkStart w:id="8" w:name="_Ref41127508"/>
      <w:bookmarkStart w:id="9" w:name="_Hlk54520998"/>
      <w:r w:rsidRPr="00024FD1">
        <w:rPr>
          <w:b/>
          <w:bCs/>
        </w:rPr>
        <w:t xml:space="preserve">Figure </w:t>
      </w:r>
      <w:r w:rsidRPr="00024FD1">
        <w:rPr>
          <w:b/>
          <w:bCs/>
        </w:rPr>
        <w:fldChar w:fldCharType="begin"/>
      </w:r>
      <w:r w:rsidRPr="00024FD1">
        <w:rPr>
          <w:b/>
          <w:bCs/>
        </w:rPr>
        <w:instrText xml:space="preserve"> SEQ Figure \* ARABIC </w:instrText>
      </w:r>
      <w:r w:rsidRPr="00024FD1">
        <w:rPr>
          <w:b/>
          <w:bCs/>
        </w:rPr>
        <w:fldChar w:fldCharType="separate"/>
      </w:r>
      <w:r w:rsidR="0045364C" w:rsidRPr="00024FD1">
        <w:rPr>
          <w:b/>
          <w:bCs/>
          <w:noProof/>
        </w:rPr>
        <w:t>2</w:t>
      </w:r>
      <w:r w:rsidRPr="00024FD1">
        <w:rPr>
          <w:b/>
          <w:bCs/>
        </w:rPr>
        <w:fldChar w:fldCharType="end"/>
      </w:r>
      <w:bookmarkEnd w:id="8"/>
      <w:r w:rsidR="009D73E7" w:rsidRPr="00024FD1">
        <w:rPr>
          <w:b/>
          <w:bCs/>
        </w:rPr>
        <w:t>.</w:t>
      </w:r>
      <w:r w:rsidR="009D73E7" w:rsidRPr="00024FD1">
        <w:t xml:space="preserve"> </w:t>
      </w:r>
      <w:r w:rsidR="00A2253E" w:rsidRPr="00024FD1">
        <w:t>I</w:t>
      </w:r>
      <w:r w:rsidR="009D73E7" w:rsidRPr="00024FD1">
        <w:t xml:space="preserve">mages of the </w:t>
      </w:r>
      <w:r w:rsidR="00A2253E" w:rsidRPr="00024FD1">
        <w:t xml:space="preserve">3D </w:t>
      </w:r>
      <w:r w:rsidR="009D73E7" w:rsidRPr="00024FD1">
        <w:t>porous scaffolds</w:t>
      </w:r>
      <w:bookmarkEnd w:id="9"/>
      <w:r w:rsidR="009D73E7" w:rsidRPr="00024FD1">
        <w:t>. Longitudinal section</w:t>
      </w:r>
      <w:r w:rsidR="009C7244" w:rsidRPr="00024FD1">
        <w:t>s</w:t>
      </w:r>
      <w:r w:rsidR="009D73E7" w:rsidRPr="00024FD1">
        <w:t xml:space="preserve"> constructed using micro-CT data. Array of 3D porous scaffolds with scaffolds of </w:t>
      </w:r>
      <w:r w:rsidR="009C7244" w:rsidRPr="00024FD1">
        <w:t xml:space="preserve">high and </w:t>
      </w:r>
      <w:r w:rsidR="009D73E7" w:rsidRPr="00024FD1">
        <w:t>medium</w:t>
      </w:r>
      <w:r w:rsidR="009C7244" w:rsidRPr="00024FD1">
        <w:t xml:space="preserve"> </w:t>
      </w:r>
      <w:r w:rsidR="009D73E7" w:rsidRPr="00024FD1">
        <w:t>porosity (HPS</w:t>
      </w:r>
      <w:r w:rsidR="009C7244" w:rsidRPr="00024FD1">
        <w:t xml:space="preserve"> and MPS</w:t>
      </w:r>
      <w:r w:rsidR="009D73E7" w:rsidRPr="00024FD1">
        <w:t>) and their non-porous control</w:t>
      </w:r>
      <w:r w:rsidR="009C7244" w:rsidRPr="00024FD1">
        <w:t>s</w:t>
      </w:r>
      <w:r w:rsidR="009D73E7" w:rsidRPr="00024FD1">
        <w:t xml:space="preserve"> (CPS) for polymers 1 to 6. Scale bar 1.5 mm. </w:t>
      </w:r>
    </w:p>
    <w:p w14:paraId="341409AF" w14:textId="307BD50A" w:rsidR="009D73E7" w:rsidRPr="00024FD1" w:rsidRDefault="009D73E7" w:rsidP="00946A33">
      <w:pPr>
        <w:spacing w:line="480" w:lineRule="auto"/>
        <w:jc w:val="both"/>
        <w:rPr>
          <w:rFonts w:cs="Arial"/>
          <w:szCs w:val="24"/>
        </w:rPr>
      </w:pPr>
    </w:p>
    <w:p w14:paraId="1EA64DBA" w14:textId="6D4DCB16" w:rsidR="003A4367" w:rsidRPr="00024FD1" w:rsidRDefault="003A4367" w:rsidP="003A4367">
      <w:pPr>
        <w:spacing w:line="480" w:lineRule="auto"/>
        <w:jc w:val="both"/>
        <w:rPr>
          <w:rFonts w:cs="Arial"/>
          <w:szCs w:val="24"/>
        </w:rPr>
      </w:pPr>
      <w:r w:rsidRPr="00024FD1">
        <w:rPr>
          <w:rFonts w:cs="Arial"/>
          <w:szCs w:val="24"/>
        </w:rPr>
        <w:lastRenderedPageBreak/>
        <w:t>Indentation moduli (stiffness) of the scaffolds were calculated using a linear model for semi-infinite media (ratio sample area to indenter diameter ≥ 3) previously described using flat indenters (Figure S</w:t>
      </w:r>
      <w:r w:rsidR="00EE5AE4" w:rsidRPr="00024FD1">
        <w:rPr>
          <w:rFonts w:cs="Arial"/>
          <w:szCs w:val="24"/>
        </w:rPr>
        <w:t>3</w:t>
      </w:r>
      <w:r w:rsidRPr="00024FD1">
        <w:rPr>
          <w:rFonts w:cs="Arial"/>
          <w:szCs w:val="24"/>
        </w:rPr>
        <w:t xml:space="preserve">, Figure </w:t>
      </w:r>
      <w:r w:rsidR="00CB75B8" w:rsidRPr="00024FD1">
        <w:rPr>
          <w:rFonts w:cs="Arial"/>
          <w:szCs w:val="24"/>
        </w:rPr>
        <w:t>3</w:t>
      </w:r>
      <w:r w:rsidRPr="00024FD1">
        <w:rPr>
          <w:rFonts w:cs="Arial"/>
          <w:szCs w:val="24"/>
        </w:rPr>
        <w:t>D)</w:t>
      </w:r>
      <w:r w:rsidR="002A3112" w:rsidRPr="00024FD1">
        <w:rPr>
          <w:rFonts w:cs="Arial"/>
          <w:szCs w:val="24"/>
        </w:rPr>
        <w:t xml:space="preserve"> </w:t>
      </w:r>
      <w:r w:rsidR="00D42C5D" w:rsidRPr="00024FD1">
        <w:rPr>
          <w:rFonts w:cs="Arial"/>
          <w:szCs w:val="24"/>
        </w:rPr>
        <w:fldChar w:fldCharType="begin" w:fldLock="1"/>
      </w:r>
      <w:r w:rsidR="0033591E">
        <w:rPr>
          <w:rFonts w:cs="Arial"/>
          <w:szCs w:val="24"/>
        </w:rPr>
        <w:instrText xml:space="preserve"> ADDIN ZOTERO_ITEM CSL_CITATION {"citationID":"XxSS8ulj","properties":{"formattedCitation":"\\super 29\\uc0\\u8211{}31\\nosupersub{}","plainCitation":"29–31","noteIndex":0},"citationItems":[{"id":"1dryys0K/RFHGVMOu","uris":["http://www.mendeley.com/documents/?uuid=638adfc9-47d3-4cd6-a691-925cae08ce8d","http://www.mendeley.com/documents/?uuid=7ffb7763-6804-49fa-b2f9-7cfd3b3b00e2"],"itemData":{"author":[{"dropping-particle":"","family":"Timoshenko","given":"S.P.","non-dropping-particle":"","parse-names":false,"suffix":""},{"dropping-particle":"","family":"Goodier","given":"J.N.","non-dropping-particle":"","parse-names":false,"suffix":""}],"chapter-number":"1","container-title":"Theory of Elasticity","edition":"3rd","editor":[{"dropping-particle":"","family":"McGraw-Hill","given":"","non-dropping-particle":"","parse-names":false,"suffix":""}],"id":"ITEM-1","issued":{"date-parts":[["1951"]]},"page":"1-14","title":"Theory of Elasticity","type":"chapter"}},{"id":"1dryys0K/YoYcebbT","uris":["http://www.mendeley.com/documents/?uuid=f2c249eb-4755-4324-8ca6-094853a07c09"],"itemData":{"DOI":"10.1016/j.medengphy.2007.02.007","ISSN":"13504533","abstract":"We have developed a device entitled the 'Tissue Elastometer' (TE) for evaluating the Young's modulus of soft tissues. Soft tissue specimens are compressed between the object plate of an electronic balance and a linearly actuated indenter with a small rounded tip. The hardware of the device was designed such that a deformation model for semi-infinite media is applicable for calculating the Young's modulus of test specimens from their collected force-displacement data. Force-elongation measurements were performed on long strips of cured silicone mixtures to produce calibrated, tissue-mimicking test samples for the TE in a Young's modulus range of 10-400 kPa. When tested with the TE, the Young's moduli of the silicone samples demonstrated accuracy to within 1-10% of their calibrated values. Testing on excised tissue samples (fresh store-bought poultry breast; bovine liver, kidneys, hind shanks; porcine) was also performed, and a repeatability of elasticity measurements was demonstrated in the range of 8-14%. Results indicate that the TE can be effectively used in laboratory and clinical environments to evaluate the elasticity modulus of tissues. © 2007 IPEM.","author":[{"dropping-particle":"","family":"Egorov","given":"V.","non-dropping-particle":"","parse-names":false,"suffix":""},{"dropping-particle":"","family":"Tsyuryupa","given":"S.","non-dropping-particle":"","parse-names":false,"suffix":""},{"dropping-particle":"","family":"Kanilo","given":"S.","non-dropping-particle":"","parse-names":false,"suffix":""},{"dropping-particle":"","family":"Kogit","given":"M.","non-dropping-particle":"","parse-names":false,"suffix":""},{"dropping-particle":"","family":"Sarvazyan","given":"A.","non-dropping-particle":"","parse-names":false,"suffix":""}],"container-title":"Medical Engineering and Physics","id":"ITEM-2","issued":{"date-parts":[["2008"]]},"title":"Soft tissue elastometer","type":"article-journal"}},{"id":"1dryys0K/RT3AQBYd","uris":["http://www.mendeley.com/documents/?uuid=689f69d5-80c0-42c4-be8d-f7f5f2200f8e"],"itemData":{"DOI":"10.1016/j.jmbbm.2016.02.019","ISSN":"18780180","abstract":"Mechanical characterisation of soft biological tissues using standard compression or tensile testing presents a significant challenge due to specimen geometrical irregularities, difficulties in cutting intact and appropriately sized test samples, and issues with slippage or damage at the grips. Indentation can overcome these problems but requires fitting a model to the resulting load-displacement data in order to calculate moduli. Despite the widespread use of this technique, few studies experimentally validate their chosen model or compensate for boundary effects. In this study, viscoelastic hydrogels of different concentrations and dimensions were used to calibrate an indentation technique performed at large specimen-strain deformation (20%) and analysed with a range of routinely used mathematical models. A rigid, flat-ended cylindrical indenter was applied to each specimen from which 'indentation moduli' and relaxation properties were calculated and compared against values obtained from unconfined compression. Only one indentation mode</w:instrText>
      </w:r>
      <w:r w:rsidR="0033591E">
        <w:rPr>
          <w:rFonts w:cs="Arial" w:hint="eastAsia"/>
          <w:szCs w:val="24"/>
        </w:rPr>
        <w:instrText xml:space="preserve">l showed good agreement (&lt;10% difference) with all moduli values obtained from compression. A sample thickness to indenter diameter ratio </w:instrText>
      </w:r>
      <w:r w:rsidR="0033591E">
        <w:rPr>
          <w:rFonts w:cs="Arial" w:hint="eastAsia"/>
          <w:szCs w:val="24"/>
        </w:rPr>
        <w:instrText>≥</w:instrText>
      </w:r>
      <w:r w:rsidR="0033591E">
        <w:rPr>
          <w:rFonts w:cs="Arial" w:hint="eastAsia"/>
          <w:szCs w:val="24"/>
        </w:rPr>
        <w:instrText xml:space="preserve">1:1 and sample diameter to indenter diameter ratio </w:instrText>
      </w:r>
      <w:r w:rsidR="0033591E">
        <w:rPr>
          <w:rFonts w:cs="Arial" w:hint="eastAsia"/>
          <w:szCs w:val="24"/>
        </w:rPr>
        <w:instrText>≥</w:instrText>
      </w:r>
      <w:r w:rsidR="0033591E">
        <w:rPr>
          <w:rFonts w:cs="Arial" w:hint="eastAsia"/>
          <w:szCs w:val="24"/>
        </w:rPr>
        <w:instrText xml:space="preserve">4:1 was necessary to achieve the greatest accuracy. However, it </w:instrText>
      </w:r>
      <w:r w:rsidR="0033591E">
        <w:rPr>
          <w:rFonts w:cs="Arial"/>
          <w:szCs w:val="24"/>
        </w:rPr>
        <w:instrText xml:space="preserve">is not always possible to use biological samples within these limits, therefore we developed a series of correction factors. The approach was validated using human diseased omentum and bovine articular cartilage resulting in mechanical properties closely matching compression values. We therefore present a widely useable indentation analysis method to allow more accurate calculation of material mechanics which is important in the study of soft tissue development, ageing, health and disease.","author":[{"dropping-particle":"","family":"Delaine-Smith","given":"R. M.","non-dropping-particle":"","parse-names":false,"suffix":""},{"dropping-particle":"","family":"Burney","given":"S.","non-dropping-particle":"","parse-names":false,"suffix":""},{"dropping-particle":"","family":"Balkwill","given":"F. R.","non-dropping-particle":"","parse-names":false,"suffix":""},{"dropping-particle":"","family":"Knight","given":"M. M.","non-dropping-particle":"","parse-names":false,"suffix":""}],"container-title":"Journal of the Mechanical Behavior of Biomedical Materials","id":"ITEM-3","issued":{"date-parts":[["2016"]]},"page":"401-415","publisher":"Elsevier","title":"Experimental validation of a flat punch indentation methodology calibrated against unconfined compression tests for determination of soft tissue biomechanics","type":"article-journal","volume":"60"}}],"schema":"https://github.com/citation-style-language/schema/raw/master/csl-citation.json"} </w:instrText>
      </w:r>
      <w:r w:rsidR="00D42C5D" w:rsidRPr="00024FD1">
        <w:rPr>
          <w:rFonts w:cs="Arial"/>
          <w:szCs w:val="24"/>
        </w:rPr>
        <w:fldChar w:fldCharType="separate"/>
      </w:r>
      <w:r w:rsidR="0033591E" w:rsidRPr="0033591E">
        <w:rPr>
          <w:rFonts w:cs="Times"/>
          <w:szCs w:val="24"/>
          <w:vertAlign w:val="superscript"/>
        </w:rPr>
        <w:t>29–31</w:t>
      </w:r>
      <w:r w:rsidR="00D42C5D" w:rsidRPr="00024FD1">
        <w:rPr>
          <w:rFonts w:cs="Arial"/>
          <w:szCs w:val="24"/>
        </w:rPr>
        <w:fldChar w:fldCharType="end"/>
      </w:r>
      <w:r w:rsidR="002A3112" w:rsidRPr="00024FD1">
        <w:rPr>
          <w:rFonts w:cs="Arial"/>
          <w:szCs w:val="24"/>
        </w:rPr>
        <w:t>.</w:t>
      </w:r>
      <w:r w:rsidR="00D42C5D" w:rsidRPr="00024FD1">
        <w:rPr>
          <w:rFonts w:cs="Arial"/>
          <w:szCs w:val="24"/>
        </w:rPr>
        <w:t xml:space="preserve"> </w:t>
      </w:r>
      <w:r w:rsidRPr="00024FD1">
        <w:rPr>
          <w:rFonts w:cs="Arial"/>
          <w:szCs w:val="24"/>
        </w:rPr>
        <w:t xml:space="preserve">HPS of polymers 1, 2 and 5 showed </w:t>
      </w:r>
      <w:r w:rsidR="008D339A" w:rsidRPr="00024FD1">
        <w:rPr>
          <w:rFonts w:cs="Arial"/>
          <w:szCs w:val="24"/>
        </w:rPr>
        <w:t xml:space="preserve">no </w:t>
      </w:r>
      <w:r w:rsidRPr="00024FD1">
        <w:rPr>
          <w:rFonts w:cs="Arial"/>
          <w:szCs w:val="24"/>
        </w:rPr>
        <w:t>significant differences among</w:t>
      </w:r>
      <w:r w:rsidR="008620BF" w:rsidRPr="00024FD1">
        <w:rPr>
          <w:rFonts w:cs="Arial"/>
          <w:szCs w:val="24"/>
        </w:rPr>
        <w:t>st</w:t>
      </w:r>
      <w:r w:rsidRPr="00024FD1">
        <w:rPr>
          <w:rFonts w:cs="Arial"/>
          <w:szCs w:val="24"/>
        </w:rPr>
        <w:t xml:space="preserve"> the</w:t>
      </w:r>
      <w:r w:rsidR="004E2433">
        <w:rPr>
          <w:rFonts w:cs="Arial"/>
          <w:szCs w:val="24"/>
        </w:rPr>
        <w:t xml:space="preserve"> scaffolds</w:t>
      </w:r>
      <w:r w:rsidR="008620BF" w:rsidRPr="00024FD1">
        <w:rPr>
          <w:rFonts w:cs="Arial"/>
          <w:szCs w:val="24"/>
        </w:rPr>
        <w:t>,</w:t>
      </w:r>
      <w:r w:rsidRPr="00024FD1">
        <w:rPr>
          <w:rFonts w:cs="Arial"/>
          <w:szCs w:val="24"/>
        </w:rPr>
        <w:t xml:space="preserve"> whereas 1-HPS was </w:t>
      </w:r>
      <w:r w:rsidR="004E2433">
        <w:rPr>
          <w:rFonts w:cs="Arial"/>
          <w:szCs w:val="24"/>
        </w:rPr>
        <w:t>observed</w:t>
      </w:r>
      <w:r w:rsidRPr="00024FD1">
        <w:rPr>
          <w:rFonts w:cs="Arial"/>
          <w:szCs w:val="24"/>
        </w:rPr>
        <w:t xml:space="preserve"> to produce stiffer materials than HPS of polymers 3, 4 and 6 (</w:t>
      </w:r>
      <w:r w:rsidRPr="00024FD1">
        <w:t xml:space="preserve">p ≤ 0.001). </w:t>
      </w:r>
      <w:r w:rsidRPr="00024FD1">
        <w:rPr>
          <w:rFonts w:cs="Arial"/>
          <w:szCs w:val="24"/>
        </w:rPr>
        <w:t xml:space="preserve">Indentation moduli for 2-HPS and 3-HPS were shown to be 3.1 MPa and 22.0 kPa respectively, which </w:t>
      </w:r>
      <w:r w:rsidR="00D42C5D" w:rsidRPr="00024FD1">
        <w:rPr>
          <w:rFonts w:cs="Arial"/>
          <w:szCs w:val="24"/>
        </w:rPr>
        <w:t xml:space="preserve">confirmed that polymer composition can </w:t>
      </w:r>
      <w:r w:rsidR="00C24DF0" w:rsidRPr="00024FD1">
        <w:rPr>
          <w:rFonts w:cs="Arial"/>
          <w:szCs w:val="24"/>
        </w:rPr>
        <w:t xml:space="preserve">modulate and </w:t>
      </w:r>
      <w:r w:rsidR="00D42C5D" w:rsidRPr="00024FD1">
        <w:rPr>
          <w:rFonts w:cs="Arial"/>
          <w:szCs w:val="24"/>
        </w:rPr>
        <w:t xml:space="preserve">tune </w:t>
      </w:r>
      <w:r w:rsidR="00863007" w:rsidRPr="00024FD1">
        <w:rPr>
          <w:rFonts w:cs="Arial"/>
          <w:szCs w:val="24"/>
        </w:rPr>
        <w:t xml:space="preserve">the </w:t>
      </w:r>
      <w:r w:rsidR="00D42C5D" w:rsidRPr="00024FD1">
        <w:rPr>
          <w:rFonts w:cs="Arial"/>
          <w:szCs w:val="24"/>
        </w:rPr>
        <w:t>scaffold mechanical properties</w:t>
      </w:r>
      <w:r w:rsidRPr="00024FD1">
        <w:rPr>
          <w:rFonts w:cs="Arial"/>
          <w:szCs w:val="24"/>
        </w:rPr>
        <w:t>. Stress relaxation or relaxation load, the ability to withstand loads without breaking</w:t>
      </w:r>
      <w:r w:rsidR="002A3112" w:rsidRPr="00024FD1">
        <w:rPr>
          <w:rFonts w:cs="Arial"/>
          <w:szCs w:val="24"/>
        </w:rPr>
        <w:t xml:space="preserve"> </w:t>
      </w:r>
      <w:r w:rsidR="00D42C5D" w:rsidRPr="00024FD1">
        <w:rPr>
          <w:rFonts w:cs="Arial"/>
          <w:szCs w:val="24"/>
        </w:rPr>
        <w:fldChar w:fldCharType="begin" w:fldLock="1"/>
      </w:r>
      <w:r w:rsidR="0033591E">
        <w:rPr>
          <w:rFonts w:cs="Arial"/>
          <w:szCs w:val="24"/>
        </w:rPr>
        <w:instrText xml:space="preserve"> ADDIN ZOTERO_ITEM CSL_CITATION {"citationID":"zHhoUU3X","properties":{"formattedCitation":"\\super 32,33\\nosupersub{}","plainCitation":"32,33","noteIndex":0},"citationItems":[{"id":"1dryys0K/UuFo0BH9","uris":["http://www.mendeley.com/documents/?uuid=882cf65a-828e-4039-b866-4dbb3c31c3a7","http://www.mendeley.com/documents/?uuid=21d5913f-43f4-48aa-859d-ee54f8b23164"],"itemData":{"DOI":"10.1016/B978-0-12-814523-4.00004-6","ISBN":"9781455731725","ISSN":"15734285","abstract":"In this chapter, a few of the graphene characterization methods and their scientific and technological importance are discussed in detail. For instance, the fundamental properties as measured by transmission electron microscopy are discussed. The thickness of layers, morphology, electronic properties, spacing of layers, presence and bonding of heteroatoms, and number of layers are described by atomic force microscopy, scanning electron microscopy, scanning tunneling microscopy, X-ray diffraction, Fourier transform infrared, X-ray photoelectron spectroscopy, and Raman techniques, respectively. Macroscopic characteristics, such as the dispersibility of graphene oxide and graphene in different polar and nonpolar solvents, as a new, accessible, easy, and inexpensive diagnostic tool are introduced here. The electrochemical techniques electrochemical impedance spectroscopy and cyclic voltammetry are presented as having inherent potential for measuring charge transfer resistance and comparing the surface areas of various kinds of graphene materials.","author":[{"dropping-particle":"","family":"Ashter","given":"Syed Ali","non-dropping-particle":"","parse-names":false,"suffix":""}],"chapter-number":"Chapter 7","container-title":"Plastic Films Technologies, Testing, and Applications","id":"ITEM-1","issued":{"date-parts":[["2019"]]},"page":"147-192","publisher":"Elsevier","title":"Thermoforming of Single and Multilayer Laminates.","type":"chapter","volume":"7"}},{"id":"1dryys0K/3By84sCS","uris":["http://www.mendeley.com/documents/?uuid=08c4b4a6-200b-41c1-b1e8-7abcf9d8267d","http://www.mendeley.com/documents/?uuid=27c473c1-225d-4e40-85ce-ed517f2e0b73"],"itemData":{"DOI":"10.1088/1758-5090/ab0f59","ISSN":"17585090","abstract":"To reduce the risks of climate change, governments agreed in the Paris Agreement to limit global 17 temperature rise to less than 2.0°C above pre-industrial levels, with the ambition to keep warming to 18 19 1.5°C. Charting appropriate mitigation responses requires information on the costs of mitigating versus 20 associated damages for the two levels of warming. In this assessment, a critical consideration is the 21 impact on crop yields and yield variability in regions currently challenged by food insecurity. The current 22 23 study assessed impacts of 1.5°C versus 2.0°C on yields of maize, pearl millet and sorghum in the West 24 African Sudan Savanna using two crop models that were calibrated with common varieties from 25 experiments in the region while management reflected a range of typical sowing windows. As 26 sustainable intensification is promoted in the region for improving food security, simulations were 27 28 conducted for both current fertilizer use and for an intensification case (fertility not limiting). With 29 current fertilizer use, results indicated 2% units higher losses for maize and sorghum with 2.0°C 30 compared to 1.5°C warming, with no change in millet yields for either scenario. In the intensification 31 32 case, yield losses due to climate change were larger than with current fertilizer levels. However, despite 33 the larger losses, yields were always 2-3 times higher with intensification, irrespective of the warming 34 scenario. Though yield variability increased with intensification, there was no interaction with warming 35 scenario. Risk and market analysis are needed to extend these results to understand implications for 36 37 food security.","author":[{"dropping-particle":"","family":"Liang","given":"Xiangyu","non-dropping-particle":"","parse-names":false,"suffix":""},{"dropping-particle":"","family":"Gao","given":"Jingming","non-dropping-particle":"","parse-names":false,"suffix":""},{"dropping-particle":"","family":"Xu","given":"Weike","non-dropping-particle":"","parse-names":false,"suffix":""},{"dropping-particle":"","family":"Wang","given":"Xiuli","non-dropping-particle":"","parse-names":false,"suffix":""},{"dropping-particle":"","family":"Shen","given":"Yang","non-dropping-particle":"","parse-names":false,"suffix":""},{"dropping-particle":"","family":"Tang","given":"Jingyu","non-dropping-particle":"","parse-names":false,"suffix":""},{"dropping-particle":"","family":"Cui","given":"Shuquan","non-dropping-particle":"","parse-names":false,"suffix":""},{"dropping-particle":"","family":"Yang","given":"Xiaowei","non-dropping-particle":"","parse-names":false,"suffix":""},{"dropping-particle":"","family":"Liu","given":"Qingsong","non-dropping-particle":"","parse-names":false,"suffix":""},{"dropping-particle":"","family":"Yu","given":"Lin","non-dropping-particle":"","parse-names":false,"suffix":""},{"dropping-particle":"","family":"Ding","given":"Jiandong","non-dropping-particle":"","parse-names":false,"suffix":""}],"container-title":"Biofabrication","id":"ITEM-2","issue":"3","issued":{"date-parts":[["2019"]]},"page":"035009","publisher":"IOP Publishing","title":"Structural mechanics of 3D-printed poly(lactic acid) scaffolds with tetragonal, hexagonal and wheel-like designs","type":"article-journal","volume":"11"}}],"schema":"https://github.com/citation-style-language/schema/raw/master/csl-citation.json"} </w:instrText>
      </w:r>
      <w:r w:rsidR="00D42C5D" w:rsidRPr="00024FD1">
        <w:rPr>
          <w:rFonts w:cs="Arial"/>
          <w:szCs w:val="24"/>
        </w:rPr>
        <w:fldChar w:fldCharType="separate"/>
      </w:r>
      <w:r w:rsidR="0033591E" w:rsidRPr="0033591E">
        <w:rPr>
          <w:rFonts w:cs="Times"/>
          <w:szCs w:val="24"/>
          <w:vertAlign w:val="superscript"/>
        </w:rPr>
        <w:t>32,33</w:t>
      </w:r>
      <w:r w:rsidR="00D42C5D" w:rsidRPr="00024FD1">
        <w:rPr>
          <w:rFonts w:cs="Arial"/>
          <w:szCs w:val="24"/>
        </w:rPr>
        <w:fldChar w:fldCharType="end"/>
      </w:r>
      <w:r w:rsidR="002A3112" w:rsidRPr="00024FD1">
        <w:rPr>
          <w:rFonts w:cs="Arial"/>
          <w:szCs w:val="24"/>
        </w:rPr>
        <w:t>,</w:t>
      </w:r>
      <w:r w:rsidR="00D42C5D" w:rsidRPr="00024FD1">
        <w:rPr>
          <w:rFonts w:cs="Arial"/>
          <w:noProof/>
          <w:szCs w:val="24"/>
          <w:vertAlign w:val="superscript"/>
        </w:rPr>
        <w:t xml:space="preserve"> </w:t>
      </w:r>
      <w:r w:rsidRPr="00024FD1">
        <w:rPr>
          <w:rFonts w:cs="Arial"/>
          <w:szCs w:val="24"/>
        </w:rPr>
        <w:t>were determined after 5 min relaxation to allow the scaffolds to reach equilibrium</w:t>
      </w:r>
      <w:r w:rsidR="002A3112" w:rsidRPr="00024FD1">
        <w:rPr>
          <w:rFonts w:cs="Arial"/>
          <w:szCs w:val="24"/>
        </w:rPr>
        <w:t xml:space="preserve"> </w:t>
      </w:r>
      <w:r w:rsidR="00D42C5D" w:rsidRPr="00024FD1">
        <w:rPr>
          <w:rFonts w:cs="Arial"/>
          <w:szCs w:val="24"/>
        </w:rPr>
        <w:fldChar w:fldCharType="begin" w:fldLock="1"/>
      </w:r>
      <w:r w:rsidR="0033591E">
        <w:rPr>
          <w:rFonts w:cs="Arial"/>
          <w:szCs w:val="24"/>
        </w:rPr>
        <w:instrText xml:space="preserve"> ADDIN ZOTERO_ITEM CSL_CITATION {"citationID":"1HJO8IOs","properties":{"formattedCitation":"\\super 34,35\\nosupersub{}","plainCitation":"34,35","noteIndex":0},"citationItems":[{"id":"1dryys0K/yMlA0xda","uris":["http://www.mendeley.com/documents/?uuid=189a1bab-4037-4523-a0c2-456960e94066","http://www.mendeley.com/documents/?uuid=27b022fd-67db-4934-a175-9d26d830cf8a"],"itemData":{"DOI":"10.1089/ten.tea.2011.0606","ISSN":"1937-3341","abstract":"Articular cartilage lesions, which can progress to osteoarthritis, are a particular challenge for regenerative medicine strategies, as cartilage function stems from its complex depth-dependent microstructural organization, mechanical properties, and biochemical composition. Fibrous scaffolds offer a template for cartilage extracellular matrix production; however, the success of homogeneous scaffolds is limited by their inability to mimic the cartilage's zone-specific organization and properties. We fabricated trilaminar scaffolds by sequential electrospinning and varying fiber size and orientation in a continuous construct, to create scaffolds that mimicked the structural organization and mechanical properties of cartilage's collagen fibrillar network. Trilaminar composite scaffolds were then compared to homogeneous aligned or randomly oriented fiber scaffolds to assess in vitro cartilage formation. Bovine chondrocytes proliferated and produced a type II collagen and a sulfated glycosaminoglycan-rich extracellular matrix on all scaffolds. Furthermore, all scaffolds promoted significant upregulation of aggrecan and type II collagen gene expression while downregulating that of type I collagen. Compressive testing at physiological strain levels further demonstrated that the mechanical properties of trilaminar composite scaffolds approached those of native cartilage. Our results demonstrate that trilaminar composite scaffolds mimic key organizational characteristics of native cartilage, support in vitro cartilage formation, and have superior mechanical properties to homogenous scaffolds. We propose that these scaffolds offer promise in regenerative medicine strategies to repair articular cartilage lesions. © Copyright 2012, Mary Ann Liebert, Inc.","author":[{"dropping-particle":"","family":"McCullen","given":"Seth D.","non-dropping-particle":"","parse-names":false,"suffix":""},{"dropping-particle":"","family":"Autefage","given":"Hélène","non-dropping-particle":"","parse-names":false,"suffix":""},{"dropping-particle":"","family":"Callanan","given":"Anthony","non-dropping-particle":"","parse-names":false,"suffix":""},{"dropping-particle":"","family":"Gentleman","given":"Eileen","non-dropping-particle":"","parse-names":false,"suffix":""},{"dropping-particle":"","family":"Stevens","given":"Molly M.","non-dropping-particle":"","parse-names":false,"suffix":""}],"container-title":"Tissue Engineering Part A","id":"ITEM-1","issue":"19-20","issued":{"date-parts":[["2012"]]},"page":"2073-2083","title":"Anisotropic Fibrous Scaffolds for Articular Cartilage Regeneration","type":"article-journal","volume":"18"}},{"id":"1dryys0K/jQj7NNAW","uris":["http://www.mendeley.com/documents/?uuid=8805a841-be4b-4b33-ae1b-bcc01e78ff33","http://www.mendeley.com/documents/?uuid=95746ab8-9903-4a5b-a40c-1b1ba5645d2b"],"itemData":{"DOI":"10.1016/j.actbio.2013.12.030","ISSN":"18787568","abstract":"Articular cartilage lesions are a particular challenge for regenerative medicine strategies as cartilage function stems from a complex depth-dependent organization. Tissue engineering scaffolds that vary in morphology and function offer a template for zone-specific cartilage extracellular matrix (ECM) production and mechanical properties. We fabricated multi-zone cartilage scaffolds by the electrostatic deposition of polymer microfibres onto particulate-templated scaffolds produced with 0.03 or 1.0 mm3 porogens. The scaffolds allowed ample space for chondrocyte ECM production within the bulk while also mimicking the structural organization and functional interface of cartilage's superficial zone. Addition of aligned fibre membranes enhanced the mechanical and surface properties of particulate-templated scaffolds. Zonal analysis of scaffolds demonstrated region-specific variations in chondrocyte number, sulfated GAG-rich ECM, and chondrocytic gene expression. Specifically, smaller porogens (0.03 mm3) yielded significantly higher sGAG accumulation and aggrecan gene expression. Our results demonstrate that bilayered scaffolds mimic some key structural characteristics of native cartilage, support in vitro cartilage formation, and have superior features to homogeneous particulate-templated scaffolds. We propose that these scaffolds offer promise for regenerative medicine strategies to repair articular cartilage lesions. © 2013 Acta Materialia Inc. Published by Elsevier Ltd. All rights reserved.","author":[{"dropping-particle":"","family":"Steele","given":"J. A.M.","non-dropping-particle":"","parse-names":false,"suffix":""},{"dropping-particle":"","family":"McCullen","given":"S. D.","non-dropping-particle":"","parse-names":false,"suffix":""},{"dropping-particle":"","family":"Callanan","given":"A.","non-dropping-particle":"","parse-names":false,"suffix":""},{"dropping-particle":"","family":"Autefage","given":"H.","non-dropping-particle":"","parse-names":false,"suffix":""},{"dropping-particle":"","family":"Accardi","given":"M. A.","non-dropping-particle":"","parse-names":false,"suffix":""},{"dropping-particle":"","family":"Dini","given":"D.","non-dropping-particle":"","parse-names":false,"suffix":""},{"dropping-particle":"","family":"Stevens","given":"M. M.","non-dropping-particle":"","parse-names":false,"suffix":""}],"container-title":"Acta Biomaterialia","id":"ITEM-2","issue":"5","issued":{"date-parts":[["2014"]]},"page":"2065-2075","publisher":"Acta Materialia Inc.","title":"Combinatorial scaffold morphologies for zonal articular cartilage engineering","type":"article-journal","volume":"10"}}],"schema":"https://github.com/citation-style-language/schema/raw/master/csl-citation.json"} </w:instrText>
      </w:r>
      <w:r w:rsidR="00D42C5D" w:rsidRPr="00024FD1">
        <w:rPr>
          <w:rFonts w:cs="Arial"/>
          <w:szCs w:val="24"/>
        </w:rPr>
        <w:fldChar w:fldCharType="separate"/>
      </w:r>
      <w:r w:rsidR="0033591E" w:rsidRPr="0033591E">
        <w:rPr>
          <w:rFonts w:cs="Times"/>
          <w:szCs w:val="24"/>
          <w:vertAlign w:val="superscript"/>
        </w:rPr>
        <w:t>34,35</w:t>
      </w:r>
      <w:r w:rsidR="00D42C5D" w:rsidRPr="00024FD1">
        <w:rPr>
          <w:rFonts w:cs="Arial"/>
          <w:szCs w:val="24"/>
        </w:rPr>
        <w:fldChar w:fldCharType="end"/>
      </w:r>
      <w:r w:rsidR="002A3112" w:rsidRPr="00024FD1">
        <w:rPr>
          <w:rFonts w:cs="Arial"/>
          <w:szCs w:val="24"/>
        </w:rPr>
        <w:t xml:space="preserve">. </w:t>
      </w:r>
      <w:r w:rsidRPr="00024FD1">
        <w:rPr>
          <w:rFonts w:cs="Arial"/>
          <w:szCs w:val="24"/>
        </w:rPr>
        <w:t>Relaxation load of the porous polymer scaffolds were governed by scaffold composition and 3D structure (Figure S</w:t>
      </w:r>
      <w:r w:rsidR="00EE5AE4" w:rsidRPr="00024FD1">
        <w:rPr>
          <w:rFonts w:cs="Arial"/>
          <w:szCs w:val="24"/>
        </w:rPr>
        <w:t>4</w:t>
      </w:r>
      <w:r w:rsidRPr="00024FD1">
        <w:rPr>
          <w:rFonts w:cs="Arial"/>
          <w:szCs w:val="24"/>
        </w:rPr>
        <w:t>)</w:t>
      </w:r>
      <w:r w:rsidR="004E2433">
        <w:rPr>
          <w:rFonts w:cs="Arial"/>
          <w:szCs w:val="24"/>
        </w:rPr>
        <w:t>. Overall</w:t>
      </w:r>
      <w:r w:rsidR="00A51AF7" w:rsidRPr="00024FD1">
        <w:rPr>
          <w:rFonts w:cs="Arial"/>
          <w:szCs w:val="24"/>
        </w:rPr>
        <w:t>,</w:t>
      </w:r>
      <w:r w:rsidR="00863007" w:rsidRPr="00024FD1">
        <w:rPr>
          <w:rFonts w:cs="Arial"/>
          <w:szCs w:val="24"/>
        </w:rPr>
        <w:t xml:space="preserve"> the </w:t>
      </w:r>
      <w:r w:rsidRPr="00024FD1">
        <w:rPr>
          <w:rFonts w:cs="Arial"/>
          <w:szCs w:val="24"/>
        </w:rPr>
        <w:t>porous scaffolds displayed greater relaxation (more than 20%) in comparison to scaffolds devoid of pores. I</w:t>
      </w:r>
      <w:r w:rsidR="00D42C5D" w:rsidRPr="00024FD1">
        <w:rPr>
          <w:rFonts w:cs="Arial"/>
          <w:szCs w:val="24"/>
        </w:rPr>
        <w:t>nterestingly,</w:t>
      </w:r>
      <w:r w:rsidRPr="00024FD1">
        <w:rPr>
          <w:rFonts w:cs="Arial"/>
          <w:szCs w:val="24"/>
        </w:rPr>
        <w:t xml:space="preserve"> </w:t>
      </w:r>
      <w:r w:rsidR="00863007" w:rsidRPr="00024FD1">
        <w:rPr>
          <w:rFonts w:cs="Arial"/>
          <w:szCs w:val="24"/>
        </w:rPr>
        <w:t xml:space="preserve">the </w:t>
      </w:r>
      <w:r w:rsidRPr="00024FD1">
        <w:rPr>
          <w:rFonts w:cs="Arial"/>
          <w:szCs w:val="24"/>
        </w:rPr>
        <w:t>HPS and MPS scaffolds displayed comparable mechanical properties to collagenous bone, articular cartilage and trabecular bone</w:t>
      </w:r>
      <w:r w:rsidR="002A3112" w:rsidRPr="00024FD1">
        <w:rPr>
          <w:rFonts w:cs="Arial"/>
          <w:szCs w:val="24"/>
        </w:rPr>
        <w:t xml:space="preserve"> </w:t>
      </w:r>
      <w:r w:rsidR="00D42C5D" w:rsidRPr="00024FD1">
        <w:rPr>
          <w:rFonts w:cs="Arial"/>
          <w:szCs w:val="24"/>
        </w:rPr>
        <w:fldChar w:fldCharType="begin" w:fldLock="1"/>
      </w:r>
      <w:r w:rsidR="0033591E">
        <w:rPr>
          <w:rFonts w:cs="Arial"/>
          <w:szCs w:val="24"/>
        </w:rPr>
        <w:instrText xml:space="preserve"> ADDIN ZOTERO_ITEM CSL_CITATION {"citationID":"XdYaXs8d","properties":{"formattedCitation":"\\super 36\\uc0\\u8211{}40\\nosupersub{}","plainCitation":"36–40","noteIndex":0},"citationItems":[{"id":"1dryys0K/NrAQCdrL","uris":["http://www.mendeley.com/documents/?uuid=8e5c2f26-2877-40f9-a855-b722532e44a6","http://www.mendeley.com/documents/?uuid=ce1b6157-72be-4e88-bf35-28facae2eeb7"],"itemData":{"DOI":"10.1053/jpsu.2001.28820","ISSN":"00223468","abstract":"Background/Purpose: The cause of the pectus excavatum (PE) remains unclear, although some results of research have indicated that the disturbance of the sternum or costal cartilage might be responsible for this deformity. But no decisive evidence has been gained. The authors have analyzed the biomechanical, morphologic, and histochemical properties of the cartilage in PE and intend to support the belief that the disturbance of the cartilage might contribute to the development of PE. Methods: Thirty-eight specimens of the sixth cartilage were obtained at operation for the PE group (aged from 3 to 6 years; mean, 4.2 years). And 28 specimens of the control group (aged from 3 to 6 years; mean, 4.4 years) were gained from routine postmortem examinations in which the cause of death was unlikely to have affected the cartilage. The biomechanical test was carried out in a material testing machine (Shimadzu AG-10TA, Tokyo, Japan). The relation curve of load-deformation in tensile and compressive tests and the curve of load-time in the flexuous test were recorded automatically. The values of the ultimate strength and strain were calculated from this relation curve. The specimens also underwent H&amp;E staining. The values of the area, circumference, mean diameter, maximal diameter, and morphologic factor of the cell and the nucleus of the cartilage in superficial and deep area were determined with the help of image analysis software (GT-2 model, China). The superficial zone (SZ) and deep zone (DZ) of the cartilage were examinated with electron microscopy (JEM-100SX, Japan). The distribution and intensity of type II collagen was shown by immunohistochemistry staining and analyzed with the image analysis software (GT-2 model, Huakang Co, Chengdu, China). The extent and distribution of proteoglycan were analyzed after Safranin-O and periodic acid shiff (PAS) staining. Results: The mean strength of the costal cartilage in the experimental group was less than that in the control group in terms of tension, compression, and flexure (P &lt; .05). The shape of the stress-strain curve for tension and compression in the experimental group was different from the control group. The fracture load in the experimental group was less than in the control group in tension (1.5 MPa versus 2.8 MPa) and in compression (.2 MPa versus 8.3 MPa). The time of fracture in experimental group was 30 seconds compared with 38 seconds in control group. No denaturation or necrosis could be found in light…","author":[{"dropping-particle":"","family":"Feng","given":"Jiexiong","non-dropping-particle":"","parse-names":false,"suffix":""},{"dropping-particle":"","family":"Hu","given":"Tingze","non-dropping-particle":"","parse-names":false,"suffix":""},{"dropping-particle":"","family":"Liu","given":"Wenying","non-dropping-particle":"","parse-names":false,"suffix":""},{"dropping-particle":"","family":"Zhang","given":"Shangfu","non-dropping-particle":"","parse-names":false,"suffix":""},{"dropping-particle":"","family":"Tang","given":"Yunman","non-dropping-particle":"","parse-names":false,"suffix":""},{"dropping-particle":"","family":"Chen","given":"Rui","non-dropping-particle":"","parse-names":false,"suffix":""},{"dropping-particle":"","family":"Jiang","given":"Xiaoping","non-dropping-particle":"","parse-names":false,"suffix":""},{"dropping-particle":"","family":"Wei","given":"Fukang","non-dropping-particle":"","parse-names":false,"suffix":""}],"container-title":"Journal of Pediatric Surgery","id":"ITEM-1","issue":"12","issued":{"date-parts":[["2001"]]},"page":"1770-1776","title":"The biomechanical, morphologic, and histochemical properties of the costal cartilages in children with pectus excavatum","type":"article-journal","volume":"36"}},{"id":"1dryys0K/EhIfCSzZ","uris":["http://www.mendeley.com/documents/?uuid=9693dd7e-8720-4fce-b714-1330f63ccef9","http://www.mendeley.com/documents/?uuid=fd2d0099-3852-4b75-8f98-1932ad4e4cb8"],"itemData":{"DOI":"10.1016/j.bbrc.2004.11.068","ISSN":"0006291X","abstract":"Endochondral bone development is a complex process in which undifferentiated mesenchymal cells differentiate into chondrocytes, which then undergo well-ordered and controlled phases of proliferation, hypertrophic differentiation, death, blood vessel invasion, and finally replacement of cartilage with bone. The process recapitulates basic and fundamental mechanisms of cell biology with a highly specific spatial and temporal pattern, and it thus constitutes an excellent model for the analysis of such mechanisms. In recent years, the tools provided by modern genetic both in mice and men have been instrumental in the process of identifying and dissecting basic molecular mechanisms of endochondral bone formation. This review is a brief summary of the current knowledge about some of the crucial factors involved in growth plate development. © 2004 Elsevier Inc. All rights reserved.","author":[{"dropping-particle":"","family":"Provot","given":"Sylvain","non-dropping-particle":"","parse-names":false,"suffix":""},{"dropping-particle":"","family":"Schipani","given":"Ernestina","non-dropping-particle":"","parse-names":false,"suffix":""}],"container-title":"Biochemical and Biophysical Research Communications","id":"ITEM-2","issue":"3","issued":{"date-parts":[["2005"]]},"page":"658-665","title":"Molecular mechanisms of endochondral bone development","type":"article-journal","volume":"328"}},{"id":"1dryys0K/IWEbVxdx","uris":["http://www.mendeley.com/documents/?uuid=07c074bc-985c-4278-b212-018ede10c3ae"],"itemData":{"DOI":"10.1016/j.cell.2006.06.044","ISSN":"00928674","abstract":"Microenvironments appear important in stem cell lineage specification but can be difficult to adequately characterize or control with soft tissues. Naive mesenchymal stem cells (MSCs) are shown here to specify lineage and commit to phenotypes with extreme sensitivity to tissue-level elasticity. Soft matrices that mimic brain are neurogenic, stiffer matrices that mimic muscle are myogenic, and comparatively rigid matrices that mimic collagenous bone prove osteogenic. During the initial week in culture, reprogramming of these lineages is possible with addition of soluble induction factors, but after several weeks in culture, the cells commit to the lineage specified by matrix elasticity, consistent with the elasticity-insensitive commitment of differentiated cell types. Inhibition of nonmuscle myosin II blocks all elasticity-directed lineage specification-without strongly perturbing many other aspects of cell function and shape. The results have significant implications for understanding physical effects of the in vivo microenvironment and also for therapeutic uses of stem cells. © 2006 Elsevier Inc. All rights reserved.","author":[{"dropping-particle":"","family":"Engler","given":"Adam J.","non-dropping-particle":"","parse-names":false,"suffix":""},{"dropping-particle":"","family":"Sen","given":"Shamik","non-dropping-particle":"","parse-names":false,"suffix":""},{"dropping-particle":"","family":"Sweeney","given":"H. Lee","non-dropping-particle":"","parse-names":false,"suffix":""},{"dropping-particle":"","family":"Discher","given":"Dennis E.","non-dropping-particle":"","parse-names":false,"suffix":""}],"container-title":"Cell","id":"ITEM-3","issue":"4","issued":{"date-parts":[["2006"]]},"page":"677-689","title":"Matrix Elasticity Directs Stem Cell Lineage Specification","type":"article-journal","volume":"126"}},{"id":"1dryys0K/YVhsD2pe","uris":["http://www.mendeley.com/documents/?uuid=82b79d7f-0eb4-47ec-bc22-fd969fb2fd49","http://www.mendeley.com/documents/?uuid=7babb2f4-f449-47b9-8792-865c0958dd1f"],"itemData":{"DOI":"10.1016/j.actbio.2007.06.008","ISSN":"17427061","abstract":"Costal cartilage, connecting the ribs and sternum, serves a mechanical function in the body. It undergoes structural changes with aging but it is unclear if its material properties are affected by these changes. To investigate this question, experimental indentation load-relaxation tests were performed on human costal cartilage as a function of specimen age and sex. The experimental data were fit to spherical indentation ramp-relaxation solutions generated previously by elastic-viscoelastic correspondence [Mattice JM, Lau AG, Oyen ML and Kent RW. Spherical indentation load-relaxation of soft biological tissues. J Mater Res 2006;8:2003-10]. Numerical values of short- and long-time shear modulus and of material time-constants were examined as a function of age. Costal cartilage calcification was assessed with blinded scoring of computed tomography reconstructions of the ribcage and mechanical properties were correlated with calcification score. Overall, the costal cartilage midsubstance was slightly stiffer than articular cartilage, and did not show significant variation in stiffness with age or specimen calcification. Increased age did result in increased local variability of the indentation stiffness results. Future studies will be required to address the findings of the current study that although calcification did increase with age, the calcification was primarily found on the costal cartilage periphery, thus insignificantly affecting the midsubstance stiffness. © 2007 Acta Materialia Inc.","author":[{"dropping-particle":"","family":"Lau","given":"Anthony","non-dropping-particle":"","parse-names":false,"suffix":""},{"dropping-particle":"","family":"Oyen","given":"Michelle L.","non-dropping-particle":"","parse-names":false,"suffix":""},{"dropping-particle":"","family":"Kent","given":"Richard W.","non-dropping-particle":"","parse-names":false,"suffix":""},{"dropping-particle":"","family":"Murakami","given":"Daisuke","non-dropping-particle":"","parse-names":false,"suffix":""},{"dropping-particle":"","family":"Torigaki","given":"Toshikazu","non-dropping-particle":"","parse-names":false,"suffix":""}],"container-title":"Acta Biomaterialia","id":"ITEM-4","issue":"1","issued":{"date-parts":[["2008"]]},"page":"97-103","title":"Indentation stiffness of aging human costal cartilage","type":"article-journal","volume":"4"}},{"id":"1dryys0K/M1eFqQCB","uris":["http://www.mendeley.com/documents/?uuid=bd5c89f1-8e68-47dc-ac30-c1422438aef4","http://www.mendeley.com/documents/?uuid=389b835a-435a-469d-8cae-8bbf30ab1bff"],"itemData":{"DOI":"10.1016/0021-9290(94)90196-1","ISSN":"00219290","abstract":"The present study defines several conditions under which stress relaxation tests can be performed and investigates the viscoelastic behaviour of trabecular bone in compression through a series of stress relaxation tests at three strain levels and in three loading directions of each cubic specimen. A visoelastic model is proposed to characterize the behaviour of trabecular bone and a spectrum of relaxation times is determined. Trabecular bone from the femoral head is non-linearly viscoelastic and displays anisotropic behaviour, which cannot be more symmetric elastically than orthotropic. © 1994.","author":[{"dropping-particle":"","family":"Deligianni","given":"D. D.","non-dropping-particle":"","parse-names":false,"suffix":""},{"dropping-particle":"","family":"Maris","given":"A.","non-dropping-particle":"","parse-names":false,"suffix":""},{"dropping-particle":"","family":"Missirlis","given":"Y. F.","non-dropping-particle":"","parse-names":false,"suffix":""}],"container-title":"Journal of Biomechanics","id":"ITEM-5","issue":"12","issued":{"date-parts":[["1994"]]},"page":"1469-1476","title":"Stress relaxation behaviour of trabecular bone specimens","type":"article-journal","volume":"27"}}],"schema":"https://github.com/citation-style-language/schema/raw/master/csl-citation.json"} </w:instrText>
      </w:r>
      <w:r w:rsidR="00D42C5D" w:rsidRPr="00024FD1">
        <w:rPr>
          <w:rFonts w:cs="Arial"/>
          <w:szCs w:val="24"/>
        </w:rPr>
        <w:fldChar w:fldCharType="separate"/>
      </w:r>
      <w:r w:rsidR="0033591E" w:rsidRPr="0033591E">
        <w:rPr>
          <w:rFonts w:cs="Times"/>
          <w:szCs w:val="24"/>
          <w:vertAlign w:val="superscript"/>
        </w:rPr>
        <w:t>36–40</w:t>
      </w:r>
      <w:r w:rsidR="00D42C5D" w:rsidRPr="00024FD1">
        <w:rPr>
          <w:rFonts w:cs="Arial"/>
          <w:szCs w:val="24"/>
        </w:rPr>
        <w:fldChar w:fldCharType="end"/>
      </w:r>
      <w:r w:rsidR="002A3112" w:rsidRPr="00024FD1">
        <w:rPr>
          <w:rFonts w:cs="Arial"/>
          <w:szCs w:val="24"/>
        </w:rPr>
        <w:t>.</w:t>
      </w:r>
    </w:p>
    <w:p w14:paraId="3181EE7C" w14:textId="628EBFD8" w:rsidR="00322650" w:rsidRPr="00024FD1" w:rsidRDefault="002C55FF" w:rsidP="00946A33">
      <w:pPr>
        <w:spacing w:line="480" w:lineRule="auto"/>
        <w:jc w:val="center"/>
        <w:rPr>
          <w:rFonts w:cs="Arial"/>
          <w:szCs w:val="24"/>
        </w:rPr>
      </w:pPr>
      <w:r w:rsidRPr="00024FD1">
        <w:rPr>
          <w:rFonts w:cs="Arial"/>
          <w:noProof/>
          <w:szCs w:val="24"/>
          <w:lang w:eastAsia="en-GB"/>
        </w:rPr>
        <w:drawing>
          <wp:inline distT="0" distB="0" distL="0" distR="0" wp14:anchorId="5C7DCA62" wp14:editId="0F394F22">
            <wp:extent cx="5759450" cy="3497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a:stretch>
                      <a:fillRect/>
                    </a:stretch>
                  </pic:blipFill>
                  <pic:spPr>
                    <a:xfrm>
                      <a:off x="0" y="0"/>
                      <a:ext cx="5759450" cy="3497580"/>
                    </a:xfrm>
                    <a:prstGeom prst="rect">
                      <a:avLst/>
                    </a:prstGeom>
                  </pic:spPr>
                </pic:pic>
              </a:graphicData>
            </a:graphic>
          </wp:inline>
        </w:drawing>
      </w:r>
    </w:p>
    <w:p w14:paraId="60A6DC31" w14:textId="32A13B40" w:rsidR="00314F50" w:rsidRPr="00024FD1" w:rsidRDefault="005719D2" w:rsidP="00BA4A70">
      <w:pPr>
        <w:jc w:val="both"/>
      </w:pPr>
      <w:bookmarkStart w:id="10" w:name="_Hlk54521307"/>
      <w:r w:rsidRPr="00024FD1">
        <w:rPr>
          <w:b/>
          <w:bCs/>
        </w:rPr>
        <w:t xml:space="preserve">Figure </w:t>
      </w:r>
      <w:r w:rsidRPr="00024FD1">
        <w:rPr>
          <w:b/>
          <w:bCs/>
        </w:rPr>
        <w:fldChar w:fldCharType="begin"/>
      </w:r>
      <w:r w:rsidRPr="00024FD1">
        <w:rPr>
          <w:b/>
          <w:bCs/>
        </w:rPr>
        <w:instrText xml:space="preserve"> SEQ Figure \* ARABIC </w:instrText>
      </w:r>
      <w:r w:rsidRPr="00024FD1">
        <w:rPr>
          <w:b/>
          <w:bCs/>
        </w:rPr>
        <w:fldChar w:fldCharType="separate"/>
      </w:r>
      <w:r w:rsidR="0045364C" w:rsidRPr="00024FD1">
        <w:rPr>
          <w:b/>
          <w:bCs/>
          <w:noProof/>
        </w:rPr>
        <w:t>3</w:t>
      </w:r>
      <w:r w:rsidRPr="00024FD1">
        <w:rPr>
          <w:b/>
          <w:bCs/>
        </w:rPr>
        <w:fldChar w:fldCharType="end"/>
      </w:r>
      <w:r w:rsidRPr="00024FD1">
        <w:rPr>
          <w:b/>
          <w:bCs/>
        </w:rPr>
        <w:t>.</w:t>
      </w:r>
      <w:r w:rsidRPr="00024FD1">
        <w:t xml:space="preserve"> </w:t>
      </w:r>
      <w:r w:rsidR="004542D0" w:rsidRPr="00024FD1">
        <w:t xml:space="preserve">Morphological and mechanical </w:t>
      </w:r>
      <w:r w:rsidR="00D02F6C" w:rsidRPr="00024FD1">
        <w:t>characterization</w:t>
      </w:r>
      <w:r w:rsidR="00314F50" w:rsidRPr="00024FD1">
        <w:t xml:space="preserve"> of the</w:t>
      </w:r>
      <w:r w:rsidR="00F04DCF" w:rsidRPr="00024FD1">
        <w:t xml:space="preserve"> </w:t>
      </w:r>
      <w:r w:rsidR="00950FB9" w:rsidRPr="00024FD1">
        <w:t xml:space="preserve">polymer </w:t>
      </w:r>
      <w:r w:rsidR="00C54202" w:rsidRPr="00024FD1">
        <w:t>scaffolds</w:t>
      </w:r>
      <w:r w:rsidR="001314DC" w:rsidRPr="00024FD1">
        <w:t xml:space="preserve"> 1 to 6</w:t>
      </w:r>
      <w:r w:rsidR="004542D0" w:rsidRPr="00024FD1">
        <w:t>.</w:t>
      </w:r>
      <w:bookmarkEnd w:id="10"/>
      <w:r w:rsidR="004542D0" w:rsidRPr="00024FD1">
        <w:t xml:space="preserve"> </w:t>
      </w:r>
      <w:r w:rsidR="00287B31" w:rsidRPr="00024FD1">
        <w:t>Micro-CT analysis.</w:t>
      </w:r>
      <w:r w:rsidR="004878A2" w:rsidRPr="00024FD1">
        <w:t xml:space="preserve"> A</w:t>
      </w:r>
      <w:r w:rsidR="00905175" w:rsidRPr="00024FD1">
        <w:t xml:space="preserve">) </w:t>
      </w:r>
      <w:r w:rsidR="00D425F5" w:rsidRPr="00024FD1">
        <w:t>Binary images (</w:t>
      </w:r>
      <w:r w:rsidR="00B636C0" w:rsidRPr="00024FD1">
        <w:t xml:space="preserve">white: </w:t>
      </w:r>
      <w:r w:rsidR="00D425F5" w:rsidRPr="00024FD1">
        <w:t xml:space="preserve">polymer and </w:t>
      </w:r>
      <w:r w:rsidR="00B636C0" w:rsidRPr="00024FD1">
        <w:t>black: pores</w:t>
      </w:r>
      <w:r w:rsidR="00D425F5" w:rsidRPr="00024FD1">
        <w:t xml:space="preserve">) of the longitudinal and </w:t>
      </w:r>
      <w:r w:rsidR="00D425F5" w:rsidRPr="00024FD1">
        <w:lastRenderedPageBreak/>
        <w:t xml:space="preserve">transverse sections for representative scaffolds 2-MPS and </w:t>
      </w:r>
      <w:r w:rsidR="00287B31" w:rsidRPr="00024FD1">
        <w:t>2-HPS (scale bar 1.0 mm). B</w:t>
      </w:r>
      <w:r w:rsidR="004F3230" w:rsidRPr="00024FD1">
        <w:t>)</w:t>
      </w:r>
      <w:bookmarkStart w:id="11" w:name="_Hlk41299585"/>
      <w:r w:rsidR="004F3230" w:rsidRPr="00024FD1">
        <w:t xml:space="preserve"> </w:t>
      </w:r>
      <w:r w:rsidR="000C1F33" w:rsidRPr="00024FD1">
        <w:t xml:space="preserve">Scaffold </w:t>
      </w:r>
      <w:r w:rsidR="004542D0" w:rsidRPr="00024FD1">
        <w:t>porosity (%)</w:t>
      </w:r>
      <w:r w:rsidR="00851C97" w:rsidRPr="00024FD1">
        <w:t xml:space="preserve"> </w:t>
      </w:r>
      <w:r w:rsidR="002C55FF" w:rsidRPr="00024FD1">
        <w:t xml:space="preserve">and </w:t>
      </w:r>
      <w:r w:rsidR="004F3230" w:rsidRPr="00024FD1">
        <w:t xml:space="preserve">C) </w:t>
      </w:r>
      <w:r w:rsidR="004277C7" w:rsidRPr="00024FD1">
        <w:t>3D pore size</w:t>
      </w:r>
      <w:r w:rsidR="002A74C5" w:rsidRPr="00024FD1">
        <w:t xml:space="preserve"> (µm)</w:t>
      </w:r>
      <w:r w:rsidR="004277C7" w:rsidRPr="00024FD1">
        <w:t xml:space="preserve"> </w:t>
      </w:r>
      <w:r w:rsidR="00E944A3" w:rsidRPr="00024FD1">
        <w:t xml:space="preserve">modelled and </w:t>
      </w:r>
      <w:r w:rsidR="004277C7" w:rsidRPr="00024FD1">
        <w:t xml:space="preserve">calculated with </w:t>
      </w:r>
      <w:r w:rsidR="00E944A3" w:rsidRPr="00024FD1">
        <w:t xml:space="preserve">computed </w:t>
      </w:r>
      <w:r w:rsidR="004277C7" w:rsidRPr="00024FD1">
        <w:t>spheres</w:t>
      </w:r>
      <w:r w:rsidR="002A74C5" w:rsidRPr="00024FD1">
        <w:t xml:space="preserve"> </w:t>
      </w:r>
      <w:r w:rsidR="00E944A3" w:rsidRPr="00024FD1">
        <w:t>that fitted the</w:t>
      </w:r>
      <w:r w:rsidR="002A74C5" w:rsidRPr="00024FD1">
        <w:t xml:space="preserve"> pores </w:t>
      </w:r>
      <w:r w:rsidR="000C1F33" w:rsidRPr="00024FD1">
        <w:t>(</w:t>
      </w:r>
      <w:bookmarkStart w:id="12" w:name="_Hlk41299532"/>
      <w:r w:rsidR="000C1F33" w:rsidRPr="00024FD1">
        <w:t>using Image</w:t>
      </w:r>
      <w:r w:rsidR="00694CF8" w:rsidRPr="00024FD1">
        <w:t>J</w:t>
      </w:r>
      <w:r w:rsidR="000C1F33" w:rsidRPr="00024FD1">
        <w:t xml:space="preserve"> – </w:t>
      </w:r>
      <w:proofErr w:type="spellStart"/>
      <w:r w:rsidR="000C1F33" w:rsidRPr="00024FD1">
        <w:t>Bone</w:t>
      </w:r>
      <w:r w:rsidR="00694CF8" w:rsidRPr="00024FD1">
        <w:t>J</w:t>
      </w:r>
      <w:proofErr w:type="spellEnd"/>
      <w:r w:rsidR="00694CF8" w:rsidRPr="00024FD1">
        <w:t>,</w:t>
      </w:r>
      <w:r w:rsidR="000C1F33" w:rsidRPr="00024FD1">
        <w:t xml:space="preserve"> </w:t>
      </w:r>
      <w:r w:rsidR="00851C97" w:rsidRPr="00024FD1">
        <w:t>two samples</w:t>
      </w:r>
      <w:bookmarkEnd w:id="12"/>
      <w:r w:rsidR="000C1F33" w:rsidRPr="00024FD1">
        <w:t>)</w:t>
      </w:r>
      <w:bookmarkEnd w:id="11"/>
      <w:r w:rsidR="000C1F33" w:rsidRPr="00024FD1">
        <w:t xml:space="preserve">. </w:t>
      </w:r>
      <w:r w:rsidR="00314F50" w:rsidRPr="00024FD1">
        <w:t xml:space="preserve">Mechanical properties of </w:t>
      </w:r>
      <w:r w:rsidR="00223CA7" w:rsidRPr="00024FD1">
        <w:t>the</w:t>
      </w:r>
      <w:r w:rsidR="00314F50" w:rsidRPr="00024FD1">
        <w:t xml:space="preserve"> scaffolds </w:t>
      </w:r>
      <w:r w:rsidR="00EA51B6" w:rsidRPr="00024FD1">
        <w:t>(12 mm x 12 mm x 2 mm)</w:t>
      </w:r>
      <w:r w:rsidR="00314F50" w:rsidRPr="00024FD1">
        <w:t xml:space="preserve"> were measured</w:t>
      </w:r>
      <w:r w:rsidR="00223CA7" w:rsidRPr="00024FD1">
        <w:t xml:space="preserve"> </w:t>
      </w:r>
      <w:r w:rsidR="00314F50" w:rsidRPr="00024FD1">
        <w:t>with a macro-indentation approach</w:t>
      </w:r>
      <w:r w:rsidR="00DA26AF" w:rsidRPr="00024FD1">
        <w:t xml:space="preserve"> for a strain range between 5%-10%</w:t>
      </w:r>
      <w:r w:rsidR="00F025FF" w:rsidRPr="00024FD1">
        <w:t>. D</w:t>
      </w:r>
      <w:r w:rsidR="00314F50" w:rsidRPr="00024FD1">
        <w:t>) Indentation modul</w:t>
      </w:r>
      <w:r w:rsidR="000D7F85" w:rsidRPr="00024FD1">
        <w:t>i</w:t>
      </w:r>
      <w:r w:rsidR="00314F50" w:rsidRPr="00024FD1">
        <w:t xml:space="preserve"> </w:t>
      </w:r>
      <w:r w:rsidR="00223CA7" w:rsidRPr="00024FD1">
        <w:t xml:space="preserve">(MPa) </w:t>
      </w:r>
      <w:r w:rsidR="00EA51B6" w:rsidRPr="00024FD1">
        <w:t>was calculated locally (5 to 10 % strain) using a linear model for semi-infinite media from the gradient of th</w:t>
      </w:r>
      <w:r w:rsidR="00F025FF" w:rsidRPr="00024FD1">
        <w:t>e load vs displacement curves</w:t>
      </w:r>
      <w:r w:rsidR="00AA20B6" w:rsidRPr="00024FD1">
        <w:t xml:space="preserve">. </w:t>
      </w:r>
      <w:r w:rsidR="002C55FF" w:rsidRPr="00024FD1">
        <w:t>One-way ANOVA with Bonferroni post-test (* p ≤ 0.05, ** p ≤ 0.01, *** p ≤ 0.001 and **** p ≤ 0.0001)</w:t>
      </w:r>
      <w:r w:rsidR="00AA20B6" w:rsidRPr="00024FD1">
        <w:t>. Mean ± SD, n=4.</w:t>
      </w:r>
    </w:p>
    <w:p w14:paraId="4525896A" w14:textId="4C158CE3" w:rsidR="009D73E7" w:rsidRPr="00024FD1" w:rsidRDefault="009D73E7" w:rsidP="009D73E7"/>
    <w:p w14:paraId="6710E164" w14:textId="09F2F793" w:rsidR="002A3112" w:rsidRPr="00024FD1" w:rsidRDefault="00226020" w:rsidP="000E2592">
      <w:pPr>
        <w:spacing w:line="480" w:lineRule="auto"/>
        <w:jc w:val="both"/>
        <w:rPr>
          <w:b/>
          <w:bCs/>
        </w:rPr>
      </w:pPr>
      <w:r w:rsidRPr="00024FD1">
        <w:rPr>
          <w:b/>
          <w:bCs/>
        </w:rPr>
        <w:t>Screening of 3D porous scaffolds with FBMSCs</w:t>
      </w:r>
      <w:r w:rsidR="00E97C06" w:rsidRPr="00024FD1">
        <w:rPr>
          <w:b/>
          <w:bCs/>
        </w:rPr>
        <w:t xml:space="preserve"> for </w:t>
      </w:r>
      <w:r w:rsidR="00FC4345" w:rsidRPr="00744DB2">
        <w:rPr>
          <w:b/>
          <w:i/>
        </w:rPr>
        <w:t>in vitro</w:t>
      </w:r>
      <w:r w:rsidR="00FC4345" w:rsidRPr="00024FD1">
        <w:rPr>
          <w:b/>
          <w:bCs/>
        </w:rPr>
        <w:t xml:space="preserve"> </w:t>
      </w:r>
      <w:r w:rsidR="00E97C06" w:rsidRPr="00024FD1">
        <w:rPr>
          <w:b/>
          <w:bCs/>
        </w:rPr>
        <w:t>tissue formation</w:t>
      </w:r>
      <w:r w:rsidR="000E2592" w:rsidRPr="00024FD1">
        <w:rPr>
          <w:b/>
          <w:bCs/>
        </w:rPr>
        <w:t xml:space="preserve"> </w:t>
      </w:r>
    </w:p>
    <w:p w14:paraId="121ABD2E" w14:textId="6DE0E07C" w:rsidR="0040674C" w:rsidRPr="00024FD1" w:rsidRDefault="00C128C9" w:rsidP="000E2592">
      <w:pPr>
        <w:spacing w:line="480" w:lineRule="auto"/>
        <w:jc w:val="both"/>
        <w:rPr>
          <w:b/>
          <w:bCs/>
        </w:rPr>
      </w:pPr>
      <w:r w:rsidRPr="00024FD1">
        <w:rPr>
          <w:rFonts w:cs="Arial"/>
          <w:szCs w:val="24"/>
        </w:rPr>
        <w:t xml:space="preserve">FBMSC proliferation, </w:t>
      </w:r>
      <w:r w:rsidR="00C6221E" w:rsidRPr="00024FD1">
        <w:rPr>
          <w:rFonts w:cs="Arial"/>
          <w:szCs w:val="24"/>
        </w:rPr>
        <w:t xml:space="preserve">high </w:t>
      </w:r>
      <w:r w:rsidRPr="00024FD1">
        <w:rPr>
          <w:rFonts w:cs="Arial"/>
          <w:szCs w:val="24"/>
        </w:rPr>
        <w:t>collagen</w:t>
      </w:r>
      <w:r w:rsidR="00E83A1A" w:rsidRPr="00024FD1">
        <w:rPr>
          <w:rFonts w:cs="Arial"/>
          <w:szCs w:val="24"/>
        </w:rPr>
        <w:t xml:space="preserve"> </w:t>
      </w:r>
      <w:r w:rsidR="00D63E4D" w:rsidRPr="00024FD1">
        <w:rPr>
          <w:rFonts w:cs="Arial"/>
          <w:szCs w:val="24"/>
        </w:rPr>
        <w:t>deposition and</w:t>
      </w:r>
      <w:r w:rsidRPr="00024FD1">
        <w:rPr>
          <w:rFonts w:cs="Arial"/>
          <w:szCs w:val="24"/>
        </w:rPr>
        <w:t xml:space="preserve"> </w:t>
      </w:r>
      <w:r w:rsidR="00E808C0" w:rsidRPr="00024FD1">
        <w:rPr>
          <w:rFonts w:cs="Arial"/>
          <w:szCs w:val="24"/>
        </w:rPr>
        <w:t xml:space="preserve">rapid </w:t>
      </w:r>
      <w:r w:rsidR="00C6221E" w:rsidRPr="00024FD1">
        <w:rPr>
          <w:rFonts w:cs="Arial"/>
          <w:szCs w:val="24"/>
        </w:rPr>
        <w:t>increase</w:t>
      </w:r>
      <w:r w:rsidR="00E808C0" w:rsidRPr="00024FD1">
        <w:rPr>
          <w:rFonts w:cs="Arial"/>
          <w:szCs w:val="24"/>
        </w:rPr>
        <w:t>s</w:t>
      </w:r>
      <w:r w:rsidR="00C6221E" w:rsidRPr="00024FD1">
        <w:rPr>
          <w:rFonts w:cs="Arial"/>
          <w:szCs w:val="24"/>
        </w:rPr>
        <w:t xml:space="preserve"> </w:t>
      </w:r>
      <w:r w:rsidR="00E808C0" w:rsidRPr="00024FD1">
        <w:rPr>
          <w:rFonts w:cs="Arial"/>
          <w:szCs w:val="24"/>
        </w:rPr>
        <w:t xml:space="preserve">in </w:t>
      </w:r>
      <w:r w:rsidRPr="00024FD1">
        <w:rPr>
          <w:rFonts w:cs="Arial"/>
          <w:szCs w:val="24"/>
        </w:rPr>
        <w:t xml:space="preserve">ALP </w:t>
      </w:r>
      <w:r w:rsidR="00FF07E8" w:rsidRPr="00024FD1">
        <w:rPr>
          <w:rFonts w:cs="Arial"/>
          <w:szCs w:val="24"/>
        </w:rPr>
        <w:t xml:space="preserve">in the absence of </w:t>
      </w:r>
      <w:r w:rsidR="008E5C10" w:rsidRPr="00024FD1">
        <w:rPr>
          <w:rFonts w:cs="Arial"/>
          <w:szCs w:val="24"/>
        </w:rPr>
        <w:t xml:space="preserve">supplemented medium </w:t>
      </w:r>
      <w:r w:rsidR="00C6221E" w:rsidRPr="00024FD1">
        <w:rPr>
          <w:rFonts w:cs="Arial"/>
          <w:szCs w:val="24"/>
        </w:rPr>
        <w:t xml:space="preserve">were used as markers </w:t>
      </w:r>
      <w:r w:rsidR="0040674C" w:rsidRPr="00024FD1">
        <w:rPr>
          <w:rFonts w:cs="Arial"/>
          <w:szCs w:val="24"/>
        </w:rPr>
        <w:t>to identify optimal polymer composition and 3D structure</w:t>
      </w:r>
      <w:r w:rsidR="00E808C0" w:rsidRPr="00024FD1">
        <w:rPr>
          <w:rFonts w:cs="Arial"/>
          <w:szCs w:val="24"/>
        </w:rPr>
        <w:t>s</w:t>
      </w:r>
      <w:r w:rsidR="0040674C" w:rsidRPr="00024FD1">
        <w:rPr>
          <w:rFonts w:cs="Arial"/>
          <w:szCs w:val="24"/>
        </w:rPr>
        <w:t>.</w:t>
      </w:r>
      <w:r w:rsidR="0095540D" w:rsidRPr="00024FD1">
        <w:rPr>
          <w:rFonts w:cs="Arial"/>
          <w:szCs w:val="24"/>
        </w:rPr>
        <w:t xml:space="preserve"> </w:t>
      </w:r>
    </w:p>
    <w:p w14:paraId="58F18F23" w14:textId="486531AC" w:rsidR="00AB647E" w:rsidRPr="00024FD1" w:rsidRDefault="00226020" w:rsidP="00DF7894">
      <w:pPr>
        <w:spacing w:line="480" w:lineRule="auto"/>
        <w:jc w:val="both"/>
        <w:rPr>
          <w:rFonts w:cs="Arial"/>
          <w:szCs w:val="24"/>
        </w:rPr>
      </w:pPr>
      <w:r w:rsidRPr="00024FD1">
        <w:rPr>
          <w:rFonts w:cs="Arial"/>
          <w:szCs w:val="24"/>
        </w:rPr>
        <w:t>The</w:t>
      </w:r>
      <w:r w:rsidR="00ED4F87" w:rsidRPr="00024FD1">
        <w:rPr>
          <w:rFonts w:cs="Arial"/>
          <w:szCs w:val="24"/>
        </w:rPr>
        <w:t xml:space="preserve"> </w:t>
      </w:r>
      <w:r w:rsidRPr="00024FD1">
        <w:rPr>
          <w:rFonts w:cs="Arial"/>
          <w:szCs w:val="24"/>
        </w:rPr>
        <w:t xml:space="preserve">proliferation of FBMSCs </w:t>
      </w:r>
      <w:r w:rsidR="00B25748" w:rsidRPr="00024FD1">
        <w:rPr>
          <w:rFonts w:cs="Arial"/>
          <w:szCs w:val="24"/>
        </w:rPr>
        <w:t xml:space="preserve">on </w:t>
      </w:r>
      <w:r w:rsidRPr="00024FD1">
        <w:rPr>
          <w:rFonts w:cs="Arial"/>
          <w:szCs w:val="24"/>
        </w:rPr>
        <w:t xml:space="preserve">the array of 3D polymer scaffolds </w:t>
      </w:r>
      <w:r w:rsidR="00BB7A8E" w:rsidRPr="00024FD1">
        <w:rPr>
          <w:rFonts w:cs="Arial"/>
          <w:szCs w:val="24"/>
        </w:rPr>
        <w:t xml:space="preserve">was </w:t>
      </w:r>
      <w:r w:rsidR="00C6221E" w:rsidRPr="00024FD1">
        <w:rPr>
          <w:rFonts w:cs="Arial"/>
          <w:szCs w:val="24"/>
        </w:rPr>
        <w:t xml:space="preserve">quantified </w:t>
      </w:r>
      <w:r w:rsidR="00BB7A8E" w:rsidRPr="00024FD1">
        <w:rPr>
          <w:rFonts w:cs="Arial"/>
          <w:szCs w:val="24"/>
        </w:rPr>
        <w:t xml:space="preserve">over 21 days </w:t>
      </w:r>
      <w:r w:rsidR="00950FB9" w:rsidRPr="00024FD1">
        <w:rPr>
          <w:rFonts w:cs="Arial"/>
          <w:szCs w:val="24"/>
        </w:rPr>
        <w:t xml:space="preserve">using </w:t>
      </w:r>
      <w:r w:rsidR="00B25748" w:rsidRPr="00024FD1">
        <w:rPr>
          <w:rFonts w:cs="Arial"/>
          <w:szCs w:val="24"/>
        </w:rPr>
        <w:t>resazurin (also know</w:t>
      </w:r>
      <w:r w:rsidR="006C5328" w:rsidRPr="00024FD1">
        <w:rPr>
          <w:rFonts w:cs="Arial"/>
          <w:szCs w:val="24"/>
        </w:rPr>
        <w:t>n</w:t>
      </w:r>
      <w:r w:rsidR="00B25748" w:rsidRPr="00024FD1">
        <w:rPr>
          <w:rFonts w:cs="Arial"/>
          <w:szCs w:val="24"/>
        </w:rPr>
        <w:t xml:space="preserve"> as </w:t>
      </w:r>
      <w:proofErr w:type="spellStart"/>
      <w:r w:rsidR="00B25748" w:rsidRPr="00024FD1">
        <w:rPr>
          <w:rFonts w:cs="Arial"/>
          <w:szCs w:val="24"/>
        </w:rPr>
        <w:t>Almar</w:t>
      </w:r>
      <w:proofErr w:type="spellEnd"/>
      <w:r w:rsidR="00B25748" w:rsidRPr="00024FD1">
        <w:rPr>
          <w:rFonts w:cs="Arial"/>
          <w:szCs w:val="24"/>
        </w:rPr>
        <w:t xml:space="preserve"> Blue or </w:t>
      </w:r>
      <w:proofErr w:type="spellStart"/>
      <w:r w:rsidRPr="00024FD1">
        <w:rPr>
          <w:rFonts w:cs="Arial"/>
          <w:szCs w:val="24"/>
        </w:rPr>
        <w:t>alamarBlue</w:t>
      </w:r>
      <w:proofErr w:type="spellEnd"/>
      <w:r w:rsidRPr="00024FD1">
        <w:rPr>
          <w:rFonts w:cs="Arial"/>
          <w:szCs w:val="24"/>
        </w:rPr>
        <w:t>™</w:t>
      </w:r>
      <w:r w:rsidR="00B25748" w:rsidRPr="00024FD1">
        <w:rPr>
          <w:rFonts w:cs="Arial"/>
          <w:szCs w:val="24"/>
        </w:rPr>
        <w:t>)</w:t>
      </w:r>
      <w:r w:rsidR="0040674C" w:rsidRPr="00024FD1">
        <w:rPr>
          <w:rFonts w:cs="Arial"/>
          <w:szCs w:val="24"/>
        </w:rPr>
        <w:t xml:space="preserve"> </w:t>
      </w:r>
      <w:r w:rsidR="00693A26" w:rsidRPr="00024FD1">
        <w:rPr>
          <w:rFonts w:cs="Arial"/>
          <w:szCs w:val="24"/>
        </w:rPr>
        <w:t>(</w:t>
      </w:r>
      <w:r w:rsidR="000B722F" w:rsidRPr="00024FD1">
        <w:rPr>
          <w:rFonts w:cs="Arial"/>
          <w:szCs w:val="24"/>
        </w:rPr>
        <w:t>Figure S</w:t>
      </w:r>
      <w:r w:rsidR="00EE5AE4" w:rsidRPr="00024FD1">
        <w:rPr>
          <w:rFonts w:cs="Arial"/>
          <w:szCs w:val="24"/>
        </w:rPr>
        <w:t>5</w:t>
      </w:r>
      <w:r w:rsidR="00693A26" w:rsidRPr="00024FD1">
        <w:rPr>
          <w:rFonts w:cs="Arial"/>
          <w:szCs w:val="24"/>
        </w:rPr>
        <w:t>)</w:t>
      </w:r>
      <w:r w:rsidR="006C5328" w:rsidRPr="00024FD1">
        <w:rPr>
          <w:rFonts w:cs="Arial"/>
          <w:szCs w:val="24"/>
        </w:rPr>
        <w:t>.</w:t>
      </w:r>
      <w:r w:rsidR="009A6A0C" w:rsidRPr="00024FD1">
        <w:rPr>
          <w:rFonts w:cs="Arial"/>
          <w:szCs w:val="24"/>
        </w:rPr>
        <w:t xml:space="preserve"> </w:t>
      </w:r>
      <w:r w:rsidR="005A7331" w:rsidRPr="00024FD1">
        <w:rPr>
          <w:rFonts w:cs="Arial"/>
          <w:szCs w:val="24"/>
        </w:rPr>
        <w:t>A</w:t>
      </w:r>
      <w:r w:rsidRPr="00024FD1">
        <w:rPr>
          <w:rFonts w:cs="Arial"/>
          <w:szCs w:val="24"/>
        </w:rPr>
        <w:t xml:space="preserve"> rapid increase</w:t>
      </w:r>
      <w:r w:rsidR="00B767C1" w:rsidRPr="00024FD1">
        <w:rPr>
          <w:rFonts w:cs="Arial"/>
          <w:szCs w:val="24"/>
        </w:rPr>
        <w:t xml:space="preserve"> in the number</w:t>
      </w:r>
      <w:r w:rsidRPr="00024FD1">
        <w:rPr>
          <w:rFonts w:cs="Arial"/>
          <w:szCs w:val="24"/>
        </w:rPr>
        <w:t xml:space="preserve"> of cells</w:t>
      </w:r>
      <w:r w:rsidR="005A7331" w:rsidRPr="00024FD1">
        <w:rPr>
          <w:rFonts w:cs="Arial"/>
          <w:szCs w:val="24"/>
        </w:rPr>
        <w:t xml:space="preserve"> was observed </w:t>
      </w:r>
      <w:r w:rsidR="00FC67E3" w:rsidRPr="00024FD1">
        <w:rPr>
          <w:rFonts w:cs="Arial"/>
          <w:szCs w:val="24"/>
        </w:rPr>
        <w:t xml:space="preserve">on </w:t>
      </w:r>
      <w:r w:rsidRPr="00024FD1">
        <w:rPr>
          <w:rFonts w:cs="Arial"/>
          <w:szCs w:val="24"/>
        </w:rPr>
        <w:t xml:space="preserve">the majority of the 3D scaffolds, between </w:t>
      </w:r>
      <w:r w:rsidR="00B767C1" w:rsidRPr="00024FD1">
        <w:rPr>
          <w:rFonts w:cs="Arial"/>
          <w:szCs w:val="24"/>
        </w:rPr>
        <w:t>day</w:t>
      </w:r>
      <w:r w:rsidR="003D1415" w:rsidRPr="00024FD1">
        <w:rPr>
          <w:rFonts w:cs="Arial"/>
          <w:szCs w:val="24"/>
        </w:rPr>
        <w:t>s</w:t>
      </w:r>
      <w:r w:rsidR="00B767C1" w:rsidRPr="00024FD1">
        <w:rPr>
          <w:rFonts w:cs="Arial"/>
          <w:szCs w:val="24"/>
        </w:rPr>
        <w:t xml:space="preserve"> 0 </w:t>
      </w:r>
      <w:r w:rsidRPr="00024FD1">
        <w:rPr>
          <w:rFonts w:cs="Arial"/>
          <w:szCs w:val="24"/>
        </w:rPr>
        <w:t xml:space="preserve">and </w:t>
      </w:r>
      <w:r w:rsidR="00522DAD" w:rsidRPr="00024FD1">
        <w:rPr>
          <w:rFonts w:cs="Arial"/>
          <w:szCs w:val="24"/>
        </w:rPr>
        <w:t>2</w:t>
      </w:r>
      <w:r w:rsidR="00245CE0" w:rsidRPr="00024FD1">
        <w:rPr>
          <w:rFonts w:cs="Arial"/>
          <w:szCs w:val="24"/>
        </w:rPr>
        <w:t xml:space="preserve"> (Figure S</w:t>
      </w:r>
      <w:r w:rsidR="00EE5AE4" w:rsidRPr="00024FD1">
        <w:rPr>
          <w:rFonts w:cs="Arial"/>
          <w:szCs w:val="24"/>
        </w:rPr>
        <w:t>6</w:t>
      </w:r>
      <w:r w:rsidR="00245CE0" w:rsidRPr="00024FD1">
        <w:rPr>
          <w:rFonts w:cs="Arial"/>
          <w:szCs w:val="24"/>
        </w:rPr>
        <w:t>)</w:t>
      </w:r>
      <w:r w:rsidR="007F44A1" w:rsidRPr="00024FD1">
        <w:rPr>
          <w:rFonts w:cs="Arial"/>
          <w:szCs w:val="24"/>
        </w:rPr>
        <w:t xml:space="preserve">. </w:t>
      </w:r>
      <w:r w:rsidR="00ED4F87" w:rsidRPr="00024FD1">
        <w:rPr>
          <w:rFonts w:cs="Arial"/>
          <w:szCs w:val="24"/>
        </w:rPr>
        <w:t xml:space="preserve">This was followed by a </w:t>
      </w:r>
      <w:r w:rsidR="00235BED" w:rsidRPr="00024FD1">
        <w:rPr>
          <w:rFonts w:cs="Arial"/>
          <w:szCs w:val="24"/>
        </w:rPr>
        <w:t>stationary</w:t>
      </w:r>
      <w:r w:rsidR="00F9456A" w:rsidRPr="00024FD1">
        <w:rPr>
          <w:rFonts w:cs="Arial"/>
          <w:szCs w:val="24"/>
        </w:rPr>
        <w:t xml:space="preserve"> phase</w:t>
      </w:r>
      <w:r w:rsidR="004E2433">
        <w:rPr>
          <w:rFonts w:cs="Arial"/>
          <w:szCs w:val="24"/>
        </w:rPr>
        <w:t xml:space="preserve"> (plateau)</w:t>
      </w:r>
      <w:r w:rsidR="00F9456A" w:rsidRPr="00024FD1">
        <w:rPr>
          <w:rFonts w:cs="Arial"/>
          <w:szCs w:val="24"/>
        </w:rPr>
        <w:t xml:space="preserve"> in cell proliferation</w:t>
      </w:r>
      <w:r w:rsidR="00950FB9" w:rsidRPr="00024FD1">
        <w:rPr>
          <w:rFonts w:cs="Arial"/>
          <w:szCs w:val="24"/>
        </w:rPr>
        <w:t>,</w:t>
      </w:r>
      <w:r w:rsidR="00F9456A" w:rsidRPr="00024FD1">
        <w:rPr>
          <w:rFonts w:cs="Arial"/>
          <w:szCs w:val="24"/>
        </w:rPr>
        <w:t xml:space="preserve"> </w:t>
      </w:r>
      <w:r w:rsidRPr="00024FD1">
        <w:rPr>
          <w:rFonts w:cs="Arial"/>
          <w:szCs w:val="24"/>
        </w:rPr>
        <w:t>between day</w:t>
      </w:r>
      <w:r w:rsidR="00D63E4D" w:rsidRPr="00024FD1">
        <w:rPr>
          <w:rFonts w:cs="Arial"/>
          <w:szCs w:val="24"/>
        </w:rPr>
        <w:t>s</w:t>
      </w:r>
      <w:r w:rsidRPr="00024FD1">
        <w:rPr>
          <w:rFonts w:cs="Arial"/>
          <w:szCs w:val="24"/>
        </w:rPr>
        <w:t xml:space="preserve"> 2 and 21</w:t>
      </w:r>
      <w:r w:rsidR="00950FB9" w:rsidRPr="00024FD1">
        <w:rPr>
          <w:rFonts w:cs="Arial"/>
          <w:szCs w:val="24"/>
        </w:rPr>
        <w:t>,</w:t>
      </w:r>
      <w:r w:rsidRPr="00024FD1">
        <w:rPr>
          <w:rFonts w:cs="Arial"/>
          <w:szCs w:val="24"/>
        </w:rPr>
        <w:t xml:space="preserve"> </w:t>
      </w:r>
      <w:r w:rsidR="005A7331" w:rsidRPr="00024FD1">
        <w:rPr>
          <w:rFonts w:cs="Arial"/>
          <w:szCs w:val="24"/>
        </w:rPr>
        <w:t xml:space="preserve">observed </w:t>
      </w:r>
      <w:r w:rsidR="007F44A1" w:rsidRPr="00024FD1">
        <w:rPr>
          <w:rFonts w:cs="Arial"/>
          <w:szCs w:val="24"/>
        </w:rPr>
        <w:t>on scaffolds with</w:t>
      </w:r>
      <w:r w:rsidRPr="00024FD1">
        <w:rPr>
          <w:rFonts w:cs="Arial"/>
          <w:szCs w:val="24"/>
        </w:rPr>
        <w:t xml:space="preserve"> </w:t>
      </w:r>
      <w:r w:rsidR="007F44A1" w:rsidRPr="00024FD1">
        <w:rPr>
          <w:rFonts w:cs="Arial"/>
          <w:szCs w:val="24"/>
        </w:rPr>
        <w:t>no</w:t>
      </w:r>
      <w:r w:rsidRPr="00024FD1">
        <w:rPr>
          <w:rFonts w:cs="Arial"/>
          <w:szCs w:val="24"/>
        </w:rPr>
        <w:t xml:space="preserve"> pores and </w:t>
      </w:r>
      <w:r w:rsidR="005A7331" w:rsidRPr="00024FD1">
        <w:rPr>
          <w:rFonts w:cs="Arial"/>
          <w:szCs w:val="24"/>
        </w:rPr>
        <w:t xml:space="preserve">scaffolds of </w:t>
      </w:r>
      <w:r w:rsidRPr="00024FD1">
        <w:rPr>
          <w:rFonts w:cs="Arial"/>
          <w:szCs w:val="24"/>
        </w:rPr>
        <w:t xml:space="preserve">medium </w:t>
      </w:r>
      <w:r w:rsidR="00A80827" w:rsidRPr="00024FD1">
        <w:rPr>
          <w:rFonts w:cs="Arial"/>
          <w:szCs w:val="24"/>
        </w:rPr>
        <w:t>porosity</w:t>
      </w:r>
      <w:r w:rsidR="00950FB9" w:rsidRPr="00024FD1">
        <w:rPr>
          <w:rFonts w:cs="Arial"/>
          <w:szCs w:val="24"/>
        </w:rPr>
        <w:t xml:space="preserve">. </w:t>
      </w:r>
      <w:r w:rsidR="005A7331" w:rsidRPr="00024FD1">
        <w:rPr>
          <w:rFonts w:cs="Arial"/>
          <w:szCs w:val="24"/>
        </w:rPr>
        <w:t>In contrast,</w:t>
      </w:r>
      <w:r w:rsidR="00435D51" w:rsidRPr="00024FD1">
        <w:rPr>
          <w:rFonts w:cs="Arial"/>
          <w:szCs w:val="24"/>
        </w:rPr>
        <w:t xml:space="preserve"> </w:t>
      </w:r>
      <w:r w:rsidRPr="00024FD1">
        <w:rPr>
          <w:rFonts w:cs="Arial"/>
          <w:szCs w:val="24"/>
        </w:rPr>
        <w:t>FBMSCs in polymer</w:t>
      </w:r>
      <w:r w:rsidR="00435D51" w:rsidRPr="00024FD1">
        <w:rPr>
          <w:rFonts w:cs="Arial"/>
          <w:szCs w:val="24"/>
        </w:rPr>
        <w:t>s</w:t>
      </w:r>
      <w:r w:rsidRPr="00024FD1">
        <w:rPr>
          <w:rFonts w:cs="Arial"/>
          <w:szCs w:val="24"/>
        </w:rPr>
        <w:t xml:space="preserve"> </w:t>
      </w:r>
      <w:r w:rsidR="00F2398B" w:rsidRPr="00024FD1">
        <w:rPr>
          <w:rFonts w:cs="Arial"/>
          <w:szCs w:val="24"/>
        </w:rPr>
        <w:t>containing</w:t>
      </w:r>
      <w:r w:rsidRPr="00024FD1">
        <w:rPr>
          <w:rFonts w:cs="Arial"/>
          <w:szCs w:val="24"/>
        </w:rPr>
        <w:t xml:space="preserve"> large</w:t>
      </w:r>
      <w:r w:rsidR="007F44A1" w:rsidRPr="00024FD1">
        <w:rPr>
          <w:rFonts w:cs="Arial"/>
          <w:szCs w:val="24"/>
        </w:rPr>
        <w:t>r</w:t>
      </w:r>
      <w:r w:rsidR="00435D51" w:rsidRPr="00024FD1">
        <w:rPr>
          <w:rFonts w:cs="Arial"/>
          <w:szCs w:val="24"/>
        </w:rPr>
        <w:t xml:space="preserve"> levels of</w:t>
      </w:r>
      <w:r w:rsidRPr="00024FD1">
        <w:rPr>
          <w:rFonts w:cs="Arial"/>
          <w:szCs w:val="24"/>
        </w:rPr>
        <w:t xml:space="preserve"> porosity</w:t>
      </w:r>
      <w:r w:rsidR="00522DAD" w:rsidRPr="00024FD1">
        <w:rPr>
          <w:rFonts w:cs="Arial"/>
          <w:szCs w:val="24"/>
        </w:rPr>
        <w:t xml:space="preserve"> </w:t>
      </w:r>
      <w:r w:rsidR="002D74A6" w:rsidRPr="00024FD1">
        <w:rPr>
          <w:rFonts w:cs="Arial"/>
          <w:szCs w:val="24"/>
        </w:rPr>
        <w:t xml:space="preserve">showed slightly </w:t>
      </w:r>
      <w:r w:rsidR="00FF07E8" w:rsidRPr="00024FD1">
        <w:rPr>
          <w:rFonts w:cs="Arial"/>
          <w:szCs w:val="24"/>
        </w:rPr>
        <w:t xml:space="preserve">reduced </w:t>
      </w:r>
      <w:r w:rsidR="002E0B4C" w:rsidRPr="00024FD1">
        <w:rPr>
          <w:rFonts w:cs="Arial"/>
          <w:szCs w:val="24"/>
        </w:rPr>
        <w:t xml:space="preserve">number of </w:t>
      </w:r>
      <w:r w:rsidR="002D74A6" w:rsidRPr="00024FD1">
        <w:rPr>
          <w:rFonts w:cs="Arial"/>
          <w:szCs w:val="24"/>
        </w:rPr>
        <w:t>FBMSCs</w:t>
      </w:r>
      <w:r w:rsidR="00245CE0" w:rsidRPr="00024FD1">
        <w:rPr>
          <w:rFonts w:cs="Arial"/>
          <w:szCs w:val="24"/>
        </w:rPr>
        <w:t xml:space="preserve"> (</w:t>
      </w:r>
      <w:r w:rsidR="0053575E" w:rsidRPr="00024FD1">
        <w:rPr>
          <w:rFonts w:cs="Arial"/>
          <w:szCs w:val="24"/>
        </w:rPr>
        <w:t xml:space="preserve">Figure </w:t>
      </w:r>
      <w:r w:rsidR="00CB75B8" w:rsidRPr="00024FD1">
        <w:rPr>
          <w:rFonts w:cs="Arial"/>
          <w:noProof/>
          <w:szCs w:val="24"/>
        </w:rPr>
        <w:t>4</w:t>
      </w:r>
      <w:r w:rsidR="00245CE0" w:rsidRPr="00024FD1">
        <w:rPr>
          <w:rFonts w:cs="Arial"/>
          <w:szCs w:val="24"/>
        </w:rPr>
        <w:t>A)</w:t>
      </w:r>
      <w:r w:rsidRPr="00024FD1">
        <w:rPr>
          <w:rFonts w:cs="Arial"/>
          <w:szCs w:val="24"/>
        </w:rPr>
        <w:t xml:space="preserve">. </w:t>
      </w:r>
      <w:r w:rsidR="002D6BB6" w:rsidRPr="00024FD1">
        <w:rPr>
          <w:rFonts w:cs="Arial"/>
          <w:szCs w:val="24"/>
        </w:rPr>
        <w:t xml:space="preserve">The effect of the 3D scaffolds on </w:t>
      </w:r>
      <w:r w:rsidR="00BC4181" w:rsidRPr="00024FD1">
        <w:rPr>
          <w:rFonts w:cs="Arial"/>
          <w:szCs w:val="24"/>
        </w:rPr>
        <w:t>collagen</w:t>
      </w:r>
      <w:r w:rsidR="002D6BB6" w:rsidRPr="00024FD1">
        <w:rPr>
          <w:rFonts w:cs="Arial"/>
          <w:szCs w:val="24"/>
        </w:rPr>
        <w:t xml:space="preserve"> deposition was </w:t>
      </w:r>
      <w:r w:rsidR="00BC4181" w:rsidRPr="00024FD1">
        <w:rPr>
          <w:rFonts w:cs="Arial"/>
          <w:szCs w:val="24"/>
        </w:rPr>
        <w:t xml:space="preserve">quantified </w:t>
      </w:r>
      <w:r w:rsidR="005A7331" w:rsidRPr="00024FD1">
        <w:rPr>
          <w:rFonts w:cs="Arial"/>
          <w:szCs w:val="24"/>
        </w:rPr>
        <w:t>using the</w:t>
      </w:r>
      <w:r w:rsidR="002D6BB6" w:rsidRPr="00024FD1">
        <w:rPr>
          <w:rFonts w:cs="Arial"/>
          <w:szCs w:val="24"/>
        </w:rPr>
        <w:t xml:space="preserve"> Pico-Sirius red assay</w:t>
      </w:r>
      <w:r w:rsidR="002A3112" w:rsidRPr="00024FD1">
        <w:rPr>
          <w:rFonts w:cs="Arial"/>
          <w:szCs w:val="24"/>
        </w:rPr>
        <w:t xml:space="preserve"> </w:t>
      </w:r>
      <w:r w:rsidR="002E0B4C" w:rsidRPr="00024FD1">
        <w:rPr>
          <w:rFonts w:cs="Arial"/>
          <w:szCs w:val="24"/>
        </w:rPr>
        <w:fldChar w:fldCharType="begin" w:fldLock="1"/>
      </w:r>
      <w:r w:rsidR="0033591E">
        <w:rPr>
          <w:rFonts w:cs="Arial"/>
          <w:szCs w:val="24"/>
        </w:rPr>
        <w:instrText xml:space="preserve"> ADDIN ZOTERO_ITEM CSL_CITATION {"citationID":"nViz42EX","properties":{"formattedCitation":"\\super 41,42\\nosupersub{}","plainCitation":"41,42","noteIndex":0},"citationItems":[{"id":"1dryys0K/iSizUhPH","uris":["http://www.mendeley.com/documents/?uuid=1ed085b0-3527-455c-bd3b-48b37e9b4b8d"],"itemData":{"DOI":"10.1002/term.541","ISSN":"19326254","abstract":"Degeneration of the intervertebral disc (IVD) represents a significant muscular skeletal disease. Recently, scaffolds composed of synthetic, natural and hybrid biomaterials have been investigated as options to restore the IVD; however, they lack the hallmark lamellar morphological features of annulus fibrosus (AF) tissue. The goal of regenerating the disc is to achieve anatomical morphology as well as restoration of mechanical and biological function. In this study, two types of scaffold morphology formed from silk fibroin were investigated towards the goal of AF tissue restoration. The first design mimics the lamellar features of the IVD that are associated with the AF region. The second is a porous spongy scaffold that serves as a control. Toroidal scaffolds were formed from the lamellar and porous silk material systems to generate structures with an outer diameter of 8 mm, inner diameter of 3.5 mm and a height of 3 mm. The inter-lamellar spacing in the lamellar scaffold was 150-250 µm and the average pore sizes in the porous scaffolds were 100-250 µm. The scaffolds were seeded with porcine AF cells and, after growth over defined time frames in vitro, histology, biochemical assays, mechanical testing and gene expression indicated that the lamellar scaffold generated results that were more favourable in terms of ECM expression and tissue function than the porous scaffold for AF tissue. Further, the seeded porcine AF cells supported the native shape of AF tissue in the lamellar silk scaffolds. The lamellar silk scaffolds were effective in the formation of AF-like tissue in vitro.","author":[{"dropping-particle":"","family":"Park","given":"Sang Hyug","non-dropping-particle":"","parse-names":false,"suffix":""},{"dropping-particle":"","family":"Gil","given":"Eun Seok","non-dropping-particle":"","parse-names":false,"suffix":""},{"dropping-particle":"","family":"Mandal","given":"Biman B.","non-dropping-particle":"","parse-names":false,"suffix":""},{"dropping-particle":"","family":"Cho","given":"Hongsik","non-dropping-particle":"","parse-names":false,"suffix":""},{"dropping-particle":"","family":"Kluge","given":"Jonathan A.","non-dropping-particle":"","parse-names":false,"suffix":""},{"dropping-particle":"","family":"Min","given":"Byoung Hyun","non-dropping-particle":"","parse-names":false,"suffix":""},{"dropping-particle":"","family":"Kaplan","given":"David L.","non-dropping-particle":"","parse-names":false,"suffix":""}],"container-title":"Journal of Tissue Engineering and Regenerative Medicine","id":"ITEM-1","issued":{"date-parts":[["2012"]]},"title":"Annulus fibrosus tissue engineering using lamellar silk scaffolds","type":"article-journal"}},{"id":"1dryys0K/a6Xsqaud","uris":["http://www.mendeley.com/documents/?uuid=1e63f619-6757-4438-b093-20fdb3b18d9f"],"itemData":{"DOI":"10.1002/adhm.201701418","ISSN":"21922659","abstract":"© 2018 WILEY-VCH Verlag GmbH &amp; Co. KGaA, Weinheim The successful regeneration of large volume bone defects necessitates the use of proangiogenic and resorbable scaffolding matrix. Impaired and slow ingrowth of host vasculature within implanted grafts greatly compromises its effective osseointegration. By addressing this, it is demonstrated that the use of copper doped bioactive glass functionalizes silk microfiber reinforcements to improve the physicochemical and osteoinductive properties of two silk scaffolding matrices (mulberry Bombyx mori and non-mulberry Antheraea assama) employed in the study. The reinforced composite matrices increase the surface area and present an open porous biomimetic micromillieu favoring stem cell and endothelial cell migration within the matrix. Biochemical results indicate the stabilization of hypoxia-inducible factor-1α and expression of C-X-C chemokine receptor type-4 in adipose derived human mesenchymal stem cells, which regulate the downstream proangiogenic signaling and endothelial cell homing, respectively. Osteoinduction, matrix turnover, and resorption effectiveness are favored better in the non-mulberry silk matrices. The composite matrices significantly promote neo-osseous tissue formation in volumetric femur defect in rabbits with periosteal restoration seen in the non-mulberry silk composite matrices. Evidences of total resorption, enhanced vascular-fibrous tissue ingrowth within the scaffold, vouch for the potential clinical translation of these developed composite silk matrices.","author":[{"dropping-particle":"","family":"Moses","given":"Joseph Christakiran","non-dropping-particle":"","parse-names":false,"suffix":""},{"dropping-particle":"","family":"Nandi","given":"Samit Kumar","non-dropping-particle":"","parse-names":false,"suffix":""},{"dropping-particle":"","family":"Mandal","given":"Biman B.","non-dropping-particle":"","parse-names":false,"suffix":""}],"container-title":"Advanced Healthcare Materials","id":"ITEM-2","issued":{"date-parts":[["2018"]]},"title":"Multifunctional Cell Instructive Silk-Bioactive Glass Composite Reinforced Scaffolds Toward Osteoinductive, Proangiogenic, and Resorbable Bone Grafts","type":"article-journal"}}],"schema":"https://github.com/citation-style-language/schema/raw/master/csl-citation.json"} </w:instrText>
      </w:r>
      <w:r w:rsidR="002E0B4C" w:rsidRPr="00024FD1">
        <w:rPr>
          <w:rFonts w:cs="Arial"/>
          <w:szCs w:val="24"/>
        </w:rPr>
        <w:fldChar w:fldCharType="separate"/>
      </w:r>
      <w:r w:rsidR="0033591E" w:rsidRPr="0033591E">
        <w:rPr>
          <w:rFonts w:cs="Times"/>
          <w:szCs w:val="24"/>
          <w:vertAlign w:val="superscript"/>
        </w:rPr>
        <w:t>41,42</w:t>
      </w:r>
      <w:r w:rsidR="002E0B4C" w:rsidRPr="00024FD1">
        <w:rPr>
          <w:rFonts w:cs="Arial"/>
          <w:szCs w:val="24"/>
        </w:rPr>
        <w:fldChar w:fldCharType="end"/>
      </w:r>
      <w:r w:rsidR="002A3112" w:rsidRPr="00024FD1">
        <w:rPr>
          <w:rFonts w:cs="Arial"/>
          <w:szCs w:val="24"/>
        </w:rPr>
        <w:t>.</w:t>
      </w:r>
      <w:r w:rsidR="002E0B4C" w:rsidRPr="00024FD1">
        <w:rPr>
          <w:rFonts w:cs="Arial"/>
          <w:szCs w:val="24"/>
        </w:rPr>
        <w:t xml:space="preserve"> </w:t>
      </w:r>
      <w:r w:rsidR="00F2398B" w:rsidRPr="00024FD1">
        <w:rPr>
          <w:rFonts w:cs="Arial"/>
          <w:szCs w:val="24"/>
        </w:rPr>
        <w:t>I</w:t>
      </w:r>
      <w:r w:rsidR="00710503" w:rsidRPr="00024FD1">
        <w:rPr>
          <w:rFonts w:cs="Arial"/>
          <w:szCs w:val="24"/>
        </w:rPr>
        <w:t xml:space="preserve">ncreased collagen secreted </w:t>
      </w:r>
      <w:r w:rsidRPr="00024FD1">
        <w:rPr>
          <w:rFonts w:cs="Arial"/>
          <w:szCs w:val="24"/>
        </w:rPr>
        <w:t xml:space="preserve">by the </w:t>
      </w:r>
      <w:r w:rsidR="00AB78CB" w:rsidRPr="00024FD1">
        <w:rPr>
          <w:rFonts w:cs="Arial"/>
          <w:szCs w:val="24"/>
        </w:rPr>
        <w:t>FBMSCs</w:t>
      </w:r>
      <w:r w:rsidRPr="00024FD1">
        <w:rPr>
          <w:rFonts w:cs="Arial"/>
          <w:szCs w:val="24"/>
        </w:rPr>
        <w:t xml:space="preserve"> </w:t>
      </w:r>
      <w:r w:rsidR="006C5328" w:rsidRPr="00024FD1">
        <w:rPr>
          <w:rFonts w:cs="Arial"/>
          <w:szCs w:val="24"/>
        </w:rPr>
        <w:t>at day 21</w:t>
      </w:r>
      <w:r w:rsidR="00512E68" w:rsidRPr="00024FD1">
        <w:rPr>
          <w:rFonts w:cs="Arial"/>
          <w:szCs w:val="24"/>
        </w:rPr>
        <w:t xml:space="preserve"> </w:t>
      </w:r>
      <w:r w:rsidR="004704A4" w:rsidRPr="00024FD1">
        <w:rPr>
          <w:rFonts w:cs="Arial"/>
          <w:szCs w:val="24"/>
        </w:rPr>
        <w:t xml:space="preserve">was observed </w:t>
      </w:r>
      <w:r w:rsidR="00710503" w:rsidRPr="00024FD1">
        <w:rPr>
          <w:rFonts w:cs="Arial"/>
          <w:szCs w:val="24"/>
        </w:rPr>
        <w:t>in the porous scaffolds (MPS and HPS)</w:t>
      </w:r>
      <w:r w:rsidR="005B5D45" w:rsidRPr="00024FD1">
        <w:rPr>
          <w:rFonts w:cs="Arial"/>
          <w:szCs w:val="24"/>
        </w:rPr>
        <w:t>,</w:t>
      </w:r>
      <w:r w:rsidR="00710503" w:rsidRPr="00024FD1">
        <w:rPr>
          <w:rFonts w:cs="Arial"/>
          <w:szCs w:val="24"/>
        </w:rPr>
        <w:t xml:space="preserve"> compared </w:t>
      </w:r>
      <w:r w:rsidR="00950FB9" w:rsidRPr="00024FD1">
        <w:rPr>
          <w:rFonts w:cs="Arial"/>
          <w:szCs w:val="24"/>
        </w:rPr>
        <w:t>to the</w:t>
      </w:r>
      <w:r w:rsidR="00416524">
        <w:rPr>
          <w:rFonts w:cs="Arial"/>
          <w:szCs w:val="24"/>
        </w:rPr>
        <w:t xml:space="preserve"> </w:t>
      </w:r>
      <w:r w:rsidR="00710503" w:rsidRPr="00024FD1">
        <w:rPr>
          <w:rFonts w:cs="Arial"/>
          <w:szCs w:val="24"/>
        </w:rPr>
        <w:t xml:space="preserve">non-porous scaffolds and the TC control </w:t>
      </w:r>
      <w:r w:rsidR="006C5328" w:rsidRPr="00024FD1">
        <w:rPr>
          <w:rFonts w:cs="Arial"/>
          <w:szCs w:val="24"/>
        </w:rPr>
        <w:t>(</w:t>
      </w:r>
      <w:r w:rsidR="00750B18" w:rsidRPr="00024FD1">
        <w:rPr>
          <w:rFonts w:cs="Arial"/>
          <w:szCs w:val="24"/>
        </w:rPr>
        <w:t>Figure S</w:t>
      </w:r>
      <w:r w:rsidR="00EE5AE4" w:rsidRPr="00024FD1">
        <w:rPr>
          <w:rFonts w:cs="Arial"/>
          <w:szCs w:val="24"/>
        </w:rPr>
        <w:t>7</w:t>
      </w:r>
      <w:r w:rsidR="00750B18" w:rsidRPr="00024FD1">
        <w:rPr>
          <w:rFonts w:cs="Arial"/>
          <w:szCs w:val="24"/>
        </w:rPr>
        <w:t xml:space="preserve">, </w:t>
      </w:r>
      <w:r w:rsidR="0053575E" w:rsidRPr="00024FD1">
        <w:rPr>
          <w:rFonts w:cs="Arial"/>
          <w:szCs w:val="24"/>
        </w:rPr>
        <w:t xml:space="preserve">Figure </w:t>
      </w:r>
      <w:r w:rsidR="00CB75B8" w:rsidRPr="00024FD1">
        <w:rPr>
          <w:rFonts w:cs="Arial"/>
          <w:szCs w:val="24"/>
        </w:rPr>
        <w:t>4</w:t>
      </w:r>
      <w:r w:rsidR="006C5328" w:rsidRPr="00024FD1">
        <w:rPr>
          <w:rFonts w:cs="Arial"/>
          <w:szCs w:val="24"/>
        </w:rPr>
        <w:t>B)</w:t>
      </w:r>
      <w:r w:rsidR="005B5D45" w:rsidRPr="00024FD1">
        <w:rPr>
          <w:rFonts w:cs="Arial"/>
          <w:szCs w:val="24"/>
        </w:rPr>
        <w:t>,</w:t>
      </w:r>
      <w:r w:rsidR="00170530" w:rsidRPr="00024FD1">
        <w:rPr>
          <w:rFonts w:cs="Arial"/>
          <w:szCs w:val="24"/>
        </w:rPr>
        <w:t xml:space="preserve"> indicating the formation of ECM promoted by FBMSCs within a 3D microenvironment</w:t>
      </w:r>
      <w:r w:rsidR="002A3112" w:rsidRPr="00024FD1">
        <w:rPr>
          <w:rFonts w:cs="Arial"/>
          <w:szCs w:val="24"/>
        </w:rPr>
        <w:t xml:space="preserve"> </w:t>
      </w:r>
      <w:r w:rsidR="002E0B4C" w:rsidRPr="00024FD1">
        <w:rPr>
          <w:rFonts w:cs="Arial"/>
          <w:szCs w:val="24"/>
        </w:rPr>
        <w:fldChar w:fldCharType="begin" w:fldLock="1"/>
      </w:r>
      <w:r w:rsidR="0033591E">
        <w:rPr>
          <w:rFonts w:cs="Arial"/>
          <w:szCs w:val="24"/>
        </w:rPr>
        <w:instrText xml:space="preserve"> ADDIN ZOTERO_ITEM CSL_CITATION {"citationID":"79Xt0S2S","properties":{"formattedCitation":"\\super 43,44\\nosupersub{}","plainCitation":"43,44","noteIndex":0},"citationItems":[{"id":"1dryys0K/1vDM5VVh","uris":["http://www.mendeley.com/documents/?uuid=b32a6e88-9265-47b6-9e0d-0e0ee06362a4"],"itemData":{"DOI":"10.4161/cam.4.3.11747","ISSN":"19336926","abstract":"Mean pore size is an essential aspect of scaffolds for tissue-engineering. If pores are too small cells cannot migrate in towards the centre of the construct limiting the diffusion of nutrients and removal of waste products. Conversely, if pores are too large there is a decrease in specific surface area available limiting cell attachment. However the relationship between scaffold pore size and cell activity is poorly understood and as a result there are conflicting reports within the literature on the optimal pore size required for successful tissue-engineering. Previous studies in bone tissue-engineering have indicated a range of mean pore sizes (96 μm-150 μm) to facilitate optimal attachment. Other studies have shown a need for large pores (300 μm-800 μm) for successful bone growth in scaffolds. These conflicting results indicate that a balance must be established between obtaining optimal cell attachment and facilitating bone growth. In this commentary we discuss our recent investigations into the effect of mean pore size in collagen- glycosaminoglycan (CG) scaffolds with pore sizes ranging from 85 μm-325 μm and how it has provided an insight into the divergence within the literature. © 2010 Landes Bioscience.","author":[{"dropping-particle":"","family":"Murphy","given":"Ciara M.","non-dropping-particle":"","parse-names":false,"suffix":""},{"dropping-particle":"","family":"O'Brien","given":"Fergal J.","non-dropping-particle":"","parse-names":false,"suffix":""}],"container-title":"Cell Adhesion and Migration","id":"ITEM-1","issue":"3","issued":{"date-parts":[["2010"]]},"page":"377-381","title":"Understanding the effect of mean pore size on cell activity in collagen-glycosaminoglycan scaffolds","type":"article-journal","volume":"4"}},{"id":"1dryys0K/sNAae9CE","uris":["http://www.mendeley.com/documents/?uuid=4cb463fd-113a-4cf2-99d3-4eb22d49fdee"],"itemData":{"DOI":"10.1093/rb/rby001","ISBN":"8610823164","ISSN":"2056-3418","abstract":"Microporosity has a critical role in improving the osteogenesis of scaffolds for bone tissue engineering. Although the exact mechanism, by which it promotes new bone formation, is not well recognized yet, the related hypothesis can be found in many previous studies. This review presents those possible mechanisms about how the microporosity enhances the osteogenic-related functions of cells in vitro and the osteogenic activity of scaffolds in vivo. In summary, the increased specific surface areas by microporosity can offer more protein adsorption sites and accelerate the release of degradation products, which facilitate the interactions between scaffolds and cells. Meanwhile, the unique surface properties of microporous scaffolds have a considerable effect on the protein adsorption. Moreover, capillary force generated by the microporosity can improve the attachment of bone-related cells on the scaffolds surface, and even make the cells achieve penetration into the micropores smaller than them. This review also pays attention to the relationship between the biological and mechanical properties of microporous scaffolds. Although lots of achievements have been obtained, there is still a lot of work to do, some of which has been proposed in the conclusions and perspectives part.","author":[{"dropping-particle":"","family":"Zhang","given":"Ke","non-dropping-particle":"","parse-names":false,"suffix":""},{"dropping-particle":"","family":"Fan","given":"Yubo","non-dropping-particle":"","parse-names":false,"suffix":""},{"dropping-particle":"","family":"Dunne","given":"Nicholas","non-dropping-particle":"","parse-names":false,"suffix":""},{"dropping-particle":"","family":"Li","given":"Xiaoming","non-dropping-particle":"","parse-names":false,"suffix":""}],"container-title":"Regenerative Biomaterials","id":"ITEM-2","issue":"2","issued":{"date-parts":[["2018"]]},"page":"115-124","title":"Effect of microporosity on scaffolds for bone tissue engineering","type":"article-journal","volume":"5"}}],"schema":"https://github.com/citation-style-language/schema/raw/master/csl-citation.json"} </w:instrText>
      </w:r>
      <w:r w:rsidR="002E0B4C" w:rsidRPr="00024FD1">
        <w:rPr>
          <w:rFonts w:cs="Arial"/>
          <w:szCs w:val="24"/>
        </w:rPr>
        <w:fldChar w:fldCharType="separate"/>
      </w:r>
      <w:r w:rsidR="0033591E" w:rsidRPr="0033591E">
        <w:rPr>
          <w:rFonts w:cs="Times"/>
          <w:szCs w:val="24"/>
          <w:vertAlign w:val="superscript"/>
        </w:rPr>
        <w:t>43,44</w:t>
      </w:r>
      <w:r w:rsidR="002E0B4C" w:rsidRPr="00024FD1">
        <w:rPr>
          <w:rFonts w:cs="Arial"/>
          <w:szCs w:val="24"/>
        </w:rPr>
        <w:fldChar w:fldCharType="end"/>
      </w:r>
      <w:r w:rsidR="002A3112" w:rsidRPr="00024FD1">
        <w:rPr>
          <w:rFonts w:cs="Arial"/>
          <w:szCs w:val="24"/>
        </w:rPr>
        <w:t>.</w:t>
      </w:r>
      <w:r w:rsidR="002E0B4C" w:rsidRPr="00024FD1">
        <w:rPr>
          <w:rFonts w:cs="Arial"/>
          <w:szCs w:val="24"/>
        </w:rPr>
        <w:t xml:space="preserve"> </w:t>
      </w:r>
      <w:r w:rsidRPr="00024FD1">
        <w:rPr>
          <w:rFonts w:cs="Arial"/>
          <w:szCs w:val="24"/>
        </w:rPr>
        <w:t>Alkaline phosphatase expression</w:t>
      </w:r>
      <w:r w:rsidR="00E00D93" w:rsidRPr="00024FD1">
        <w:rPr>
          <w:rFonts w:cs="Arial"/>
          <w:szCs w:val="24"/>
        </w:rPr>
        <w:t>,</w:t>
      </w:r>
      <w:r w:rsidR="00BD7DEF" w:rsidRPr="00024FD1">
        <w:rPr>
          <w:rFonts w:cs="Arial"/>
          <w:szCs w:val="24"/>
        </w:rPr>
        <w:t xml:space="preserve"> </w:t>
      </w:r>
      <w:r w:rsidRPr="00024FD1">
        <w:rPr>
          <w:rFonts w:cs="Arial"/>
          <w:szCs w:val="24"/>
        </w:rPr>
        <w:t>an early osteoblast differentiation marker</w:t>
      </w:r>
      <w:r w:rsidR="00BD7DEF" w:rsidRPr="00024FD1">
        <w:rPr>
          <w:rFonts w:cs="Arial"/>
          <w:szCs w:val="24"/>
        </w:rPr>
        <w:t>,</w:t>
      </w:r>
      <w:r w:rsidRPr="00024FD1">
        <w:rPr>
          <w:rFonts w:cs="Arial"/>
          <w:szCs w:val="24"/>
        </w:rPr>
        <w:t xml:space="preserve"> </w:t>
      </w:r>
      <w:r w:rsidR="00E00D93" w:rsidRPr="00024FD1">
        <w:rPr>
          <w:rFonts w:cs="Arial"/>
          <w:szCs w:val="24"/>
        </w:rPr>
        <w:t xml:space="preserve">was </w:t>
      </w:r>
      <w:r w:rsidRPr="00024FD1">
        <w:rPr>
          <w:rFonts w:cs="Arial"/>
          <w:szCs w:val="24"/>
        </w:rPr>
        <w:t>assessed at day</w:t>
      </w:r>
      <w:r w:rsidR="00D63E4D" w:rsidRPr="00024FD1">
        <w:rPr>
          <w:rFonts w:cs="Arial"/>
          <w:szCs w:val="24"/>
        </w:rPr>
        <w:t>s</w:t>
      </w:r>
      <w:r w:rsidRPr="00024FD1">
        <w:rPr>
          <w:rFonts w:cs="Arial"/>
          <w:szCs w:val="24"/>
        </w:rPr>
        <w:t xml:space="preserve"> 2, 7 and 21</w:t>
      </w:r>
      <w:r w:rsidR="00D65CB1" w:rsidRPr="00024FD1">
        <w:rPr>
          <w:rFonts w:cs="Arial"/>
          <w:szCs w:val="24"/>
        </w:rPr>
        <w:t xml:space="preserve"> </w:t>
      </w:r>
      <w:r w:rsidR="00C41161" w:rsidRPr="00024FD1">
        <w:rPr>
          <w:rFonts w:cs="Arial"/>
          <w:szCs w:val="24"/>
        </w:rPr>
        <w:t>across</w:t>
      </w:r>
      <w:r w:rsidR="00675ED7" w:rsidRPr="00024FD1">
        <w:rPr>
          <w:rFonts w:cs="Arial"/>
          <w:szCs w:val="24"/>
        </w:rPr>
        <w:t xml:space="preserve"> all scaffolds and </w:t>
      </w:r>
      <w:r w:rsidRPr="00024FD1">
        <w:rPr>
          <w:rFonts w:cs="Arial"/>
          <w:szCs w:val="24"/>
        </w:rPr>
        <w:t xml:space="preserve">normalized </w:t>
      </w:r>
      <w:r w:rsidR="00DE0C62" w:rsidRPr="00024FD1">
        <w:rPr>
          <w:rFonts w:cs="Arial"/>
          <w:szCs w:val="24"/>
        </w:rPr>
        <w:t xml:space="preserve">to </w:t>
      </w:r>
      <w:r w:rsidR="00A15780" w:rsidRPr="00024FD1">
        <w:rPr>
          <w:rFonts w:cs="Arial"/>
          <w:szCs w:val="24"/>
        </w:rPr>
        <w:t>total</w:t>
      </w:r>
      <w:r w:rsidRPr="00024FD1">
        <w:rPr>
          <w:rFonts w:cs="Arial"/>
          <w:szCs w:val="24"/>
        </w:rPr>
        <w:t xml:space="preserve"> DNA </w:t>
      </w:r>
      <w:r w:rsidR="00E00D93" w:rsidRPr="00024FD1">
        <w:rPr>
          <w:rFonts w:cs="Arial"/>
          <w:szCs w:val="24"/>
        </w:rPr>
        <w:t xml:space="preserve">content and </w:t>
      </w:r>
      <w:r w:rsidRPr="00024FD1">
        <w:rPr>
          <w:rFonts w:cs="Arial"/>
          <w:szCs w:val="24"/>
        </w:rPr>
        <w:t xml:space="preserve">ALP expression in the </w:t>
      </w:r>
      <w:r w:rsidR="0095540D" w:rsidRPr="00024FD1">
        <w:rPr>
          <w:rFonts w:cs="Arial"/>
          <w:szCs w:val="24"/>
        </w:rPr>
        <w:t>control tissue culture (TC) well plate</w:t>
      </w:r>
      <w:r w:rsidR="002A3112" w:rsidRPr="00024FD1">
        <w:rPr>
          <w:rFonts w:cs="Arial"/>
          <w:szCs w:val="24"/>
        </w:rPr>
        <w:t xml:space="preserve"> </w:t>
      </w:r>
      <w:r w:rsidR="002E0B4C" w:rsidRPr="00024FD1">
        <w:rPr>
          <w:rFonts w:cs="Arial"/>
          <w:szCs w:val="24"/>
        </w:rPr>
        <w:fldChar w:fldCharType="begin" w:fldLock="1"/>
      </w:r>
      <w:r w:rsidR="0033591E">
        <w:rPr>
          <w:rFonts w:cs="Arial"/>
          <w:szCs w:val="24"/>
        </w:rPr>
        <w:instrText xml:space="preserve"> ADDIN ZOTERO_ITEM CSL_CITATION {"citationID":"0auQDvke","properties":{"formattedCitation":"\\super 45,46\\nosupersub{}","plainCitation":"45,46","noteIndex":0},"citationItems":[{"id":"1dryys0K/NH3qY2sS","uris":["http://www.mendeley.com/documents/?uuid=9d8d351f-39bc-4bcb-a47a-578a5b326fc0","http://www.mendeley.com/documents/?uuid=eda4776b-d5b3-4f70-842f-b4343d3daf92"],"itemData":{"ISBN":"9781617794148","author":[{"dropping-particle":"","family":"Rosser","given":"J","non-dropping-particle":"","parse-names":false,"suffix":""},{"dropping-particle":"","family":"Bonewald","given":"L","non-dropping-particle":"","parse-names":false,"suffix":""}],"container-title":"Methods in Molecular Biology","id":"ITEM-1","issued":{"date-parts":[["2012"]]},"number-of-pages":"67-81","title":"Bone Research Protocols: Studying Osteocyte Function Using the Cell Lines MLO-Y4 and MLO-A5","type":"book","volume":"816"}},{"id":"1dryys0K/5TsWoAx1","uris":["http://www.mendeley.com/documents/?uuid=ba772976-f360-4f88-a20c-af0966352822"],"itemData":{"DOI":"10.1186/s13287-015-0247-2","ISSN":"17576512","abstract":"© 2015 Gothard et al. Background: Adult skeletal stem cells (SSCs) often exhibit limited in vitro expansion with undesirable phenotypic changes and loss of differentiation capacity. Foetal tissues offer an alternative cell source, providing SSCs which exhibit desirable differentiation capacity over prolonged periods, ideal for extensive in vitro and ex vivo investigation of fundamenta l bone biology and skeletal development. Methods: We have examined the derivation of distinct cell populations from human foetal femora. Regionally isolated populations including epiphyseal and diaphyseal cells were carefully dissected. Expression of the SSC marker Stro-1 was also found in human foetal femora over a range of developmental stages and subsequently utilised for immuno-selection. Results: Regional populations exhibited chondrogenic (epiphyseal) and osteogenic (diaphyseal) phenotypes following in vitro and ex vivo characterisation and molecular analysis, indicative of native SSC maturation during skeletal development. However, each population exhibited potential for induced multi-lineage differentiation towards bone (bone nodule formation), cartilage (proteoglycan and mucopolysaccharide deposition) and fat (lipid deposition), suggesting the presence of a shared stem cell sub-population. This shared sub-population may be comprised of Stro-1+ cells, which were later identified and immuno-selected from whole foetal femora exhibiting multi-lineage differentiation capacity in vitro and ex vivo. Conclusions: Distinct populations were isolated from human foetal femora expressing osteochondral differentiation capacity. Stro-1 immuno-selected SSCs were isolated from whole femora expressing desirable multi-lineage differentiation capacity over prolonged in vitro expansion, superior to their adult-derived counterparts, providing a valuable cell source with which to study bone biology and skeletal development.","author":[{"dropping-particle":"","family":"Gothard","given":"David","non-dropping-particle":"","parse-names":false,"suffix":""},{"dropping-particle":"","family":"Cheung","given":"Kelvin","non-dropping-particle":"","parse-names":false,"suffix":""},{"dropping-particle":"","family":"Kanczler","given":"Janos M.","non-dropping-particle":"","parse-names":false,"suffix":""},{"dropping-particle":"","family":"Wilson","given":"David I.","non-dropping-particle":"","parse-names":false,"suffix":""},{"dropping-particle":"","family":"Oreffo","given":"Richard O.C.","non-dropping-particle":"","parse-names":false,"suffix":""}],"container-title":"Stem Cell Research and Therapy","id":"ITEM-2","issue":"1","issued":{"date-parts":[["2015"]]},"page":"1-17","publisher":"Stem Cell Research &amp; Therapy","title":"Regionally-derived cell populations and skeletal stem cells from human foetal femora exhibit specific osteochondral and multi-lineage differentiation capacity in vitro and ex vivo","type":"article-journal","volume":"6"}}],"schema":"https://github.com/citation-style-language/schema/raw/master/csl-citation.json"} </w:instrText>
      </w:r>
      <w:r w:rsidR="002E0B4C" w:rsidRPr="00024FD1">
        <w:rPr>
          <w:rFonts w:cs="Arial"/>
          <w:szCs w:val="24"/>
        </w:rPr>
        <w:fldChar w:fldCharType="separate"/>
      </w:r>
      <w:r w:rsidR="0033591E" w:rsidRPr="0033591E">
        <w:rPr>
          <w:rFonts w:cs="Times"/>
          <w:szCs w:val="24"/>
          <w:vertAlign w:val="superscript"/>
        </w:rPr>
        <w:t>45,46</w:t>
      </w:r>
      <w:r w:rsidR="002E0B4C" w:rsidRPr="00024FD1">
        <w:rPr>
          <w:rFonts w:cs="Arial"/>
          <w:szCs w:val="24"/>
        </w:rPr>
        <w:fldChar w:fldCharType="end"/>
      </w:r>
      <w:r w:rsidR="002A3112" w:rsidRPr="00024FD1">
        <w:rPr>
          <w:rFonts w:cs="Arial"/>
          <w:szCs w:val="24"/>
        </w:rPr>
        <w:t xml:space="preserve">. </w:t>
      </w:r>
      <w:r w:rsidR="00FC67E3" w:rsidRPr="00024FD1">
        <w:rPr>
          <w:rFonts w:cs="Arial"/>
          <w:szCs w:val="24"/>
        </w:rPr>
        <w:t>The</w:t>
      </w:r>
      <w:r w:rsidR="007F536D" w:rsidRPr="00024FD1">
        <w:rPr>
          <w:rFonts w:cs="Arial"/>
          <w:szCs w:val="24"/>
        </w:rPr>
        <w:t xml:space="preserve"> majority of the </w:t>
      </w:r>
      <w:r w:rsidR="000239A8" w:rsidRPr="00024FD1">
        <w:rPr>
          <w:rFonts w:cs="Arial"/>
          <w:szCs w:val="24"/>
        </w:rPr>
        <w:t xml:space="preserve">polymer </w:t>
      </w:r>
      <w:r w:rsidR="007F536D" w:rsidRPr="00024FD1">
        <w:rPr>
          <w:rFonts w:cs="Arial"/>
          <w:szCs w:val="24"/>
        </w:rPr>
        <w:t xml:space="preserve">scaffolds expressed </w:t>
      </w:r>
      <w:r w:rsidR="00950FB9" w:rsidRPr="00024FD1">
        <w:rPr>
          <w:rFonts w:cs="Arial"/>
          <w:szCs w:val="24"/>
        </w:rPr>
        <w:t>greater</w:t>
      </w:r>
      <w:r w:rsidR="007F536D" w:rsidRPr="00024FD1">
        <w:rPr>
          <w:rFonts w:cs="Arial"/>
          <w:szCs w:val="24"/>
        </w:rPr>
        <w:t xml:space="preserve"> ALP than the control </w:t>
      </w:r>
      <w:r w:rsidR="00950FB9" w:rsidRPr="00024FD1">
        <w:rPr>
          <w:rFonts w:cs="Arial"/>
          <w:szCs w:val="24"/>
        </w:rPr>
        <w:t>samples</w:t>
      </w:r>
      <w:r w:rsidR="00AB647E" w:rsidRPr="00024FD1">
        <w:rPr>
          <w:rFonts w:cs="Arial"/>
          <w:szCs w:val="24"/>
        </w:rPr>
        <w:t xml:space="preserve"> without pores</w:t>
      </w:r>
      <w:r w:rsidR="00950FB9" w:rsidRPr="00024FD1">
        <w:rPr>
          <w:rFonts w:cs="Arial"/>
          <w:szCs w:val="24"/>
        </w:rPr>
        <w:t xml:space="preserve"> </w:t>
      </w:r>
      <w:r w:rsidR="007F536D" w:rsidRPr="00024FD1">
        <w:rPr>
          <w:rFonts w:cs="Arial"/>
          <w:szCs w:val="24"/>
        </w:rPr>
        <w:t>(</w:t>
      </w:r>
      <w:r w:rsidR="00750B18" w:rsidRPr="00024FD1">
        <w:rPr>
          <w:rFonts w:cs="Arial"/>
          <w:szCs w:val="24"/>
        </w:rPr>
        <w:t>Figure S</w:t>
      </w:r>
      <w:r w:rsidR="00EE5AE4" w:rsidRPr="00024FD1">
        <w:rPr>
          <w:rFonts w:cs="Arial"/>
          <w:szCs w:val="24"/>
        </w:rPr>
        <w:t>8</w:t>
      </w:r>
      <w:r w:rsidR="00750B18" w:rsidRPr="00024FD1">
        <w:rPr>
          <w:rFonts w:cs="Arial"/>
          <w:szCs w:val="24"/>
        </w:rPr>
        <w:t xml:space="preserve">, </w:t>
      </w:r>
      <w:r w:rsidR="0053575E" w:rsidRPr="00024FD1">
        <w:rPr>
          <w:rFonts w:cs="Arial"/>
          <w:szCs w:val="24"/>
        </w:rPr>
        <w:t xml:space="preserve">Figure </w:t>
      </w:r>
      <w:r w:rsidR="00CB75B8" w:rsidRPr="00024FD1">
        <w:rPr>
          <w:rFonts w:cs="Arial"/>
          <w:szCs w:val="24"/>
        </w:rPr>
        <w:t>4</w:t>
      </w:r>
      <w:r w:rsidR="007F536D" w:rsidRPr="00024FD1">
        <w:rPr>
          <w:rFonts w:cs="Arial"/>
          <w:szCs w:val="24"/>
        </w:rPr>
        <w:t>C) at day 7</w:t>
      </w:r>
      <w:r w:rsidR="00F50E25" w:rsidRPr="00024FD1">
        <w:rPr>
          <w:rFonts w:cs="Arial"/>
          <w:szCs w:val="24"/>
        </w:rPr>
        <w:t>,</w:t>
      </w:r>
      <w:r w:rsidR="007F536D" w:rsidRPr="00024FD1">
        <w:rPr>
          <w:rFonts w:cs="Arial"/>
          <w:szCs w:val="24"/>
        </w:rPr>
        <w:t xml:space="preserve"> with </w:t>
      </w:r>
      <w:r w:rsidRPr="00024FD1">
        <w:rPr>
          <w:rFonts w:cs="Arial"/>
          <w:szCs w:val="24"/>
        </w:rPr>
        <w:t>up to</w:t>
      </w:r>
      <w:r w:rsidR="00AC401D" w:rsidRPr="00024FD1">
        <w:rPr>
          <w:rFonts w:cs="Arial"/>
          <w:szCs w:val="24"/>
        </w:rPr>
        <w:t xml:space="preserve"> a</w:t>
      </w:r>
      <w:r w:rsidRPr="00024FD1">
        <w:rPr>
          <w:rFonts w:cs="Arial"/>
          <w:szCs w:val="24"/>
        </w:rPr>
        <w:t xml:space="preserve"> </w:t>
      </w:r>
      <w:r w:rsidR="00FC67E3" w:rsidRPr="00024FD1">
        <w:rPr>
          <w:rFonts w:cs="Arial"/>
          <w:szCs w:val="24"/>
        </w:rPr>
        <w:t>4-fold</w:t>
      </w:r>
      <w:r w:rsidRPr="00024FD1">
        <w:rPr>
          <w:rFonts w:cs="Arial"/>
          <w:szCs w:val="24"/>
        </w:rPr>
        <w:t xml:space="preserve"> </w:t>
      </w:r>
      <w:r w:rsidR="00D65CB1" w:rsidRPr="00024FD1">
        <w:rPr>
          <w:rFonts w:cs="Arial"/>
          <w:szCs w:val="24"/>
        </w:rPr>
        <w:t>increase</w:t>
      </w:r>
      <w:r w:rsidR="00675ED7" w:rsidRPr="00024FD1">
        <w:rPr>
          <w:rFonts w:cs="Arial"/>
          <w:szCs w:val="24"/>
        </w:rPr>
        <w:t xml:space="preserve"> </w:t>
      </w:r>
      <w:r w:rsidR="00D65CB1" w:rsidRPr="00024FD1">
        <w:rPr>
          <w:rFonts w:cs="Arial"/>
          <w:szCs w:val="24"/>
        </w:rPr>
        <w:t xml:space="preserve">observed </w:t>
      </w:r>
      <w:r w:rsidR="007F536D" w:rsidRPr="00024FD1">
        <w:rPr>
          <w:rFonts w:cs="Arial"/>
          <w:szCs w:val="24"/>
        </w:rPr>
        <w:t xml:space="preserve">in the case of </w:t>
      </w:r>
      <w:r w:rsidR="00D65CB1" w:rsidRPr="00024FD1">
        <w:rPr>
          <w:rFonts w:cs="Arial"/>
          <w:szCs w:val="24"/>
        </w:rPr>
        <w:t>3-HPS (</w:t>
      </w:r>
      <w:r w:rsidRPr="00024FD1">
        <w:rPr>
          <w:rFonts w:cs="Arial"/>
          <w:szCs w:val="24"/>
        </w:rPr>
        <w:t>p ≤ 0.001)</w:t>
      </w:r>
      <w:r w:rsidR="00C41161" w:rsidRPr="00024FD1">
        <w:rPr>
          <w:rFonts w:cs="Arial"/>
          <w:szCs w:val="24"/>
        </w:rPr>
        <w:t xml:space="preserve">. A </w:t>
      </w:r>
      <w:r w:rsidRPr="00024FD1">
        <w:rPr>
          <w:rFonts w:cs="Arial"/>
          <w:szCs w:val="24"/>
        </w:rPr>
        <w:t xml:space="preserve">reduction </w:t>
      </w:r>
      <w:r w:rsidR="00C41161" w:rsidRPr="00024FD1">
        <w:rPr>
          <w:rFonts w:cs="Arial"/>
          <w:szCs w:val="24"/>
        </w:rPr>
        <w:t>in</w:t>
      </w:r>
      <w:r w:rsidRPr="00024FD1">
        <w:rPr>
          <w:rFonts w:cs="Arial"/>
          <w:szCs w:val="24"/>
        </w:rPr>
        <w:t xml:space="preserve"> ALP </w:t>
      </w:r>
      <w:r w:rsidR="00C41161" w:rsidRPr="00024FD1">
        <w:rPr>
          <w:rFonts w:cs="Arial"/>
          <w:szCs w:val="24"/>
        </w:rPr>
        <w:t xml:space="preserve">was subsequently </w:t>
      </w:r>
      <w:r w:rsidR="00E00D93" w:rsidRPr="00024FD1">
        <w:rPr>
          <w:rFonts w:cs="Arial"/>
          <w:szCs w:val="24"/>
        </w:rPr>
        <w:t xml:space="preserve">observed </w:t>
      </w:r>
      <w:r w:rsidRPr="00024FD1">
        <w:rPr>
          <w:rFonts w:cs="Arial"/>
          <w:szCs w:val="24"/>
        </w:rPr>
        <w:t>at day 21</w:t>
      </w:r>
      <w:r w:rsidR="00950FB9" w:rsidRPr="00024FD1">
        <w:rPr>
          <w:rFonts w:cs="Arial"/>
          <w:szCs w:val="24"/>
        </w:rPr>
        <w:t>,</w:t>
      </w:r>
      <w:r w:rsidRPr="00024FD1">
        <w:rPr>
          <w:rFonts w:cs="Arial"/>
          <w:szCs w:val="24"/>
        </w:rPr>
        <w:t xml:space="preserve"> </w:t>
      </w:r>
      <w:r w:rsidR="00C41161" w:rsidRPr="00024FD1">
        <w:rPr>
          <w:rFonts w:cs="Arial"/>
          <w:szCs w:val="24"/>
        </w:rPr>
        <w:t xml:space="preserve">across </w:t>
      </w:r>
      <w:r w:rsidRPr="00024FD1">
        <w:rPr>
          <w:rFonts w:cs="Arial"/>
          <w:szCs w:val="24"/>
        </w:rPr>
        <w:lastRenderedPageBreak/>
        <w:t>all conditions (scaffolds and control)</w:t>
      </w:r>
      <w:r w:rsidR="00950FB9" w:rsidRPr="00024FD1">
        <w:rPr>
          <w:rFonts w:cs="Arial"/>
          <w:szCs w:val="24"/>
        </w:rPr>
        <w:t>,</w:t>
      </w:r>
      <w:r w:rsidRPr="00024FD1">
        <w:rPr>
          <w:rFonts w:cs="Arial"/>
          <w:szCs w:val="24"/>
        </w:rPr>
        <w:t xml:space="preserve"> </w:t>
      </w:r>
      <w:r w:rsidR="00C41161" w:rsidRPr="00024FD1">
        <w:rPr>
          <w:rFonts w:cs="Arial"/>
          <w:szCs w:val="24"/>
        </w:rPr>
        <w:t xml:space="preserve">with the exception of </w:t>
      </w:r>
      <w:r w:rsidR="00D65CB1" w:rsidRPr="00024FD1">
        <w:rPr>
          <w:rFonts w:cs="Arial"/>
          <w:szCs w:val="24"/>
        </w:rPr>
        <w:t>4-HPS</w:t>
      </w:r>
      <w:r w:rsidRPr="00024FD1">
        <w:rPr>
          <w:rFonts w:cs="Arial"/>
          <w:szCs w:val="24"/>
        </w:rPr>
        <w:t xml:space="preserve"> </w:t>
      </w:r>
      <w:r w:rsidR="0036051D" w:rsidRPr="00024FD1">
        <w:rPr>
          <w:rFonts w:cs="Arial"/>
          <w:szCs w:val="24"/>
        </w:rPr>
        <w:t>constructs</w:t>
      </w:r>
      <w:r w:rsidR="00AB647E" w:rsidRPr="00024FD1">
        <w:rPr>
          <w:rFonts w:cs="Arial"/>
          <w:szCs w:val="24"/>
        </w:rPr>
        <w:t xml:space="preserve"> that </w:t>
      </w:r>
      <w:r w:rsidR="00C41161" w:rsidRPr="00024FD1">
        <w:rPr>
          <w:rFonts w:cs="Arial"/>
          <w:szCs w:val="24"/>
        </w:rPr>
        <w:t xml:space="preserve">displayed a </w:t>
      </w:r>
      <w:r w:rsidRPr="00024FD1">
        <w:rPr>
          <w:rFonts w:cs="Arial"/>
          <w:szCs w:val="24"/>
        </w:rPr>
        <w:t>4-fold increase</w:t>
      </w:r>
      <w:r w:rsidR="00C41161" w:rsidRPr="00024FD1">
        <w:rPr>
          <w:rFonts w:cs="Arial"/>
          <w:szCs w:val="24"/>
        </w:rPr>
        <w:t xml:space="preserve"> in ALP</w:t>
      </w:r>
      <w:r w:rsidR="005E4A1B" w:rsidRPr="00024FD1">
        <w:rPr>
          <w:rFonts w:cs="Arial"/>
          <w:szCs w:val="24"/>
        </w:rPr>
        <w:t>.</w:t>
      </w:r>
      <w:r w:rsidR="00AB647E" w:rsidRPr="00024FD1">
        <w:rPr>
          <w:rFonts w:cs="Arial"/>
          <w:szCs w:val="24"/>
        </w:rPr>
        <w:t xml:space="preserve"> </w:t>
      </w:r>
      <w:r w:rsidR="00C41161" w:rsidRPr="00024FD1">
        <w:rPr>
          <w:rFonts w:cs="Arial"/>
          <w:szCs w:val="24"/>
        </w:rPr>
        <w:t>Th</w:t>
      </w:r>
      <w:r w:rsidR="00950FB9" w:rsidRPr="00024FD1">
        <w:rPr>
          <w:rFonts w:cs="Arial"/>
          <w:szCs w:val="24"/>
        </w:rPr>
        <w:t xml:space="preserve">e results </w:t>
      </w:r>
      <w:r w:rsidR="004E2433">
        <w:rPr>
          <w:rFonts w:cs="Arial"/>
          <w:szCs w:val="24"/>
        </w:rPr>
        <w:t xml:space="preserve">observed, </w:t>
      </w:r>
      <w:r w:rsidR="00950FB9" w:rsidRPr="00024FD1">
        <w:rPr>
          <w:rFonts w:cs="Arial"/>
          <w:szCs w:val="24"/>
        </w:rPr>
        <w:t xml:space="preserve">demonstrate </w:t>
      </w:r>
      <w:r w:rsidR="00625A1C">
        <w:rPr>
          <w:rFonts w:cs="Arial"/>
          <w:szCs w:val="24"/>
        </w:rPr>
        <w:t xml:space="preserve">that </w:t>
      </w:r>
      <w:r w:rsidR="00C22BCC" w:rsidRPr="00024FD1">
        <w:rPr>
          <w:rFonts w:cs="Arial"/>
          <w:szCs w:val="24"/>
        </w:rPr>
        <w:t xml:space="preserve">differentiation of FBMSCs towards the osteogenic lineage was prominent </w:t>
      </w:r>
      <w:r w:rsidR="00C41161" w:rsidRPr="00024FD1">
        <w:rPr>
          <w:rFonts w:cs="Arial"/>
          <w:szCs w:val="24"/>
        </w:rPr>
        <w:t xml:space="preserve">during the </w:t>
      </w:r>
      <w:r w:rsidR="00C22BCC" w:rsidRPr="00024FD1">
        <w:rPr>
          <w:rFonts w:cs="Arial"/>
          <w:szCs w:val="24"/>
        </w:rPr>
        <w:t>early stages of culture</w:t>
      </w:r>
      <w:r w:rsidR="004607C7" w:rsidRPr="00024FD1">
        <w:rPr>
          <w:rFonts w:cs="Arial"/>
          <w:szCs w:val="24"/>
        </w:rPr>
        <w:t xml:space="preserve"> (7 days)</w:t>
      </w:r>
      <w:r w:rsidR="00625A1C">
        <w:rPr>
          <w:rFonts w:cs="Arial"/>
          <w:szCs w:val="24"/>
        </w:rPr>
        <w:t xml:space="preserve">, </w:t>
      </w:r>
      <w:r w:rsidR="00C22BCC" w:rsidRPr="00024FD1">
        <w:rPr>
          <w:rFonts w:cs="Arial"/>
          <w:szCs w:val="24"/>
        </w:rPr>
        <w:t xml:space="preserve">followed by </w:t>
      </w:r>
      <w:r w:rsidR="00FF07E8" w:rsidRPr="00024FD1">
        <w:rPr>
          <w:rFonts w:cs="Arial"/>
          <w:szCs w:val="24"/>
        </w:rPr>
        <w:t xml:space="preserve">the </w:t>
      </w:r>
      <w:r w:rsidR="00C41161" w:rsidRPr="00024FD1">
        <w:rPr>
          <w:rFonts w:cs="Arial"/>
          <w:szCs w:val="24"/>
        </w:rPr>
        <w:t>presentation of a</w:t>
      </w:r>
      <w:r w:rsidR="00FF07E8" w:rsidRPr="00024FD1">
        <w:rPr>
          <w:rFonts w:cs="Arial"/>
          <w:szCs w:val="24"/>
        </w:rPr>
        <w:t>n enhanced</w:t>
      </w:r>
      <w:r w:rsidR="00C22BCC" w:rsidRPr="00024FD1">
        <w:rPr>
          <w:rFonts w:cs="Arial"/>
          <w:szCs w:val="24"/>
        </w:rPr>
        <w:t xml:space="preserve"> differentiated phenotype </w:t>
      </w:r>
      <w:r w:rsidR="00A13F54" w:rsidRPr="00024FD1">
        <w:rPr>
          <w:rFonts w:cs="Arial"/>
          <w:szCs w:val="24"/>
        </w:rPr>
        <w:t xml:space="preserve">with </w:t>
      </w:r>
      <w:r w:rsidR="00222254">
        <w:rPr>
          <w:rFonts w:cs="Arial"/>
          <w:szCs w:val="24"/>
        </w:rPr>
        <w:t xml:space="preserve">a </w:t>
      </w:r>
      <w:r w:rsidR="00A13F54" w:rsidRPr="00024FD1">
        <w:rPr>
          <w:rFonts w:cs="Arial"/>
          <w:szCs w:val="24"/>
        </w:rPr>
        <w:t xml:space="preserve">decrease of ALP </w:t>
      </w:r>
      <w:r w:rsidR="00C22BCC" w:rsidRPr="00024FD1">
        <w:rPr>
          <w:rFonts w:cs="Arial"/>
          <w:szCs w:val="24"/>
        </w:rPr>
        <w:t>at day 21</w:t>
      </w:r>
      <w:r w:rsidR="00A13F54" w:rsidRPr="00024FD1">
        <w:rPr>
          <w:rFonts w:cs="Arial"/>
          <w:szCs w:val="24"/>
        </w:rPr>
        <w:t>.</w:t>
      </w:r>
      <w:r w:rsidR="00950FB9" w:rsidRPr="00024FD1">
        <w:rPr>
          <w:rFonts w:cs="Arial"/>
          <w:szCs w:val="24"/>
        </w:rPr>
        <w:t xml:space="preserve"> </w:t>
      </w:r>
    </w:p>
    <w:p w14:paraId="2C2870CD" w14:textId="29D933DC" w:rsidR="000239A8" w:rsidRPr="00024FD1" w:rsidRDefault="00C6221E" w:rsidP="00DF7894">
      <w:pPr>
        <w:spacing w:line="480" w:lineRule="auto"/>
        <w:jc w:val="both"/>
        <w:rPr>
          <w:rFonts w:cs="Arial"/>
          <w:szCs w:val="24"/>
        </w:rPr>
      </w:pPr>
      <w:r w:rsidRPr="00024FD1">
        <w:rPr>
          <w:rFonts w:cs="Arial"/>
          <w:szCs w:val="24"/>
        </w:rPr>
        <w:t xml:space="preserve">FBMSCs </w:t>
      </w:r>
      <w:proofErr w:type="spellStart"/>
      <w:r w:rsidRPr="00024FD1">
        <w:rPr>
          <w:rFonts w:cs="Arial"/>
          <w:szCs w:val="24"/>
        </w:rPr>
        <w:t>behavior</w:t>
      </w:r>
      <w:proofErr w:type="spellEnd"/>
      <w:r w:rsidRPr="00024FD1">
        <w:rPr>
          <w:rFonts w:cs="Arial"/>
          <w:szCs w:val="24"/>
        </w:rPr>
        <w:t xml:space="preserve"> and physical characteristics of the scaffolds were used to identify an </w:t>
      </w:r>
      <w:r w:rsidR="00FF4B11" w:rsidRPr="00024FD1">
        <w:rPr>
          <w:rFonts w:cs="Arial"/>
          <w:szCs w:val="24"/>
        </w:rPr>
        <w:t>optimal porous scaffold (Figure S</w:t>
      </w:r>
      <w:r w:rsidR="00EE5AE4" w:rsidRPr="00024FD1">
        <w:rPr>
          <w:rFonts w:cs="Arial"/>
          <w:szCs w:val="24"/>
        </w:rPr>
        <w:t>9</w:t>
      </w:r>
      <w:r w:rsidR="00FF4B11" w:rsidRPr="00024FD1">
        <w:rPr>
          <w:rFonts w:cs="Arial"/>
          <w:szCs w:val="24"/>
        </w:rPr>
        <w:t xml:space="preserve">). 2-HPS and 3-HPS were shown as two </w:t>
      </w:r>
      <w:r w:rsidR="00C6620D" w:rsidRPr="00024FD1">
        <w:rPr>
          <w:rFonts w:cs="Arial"/>
          <w:szCs w:val="24"/>
        </w:rPr>
        <w:t>strong</w:t>
      </w:r>
      <w:r w:rsidR="00FF4B11" w:rsidRPr="00024FD1">
        <w:rPr>
          <w:rFonts w:cs="Arial"/>
          <w:szCs w:val="24"/>
        </w:rPr>
        <w:t xml:space="preserve"> candidates (Figure </w:t>
      </w:r>
      <w:r w:rsidR="00CB75B8" w:rsidRPr="00024FD1">
        <w:rPr>
          <w:rFonts w:cs="Arial"/>
          <w:szCs w:val="24"/>
        </w:rPr>
        <w:t>4</w:t>
      </w:r>
      <w:r w:rsidR="00FF4B11" w:rsidRPr="00024FD1">
        <w:rPr>
          <w:rFonts w:cs="Arial"/>
          <w:szCs w:val="24"/>
        </w:rPr>
        <w:t xml:space="preserve">D). 2-HPS </w:t>
      </w:r>
      <w:r w:rsidR="001D0CA3">
        <w:rPr>
          <w:rFonts w:cs="Arial"/>
          <w:szCs w:val="24"/>
        </w:rPr>
        <w:t xml:space="preserve">provided a </w:t>
      </w:r>
      <w:r w:rsidR="00FF4B11" w:rsidRPr="00024FD1">
        <w:rPr>
          <w:rFonts w:cs="Arial"/>
          <w:szCs w:val="24"/>
        </w:rPr>
        <w:t>significant</w:t>
      </w:r>
      <w:r w:rsidR="001D0CA3">
        <w:rPr>
          <w:rFonts w:cs="Arial"/>
          <w:szCs w:val="24"/>
        </w:rPr>
        <w:t>ly</w:t>
      </w:r>
      <w:r w:rsidR="00FF4B11" w:rsidRPr="00024FD1">
        <w:rPr>
          <w:rFonts w:cs="Arial"/>
          <w:szCs w:val="24"/>
        </w:rPr>
        <w:t xml:space="preserve"> stiffer substrate with slightly larger porosity and pore size than 3-HPS. Moreover, FBMSCs proliferation on 2-HPS was </w:t>
      </w:r>
      <w:r w:rsidR="001D0CA3">
        <w:rPr>
          <w:rFonts w:cs="Arial"/>
          <w:szCs w:val="24"/>
        </w:rPr>
        <w:t>enhanced</w:t>
      </w:r>
      <w:r w:rsidR="00FF4B11" w:rsidRPr="00024FD1">
        <w:rPr>
          <w:rFonts w:cs="Arial"/>
          <w:szCs w:val="24"/>
        </w:rPr>
        <w:t xml:space="preserve"> on 3-HPS</w:t>
      </w:r>
      <w:r w:rsidR="00BD734C" w:rsidRPr="00024FD1">
        <w:rPr>
          <w:rFonts w:cs="Arial"/>
          <w:szCs w:val="24"/>
        </w:rPr>
        <w:t xml:space="preserve"> with comparable collagen deposition</w:t>
      </w:r>
      <w:r w:rsidR="00FF4B11" w:rsidRPr="00024FD1">
        <w:rPr>
          <w:rFonts w:cs="Arial"/>
          <w:szCs w:val="24"/>
        </w:rPr>
        <w:t xml:space="preserve">. </w:t>
      </w:r>
      <w:r w:rsidR="00FF07E8" w:rsidRPr="00024FD1">
        <w:rPr>
          <w:rFonts w:cs="Arial"/>
          <w:szCs w:val="24"/>
        </w:rPr>
        <w:t>In marked contrast,</w:t>
      </w:r>
      <w:r w:rsidR="00BD734C" w:rsidRPr="00024FD1">
        <w:rPr>
          <w:rFonts w:cs="Arial"/>
          <w:szCs w:val="24"/>
        </w:rPr>
        <w:t xml:space="preserve"> </w:t>
      </w:r>
      <w:r w:rsidR="000239A8" w:rsidRPr="00024FD1">
        <w:rPr>
          <w:rFonts w:cs="Arial"/>
          <w:szCs w:val="24"/>
        </w:rPr>
        <w:t xml:space="preserve">3-HPS was </w:t>
      </w:r>
      <w:r w:rsidR="00630D3D" w:rsidRPr="00024FD1">
        <w:rPr>
          <w:rFonts w:cs="Arial"/>
          <w:szCs w:val="24"/>
        </w:rPr>
        <w:t xml:space="preserve">observed to </w:t>
      </w:r>
      <w:r w:rsidR="000239A8" w:rsidRPr="00024FD1">
        <w:rPr>
          <w:rFonts w:cs="Arial"/>
          <w:szCs w:val="24"/>
        </w:rPr>
        <w:t xml:space="preserve">promote </w:t>
      </w:r>
      <w:r w:rsidR="001D0CA3">
        <w:rPr>
          <w:rFonts w:cs="Arial"/>
          <w:szCs w:val="24"/>
        </w:rPr>
        <w:t xml:space="preserve">a </w:t>
      </w:r>
      <w:r w:rsidR="00E808C0" w:rsidRPr="00024FD1">
        <w:rPr>
          <w:rFonts w:cs="Arial"/>
          <w:szCs w:val="24"/>
        </w:rPr>
        <w:t xml:space="preserve">rapid </w:t>
      </w:r>
      <w:r w:rsidR="00BD734C" w:rsidRPr="00024FD1">
        <w:rPr>
          <w:rFonts w:cs="Arial"/>
          <w:szCs w:val="24"/>
        </w:rPr>
        <w:t xml:space="preserve">increase </w:t>
      </w:r>
      <w:r w:rsidR="00E808C0" w:rsidRPr="00024FD1">
        <w:rPr>
          <w:rFonts w:cs="Arial"/>
          <w:szCs w:val="24"/>
        </w:rPr>
        <w:t xml:space="preserve">in </w:t>
      </w:r>
      <w:r w:rsidR="00BD734C" w:rsidRPr="00024FD1">
        <w:rPr>
          <w:rFonts w:cs="Arial"/>
          <w:szCs w:val="24"/>
        </w:rPr>
        <w:t xml:space="preserve">collagen and </w:t>
      </w:r>
      <w:r w:rsidR="000239A8" w:rsidRPr="00024FD1">
        <w:rPr>
          <w:rFonts w:cs="Arial"/>
          <w:szCs w:val="24"/>
        </w:rPr>
        <w:t>ALP</w:t>
      </w:r>
      <w:r w:rsidR="00513669" w:rsidRPr="00024FD1">
        <w:rPr>
          <w:rFonts w:cs="Arial"/>
          <w:szCs w:val="24"/>
        </w:rPr>
        <w:t>,</w:t>
      </w:r>
      <w:r w:rsidR="00C66AA9" w:rsidRPr="00024FD1">
        <w:rPr>
          <w:rFonts w:cs="Arial"/>
          <w:szCs w:val="24"/>
        </w:rPr>
        <w:t xml:space="preserve"> </w:t>
      </w:r>
      <w:r w:rsidR="00C36D40" w:rsidRPr="00024FD1">
        <w:rPr>
          <w:rFonts w:cs="Arial"/>
          <w:szCs w:val="24"/>
        </w:rPr>
        <w:t xml:space="preserve">indicating </w:t>
      </w:r>
      <w:r w:rsidR="00625A1C">
        <w:rPr>
          <w:rFonts w:cs="Arial"/>
          <w:szCs w:val="24"/>
        </w:rPr>
        <w:t>the</w:t>
      </w:r>
      <w:r w:rsidR="00625A1C" w:rsidRPr="00024FD1">
        <w:rPr>
          <w:rFonts w:cs="Arial"/>
          <w:szCs w:val="24"/>
        </w:rPr>
        <w:t xml:space="preserve"> </w:t>
      </w:r>
      <w:r w:rsidR="004E2433">
        <w:rPr>
          <w:rFonts w:cs="Arial"/>
          <w:szCs w:val="24"/>
        </w:rPr>
        <w:t xml:space="preserve">potential of the </w:t>
      </w:r>
      <w:r w:rsidR="00C66AA9" w:rsidRPr="00024FD1">
        <w:rPr>
          <w:rFonts w:cs="Arial"/>
          <w:szCs w:val="24"/>
        </w:rPr>
        <w:t>scaffold</w:t>
      </w:r>
      <w:r w:rsidR="00BD734C" w:rsidRPr="00024FD1">
        <w:rPr>
          <w:rFonts w:cs="Arial"/>
          <w:szCs w:val="24"/>
        </w:rPr>
        <w:t xml:space="preserve"> </w:t>
      </w:r>
      <w:r w:rsidR="00C36D40" w:rsidRPr="00024FD1">
        <w:rPr>
          <w:rFonts w:cs="Arial"/>
          <w:szCs w:val="24"/>
        </w:rPr>
        <w:t>to</w:t>
      </w:r>
      <w:r w:rsidR="00C66AA9" w:rsidRPr="00024FD1">
        <w:rPr>
          <w:rFonts w:cs="Arial"/>
          <w:szCs w:val="24"/>
        </w:rPr>
        <w:t xml:space="preserve"> </w:t>
      </w:r>
      <w:r w:rsidR="00BD734C" w:rsidRPr="00024FD1">
        <w:rPr>
          <w:rFonts w:cs="Arial"/>
          <w:szCs w:val="24"/>
        </w:rPr>
        <w:t>promote FBMSCs production of bone ECM</w:t>
      </w:r>
      <w:r w:rsidR="00CF0642" w:rsidRPr="00024FD1">
        <w:rPr>
          <w:rFonts w:cs="Arial"/>
          <w:szCs w:val="24"/>
        </w:rPr>
        <w:t xml:space="preserve"> (Figure S10)</w:t>
      </w:r>
      <w:r w:rsidR="00170530" w:rsidRPr="00024FD1">
        <w:rPr>
          <w:rFonts w:cs="Arial"/>
          <w:szCs w:val="24"/>
        </w:rPr>
        <w:t>.</w:t>
      </w:r>
      <w:r w:rsidR="003C5B11" w:rsidRPr="00024FD1">
        <w:rPr>
          <w:rFonts w:cs="Arial"/>
          <w:szCs w:val="24"/>
        </w:rPr>
        <w:t xml:space="preserve"> </w:t>
      </w:r>
      <w:r w:rsidR="00A13F54" w:rsidRPr="00024FD1">
        <w:rPr>
          <w:rFonts w:cs="Arial"/>
          <w:szCs w:val="24"/>
        </w:rPr>
        <w:t xml:space="preserve">Scaffolds </w:t>
      </w:r>
      <w:r w:rsidR="004E2433">
        <w:rPr>
          <w:rFonts w:cs="Arial"/>
          <w:szCs w:val="24"/>
        </w:rPr>
        <w:t>composed</w:t>
      </w:r>
      <w:r w:rsidR="00A13F54" w:rsidRPr="00024FD1">
        <w:rPr>
          <w:rFonts w:cs="Arial"/>
          <w:szCs w:val="24"/>
        </w:rPr>
        <w:t xml:space="preserve"> polymer 1, 4, 5 and 6 fail</w:t>
      </w:r>
      <w:r w:rsidR="00630D3D" w:rsidRPr="00024FD1">
        <w:rPr>
          <w:rFonts w:cs="Arial"/>
          <w:szCs w:val="24"/>
        </w:rPr>
        <w:t>ed</w:t>
      </w:r>
      <w:r w:rsidR="00A13F54" w:rsidRPr="00024FD1">
        <w:rPr>
          <w:rFonts w:cs="Arial"/>
          <w:szCs w:val="24"/>
        </w:rPr>
        <w:t xml:space="preserve"> to </w:t>
      </w:r>
      <w:r w:rsidR="008620BF" w:rsidRPr="00024FD1">
        <w:rPr>
          <w:rFonts w:cs="Arial"/>
          <w:szCs w:val="24"/>
        </w:rPr>
        <w:t xml:space="preserve">display </w:t>
      </w:r>
      <w:r w:rsidR="001D0CA3">
        <w:rPr>
          <w:rFonts w:cs="Arial"/>
          <w:szCs w:val="24"/>
        </w:rPr>
        <w:t>comparable</w:t>
      </w:r>
      <w:r w:rsidR="004E2433">
        <w:rPr>
          <w:rFonts w:cs="Arial"/>
          <w:szCs w:val="24"/>
        </w:rPr>
        <w:t xml:space="preserve"> osteogenic activity</w:t>
      </w:r>
      <w:r w:rsidR="00A13F54" w:rsidRPr="00024FD1">
        <w:rPr>
          <w:rFonts w:cs="Arial"/>
          <w:szCs w:val="24"/>
        </w:rPr>
        <w:t>.</w:t>
      </w:r>
      <w:r w:rsidR="003C5B11" w:rsidRPr="00024FD1">
        <w:rPr>
          <w:rFonts w:cs="Arial"/>
          <w:szCs w:val="24"/>
        </w:rPr>
        <w:t xml:space="preserve"> </w:t>
      </w:r>
    </w:p>
    <w:p w14:paraId="3DFFF886" w14:textId="35FF6047" w:rsidR="00AB78CB" w:rsidRPr="00024FD1" w:rsidRDefault="00505B88" w:rsidP="00946A33">
      <w:pPr>
        <w:spacing w:line="480" w:lineRule="auto"/>
        <w:jc w:val="both"/>
        <w:rPr>
          <w:rFonts w:cs="Arial"/>
          <w:szCs w:val="24"/>
        </w:rPr>
      </w:pPr>
      <w:r w:rsidRPr="00024FD1">
        <w:rPr>
          <w:rFonts w:cs="Arial"/>
          <w:szCs w:val="24"/>
        </w:rPr>
        <w:t>I</w:t>
      </w:r>
      <w:r w:rsidR="00F30560" w:rsidRPr="00024FD1">
        <w:rPr>
          <w:rFonts w:cs="Arial"/>
          <w:szCs w:val="24"/>
        </w:rPr>
        <w:t xml:space="preserve">mmunofluorescence </w:t>
      </w:r>
      <w:r w:rsidR="00665034" w:rsidRPr="00024FD1">
        <w:rPr>
          <w:rFonts w:cs="Arial"/>
          <w:szCs w:val="24"/>
        </w:rPr>
        <w:t xml:space="preserve">ALP </w:t>
      </w:r>
      <w:r w:rsidR="00F30560" w:rsidRPr="00024FD1">
        <w:rPr>
          <w:rFonts w:cs="Arial"/>
          <w:szCs w:val="24"/>
        </w:rPr>
        <w:t>staining</w:t>
      </w:r>
      <w:r w:rsidR="00BD734C" w:rsidRPr="00024FD1">
        <w:rPr>
          <w:rFonts w:cs="Arial"/>
          <w:szCs w:val="24"/>
        </w:rPr>
        <w:t xml:space="preserve"> was used to validate the screening approach applied </w:t>
      </w:r>
      <w:r w:rsidR="001D0CA3">
        <w:rPr>
          <w:rFonts w:cs="Arial"/>
          <w:szCs w:val="24"/>
        </w:rPr>
        <w:t>to</w:t>
      </w:r>
      <w:r w:rsidR="00BD734C" w:rsidRPr="00024FD1">
        <w:rPr>
          <w:rFonts w:cs="Arial"/>
          <w:szCs w:val="24"/>
        </w:rPr>
        <w:t xml:space="preserve"> the array of 3D polymer scaffolds</w:t>
      </w:r>
      <w:r w:rsidR="00665034" w:rsidRPr="00024FD1">
        <w:rPr>
          <w:rFonts w:cs="Arial"/>
          <w:szCs w:val="24"/>
        </w:rPr>
        <w:t xml:space="preserve"> (Figure </w:t>
      </w:r>
      <w:r w:rsidR="00CB75B8" w:rsidRPr="00024FD1">
        <w:rPr>
          <w:rFonts w:cs="Arial"/>
          <w:noProof/>
          <w:szCs w:val="24"/>
        </w:rPr>
        <w:t>4</w:t>
      </w:r>
      <w:r w:rsidR="00665034" w:rsidRPr="00024FD1">
        <w:rPr>
          <w:rFonts w:cs="Arial"/>
          <w:szCs w:val="24"/>
        </w:rPr>
        <w:t>E)</w:t>
      </w:r>
      <w:r w:rsidR="00BD734C" w:rsidRPr="00024FD1">
        <w:rPr>
          <w:rFonts w:cs="Arial"/>
          <w:szCs w:val="24"/>
        </w:rPr>
        <w:t>.</w:t>
      </w:r>
      <w:r w:rsidR="00160193" w:rsidRPr="00024FD1">
        <w:rPr>
          <w:rFonts w:cs="Arial"/>
          <w:szCs w:val="24"/>
        </w:rPr>
        <w:t xml:space="preserve"> </w:t>
      </w:r>
      <w:r w:rsidR="007935A0" w:rsidRPr="00024FD1">
        <w:rPr>
          <w:rFonts w:cs="Arial"/>
          <w:szCs w:val="24"/>
        </w:rPr>
        <w:t>Quantification</w:t>
      </w:r>
      <w:r w:rsidR="00665034" w:rsidRPr="00024FD1">
        <w:rPr>
          <w:rFonts w:cs="Arial"/>
          <w:szCs w:val="24"/>
        </w:rPr>
        <w:t xml:space="preserve"> of FBMSCs</w:t>
      </w:r>
      <w:r w:rsidR="007935A0" w:rsidRPr="00024FD1">
        <w:rPr>
          <w:rFonts w:cs="Arial"/>
          <w:szCs w:val="24"/>
        </w:rPr>
        <w:t xml:space="preserve"> showed </w:t>
      </w:r>
      <w:r w:rsidR="00C36D40" w:rsidRPr="00024FD1">
        <w:rPr>
          <w:rFonts w:cs="Arial"/>
          <w:szCs w:val="24"/>
        </w:rPr>
        <w:t xml:space="preserve">an </w:t>
      </w:r>
      <w:r w:rsidR="00C66AA9" w:rsidRPr="00024FD1">
        <w:rPr>
          <w:rFonts w:cs="Arial"/>
          <w:szCs w:val="24"/>
        </w:rPr>
        <w:t>~</w:t>
      </w:r>
      <w:r w:rsidR="001634CC" w:rsidRPr="00024FD1">
        <w:rPr>
          <w:rFonts w:cs="Arial"/>
          <w:szCs w:val="24"/>
        </w:rPr>
        <w:t xml:space="preserve"> </w:t>
      </w:r>
      <w:r w:rsidR="00920EA8" w:rsidRPr="00024FD1">
        <w:rPr>
          <w:rFonts w:cs="Arial"/>
          <w:szCs w:val="24"/>
        </w:rPr>
        <w:t>5-fold</w:t>
      </w:r>
      <w:r w:rsidR="00C66AA9" w:rsidRPr="00024FD1">
        <w:rPr>
          <w:rFonts w:cs="Arial"/>
          <w:szCs w:val="24"/>
        </w:rPr>
        <w:t xml:space="preserve"> </w:t>
      </w:r>
      <w:r w:rsidR="00930EDF" w:rsidRPr="00024FD1">
        <w:rPr>
          <w:rFonts w:cs="Arial"/>
          <w:szCs w:val="24"/>
        </w:rPr>
        <w:t xml:space="preserve">increase in </w:t>
      </w:r>
      <w:r w:rsidR="007935A0" w:rsidRPr="00024FD1">
        <w:rPr>
          <w:rFonts w:cs="Arial"/>
          <w:szCs w:val="24"/>
        </w:rPr>
        <w:t>cell</w:t>
      </w:r>
      <w:r w:rsidR="00B71B54" w:rsidRPr="00024FD1">
        <w:rPr>
          <w:rFonts w:cs="Arial"/>
          <w:szCs w:val="24"/>
        </w:rPr>
        <w:t xml:space="preserve"> number</w:t>
      </w:r>
      <w:r w:rsidR="00F759E5" w:rsidRPr="00024FD1">
        <w:rPr>
          <w:rFonts w:cs="Arial"/>
          <w:szCs w:val="24"/>
        </w:rPr>
        <w:t>s</w:t>
      </w:r>
      <w:r w:rsidR="00B71B54" w:rsidRPr="00024FD1">
        <w:rPr>
          <w:rFonts w:cs="Arial"/>
          <w:szCs w:val="24"/>
        </w:rPr>
        <w:t xml:space="preserve"> </w:t>
      </w:r>
      <w:r w:rsidR="007935A0" w:rsidRPr="00024FD1">
        <w:rPr>
          <w:rFonts w:cs="Arial"/>
          <w:szCs w:val="24"/>
        </w:rPr>
        <w:t xml:space="preserve">between day 2 and 7 (comparable to </w:t>
      </w:r>
      <w:r w:rsidR="00B71B54" w:rsidRPr="00024FD1">
        <w:rPr>
          <w:rFonts w:cs="Arial"/>
          <w:szCs w:val="24"/>
        </w:rPr>
        <w:t xml:space="preserve">the </w:t>
      </w:r>
      <w:proofErr w:type="spellStart"/>
      <w:r w:rsidR="00D7381A" w:rsidRPr="00024FD1">
        <w:rPr>
          <w:rFonts w:cs="Arial"/>
          <w:szCs w:val="24"/>
        </w:rPr>
        <w:t>A</w:t>
      </w:r>
      <w:r w:rsidR="007935A0" w:rsidRPr="00024FD1">
        <w:rPr>
          <w:rFonts w:cs="Arial"/>
          <w:szCs w:val="24"/>
        </w:rPr>
        <w:t>lamar</w:t>
      </w:r>
      <w:proofErr w:type="spellEnd"/>
      <w:r w:rsidR="007E5BF1" w:rsidRPr="00024FD1">
        <w:rPr>
          <w:rFonts w:cs="Arial"/>
          <w:szCs w:val="24"/>
        </w:rPr>
        <w:t xml:space="preserve"> </w:t>
      </w:r>
      <w:r w:rsidR="007935A0" w:rsidRPr="00024FD1">
        <w:rPr>
          <w:rFonts w:cs="Arial"/>
          <w:szCs w:val="24"/>
        </w:rPr>
        <w:t>Blu</w:t>
      </w:r>
      <w:r w:rsidR="00D7381A" w:rsidRPr="00024FD1">
        <w:rPr>
          <w:rFonts w:cs="Arial"/>
          <w:szCs w:val="24"/>
        </w:rPr>
        <w:t>e</w:t>
      </w:r>
      <w:r w:rsidR="00B71B54" w:rsidRPr="00024FD1">
        <w:rPr>
          <w:rFonts w:cs="Arial"/>
          <w:szCs w:val="24"/>
        </w:rPr>
        <w:t xml:space="preserve"> data</w:t>
      </w:r>
      <w:r w:rsidR="007935A0" w:rsidRPr="00024FD1">
        <w:rPr>
          <w:rFonts w:cs="Arial"/>
          <w:szCs w:val="24"/>
        </w:rPr>
        <w:t>)</w:t>
      </w:r>
      <w:r w:rsidR="0049436F" w:rsidRPr="00024FD1">
        <w:rPr>
          <w:rFonts w:cs="Arial"/>
          <w:szCs w:val="24"/>
        </w:rPr>
        <w:t xml:space="preserve"> </w:t>
      </w:r>
      <w:r w:rsidR="00C36D40" w:rsidRPr="00024FD1">
        <w:rPr>
          <w:rFonts w:cs="Arial"/>
          <w:szCs w:val="24"/>
        </w:rPr>
        <w:t xml:space="preserve">together with a </w:t>
      </w:r>
      <w:r w:rsidR="007935A0" w:rsidRPr="00024FD1">
        <w:rPr>
          <w:rFonts w:cs="Arial"/>
          <w:szCs w:val="24"/>
        </w:rPr>
        <w:t xml:space="preserve">decrease </w:t>
      </w:r>
      <w:r w:rsidR="0049436F" w:rsidRPr="00024FD1">
        <w:rPr>
          <w:rFonts w:cs="Arial"/>
          <w:szCs w:val="24"/>
        </w:rPr>
        <w:t xml:space="preserve">in </w:t>
      </w:r>
      <w:r w:rsidR="007935A0" w:rsidRPr="00024FD1">
        <w:rPr>
          <w:rFonts w:cs="Arial"/>
          <w:szCs w:val="24"/>
        </w:rPr>
        <w:t>ALP expression</w:t>
      </w:r>
      <w:r w:rsidR="00513669" w:rsidRPr="00024FD1">
        <w:rPr>
          <w:rFonts w:cs="Arial"/>
          <w:szCs w:val="24"/>
        </w:rPr>
        <w:t>,</w:t>
      </w:r>
      <w:r w:rsidR="005D4F08" w:rsidRPr="00024FD1">
        <w:rPr>
          <w:rFonts w:cs="Arial"/>
          <w:szCs w:val="24"/>
        </w:rPr>
        <w:t xml:space="preserve"> </w:t>
      </w:r>
      <w:r w:rsidR="001D0CA3">
        <w:rPr>
          <w:rFonts w:cs="Arial"/>
          <w:szCs w:val="24"/>
        </w:rPr>
        <w:t xml:space="preserve">indicating </w:t>
      </w:r>
      <w:r w:rsidR="007935A0" w:rsidRPr="00024FD1">
        <w:rPr>
          <w:rFonts w:cs="Arial"/>
          <w:szCs w:val="24"/>
        </w:rPr>
        <w:t xml:space="preserve">progression </w:t>
      </w:r>
      <w:r w:rsidR="003509E1" w:rsidRPr="00024FD1">
        <w:rPr>
          <w:rFonts w:cs="Arial"/>
          <w:szCs w:val="24"/>
        </w:rPr>
        <w:t>towards a more differentiated</w:t>
      </w:r>
      <w:r w:rsidR="00F759E5" w:rsidRPr="00024FD1">
        <w:rPr>
          <w:rFonts w:cs="Arial"/>
          <w:szCs w:val="24"/>
        </w:rPr>
        <w:t xml:space="preserve"> osteoblast phenotype </w:t>
      </w:r>
      <w:r w:rsidR="007935A0" w:rsidRPr="00024FD1">
        <w:rPr>
          <w:rFonts w:cs="Arial"/>
          <w:szCs w:val="24"/>
        </w:rPr>
        <w:t>(</w:t>
      </w:r>
      <w:r w:rsidR="00786447" w:rsidRPr="00024FD1">
        <w:rPr>
          <w:rFonts w:cs="Arial"/>
          <w:szCs w:val="24"/>
        </w:rPr>
        <w:t xml:space="preserve">Figure </w:t>
      </w:r>
      <w:r w:rsidR="00694A8B" w:rsidRPr="00024FD1">
        <w:rPr>
          <w:rFonts w:cs="Arial"/>
          <w:szCs w:val="24"/>
        </w:rPr>
        <w:t>S</w:t>
      </w:r>
      <w:r w:rsidR="00EE5AE4" w:rsidRPr="00024FD1">
        <w:rPr>
          <w:rFonts w:cs="Arial"/>
          <w:szCs w:val="24"/>
        </w:rPr>
        <w:t>1</w:t>
      </w:r>
      <w:r w:rsidR="00CF0642" w:rsidRPr="00024FD1">
        <w:rPr>
          <w:rFonts w:cs="Arial"/>
          <w:szCs w:val="24"/>
        </w:rPr>
        <w:t>1</w:t>
      </w:r>
      <w:r w:rsidR="007935A0" w:rsidRPr="00024FD1">
        <w:rPr>
          <w:rFonts w:cs="Arial"/>
          <w:szCs w:val="24"/>
        </w:rPr>
        <w:t xml:space="preserve">). </w:t>
      </w:r>
      <w:r w:rsidR="00665034" w:rsidRPr="00024FD1">
        <w:rPr>
          <w:rFonts w:cs="Arial"/>
          <w:szCs w:val="24"/>
        </w:rPr>
        <w:t xml:space="preserve">Moreover, </w:t>
      </w:r>
      <w:r w:rsidR="00006993" w:rsidRPr="00024FD1">
        <w:rPr>
          <w:rFonts w:cs="Arial"/>
          <w:szCs w:val="24"/>
        </w:rPr>
        <w:t xml:space="preserve">SEM images of </w:t>
      </w:r>
      <w:r w:rsidR="00F46875" w:rsidRPr="00024FD1">
        <w:rPr>
          <w:rFonts w:cs="Arial"/>
          <w:szCs w:val="24"/>
        </w:rPr>
        <w:t xml:space="preserve">FBMSCs </w:t>
      </w:r>
      <w:r w:rsidR="00006993" w:rsidRPr="00024FD1">
        <w:rPr>
          <w:rFonts w:cs="Arial"/>
          <w:szCs w:val="24"/>
        </w:rPr>
        <w:t xml:space="preserve">laden scaffolds </w:t>
      </w:r>
      <w:r w:rsidR="00930EDF" w:rsidRPr="00024FD1">
        <w:rPr>
          <w:rFonts w:cs="Arial"/>
          <w:szCs w:val="24"/>
        </w:rPr>
        <w:t xml:space="preserve">demonstrated </w:t>
      </w:r>
      <w:r w:rsidR="00513669" w:rsidRPr="00024FD1">
        <w:rPr>
          <w:rFonts w:cs="Arial"/>
          <w:szCs w:val="24"/>
        </w:rPr>
        <w:t xml:space="preserve">a layer of </w:t>
      </w:r>
      <w:r w:rsidR="00930EDF" w:rsidRPr="00024FD1">
        <w:rPr>
          <w:rFonts w:cs="Arial"/>
          <w:szCs w:val="24"/>
        </w:rPr>
        <w:t xml:space="preserve">cells </w:t>
      </w:r>
      <w:r w:rsidR="00F759E5" w:rsidRPr="00024FD1">
        <w:rPr>
          <w:rFonts w:cs="Arial"/>
          <w:szCs w:val="24"/>
        </w:rPr>
        <w:t xml:space="preserve">across the </w:t>
      </w:r>
      <w:r w:rsidR="00006993" w:rsidRPr="00024FD1">
        <w:rPr>
          <w:rFonts w:cs="Arial"/>
          <w:szCs w:val="24"/>
        </w:rPr>
        <w:t>surface a</w:t>
      </w:r>
      <w:r w:rsidR="00C36D40" w:rsidRPr="00024FD1">
        <w:rPr>
          <w:rFonts w:cs="Arial"/>
          <w:szCs w:val="24"/>
        </w:rPr>
        <w:t xml:space="preserve">nd the </w:t>
      </w:r>
      <w:r w:rsidR="00006993" w:rsidRPr="00024FD1">
        <w:rPr>
          <w:rFonts w:cs="Arial"/>
          <w:szCs w:val="24"/>
        </w:rPr>
        <w:t>intra</w:t>
      </w:r>
      <w:r w:rsidR="00E808C0" w:rsidRPr="00024FD1">
        <w:rPr>
          <w:rFonts w:cs="Arial"/>
          <w:szCs w:val="24"/>
        </w:rPr>
        <w:t>-</w:t>
      </w:r>
      <w:r w:rsidR="00006993" w:rsidRPr="00024FD1">
        <w:rPr>
          <w:rFonts w:cs="Arial"/>
          <w:szCs w:val="24"/>
        </w:rPr>
        <w:t>porous sections</w:t>
      </w:r>
      <w:r w:rsidR="00513669" w:rsidRPr="00024FD1">
        <w:rPr>
          <w:rFonts w:cs="Arial"/>
          <w:szCs w:val="24"/>
        </w:rPr>
        <w:t>,</w:t>
      </w:r>
      <w:r w:rsidR="00006993" w:rsidRPr="00024FD1">
        <w:rPr>
          <w:rFonts w:cs="Arial"/>
          <w:szCs w:val="24"/>
        </w:rPr>
        <w:t xml:space="preserve"> </w:t>
      </w:r>
      <w:r w:rsidR="00F46875" w:rsidRPr="00024FD1">
        <w:rPr>
          <w:rFonts w:cs="Arial"/>
          <w:szCs w:val="24"/>
        </w:rPr>
        <w:t xml:space="preserve">forming 3D </w:t>
      </w:r>
      <w:r w:rsidR="00F759E5" w:rsidRPr="00024FD1">
        <w:rPr>
          <w:rFonts w:cs="Arial"/>
          <w:szCs w:val="24"/>
        </w:rPr>
        <w:t>cell</w:t>
      </w:r>
      <w:r w:rsidR="00930EDF" w:rsidRPr="00024FD1">
        <w:rPr>
          <w:rFonts w:cs="Arial"/>
          <w:szCs w:val="24"/>
        </w:rPr>
        <w:t>ular</w:t>
      </w:r>
      <w:r w:rsidR="00F759E5" w:rsidRPr="00024FD1">
        <w:rPr>
          <w:rFonts w:cs="Arial"/>
          <w:szCs w:val="24"/>
        </w:rPr>
        <w:t xml:space="preserve"> </w:t>
      </w:r>
      <w:r w:rsidR="00741142" w:rsidRPr="00024FD1">
        <w:rPr>
          <w:rFonts w:cs="Arial"/>
          <w:szCs w:val="24"/>
        </w:rPr>
        <w:t>arrangement</w:t>
      </w:r>
      <w:r w:rsidR="00930EDF" w:rsidRPr="00024FD1">
        <w:rPr>
          <w:rFonts w:cs="Arial"/>
          <w:szCs w:val="24"/>
        </w:rPr>
        <w:t>s</w:t>
      </w:r>
      <w:r w:rsidR="00741142" w:rsidRPr="00024FD1">
        <w:rPr>
          <w:rFonts w:cs="Arial"/>
          <w:szCs w:val="24"/>
        </w:rPr>
        <w:t xml:space="preserve"> </w:t>
      </w:r>
      <w:r w:rsidR="00786447" w:rsidRPr="00024FD1">
        <w:rPr>
          <w:rFonts w:cs="Arial"/>
          <w:szCs w:val="24"/>
        </w:rPr>
        <w:t xml:space="preserve">(Figure </w:t>
      </w:r>
      <w:r w:rsidR="00327ED6" w:rsidRPr="00024FD1">
        <w:rPr>
          <w:rFonts w:cs="Arial"/>
          <w:szCs w:val="24"/>
        </w:rPr>
        <w:t>S</w:t>
      </w:r>
      <w:r w:rsidR="003A76DE" w:rsidRPr="00024FD1">
        <w:rPr>
          <w:rFonts w:cs="Arial"/>
          <w:szCs w:val="24"/>
        </w:rPr>
        <w:t>1</w:t>
      </w:r>
      <w:r w:rsidR="00CF0642" w:rsidRPr="00024FD1">
        <w:rPr>
          <w:rFonts w:cs="Arial"/>
          <w:szCs w:val="24"/>
        </w:rPr>
        <w:t>2</w:t>
      </w:r>
      <w:r w:rsidR="00FC5EEA" w:rsidRPr="00024FD1">
        <w:rPr>
          <w:rFonts w:cs="Arial"/>
          <w:szCs w:val="24"/>
        </w:rPr>
        <w:t>)</w:t>
      </w:r>
      <w:r w:rsidR="00C36D40" w:rsidRPr="00024FD1">
        <w:rPr>
          <w:rFonts w:cs="Arial"/>
          <w:szCs w:val="24"/>
        </w:rPr>
        <w:t>. The</w:t>
      </w:r>
      <w:r w:rsidR="003C4251" w:rsidRPr="00024FD1">
        <w:rPr>
          <w:rFonts w:cs="Arial"/>
          <w:szCs w:val="24"/>
        </w:rPr>
        <w:t xml:space="preserve"> </w:t>
      </w:r>
      <w:r w:rsidR="00AB78CB" w:rsidRPr="00024FD1">
        <w:rPr>
          <w:rFonts w:cs="Arial"/>
          <w:szCs w:val="24"/>
        </w:rPr>
        <w:t>hi</w:t>
      </w:r>
      <w:r w:rsidR="00932CDC" w:rsidRPr="00024FD1">
        <w:rPr>
          <w:rFonts w:cs="Arial"/>
          <w:szCs w:val="24"/>
        </w:rPr>
        <w:t xml:space="preserve">ghly porous </w:t>
      </w:r>
      <w:r w:rsidR="003C4251" w:rsidRPr="00024FD1">
        <w:rPr>
          <w:rFonts w:cs="Arial"/>
          <w:szCs w:val="24"/>
        </w:rPr>
        <w:t>scaffold</w:t>
      </w:r>
      <w:r w:rsidR="00C36D40" w:rsidRPr="00024FD1">
        <w:rPr>
          <w:rFonts w:cs="Arial"/>
          <w:szCs w:val="24"/>
        </w:rPr>
        <w:t>,</w:t>
      </w:r>
      <w:r w:rsidR="003C4251" w:rsidRPr="00024FD1">
        <w:rPr>
          <w:rFonts w:cs="Arial"/>
          <w:szCs w:val="24"/>
        </w:rPr>
        <w:t xml:space="preserve"> </w:t>
      </w:r>
      <w:r w:rsidR="00932CDC" w:rsidRPr="00024FD1">
        <w:rPr>
          <w:rFonts w:cs="Arial"/>
          <w:szCs w:val="24"/>
        </w:rPr>
        <w:t>2-HPS</w:t>
      </w:r>
      <w:r w:rsidR="00C36D40" w:rsidRPr="00024FD1">
        <w:rPr>
          <w:rFonts w:cs="Arial"/>
          <w:szCs w:val="24"/>
        </w:rPr>
        <w:t xml:space="preserve">, was noted to be </w:t>
      </w:r>
      <w:r w:rsidR="00AB78CB" w:rsidRPr="00024FD1">
        <w:rPr>
          <w:rFonts w:cs="Arial"/>
          <w:szCs w:val="24"/>
        </w:rPr>
        <w:t>completely</w:t>
      </w:r>
      <w:r w:rsidR="00443767" w:rsidRPr="00024FD1">
        <w:rPr>
          <w:rFonts w:cs="Arial"/>
          <w:szCs w:val="24"/>
        </w:rPr>
        <w:t xml:space="preserve"> </w:t>
      </w:r>
      <w:r w:rsidR="00F759E5" w:rsidRPr="00024FD1">
        <w:rPr>
          <w:rFonts w:cs="Arial"/>
          <w:szCs w:val="24"/>
        </w:rPr>
        <w:t xml:space="preserve">covered </w:t>
      </w:r>
      <w:r w:rsidR="003509E1" w:rsidRPr="00024FD1">
        <w:rPr>
          <w:rFonts w:cs="Arial"/>
          <w:szCs w:val="24"/>
        </w:rPr>
        <w:t xml:space="preserve">with </w:t>
      </w:r>
      <w:r w:rsidR="00AB78CB" w:rsidRPr="00024FD1">
        <w:rPr>
          <w:rFonts w:cs="Arial"/>
          <w:szCs w:val="24"/>
        </w:rPr>
        <w:t>FBMSCs</w:t>
      </w:r>
      <w:r w:rsidR="00C36D40" w:rsidRPr="00024FD1">
        <w:rPr>
          <w:rFonts w:cs="Arial"/>
          <w:szCs w:val="24"/>
        </w:rPr>
        <w:t xml:space="preserve"> </w:t>
      </w:r>
      <w:r w:rsidR="00E808C0" w:rsidRPr="00024FD1">
        <w:rPr>
          <w:rFonts w:cs="Arial"/>
          <w:szCs w:val="24"/>
        </w:rPr>
        <w:t xml:space="preserve">following </w:t>
      </w:r>
      <w:r w:rsidR="00C36D40" w:rsidRPr="00024FD1">
        <w:rPr>
          <w:rFonts w:cs="Arial"/>
          <w:szCs w:val="24"/>
        </w:rPr>
        <w:t xml:space="preserve">culture </w:t>
      </w:r>
      <w:r w:rsidR="00FC5EEA" w:rsidRPr="00024FD1">
        <w:rPr>
          <w:rFonts w:cs="Arial"/>
          <w:szCs w:val="24"/>
        </w:rPr>
        <w:t>(</w:t>
      </w:r>
      <w:r w:rsidR="0053575E" w:rsidRPr="00024FD1">
        <w:rPr>
          <w:rFonts w:cs="Arial"/>
          <w:szCs w:val="24"/>
        </w:rPr>
        <w:t xml:space="preserve">Figure </w:t>
      </w:r>
      <w:r w:rsidR="00CB75B8" w:rsidRPr="00024FD1">
        <w:rPr>
          <w:rFonts w:cs="Arial"/>
          <w:szCs w:val="24"/>
        </w:rPr>
        <w:t>4</w:t>
      </w:r>
      <w:r w:rsidR="00327ED6" w:rsidRPr="00024FD1">
        <w:rPr>
          <w:rFonts w:cs="Arial"/>
          <w:szCs w:val="24"/>
        </w:rPr>
        <w:t>F</w:t>
      </w:r>
      <w:r w:rsidR="00FC5EEA" w:rsidRPr="00024FD1">
        <w:rPr>
          <w:rFonts w:cs="Arial"/>
          <w:szCs w:val="24"/>
        </w:rPr>
        <w:t>)</w:t>
      </w:r>
      <w:r w:rsidR="00932CDC" w:rsidRPr="00024FD1">
        <w:rPr>
          <w:rFonts w:cs="Arial"/>
          <w:szCs w:val="24"/>
        </w:rPr>
        <w:t xml:space="preserve">. </w:t>
      </w:r>
    </w:p>
    <w:p w14:paraId="1FEDFD28" w14:textId="2CD3770D" w:rsidR="00E320EB" w:rsidRPr="00024FD1" w:rsidRDefault="00411C3E" w:rsidP="00946A33">
      <w:pPr>
        <w:spacing w:line="480" w:lineRule="auto"/>
        <w:jc w:val="center"/>
        <w:rPr>
          <w:rFonts w:cs="Arial"/>
          <w:szCs w:val="24"/>
        </w:rPr>
      </w:pPr>
      <w:r w:rsidRPr="00024FD1">
        <w:rPr>
          <w:rFonts w:cs="Arial"/>
          <w:noProof/>
          <w:szCs w:val="24"/>
          <w:lang w:eastAsia="en-GB"/>
        </w:rPr>
        <w:lastRenderedPageBreak/>
        <w:drawing>
          <wp:inline distT="0" distB="0" distL="0" distR="0" wp14:anchorId="12FDA83B" wp14:editId="0C5C47D5">
            <wp:extent cx="5759450" cy="4104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tif"/>
                    <pic:cNvPicPr/>
                  </pic:nvPicPr>
                  <pic:blipFill>
                    <a:blip r:embed="rId12"/>
                    <a:stretch>
                      <a:fillRect/>
                    </a:stretch>
                  </pic:blipFill>
                  <pic:spPr>
                    <a:xfrm>
                      <a:off x="0" y="0"/>
                      <a:ext cx="5759450" cy="4104640"/>
                    </a:xfrm>
                    <a:prstGeom prst="rect">
                      <a:avLst/>
                    </a:prstGeom>
                  </pic:spPr>
                </pic:pic>
              </a:graphicData>
            </a:graphic>
          </wp:inline>
        </w:drawing>
      </w:r>
    </w:p>
    <w:p w14:paraId="1E6EDBFF" w14:textId="034607DF" w:rsidR="00B622EB" w:rsidRPr="00024FD1" w:rsidRDefault="00C62A44" w:rsidP="00BA4A70">
      <w:pPr>
        <w:jc w:val="both"/>
      </w:pPr>
      <w:bookmarkStart w:id="13" w:name="_Ref15307594"/>
      <w:r w:rsidRPr="00024FD1">
        <w:rPr>
          <w:b/>
          <w:bCs/>
        </w:rPr>
        <w:t xml:space="preserve">Figure </w:t>
      </w:r>
      <w:r w:rsidRPr="00024FD1">
        <w:rPr>
          <w:b/>
          <w:bCs/>
        </w:rPr>
        <w:fldChar w:fldCharType="begin"/>
      </w:r>
      <w:r w:rsidRPr="00024FD1">
        <w:rPr>
          <w:b/>
          <w:bCs/>
        </w:rPr>
        <w:instrText xml:space="preserve"> SEQ Figure \* ARABIC </w:instrText>
      </w:r>
      <w:r w:rsidRPr="00024FD1">
        <w:rPr>
          <w:b/>
          <w:bCs/>
        </w:rPr>
        <w:fldChar w:fldCharType="separate"/>
      </w:r>
      <w:r w:rsidR="0045364C" w:rsidRPr="00024FD1">
        <w:rPr>
          <w:b/>
          <w:bCs/>
          <w:noProof/>
        </w:rPr>
        <w:t>4</w:t>
      </w:r>
      <w:r w:rsidRPr="00024FD1">
        <w:rPr>
          <w:b/>
          <w:bCs/>
        </w:rPr>
        <w:fldChar w:fldCharType="end"/>
      </w:r>
      <w:r w:rsidRPr="00024FD1">
        <w:rPr>
          <w:b/>
          <w:bCs/>
        </w:rPr>
        <w:t>.</w:t>
      </w:r>
      <w:r w:rsidRPr="00024FD1">
        <w:t xml:space="preserve"> </w:t>
      </w:r>
      <w:bookmarkEnd w:id="13"/>
      <w:r w:rsidR="00674C9D" w:rsidRPr="00024FD1">
        <w:t>Proliferation</w:t>
      </w:r>
      <w:r w:rsidR="0029605D" w:rsidRPr="00024FD1">
        <w:t xml:space="preserve"> of </w:t>
      </w:r>
      <w:r w:rsidR="00B622EB" w:rsidRPr="00024FD1">
        <w:t xml:space="preserve">FBMSCs and functional analysis </w:t>
      </w:r>
      <w:r w:rsidR="00F759E5" w:rsidRPr="00024FD1">
        <w:t>of</w:t>
      </w:r>
      <w:r w:rsidR="00B622EB" w:rsidRPr="00024FD1">
        <w:t xml:space="preserve"> the 3D porous scaffolds</w:t>
      </w:r>
      <w:r w:rsidR="001314DC" w:rsidRPr="00024FD1">
        <w:t xml:space="preserve"> </w:t>
      </w:r>
      <w:r w:rsidR="001314DC" w:rsidRPr="00D86B49">
        <w:rPr>
          <w:b/>
        </w:rPr>
        <w:t>1</w:t>
      </w:r>
      <w:r w:rsidR="001314DC" w:rsidRPr="00024FD1">
        <w:t xml:space="preserve"> to </w:t>
      </w:r>
      <w:r w:rsidR="001314DC" w:rsidRPr="00D86B49">
        <w:rPr>
          <w:b/>
        </w:rPr>
        <w:t>6</w:t>
      </w:r>
      <w:r w:rsidR="00F759E5" w:rsidRPr="00024FD1">
        <w:t xml:space="preserve"> seeded </w:t>
      </w:r>
      <w:r w:rsidR="00B622EB" w:rsidRPr="00024FD1">
        <w:t xml:space="preserve">with FBMSCs </w:t>
      </w:r>
      <w:r w:rsidR="00544C16">
        <w:t>compared to</w:t>
      </w:r>
      <w:r w:rsidR="00544C16" w:rsidRPr="00024FD1">
        <w:t xml:space="preserve"> </w:t>
      </w:r>
      <w:r w:rsidR="00B622EB" w:rsidRPr="00024FD1">
        <w:t>tissue culture plate control</w:t>
      </w:r>
      <w:r w:rsidR="00C36D40" w:rsidRPr="00024FD1">
        <w:t>s</w:t>
      </w:r>
      <w:r w:rsidR="00B622EB" w:rsidRPr="00024FD1">
        <w:t xml:space="preserve">. A) FBMSCs proliferation </w:t>
      </w:r>
      <w:r w:rsidR="00C36D40" w:rsidRPr="00024FD1">
        <w:t>o</w:t>
      </w:r>
      <w:r w:rsidR="00B622EB" w:rsidRPr="00024FD1">
        <w:t xml:space="preserve">n </w:t>
      </w:r>
      <w:r w:rsidR="00C36D40" w:rsidRPr="00024FD1">
        <w:t xml:space="preserve">polymer </w:t>
      </w:r>
      <w:r w:rsidR="00B622EB" w:rsidRPr="00024FD1">
        <w:t xml:space="preserve">3D arrays. </w:t>
      </w:r>
      <w:r w:rsidR="004C1432" w:rsidRPr="00024FD1">
        <w:t xml:space="preserve">Cells were cultured in basal medium. </w:t>
      </w:r>
      <w:r w:rsidR="00B622EB" w:rsidRPr="00024FD1">
        <w:t xml:space="preserve">Fold change of fluorescence between day 0 (10,000 cells/well) and scaffolds at day 21 </w:t>
      </w:r>
      <w:r w:rsidR="00190A72" w:rsidRPr="00024FD1">
        <w:t>(n=3 biological replicates with 4 technical replicates</w:t>
      </w:r>
      <w:r w:rsidR="00B622EB" w:rsidRPr="00024FD1">
        <w:t>).</w:t>
      </w:r>
      <w:r w:rsidR="00416524">
        <w:t xml:space="preserve"> </w:t>
      </w:r>
      <w:r w:rsidR="00B622EB" w:rsidRPr="00024FD1">
        <w:t>B) FBMSCs total collagen</w:t>
      </w:r>
      <w:r w:rsidR="00984A2C" w:rsidRPr="00024FD1">
        <w:t xml:space="preserve"> </w:t>
      </w:r>
      <w:r w:rsidR="00F32501" w:rsidRPr="00024FD1">
        <w:t xml:space="preserve">deposition </w:t>
      </w:r>
      <w:r w:rsidR="00C36D40" w:rsidRPr="00024FD1">
        <w:t>o</w:t>
      </w:r>
      <w:r w:rsidR="00B622EB" w:rsidRPr="00024FD1">
        <w:t xml:space="preserve">n the 3D </w:t>
      </w:r>
      <w:r w:rsidR="00C36D40" w:rsidRPr="00024FD1">
        <w:t xml:space="preserve">polymer </w:t>
      </w:r>
      <w:r w:rsidR="00B622EB" w:rsidRPr="00024FD1">
        <w:t>arrays. Fold change of absorbance (</w:t>
      </w:r>
      <w:proofErr w:type="spellStart"/>
      <w:r w:rsidR="00B622EB" w:rsidRPr="00024FD1">
        <w:t>picro-sirius</w:t>
      </w:r>
      <w:proofErr w:type="spellEnd"/>
      <w:r w:rsidR="00B622EB" w:rsidRPr="00024FD1">
        <w:t xml:space="preserve"> red staining of collagen) between the TC control and the 3D </w:t>
      </w:r>
      <w:r w:rsidR="00C36D40" w:rsidRPr="00024FD1">
        <w:t xml:space="preserve">polymer </w:t>
      </w:r>
      <w:r w:rsidR="00B622EB" w:rsidRPr="00024FD1">
        <w:t>scaffolds after 21 days of incubation (n=3</w:t>
      </w:r>
      <w:r w:rsidR="00CB75B8" w:rsidRPr="00024FD1">
        <w:t xml:space="preserve"> biological </w:t>
      </w:r>
      <w:r w:rsidR="008620BF" w:rsidRPr="00024FD1">
        <w:t>samples</w:t>
      </w:r>
      <w:r w:rsidR="00CB75B8" w:rsidRPr="00024FD1">
        <w:t xml:space="preserve"> with 4 technical replicates</w:t>
      </w:r>
      <w:r w:rsidR="00B622EB" w:rsidRPr="00024FD1">
        <w:t>).</w:t>
      </w:r>
      <w:r w:rsidR="004C1432" w:rsidRPr="00024FD1">
        <w:t xml:space="preserve"> Cells were cultured in basal medium.</w:t>
      </w:r>
      <w:r w:rsidR="00B622EB" w:rsidRPr="00024FD1">
        <w:t xml:space="preserve"> C) FBMSCs alkaline phosphatase (ALP) </w:t>
      </w:r>
      <w:r w:rsidR="00F32501" w:rsidRPr="00024FD1">
        <w:t xml:space="preserve">activity </w:t>
      </w:r>
      <w:r w:rsidR="00F759E5" w:rsidRPr="00024FD1">
        <w:t xml:space="preserve">within </w:t>
      </w:r>
      <w:r w:rsidR="00B622EB" w:rsidRPr="00024FD1">
        <w:t xml:space="preserve">3D </w:t>
      </w:r>
      <w:r w:rsidR="00C36D40" w:rsidRPr="00024FD1">
        <w:t>polymer</w:t>
      </w:r>
      <w:r w:rsidR="00047722" w:rsidRPr="00024FD1">
        <w:t xml:space="preserve"> </w:t>
      </w:r>
      <w:r w:rsidR="00B622EB" w:rsidRPr="00024FD1">
        <w:t>arrays. Fold change of absorbance (chromogenic enzymatic cleavage of phosphatase substrate) between the TC control at day 2 and scaffolds at day 21 (n=</w:t>
      </w:r>
      <w:bookmarkStart w:id="14" w:name="_Hlk54522579"/>
      <w:r w:rsidR="00B622EB" w:rsidRPr="00024FD1">
        <w:t>2</w:t>
      </w:r>
      <w:r w:rsidR="00CB75B8" w:rsidRPr="00024FD1">
        <w:t xml:space="preserve"> biological </w:t>
      </w:r>
      <w:r w:rsidR="008620BF" w:rsidRPr="00024FD1">
        <w:t>samples</w:t>
      </w:r>
      <w:r w:rsidR="00CB75B8" w:rsidRPr="00024FD1">
        <w:t xml:space="preserve"> with 4 technical replicates</w:t>
      </w:r>
      <w:bookmarkEnd w:id="14"/>
      <w:r w:rsidR="00B622EB" w:rsidRPr="00024FD1">
        <w:t xml:space="preserve">). </w:t>
      </w:r>
      <w:r w:rsidR="004C1432" w:rsidRPr="00024FD1">
        <w:t xml:space="preserve">Cells were cultured in basal medium. </w:t>
      </w:r>
      <w:r w:rsidR="00B622EB" w:rsidRPr="00024FD1">
        <w:t>D) Analysis of scaffold properties and FBMSCs behaviour. FBMSCs behaviour on</w:t>
      </w:r>
      <w:r w:rsidR="00DF7894" w:rsidRPr="00024FD1">
        <w:t xml:space="preserve"> polymer 2 and 3</w:t>
      </w:r>
      <w:r w:rsidR="00B622EB" w:rsidRPr="00024FD1">
        <w:t xml:space="preserve"> </w:t>
      </w:r>
      <w:r w:rsidR="00C36D40" w:rsidRPr="00024FD1">
        <w:t xml:space="preserve">HPS scaffolds </w:t>
      </w:r>
      <w:r w:rsidR="00B622EB" w:rsidRPr="00024FD1">
        <w:t>(proliferation rate at day 21, total collagen at day 21 and alkaline phosphatase at day 7) were compared with mechanical properties (indentation modulus</w:t>
      </w:r>
      <w:r w:rsidR="00DF7894" w:rsidRPr="00024FD1">
        <w:t xml:space="preserve"> and relaxation load</w:t>
      </w:r>
      <w:r w:rsidR="00B622EB" w:rsidRPr="00024FD1">
        <w:t xml:space="preserve">) </w:t>
      </w:r>
      <w:r w:rsidR="00DF7894" w:rsidRPr="00024FD1">
        <w:t xml:space="preserve">along with </w:t>
      </w:r>
      <w:r w:rsidR="00B622EB" w:rsidRPr="00024FD1">
        <w:t>scaffold pore size</w:t>
      </w:r>
      <w:r w:rsidR="00DF7894" w:rsidRPr="00024FD1">
        <w:t xml:space="preserve"> and porosity</w:t>
      </w:r>
      <w:r w:rsidR="00B622EB" w:rsidRPr="00024FD1">
        <w:t xml:space="preserve">. </w:t>
      </w:r>
      <w:r w:rsidR="00DF7894" w:rsidRPr="00024FD1">
        <w:t>Each property interrogated was normalised (%) with the highest value identified (Table S2)</w:t>
      </w:r>
      <w:r w:rsidR="00B622EB" w:rsidRPr="00024FD1">
        <w:t xml:space="preserve">. E) Representative images of ALP expression of FBMSCs </w:t>
      </w:r>
      <w:r w:rsidR="00F759E5" w:rsidRPr="00024FD1">
        <w:t>on</w:t>
      </w:r>
      <w:r w:rsidR="00B622EB" w:rsidRPr="00024FD1">
        <w:t xml:space="preserve"> 2-HPS and 3-HPS after 2 and 7 days </w:t>
      </w:r>
      <w:r w:rsidR="00F759E5" w:rsidRPr="00024FD1">
        <w:t xml:space="preserve">of </w:t>
      </w:r>
      <w:r w:rsidR="00B622EB" w:rsidRPr="00024FD1">
        <w:t>incubation</w:t>
      </w:r>
      <w:r w:rsidR="004C1432" w:rsidRPr="00024FD1">
        <w:t xml:space="preserve"> in basal medium</w:t>
      </w:r>
      <w:r w:rsidR="00B622EB" w:rsidRPr="00024FD1">
        <w:t xml:space="preserve">. Cell nuclei (cyan) and ALP (red). Scale bar 100 µm. F) Representative SEM images of FBMSCs </w:t>
      </w:r>
      <w:r w:rsidR="00F759E5" w:rsidRPr="00024FD1">
        <w:t xml:space="preserve">within </w:t>
      </w:r>
      <w:r w:rsidR="00B622EB" w:rsidRPr="00024FD1">
        <w:t>2-HPS and 3-HPS after 21 days incubation</w:t>
      </w:r>
      <w:r w:rsidR="004C1432" w:rsidRPr="00024FD1">
        <w:t xml:space="preserve"> in basal medium</w:t>
      </w:r>
      <w:r w:rsidR="00B622EB" w:rsidRPr="00024FD1">
        <w:t xml:space="preserve">. Arrows show cells </w:t>
      </w:r>
      <w:r w:rsidR="00F759E5" w:rsidRPr="00024FD1">
        <w:t>infiltrating throughout</w:t>
      </w:r>
      <w:r w:rsidR="00B622EB" w:rsidRPr="00024FD1">
        <w:t xml:space="preserve"> the scaffold. Scale bar 400 µm. </w:t>
      </w:r>
    </w:p>
    <w:p w14:paraId="6F96D588" w14:textId="088AAA43" w:rsidR="001A0C86" w:rsidRPr="00024FD1" w:rsidRDefault="001A0C86" w:rsidP="001A0C86"/>
    <w:p w14:paraId="5B177ED7" w14:textId="2F69D3E6" w:rsidR="002A3112" w:rsidRPr="00024FD1" w:rsidRDefault="00D61FF5" w:rsidP="001A0C86">
      <w:pPr>
        <w:spacing w:line="480" w:lineRule="auto"/>
        <w:jc w:val="both"/>
        <w:rPr>
          <w:b/>
          <w:bCs/>
        </w:rPr>
      </w:pPr>
      <w:r w:rsidRPr="00024FD1">
        <w:rPr>
          <w:b/>
          <w:bCs/>
        </w:rPr>
        <w:t>A</w:t>
      </w:r>
      <w:r w:rsidR="001A0C86" w:rsidRPr="00024FD1">
        <w:rPr>
          <w:b/>
          <w:bCs/>
        </w:rPr>
        <w:t>ngiogenesis evaluation</w:t>
      </w:r>
      <w:r w:rsidRPr="00024FD1">
        <w:rPr>
          <w:b/>
          <w:bCs/>
        </w:rPr>
        <w:t xml:space="preserve"> and biocompatibility</w:t>
      </w:r>
      <w:r w:rsidR="000E2592" w:rsidRPr="00024FD1">
        <w:rPr>
          <w:b/>
          <w:bCs/>
        </w:rPr>
        <w:t xml:space="preserve"> </w:t>
      </w:r>
    </w:p>
    <w:p w14:paraId="2EBA0FE9" w14:textId="4F61D201" w:rsidR="00B97D6F" w:rsidRPr="00024FD1" w:rsidRDefault="001A0C86" w:rsidP="001A0C86">
      <w:pPr>
        <w:spacing w:line="480" w:lineRule="auto"/>
        <w:jc w:val="both"/>
        <w:rPr>
          <w:b/>
          <w:bCs/>
        </w:rPr>
      </w:pPr>
      <w:r w:rsidRPr="00024FD1">
        <w:rPr>
          <w:rFonts w:cs="Arial"/>
          <w:szCs w:val="24"/>
        </w:rPr>
        <w:lastRenderedPageBreak/>
        <w:t>The chick chorioallantoic membrane (CAM) model was used to provide further insight</w:t>
      </w:r>
      <w:r w:rsidR="000D67E9" w:rsidRPr="00024FD1">
        <w:rPr>
          <w:rFonts w:cs="Arial"/>
          <w:szCs w:val="24"/>
        </w:rPr>
        <w:t>s</w:t>
      </w:r>
      <w:r w:rsidRPr="00024FD1">
        <w:rPr>
          <w:rFonts w:cs="Arial"/>
          <w:szCs w:val="24"/>
        </w:rPr>
        <w:t xml:space="preserve"> on the biocompatibility and angiogenic potential of the</w:t>
      </w:r>
      <w:r w:rsidR="002728EE">
        <w:rPr>
          <w:rFonts w:cs="Arial"/>
          <w:szCs w:val="24"/>
        </w:rPr>
        <w:t xml:space="preserve"> select</w:t>
      </w:r>
      <w:r w:rsidRPr="00024FD1">
        <w:rPr>
          <w:rFonts w:cs="Arial"/>
          <w:szCs w:val="24"/>
        </w:rPr>
        <w:t xml:space="preserve"> polymer scaffolds</w:t>
      </w:r>
      <w:r w:rsidR="002A3112" w:rsidRPr="00024FD1">
        <w:rPr>
          <w:rFonts w:cs="Arial"/>
          <w:szCs w:val="24"/>
        </w:rPr>
        <w:t xml:space="preserve"> </w:t>
      </w:r>
      <w:r w:rsidR="00503DC3" w:rsidRPr="00024FD1">
        <w:rPr>
          <w:rFonts w:cs="Arial"/>
          <w:szCs w:val="24"/>
        </w:rPr>
        <w:fldChar w:fldCharType="begin" w:fldLock="1"/>
      </w:r>
      <w:r w:rsidR="0033591E">
        <w:rPr>
          <w:rFonts w:cs="Arial"/>
          <w:szCs w:val="24"/>
        </w:rPr>
        <w:instrText xml:space="preserve"> ADDIN ZOTERO_ITEM CSL_CITATION {"citationID":"Z5O2e7ad","properties":{"formattedCitation":"\\super 47,48\\nosupersub{}","plainCitation":"47,48","noteIndex":0},"citationItems":[{"id":"1dryys0K/Er5lq2nX","uris":["http://www.mendeley.com/documents/?uuid=4e583b2f-4a4b-49b8-8958-f6109d4a9fb7","http://www.mendeley.com/documents/?uuid=a218c19b-9cc4-4ab7-8109-51fa01e066da"],"itemData":{"DOI":"10.1007/s10456-014-9440-7","ISSN":"15737209","PMID":"25138280","abstract":"The chicken chorioallantoic membrane (CAM) is a simple, highly vascularized extraembryonic membrane, which performs multiple functions during embryonic development, including but not restricted to gas exchange. Over the last two decades, interest in the CAM as a robust experimental platform to study blood vessels has been shared by specialists working in bioengineering, development, morphology, biochemistry, transplant biology, cancer research and drug development. The tissue composition and accessibility of the CAM for experimental manipulation, makes it an attractive preclinical in vivo model for drug screening and/or for studies of vascular growth. In this article we provide a detailed review of the use of the CAM to study vascular biology and response of blood vessels to a variety of agonists. We also present distinct cultivation protocols discussing their advantages and limitations and provide a summarized update on the use of the CAM in vascular imaging, drug delivery, pharmacokinetics and toxicology.","author":[{"dropping-particle":"","family":"Nowak-Sliwinska","given":"Patrycja","non-dropping-particle":"","parse-names":false,"suffix":""},{"dropping-particle":"","family":"Segura","given":"Tatiana","non-dropping-particle":"","parse-names":false,"suffix":""},{"dropping-particle":"","family":"Iruela-Arispe","given":"M. Luisa","non-dropping-particle":"","parse-names":false,"suffix":""}],"container-title":"Angiogenesis","id":"ITEM-1","issue":"4","issued":{"date-parts":[["2014"]]},"page":"779-804","title":"The chicken chorioallantoic membrane model in biology, medicine and bioengineering","type":"article-journal","volume":"17"}},{"id":"1dryys0K/eYQcFlbl","uris":["http://www.mendeley.com/documents/?uuid=a13d1081-ede3-491e-824a-217ae3322cd9"],"itemData":{"DOI":"10.1007/s10456-018-9613-x","ISBN":"1045601896","ISSN":"15737209","PMID":"29766399","abstract":"The formation of new blood vessels, or angiogenesis, is a complex process that plays important roles in growth and development, tissue and organ regeneration, as well as numerous pathological conditions. Angiogenesis undergoes multiple discrete steps that can be individually evaluated and quantified by a large number of bioassays. These independent assessments hold advantages but also have limitations. This article describes in vivo, ex vivo, and in vitro bioassays that are available for the evaluation of angiogenesis and highlights critical aspects that are relevant for their execution and proper interpretation. As such, this collaborative work is the first edition of consensus guidelines on angiogenesis bioassays to serve for current and future reference.","author":[{"dropping-particle":"","family":"Nowak-Sliwinska","given":"Patrycja","non-dropping-particle":"","parse-names":false,"suffix":""},{"dropping-particle":"","family":"Alitalo","given":"Kari","non-dropping-particle":"","parse-names":false,"suffix":""},{"dropping-particle":"","family":"Allen","given":"Elizabeth","non-dropping-particle":"","parse-names":false,"suffix":""},{"dropping-particle":"","family":"Anisimov","given":"Andrey","non-dropping-particle":"","parse-names":false,"suffix":""},{"dropping-particle":"","family":"Aplin","given":"Alfred C.","non-dropping-particle":"","parse-names":false,"suffix":""},{"dropping-particle":"","family":"Auerbach","given":"Robert","non-dropping-particle":"","parse-names":false,"suffix":""},{"dropping-particle":"","family":"Augustin","given":"Hellmut G.","non-dropping-particle":"","parse-names":false,"suffix":""},{"dropping-particle":"","family":"Bates","given":"David O.","non-dropping-particle":"","parse-names":false,"suffix":""},{"dropping-particle":"","family":"Beijnum","given":"Judy R.","non-dropping-particle":"van","parse-names":false,"suffix":""},{"dropping-particle":"","family":"Bender","given":"R. Hugh F.","non-dropping-particle":"","parse-names":false,"suffix":""},{"dropping-particle":"","family":"Bergers","given":"Gabriele","non-dropping-particle":"","parse-names":false,"suffix":""},{"dropping-particle":"","family":"Bikfalvi","given":"Andreas","non-dropping-particle":"","parse-names":false,"suffix":""},{"dropping-particle":"","family":"Bischoff","given":"Joyce","non-dropping-particle":"","parse-names":false,"suffix":""},{"dropping-particle":"","family":"Böck","given":"Barbara C.","non-dropping-particle":"","parse-names":false,"suffix":""},{"dropping-particle":"","family":"Brooks","given":"Peter C.","non-dropping-particle":"","parse-names":false,"suffix":""},{"dropping-particle":"","family":"Bussolino","given":"Federico","non-dropping-particle":"","parse-names":false,"suffix":""},{"dropping-particle":"","family":"Cakir","given":"Bertan","non-dropping-particle":"","parse-names":false,"suffix":""},{"dropping-particle":"","family":"Carmeliet","given":"Peter","non-dropping-particle":"","parse-names":false,"suffix":""},{"dropping-particle":"","family":"Castranova","given":"Daniel","non-dropping-particle":"","parse-names":false,"suffix":""},{"dropping-particle":"","family":"Cimpean","given":"Anca M.","non-dropping-particle":"","parse-names":false,"suffix":""},{"dropping-particle":"","family":"Cleaver","given":"Ondine","non-dropping-particle":"","parse-names":false,"suffix":""},{"dropping-particle":"","family":"Coukos","given":"George","non-dropping-particle":"","parse-names":false,"suffix":""},{"dropping-particle":"","family":"Davis","given":"George E.","non-dropping-particle":"","parse-names":false,"suffix":""},{"dropping-particle":"","family":"Palma","given":"Michele","non-dropping-particle":"De","parse-names":false,"suffix":""},{"dropping-particle":"","family":"Dimberg","given":"Anna","non-dropping-particle":"","parse-names":false,"suffix":""},{"dropping-particle":"","family":"Dings","given":"Ruud P.M.","non-dropping-particle":"","parse-names":false,"suffix":""},{"dropping-particle":"","family":"Djonov","given":"Valentin","non-dropping-particle":"","parse-names":false,"suffix":""},{"dropping-particle":"","family":"Dudley","given":"Andrew C.","non-dropping-particle":"","parse-names":false,"suffix":""},{"dropping-particle":"","family":"Dufton","given":"Neil P.","non-dropping-particle":"","parse-names":false,"suffix":""},{"dropping-particle":"","family":"Fendt","given":"Sarah Maria","non-dropping-particle":"","parse-names":false,"suffix":""},{"dropping-particle":"","family":"Ferrara","given":"Napoleone","non-dropping-particle":"","parse-names":false,"suffix":""},{"dropping-particle":"","family":"Fruttiger","given":"Marcus","non-dropping-particle":"","parse-names":false,"suffix":""},{"dropping-particle":"","family":"Fukumura","given":"Dai","non-dropping-particle":"","parse-names":false,"suffix":""},{"dropping-particle":"","family":"Ghesquière","given":"Bart","non-dropping-particle":"","parse-names":false,"suffix":""},{"dropping-particle":"","family":"Gong","given":"Yan","non-dropping-particle":"","parse-names":false,"suffix":""},{"dropping-particle":"","family":"Griffin","given":"Robert J.","non-dropping-particle":"","parse-names":false,"suffix":""},{"dropping-particle":"","family":"Harris","given":"Adrian L.","non-dropping-particle":"","parse-names":false,"suffix":""},{"dropping-particle":"","family":"Hughes","given":"Christopher C.W.","non-dropping-particle":"","parse-names":false,"suffix":""},{"dropping-particle":"","family":"Hultgren","given":"Nan W.","non-dropping-particle":"","parse-names":false,"suffix":""},{"dropping-particle":"","family":"Iruela-Arispe","given":"M. Luisa","non-dropping-particle":"","parse-names":false,"suffix":""},{"dropping-particle":"","family":"Irving","given":"Melita","non-dropping-particle":"","parse-names":false,"suffix":""},{"dropping-particle":"","family":"Jain","given":"Rakesh K.","non-dropping-particle":"","parse-names":false,"suffix":""},{"dropping-particle":"","family":"Kalluri","given":"Raghu","non-dropping-particle":"","parse-names":false,"suffix":""},{"dropping-particle":"","family":"Kalucka","given":"Joanna","non-dropping-particle":"","parse-names":false,"suffix":""},{"dropping-particle":"","family":"Kerbel","given":"Robert S.","non-dropping-particle":"","parse-names":false,"suffix":""},{"dropping-particle":"","family":"Kitajewski","given":"Jan","non-dropping-particle":"","parse-names":false,"suffix":""},{"dropping-particle":"","family":"Klaassen","given":"Ingeborg","non-dropping-particle":"","parse-names":false,"suffix":""},{"dropping-particle":"","family":"Kleinmann","given":"Hynda K.","non-dropping-particle":"","parse-names":false,"suffix":""},{"dropping-particle":"","family":"Koolwijk","given":"Pieter","non-dropping-particle":"","parse-names":false,"suffix":""},{"dropping-particle":"","family":"Kuczynski","given":"Elisabeth","non-dropping-particle":"","parse-names":false,"suffix":""},{"dropping-particle":"","family":"Kwak","given":"Brenda R.","non-dropping-particle":"","parse-names":false,"suffix":""},{"dropping-particle":"","family":"Marien","given":"Koen","non-dropping-particle":"","parse-names":false,"suffix":""},{"dropping-particle":"","family":"Melero-Martin","given":"Juan M.","non-dropping-particle":"","parse-names":false,"suffix":""},{"dropping-particle":"","family":"Munn","given":"Lance L.","non-dropping-particle":"","parse-names":false,"suffix":""},{"dropping-particle":"","family":"Nicosia","given":"Roberto F.","non-dropping-particle":"","parse-names":false,"suffix":""},{"dropping-particle":"","family":"Noel","given":"Agnes","non-dropping-particle":"","parse-names":false,"suffix":""},{"dropping-particle":"","family":"Nurro","given":"Jussi","non-dropping-particle":"","parse-names":false,"suffix":""},{"dropping-particle":"","family":"Olsson","given":"Anna Karin","non-dropping-particle":"","parse-names":false,"suffix":""},{"dropping-particle":"V.","family":"Petrova","given":"Tatiana","non-dropping-particle":"","parse-names":false,"suffix":""},{"dropping-particle":"","family":"Pietras","given":"Kristian","non-dropping-particle":"","parse-names":false,"suffix":""},{"dropping-particle":"","family":"Pili","given":"Roberto","non-dropping-particle":"","parse-names":false,"suffix":""},{"dropping-particle":"","family":"Pollard","given":"Jeffrey W.","non-dropping-particle":"","parse-names":false,"suffix":""},{"dropping-particle":"","family":"Post","given":"Mark J.","non-dropping-particle":"","parse-names":false,"suffix":""},{"dropping-particle":"","family":"Quax","given":"Paul H.A.","non-dropping-particle":"","parse-names":false,"suffix":""},{"dropping-particle":"","family":"Rabinovich","given":"Gabriel A.","non-dropping-particle":"","parse-names":false,"suffix":""},{"dropping-particle":"","family":"Raica","given":"Marius","non-dropping-particle":"","parse-names":false,"suffix":""},{"dropping-particle":"","family":"Randi","given":"Anna M.","non-dropping-particle":"","parse-names":false,"suffix":""},{"dropping-particle":"","family":"Ribatti","given":"Domenico","non-dropping-particle":"","parse-names":false,"suffix":""},{"dropping-particle":"","family":"Ruegg","given":"Curzio","non-dropping-particle":"","parse-names":false,"suffix":""},{"dropping-particle":"","family":"Schlingemann","given":"Reinier O.","non-dropping-particle":"","parse-names":false,"suffix":""},{"dropping-particle":"","family":"Schulte-Merker","given":"Stefan","non-dropping-particle":"","parse-names":false,"suffix":""},{"dropping-particle":"","family":"Smith","given":"Lois E.H.","non-dropping-particle":"","parse-names":false,"suffix":""},{"dropping-particle":"","family":"Song","given":"Jonathan W.","non-dropping-particle":"","parse-names":false,"suffix":""},{"dropping-particle":"","family":"Stacker","given":"Steven A.","non-dropping-particle":"","parse-names":false,"suffix":""},{"dropping-particle":"","family":"Stalin","given":"Jimmy","non-dropping-particle":"","parse-names":false,"suffix":""},{"dropping-particle":"","family":"Stratman","given":"Amber N.","non-dropping-particle":"","parse-names":false,"suffix":""},{"dropping-particle":"","family":"Velde","given":"Maureen","non-dropping-particle":"Van de","parse-names":false,"suffix":""},{"dropping-particle":"","family":"Hinsbergh","given":"Victor W.M.","non-dropping-particle":"van","parse-names":false,"suffix":""},{"dropping-particle":"","family":"Vermeulen","given":"Peter B.","non-dropping-particle":"","parse-names":false,"suffix":""},{"dropping-particle":"","family":"Waltenberger","given":"Johannes","non-dropping-particle":"","parse-names":false,"suffix":""},{"dropping-particle":"","family":"Weinstein","given":"Brant M.","non-dropping-particle":"","parse-names":false,"suffix":""},{"dropping-particle":"","family":"Xin","given":"Hong","non-dropping-particle":"","parse-names":false,"suffix":""},{"dropping-particle":"","family":"Yetkin-Arik","given":"Bahar","non-dropping-particle":"","parse-names":false,"suffix":""},{"dropping-particle":"","family":"Yla-Herttuala","given":"Seppo","non-dropping-particle":"","parse-names":false,"suffix":""},{"dropping-particle":"","family":"Yoder","given":"Mervin C.","non-dropping-particle":"","parse-names":false,"suffix":""},{"dropping-particle":"","family":"Griffioen","given":"Arjan W.","non-dropping-particle":"","parse-names":false,"suffix":""}],"container-title":"Angiogenesis","id":"ITEM-2","issue":"3","issued":{"date-parts":[["2018"]]},"number-of-pages":"425-532","publisher":"Springer Netherlands","title":"Consensus guidelines for the use and interpretation of angiogenesis assays","type":"book","volume":"21"}}],"schema":"https://github.com/citation-style-language/schema/raw/master/csl-citation.json"} </w:instrText>
      </w:r>
      <w:r w:rsidR="00503DC3" w:rsidRPr="00024FD1">
        <w:rPr>
          <w:rFonts w:cs="Arial"/>
          <w:szCs w:val="24"/>
        </w:rPr>
        <w:fldChar w:fldCharType="separate"/>
      </w:r>
      <w:r w:rsidR="0033591E" w:rsidRPr="0033591E">
        <w:rPr>
          <w:rFonts w:cs="Times"/>
          <w:szCs w:val="24"/>
          <w:vertAlign w:val="superscript"/>
        </w:rPr>
        <w:t>47,48</w:t>
      </w:r>
      <w:r w:rsidR="00503DC3" w:rsidRPr="00024FD1">
        <w:rPr>
          <w:rFonts w:cs="Arial"/>
          <w:szCs w:val="24"/>
        </w:rPr>
        <w:fldChar w:fldCharType="end"/>
      </w:r>
      <w:r w:rsidR="002A3112" w:rsidRPr="00024FD1">
        <w:rPr>
          <w:rFonts w:cs="Arial"/>
          <w:szCs w:val="24"/>
        </w:rPr>
        <w:t>.</w:t>
      </w:r>
      <w:r w:rsidRPr="00024FD1">
        <w:rPr>
          <w:rFonts w:cs="Arial"/>
          <w:szCs w:val="24"/>
        </w:rPr>
        <w:t xml:space="preserve"> Angiogenesis in 2-HPS and 3-HPS FBMSCs seeded scaffolds was examined following implantation in day-10 staged CAM eggs</w:t>
      </w:r>
      <w:r w:rsidR="002728EE">
        <w:rPr>
          <w:rFonts w:cs="Arial"/>
          <w:szCs w:val="24"/>
        </w:rPr>
        <w:t>. B</w:t>
      </w:r>
      <w:r w:rsidRPr="00024FD1">
        <w:rPr>
          <w:rFonts w:cs="Arial"/>
          <w:szCs w:val="24"/>
        </w:rPr>
        <w:t xml:space="preserve">lood vessel integration was quantified using Chalkley scores after 7 days post-implantation. </w:t>
      </w:r>
      <w:r w:rsidR="00B97D6F" w:rsidRPr="00024FD1">
        <w:rPr>
          <w:rFonts w:cs="Arial"/>
          <w:szCs w:val="24"/>
        </w:rPr>
        <w:t xml:space="preserve">Chick eggs </w:t>
      </w:r>
      <w:r w:rsidR="002728EE">
        <w:rPr>
          <w:rFonts w:cs="Arial"/>
          <w:szCs w:val="24"/>
        </w:rPr>
        <w:t>subject to t</w:t>
      </w:r>
      <w:r w:rsidR="00B97D6F" w:rsidRPr="00024FD1">
        <w:rPr>
          <w:rFonts w:cs="Arial"/>
          <w:szCs w:val="24"/>
        </w:rPr>
        <w:t>he same procedure without the implanted scaffold</w:t>
      </w:r>
      <w:r w:rsidR="000A678E" w:rsidRPr="00024FD1">
        <w:rPr>
          <w:rFonts w:cs="Arial"/>
          <w:szCs w:val="24"/>
        </w:rPr>
        <w:t>s</w:t>
      </w:r>
      <w:r w:rsidR="00B97D6F" w:rsidRPr="00024FD1">
        <w:rPr>
          <w:rFonts w:cs="Arial"/>
          <w:szCs w:val="24"/>
        </w:rPr>
        <w:t xml:space="preserve"> </w:t>
      </w:r>
      <w:r w:rsidR="00630D3D" w:rsidRPr="00024FD1">
        <w:rPr>
          <w:rFonts w:cs="Arial"/>
          <w:szCs w:val="24"/>
        </w:rPr>
        <w:t>served</w:t>
      </w:r>
      <w:r w:rsidR="00B97D6F" w:rsidRPr="00024FD1">
        <w:rPr>
          <w:rFonts w:cs="Arial"/>
          <w:szCs w:val="24"/>
        </w:rPr>
        <w:t xml:space="preserve"> as control</w:t>
      </w:r>
      <w:r w:rsidR="000A678E" w:rsidRPr="00024FD1">
        <w:rPr>
          <w:rFonts w:cs="Arial"/>
          <w:szCs w:val="24"/>
        </w:rPr>
        <w:t>s</w:t>
      </w:r>
      <w:r w:rsidR="00B97D6F" w:rsidRPr="00024FD1">
        <w:rPr>
          <w:rFonts w:cs="Arial"/>
          <w:szCs w:val="24"/>
        </w:rPr>
        <w:t xml:space="preserve">. </w:t>
      </w:r>
      <w:r w:rsidR="00630D3D" w:rsidRPr="00024FD1">
        <w:rPr>
          <w:rFonts w:cs="Arial"/>
          <w:szCs w:val="24"/>
        </w:rPr>
        <w:t xml:space="preserve">The </w:t>
      </w:r>
      <w:r w:rsidRPr="00024FD1">
        <w:rPr>
          <w:rFonts w:cs="Arial"/>
          <w:szCs w:val="24"/>
        </w:rPr>
        <w:t xml:space="preserve">CAM assays revealed that 2-HPS with FBMSCs displayed </w:t>
      </w:r>
      <w:r w:rsidR="008620BF" w:rsidRPr="00024FD1">
        <w:rPr>
          <w:rFonts w:cs="Arial"/>
          <w:szCs w:val="24"/>
        </w:rPr>
        <w:t>the</w:t>
      </w:r>
      <w:r w:rsidR="003C76BB" w:rsidRPr="00024FD1">
        <w:rPr>
          <w:rFonts w:cs="Arial"/>
          <w:szCs w:val="24"/>
        </w:rPr>
        <w:t xml:space="preserve"> </w:t>
      </w:r>
      <w:r w:rsidR="00503DC3" w:rsidRPr="00024FD1">
        <w:rPr>
          <w:rFonts w:cs="Arial"/>
          <w:szCs w:val="24"/>
        </w:rPr>
        <w:t xml:space="preserve">highest level of angiogenesis </w:t>
      </w:r>
      <w:r w:rsidR="008620BF" w:rsidRPr="00024FD1">
        <w:rPr>
          <w:rFonts w:cs="Arial"/>
          <w:szCs w:val="24"/>
        </w:rPr>
        <w:t xml:space="preserve">although this did not reach </w:t>
      </w:r>
      <w:r w:rsidR="00BB4165">
        <w:rPr>
          <w:rFonts w:cs="Arial"/>
          <w:szCs w:val="24"/>
        </w:rPr>
        <w:t xml:space="preserve">statistical </w:t>
      </w:r>
      <w:r w:rsidR="00503DC3" w:rsidRPr="00024FD1">
        <w:rPr>
          <w:rFonts w:cs="Arial"/>
          <w:szCs w:val="24"/>
        </w:rPr>
        <w:t>significan</w:t>
      </w:r>
      <w:r w:rsidR="008620BF" w:rsidRPr="00024FD1">
        <w:rPr>
          <w:rFonts w:cs="Arial"/>
          <w:szCs w:val="24"/>
        </w:rPr>
        <w:t>ce</w:t>
      </w:r>
      <w:r w:rsidR="00503DC3" w:rsidRPr="00024FD1">
        <w:rPr>
          <w:rFonts w:cs="Arial"/>
          <w:szCs w:val="24"/>
        </w:rPr>
        <w:t xml:space="preserve"> compared to other groups except for the empty control </w:t>
      </w:r>
      <w:r w:rsidRPr="00024FD1">
        <w:rPr>
          <w:rFonts w:cs="Arial"/>
          <w:szCs w:val="24"/>
        </w:rPr>
        <w:t xml:space="preserve">(Figure 5A). </w:t>
      </w:r>
      <w:r w:rsidR="00663DA5" w:rsidRPr="00024FD1">
        <w:rPr>
          <w:rFonts w:cs="Arial"/>
          <w:szCs w:val="24"/>
        </w:rPr>
        <w:t xml:space="preserve">Histological analysis </w:t>
      </w:r>
      <w:r w:rsidR="008B45F6" w:rsidRPr="00024FD1">
        <w:rPr>
          <w:rFonts w:cs="Arial"/>
          <w:szCs w:val="24"/>
        </w:rPr>
        <w:t>confirmed angiogenesis</w:t>
      </w:r>
      <w:r w:rsidR="006B5F6B" w:rsidRPr="00024FD1">
        <w:rPr>
          <w:rFonts w:cs="Arial"/>
          <w:szCs w:val="24"/>
        </w:rPr>
        <w:t xml:space="preserve"> </w:t>
      </w:r>
      <w:r w:rsidR="002728EE">
        <w:rPr>
          <w:rFonts w:cs="Arial"/>
          <w:szCs w:val="24"/>
        </w:rPr>
        <w:t xml:space="preserve">evidenced by </w:t>
      </w:r>
      <w:r w:rsidR="006B5F6B" w:rsidRPr="00024FD1">
        <w:rPr>
          <w:rFonts w:cs="Arial"/>
          <w:szCs w:val="24"/>
        </w:rPr>
        <w:t xml:space="preserve">the presence of erythrocytes </w:t>
      </w:r>
      <w:r w:rsidR="007A1E21" w:rsidRPr="00024FD1">
        <w:rPr>
          <w:rFonts w:cs="Arial"/>
          <w:szCs w:val="24"/>
        </w:rPr>
        <w:t>and</w:t>
      </w:r>
      <w:r w:rsidR="00663DA5" w:rsidRPr="00024FD1">
        <w:rPr>
          <w:rFonts w:cs="Arial"/>
          <w:szCs w:val="24"/>
        </w:rPr>
        <w:t xml:space="preserve"> avian cells </w:t>
      </w:r>
      <w:r w:rsidR="00544C16">
        <w:rPr>
          <w:rFonts w:cs="Arial"/>
          <w:szCs w:val="24"/>
        </w:rPr>
        <w:t xml:space="preserve">promoted </w:t>
      </w:r>
      <w:r w:rsidR="00663DA5" w:rsidRPr="00024FD1">
        <w:rPr>
          <w:rFonts w:cs="Arial"/>
          <w:szCs w:val="24"/>
        </w:rPr>
        <w:t xml:space="preserve">due to </w:t>
      </w:r>
      <w:r w:rsidR="00544C16">
        <w:rPr>
          <w:rFonts w:cs="Arial"/>
          <w:szCs w:val="24"/>
        </w:rPr>
        <w:t xml:space="preserve">the </w:t>
      </w:r>
      <w:r w:rsidR="00663DA5" w:rsidRPr="00024FD1">
        <w:rPr>
          <w:rFonts w:cs="Arial"/>
          <w:szCs w:val="24"/>
        </w:rPr>
        <w:t>enhanced pore size and interconnectivity</w:t>
      </w:r>
      <w:r w:rsidR="00544C16">
        <w:rPr>
          <w:rFonts w:cs="Arial"/>
          <w:szCs w:val="24"/>
        </w:rPr>
        <w:t xml:space="preserve"> within the scaffold</w:t>
      </w:r>
      <w:r w:rsidR="008B45F6" w:rsidRPr="00024FD1">
        <w:rPr>
          <w:rFonts w:cs="Arial"/>
          <w:szCs w:val="24"/>
        </w:rPr>
        <w:t xml:space="preserve"> (Figure S1</w:t>
      </w:r>
      <w:r w:rsidR="00CF0642" w:rsidRPr="00024FD1">
        <w:rPr>
          <w:rFonts w:cs="Arial"/>
          <w:szCs w:val="24"/>
        </w:rPr>
        <w:t>3</w:t>
      </w:r>
      <w:r w:rsidR="008B45F6" w:rsidRPr="00024FD1">
        <w:rPr>
          <w:rFonts w:cs="Arial"/>
          <w:szCs w:val="24"/>
        </w:rPr>
        <w:t>)</w:t>
      </w:r>
      <w:r w:rsidR="00663DA5" w:rsidRPr="00024FD1">
        <w:rPr>
          <w:rFonts w:cs="Arial"/>
          <w:szCs w:val="24"/>
        </w:rPr>
        <w:t xml:space="preserve">. </w:t>
      </w:r>
    </w:p>
    <w:p w14:paraId="2728097F" w14:textId="203654DE" w:rsidR="001D0E11" w:rsidRPr="00024FD1" w:rsidRDefault="007A1E21" w:rsidP="00E661C4">
      <w:pPr>
        <w:spacing w:line="480" w:lineRule="auto"/>
        <w:jc w:val="both"/>
        <w:rPr>
          <w:rFonts w:cs="Arial"/>
          <w:szCs w:val="24"/>
        </w:rPr>
      </w:pPr>
      <w:r w:rsidRPr="00024FD1">
        <w:rPr>
          <w:rFonts w:cs="Arial"/>
          <w:szCs w:val="24"/>
        </w:rPr>
        <w:t xml:space="preserve">Promising results from the CAM assay and </w:t>
      </w:r>
      <w:r w:rsidR="002728EE">
        <w:rPr>
          <w:rFonts w:cs="Arial"/>
          <w:szCs w:val="24"/>
        </w:rPr>
        <w:t xml:space="preserve">the </w:t>
      </w:r>
      <w:r w:rsidRPr="00024FD1">
        <w:rPr>
          <w:rFonts w:cs="Arial"/>
          <w:szCs w:val="24"/>
        </w:rPr>
        <w:t xml:space="preserve">physical properties of the scaffolds justified the evaluation of </w:t>
      </w:r>
      <w:r w:rsidRPr="00024FD1">
        <w:rPr>
          <w:rFonts w:cs="Arial"/>
          <w:i/>
          <w:iCs/>
          <w:szCs w:val="24"/>
        </w:rPr>
        <w:t>in vitro</w:t>
      </w:r>
      <w:r w:rsidRPr="00024FD1">
        <w:rPr>
          <w:rFonts w:cs="Arial"/>
          <w:szCs w:val="24"/>
        </w:rPr>
        <w:t xml:space="preserve"> bone markers, which provided evidence of scaffold potential for bone repair applications.</w:t>
      </w:r>
      <w:r w:rsidRPr="00024FD1">
        <w:rPr>
          <w:rFonts w:cs="Arial"/>
          <w:i/>
          <w:iCs/>
          <w:szCs w:val="24"/>
        </w:rPr>
        <w:t xml:space="preserve"> </w:t>
      </w:r>
      <w:r w:rsidR="000B021D" w:rsidRPr="00024FD1">
        <w:rPr>
          <w:rFonts w:cs="Arial"/>
          <w:i/>
          <w:iCs/>
          <w:szCs w:val="24"/>
        </w:rPr>
        <w:t>In</w:t>
      </w:r>
      <w:r w:rsidR="006B5F6B" w:rsidRPr="00024FD1">
        <w:rPr>
          <w:rFonts w:cs="Arial"/>
          <w:i/>
          <w:iCs/>
          <w:szCs w:val="24"/>
        </w:rPr>
        <w:t xml:space="preserve"> vitro</w:t>
      </w:r>
      <w:r w:rsidR="006B5F6B" w:rsidRPr="00024FD1">
        <w:rPr>
          <w:rFonts w:cs="Arial"/>
          <w:szCs w:val="24"/>
        </w:rPr>
        <w:t xml:space="preserve"> </w:t>
      </w:r>
      <w:r w:rsidR="002728EE">
        <w:rPr>
          <w:rFonts w:cs="Arial"/>
          <w:szCs w:val="24"/>
        </w:rPr>
        <w:t xml:space="preserve">ECM deposition by </w:t>
      </w:r>
      <w:r w:rsidR="006B5F6B" w:rsidRPr="00024FD1">
        <w:rPr>
          <w:rFonts w:cs="Arial"/>
          <w:szCs w:val="24"/>
        </w:rPr>
        <w:t>FBMSC</w:t>
      </w:r>
      <w:r w:rsidR="002728EE">
        <w:rPr>
          <w:rFonts w:cs="Arial"/>
          <w:szCs w:val="24"/>
        </w:rPr>
        <w:t>s</w:t>
      </w:r>
      <w:r w:rsidR="006B5F6B" w:rsidRPr="00024FD1">
        <w:rPr>
          <w:rFonts w:cs="Arial"/>
          <w:szCs w:val="24"/>
        </w:rPr>
        <w:t xml:space="preserve"> was </w:t>
      </w:r>
      <w:r w:rsidR="000B021D" w:rsidRPr="00024FD1">
        <w:rPr>
          <w:rFonts w:cs="Arial"/>
          <w:szCs w:val="24"/>
        </w:rPr>
        <w:t>determined</w:t>
      </w:r>
      <w:r w:rsidR="006B5F6B" w:rsidRPr="00024FD1">
        <w:rPr>
          <w:rFonts w:cs="Arial"/>
          <w:szCs w:val="24"/>
        </w:rPr>
        <w:t xml:space="preserve"> on scaffold 2-HPS as </w:t>
      </w:r>
      <w:r w:rsidR="00630D3D" w:rsidRPr="00024FD1">
        <w:rPr>
          <w:rFonts w:cs="Arial"/>
          <w:szCs w:val="24"/>
        </w:rPr>
        <w:t>this scaffold</w:t>
      </w:r>
      <w:r w:rsidRPr="00024FD1">
        <w:rPr>
          <w:rFonts w:cs="Arial"/>
          <w:szCs w:val="24"/>
        </w:rPr>
        <w:t xml:space="preserve"> </w:t>
      </w:r>
      <w:r w:rsidR="006B5F6B" w:rsidRPr="00024FD1">
        <w:rPr>
          <w:rFonts w:cs="Arial"/>
          <w:szCs w:val="24"/>
        </w:rPr>
        <w:t>provide</w:t>
      </w:r>
      <w:r w:rsidR="000D67E9" w:rsidRPr="00024FD1">
        <w:rPr>
          <w:rFonts w:cs="Arial"/>
          <w:szCs w:val="24"/>
        </w:rPr>
        <w:t>d</w:t>
      </w:r>
      <w:r w:rsidR="006B5F6B" w:rsidRPr="00024FD1">
        <w:rPr>
          <w:rFonts w:cs="Arial"/>
          <w:szCs w:val="24"/>
        </w:rPr>
        <w:t xml:space="preserve"> the highest angiogenic potential. </w:t>
      </w:r>
      <w:r w:rsidR="001D0E11" w:rsidRPr="00024FD1">
        <w:rPr>
          <w:rFonts w:cs="Arial"/>
          <w:szCs w:val="24"/>
        </w:rPr>
        <w:t xml:space="preserve">FBMSCs seeded on </w:t>
      </w:r>
      <w:r w:rsidR="002728EE">
        <w:rPr>
          <w:rFonts w:cs="Arial"/>
          <w:szCs w:val="24"/>
        </w:rPr>
        <w:t>2-HPS scaffold</w:t>
      </w:r>
      <w:r w:rsidR="001D0E11" w:rsidRPr="00024FD1">
        <w:rPr>
          <w:rFonts w:cs="Arial"/>
          <w:szCs w:val="24"/>
        </w:rPr>
        <w:t xml:space="preserve"> </w:t>
      </w:r>
      <w:r w:rsidR="000B021D" w:rsidRPr="00024FD1">
        <w:rPr>
          <w:rFonts w:cs="Arial"/>
          <w:szCs w:val="24"/>
        </w:rPr>
        <w:t xml:space="preserve">were evaluated </w:t>
      </w:r>
      <w:r w:rsidR="001D0E11" w:rsidRPr="00024FD1">
        <w:rPr>
          <w:rFonts w:cs="Arial"/>
          <w:szCs w:val="24"/>
        </w:rPr>
        <w:t>after 7 and 21 days of culture in basal and osteogenic (supplemented with calcitriol and vitamin C) media</w:t>
      </w:r>
      <w:r w:rsidR="002A3112" w:rsidRPr="00024FD1">
        <w:rPr>
          <w:rFonts w:cs="Arial"/>
          <w:szCs w:val="24"/>
        </w:rPr>
        <w:t xml:space="preserve"> </w:t>
      </w:r>
      <w:r w:rsidR="00E661C4" w:rsidRPr="00024FD1">
        <w:rPr>
          <w:rFonts w:cs="Arial"/>
          <w:szCs w:val="24"/>
        </w:rPr>
        <w:fldChar w:fldCharType="begin" w:fldLock="1"/>
      </w:r>
      <w:r w:rsidR="0033591E">
        <w:rPr>
          <w:rFonts w:cs="Arial"/>
          <w:szCs w:val="24"/>
        </w:rPr>
        <w:instrText xml:space="preserve"> ADDIN ZOTERO_ITEM CSL_CITATION {"citationID":"tgoM2xes","properties":{"formattedCitation":"\\super 49,50\\nosupersub{}","plainCitation":"49,50","noteIndex":0},"citationItems":[{"id":"1dryys0K/OjggLZCi","uris":["http://www.mendeley.com/documents/?uuid=a59affc1-27f4-42ec-923d-fe18eb42bbf8"],"itemData":{"DOI":"10.1016/j.chembiol.2013.12.016","ISSN":"1879-1301","abstract":"Vitamin D3 is made in the skin from 7-dehydrocholesterol under the influence of UV light. Vitamin D2 (ergocalciferol) is derived from the plant sterol ergosterol. Vitamin D is metabolized first to 25 hydroxyvitamin D (25OHD), then to the hormonal form 1,25-dihydroxyvitamin D (1,25(OH)2D). CYP2R1 is the most important 25-hydroxylase; CYP27B1 is the key 1-hydroxylase. Both 25OHD and 1,25(OH)2D are catabolized by CYP24A1. 1,25(OH)2D is the ligand for the vitamin D receptor (VDR), a transcription factor, binding to sites in the DNA called vitamin D response elements (VDREs). There are thousands of these binding sites regulating hundreds of genes in a cell-specific fashion. VDR-regulated transcription is dependent on comodulators, the profile of which is also cell specific. Analogs of 1,25(OH)2D are being developed to target specific diseases with minimal side effects. This review will examine these different aspects of vitamin D metabolism, mechanism of action, and clinical application. © 2014 Elsevier Ltd.","author":[{"dropping-particle":"","family":"Bikle","given":"Daniel D.","non-dropping-particle":"","parse-names":false,"suffix":""}],"container-title":"Chem Biol","id":"ITEM-1","issue":"3","issued":{"date-parts":[["2014"]]},"page":"319-329","publisher":"Elsevier Ltd","title":"Vitamin D metabolism, mechanism of action, and clinical applications","type":"article-journal","volume":"21"}},{"id":"1dryys0K/WJfzNC5l","uris":["http://www.mendeley.com/documents/?uuid=c74b62b1-df9a-4240-bf9f-313ab298df66"],"itemData":{"DOI":"10.12659/MSM.897044","ISSN":"1643-3750","author":[{"dropping-particle":"","family":"Wang","given":"Cheng","non-dropping-particle":"","parse-names":false,"suffix":""},{"dropping-particle":"","family":"Meng","given":"Haoye","non-dropping-particle":"","parse-names":false,"suffix":""},{"dropping-particle":"","family":"Wang","given":"Xin","non-dropping-particle":"","parse-names":false,"suffix":""},{"dropping-particle":"","family":"Zhao","given":"Chenyang","non-dropping-particle":"","parse-names":false,"suffix":""},{"dropping-particle":"","family":"Peng","given":"Jiang","non-dropping-particle":"","parse-names":false,"suffix":""},{"dropping-particle":"","family":"Wang","given":"Yu","non-dropping-particle":"","parse-names":false,"suffix":""}],"container-title":"Medical Science Monitor","id":"ITEM-2","issued":{"date-parts":[["2016","1","21"]]},"page":"226-233","title":"Differentiation of Bone Marrow Mesenchymal Stem Cells in Osteoblasts and Adipocytes and its Role in Treatment of Osteoporosis","type":"article-journal","volume":"22"}}],"schema":"https://github.com/citation-style-language/schema/raw/master/csl-citation.json"} </w:instrText>
      </w:r>
      <w:r w:rsidR="00E661C4" w:rsidRPr="00024FD1">
        <w:rPr>
          <w:rFonts w:cs="Arial"/>
          <w:szCs w:val="24"/>
        </w:rPr>
        <w:fldChar w:fldCharType="separate"/>
      </w:r>
      <w:r w:rsidR="0033591E" w:rsidRPr="0033591E">
        <w:rPr>
          <w:rFonts w:cs="Times"/>
          <w:szCs w:val="24"/>
          <w:vertAlign w:val="superscript"/>
        </w:rPr>
        <w:t>49,50</w:t>
      </w:r>
      <w:r w:rsidR="00E661C4" w:rsidRPr="00024FD1">
        <w:rPr>
          <w:rFonts w:cs="Arial"/>
          <w:szCs w:val="24"/>
        </w:rPr>
        <w:fldChar w:fldCharType="end"/>
      </w:r>
      <w:r w:rsidR="002A3112" w:rsidRPr="00024FD1">
        <w:rPr>
          <w:rFonts w:cs="Arial"/>
          <w:szCs w:val="24"/>
        </w:rPr>
        <w:t>.</w:t>
      </w:r>
      <w:r w:rsidR="00E661C4" w:rsidRPr="00024FD1">
        <w:rPr>
          <w:rFonts w:cs="Arial"/>
          <w:szCs w:val="24"/>
        </w:rPr>
        <w:t xml:space="preserve"> </w:t>
      </w:r>
      <w:r w:rsidR="001D0E11" w:rsidRPr="00024FD1">
        <w:rPr>
          <w:rFonts w:cs="Arial"/>
          <w:szCs w:val="24"/>
        </w:rPr>
        <w:t xml:space="preserve">Enhanced type I collagen expression, </w:t>
      </w:r>
      <w:r w:rsidR="0069663E">
        <w:rPr>
          <w:rFonts w:cs="Arial"/>
          <w:szCs w:val="24"/>
        </w:rPr>
        <w:t xml:space="preserve">over 7 to 21 days, </w:t>
      </w:r>
      <w:r w:rsidR="001D0E11" w:rsidRPr="00024FD1">
        <w:rPr>
          <w:rFonts w:cs="Arial"/>
          <w:szCs w:val="24"/>
        </w:rPr>
        <w:t xml:space="preserve">was evident from FBMSCs staining on 2-HPS scaffolds (Figure </w:t>
      </w:r>
      <w:r w:rsidR="000B021D" w:rsidRPr="00024FD1">
        <w:rPr>
          <w:rFonts w:cs="Arial"/>
          <w:noProof/>
          <w:szCs w:val="24"/>
        </w:rPr>
        <w:t>5</w:t>
      </w:r>
      <w:r w:rsidR="001855B2" w:rsidRPr="00024FD1">
        <w:rPr>
          <w:rFonts w:cs="Arial"/>
          <w:szCs w:val="24"/>
        </w:rPr>
        <w:t>B</w:t>
      </w:r>
      <w:r w:rsidR="001D0E11" w:rsidRPr="00024FD1">
        <w:rPr>
          <w:rFonts w:cs="Arial"/>
          <w:szCs w:val="24"/>
        </w:rPr>
        <w:t>) maintained in basal and osteogenic media (Figure S1</w:t>
      </w:r>
      <w:r w:rsidR="00CF0642" w:rsidRPr="00024FD1">
        <w:rPr>
          <w:rFonts w:cs="Arial"/>
          <w:szCs w:val="24"/>
        </w:rPr>
        <w:t>4</w:t>
      </w:r>
      <w:r w:rsidR="001D0E11" w:rsidRPr="00024FD1">
        <w:rPr>
          <w:rFonts w:cs="Arial"/>
          <w:szCs w:val="24"/>
        </w:rPr>
        <w:t xml:space="preserve">). </w:t>
      </w:r>
      <w:r w:rsidR="00C56B8A" w:rsidRPr="00024FD1">
        <w:rPr>
          <w:rFonts w:cs="Arial"/>
          <w:szCs w:val="24"/>
        </w:rPr>
        <w:t>T</w:t>
      </w:r>
      <w:r w:rsidR="003501ED" w:rsidRPr="00024FD1">
        <w:rPr>
          <w:rFonts w:cs="Arial"/>
          <w:szCs w:val="24"/>
        </w:rPr>
        <w:t xml:space="preserve">ype I collagen </w:t>
      </w:r>
      <w:r w:rsidR="00073AC2" w:rsidRPr="00024FD1">
        <w:rPr>
          <w:rFonts w:cs="Arial"/>
          <w:szCs w:val="24"/>
        </w:rPr>
        <w:t>deposition</w:t>
      </w:r>
      <w:r w:rsidR="003501ED" w:rsidRPr="00024FD1">
        <w:rPr>
          <w:rFonts w:cs="Arial"/>
          <w:szCs w:val="24"/>
        </w:rPr>
        <w:t xml:space="preserve"> on 2-HPS </w:t>
      </w:r>
      <w:r w:rsidR="00073AC2" w:rsidRPr="00024FD1">
        <w:rPr>
          <w:rFonts w:cs="Arial"/>
          <w:szCs w:val="24"/>
        </w:rPr>
        <w:t xml:space="preserve">scaffolds </w:t>
      </w:r>
      <w:r w:rsidR="003501ED" w:rsidRPr="00024FD1">
        <w:rPr>
          <w:rFonts w:cs="Arial"/>
          <w:szCs w:val="24"/>
        </w:rPr>
        <w:t xml:space="preserve">was quantified </w:t>
      </w:r>
      <w:r w:rsidR="00073AC2" w:rsidRPr="00024FD1">
        <w:rPr>
          <w:rFonts w:cs="Arial"/>
          <w:szCs w:val="24"/>
        </w:rPr>
        <w:t>by</w:t>
      </w:r>
      <w:r w:rsidR="003501ED" w:rsidRPr="00024FD1">
        <w:rPr>
          <w:rFonts w:cs="Arial"/>
          <w:szCs w:val="24"/>
        </w:rPr>
        <w:t xml:space="preserve"> </w:t>
      </w:r>
      <w:r w:rsidR="003B380C">
        <w:rPr>
          <w:rFonts w:cs="Arial"/>
          <w:szCs w:val="24"/>
        </w:rPr>
        <w:t xml:space="preserve">an </w:t>
      </w:r>
      <w:r w:rsidR="003501ED" w:rsidRPr="00024FD1">
        <w:rPr>
          <w:rFonts w:cs="Arial"/>
          <w:szCs w:val="24"/>
        </w:rPr>
        <w:t>ELISA (Table S3). Control cultures displayed negligible collagen production with levels below the assay detection limit (data not shown)</w:t>
      </w:r>
      <w:r w:rsidR="00073AC2" w:rsidRPr="00024FD1">
        <w:rPr>
          <w:rFonts w:cs="Arial"/>
          <w:szCs w:val="24"/>
        </w:rPr>
        <w:t xml:space="preserve">, </w:t>
      </w:r>
      <w:r w:rsidR="0069663E">
        <w:rPr>
          <w:rFonts w:cs="Arial"/>
          <w:szCs w:val="24"/>
        </w:rPr>
        <w:t>confirming</w:t>
      </w:r>
      <w:r w:rsidR="00073AC2" w:rsidRPr="00024FD1">
        <w:rPr>
          <w:rFonts w:cs="Arial"/>
          <w:szCs w:val="24"/>
        </w:rPr>
        <w:t xml:space="preserve"> ECM production was significa</w:t>
      </w:r>
      <w:r w:rsidR="007E2690" w:rsidRPr="00024FD1">
        <w:rPr>
          <w:rFonts w:cs="Arial"/>
          <w:szCs w:val="24"/>
        </w:rPr>
        <w:t>ntly</w:t>
      </w:r>
      <w:r w:rsidR="00073AC2" w:rsidRPr="00024FD1">
        <w:rPr>
          <w:rFonts w:cs="Arial"/>
          <w:szCs w:val="24"/>
        </w:rPr>
        <w:t xml:space="preserve"> improved by the scaffold composition and 3D structure. </w:t>
      </w:r>
      <w:r w:rsidR="001855B2" w:rsidRPr="00024FD1">
        <w:rPr>
          <w:rFonts w:cs="Arial"/>
          <w:szCs w:val="24"/>
        </w:rPr>
        <w:t>O</w:t>
      </w:r>
      <w:r w:rsidR="001D0E11" w:rsidRPr="00024FD1">
        <w:rPr>
          <w:rFonts w:cs="Arial"/>
          <w:szCs w:val="24"/>
        </w:rPr>
        <w:t>steopontin expression was observed to be reduced on scaffold 2-HPS</w:t>
      </w:r>
      <w:r w:rsidR="001855B2" w:rsidRPr="00024FD1">
        <w:rPr>
          <w:rFonts w:cs="Arial"/>
          <w:szCs w:val="24"/>
        </w:rPr>
        <w:t xml:space="preserve"> whereas </w:t>
      </w:r>
      <w:r w:rsidR="007E2690" w:rsidRPr="00024FD1">
        <w:rPr>
          <w:rFonts w:cs="Arial"/>
          <w:szCs w:val="24"/>
        </w:rPr>
        <w:t>expression</w:t>
      </w:r>
      <w:r w:rsidR="001855B2" w:rsidRPr="00024FD1">
        <w:rPr>
          <w:rFonts w:cs="Arial"/>
          <w:szCs w:val="24"/>
        </w:rPr>
        <w:t xml:space="preserve"> was maintained on the 2D controls</w:t>
      </w:r>
      <w:r w:rsidR="001D0E11" w:rsidRPr="00024FD1">
        <w:rPr>
          <w:rFonts w:cs="Arial"/>
          <w:szCs w:val="24"/>
        </w:rPr>
        <w:t xml:space="preserve">, </w:t>
      </w:r>
      <w:r w:rsidR="001855B2" w:rsidRPr="00024FD1">
        <w:rPr>
          <w:rFonts w:cs="Arial"/>
          <w:szCs w:val="24"/>
        </w:rPr>
        <w:t xml:space="preserve">which could </w:t>
      </w:r>
      <w:r w:rsidR="001D0E11" w:rsidRPr="00024FD1">
        <w:rPr>
          <w:rFonts w:cs="Arial"/>
          <w:szCs w:val="24"/>
        </w:rPr>
        <w:t>indicat</w:t>
      </w:r>
      <w:r w:rsidR="001855B2" w:rsidRPr="00024FD1">
        <w:rPr>
          <w:rFonts w:cs="Arial"/>
          <w:szCs w:val="24"/>
        </w:rPr>
        <w:t>e</w:t>
      </w:r>
      <w:r w:rsidR="001D0E11" w:rsidRPr="00024FD1">
        <w:rPr>
          <w:rFonts w:cs="Arial"/>
          <w:szCs w:val="24"/>
        </w:rPr>
        <w:t xml:space="preserve"> downstream progression of the cells in terms of osteoblastic differentiation</w:t>
      </w:r>
      <w:r w:rsidR="002A3112" w:rsidRPr="00024FD1">
        <w:rPr>
          <w:rFonts w:cs="Arial"/>
          <w:szCs w:val="24"/>
        </w:rPr>
        <w:t xml:space="preserve"> </w:t>
      </w:r>
      <w:r w:rsidR="00E661C4" w:rsidRPr="00024FD1">
        <w:rPr>
          <w:rFonts w:cs="Arial"/>
          <w:szCs w:val="24"/>
        </w:rPr>
        <w:fldChar w:fldCharType="begin" w:fldLock="1"/>
      </w:r>
      <w:r w:rsidR="0033591E">
        <w:rPr>
          <w:rFonts w:cs="Arial"/>
          <w:szCs w:val="24"/>
        </w:rPr>
        <w:instrText xml:space="preserve"> ADDIN ZOTERO_ITEM CSL_CITATION {"citationID":"DSTqzdrn","properties":{"formattedCitation":"\\super 51\\nosupersub{}","plainCitation":"51","noteIndex":0},"citationItems":[{"id":"1dryys0K/DsxROm9s","uris":["http://www.mendeley.com/documents/?uuid=87540a9b-b6e9-47ad-a3c6-6caf08cecaa1"],"itemData":{"DOI":"10.1016/j.bone.2003.11.027","ISSN":"87563282","abstract":"Osteopontin (OPN) is an important mediator of bone remodeling. However, the role of OPN in the process of bone formation is not fully understood. In previous studies, we have shown that MC3T3-E1 pre-osteoblastic cells at higher passage number exhibited weakened osteogenic capacity and elevated OPN mRNA expression. In this work, we investigated the role of OPN on proliferation and differentiation of low-passage MC3T3-E1 cells by studying stable cell lines overexpressing either OPN mRNA or its antisense RNA. Overexpression was verified by both Northern and Western blot analyses. Overexpression of OPN markedly inhibited proliferation as determined by daily cell counts, while overexpression of antisense RNA stimulated cellular proliferation. We also examined the effect of OPN level on BMP-2-induced alkaline phosphatase activity. Overexpression of OPN inhibited BMP-2 responsiveness while overexpression of antisense RNA enhanced the effect of BMP-2 on alkaline phosphatase activity. Increased OPN expression also caused decreases in expression of osteocalcin and bone sialoproteins while a reduction of OPN level caused the opposite. Furthermore, endogenous OPN expression in response to BMP-2 exhibited a biphasic pattern, that is, it was initially inhibited and then enhanced by the treatment of BMP-2, indicating that OPN might function as a negative feedback regulator for osteoblastic differentiation. Finally, overexpression of OPN inhibited mineral deposition. In contrast, overexpression of antisense RNA enhanced mineral deposition. These results indicate that OPN is a negative regulator of proliferation and differentiation in MC3T3-E1 cells. © 2004 Elsevier Inc. All rights reserved.","author":[{"dropping-particle":"","family":"Huang","given":"Weibiao","non-dropping-particle":"","parse-names":false,"suffix":""},{"dropping-particle":"","family":"Carlsen","given":"Brian","non-dropping-particle":"","parse-names":false,"suffix":""},{"dropping-particle":"","family":"Rudkin","given":"George","non-dropping-particle":"","parse-names":false,"suffix":""},{"dropping-particle":"","family":"Berry","given":"Micah","non-dropping-particle":"","parse-names":false,"suffix":""},{"dropping-particle":"","family":"Ishida","given":"Kenji","non-dropping-particle":"","parse-names":false,"suffix":""},{"dropping-particle":"","family":"Yamaguchi","given":"Dean T.","non-dropping-particle":"","parse-names":false,"suffix":""},{"dropping-particle":"","family":"Miller","given":"Timothy A.","non-dropping-particle":"","parse-names":false,"suffix":""}],"container-title":"Bone","id":"ITEM-1","issue":"5","issued":{"date-parts":[["2004"]]},"page":"799-808","title":"Osteopontin is a negative regulator of proliferation and differentiation in MC3T3-E1 pre-osteoblastic cells","type":"article-journal","volume":"34"}}],"schema":"https://github.com/citation-style-language/schema/raw/master/csl-citation.json"} </w:instrText>
      </w:r>
      <w:r w:rsidR="00E661C4" w:rsidRPr="00024FD1">
        <w:rPr>
          <w:rFonts w:cs="Arial"/>
          <w:szCs w:val="24"/>
        </w:rPr>
        <w:fldChar w:fldCharType="separate"/>
      </w:r>
      <w:r w:rsidR="0033591E" w:rsidRPr="0033591E">
        <w:rPr>
          <w:rFonts w:cs="Times"/>
          <w:szCs w:val="24"/>
          <w:vertAlign w:val="superscript"/>
        </w:rPr>
        <w:t>51</w:t>
      </w:r>
      <w:r w:rsidR="00E661C4" w:rsidRPr="00024FD1">
        <w:rPr>
          <w:rFonts w:cs="Arial"/>
          <w:szCs w:val="24"/>
        </w:rPr>
        <w:fldChar w:fldCharType="end"/>
      </w:r>
      <w:r w:rsidR="002A3112" w:rsidRPr="00024FD1">
        <w:rPr>
          <w:rFonts w:cs="Arial"/>
          <w:szCs w:val="24"/>
        </w:rPr>
        <w:t>.</w:t>
      </w:r>
      <w:r w:rsidR="00E661C4" w:rsidRPr="00024FD1">
        <w:rPr>
          <w:rFonts w:cs="Arial"/>
          <w:szCs w:val="24"/>
        </w:rPr>
        <w:t xml:space="preserve"> </w:t>
      </w:r>
      <w:r w:rsidR="001D0E11" w:rsidRPr="00024FD1">
        <w:rPr>
          <w:rFonts w:cs="Arial"/>
          <w:szCs w:val="24"/>
        </w:rPr>
        <w:t>Interestingly,</w:t>
      </w:r>
      <w:r w:rsidR="003B380C">
        <w:rPr>
          <w:rFonts w:cs="Arial"/>
          <w:szCs w:val="24"/>
        </w:rPr>
        <w:t xml:space="preserve"> </w:t>
      </w:r>
      <w:r w:rsidR="001D0E11" w:rsidRPr="00024FD1">
        <w:rPr>
          <w:rFonts w:cs="Arial"/>
          <w:szCs w:val="24"/>
        </w:rPr>
        <w:t xml:space="preserve">aggregates of FBMSCs on 2-HPS were observed at days 7 and 21 in basal and </w:t>
      </w:r>
      <w:r w:rsidR="001D0E11" w:rsidRPr="00024FD1">
        <w:rPr>
          <w:rFonts w:cs="Arial"/>
          <w:szCs w:val="24"/>
        </w:rPr>
        <w:lastRenderedPageBreak/>
        <w:t>osteogenic media</w:t>
      </w:r>
      <w:r w:rsidR="001855B2" w:rsidRPr="00024FD1">
        <w:rPr>
          <w:rFonts w:cs="Arial"/>
          <w:szCs w:val="24"/>
        </w:rPr>
        <w:t xml:space="preserve"> (Figure 5B)</w:t>
      </w:r>
      <w:r w:rsidR="001D0E11" w:rsidRPr="00024FD1">
        <w:rPr>
          <w:rFonts w:cs="Arial"/>
          <w:szCs w:val="24"/>
        </w:rPr>
        <w:t xml:space="preserve">, while this aggregation of FBMSCs was not observed in the control. </w:t>
      </w:r>
      <w:r w:rsidR="001855B2" w:rsidRPr="00024FD1">
        <w:rPr>
          <w:rFonts w:cs="Arial"/>
          <w:szCs w:val="24"/>
        </w:rPr>
        <w:t>L</w:t>
      </w:r>
      <w:r w:rsidR="001D0E11" w:rsidRPr="00024FD1">
        <w:rPr>
          <w:rFonts w:cs="Arial"/>
          <w:szCs w:val="24"/>
        </w:rPr>
        <w:t xml:space="preserve">ive/dead assay </w:t>
      </w:r>
      <w:r w:rsidR="001855B2" w:rsidRPr="00024FD1">
        <w:rPr>
          <w:rFonts w:cs="Arial"/>
          <w:szCs w:val="24"/>
        </w:rPr>
        <w:t xml:space="preserve">confirmed viable cells </w:t>
      </w:r>
      <w:r w:rsidR="003B380C">
        <w:rPr>
          <w:rFonts w:cs="Arial"/>
          <w:szCs w:val="24"/>
        </w:rPr>
        <w:t xml:space="preserve">were </w:t>
      </w:r>
      <w:r w:rsidR="001855B2" w:rsidRPr="00024FD1">
        <w:rPr>
          <w:rFonts w:cs="Arial"/>
          <w:szCs w:val="24"/>
        </w:rPr>
        <w:t xml:space="preserve">attached to the polymer </w:t>
      </w:r>
      <w:r w:rsidR="001D0E11" w:rsidRPr="00024FD1">
        <w:rPr>
          <w:rFonts w:cs="Arial"/>
          <w:szCs w:val="24"/>
        </w:rPr>
        <w:t>(Figure S1</w:t>
      </w:r>
      <w:r w:rsidR="00CF0642" w:rsidRPr="00024FD1">
        <w:rPr>
          <w:rFonts w:cs="Arial"/>
          <w:szCs w:val="24"/>
        </w:rPr>
        <w:t>5</w:t>
      </w:r>
      <w:r w:rsidR="001D0E11" w:rsidRPr="00024FD1">
        <w:rPr>
          <w:rFonts w:cs="Arial"/>
          <w:szCs w:val="24"/>
        </w:rPr>
        <w:t xml:space="preserve">). </w:t>
      </w:r>
    </w:p>
    <w:p w14:paraId="586E9715" w14:textId="46205363" w:rsidR="009844AB" w:rsidRPr="00024FD1" w:rsidRDefault="00037C7A" w:rsidP="008E1E7D">
      <w:pPr>
        <w:pStyle w:val="Caption"/>
      </w:pPr>
      <w:r w:rsidRPr="00024FD1">
        <w:rPr>
          <w:noProof/>
          <w:lang w:eastAsia="en-GB"/>
        </w:rPr>
        <w:drawing>
          <wp:inline distT="0" distB="0" distL="0" distR="0" wp14:anchorId="068E0034" wp14:editId="5B143F97">
            <wp:extent cx="5759450" cy="2534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tif"/>
                    <pic:cNvPicPr/>
                  </pic:nvPicPr>
                  <pic:blipFill>
                    <a:blip r:embed="rId13"/>
                    <a:stretch>
                      <a:fillRect/>
                    </a:stretch>
                  </pic:blipFill>
                  <pic:spPr>
                    <a:xfrm>
                      <a:off x="0" y="0"/>
                      <a:ext cx="5759450" cy="2534285"/>
                    </a:xfrm>
                    <a:prstGeom prst="rect">
                      <a:avLst/>
                    </a:prstGeom>
                  </pic:spPr>
                </pic:pic>
              </a:graphicData>
            </a:graphic>
          </wp:inline>
        </w:drawing>
      </w:r>
      <w:r w:rsidR="001A0C86" w:rsidRPr="00024FD1">
        <w:rPr>
          <w:b/>
          <w:bCs/>
          <w:iCs w:val="0"/>
          <w:color w:val="auto"/>
          <w:sz w:val="24"/>
          <w:szCs w:val="22"/>
        </w:rPr>
        <w:t xml:space="preserve">Figure </w:t>
      </w:r>
      <w:r w:rsidR="001A0C86" w:rsidRPr="00024FD1">
        <w:rPr>
          <w:b/>
          <w:bCs/>
          <w:iCs w:val="0"/>
          <w:color w:val="auto"/>
          <w:sz w:val="24"/>
          <w:szCs w:val="22"/>
        </w:rPr>
        <w:fldChar w:fldCharType="begin"/>
      </w:r>
      <w:r w:rsidR="001A0C86" w:rsidRPr="00024FD1">
        <w:rPr>
          <w:b/>
          <w:bCs/>
          <w:iCs w:val="0"/>
          <w:color w:val="auto"/>
          <w:sz w:val="24"/>
          <w:szCs w:val="22"/>
        </w:rPr>
        <w:instrText xml:space="preserve"> SEQ Figure \* ARABIC </w:instrText>
      </w:r>
      <w:r w:rsidR="001A0C86" w:rsidRPr="00024FD1">
        <w:rPr>
          <w:b/>
          <w:bCs/>
          <w:iCs w:val="0"/>
          <w:color w:val="auto"/>
          <w:sz w:val="24"/>
          <w:szCs w:val="22"/>
        </w:rPr>
        <w:fldChar w:fldCharType="separate"/>
      </w:r>
      <w:r w:rsidR="0045364C" w:rsidRPr="00024FD1">
        <w:rPr>
          <w:b/>
          <w:bCs/>
          <w:iCs w:val="0"/>
          <w:color w:val="auto"/>
          <w:sz w:val="24"/>
          <w:szCs w:val="22"/>
        </w:rPr>
        <w:t>5</w:t>
      </w:r>
      <w:r w:rsidR="001A0C86" w:rsidRPr="00024FD1">
        <w:rPr>
          <w:b/>
          <w:bCs/>
          <w:iCs w:val="0"/>
          <w:color w:val="auto"/>
          <w:sz w:val="24"/>
          <w:szCs w:val="22"/>
        </w:rPr>
        <w:fldChar w:fldCharType="end"/>
      </w:r>
      <w:r w:rsidR="001A0C86" w:rsidRPr="00024FD1">
        <w:rPr>
          <w:b/>
          <w:bCs/>
          <w:iCs w:val="0"/>
          <w:color w:val="auto"/>
          <w:sz w:val="24"/>
          <w:szCs w:val="22"/>
        </w:rPr>
        <w:t>.</w:t>
      </w:r>
      <w:r w:rsidR="001A0C86" w:rsidRPr="00024FD1">
        <w:rPr>
          <w:iCs w:val="0"/>
          <w:color w:val="auto"/>
          <w:sz w:val="24"/>
          <w:szCs w:val="22"/>
        </w:rPr>
        <w:t xml:space="preserve"> </w:t>
      </w:r>
      <w:r w:rsidR="008B45F6" w:rsidRPr="00024FD1">
        <w:rPr>
          <w:iCs w:val="0"/>
          <w:color w:val="auto"/>
          <w:sz w:val="24"/>
          <w:szCs w:val="22"/>
        </w:rPr>
        <w:t xml:space="preserve">Evaluation of biocompatibility. </w:t>
      </w:r>
      <w:r w:rsidR="00AA20B6" w:rsidRPr="00024FD1">
        <w:rPr>
          <w:iCs w:val="0"/>
          <w:color w:val="auto"/>
          <w:sz w:val="24"/>
          <w:szCs w:val="22"/>
        </w:rPr>
        <w:t xml:space="preserve">A) </w:t>
      </w:r>
      <w:bookmarkStart w:id="15" w:name="_Hlk117945017"/>
      <w:r w:rsidR="001A0C86" w:rsidRPr="00024FD1">
        <w:rPr>
          <w:iCs w:val="0"/>
          <w:color w:val="auto"/>
          <w:sz w:val="24"/>
          <w:szCs w:val="22"/>
        </w:rPr>
        <w:t xml:space="preserve">Chick CAM </w:t>
      </w:r>
      <w:r w:rsidR="001A0C86" w:rsidRPr="00BB4165">
        <w:rPr>
          <w:i/>
          <w:color w:val="auto"/>
          <w:sz w:val="24"/>
          <w:szCs w:val="22"/>
        </w:rPr>
        <w:t>ex vivo</w:t>
      </w:r>
      <w:bookmarkEnd w:id="15"/>
      <w:r w:rsidR="001A0C86" w:rsidRPr="00024FD1">
        <w:rPr>
          <w:iCs w:val="0"/>
          <w:color w:val="auto"/>
          <w:sz w:val="24"/>
          <w:szCs w:val="22"/>
        </w:rPr>
        <w:t xml:space="preserve"> model implantation of scaffolds 2-HPS and 3-HPS with</w:t>
      </w:r>
      <w:r w:rsidR="008B45F6" w:rsidRPr="00024FD1">
        <w:rPr>
          <w:iCs w:val="0"/>
          <w:color w:val="auto"/>
          <w:sz w:val="24"/>
          <w:szCs w:val="22"/>
        </w:rPr>
        <w:t xml:space="preserve"> (+)</w:t>
      </w:r>
      <w:r w:rsidR="001A0C86" w:rsidRPr="00024FD1">
        <w:rPr>
          <w:iCs w:val="0"/>
          <w:color w:val="auto"/>
          <w:sz w:val="24"/>
          <w:szCs w:val="22"/>
        </w:rPr>
        <w:t xml:space="preserve"> and without</w:t>
      </w:r>
      <w:r w:rsidR="008B45F6" w:rsidRPr="00024FD1">
        <w:rPr>
          <w:iCs w:val="0"/>
          <w:color w:val="auto"/>
          <w:sz w:val="24"/>
          <w:szCs w:val="22"/>
        </w:rPr>
        <w:t xml:space="preserve"> (-)</w:t>
      </w:r>
      <w:r w:rsidR="001A0C86" w:rsidRPr="00024FD1">
        <w:rPr>
          <w:iCs w:val="0"/>
          <w:color w:val="auto"/>
          <w:sz w:val="24"/>
          <w:szCs w:val="22"/>
        </w:rPr>
        <w:t xml:space="preserve"> </w:t>
      </w:r>
      <w:r w:rsidR="009844AB" w:rsidRPr="00024FD1">
        <w:rPr>
          <w:iCs w:val="0"/>
          <w:color w:val="auto"/>
          <w:sz w:val="24"/>
          <w:szCs w:val="22"/>
        </w:rPr>
        <w:t>FBMSCs after basal conditioning.</w:t>
      </w:r>
      <w:r w:rsidR="001A0C86" w:rsidRPr="00024FD1">
        <w:rPr>
          <w:iCs w:val="0"/>
          <w:color w:val="auto"/>
          <w:sz w:val="24"/>
          <w:szCs w:val="22"/>
        </w:rPr>
        <w:t xml:space="preserve"> Quantification of the vasculature via Chalkley score of chick CAM.</w:t>
      </w:r>
      <w:r w:rsidR="00AA20B6" w:rsidRPr="00024FD1">
        <w:rPr>
          <w:iCs w:val="0"/>
          <w:color w:val="auto"/>
          <w:sz w:val="24"/>
          <w:szCs w:val="22"/>
        </w:rPr>
        <w:t xml:space="preserve"> </w:t>
      </w:r>
      <w:bookmarkStart w:id="16" w:name="_Hlk54520728"/>
      <w:r w:rsidR="00E76D41" w:rsidRPr="00024FD1">
        <w:rPr>
          <w:iCs w:val="0"/>
          <w:color w:val="auto"/>
          <w:sz w:val="24"/>
          <w:szCs w:val="22"/>
        </w:rPr>
        <w:t>Sham operated c</w:t>
      </w:r>
      <w:r w:rsidR="00A2253E" w:rsidRPr="00024FD1">
        <w:rPr>
          <w:iCs w:val="0"/>
          <w:color w:val="auto"/>
          <w:sz w:val="24"/>
          <w:szCs w:val="22"/>
        </w:rPr>
        <w:t>hick eggs</w:t>
      </w:r>
      <w:r w:rsidR="00E76D41" w:rsidRPr="00024FD1">
        <w:rPr>
          <w:iCs w:val="0"/>
          <w:color w:val="auto"/>
          <w:sz w:val="24"/>
          <w:szCs w:val="22"/>
        </w:rPr>
        <w:t>, with an opening created</w:t>
      </w:r>
      <w:r w:rsidR="003519DC" w:rsidRPr="00024FD1">
        <w:rPr>
          <w:iCs w:val="0"/>
          <w:color w:val="auto"/>
          <w:sz w:val="24"/>
          <w:szCs w:val="22"/>
        </w:rPr>
        <w:t xml:space="preserve"> </w:t>
      </w:r>
      <w:r w:rsidR="00A2253E" w:rsidRPr="00024FD1">
        <w:rPr>
          <w:iCs w:val="0"/>
          <w:color w:val="auto"/>
          <w:sz w:val="24"/>
          <w:szCs w:val="22"/>
        </w:rPr>
        <w:t xml:space="preserve">in the eggshell and </w:t>
      </w:r>
      <w:r w:rsidR="00E76D41" w:rsidRPr="00024FD1">
        <w:rPr>
          <w:iCs w:val="0"/>
          <w:color w:val="auto"/>
          <w:sz w:val="24"/>
          <w:szCs w:val="22"/>
        </w:rPr>
        <w:t>in the absence of</w:t>
      </w:r>
      <w:r w:rsidR="00A2253E" w:rsidRPr="00024FD1">
        <w:rPr>
          <w:iCs w:val="0"/>
          <w:color w:val="auto"/>
          <w:sz w:val="24"/>
          <w:szCs w:val="22"/>
        </w:rPr>
        <w:t xml:space="preserve"> implant</w:t>
      </w:r>
      <w:r w:rsidR="00087992" w:rsidRPr="00024FD1">
        <w:rPr>
          <w:iCs w:val="0"/>
          <w:color w:val="auto"/>
          <w:sz w:val="24"/>
          <w:szCs w:val="22"/>
        </w:rPr>
        <w:t xml:space="preserve">ed </w:t>
      </w:r>
      <w:r w:rsidR="00A2253E" w:rsidRPr="00024FD1">
        <w:rPr>
          <w:iCs w:val="0"/>
          <w:color w:val="auto"/>
          <w:sz w:val="24"/>
          <w:szCs w:val="22"/>
        </w:rPr>
        <w:t xml:space="preserve">scaffolds </w:t>
      </w:r>
      <w:r w:rsidR="00E76D41" w:rsidRPr="00024FD1">
        <w:rPr>
          <w:iCs w:val="0"/>
          <w:color w:val="auto"/>
          <w:sz w:val="24"/>
          <w:szCs w:val="22"/>
        </w:rPr>
        <w:t xml:space="preserve">served as </w:t>
      </w:r>
      <w:r w:rsidR="00A2253E" w:rsidRPr="00024FD1">
        <w:rPr>
          <w:iCs w:val="0"/>
          <w:color w:val="auto"/>
          <w:sz w:val="24"/>
          <w:szCs w:val="22"/>
        </w:rPr>
        <w:t xml:space="preserve">controls (empty). </w:t>
      </w:r>
      <w:bookmarkEnd w:id="16"/>
      <w:r w:rsidR="00AA20B6" w:rsidRPr="00024FD1">
        <w:rPr>
          <w:iCs w:val="0"/>
          <w:color w:val="auto"/>
          <w:sz w:val="24"/>
          <w:szCs w:val="22"/>
        </w:rPr>
        <w:t xml:space="preserve">One-way ANOVA with Bonferroni post-test (* p ≤ 0.05, ** p ≤ 0.01, *** p ≤ 0.001 and **** p ≤ 0.0001). Mean ± SD, n=5- 9. B) In vitro evaluation of FBMSCs production of bone ECM on 3D porous polymer scaffolds. </w:t>
      </w:r>
      <w:r w:rsidR="001D0E11" w:rsidRPr="00024FD1">
        <w:rPr>
          <w:iCs w:val="0"/>
          <w:color w:val="auto"/>
          <w:sz w:val="24"/>
          <w:szCs w:val="22"/>
        </w:rPr>
        <w:t>Scaffolds 2-HPS were seeded with FBMSCs and cultured in basal and osteogenic media for 7 and 21 days. Immunofluorescence assessment for expression</w:t>
      </w:r>
      <w:r w:rsidR="009844AB" w:rsidRPr="00024FD1">
        <w:rPr>
          <w:iCs w:val="0"/>
          <w:color w:val="auto"/>
          <w:sz w:val="24"/>
          <w:szCs w:val="22"/>
        </w:rPr>
        <w:t xml:space="preserve"> of t</w:t>
      </w:r>
      <w:r w:rsidR="001D0E11" w:rsidRPr="00024FD1">
        <w:rPr>
          <w:iCs w:val="0"/>
          <w:color w:val="auto"/>
          <w:sz w:val="24"/>
          <w:szCs w:val="22"/>
        </w:rPr>
        <w:t xml:space="preserve">ype I collagen (stained red) and osteopontin (stained red) together with DAPI nuclear staining (stained cyan). </w:t>
      </w:r>
      <w:r w:rsidR="009844AB" w:rsidRPr="00024FD1">
        <w:rPr>
          <w:iCs w:val="0"/>
          <w:color w:val="auto"/>
          <w:sz w:val="24"/>
          <w:szCs w:val="22"/>
        </w:rPr>
        <w:t xml:space="preserve">Arrows show cell aggregations. </w:t>
      </w:r>
      <w:r w:rsidR="001D0E11" w:rsidRPr="00024FD1">
        <w:rPr>
          <w:iCs w:val="0"/>
          <w:color w:val="auto"/>
          <w:sz w:val="24"/>
          <w:szCs w:val="22"/>
        </w:rPr>
        <w:t>Scale bar 100 µm.</w:t>
      </w:r>
      <w:r w:rsidR="001D0E11" w:rsidRPr="00024FD1">
        <w:t xml:space="preserve"> </w:t>
      </w:r>
    </w:p>
    <w:p w14:paraId="62FBDD6E" w14:textId="77777777" w:rsidR="00AA20B6" w:rsidRPr="00024FD1" w:rsidRDefault="00AA20B6" w:rsidP="001A0C86">
      <w:pPr>
        <w:pStyle w:val="Caption"/>
      </w:pPr>
    </w:p>
    <w:p w14:paraId="19770F91" w14:textId="18298BAD" w:rsidR="002A3112" w:rsidRPr="00024FD1" w:rsidRDefault="00E615C6" w:rsidP="00946A33">
      <w:pPr>
        <w:spacing w:line="480" w:lineRule="auto"/>
        <w:jc w:val="both"/>
        <w:rPr>
          <w:b/>
          <w:bCs/>
        </w:rPr>
      </w:pPr>
      <w:r w:rsidRPr="00024FD1">
        <w:rPr>
          <w:b/>
          <w:bCs/>
        </w:rPr>
        <w:t>Subcutaneous scaffold implantation to assess vascular infiltration in vivo</w:t>
      </w:r>
    </w:p>
    <w:p w14:paraId="5A1D1791" w14:textId="2821EAF2" w:rsidR="00037C77" w:rsidRDefault="000E2592" w:rsidP="00946A33">
      <w:pPr>
        <w:spacing w:line="480" w:lineRule="auto"/>
        <w:jc w:val="both"/>
        <w:rPr>
          <w:rFonts w:cs="Arial"/>
          <w:szCs w:val="24"/>
        </w:rPr>
      </w:pPr>
      <w:r w:rsidRPr="00024FD1">
        <w:rPr>
          <w:b/>
          <w:bCs/>
        </w:rPr>
        <w:t xml:space="preserve"> </w:t>
      </w:r>
      <w:r w:rsidR="00B62506" w:rsidRPr="00024FD1">
        <w:rPr>
          <w:rFonts w:cs="Arial"/>
          <w:i/>
          <w:szCs w:val="24"/>
        </w:rPr>
        <w:t>I</w:t>
      </w:r>
      <w:r w:rsidR="003E12F9" w:rsidRPr="00024FD1">
        <w:rPr>
          <w:rFonts w:cs="Arial"/>
          <w:i/>
          <w:szCs w:val="24"/>
        </w:rPr>
        <w:t>n vivo</w:t>
      </w:r>
      <w:r w:rsidR="003E12F9" w:rsidRPr="00024FD1">
        <w:rPr>
          <w:rFonts w:cs="Arial"/>
          <w:szCs w:val="24"/>
        </w:rPr>
        <w:t xml:space="preserve"> analysis using </w:t>
      </w:r>
      <w:r w:rsidR="001E0B5D">
        <w:rPr>
          <w:rFonts w:cs="Arial"/>
          <w:szCs w:val="24"/>
        </w:rPr>
        <w:t>a</w:t>
      </w:r>
      <w:r w:rsidR="001E0B5D" w:rsidRPr="00024FD1">
        <w:rPr>
          <w:rFonts w:cs="Arial"/>
          <w:szCs w:val="24"/>
        </w:rPr>
        <w:t xml:space="preserve"> </w:t>
      </w:r>
      <w:r w:rsidR="003E12F9" w:rsidRPr="00024FD1">
        <w:rPr>
          <w:rFonts w:cs="Arial"/>
          <w:szCs w:val="24"/>
        </w:rPr>
        <w:t xml:space="preserve">subcutaneous murine model was undertaken to </w:t>
      </w:r>
      <w:r w:rsidR="00E615C6" w:rsidRPr="00024FD1">
        <w:rPr>
          <w:rFonts w:cs="Arial"/>
          <w:szCs w:val="24"/>
        </w:rPr>
        <w:t xml:space="preserve">further investigate </w:t>
      </w:r>
      <w:r w:rsidR="005D3803" w:rsidRPr="00024FD1">
        <w:rPr>
          <w:rFonts w:cs="Arial"/>
          <w:szCs w:val="24"/>
        </w:rPr>
        <w:t>the a</w:t>
      </w:r>
      <w:r w:rsidR="00A909AE" w:rsidRPr="00024FD1">
        <w:rPr>
          <w:rFonts w:cs="Arial"/>
          <w:szCs w:val="24"/>
        </w:rPr>
        <w:t>n</w:t>
      </w:r>
      <w:r w:rsidR="005D3803" w:rsidRPr="00024FD1">
        <w:rPr>
          <w:rFonts w:cs="Arial"/>
          <w:szCs w:val="24"/>
        </w:rPr>
        <w:t>giogenic propert</w:t>
      </w:r>
      <w:r w:rsidR="00781ED3" w:rsidRPr="00024FD1">
        <w:rPr>
          <w:rFonts w:cs="Arial"/>
          <w:szCs w:val="24"/>
        </w:rPr>
        <w:t>ies</w:t>
      </w:r>
      <w:r w:rsidR="005D3803" w:rsidRPr="00024FD1">
        <w:rPr>
          <w:rFonts w:cs="Arial"/>
          <w:szCs w:val="24"/>
        </w:rPr>
        <w:t xml:space="preserve"> </w:t>
      </w:r>
      <w:r w:rsidR="004D5DD5" w:rsidRPr="00024FD1">
        <w:rPr>
          <w:rFonts w:cs="Arial"/>
          <w:szCs w:val="24"/>
        </w:rPr>
        <w:t xml:space="preserve">of </w:t>
      </w:r>
      <w:r w:rsidR="006B39C8" w:rsidRPr="00024FD1">
        <w:rPr>
          <w:rFonts w:cs="Arial"/>
          <w:szCs w:val="24"/>
        </w:rPr>
        <w:t xml:space="preserve">2-HPS </w:t>
      </w:r>
      <w:r w:rsidR="00E9629C" w:rsidRPr="00024FD1">
        <w:rPr>
          <w:rFonts w:cs="Arial"/>
          <w:szCs w:val="24"/>
        </w:rPr>
        <w:t>seeded with</w:t>
      </w:r>
      <w:r w:rsidR="00EB75FD" w:rsidRPr="00024FD1">
        <w:rPr>
          <w:rFonts w:cs="Arial"/>
          <w:szCs w:val="24"/>
        </w:rPr>
        <w:t xml:space="preserve"> FBMSCs pre-conditioned in basal and osteogenic media</w:t>
      </w:r>
      <w:r w:rsidR="002A3112" w:rsidRPr="00024FD1">
        <w:rPr>
          <w:rFonts w:cs="Arial"/>
          <w:szCs w:val="24"/>
        </w:rPr>
        <w:t xml:space="preserve"> </w:t>
      </w:r>
      <w:r w:rsidR="000D67E9" w:rsidRPr="00024FD1">
        <w:rPr>
          <w:rFonts w:cs="Arial"/>
          <w:szCs w:val="24"/>
        </w:rPr>
        <w:fldChar w:fldCharType="begin" w:fldLock="1"/>
      </w:r>
      <w:r w:rsidR="0033591E">
        <w:rPr>
          <w:rFonts w:cs="Arial"/>
          <w:szCs w:val="24"/>
        </w:rPr>
        <w:instrText xml:space="preserve"> ADDIN ZOTERO_ITEM CSL_CITATION {"citationID":"L0fnpSe6","properties":{"formattedCitation":"\\super 52\\nosupersub{}","plainCitation":"52","noteIndex":0},"citationItems":[{"id":"1dryys0K/LqSc8XLm","uris":["http://www.mendeley.com/documents/?uuid=f2ef0557-ac10-46fa-bbd7-b9ad7ab05bd2","http://www.mendeley.com/documents/?uuid=031f526a-bbd3-4a74-9c08-08f6126495b5"],"itemData":{"DOI":"10.1242/dmm.033084","ISSN":"1754-8403","abstract":"Tissue engineering and its clinical application, regenerative medicine, are instructing multiple approaches to aid in replacing bone loss after defects caused by trauma or cancer. In such cases, bone formation can be guided by engineered biodegradable and nonbiodegradable scaffolds with clearly defined architectural and mechanical properties informed by evidence-based research. With the ever-increasing expansion of bone tissue engineering and the pioneering research conducted to date, preclinical models are becoming a necessity to allow the engineered products to be translated to the clinic. In addition to creating smart bone scaffolds to mitigate bone loss, the field of tissue engineering and regenerative medicine is exploring methods to treat primary and secondary bone malignancies by creating models that mimic the clinical disease manifestation. This Review gives an overview of the preclinical testing in animal models used to evaluate bone regeneration concepts. Immunosuppressed rodent models have shown to be successful in mimicking bone malignancy via the implantation of human-derived cancer cells, whereas large animal models, including pigs, sheep and goats, are being used to provide an insight into bone formation and the effectiveness of scaffolds in induced tibial or femoral defects, providing clinically relevant similarity to human cases. Despite the recent progress, the successful translation of bone regeneration concepts from the bench to the bedside is rooted in the efforts of different research groups to standardise and validate the preclinical models for bone tissue engineering approaches.","author":[{"dropping-particle":"","family":"McGovern","given":"Jacqui Anne","non-dropping-particle":"","parse-names":false,"suffix":""},{"dropping-particle":"","family":"Griffin","given":"Michelle","non-dropping-particle":"","parse-names":false,"suffix":""},{"dropping-particle":"","family":"Hutmacher","given":"Dietmar Werner","non-dropping-particle":"","parse-names":false,"suffix":""}],"container-title":"Disease Models &amp; Mechanisms","id":"ITEM-1","issue":"4","issued":{"date-parts":[["2018"]]},"page":"dmm033084","title":"Animal models for bone tissue engineering and modelling disease","type":"article-journal","volume":"11"}}],"schema":"https://github.com/citation-style-language/schema/raw/master/csl-citation.json"} </w:instrText>
      </w:r>
      <w:r w:rsidR="000D67E9" w:rsidRPr="00024FD1">
        <w:rPr>
          <w:rFonts w:cs="Arial"/>
          <w:szCs w:val="24"/>
        </w:rPr>
        <w:fldChar w:fldCharType="separate"/>
      </w:r>
      <w:r w:rsidR="0033591E" w:rsidRPr="0033591E">
        <w:rPr>
          <w:rFonts w:cs="Times"/>
          <w:szCs w:val="24"/>
          <w:vertAlign w:val="superscript"/>
        </w:rPr>
        <w:t>52</w:t>
      </w:r>
      <w:r w:rsidR="000D67E9" w:rsidRPr="00024FD1">
        <w:rPr>
          <w:rFonts w:cs="Arial"/>
          <w:szCs w:val="24"/>
        </w:rPr>
        <w:fldChar w:fldCharType="end"/>
      </w:r>
      <w:r w:rsidR="002A3112" w:rsidRPr="00024FD1">
        <w:rPr>
          <w:rFonts w:cs="Arial"/>
          <w:szCs w:val="24"/>
        </w:rPr>
        <w:t xml:space="preserve">. </w:t>
      </w:r>
      <w:r w:rsidR="003E12F9" w:rsidRPr="00024FD1">
        <w:rPr>
          <w:rFonts w:cs="Arial"/>
          <w:szCs w:val="24"/>
        </w:rPr>
        <w:t xml:space="preserve">The </w:t>
      </w:r>
      <w:r w:rsidR="008B174F" w:rsidRPr="00024FD1">
        <w:rPr>
          <w:rFonts w:cs="Arial"/>
          <w:szCs w:val="24"/>
        </w:rPr>
        <w:t xml:space="preserve">2-HPS </w:t>
      </w:r>
      <w:r w:rsidR="003E12F9" w:rsidRPr="00024FD1">
        <w:rPr>
          <w:rFonts w:cs="Arial"/>
          <w:szCs w:val="24"/>
        </w:rPr>
        <w:t xml:space="preserve">scaffold </w:t>
      </w:r>
      <w:r w:rsidR="00781ED3" w:rsidRPr="00024FD1">
        <w:rPr>
          <w:rFonts w:cs="Arial"/>
          <w:szCs w:val="24"/>
        </w:rPr>
        <w:t>was</w:t>
      </w:r>
      <w:r w:rsidR="008B174F" w:rsidRPr="00024FD1">
        <w:rPr>
          <w:rFonts w:cs="Arial"/>
          <w:szCs w:val="24"/>
        </w:rPr>
        <w:t xml:space="preserve"> selected </w:t>
      </w:r>
      <w:r w:rsidR="003E12F9" w:rsidRPr="00024FD1">
        <w:rPr>
          <w:rFonts w:cs="Arial"/>
          <w:szCs w:val="24"/>
        </w:rPr>
        <w:t>given the enhanced</w:t>
      </w:r>
      <w:r w:rsidR="00B102A6" w:rsidRPr="00024FD1">
        <w:rPr>
          <w:rFonts w:cs="Arial"/>
          <w:szCs w:val="24"/>
        </w:rPr>
        <w:t xml:space="preserve"> </w:t>
      </w:r>
      <w:r w:rsidR="005D3803" w:rsidRPr="00024FD1">
        <w:rPr>
          <w:rFonts w:cs="Arial"/>
          <w:szCs w:val="24"/>
        </w:rPr>
        <w:t xml:space="preserve">long-term </w:t>
      </w:r>
      <w:r w:rsidR="00B102A6" w:rsidRPr="00024FD1">
        <w:rPr>
          <w:rFonts w:cs="Arial"/>
          <w:szCs w:val="24"/>
        </w:rPr>
        <w:t>c</w:t>
      </w:r>
      <w:r w:rsidR="00807B6C" w:rsidRPr="00024FD1">
        <w:rPr>
          <w:rFonts w:cs="Arial"/>
          <w:szCs w:val="24"/>
        </w:rPr>
        <w:t>ell survival</w:t>
      </w:r>
      <w:r w:rsidR="003E12F9" w:rsidRPr="00024FD1">
        <w:rPr>
          <w:rFonts w:cs="Arial"/>
          <w:szCs w:val="24"/>
        </w:rPr>
        <w:t>,</w:t>
      </w:r>
      <w:r w:rsidR="005D3803" w:rsidRPr="00024FD1">
        <w:rPr>
          <w:rFonts w:cs="Arial"/>
          <w:szCs w:val="24"/>
        </w:rPr>
        <w:t xml:space="preserve"> proliferation</w:t>
      </w:r>
      <w:r w:rsidR="003E12F9" w:rsidRPr="00024FD1">
        <w:rPr>
          <w:rFonts w:cs="Arial"/>
          <w:szCs w:val="24"/>
        </w:rPr>
        <w:t xml:space="preserve"> and</w:t>
      </w:r>
      <w:r w:rsidR="00807B6C" w:rsidRPr="00024FD1">
        <w:rPr>
          <w:rFonts w:cs="Arial"/>
          <w:szCs w:val="24"/>
        </w:rPr>
        <w:t xml:space="preserve"> </w:t>
      </w:r>
      <w:r w:rsidR="00E9629C" w:rsidRPr="00024FD1">
        <w:rPr>
          <w:rFonts w:cs="Arial"/>
          <w:i/>
          <w:iCs/>
          <w:szCs w:val="24"/>
        </w:rPr>
        <w:t>ex-vivo</w:t>
      </w:r>
      <w:r w:rsidR="00E9629C" w:rsidRPr="00024FD1">
        <w:rPr>
          <w:rFonts w:cs="Arial"/>
          <w:szCs w:val="24"/>
        </w:rPr>
        <w:t xml:space="preserve"> </w:t>
      </w:r>
      <w:r w:rsidR="00807B6C" w:rsidRPr="00024FD1">
        <w:rPr>
          <w:rFonts w:cs="Arial"/>
          <w:szCs w:val="24"/>
        </w:rPr>
        <w:t>biological function</w:t>
      </w:r>
      <w:r w:rsidR="005D3803" w:rsidRPr="00024FD1">
        <w:rPr>
          <w:rFonts w:cs="Arial"/>
          <w:szCs w:val="24"/>
        </w:rPr>
        <w:t xml:space="preserve"> </w:t>
      </w:r>
      <w:r w:rsidR="003E12F9" w:rsidRPr="00024FD1">
        <w:rPr>
          <w:rFonts w:cs="Arial"/>
          <w:szCs w:val="24"/>
        </w:rPr>
        <w:t>observed</w:t>
      </w:r>
      <w:r w:rsidR="00D049C5" w:rsidRPr="00024FD1">
        <w:rPr>
          <w:rFonts w:cs="Arial"/>
          <w:szCs w:val="24"/>
        </w:rPr>
        <w:t>.</w:t>
      </w:r>
      <w:r w:rsidR="00B102A6" w:rsidRPr="00024FD1">
        <w:rPr>
          <w:rFonts w:cs="Arial"/>
          <w:szCs w:val="24"/>
        </w:rPr>
        <w:t xml:space="preserve"> </w:t>
      </w:r>
      <w:r w:rsidR="00B62506" w:rsidRPr="00024FD1">
        <w:rPr>
          <w:rFonts w:cs="Arial"/>
          <w:szCs w:val="24"/>
        </w:rPr>
        <w:t>Morphological</w:t>
      </w:r>
      <w:r w:rsidR="003E12F9" w:rsidRPr="00024FD1">
        <w:rPr>
          <w:rFonts w:cs="Arial"/>
          <w:szCs w:val="24"/>
        </w:rPr>
        <w:t xml:space="preserve"> analysis of the scaffolds showed extensive levels of integration with the scaffolds</w:t>
      </w:r>
      <w:r w:rsidR="0069663E">
        <w:rPr>
          <w:rFonts w:cs="Arial"/>
          <w:szCs w:val="24"/>
        </w:rPr>
        <w:t>,</w:t>
      </w:r>
      <w:r w:rsidR="003E12F9" w:rsidRPr="00024FD1">
        <w:rPr>
          <w:rFonts w:cs="Arial"/>
          <w:szCs w:val="24"/>
        </w:rPr>
        <w:t xml:space="preserve"> almost indistinguishable from the surrounding tissue</w:t>
      </w:r>
      <w:r w:rsidR="0069663E">
        <w:rPr>
          <w:rFonts w:cs="Arial"/>
          <w:szCs w:val="24"/>
        </w:rPr>
        <w:t>,</w:t>
      </w:r>
      <w:r w:rsidR="003E12F9" w:rsidRPr="00024FD1">
        <w:rPr>
          <w:rFonts w:cs="Arial"/>
          <w:szCs w:val="24"/>
        </w:rPr>
        <w:t xml:space="preserve"> 4 weeks post-implantation (Figure 6</w:t>
      </w:r>
      <w:r w:rsidR="009B2631">
        <w:rPr>
          <w:rFonts w:cs="Arial"/>
          <w:szCs w:val="24"/>
        </w:rPr>
        <w:t>, top row</w:t>
      </w:r>
      <w:r w:rsidR="003E12F9" w:rsidRPr="00024FD1">
        <w:rPr>
          <w:rFonts w:cs="Arial"/>
          <w:szCs w:val="24"/>
        </w:rPr>
        <w:t>). Histological analysis</w:t>
      </w:r>
      <w:r w:rsidR="00513669" w:rsidRPr="00024FD1">
        <w:rPr>
          <w:rFonts w:cs="Arial"/>
          <w:szCs w:val="24"/>
        </w:rPr>
        <w:t>,</w:t>
      </w:r>
      <w:r w:rsidR="003E12F9" w:rsidRPr="00024FD1">
        <w:rPr>
          <w:rFonts w:cs="Arial"/>
          <w:szCs w:val="24"/>
        </w:rPr>
        <w:t xml:space="preserve"> using Alcian Blue/Sirius Red and Goldner’s Trichrome</w:t>
      </w:r>
      <w:r w:rsidR="00513669" w:rsidRPr="00024FD1">
        <w:rPr>
          <w:rFonts w:cs="Arial"/>
          <w:szCs w:val="24"/>
        </w:rPr>
        <w:t>,</w:t>
      </w:r>
      <w:r w:rsidR="003E12F9" w:rsidRPr="00024FD1">
        <w:rPr>
          <w:rFonts w:cs="Arial"/>
          <w:szCs w:val="24"/>
        </w:rPr>
        <w:t xml:space="preserve"> evidenced collagen staining around and within the scaffolds, </w:t>
      </w:r>
      <w:r w:rsidR="0069663E">
        <w:rPr>
          <w:rFonts w:cs="Arial"/>
          <w:szCs w:val="24"/>
        </w:rPr>
        <w:t>on</w:t>
      </w:r>
      <w:r w:rsidR="003E12F9" w:rsidRPr="00024FD1">
        <w:rPr>
          <w:rFonts w:cs="Arial"/>
          <w:szCs w:val="24"/>
        </w:rPr>
        <w:t xml:space="preserve"> scaffold 2-HPS seeded with FBMSCs and conditioned in basal and osteogenic media displaying elevated levels of staining (Figure 6</w:t>
      </w:r>
      <w:r w:rsidR="009B2631">
        <w:rPr>
          <w:rFonts w:cs="Arial"/>
          <w:szCs w:val="24"/>
        </w:rPr>
        <w:t>, top and middle rows</w:t>
      </w:r>
      <w:r w:rsidR="003E12F9" w:rsidRPr="00024FD1">
        <w:rPr>
          <w:rFonts w:cs="Arial"/>
          <w:szCs w:val="24"/>
        </w:rPr>
        <w:t xml:space="preserve">) </w:t>
      </w:r>
      <w:r w:rsidR="003E12F9" w:rsidRPr="00024FD1">
        <w:rPr>
          <w:rFonts w:cs="Arial"/>
          <w:szCs w:val="24"/>
        </w:rPr>
        <w:lastRenderedPageBreak/>
        <w:t>compared to the scaffold</w:t>
      </w:r>
      <w:r w:rsidR="00094318" w:rsidRPr="00024FD1">
        <w:rPr>
          <w:rFonts w:cs="Arial"/>
          <w:szCs w:val="24"/>
        </w:rPr>
        <w:t xml:space="preserve">s </w:t>
      </w:r>
      <w:r w:rsidR="003C0D57">
        <w:rPr>
          <w:rFonts w:cs="Arial"/>
          <w:szCs w:val="24"/>
        </w:rPr>
        <w:t xml:space="preserve">cultured in the absence of </w:t>
      </w:r>
      <w:r w:rsidR="003E12F9" w:rsidRPr="00024FD1">
        <w:rPr>
          <w:rFonts w:cs="Arial"/>
          <w:szCs w:val="24"/>
        </w:rPr>
        <w:t xml:space="preserve">cells (Figure </w:t>
      </w:r>
      <w:r w:rsidR="003E12F9" w:rsidRPr="00024FD1">
        <w:rPr>
          <w:rFonts w:cs="Arial"/>
          <w:noProof/>
          <w:szCs w:val="24"/>
        </w:rPr>
        <w:t>6</w:t>
      </w:r>
      <w:r w:rsidR="009B2631">
        <w:rPr>
          <w:rFonts w:cs="Arial"/>
          <w:szCs w:val="24"/>
        </w:rPr>
        <w:t>, bottom row</w:t>
      </w:r>
      <w:r w:rsidR="003E12F9" w:rsidRPr="00024FD1">
        <w:rPr>
          <w:rFonts w:cs="Arial"/>
          <w:szCs w:val="24"/>
        </w:rPr>
        <w:t xml:space="preserve">). </w:t>
      </w:r>
      <w:r w:rsidR="00E47FF3" w:rsidRPr="00024FD1">
        <w:rPr>
          <w:rFonts w:cs="Arial"/>
          <w:szCs w:val="24"/>
        </w:rPr>
        <w:t>2</w:t>
      </w:r>
      <w:r w:rsidR="00EB75FD" w:rsidRPr="00024FD1">
        <w:rPr>
          <w:rFonts w:cs="Arial"/>
          <w:szCs w:val="24"/>
        </w:rPr>
        <w:t xml:space="preserve">-HPS </w:t>
      </w:r>
      <w:r w:rsidR="00E47FF3" w:rsidRPr="00024FD1">
        <w:rPr>
          <w:rFonts w:cs="Arial"/>
          <w:szCs w:val="24"/>
        </w:rPr>
        <w:t xml:space="preserve">scaffolds seeded </w:t>
      </w:r>
      <w:r w:rsidR="00EB75FD" w:rsidRPr="00024FD1">
        <w:rPr>
          <w:rFonts w:cs="Arial"/>
          <w:szCs w:val="24"/>
        </w:rPr>
        <w:t xml:space="preserve">with FBMSCs </w:t>
      </w:r>
      <w:r w:rsidR="00E47FF3" w:rsidRPr="00024FD1">
        <w:rPr>
          <w:rFonts w:cs="Arial"/>
          <w:szCs w:val="24"/>
        </w:rPr>
        <w:t xml:space="preserve">and maintained </w:t>
      </w:r>
      <w:r w:rsidR="00856220" w:rsidRPr="00024FD1">
        <w:rPr>
          <w:rFonts w:cs="Arial"/>
          <w:szCs w:val="24"/>
        </w:rPr>
        <w:t xml:space="preserve">under </w:t>
      </w:r>
      <w:r w:rsidR="00EB75FD" w:rsidRPr="00024FD1">
        <w:rPr>
          <w:rFonts w:cs="Arial"/>
          <w:szCs w:val="24"/>
        </w:rPr>
        <w:t>osteogenic condition</w:t>
      </w:r>
      <w:r w:rsidR="00E47FF3" w:rsidRPr="00024FD1">
        <w:rPr>
          <w:rFonts w:cs="Arial"/>
          <w:szCs w:val="24"/>
        </w:rPr>
        <w:t xml:space="preserve">s </w:t>
      </w:r>
      <w:r w:rsidR="00674C9D" w:rsidRPr="00024FD1">
        <w:rPr>
          <w:rFonts w:cs="Arial"/>
          <w:szCs w:val="24"/>
        </w:rPr>
        <w:t xml:space="preserve">showed </w:t>
      </w:r>
      <w:r w:rsidR="00917AC6">
        <w:rPr>
          <w:rFonts w:cs="Arial"/>
          <w:szCs w:val="24"/>
        </w:rPr>
        <w:t xml:space="preserve">preliminary signs </w:t>
      </w:r>
      <w:r w:rsidR="001E0B5D">
        <w:rPr>
          <w:rFonts w:cs="Arial"/>
          <w:szCs w:val="24"/>
        </w:rPr>
        <w:t>of</w:t>
      </w:r>
      <w:r w:rsidR="001E0B5D" w:rsidRPr="00024FD1">
        <w:rPr>
          <w:rFonts w:cs="Arial"/>
          <w:szCs w:val="24"/>
        </w:rPr>
        <w:t xml:space="preserve"> </w:t>
      </w:r>
      <w:r w:rsidR="00BF68F5" w:rsidRPr="00024FD1">
        <w:rPr>
          <w:rFonts w:cs="Arial"/>
          <w:szCs w:val="24"/>
        </w:rPr>
        <w:t xml:space="preserve">blood </w:t>
      </w:r>
      <w:r w:rsidR="00EB75FD" w:rsidRPr="00024FD1">
        <w:rPr>
          <w:rFonts w:cs="Arial"/>
          <w:szCs w:val="24"/>
        </w:rPr>
        <w:t>vessel formation within the scaffolds (</w:t>
      </w:r>
      <w:r w:rsidR="0053575E" w:rsidRPr="00024FD1">
        <w:rPr>
          <w:rFonts w:cs="Arial"/>
          <w:szCs w:val="24"/>
        </w:rPr>
        <w:t xml:space="preserve">Figure </w:t>
      </w:r>
      <w:r w:rsidR="0053575E" w:rsidRPr="00024FD1">
        <w:rPr>
          <w:rFonts w:cs="Arial"/>
          <w:noProof/>
          <w:szCs w:val="24"/>
        </w:rPr>
        <w:t>6</w:t>
      </w:r>
      <w:r w:rsidR="009B2631">
        <w:rPr>
          <w:rFonts w:cs="Arial"/>
          <w:szCs w:val="24"/>
        </w:rPr>
        <w:t>, middle row</w:t>
      </w:r>
      <w:r w:rsidR="00EB75FD" w:rsidRPr="00024FD1">
        <w:rPr>
          <w:rFonts w:cs="Arial"/>
          <w:szCs w:val="24"/>
        </w:rPr>
        <w:t xml:space="preserve">, </w:t>
      </w:r>
      <w:r w:rsidR="008F39AD" w:rsidRPr="00024FD1">
        <w:rPr>
          <w:rFonts w:cs="Arial"/>
          <w:szCs w:val="24"/>
        </w:rPr>
        <w:t xml:space="preserve">blue </w:t>
      </w:r>
      <w:r w:rsidR="00EB75FD" w:rsidRPr="00024FD1">
        <w:rPr>
          <w:rFonts w:cs="Arial"/>
          <w:szCs w:val="24"/>
        </w:rPr>
        <w:t>arrows)</w:t>
      </w:r>
      <w:r w:rsidR="00BF68F5" w:rsidRPr="00024FD1">
        <w:rPr>
          <w:rFonts w:cs="Arial"/>
          <w:szCs w:val="24"/>
        </w:rPr>
        <w:t>.</w:t>
      </w:r>
      <w:r w:rsidR="00513669" w:rsidRPr="00024FD1">
        <w:rPr>
          <w:rFonts w:cs="Arial"/>
          <w:szCs w:val="24"/>
        </w:rPr>
        <w:t xml:space="preserve"> </w:t>
      </w:r>
      <w:r w:rsidR="001E0B5D">
        <w:rPr>
          <w:rFonts w:cs="Arial"/>
          <w:szCs w:val="24"/>
        </w:rPr>
        <w:t>Since b</w:t>
      </w:r>
      <w:r w:rsidR="00513669" w:rsidRPr="00024FD1">
        <w:rPr>
          <w:rFonts w:cs="Arial"/>
          <w:szCs w:val="24"/>
        </w:rPr>
        <w:t>lood vessel formation is not</w:t>
      </w:r>
      <w:r w:rsidR="00BF68F5" w:rsidRPr="00024FD1">
        <w:rPr>
          <w:rFonts w:cs="Arial"/>
          <w:szCs w:val="24"/>
        </w:rPr>
        <w:t xml:space="preserve"> typically observed in the absence </w:t>
      </w:r>
      <w:r w:rsidR="00674C9D" w:rsidRPr="00024FD1">
        <w:rPr>
          <w:rFonts w:cs="Arial"/>
          <w:szCs w:val="24"/>
        </w:rPr>
        <w:t>of exogenously</w:t>
      </w:r>
      <w:r w:rsidR="00EB75FD" w:rsidRPr="00024FD1">
        <w:rPr>
          <w:rFonts w:cs="Arial"/>
          <w:szCs w:val="24"/>
        </w:rPr>
        <w:t xml:space="preserve"> supplied </w:t>
      </w:r>
      <w:r w:rsidR="00671945" w:rsidRPr="00024FD1">
        <w:rPr>
          <w:rFonts w:cs="Arial"/>
          <w:szCs w:val="24"/>
        </w:rPr>
        <w:t>growth factors</w:t>
      </w:r>
      <w:r w:rsidR="00EB75FD" w:rsidRPr="00024FD1">
        <w:rPr>
          <w:rFonts w:cs="Arial"/>
          <w:szCs w:val="24"/>
        </w:rPr>
        <w:t xml:space="preserve"> or endothelial cells</w:t>
      </w:r>
      <w:r w:rsidR="002A3112" w:rsidRPr="00024FD1">
        <w:rPr>
          <w:rFonts w:cs="Arial"/>
          <w:szCs w:val="24"/>
        </w:rPr>
        <w:t xml:space="preserve"> </w:t>
      </w:r>
      <w:r w:rsidR="00094318" w:rsidRPr="00024FD1">
        <w:rPr>
          <w:rFonts w:cs="Arial"/>
          <w:szCs w:val="24"/>
        </w:rPr>
        <w:fldChar w:fldCharType="begin" w:fldLock="1"/>
      </w:r>
      <w:r w:rsidR="0033591E">
        <w:rPr>
          <w:rFonts w:cs="Arial"/>
          <w:szCs w:val="24"/>
        </w:rPr>
        <w:instrText xml:space="preserve"> ADDIN ZOTERO_ITEM CSL_CITATION {"citationID":"MTB6J32I","properties":{"formattedCitation":"\\super 16\\nosupersub{}","plainCitation":"16","noteIndex":0},"citationItems":[{"id":"1dryys0K/Fsu9lqnH","uris":["http://www.mendeley.com/documents/?uuid=d71b4d4f-c3b2-455a-9541-f0a4d6738fa9","http://www.mendeley.com/documents/?uuid=5f3692bc-a7da-41f9-9ecb-58549ac6039d"],"itemData":{"DOI":"10.231/jim.0b013e3181f18e38","PMID":"20683343","author":[{"dropping-particle":"","family":"Papavasiliou","given":"Georgia","non-dropping-particle":"","parse-names":false,"suffix":""},{"dropping-particle":"","family":"Cheng","given":"Ming Huei","non-dropping-particle":"","parse-names":false,"suffix":""},{"dropping-particle":"","family":"Brey","given":"Eric M.","non-dropping-particle":"","parse-names":false,"suffix":""}],"container-title":"Journal of investigative medicine : the official publication of the American Federation for Clinical Research","id":"ITEM-1","issue":"7","issued":{"date-parts":[["2010"]]},"page":"838","publisher":"NIH Public Access","title":"Strategies for Vascularization of Polymer Scaffolds","type":"article-journal","volume":"58"}}],"schema":"https://github.com/citation-style-language/schema/raw/master/csl-citation.json"} </w:instrText>
      </w:r>
      <w:r w:rsidR="00094318" w:rsidRPr="00024FD1">
        <w:rPr>
          <w:rFonts w:cs="Arial"/>
          <w:szCs w:val="24"/>
        </w:rPr>
        <w:fldChar w:fldCharType="separate"/>
      </w:r>
      <w:r w:rsidR="00276F52" w:rsidRPr="00276F52">
        <w:rPr>
          <w:rFonts w:cs="Times"/>
          <w:szCs w:val="24"/>
          <w:vertAlign w:val="superscript"/>
        </w:rPr>
        <w:t>16</w:t>
      </w:r>
      <w:r w:rsidR="00094318" w:rsidRPr="00024FD1">
        <w:rPr>
          <w:rFonts w:cs="Arial"/>
          <w:szCs w:val="24"/>
        </w:rPr>
        <w:fldChar w:fldCharType="end"/>
      </w:r>
      <w:r w:rsidR="001E0B5D">
        <w:rPr>
          <w:rFonts w:cs="Arial"/>
          <w:szCs w:val="24"/>
        </w:rPr>
        <w:t>, t</w:t>
      </w:r>
      <w:r w:rsidR="00E47FF3" w:rsidRPr="00024FD1">
        <w:rPr>
          <w:rFonts w:cs="Arial"/>
          <w:szCs w:val="24"/>
        </w:rPr>
        <w:t xml:space="preserve">his </w:t>
      </w:r>
      <w:r w:rsidR="008F39AD" w:rsidRPr="00024FD1">
        <w:rPr>
          <w:rFonts w:cs="Arial"/>
          <w:szCs w:val="24"/>
        </w:rPr>
        <w:t xml:space="preserve">vasculature </w:t>
      </w:r>
      <w:r w:rsidR="00856220" w:rsidRPr="00024FD1">
        <w:rPr>
          <w:rFonts w:cs="Arial"/>
          <w:szCs w:val="24"/>
        </w:rPr>
        <w:t>augurs</w:t>
      </w:r>
      <w:r w:rsidR="00E47FF3" w:rsidRPr="00024FD1">
        <w:rPr>
          <w:rFonts w:cs="Arial"/>
          <w:szCs w:val="24"/>
        </w:rPr>
        <w:t xml:space="preserve"> well for the development of a new class of synthetic angiogenic materials.</w:t>
      </w:r>
      <w:r w:rsidR="00EA220A" w:rsidRPr="00024FD1">
        <w:rPr>
          <w:rFonts w:cs="Arial"/>
          <w:szCs w:val="24"/>
        </w:rPr>
        <w:t xml:space="preserve"> </w:t>
      </w:r>
    </w:p>
    <w:p w14:paraId="75D1BE42" w14:textId="628FC9CA" w:rsidR="000B3387" w:rsidRPr="00024FD1" w:rsidRDefault="000B3387" w:rsidP="00946A33">
      <w:pPr>
        <w:spacing w:line="480" w:lineRule="auto"/>
        <w:jc w:val="both"/>
        <w:rPr>
          <w:b/>
          <w:bCs/>
        </w:rPr>
      </w:pPr>
      <w:r>
        <w:rPr>
          <w:b/>
          <w:bCs/>
          <w:noProof/>
        </w:rPr>
        <w:drawing>
          <wp:inline distT="0" distB="0" distL="0" distR="0" wp14:anchorId="63DBACA5" wp14:editId="0D404A4A">
            <wp:extent cx="5677200" cy="269500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200" cy="2695009"/>
                    </a:xfrm>
                    <a:prstGeom prst="rect">
                      <a:avLst/>
                    </a:prstGeom>
                    <a:noFill/>
                  </pic:spPr>
                </pic:pic>
              </a:graphicData>
            </a:graphic>
          </wp:inline>
        </w:drawing>
      </w:r>
    </w:p>
    <w:p w14:paraId="05FF32CB" w14:textId="0A3021B9" w:rsidR="00914C4B" w:rsidRPr="00024FD1" w:rsidRDefault="00C62A44" w:rsidP="00BA4A70">
      <w:pPr>
        <w:jc w:val="both"/>
      </w:pPr>
      <w:bookmarkStart w:id="17" w:name="_Ref16593284"/>
      <w:r w:rsidRPr="00024FD1">
        <w:rPr>
          <w:b/>
          <w:bCs/>
        </w:rPr>
        <w:t xml:space="preserve">Figure </w:t>
      </w:r>
      <w:r w:rsidRPr="00024FD1">
        <w:rPr>
          <w:b/>
          <w:bCs/>
        </w:rPr>
        <w:fldChar w:fldCharType="begin"/>
      </w:r>
      <w:r w:rsidRPr="00024FD1">
        <w:rPr>
          <w:b/>
          <w:bCs/>
        </w:rPr>
        <w:instrText xml:space="preserve"> SEQ Figure \* ARABIC </w:instrText>
      </w:r>
      <w:r w:rsidRPr="00024FD1">
        <w:rPr>
          <w:b/>
          <w:bCs/>
        </w:rPr>
        <w:fldChar w:fldCharType="separate"/>
      </w:r>
      <w:r w:rsidR="00094318" w:rsidRPr="00024FD1">
        <w:rPr>
          <w:b/>
          <w:bCs/>
          <w:noProof/>
        </w:rPr>
        <w:t>6</w:t>
      </w:r>
      <w:r w:rsidRPr="00024FD1">
        <w:rPr>
          <w:b/>
          <w:bCs/>
        </w:rPr>
        <w:fldChar w:fldCharType="end"/>
      </w:r>
      <w:r w:rsidRPr="00024FD1">
        <w:rPr>
          <w:b/>
          <w:bCs/>
        </w:rPr>
        <w:t>.</w:t>
      </w:r>
      <w:r w:rsidRPr="00024FD1">
        <w:t xml:space="preserve"> </w:t>
      </w:r>
      <w:bookmarkStart w:id="18" w:name="_Hlk117945082"/>
      <w:bookmarkEnd w:id="17"/>
      <w:r w:rsidR="00914C4B" w:rsidRPr="00024FD1">
        <w:t>Histological evaluation</w:t>
      </w:r>
      <w:bookmarkEnd w:id="18"/>
      <w:r w:rsidR="00914C4B" w:rsidRPr="00024FD1">
        <w:t xml:space="preserve"> of 2-HPS integration, vasculature and bone formation </w:t>
      </w:r>
      <w:r w:rsidR="00127D2C" w:rsidRPr="00024FD1">
        <w:t xml:space="preserve">following </w:t>
      </w:r>
      <w:r w:rsidR="00914C4B" w:rsidRPr="00744DB2">
        <w:rPr>
          <w:i/>
        </w:rPr>
        <w:t>in vivo</w:t>
      </w:r>
      <w:r w:rsidR="00914C4B" w:rsidRPr="00024FD1">
        <w:t xml:space="preserve"> subcutaneous implantation. Macrographs of scaffold integration (i) and histological analysis with Alcian blue (ii - iii) and Goldner’s Trichrome</w:t>
      </w:r>
      <w:r w:rsidR="00E17823" w:rsidRPr="00024FD1">
        <w:t xml:space="preserve"> </w:t>
      </w:r>
      <w:r w:rsidR="00914C4B" w:rsidRPr="00024FD1">
        <w:t>(iv-v) of 2-HPS with FBMSCs after basal conditioning (A), 2-HPS with osteogenic conditioning (B) and 2-HPS without any cells (C) showed vasculature formation throughout the scaffolds and collagen deposition after 4 weeks post-implantation</w:t>
      </w:r>
      <w:r w:rsidR="00D63AE1" w:rsidRPr="00024FD1">
        <w:t>.</w:t>
      </w:r>
      <w:r w:rsidR="0003385B" w:rsidRPr="00024FD1">
        <w:t xml:space="preserve"> </w:t>
      </w:r>
      <w:r w:rsidR="0032670B" w:rsidRPr="00024FD1">
        <w:t xml:space="preserve">Squares show magnified areas, green arrowheads and </w:t>
      </w:r>
      <w:r w:rsidR="00671945" w:rsidRPr="00024FD1">
        <w:t xml:space="preserve">blue </w:t>
      </w:r>
      <w:r w:rsidR="0032670B" w:rsidRPr="00024FD1">
        <w:t>arrows indicate cells and vasculature respectively</w:t>
      </w:r>
      <w:r w:rsidR="00914C4B" w:rsidRPr="00024FD1">
        <w:t xml:space="preserve">. Scale bar in (ii) and (iv) 500 µm, (iii) and (v) 100 µm. </w:t>
      </w:r>
    </w:p>
    <w:p w14:paraId="017FFB9D" w14:textId="77777777" w:rsidR="004273F7" w:rsidRPr="00024FD1" w:rsidRDefault="004273F7" w:rsidP="004273F7">
      <w:pPr>
        <w:rPr>
          <w:rFonts w:cs="Arial"/>
        </w:rPr>
      </w:pPr>
    </w:p>
    <w:p w14:paraId="34149373" w14:textId="499234D8" w:rsidR="004626C5" w:rsidRPr="00024FD1" w:rsidRDefault="00037C77" w:rsidP="0071692F">
      <w:pPr>
        <w:spacing w:line="480" w:lineRule="auto"/>
        <w:jc w:val="both"/>
        <w:rPr>
          <w:rFonts w:cs="Arial"/>
          <w:szCs w:val="24"/>
        </w:rPr>
      </w:pPr>
      <w:r w:rsidRPr="00024FD1">
        <w:rPr>
          <w:rFonts w:cs="Arial"/>
          <w:szCs w:val="24"/>
        </w:rPr>
        <w:t>The</w:t>
      </w:r>
      <w:r w:rsidR="00496764" w:rsidRPr="00024FD1">
        <w:rPr>
          <w:rFonts w:cs="Arial"/>
          <w:szCs w:val="24"/>
        </w:rPr>
        <w:t xml:space="preserve"> histopathological analysis</w:t>
      </w:r>
      <w:r w:rsidRPr="00024FD1">
        <w:rPr>
          <w:rFonts w:cs="Arial"/>
          <w:szCs w:val="24"/>
        </w:rPr>
        <w:t xml:space="preserve"> </w:t>
      </w:r>
      <w:r w:rsidR="00E55544" w:rsidRPr="00024FD1">
        <w:rPr>
          <w:rFonts w:cs="Arial"/>
          <w:szCs w:val="24"/>
        </w:rPr>
        <w:t xml:space="preserve">of the scaffolds </w:t>
      </w:r>
      <w:r w:rsidR="00127D2C" w:rsidRPr="00024FD1">
        <w:rPr>
          <w:rFonts w:cs="Arial"/>
          <w:szCs w:val="24"/>
        </w:rPr>
        <w:t>using</w:t>
      </w:r>
      <w:r w:rsidRPr="00024FD1">
        <w:rPr>
          <w:rFonts w:cs="Arial"/>
          <w:szCs w:val="24"/>
        </w:rPr>
        <w:t xml:space="preserve"> H&amp;E staining </w:t>
      </w:r>
      <w:r w:rsidR="00A532CB" w:rsidRPr="00024FD1">
        <w:rPr>
          <w:rFonts w:cs="Arial"/>
          <w:szCs w:val="24"/>
        </w:rPr>
        <w:t xml:space="preserve">confirmed </w:t>
      </w:r>
      <w:r w:rsidR="00127D2C" w:rsidRPr="00024FD1">
        <w:rPr>
          <w:rFonts w:cs="Arial"/>
          <w:szCs w:val="24"/>
        </w:rPr>
        <w:t xml:space="preserve">the </w:t>
      </w:r>
      <w:r w:rsidR="00F527A7" w:rsidRPr="00024FD1">
        <w:rPr>
          <w:rFonts w:cs="Arial"/>
          <w:szCs w:val="24"/>
        </w:rPr>
        <w:t xml:space="preserve">presence of lumen-like structures </w:t>
      </w:r>
      <w:r w:rsidR="00127D2C" w:rsidRPr="00024FD1">
        <w:rPr>
          <w:rFonts w:cs="Arial"/>
          <w:szCs w:val="24"/>
        </w:rPr>
        <w:t xml:space="preserve">together </w:t>
      </w:r>
      <w:r w:rsidR="00F527A7" w:rsidRPr="00024FD1">
        <w:rPr>
          <w:rFonts w:cs="Arial"/>
          <w:szCs w:val="24"/>
        </w:rPr>
        <w:t xml:space="preserve">with </w:t>
      </w:r>
      <w:r w:rsidRPr="00024FD1">
        <w:rPr>
          <w:rFonts w:cs="Arial"/>
          <w:szCs w:val="24"/>
        </w:rPr>
        <w:t xml:space="preserve">infiltration of the scaffolds </w:t>
      </w:r>
      <w:r w:rsidR="00127D2C" w:rsidRPr="00024FD1">
        <w:rPr>
          <w:rFonts w:cs="Arial"/>
          <w:szCs w:val="24"/>
        </w:rPr>
        <w:t>by murine</w:t>
      </w:r>
      <w:r w:rsidRPr="00024FD1">
        <w:rPr>
          <w:rFonts w:cs="Arial"/>
          <w:szCs w:val="24"/>
        </w:rPr>
        <w:t xml:space="preserve"> cells</w:t>
      </w:r>
      <w:r w:rsidR="00496764" w:rsidRPr="00024FD1">
        <w:rPr>
          <w:rFonts w:cs="Arial"/>
          <w:szCs w:val="24"/>
        </w:rPr>
        <w:t xml:space="preserve"> (a property governed by the physiochemical nature of </w:t>
      </w:r>
      <w:r w:rsidR="003E0DB5" w:rsidRPr="00024FD1">
        <w:rPr>
          <w:rFonts w:cs="Arial"/>
          <w:szCs w:val="24"/>
        </w:rPr>
        <w:t xml:space="preserve">the </w:t>
      </w:r>
      <w:r w:rsidR="00496764" w:rsidRPr="00024FD1">
        <w:rPr>
          <w:rFonts w:cs="Arial"/>
          <w:szCs w:val="24"/>
        </w:rPr>
        <w:t>biomaterial)</w:t>
      </w:r>
      <w:r w:rsidRPr="00024FD1">
        <w:rPr>
          <w:rFonts w:cs="Arial"/>
          <w:szCs w:val="24"/>
        </w:rPr>
        <w:t xml:space="preserve"> evident </w:t>
      </w:r>
      <w:r w:rsidR="003E0DB5" w:rsidRPr="00024FD1">
        <w:rPr>
          <w:rFonts w:cs="Arial"/>
          <w:szCs w:val="24"/>
        </w:rPr>
        <w:t xml:space="preserve">by </w:t>
      </w:r>
      <w:r w:rsidRPr="00024FD1">
        <w:rPr>
          <w:rFonts w:cs="Arial"/>
          <w:szCs w:val="24"/>
        </w:rPr>
        <w:t>the presence of cells in 2-HPS</w:t>
      </w:r>
      <w:r w:rsidR="00117F0B" w:rsidRPr="00024FD1">
        <w:rPr>
          <w:rFonts w:cs="Arial"/>
          <w:szCs w:val="24"/>
        </w:rPr>
        <w:t xml:space="preserve"> without FBMSCs</w:t>
      </w:r>
      <w:r w:rsidRPr="00024FD1">
        <w:rPr>
          <w:rFonts w:cs="Arial"/>
          <w:szCs w:val="24"/>
        </w:rPr>
        <w:t xml:space="preserve"> </w:t>
      </w:r>
      <w:r w:rsidR="00220309" w:rsidRPr="00024FD1">
        <w:rPr>
          <w:rFonts w:cs="Arial"/>
          <w:szCs w:val="24"/>
        </w:rPr>
        <w:t>(Figure 7</w:t>
      </w:r>
      <w:r w:rsidR="00A532CB" w:rsidRPr="00024FD1">
        <w:rPr>
          <w:rFonts w:cs="Arial"/>
          <w:szCs w:val="24"/>
        </w:rPr>
        <w:t>A</w:t>
      </w:r>
      <w:r w:rsidR="00220309" w:rsidRPr="00024FD1">
        <w:rPr>
          <w:rFonts w:cs="Arial"/>
          <w:szCs w:val="24"/>
        </w:rPr>
        <w:t>)</w:t>
      </w:r>
      <w:r w:rsidR="00127D2C" w:rsidRPr="00024FD1">
        <w:rPr>
          <w:rFonts w:cs="Arial"/>
          <w:szCs w:val="24"/>
        </w:rPr>
        <w:t>.</w:t>
      </w:r>
      <w:r w:rsidRPr="00024FD1">
        <w:rPr>
          <w:rFonts w:cs="Arial"/>
          <w:szCs w:val="24"/>
        </w:rPr>
        <w:t xml:space="preserve"> Further, the presence of multinucleated giant cells </w:t>
      </w:r>
      <w:r w:rsidR="001D3FD6" w:rsidRPr="00024FD1">
        <w:rPr>
          <w:rFonts w:cs="Arial"/>
          <w:szCs w:val="24"/>
        </w:rPr>
        <w:t>(</w:t>
      </w:r>
      <w:r w:rsidR="004626C5" w:rsidRPr="00024FD1">
        <w:rPr>
          <w:rFonts w:cs="Arial"/>
          <w:szCs w:val="24"/>
        </w:rPr>
        <w:t>yellow arrowhead</w:t>
      </w:r>
      <w:r w:rsidR="001D3FD6" w:rsidRPr="00024FD1">
        <w:rPr>
          <w:rFonts w:cs="Arial"/>
          <w:szCs w:val="24"/>
        </w:rPr>
        <w:t xml:space="preserve">) </w:t>
      </w:r>
      <w:r w:rsidRPr="00024FD1">
        <w:rPr>
          <w:rFonts w:cs="Arial"/>
          <w:szCs w:val="24"/>
        </w:rPr>
        <w:t>was observed in the scaffolds</w:t>
      </w:r>
      <w:r w:rsidR="00AA01E2" w:rsidRPr="00024FD1">
        <w:rPr>
          <w:rFonts w:cs="Arial"/>
          <w:szCs w:val="24"/>
        </w:rPr>
        <w:t>,</w:t>
      </w:r>
      <w:r w:rsidR="00127D2C" w:rsidRPr="00024FD1">
        <w:rPr>
          <w:rFonts w:cs="Arial"/>
          <w:szCs w:val="24"/>
        </w:rPr>
        <w:t xml:space="preserve"> </w:t>
      </w:r>
      <w:r w:rsidR="003E0DB5" w:rsidRPr="00024FD1">
        <w:rPr>
          <w:rFonts w:cs="Arial"/>
          <w:szCs w:val="24"/>
        </w:rPr>
        <w:t xml:space="preserve">cells </w:t>
      </w:r>
      <w:r w:rsidRPr="00024FD1">
        <w:rPr>
          <w:rFonts w:cs="Arial"/>
          <w:szCs w:val="24"/>
        </w:rPr>
        <w:t>known</w:t>
      </w:r>
      <w:r w:rsidR="00BB4165">
        <w:rPr>
          <w:rFonts w:cs="Arial"/>
          <w:szCs w:val="24"/>
        </w:rPr>
        <w:t xml:space="preserve"> to be</w:t>
      </w:r>
      <w:r w:rsidRPr="00024FD1">
        <w:rPr>
          <w:rFonts w:cs="Arial"/>
          <w:szCs w:val="24"/>
        </w:rPr>
        <w:t xml:space="preserve"> </w:t>
      </w:r>
      <w:r w:rsidR="003C0D57">
        <w:rPr>
          <w:rFonts w:cs="Arial"/>
          <w:szCs w:val="24"/>
        </w:rPr>
        <w:t>involved in</w:t>
      </w:r>
      <w:r w:rsidRPr="00024FD1">
        <w:rPr>
          <w:rFonts w:cs="Arial"/>
          <w:szCs w:val="24"/>
        </w:rPr>
        <w:t xml:space="preserve"> </w:t>
      </w:r>
      <w:r w:rsidR="00BB4165">
        <w:rPr>
          <w:rFonts w:cs="Arial"/>
          <w:szCs w:val="24"/>
        </w:rPr>
        <w:t xml:space="preserve">the </w:t>
      </w:r>
      <w:r w:rsidRPr="00024FD1">
        <w:rPr>
          <w:rFonts w:cs="Arial"/>
          <w:szCs w:val="24"/>
        </w:rPr>
        <w:lastRenderedPageBreak/>
        <w:t>vasculari</w:t>
      </w:r>
      <w:r w:rsidR="00BB4165">
        <w:rPr>
          <w:rFonts w:cs="Arial"/>
          <w:szCs w:val="24"/>
        </w:rPr>
        <w:t>s</w:t>
      </w:r>
      <w:r w:rsidRPr="00024FD1">
        <w:rPr>
          <w:rFonts w:cs="Arial"/>
          <w:szCs w:val="24"/>
        </w:rPr>
        <w:t>ation</w:t>
      </w:r>
      <w:r w:rsidR="00BB4165">
        <w:rPr>
          <w:rFonts w:cs="Arial"/>
          <w:szCs w:val="24"/>
        </w:rPr>
        <w:t xml:space="preserve"> process</w:t>
      </w:r>
      <w:r w:rsidR="002A3112" w:rsidRPr="00024FD1">
        <w:rPr>
          <w:rFonts w:cs="Arial"/>
          <w:szCs w:val="24"/>
        </w:rPr>
        <w:t xml:space="preserve"> </w:t>
      </w:r>
      <w:r w:rsidR="00A532CB" w:rsidRPr="00024FD1">
        <w:rPr>
          <w:rFonts w:cs="Arial"/>
          <w:szCs w:val="24"/>
        </w:rPr>
        <w:fldChar w:fldCharType="begin" w:fldLock="1"/>
      </w:r>
      <w:r w:rsidR="0033591E">
        <w:rPr>
          <w:rFonts w:cs="Arial"/>
          <w:szCs w:val="24"/>
        </w:rPr>
        <w:instrText xml:space="preserve"> ADDIN ZOTERO_ITEM CSL_CITATION {"citationID":"wQuOZaxH","properties":{"formattedCitation":"\\super 53,54\\nosupersub{}","plainCitation":"53,54","noteIndex":0},"citationItems":[{"id":"1dryys0K/4jXzxkoK","uris":["http://www.mendeley.com/documents/?uuid=fe0b878e-d41a-4ba8-a57f-9fbe1ed509ee"],"itemData":{"DOI":"10.1016/j.biomaterials.2011.07.041","ISSN":"01429612","abstract":"Successful cell-based tissue engineering requires a rapid and thorough vascularization in order to ensure long-term implant survival and tissue integration. The vascularization of a scaffold is a complex process, and is modulated by the presence of transplanted cells, exogenous and endogenous signaling proteins, and the host tissue reaction, among other influencing factors. This paper presents evidence for the significance of pre-seeded osteoblasts for the in vivo vascularization of a biodegradable scaffold. Human osteoblasts, cultured on silk fibroin micronets in vitro, migrated throughout the interconnected pores of the scaffold and produced extensive bone matrix. When these constructs were implanted in SCID mice, a rapid and thorough vascularization of the scaffold by the host blood capillaries occurred. This profound response was not seen for the silk fibroin scaffold alone. Moreover, when the pre-cultivation time of human osteoblasts was reduced from 14 days to only 24 h, the significant effect these cells exerted on vascularization rate in vivo was still detectable. From these studies, we conclude that matrix and soluble factors produced by osteoblasts can serve to instruct host endothelial cells to migrate, proliferate, and initiate the process of scaffold vascularization. This finding represents a potential paradigm shift for the field of tissue engineering, especially in bone, as traditional strategies to enhance scaffold vascularization have focused on endovascular cells and regarded osteoblasts primarily as cell targets for mineralization. In addition, the migration of host macrophages and multinucleated giant cells into the scaffold was also found to influence the vascularization of the biomaterial. Therefore, the robust effect on scaffold vascularization seen by pre-culturing with osteoblasts appears to occur in concert with the pro-angiogenic stimuli arising from host immune cells. © 2011 Elsevier Ltd.","author":[{"dropping-particle":"","family":"Ghanaati","given":"Shahram","non-dropping-particle":"","parse-names":false,"suffix":""},{"dropping-particle":"","family":"Unger","given":"Ronald E.","non-dropping-particle":"","parse-names":false,"suffix":""},{"dropping-particle":"","family":"Webber","given":"Matthew J.","non-dropping-particle":"","parse-names":false,"suffix":""},{"dropping-particle":"","family":"Barbeck","given":"Mike","non-dropping-particle":"","parse-names":false,"suffix":""},{"dropping-particle":"","family":"Orth","given":"Carina","non-dropping-particle":"","parse-names":false,"suffix":""},{"dropping-particle":"","family":"Kirkpatrick","given":"Jenny A.","non-dropping-particle":"","parse-names":false,"suffix":""},{"dropping-particle":"","family":"Booms","given":"Patrick","non-dropping-particle":"","parse-names":false,"suffix":""},{"dropping-particle":"","family":"Motta","given":"Antonella","non-dropping-particle":"","parse-names":false,"suffix":""},{"dropping-particle":"","family":"Migliaresi","given":"Claudio","non-dropping-particle":"","parse-names":false,"suffix":""},{"dropping-particle":"","family":"Sader","given":"Robert A.","non-dropping-particle":"","parse-names":false,"suffix":""},{"dropping-particle":"","family":"Kirkpatrick","given":"C. James","non-dropping-particle":"","parse-names":false,"suffix":""}],"container-title":"Biomaterials","id":"ITEM-1","issue":"32","issued":{"date-parts":[["2011"]]},"page":"8150-8160","publisher":"Elsevier Ltd","title":"Scaffold vascularization in vivo driven by primary human osteoblasts in concert with host inflammatory cells","type":"article-journal","volume":"32"}},{"id":"1dryys0K/CbdggYq6","uris":["http://www.mendeley.com/documents/?uuid=6886d09c-9b61-45ea-987f-52c083f8e822","http://www.mendeley.com/documents/?uuid=72b4a3d7-0641-42b0-9ba0-284e48e509f3"],"itemData":{"DOI":"10.1242/jcs.216267","ISSN":"1477-9137","PMID":"29871956","abstract":"Macrophage cell fusion and multinucleation are fundamental processes in the formation of multinucleated giant cells (MGCs) in chronic inflammatory disease and osteoclasts in the regulation of bone mass. However, this basic cell phenomenon is poorly understood despite its pathophysiological relevance. Granulomas containing multinucleated giant cells are seen in a wide variety of complex inflammatory disorders, as well as in infectious diseases. Dysregulation of osteoclastic bone resorption underlies the pathogenesis of osteoporosis and malignant osteolytic bone disease. Recent reports have shown that the formation of multinucleated giant cells and osteoclast fusion display a common molecular signature, suggesting shared genetic determinants. In this Review, we describe the background of cell-cell fusion and the similar origin of macrophages and osteoclasts. We specifically focus on the common pathways involved in osteoclast and MGC fusion. We also highlight potential approaches that could help to unravel the core mechanisms underlying bone and granulomatous disorders in humans.","author":[{"dropping-particle":"","family":"Pereira","given":"Marie","non-dropping-particle":"","parse-names":false,"suffix":""},{"dropping-particle":"","family":"Petretto","given":"Enrico","non-dropping-particle":"","parse-names":false,"suffix":""},{"dropping-particle":"","family":"Gordon","given":"Siamon","non-dropping-particle":"","parse-names":false,"suffix":""},{"dropping-particle":"","family":"Bassett","given":"J H Duncan","non-dropping-particle":"","parse-names":false,"suffix":""},{"dropping-particle":"","family":"Williams","given":"Graham R","non-dropping-particle":"","parse-names":false,"suffix":""},{"dropping-particle":"","family":"Behmoaras","given":"Jacques","non-dropping-particle":"","parse-names":false,"suffix":""}],"container-title":"Journal of cell science","id":"ITEM-2","issue":"11","issued":{"date-parts":[["2018","6"]]},"page":"jcs216267","publisher":"The Company of Biologists Ltd","title":"Common signalling pathways in macrophage and osteoclast multinucleation.","type":"article-journal","volume":"131"}}],"schema":"https://github.com/citation-style-language/schema/raw/master/csl-citation.json"} </w:instrText>
      </w:r>
      <w:r w:rsidR="00A532CB" w:rsidRPr="00024FD1">
        <w:rPr>
          <w:rFonts w:cs="Arial"/>
          <w:szCs w:val="24"/>
        </w:rPr>
        <w:fldChar w:fldCharType="separate"/>
      </w:r>
      <w:r w:rsidR="0033591E" w:rsidRPr="0033591E">
        <w:rPr>
          <w:rFonts w:cs="Times"/>
          <w:szCs w:val="24"/>
          <w:vertAlign w:val="superscript"/>
        </w:rPr>
        <w:t>53,54</w:t>
      </w:r>
      <w:r w:rsidR="00A532CB" w:rsidRPr="00024FD1">
        <w:rPr>
          <w:rFonts w:cs="Arial"/>
          <w:szCs w:val="24"/>
        </w:rPr>
        <w:fldChar w:fldCharType="end"/>
      </w:r>
      <w:r w:rsidR="002A3112" w:rsidRPr="00024FD1">
        <w:rPr>
          <w:rFonts w:cs="Arial"/>
          <w:szCs w:val="24"/>
        </w:rPr>
        <w:t>.</w:t>
      </w:r>
      <w:r w:rsidR="00A532CB" w:rsidRPr="00024FD1">
        <w:rPr>
          <w:rFonts w:cs="Arial"/>
          <w:szCs w:val="24"/>
        </w:rPr>
        <w:t xml:space="preserve"> </w:t>
      </w:r>
      <w:r w:rsidR="00FD2417" w:rsidRPr="00024FD1">
        <w:rPr>
          <w:rFonts w:cs="Arial"/>
          <w:szCs w:val="24"/>
        </w:rPr>
        <w:t>Moreover, RBCs</w:t>
      </w:r>
      <w:r w:rsidR="00692C84" w:rsidRPr="00024FD1">
        <w:rPr>
          <w:rFonts w:cs="Arial"/>
          <w:szCs w:val="24"/>
        </w:rPr>
        <w:t xml:space="preserve"> (red blood cells)</w:t>
      </w:r>
      <w:r w:rsidR="00FD2417" w:rsidRPr="00024FD1">
        <w:rPr>
          <w:rFonts w:cs="Arial"/>
          <w:szCs w:val="24"/>
        </w:rPr>
        <w:t xml:space="preserve"> </w:t>
      </w:r>
      <w:r w:rsidR="00AF7DB1" w:rsidRPr="00024FD1">
        <w:rPr>
          <w:rFonts w:cs="Arial"/>
          <w:szCs w:val="24"/>
        </w:rPr>
        <w:t xml:space="preserve">were </w:t>
      </w:r>
      <w:r w:rsidR="00FD2417" w:rsidRPr="00024FD1">
        <w:rPr>
          <w:rFonts w:cs="Arial"/>
          <w:szCs w:val="24"/>
        </w:rPr>
        <w:t xml:space="preserve">observed </w:t>
      </w:r>
      <w:r w:rsidR="007E2690" w:rsidRPr="00024FD1">
        <w:rPr>
          <w:rFonts w:cs="Arial"/>
          <w:szCs w:val="24"/>
        </w:rPr>
        <w:t xml:space="preserve">predominantly </w:t>
      </w:r>
      <w:r w:rsidR="00CB2F94" w:rsidRPr="00024FD1">
        <w:rPr>
          <w:rFonts w:cs="Arial"/>
          <w:szCs w:val="24"/>
        </w:rPr>
        <w:t xml:space="preserve">inside the blood vessel lumens </w:t>
      </w:r>
      <w:r w:rsidR="006D6F5B" w:rsidRPr="00024FD1">
        <w:rPr>
          <w:rFonts w:cs="Arial"/>
          <w:szCs w:val="24"/>
        </w:rPr>
        <w:t xml:space="preserve">in </w:t>
      </w:r>
      <w:r w:rsidR="00FD2417" w:rsidRPr="00024FD1">
        <w:rPr>
          <w:rFonts w:cs="Arial"/>
          <w:szCs w:val="24"/>
        </w:rPr>
        <w:t xml:space="preserve">2-HPS </w:t>
      </w:r>
      <w:r w:rsidR="003E0DB5" w:rsidRPr="00024FD1">
        <w:rPr>
          <w:rFonts w:cs="Arial"/>
          <w:szCs w:val="24"/>
        </w:rPr>
        <w:t>(</w:t>
      </w:r>
      <w:r w:rsidR="00FD2417" w:rsidRPr="00024FD1">
        <w:rPr>
          <w:rFonts w:cs="Arial"/>
          <w:szCs w:val="24"/>
        </w:rPr>
        <w:t xml:space="preserve">with </w:t>
      </w:r>
      <w:r w:rsidR="006D6F5B" w:rsidRPr="00024FD1">
        <w:rPr>
          <w:rFonts w:cs="Arial"/>
          <w:szCs w:val="24"/>
        </w:rPr>
        <w:t>and without cell</w:t>
      </w:r>
      <w:r w:rsidR="003E0DB5" w:rsidRPr="00024FD1">
        <w:rPr>
          <w:rFonts w:cs="Arial"/>
          <w:szCs w:val="24"/>
        </w:rPr>
        <w:t xml:space="preserve"> seeding)</w:t>
      </w:r>
      <w:r w:rsidR="006D6F5B" w:rsidRPr="00024FD1">
        <w:rPr>
          <w:rFonts w:cs="Arial"/>
          <w:szCs w:val="24"/>
        </w:rPr>
        <w:t xml:space="preserve"> </w:t>
      </w:r>
      <w:r w:rsidR="003E0DB5" w:rsidRPr="00024FD1">
        <w:rPr>
          <w:rFonts w:cs="Arial"/>
          <w:szCs w:val="24"/>
        </w:rPr>
        <w:t xml:space="preserve">by </w:t>
      </w:r>
      <w:r w:rsidR="00FD2417" w:rsidRPr="00024FD1">
        <w:rPr>
          <w:rFonts w:cs="Arial"/>
          <w:szCs w:val="24"/>
        </w:rPr>
        <w:t xml:space="preserve">H&amp;E staining as a result of </w:t>
      </w:r>
      <w:r w:rsidR="00B304F3" w:rsidRPr="00024FD1">
        <w:rPr>
          <w:rFonts w:cs="Arial"/>
          <w:szCs w:val="24"/>
        </w:rPr>
        <w:t>vasculari</w:t>
      </w:r>
      <w:r w:rsidR="00BB4165">
        <w:rPr>
          <w:rFonts w:cs="Arial"/>
          <w:szCs w:val="24"/>
        </w:rPr>
        <w:t>s</w:t>
      </w:r>
      <w:r w:rsidR="00B304F3" w:rsidRPr="00024FD1">
        <w:rPr>
          <w:rFonts w:cs="Arial"/>
          <w:szCs w:val="24"/>
        </w:rPr>
        <w:t>ation. The</w:t>
      </w:r>
      <w:r w:rsidR="005E56A0" w:rsidRPr="00024FD1">
        <w:rPr>
          <w:rFonts w:cs="Arial"/>
          <w:szCs w:val="24"/>
        </w:rPr>
        <w:t xml:space="preserve"> </w:t>
      </w:r>
      <w:r w:rsidR="00755691" w:rsidRPr="00024FD1">
        <w:rPr>
          <w:rFonts w:cs="Arial"/>
          <w:szCs w:val="24"/>
        </w:rPr>
        <w:t xml:space="preserve">infiltration </w:t>
      </w:r>
      <w:r w:rsidR="005E56A0" w:rsidRPr="00024FD1">
        <w:rPr>
          <w:rFonts w:cs="Arial"/>
          <w:szCs w:val="24"/>
        </w:rPr>
        <w:t xml:space="preserve">of </w:t>
      </w:r>
      <w:r w:rsidR="00755691" w:rsidRPr="00024FD1">
        <w:rPr>
          <w:rFonts w:cs="Arial"/>
          <w:szCs w:val="24"/>
        </w:rPr>
        <w:t xml:space="preserve">host cells </w:t>
      </w:r>
      <w:r w:rsidR="00127D2C" w:rsidRPr="00024FD1">
        <w:rPr>
          <w:rFonts w:cs="Arial"/>
          <w:szCs w:val="24"/>
        </w:rPr>
        <w:t>throughout the scaffolds</w:t>
      </w:r>
      <w:r w:rsidR="007E2690" w:rsidRPr="00024FD1">
        <w:rPr>
          <w:rFonts w:cs="Arial"/>
          <w:szCs w:val="24"/>
        </w:rPr>
        <w:t>,</w:t>
      </w:r>
      <w:r w:rsidR="00127D2C" w:rsidRPr="00024FD1">
        <w:rPr>
          <w:rFonts w:cs="Arial"/>
          <w:szCs w:val="24"/>
        </w:rPr>
        <w:t xml:space="preserve"> including the </w:t>
      </w:r>
      <w:r w:rsidR="00593600" w:rsidRPr="00024FD1">
        <w:rPr>
          <w:rFonts w:cs="Arial"/>
          <w:szCs w:val="24"/>
        </w:rPr>
        <w:t>centre</w:t>
      </w:r>
      <w:r w:rsidR="00127D2C" w:rsidRPr="00024FD1">
        <w:rPr>
          <w:rFonts w:cs="Arial"/>
          <w:szCs w:val="24"/>
        </w:rPr>
        <w:t xml:space="preserve"> of the constructs</w:t>
      </w:r>
      <w:r w:rsidR="007E2690" w:rsidRPr="00024FD1">
        <w:rPr>
          <w:rFonts w:cs="Arial"/>
          <w:szCs w:val="24"/>
        </w:rPr>
        <w:t>,</w:t>
      </w:r>
      <w:r w:rsidR="00127D2C" w:rsidRPr="00024FD1">
        <w:rPr>
          <w:rFonts w:cs="Arial"/>
          <w:szCs w:val="24"/>
        </w:rPr>
        <w:t xml:space="preserve"> </w:t>
      </w:r>
      <w:r w:rsidR="00B23BA2" w:rsidRPr="00024FD1">
        <w:rPr>
          <w:rFonts w:cs="Arial"/>
          <w:szCs w:val="24"/>
        </w:rPr>
        <w:t xml:space="preserve">supported </w:t>
      </w:r>
      <w:r w:rsidR="00127D2C" w:rsidRPr="00024FD1">
        <w:rPr>
          <w:rFonts w:cs="Arial"/>
          <w:szCs w:val="24"/>
        </w:rPr>
        <w:t>the extensive</w:t>
      </w:r>
      <w:r w:rsidR="00AF7DB1" w:rsidRPr="00024FD1">
        <w:rPr>
          <w:rFonts w:cs="Arial"/>
          <w:szCs w:val="24"/>
        </w:rPr>
        <w:t xml:space="preserve"> vasculari</w:t>
      </w:r>
      <w:r w:rsidR="00BB4165">
        <w:rPr>
          <w:rFonts w:cs="Arial"/>
          <w:szCs w:val="24"/>
        </w:rPr>
        <w:t>s</w:t>
      </w:r>
      <w:r w:rsidR="00AF7DB1" w:rsidRPr="00024FD1">
        <w:rPr>
          <w:rFonts w:cs="Arial"/>
          <w:szCs w:val="24"/>
        </w:rPr>
        <w:t>ation and</w:t>
      </w:r>
      <w:r w:rsidR="00127D2C" w:rsidRPr="00024FD1">
        <w:rPr>
          <w:rFonts w:cs="Arial"/>
          <w:szCs w:val="24"/>
        </w:rPr>
        <w:t xml:space="preserve"> </w:t>
      </w:r>
      <w:r w:rsidR="00B23BA2" w:rsidRPr="00024FD1">
        <w:rPr>
          <w:rFonts w:cs="Arial"/>
          <w:szCs w:val="24"/>
        </w:rPr>
        <w:t xml:space="preserve">interconnectivity of the </w:t>
      </w:r>
      <w:r w:rsidR="000466ED" w:rsidRPr="00024FD1">
        <w:rPr>
          <w:rFonts w:cs="Arial"/>
          <w:szCs w:val="24"/>
        </w:rPr>
        <w:t>scaffolds</w:t>
      </w:r>
      <w:r w:rsidR="00127D2C" w:rsidRPr="00024FD1">
        <w:rPr>
          <w:rFonts w:cs="Arial"/>
          <w:szCs w:val="24"/>
        </w:rPr>
        <w:t>.</w:t>
      </w:r>
      <w:r w:rsidR="00AF7DB1" w:rsidRPr="00024FD1">
        <w:rPr>
          <w:rFonts w:cs="Arial"/>
          <w:szCs w:val="24"/>
        </w:rPr>
        <w:t xml:space="preserve"> </w:t>
      </w:r>
      <w:r w:rsidR="00127D2C" w:rsidRPr="00024FD1">
        <w:rPr>
          <w:rFonts w:cs="Arial"/>
          <w:szCs w:val="24"/>
        </w:rPr>
        <w:t xml:space="preserve">To confirm </w:t>
      </w:r>
      <w:r w:rsidR="00EA26BC" w:rsidRPr="00024FD1">
        <w:rPr>
          <w:rFonts w:cs="Arial"/>
          <w:szCs w:val="24"/>
        </w:rPr>
        <w:t>angiogenesis</w:t>
      </w:r>
      <w:r w:rsidR="009A33AE" w:rsidRPr="00024FD1">
        <w:rPr>
          <w:rFonts w:cs="Arial"/>
          <w:szCs w:val="24"/>
        </w:rPr>
        <w:t xml:space="preserve"> within these implants</w:t>
      </w:r>
      <w:r w:rsidR="00A21B43" w:rsidRPr="00024FD1">
        <w:rPr>
          <w:rFonts w:cs="Arial"/>
          <w:szCs w:val="24"/>
        </w:rPr>
        <w:t>,</w:t>
      </w:r>
      <w:r w:rsidR="00EA26BC" w:rsidRPr="00024FD1">
        <w:rPr>
          <w:rFonts w:cs="Arial"/>
          <w:szCs w:val="24"/>
        </w:rPr>
        <w:t xml:space="preserve"> </w:t>
      </w:r>
      <w:r w:rsidR="00967D06" w:rsidRPr="00024FD1">
        <w:rPr>
          <w:rFonts w:cs="Arial"/>
          <w:szCs w:val="24"/>
        </w:rPr>
        <w:t>VEGFR-2</w:t>
      </w:r>
      <w:r w:rsidR="004F72B4" w:rsidRPr="00024FD1">
        <w:rPr>
          <w:rFonts w:cs="Arial"/>
          <w:szCs w:val="24"/>
        </w:rPr>
        <w:t xml:space="preserve"> (</w:t>
      </w:r>
      <w:r w:rsidR="00367780" w:rsidRPr="00024FD1">
        <w:rPr>
          <w:rFonts w:cs="Arial"/>
          <w:szCs w:val="24"/>
        </w:rPr>
        <w:t>v</w:t>
      </w:r>
      <w:r w:rsidR="004F72B4" w:rsidRPr="00024FD1">
        <w:rPr>
          <w:rFonts w:cs="Arial"/>
          <w:szCs w:val="24"/>
        </w:rPr>
        <w:t>ascular endothelial growth factor receptor-2)</w:t>
      </w:r>
      <w:r w:rsidR="00967D06" w:rsidRPr="00024FD1">
        <w:rPr>
          <w:rFonts w:cs="Arial"/>
          <w:szCs w:val="24"/>
        </w:rPr>
        <w:t xml:space="preserve"> expression </w:t>
      </w:r>
      <w:r w:rsidR="00127D2C" w:rsidRPr="00024FD1">
        <w:rPr>
          <w:rFonts w:cs="Arial"/>
          <w:szCs w:val="24"/>
        </w:rPr>
        <w:t xml:space="preserve">was </w:t>
      </w:r>
      <w:r w:rsidR="00EA26BC" w:rsidRPr="00024FD1">
        <w:rPr>
          <w:rFonts w:cs="Arial"/>
          <w:szCs w:val="24"/>
        </w:rPr>
        <w:t xml:space="preserve">probed </w:t>
      </w:r>
      <w:r w:rsidR="00127D2C" w:rsidRPr="00024FD1">
        <w:rPr>
          <w:rFonts w:cs="Arial"/>
          <w:szCs w:val="24"/>
        </w:rPr>
        <w:t>using</w:t>
      </w:r>
      <w:r w:rsidR="00EA26BC" w:rsidRPr="00024FD1">
        <w:rPr>
          <w:rFonts w:cs="Arial"/>
          <w:szCs w:val="24"/>
        </w:rPr>
        <w:t xml:space="preserve"> immunohistochemistry</w:t>
      </w:r>
      <w:r w:rsidR="00127D2C" w:rsidRPr="00024FD1">
        <w:rPr>
          <w:rFonts w:cs="Arial"/>
          <w:szCs w:val="24"/>
        </w:rPr>
        <w:t xml:space="preserve"> and was </w:t>
      </w:r>
      <w:r w:rsidR="00C41B7D" w:rsidRPr="00024FD1">
        <w:rPr>
          <w:rFonts w:cs="Arial"/>
          <w:szCs w:val="24"/>
        </w:rPr>
        <w:t xml:space="preserve">shown to be expressed </w:t>
      </w:r>
      <w:r w:rsidR="00BD73BC" w:rsidRPr="00024FD1">
        <w:rPr>
          <w:rFonts w:cs="Arial"/>
          <w:szCs w:val="24"/>
        </w:rPr>
        <w:t xml:space="preserve">predominantly at scaffold boundaries and </w:t>
      </w:r>
      <w:r w:rsidR="003C0D57">
        <w:rPr>
          <w:rFonts w:cs="Arial"/>
          <w:szCs w:val="24"/>
        </w:rPr>
        <w:t xml:space="preserve">within the </w:t>
      </w:r>
      <w:r w:rsidR="00BD73BC" w:rsidRPr="00024FD1">
        <w:rPr>
          <w:rFonts w:cs="Arial"/>
          <w:szCs w:val="24"/>
        </w:rPr>
        <w:t>connective tissue</w:t>
      </w:r>
      <w:r w:rsidR="0071692F" w:rsidRPr="00024FD1">
        <w:rPr>
          <w:rFonts w:cs="Arial"/>
          <w:szCs w:val="24"/>
        </w:rPr>
        <w:t xml:space="preserve"> (Figure 7</w:t>
      </w:r>
      <w:r w:rsidR="00E9629C" w:rsidRPr="00024FD1">
        <w:rPr>
          <w:rFonts w:cs="Arial"/>
          <w:szCs w:val="24"/>
        </w:rPr>
        <w:t>A</w:t>
      </w:r>
      <w:r w:rsidR="0071692F" w:rsidRPr="00024FD1">
        <w:rPr>
          <w:rFonts w:cs="Arial"/>
          <w:szCs w:val="24"/>
        </w:rPr>
        <w:t>)</w:t>
      </w:r>
      <w:r w:rsidR="00BD73BC" w:rsidRPr="00024FD1">
        <w:rPr>
          <w:rFonts w:cs="Arial"/>
          <w:szCs w:val="24"/>
        </w:rPr>
        <w:t>.</w:t>
      </w:r>
      <w:r w:rsidR="00127D2C" w:rsidRPr="00024FD1">
        <w:rPr>
          <w:rFonts w:cs="Arial"/>
          <w:szCs w:val="24"/>
        </w:rPr>
        <w:t xml:space="preserve"> VEGFR-2 was markedly reduce</w:t>
      </w:r>
      <w:r w:rsidR="003E0DB5" w:rsidRPr="00024FD1">
        <w:rPr>
          <w:rFonts w:cs="Arial"/>
          <w:szCs w:val="24"/>
        </w:rPr>
        <w:t>d</w:t>
      </w:r>
      <w:r w:rsidR="00127D2C" w:rsidRPr="00024FD1">
        <w:rPr>
          <w:rFonts w:cs="Arial"/>
          <w:szCs w:val="24"/>
        </w:rPr>
        <w:t xml:space="preserve"> in </w:t>
      </w:r>
      <w:r w:rsidR="003E0DB5" w:rsidRPr="00024FD1">
        <w:rPr>
          <w:rFonts w:cs="Arial"/>
          <w:szCs w:val="24"/>
        </w:rPr>
        <w:t xml:space="preserve">unseeded </w:t>
      </w:r>
      <w:r w:rsidR="00127D2C" w:rsidRPr="00024FD1">
        <w:rPr>
          <w:rFonts w:cs="Arial"/>
          <w:szCs w:val="24"/>
        </w:rPr>
        <w:t xml:space="preserve">2-HPS </w:t>
      </w:r>
      <w:r w:rsidR="003C0D57">
        <w:rPr>
          <w:rFonts w:cs="Arial"/>
          <w:szCs w:val="24"/>
        </w:rPr>
        <w:t>scaffolds. These results indicate</w:t>
      </w:r>
      <w:r w:rsidR="00BD73BC" w:rsidRPr="00024FD1">
        <w:rPr>
          <w:rFonts w:cs="Arial"/>
          <w:szCs w:val="24"/>
        </w:rPr>
        <w:t xml:space="preserve"> 2-HPS </w:t>
      </w:r>
      <w:r w:rsidR="00967D06" w:rsidRPr="00024FD1">
        <w:rPr>
          <w:rFonts w:cs="Arial"/>
          <w:szCs w:val="24"/>
        </w:rPr>
        <w:t xml:space="preserve">pre-seeded </w:t>
      </w:r>
      <w:r w:rsidR="003E0DB5" w:rsidRPr="00024FD1">
        <w:rPr>
          <w:rFonts w:cs="Arial"/>
          <w:szCs w:val="24"/>
        </w:rPr>
        <w:t xml:space="preserve">with </w:t>
      </w:r>
      <w:r w:rsidR="00967D06" w:rsidRPr="00024FD1">
        <w:rPr>
          <w:rFonts w:cs="Arial"/>
          <w:szCs w:val="24"/>
        </w:rPr>
        <w:t>FBMSCs</w:t>
      </w:r>
      <w:r w:rsidR="00127D2C" w:rsidRPr="00024FD1">
        <w:rPr>
          <w:rFonts w:cs="Arial"/>
          <w:szCs w:val="24"/>
        </w:rPr>
        <w:t xml:space="preserve"> </w:t>
      </w:r>
      <w:r w:rsidR="00BD73BC" w:rsidRPr="00024FD1">
        <w:rPr>
          <w:rFonts w:cs="Arial"/>
          <w:szCs w:val="24"/>
        </w:rPr>
        <w:t xml:space="preserve">play a role </w:t>
      </w:r>
      <w:r w:rsidR="00967D06" w:rsidRPr="00024FD1">
        <w:rPr>
          <w:rFonts w:cs="Arial"/>
          <w:szCs w:val="24"/>
        </w:rPr>
        <w:t xml:space="preserve">in the recruitment of </w:t>
      </w:r>
      <w:r w:rsidR="00E851D1" w:rsidRPr="00024FD1">
        <w:rPr>
          <w:rFonts w:cs="Arial"/>
          <w:szCs w:val="24"/>
        </w:rPr>
        <w:t xml:space="preserve">endothelial </w:t>
      </w:r>
      <w:r w:rsidR="007328DE" w:rsidRPr="00024FD1">
        <w:rPr>
          <w:rFonts w:cs="Arial"/>
          <w:szCs w:val="24"/>
        </w:rPr>
        <w:t xml:space="preserve">cells </w:t>
      </w:r>
      <w:r w:rsidR="00E851D1" w:rsidRPr="00024FD1">
        <w:rPr>
          <w:rFonts w:cs="Arial"/>
          <w:szCs w:val="24"/>
        </w:rPr>
        <w:t xml:space="preserve">and </w:t>
      </w:r>
      <w:r w:rsidR="00692C84" w:rsidRPr="00024FD1">
        <w:rPr>
          <w:rFonts w:cs="Arial"/>
          <w:szCs w:val="24"/>
        </w:rPr>
        <w:t>RBCs</w:t>
      </w:r>
      <w:r w:rsidR="003E0DB5" w:rsidRPr="00024FD1">
        <w:rPr>
          <w:rFonts w:cs="Arial"/>
          <w:szCs w:val="24"/>
        </w:rPr>
        <w:t xml:space="preserve"> </w:t>
      </w:r>
      <w:r w:rsidR="00E851D1" w:rsidRPr="00024FD1">
        <w:rPr>
          <w:rFonts w:cs="Arial"/>
          <w:szCs w:val="24"/>
        </w:rPr>
        <w:t>enhanc</w:t>
      </w:r>
      <w:r w:rsidR="003E0DB5" w:rsidRPr="00024FD1">
        <w:rPr>
          <w:rFonts w:cs="Arial"/>
          <w:szCs w:val="24"/>
        </w:rPr>
        <w:t>ing</w:t>
      </w:r>
      <w:r w:rsidR="00967D06" w:rsidRPr="00024FD1">
        <w:rPr>
          <w:rFonts w:cs="Arial"/>
          <w:szCs w:val="24"/>
        </w:rPr>
        <w:t xml:space="preserve"> </w:t>
      </w:r>
      <w:r w:rsidR="00E021AD" w:rsidRPr="00024FD1">
        <w:rPr>
          <w:rFonts w:cs="Arial"/>
          <w:szCs w:val="24"/>
        </w:rPr>
        <w:t>angiogenesis</w:t>
      </w:r>
      <w:r w:rsidR="00967D06" w:rsidRPr="00024FD1">
        <w:rPr>
          <w:rFonts w:cs="Arial"/>
          <w:szCs w:val="24"/>
        </w:rPr>
        <w:t xml:space="preserve">. </w:t>
      </w:r>
      <w:r w:rsidR="00256975" w:rsidRPr="00024FD1">
        <w:rPr>
          <w:rFonts w:cs="Arial"/>
          <w:szCs w:val="24"/>
        </w:rPr>
        <w:t xml:space="preserve">This is in </w:t>
      </w:r>
      <w:r w:rsidR="00557237" w:rsidRPr="00024FD1">
        <w:rPr>
          <w:rFonts w:cs="Arial"/>
          <w:szCs w:val="24"/>
        </w:rPr>
        <w:t xml:space="preserve">agreement </w:t>
      </w:r>
      <w:r w:rsidR="003E0DB5" w:rsidRPr="00024FD1">
        <w:rPr>
          <w:rFonts w:cs="Arial"/>
          <w:szCs w:val="24"/>
        </w:rPr>
        <w:t xml:space="preserve">with </w:t>
      </w:r>
      <w:r w:rsidR="00256975" w:rsidRPr="00024FD1">
        <w:rPr>
          <w:rFonts w:cs="Arial"/>
          <w:szCs w:val="24"/>
        </w:rPr>
        <w:t>an earlier report where</w:t>
      </w:r>
      <w:r w:rsidR="003E0DB5" w:rsidRPr="00024FD1">
        <w:rPr>
          <w:rFonts w:cs="Arial"/>
          <w:szCs w:val="24"/>
        </w:rPr>
        <w:t>by</w:t>
      </w:r>
      <w:r w:rsidR="00256975" w:rsidRPr="00024FD1">
        <w:rPr>
          <w:rFonts w:cs="Arial"/>
          <w:szCs w:val="24"/>
        </w:rPr>
        <w:t xml:space="preserve"> </w:t>
      </w:r>
      <w:r w:rsidR="0067002E" w:rsidRPr="00024FD1">
        <w:rPr>
          <w:rFonts w:cs="Arial"/>
          <w:szCs w:val="24"/>
        </w:rPr>
        <w:t>enhanced</w:t>
      </w:r>
      <w:r w:rsidR="00256975" w:rsidRPr="00024FD1">
        <w:rPr>
          <w:rFonts w:cs="Arial"/>
          <w:szCs w:val="24"/>
        </w:rPr>
        <w:t xml:space="preserve"> scaffold vasculari</w:t>
      </w:r>
      <w:r w:rsidR="00BB4165">
        <w:rPr>
          <w:rFonts w:cs="Arial"/>
          <w:szCs w:val="24"/>
        </w:rPr>
        <w:t>s</w:t>
      </w:r>
      <w:r w:rsidR="00256975" w:rsidRPr="00024FD1">
        <w:rPr>
          <w:rFonts w:cs="Arial"/>
          <w:szCs w:val="24"/>
        </w:rPr>
        <w:t>ation</w:t>
      </w:r>
      <w:r w:rsidR="00DF14C3" w:rsidRPr="00024FD1">
        <w:rPr>
          <w:rFonts w:cs="Arial"/>
          <w:szCs w:val="24"/>
        </w:rPr>
        <w:t xml:space="preserve"> was observed</w:t>
      </w:r>
      <w:r w:rsidR="00256975" w:rsidRPr="00024FD1">
        <w:rPr>
          <w:rFonts w:cs="Arial"/>
          <w:szCs w:val="24"/>
        </w:rPr>
        <w:t xml:space="preserve"> in </w:t>
      </w:r>
      <w:r w:rsidR="00F92318" w:rsidRPr="00024FD1">
        <w:rPr>
          <w:rFonts w:cs="Arial"/>
          <w:szCs w:val="24"/>
        </w:rPr>
        <w:t xml:space="preserve">the </w:t>
      </w:r>
      <w:r w:rsidR="00256975" w:rsidRPr="00024FD1">
        <w:rPr>
          <w:rFonts w:cs="Arial"/>
          <w:szCs w:val="24"/>
        </w:rPr>
        <w:t>presence of pre-cultured osteoblasts</w:t>
      </w:r>
      <w:r w:rsidR="00A532CB" w:rsidRPr="00024FD1">
        <w:rPr>
          <w:rFonts w:cs="Arial"/>
          <w:szCs w:val="24"/>
        </w:rPr>
        <w:t xml:space="preserve"> </w:t>
      </w:r>
      <w:r w:rsidR="00A532CB" w:rsidRPr="00024FD1">
        <w:rPr>
          <w:rFonts w:cs="Arial"/>
          <w:szCs w:val="24"/>
        </w:rPr>
        <w:fldChar w:fldCharType="begin" w:fldLock="1"/>
      </w:r>
      <w:r w:rsidR="0033591E">
        <w:rPr>
          <w:rFonts w:cs="Arial"/>
          <w:szCs w:val="24"/>
        </w:rPr>
        <w:instrText xml:space="preserve"> ADDIN ZOTERO_ITEM CSL_CITATION {"citationID":"0TuJLysC","properties":{"formattedCitation":"\\super 53\\nosupersub{}","plainCitation":"53","noteIndex":0},"citationItems":[{"id":"1dryys0K/4jXzxkoK","uris":["http://www.mendeley.com/documents/?uuid=fe0b878e-d41a-4ba8-a57f-9fbe1ed509ee"],"itemData":{"DOI":"10.1016/j.biomaterials.2011.07.041","ISSN":"01429612","abstract":"Successful cell-based tissue engineering requires a rapid and thorough vascularization in order to ensure long-term implant survival and tissue integration. The vascularization of a scaffold is a complex process, and is modulated by the presence of transplanted cells, exogenous and endogenous signaling proteins, and the host tissue reaction, among other influencing factors. This paper presents evidence for the significance of pre-seeded osteoblasts for the in vivo vascularization of a biodegradable scaffold. Human osteoblasts, cultured on silk fibroin micronets in vitro, migrated throughout the interconnected pores of the scaffold and produced extensive bone matrix. When these constructs were implanted in SCID mice, a rapid and thorough vascularization of the scaffold by the host blood capillaries occurred. This profound response was not seen for the silk fibroin scaffold alone. Moreover, when the pre-cultivation time of human osteoblasts was reduced from 14 days to only 24 h, the significant effect these cells exerted on vascularization rate in vivo was still detectable. From these studies, we conclude that matrix and soluble factors produced by osteoblasts can serve to instruct host endothelial cells to migrate, proliferate, and initiate the process of scaffold vascularization. This finding represents a potential paradigm shift for the field of tissue engineering, especially in bone, as traditional strategies to enhance scaffold vascularization have focused on endovascular cells and regarded osteoblasts primarily as cell targets for mineralization. In addition, the migration of host macrophages and multinucleated giant cells into the scaffold was also found to influence the vascularization of the biomaterial. Therefore, the robust effect on scaffold vascularization seen by pre-culturing with osteoblasts appears to occur in concert with the pro-angiogenic stimuli arising from host immune cells. © 2011 Elsevier Ltd.","author":[{"dropping-particle":"","family":"Ghanaati","given":"Shahram","non-dropping-particle":"","parse-names":false,"suffix":""},{"dropping-particle":"","family":"Unger","given":"Ronald E.","non-dropping-particle":"","parse-names":false,"suffix":""},{"dropping-particle":"","family":"Webber","given":"Matthew J.","non-dropping-particle":"","parse-names":false,"suffix":""},{"dropping-particle":"","family":"Barbeck","given":"Mike","non-dropping-particle":"","parse-names":false,"suffix":""},{"dropping-particle":"","family":"Orth","given":"Carina","non-dropping-particle":"","parse-names":false,"suffix":""},{"dropping-particle":"","family":"Kirkpatrick","given":"Jenny A.","non-dropping-particle":"","parse-names":false,"suffix":""},{"dropping-particle":"","family":"Booms","given":"Patrick","non-dropping-particle":"","parse-names":false,"suffix":""},{"dropping-particle":"","family":"Motta","given":"Antonella","non-dropping-particle":"","parse-names":false,"suffix":""},{"dropping-particle":"","family":"Migliaresi","given":"Claudio","non-dropping-particle":"","parse-names":false,"suffix":""},{"dropping-particle":"","family":"Sader","given":"Robert A.","non-dropping-particle":"","parse-names":false,"suffix":""},{"dropping-particle":"","family":"Kirkpatrick","given":"C. James","non-dropping-particle":"","parse-names":false,"suffix":""}],"container-title":"Biomaterials","id":"ITEM-1","issue":"32","issued":{"date-parts":[["2011"]]},"page":"8150-8160","publisher":"Elsevier Ltd","title":"Scaffold vascularization in vivo driven by primary human osteoblasts in concert with host inflammatory cells","type":"article-journal","volume":"32"}}],"schema":"https://github.com/citation-style-language/schema/raw/master/csl-citation.json"} </w:instrText>
      </w:r>
      <w:r w:rsidR="00A532CB" w:rsidRPr="00024FD1">
        <w:rPr>
          <w:rFonts w:cs="Arial"/>
          <w:szCs w:val="24"/>
        </w:rPr>
        <w:fldChar w:fldCharType="separate"/>
      </w:r>
      <w:r w:rsidR="0033591E" w:rsidRPr="0033591E">
        <w:rPr>
          <w:rFonts w:cs="Times"/>
          <w:szCs w:val="24"/>
          <w:vertAlign w:val="superscript"/>
        </w:rPr>
        <w:t>53</w:t>
      </w:r>
      <w:r w:rsidR="00A532CB" w:rsidRPr="00024FD1">
        <w:rPr>
          <w:rFonts w:cs="Arial"/>
          <w:szCs w:val="24"/>
        </w:rPr>
        <w:fldChar w:fldCharType="end"/>
      </w:r>
      <w:r w:rsidR="00320243" w:rsidRPr="00024FD1">
        <w:rPr>
          <w:rFonts w:cs="Arial"/>
          <w:szCs w:val="24"/>
        </w:rPr>
        <w:t>.</w:t>
      </w:r>
      <w:r w:rsidR="00A532CB" w:rsidRPr="00024FD1">
        <w:rPr>
          <w:rFonts w:cs="Arial"/>
          <w:szCs w:val="24"/>
        </w:rPr>
        <w:t xml:space="preserve"> </w:t>
      </w:r>
      <w:r w:rsidR="00E9629C" w:rsidRPr="00024FD1">
        <w:rPr>
          <w:rFonts w:cs="Arial"/>
          <w:szCs w:val="24"/>
        </w:rPr>
        <w:t xml:space="preserve">Lumen-like structures were quantified with </w:t>
      </w:r>
      <w:r w:rsidR="00A532CB" w:rsidRPr="00024FD1">
        <w:rPr>
          <w:rFonts w:cs="Arial"/>
          <w:szCs w:val="24"/>
        </w:rPr>
        <w:t xml:space="preserve">2-HPS with FBMSCs conditioned in osteogenic medium displayed a significant increase in vasculature, viewed in terms of increase in the number of blood vessels lumens (identified by </w:t>
      </w:r>
      <w:r w:rsidR="00EB6F82">
        <w:rPr>
          <w:rFonts w:cs="Arial"/>
          <w:szCs w:val="24"/>
        </w:rPr>
        <w:t xml:space="preserve">the </w:t>
      </w:r>
      <w:r w:rsidR="00A532CB" w:rsidRPr="00024FD1">
        <w:rPr>
          <w:rFonts w:cs="Arial"/>
          <w:szCs w:val="24"/>
        </w:rPr>
        <w:t>presence of lumen</w:t>
      </w:r>
      <w:r w:rsidR="00EB6F82">
        <w:rPr>
          <w:rFonts w:cs="Arial"/>
          <w:szCs w:val="24"/>
        </w:rPr>
        <w:t>s</w:t>
      </w:r>
      <w:r w:rsidR="00A532CB" w:rsidRPr="00024FD1">
        <w:rPr>
          <w:rFonts w:cs="Arial"/>
          <w:szCs w:val="24"/>
        </w:rPr>
        <w:t xml:space="preserve"> encircled by endothelial-like cells), compared to scaffolds without cells (Figure 7B)</w:t>
      </w:r>
      <w:r w:rsidR="002A3112" w:rsidRPr="00024FD1">
        <w:rPr>
          <w:rFonts w:cs="Arial"/>
          <w:szCs w:val="24"/>
        </w:rPr>
        <w:t xml:space="preserve"> </w:t>
      </w:r>
      <w:r w:rsidR="00A532CB" w:rsidRPr="00024FD1">
        <w:rPr>
          <w:rFonts w:cs="Arial"/>
          <w:szCs w:val="24"/>
        </w:rPr>
        <w:fldChar w:fldCharType="begin" w:fldLock="1"/>
      </w:r>
      <w:r w:rsidR="0033591E">
        <w:rPr>
          <w:rFonts w:cs="Arial"/>
          <w:szCs w:val="24"/>
        </w:rPr>
        <w:instrText xml:space="preserve"> ADDIN ZOTERO_ITEM CSL_CITATION {"citationID":"mQ1E7wJC","properties":{"formattedCitation":"\\super 55,56\\nosupersub{}","plainCitation":"55,56","noteIndex":0},"citationItems":[{"id":"1dryys0K/vzztGXvh","uris":["http://www.mendeley.com/documents/?uuid=11f76775-38ab-4583-8f7b-53353aa43258","http://www.mendeley.com/documents/?uuid=84aa4359-5111-43dc-adda-51453e5c6782"],"itemData":{"DOI":"10.1073/pnas.0810217105","ISSN":"00278424","author":[{"dropping-particle":"","family":"Jabbarzadeh","given":"Ehsan","non-dropping-particle":"","parse-names":false,"suffix":""},{"dropping-particle":"","family":"Starnes","given":"Trevor","non-dropping-particle":"","parse-names":false,"suffix":""},{"dropping-particle":"","family":"Khan","given":"Yusuf M.","non-dropping-particle":"","parse-names":false,"suffix":""},{"dropping-particle":"","family":"Jiang","given":"Tao","non-dropping-particle":"","parse-names":false,"suffix":""},{"dropping-particle":"","family":"Wirtel","given":"Anthony J.","non-dropping-particle":"","parse-names":false,"suffix":""},{"dropping-particle":"","family":"Deng","given":"Meng","non-dropping-particle":"","parse-names":false,"suffix":""},{"dropping-particle":"","family":"Lv","given":"Qing","non-dropping-particle":"","parse-names":false,"suffix":""},{"dropping-particle":"","family":"Nair","given":"Lakshmi S.","non-dropping-particle":"","parse-names":false,"suffix":""},{"dropping-particle":"","family":"Doty","given":"Steven B.","non-dropping-particle":"","parse-names":false,"suffix":""},{"dropping-particle":"","family":"Laurencin","given":"Cato T.","non-dropping-particle":"","parse-names":false,"suffix":""}],"container-title":"Proceedings of the National Academy of Sciences of the United States of America","id":"ITEM-1","issue":"32","issued":{"date-parts":[["2008"]]},"page":"11099-11104","title":"Induction of angiogenesis in tissue-engineered scaffolds designed for bone repair: A combined gene therapy-cell transplantation approach","type":"article-journal","volume":"105"}},{"id":2787,"uris":["http://zotero.org/users/8425864/items/JJFMBEPP"],"itemData":{"id":2787,"type":"article-journal","abstract":"Abstract\n            Critical limb ischemia (CLI), the terminal stage of peripheral arterial disease (PAD), is characterized by an extremely high risk of amputation and vascular issues, resulting in severe morbidity and mortality. In patients with severe limb ischemia with no alternative therapy options, such as endovascular angioplasty or bypass surgery, therapeutic angiogenesis utilizing cell-based therapies is vital for increasing blood flow to ischemic regions. Mesenchymal stem cells (MSCs) are currently considered one of the most encouraging cells as a regenerative alternative for the surgical treatment of CLI, including restoring tissue function and repairing ischemic tissue via immunomodulation and angiogenesis. The regenerative treatments for limb ischemia based on MSC therapy are still considered experimental. Despite recent advances in preclinical and clinical research studies, it is not recommended for regular clinical use. In this study, we review the immunomodulatory features of MSC besides the current understanding of different sources of MSC in the angiogenic treatment of CLI subjects and their potential applications as therapeutic agents. Specifically, this paper concentrates on the most current clinical application issues, and several recommendations are provided to improve the efficacy of cell therapy for CLI patients.","container-title":"Stem Cell Research &amp; Therapy","DOI":"10.1186/s13287-022-03148-9","ISSN":"1757-6512","issue":"1","journalAbbreviation":"Stem Cell Res Ther","language":"en","page":"462","source":"DOI.org (Crossref)","title":"Emerging roles of mesenchymal stem cell therapy in patients with critical limb ischemia","volume":"13","author":[{"family":"Shirbaghaee","given":"Zeinab"},{"family":"Hassani","given":"Mohammad"},{"family":"Heidari Keshel","given":"Saeed"},{"family":"Soleimani","given":"Masoud"}],"issued":{"date-parts":[["2022",9,6]]}}}],"schema":"https://github.com/citation-style-language/schema/raw/master/csl-citation.json"} </w:instrText>
      </w:r>
      <w:r w:rsidR="00A532CB" w:rsidRPr="00024FD1">
        <w:rPr>
          <w:rFonts w:cs="Arial"/>
          <w:szCs w:val="24"/>
        </w:rPr>
        <w:fldChar w:fldCharType="separate"/>
      </w:r>
      <w:r w:rsidR="0033591E" w:rsidRPr="0033591E">
        <w:rPr>
          <w:rFonts w:cs="Times"/>
          <w:szCs w:val="24"/>
          <w:vertAlign w:val="superscript"/>
        </w:rPr>
        <w:t>55,56</w:t>
      </w:r>
      <w:r w:rsidR="00A532CB" w:rsidRPr="00024FD1">
        <w:rPr>
          <w:rFonts w:cs="Arial"/>
          <w:szCs w:val="24"/>
        </w:rPr>
        <w:fldChar w:fldCharType="end"/>
      </w:r>
      <w:r w:rsidR="002A3112" w:rsidRPr="00024FD1">
        <w:rPr>
          <w:rFonts w:cs="Arial"/>
          <w:szCs w:val="24"/>
        </w:rPr>
        <w:t>.</w:t>
      </w:r>
    </w:p>
    <w:p w14:paraId="1CBCAFC8" w14:textId="7E44D44E" w:rsidR="00B62EAB" w:rsidRPr="00024FD1" w:rsidRDefault="0073482E" w:rsidP="00946A33">
      <w:pPr>
        <w:spacing w:line="480" w:lineRule="auto"/>
        <w:jc w:val="both"/>
        <w:rPr>
          <w:rFonts w:cs="Arial"/>
          <w:szCs w:val="24"/>
        </w:rPr>
      </w:pPr>
      <w:r>
        <w:rPr>
          <w:rFonts w:cs="Arial"/>
          <w:noProof/>
          <w:szCs w:val="24"/>
          <w:lang w:eastAsia="en-GB"/>
        </w:rPr>
        <w:lastRenderedPageBreak/>
        <w:drawing>
          <wp:inline distT="0" distB="0" distL="0" distR="0" wp14:anchorId="18E90557" wp14:editId="6EAFA5A4">
            <wp:extent cx="5789737" cy="541483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822" cy="5428011"/>
                    </a:xfrm>
                    <a:prstGeom prst="rect">
                      <a:avLst/>
                    </a:prstGeom>
                    <a:noFill/>
                  </pic:spPr>
                </pic:pic>
              </a:graphicData>
            </a:graphic>
          </wp:inline>
        </w:drawing>
      </w:r>
    </w:p>
    <w:p w14:paraId="7BAD00C0" w14:textId="56F76DED" w:rsidR="003E4643" w:rsidRPr="00024FD1" w:rsidRDefault="00C62A44" w:rsidP="00BA4A70">
      <w:pPr>
        <w:jc w:val="both"/>
      </w:pPr>
      <w:r w:rsidRPr="00024FD1">
        <w:rPr>
          <w:b/>
          <w:bCs/>
        </w:rPr>
        <w:t xml:space="preserve">Figure </w:t>
      </w:r>
      <w:r w:rsidRPr="00024FD1">
        <w:rPr>
          <w:b/>
          <w:bCs/>
        </w:rPr>
        <w:fldChar w:fldCharType="begin"/>
      </w:r>
      <w:r w:rsidRPr="00024FD1">
        <w:rPr>
          <w:b/>
          <w:bCs/>
        </w:rPr>
        <w:instrText xml:space="preserve"> SEQ Figure \* ARABIC </w:instrText>
      </w:r>
      <w:r w:rsidRPr="00024FD1">
        <w:rPr>
          <w:b/>
          <w:bCs/>
        </w:rPr>
        <w:fldChar w:fldCharType="separate"/>
      </w:r>
      <w:r w:rsidR="00D10655" w:rsidRPr="00024FD1">
        <w:rPr>
          <w:b/>
          <w:bCs/>
          <w:noProof/>
        </w:rPr>
        <w:t>7</w:t>
      </w:r>
      <w:r w:rsidRPr="00024FD1">
        <w:rPr>
          <w:b/>
          <w:bCs/>
        </w:rPr>
        <w:fldChar w:fldCharType="end"/>
      </w:r>
      <w:r w:rsidRPr="00024FD1">
        <w:rPr>
          <w:b/>
          <w:bCs/>
        </w:rPr>
        <w:t>.</w:t>
      </w:r>
      <w:r w:rsidR="00B62EAB" w:rsidRPr="00024FD1">
        <w:t xml:space="preserve"> </w:t>
      </w:r>
      <w:r w:rsidR="00686879" w:rsidRPr="00024FD1">
        <w:t xml:space="preserve">A) </w:t>
      </w:r>
      <w:r w:rsidR="00B62EAB" w:rsidRPr="00024FD1">
        <w:t>Histological evaluation of 2-HPS</w:t>
      </w:r>
      <w:r w:rsidR="00D167CF" w:rsidRPr="00024FD1">
        <w:t xml:space="preserve"> scaffolds</w:t>
      </w:r>
      <w:r w:rsidR="00B62EAB" w:rsidRPr="00024FD1">
        <w:t xml:space="preserve"> </w:t>
      </w:r>
      <w:r w:rsidR="00262395" w:rsidRPr="00024FD1">
        <w:t>by H&amp;E</w:t>
      </w:r>
      <w:r w:rsidR="004626C5" w:rsidRPr="00024FD1">
        <w:t xml:space="preserve"> and </w:t>
      </w:r>
      <w:r w:rsidR="00262395" w:rsidRPr="00024FD1">
        <w:t>immunohistochemistry for VEGFR-2 (</w:t>
      </w:r>
      <w:r w:rsidR="004626C5" w:rsidRPr="00024FD1">
        <w:t>v</w:t>
      </w:r>
      <w:r w:rsidR="00262395" w:rsidRPr="00024FD1">
        <w:t>ascular endothelial growth factor 2). H</w:t>
      </w:r>
      <w:r w:rsidR="00B62EAB" w:rsidRPr="00024FD1">
        <w:t xml:space="preserve">istological analysis with </w:t>
      </w:r>
      <w:r w:rsidR="00262395" w:rsidRPr="00024FD1">
        <w:t>H&amp;E</w:t>
      </w:r>
      <w:r w:rsidR="00B62EAB" w:rsidRPr="00024FD1">
        <w:t xml:space="preserve"> </w:t>
      </w:r>
      <w:r w:rsidR="00262395" w:rsidRPr="00024FD1">
        <w:t>(i</w:t>
      </w:r>
      <w:r w:rsidR="00B62EAB" w:rsidRPr="00024FD1">
        <w:t xml:space="preserve"> - iii) and </w:t>
      </w:r>
      <w:r w:rsidR="00262395" w:rsidRPr="00024FD1">
        <w:t>immunohistochemistry for VEGFR-2</w:t>
      </w:r>
      <w:r w:rsidR="00B62EAB" w:rsidRPr="00024FD1">
        <w:t xml:space="preserve"> (iv) of 2-HPS with FBMSCs after basal conditioning, 2-HPS with osteogenic conditioning and 2-HPS without any cells showed </w:t>
      </w:r>
      <w:r w:rsidR="00262395" w:rsidRPr="00024FD1">
        <w:t xml:space="preserve">infiltration of </w:t>
      </w:r>
      <w:r w:rsidR="00B62EAB" w:rsidRPr="00024FD1">
        <w:t xml:space="preserve">the scaffolds </w:t>
      </w:r>
      <w:r w:rsidR="00262395" w:rsidRPr="00024FD1">
        <w:t xml:space="preserve">with RBCs and </w:t>
      </w:r>
      <w:r w:rsidR="00833446" w:rsidRPr="00024FD1">
        <w:t xml:space="preserve">multinucleated giant cells. The expression of VEGFR-2 evident as </w:t>
      </w:r>
      <w:r w:rsidR="00F422B5" w:rsidRPr="00024FD1">
        <w:t xml:space="preserve">a </w:t>
      </w:r>
      <w:r w:rsidR="00833446" w:rsidRPr="00024FD1">
        <w:t>brown stain</w:t>
      </w:r>
      <w:r w:rsidR="00F422B5" w:rsidRPr="00024FD1">
        <w:t xml:space="preserve"> within </w:t>
      </w:r>
      <w:r w:rsidR="00833446" w:rsidRPr="00024FD1">
        <w:t>scaffolds</w:t>
      </w:r>
      <w:r w:rsidR="00B62EAB" w:rsidRPr="00024FD1">
        <w:t xml:space="preserve"> 4 weeks post-implantation.</w:t>
      </w:r>
      <w:r w:rsidR="004626C5" w:rsidRPr="00024FD1">
        <w:t xml:space="preserve"> Squares show magnified areas, blue arrows and yellow arrowheads indicate </w:t>
      </w:r>
      <w:r w:rsidR="001669AB" w:rsidRPr="00024FD1">
        <w:t>RBCs</w:t>
      </w:r>
      <w:r w:rsidR="004626C5" w:rsidRPr="00024FD1">
        <w:t xml:space="preserve"> and multinucleated giant cells</w:t>
      </w:r>
      <w:r w:rsidR="001669AB" w:rsidRPr="00024FD1">
        <w:t>.</w:t>
      </w:r>
      <w:r w:rsidR="003E4643" w:rsidRPr="00024FD1">
        <w:t xml:space="preserve"> Dashed lines indicate interface between connective tissue (CT) and scaffolds.</w:t>
      </w:r>
      <w:r w:rsidR="001669AB" w:rsidRPr="00024FD1">
        <w:t xml:space="preserve"> </w:t>
      </w:r>
      <w:r w:rsidR="0002511B" w:rsidRPr="00024FD1">
        <w:t xml:space="preserve">Scale bar in (i) </w:t>
      </w:r>
      <w:r w:rsidR="003E4643" w:rsidRPr="00024FD1">
        <w:t xml:space="preserve">500 </w:t>
      </w:r>
      <w:r w:rsidR="0002511B" w:rsidRPr="00024FD1">
        <w:t>µm and (i</w:t>
      </w:r>
      <w:r w:rsidR="003E4643" w:rsidRPr="00024FD1">
        <w:t>-</w:t>
      </w:r>
      <w:r w:rsidR="0002511B" w:rsidRPr="00024FD1">
        <w:t xml:space="preserve">v) </w:t>
      </w:r>
      <w:r w:rsidR="003E4643" w:rsidRPr="00024FD1">
        <w:t xml:space="preserve">100 </w:t>
      </w:r>
      <w:r w:rsidR="00FB5430" w:rsidRPr="00024FD1">
        <w:t>µm</w:t>
      </w:r>
      <w:r w:rsidR="005A6465" w:rsidRPr="00024FD1">
        <w:t>.</w:t>
      </w:r>
      <w:r w:rsidR="00686879" w:rsidRPr="00024FD1">
        <w:t xml:space="preserve"> B)</w:t>
      </w:r>
      <w:r w:rsidR="00697CF4" w:rsidRPr="00024FD1">
        <w:t xml:space="preserve"> </w:t>
      </w:r>
      <w:bookmarkStart w:id="19" w:name="_Hlk55730023"/>
      <w:r w:rsidR="00697CF4" w:rsidRPr="00024FD1">
        <w:rPr>
          <w:rFonts w:cs="Arial"/>
        </w:rPr>
        <w:t xml:space="preserve">Evaluation of the number of lumens/vascular </w:t>
      </w:r>
      <w:bookmarkEnd w:id="19"/>
      <w:r w:rsidR="00697CF4" w:rsidRPr="00024FD1">
        <w:rPr>
          <w:rFonts w:cs="Arial"/>
        </w:rPr>
        <w:t>structures per mm</w:t>
      </w:r>
      <w:r w:rsidR="00697CF4" w:rsidRPr="00024FD1">
        <w:rPr>
          <w:rFonts w:cs="Arial"/>
          <w:vertAlign w:val="superscript"/>
        </w:rPr>
        <w:t>2</w:t>
      </w:r>
      <w:r w:rsidR="00697CF4" w:rsidRPr="00024FD1">
        <w:rPr>
          <w:rFonts w:cs="Arial"/>
        </w:rPr>
        <w:t xml:space="preserve"> of scaffold </w:t>
      </w:r>
      <w:r w:rsidR="00697CF4" w:rsidRPr="00024FD1">
        <w:rPr>
          <w:rFonts w:cs="Arial"/>
          <w:szCs w:val="24"/>
        </w:rPr>
        <w:t xml:space="preserve">2-HPS containing FBMSCs after basal conditioning, 2-HPS with osteogenic conditioning and 2-HPS without any cells. Analysis was performed manually using </w:t>
      </w:r>
      <w:bookmarkStart w:id="20" w:name="_Hlk55730453"/>
      <w:r w:rsidR="00697CF4" w:rsidRPr="00024FD1">
        <w:rPr>
          <w:rFonts w:cs="Arial"/>
          <w:szCs w:val="24"/>
        </w:rPr>
        <w:t xml:space="preserve">the software </w:t>
      </w:r>
      <w:proofErr w:type="spellStart"/>
      <w:r w:rsidR="00697CF4" w:rsidRPr="00024FD1">
        <w:rPr>
          <w:rFonts w:cs="Arial"/>
          <w:szCs w:val="24"/>
        </w:rPr>
        <w:t>QuPath</w:t>
      </w:r>
      <w:proofErr w:type="spellEnd"/>
      <w:r w:rsidR="00697CF4" w:rsidRPr="00024FD1">
        <w:rPr>
          <w:rFonts w:cs="Arial"/>
          <w:szCs w:val="24"/>
        </w:rPr>
        <w:t xml:space="preserve"> </w:t>
      </w:r>
      <w:bookmarkEnd w:id="20"/>
      <w:r w:rsidR="00697CF4" w:rsidRPr="00024FD1">
        <w:rPr>
          <w:rFonts w:cs="Arial"/>
          <w:szCs w:val="24"/>
        </w:rPr>
        <w:t xml:space="preserve">on </w:t>
      </w:r>
      <w:bookmarkStart w:id="21" w:name="_Hlk55730410"/>
      <w:r w:rsidR="00697CF4" w:rsidRPr="00024FD1">
        <w:rPr>
          <w:rFonts w:cs="Arial"/>
          <w:szCs w:val="24"/>
        </w:rPr>
        <w:t>the histological sections stained with H&amp;E</w:t>
      </w:r>
      <w:bookmarkEnd w:id="21"/>
      <w:r w:rsidR="00697CF4" w:rsidRPr="00024FD1">
        <w:rPr>
          <w:rFonts w:cs="Arial"/>
          <w:szCs w:val="24"/>
        </w:rPr>
        <w:t xml:space="preserve">. </w:t>
      </w:r>
      <w:r w:rsidR="00697CF4" w:rsidRPr="00024FD1">
        <w:rPr>
          <w:rFonts w:cs="Arial"/>
        </w:rPr>
        <w:t xml:space="preserve">One-way ANOVA with Bonferroni post-test (* p ≤ 0.05). </w:t>
      </w:r>
    </w:p>
    <w:p w14:paraId="090706E1" w14:textId="77777777" w:rsidR="00B902DB" w:rsidRPr="00024FD1" w:rsidRDefault="00B902DB" w:rsidP="00560967">
      <w:pPr>
        <w:pStyle w:val="BCAuthorAddress"/>
        <w:jc w:val="both"/>
        <w:rPr>
          <w:lang w:val="en-GB"/>
        </w:rPr>
      </w:pPr>
    </w:p>
    <w:p w14:paraId="68C22B54" w14:textId="77777777" w:rsidR="00B51BE9" w:rsidRDefault="00B51BE9" w:rsidP="00560967">
      <w:pPr>
        <w:pStyle w:val="BCAuthorAddress"/>
        <w:jc w:val="both"/>
        <w:rPr>
          <w:b/>
          <w:bCs/>
          <w:lang w:val="en-GB"/>
        </w:rPr>
      </w:pPr>
    </w:p>
    <w:p w14:paraId="7FD6412D" w14:textId="6C8C9878" w:rsidR="00787AAA" w:rsidRPr="00024FD1" w:rsidRDefault="00787AAA" w:rsidP="00560967">
      <w:pPr>
        <w:pStyle w:val="BCAuthorAddress"/>
        <w:jc w:val="both"/>
        <w:rPr>
          <w:b/>
          <w:bCs/>
          <w:lang w:val="en-GB"/>
        </w:rPr>
      </w:pPr>
      <w:r w:rsidRPr="00024FD1">
        <w:rPr>
          <w:b/>
          <w:bCs/>
          <w:lang w:val="en-GB"/>
        </w:rPr>
        <w:lastRenderedPageBreak/>
        <w:t>D</w:t>
      </w:r>
      <w:r w:rsidR="00560967" w:rsidRPr="00024FD1">
        <w:rPr>
          <w:b/>
          <w:bCs/>
          <w:lang w:val="en-GB"/>
        </w:rPr>
        <w:t xml:space="preserve">ISCUSSION </w:t>
      </w:r>
    </w:p>
    <w:p w14:paraId="7D6F8888" w14:textId="3E07DDE9" w:rsidR="008131F3" w:rsidRDefault="008131F3" w:rsidP="00962302">
      <w:pPr>
        <w:spacing w:line="480" w:lineRule="auto"/>
        <w:jc w:val="both"/>
        <w:rPr>
          <w:rFonts w:cs="Arial"/>
          <w:szCs w:val="24"/>
        </w:rPr>
      </w:pPr>
      <w:r>
        <w:rPr>
          <w:rFonts w:cs="Arial"/>
          <w:szCs w:val="24"/>
        </w:rPr>
        <w:t>3</w:t>
      </w:r>
      <w:r w:rsidRPr="00024FD1">
        <w:rPr>
          <w:rFonts w:cs="Arial"/>
          <w:szCs w:val="24"/>
        </w:rPr>
        <w:t xml:space="preserve">D printing </w:t>
      </w:r>
      <w:r>
        <w:rPr>
          <w:rFonts w:cs="Arial"/>
          <w:szCs w:val="24"/>
        </w:rPr>
        <w:t>offers a</w:t>
      </w:r>
      <w:r w:rsidRPr="00024FD1">
        <w:rPr>
          <w:rFonts w:cs="Arial"/>
          <w:szCs w:val="24"/>
        </w:rPr>
        <w:t xml:space="preserve"> powerful method to generate 3D scaffolds, </w:t>
      </w:r>
      <w:r w:rsidR="00071712">
        <w:rPr>
          <w:rFonts w:cs="Arial"/>
          <w:szCs w:val="24"/>
        </w:rPr>
        <w:t xml:space="preserve">although, </w:t>
      </w:r>
      <w:r w:rsidRPr="00024FD1">
        <w:rPr>
          <w:rFonts w:cs="Arial"/>
          <w:szCs w:val="24"/>
        </w:rPr>
        <w:t xml:space="preserve">these strategies </w:t>
      </w:r>
      <w:r>
        <w:rPr>
          <w:rFonts w:cs="Arial"/>
          <w:szCs w:val="24"/>
        </w:rPr>
        <w:t>have limited</w:t>
      </w:r>
      <w:r w:rsidRPr="00024FD1">
        <w:rPr>
          <w:rFonts w:cs="Arial"/>
          <w:szCs w:val="24"/>
        </w:rPr>
        <w:t xml:space="preserve"> throughput</w:t>
      </w:r>
      <w:r>
        <w:rPr>
          <w:rFonts w:cs="Arial"/>
          <w:szCs w:val="24"/>
        </w:rPr>
        <w:t>s</w:t>
      </w:r>
      <w:r w:rsidRPr="00024FD1">
        <w:rPr>
          <w:rFonts w:cs="Arial"/>
          <w:szCs w:val="24"/>
        </w:rPr>
        <w:t xml:space="preserve"> </w:t>
      </w:r>
      <w:r w:rsidR="00071712">
        <w:rPr>
          <w:rFonts w:cs="Arial"/>
          <w:szCs w:val="24"/>
        </w:rPr>
        <w:t xml:space="preserve">restricting </w:t>
      </w:r>
      <w:r w:rsidRPr="00024FD1">
        <w:rPr>
          <w:rFonts w:cs="Arial"/>
          <w:szCs w:val="24"/>
        </w:rPr>
        <w:t xml:space="preserve">their applicability in the discovery of new biomaterials </w:t>
      </w:r>
      <w:r w:rsidRPr="00024FD1">
        <w:rPr>
          <w:rFonts w:cs="Arial"/>
          <w:szCs w:val="24"/>
        </w:rPr>
        <w:fldChar w:fldCharType="begin" w:fldLock="1"/>
      </w:r>
      <w:r w:rsidR="0033591E">
        <w:rPr>
          <w:rFonts w:cs="Arial"/>
          <w:szCs w:val="24"/>
        </w:rPr>
        <w:instrText xml:space="preserve"> ADDIN ZOTERO_ITEM CSL_CITATION {"citationID":"7jzNwabD","properties":{"formattedCitation":"\\super 57\\nosupersub{}","plainCitation":"57","noteIndex":0},"citationItems":[{"id":"1dryys0K/xf9oIPZo","uris":["http://www.mendeley.com/documents/?uuid=b17e9ef1-7d13-4965-bf19-7628f26024ee","http://www.mendeley.com/documents/?uuid=2bc728f2-0f76-4369-ad28-1e6aefa4c6bd"],"itemData":{"DOI":"10.1016/j.biomaterials.2016.01.024","ISSN":"18785905","abstract":"The rising incidence of bone disorders has resulted in the need for more effective therapies to meet this demand, exacerbated by an increasing ageing population. Bone tissue engineering is seen as a means of developing alternatives to conventional bone grafts for repairing or reconstructing bone defects by combining biomaterials, cells and signalling factors. However, skeletal tissue engineering has not yet achieved full translation into clinical practice as a consequence of several challenges. The use of additive manufacturing techniques for bone biofabrication is seen as a potential solution, with its inherent capability for reproducibility, accuracy and customisation of scaffolds as well as cell and signalling factor delivery. This review highlights the current research in bone biofabrication, the necessary factors for successful bone biofabrication, in addition to the current limitations affecting biofabrication, some of which are a consequence of the limitations of the additive manufacturing technology itself.","author":[{"dropping-particle":"","family":"Tang","given":"Daniel","non-dropping-particle":"","parse-names":false,"suffix":""},{"dropping-particle":"","family":"Tare","given":"Rahul S.","non-dropping-particle":"","parse-names":false,"suffix":""},{"dropping-particle":"","family":"Yang","given":"Liang Yo","non-dropping-particle":"","parse-names":false,"suffix":""},{"dropping-particle":"","family":"Williams","given":"David F.","non-dropping-particle":"","parse-names":false,"suffix":""},{"dropping-particle":"","family":"Ou","given":"Keng Liang","non-dropping-particle":"","parse-names":false,"suffix":""},{"dropping-particle":"","family":"Oreffo","given":"Richard O.C.","non-dropping-particle":"","parse-names":false,"suffix":""}],"container-title":"Biomaterials","id":"ITEM-1","issued":{"date-parts":[["2016"]]},"page":"363-382","publisher":"Elsevier Ltd","title":"Biofabrication of bone tissue: Approaches, challenges and translation for bone regeneration","type":"article-journal","volume":"83"}}],"schema":"https://github.com/citation-style-language/schema/raw/master/csl-citation.json"} </w:instrText>
      </w:r>
      <w:r w:rsidRPr="00024FD1">
        <w:rPr>
          <w:rFonts w:cs="Arial"/>
          <w:szCs w:val="24"/>
        </w:rPr>
        <w:fldChar w:fldCharType="separate"/>
      </w:r>
      <w:r w:rsidR="0033591E" w:rsidRPr="0033591E">
        <w:rPr>
          <w:rFonts w:cs="Times"/>
          <w:szCs w:val="24"/>
          <w:vertAlign w:val="superscript"/>
        </w:rPr>
        <w:t>57</w:t>
      </w:r>
      <w:r w:rsidRPr="00024FD1">
        <w:rPr>
          <w:rFonts w:cs="Arial"/>
          <w:szCs w:val="24"/>
        </w:rPr>
        <w:fldChar w:fldCharType="end"/>
      </w:r>
      <w:r w:rsidRPr="00024FD1">
        <w:rPr>
          <w:rFonts w:cs="Arial"/>
          <w:szCs w:val="24"/>
        </w:rPr>
        <w:t xml:space="preserve">. Here we present highly functional 3D scaffolds, with </w:t>
      </w:r>
      <w:r>
        <w:rPr>
          <w:rFonts w:cs="Arial"/>
          <w:szCs w:val="24"/>
        </w:rPr>
        <w:t>an indication of a preliminary</w:t>
      </w:r>
      <w:r w:rsidRPr="00024FD1">
        <w:rPr>
          <w:rFonts w:cs="Arial"/>
          <w:szCs w:val="24"/>
        </w:rPr>
        <w:t xml:space="preserve"> vasculature</w:t>
      </w:r>
      <w:r>
        <w:rPr>
          <w:rFonts w:cs="Arial"/>
          <w:szCs w:val="24"/>
        </w:rPr>
        <w:t xml:space="preserve"> formation</w:t>
      </w:r>
      <w:r w:rsidRPr="00024FD1">
        <w:rPr>
          <w:rFonts w:cs="Arial"/>
          <w:szCs w:val="24"/>
        </w:rPr>
        <w:t xml:space="preserve">, designed by exploiting a new approach to the fabrication of scaffold libraries of varying porosities </w:t>
      </w:r>
      <w:r w:rsidRPr="00024FD1">
        <w:rPr>
          <w:rFonts w:cs="Arial"/>
          <w:i/>
          <w:iCs/>
          <w:szCs w:val="24"/>
        </w:rPr>
        <w:t>via</w:t>
      </w:r>
      <w:r w:rsidRPr="00024FD1">
        <w:rPr>
          <w:rFonts w:cs="Arial"/>
          <w:szCs w:val="24"/>
        </w:rPr>
        <w:t xml:space="preserve"> freeze-casting and UV photopolymerization </w:t>
      </w:r>
      <w:r w:rsidRPr="00024FD1">
        <w:rPr>
          <w:rFonts w:cs="Arial"/>
          <w:szCs w:val="24"/>
        </w:rPr>
        <w:fldChar w:fldCharType="begin" w:fldLock="1"/>
      </w:r>
      <w:r w:rsidR="0033591E">
        <w:rPr>
          <w:rFonts w:cs="Arial"/>
          <w:szCs w:val="24"/>
        </w:rPr>
        <w:instrText xml:space="preserve"> ADDIN ZOTERO_ITEM CSL_CITATION {"citationID":"iYYV1NOR","properties":{"formattedCitation":"\\super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C","id":"ITEM-1","issue":"November 2019","issued":{"date-parts":[["2020"]]},"page":"110489","publisher":"Elsevier","title":"Rapid fabrication and screening of tailored functional 3D biomaterials","type":"article-journal","volume":"108"}}],"schema":"https://github.com/citation-style-language/schema/raw/master/csl-citation.json"} </w:instrText>
      </w:r>
      <w:r w:rsidRPr="00024FD1">
        <w:rPr>
          <w:rFonts w:cs="Arial"/>
          <w:szCs w:val="24"/>
        </w:rPr>
        <w:fldChar w:fldCharType="separate"/>
      </w:r>
      <w:r w:rsidR="00276F52" w:rsidRPr="00276F52">
        <w:rPr>
          <w:rFonts w:cs="Times"/>
          <w:szCs w:val="24"/>
          <w:vertAlign w:val="superscript"/>
        </w:rPr>
        <w:t>19</w:t>
      </w:r>
      <w:r w:rsidRPr="00024FD1">
        <w:rPr>
          <w:rFonts w:cs="Arial"/>
          <w:szCs w:val="24"/>
        </w:rPr>
        <w:fldChar w:fldCharType="end"/>
      </w:r>
      <w:r w:rsidRPr="00024FD1">
        <w:rPr>
          <w:rFonts w:cs="Arial"/>
          <w:szCs w:val="24"/>
        </w:rPr>
        <w:t>. The approach allowed the rapid fabrication of a large number of scaffolds, with the 3D structures of the scaffolds controlled by modifying the level of the porogenic solvent to provide highly interconnected porous materials</w:t>
      </w:r>
      <w:r w:rsidR="00071712">
        <w:rPr>
          <w:rFonts w:cs="Arial"/>
          <w:szCs w:val="24"/>
        </w:rPr>
        <w:t xml:space="preserve"> with potential application in skeletal tissue repair.</w:t>
      </w:r>
      <w:r w:rsidRPr="00024FD1">
        <w:rPr>
          <w:rFonts w:cs="Arial"/>
          <w:szCs w:val="24"/>
        </w:rPr>
        <w:t xml:space="preserve"> </w:t>
      </w:r>
    </w:p>
    <w:p w14:paraId="4F65CA62" w14:textId="323E2647" w:rsidR="00D95553" w:rsidRPr="00024FD1" w:rsidRDefault="00E021AD" w:rsidP="00962302">
      <w:pPr>
        <w:spacing w:line="480" w:lineRule="auto"/>
        <w:jc w:val="both"/>
        <w:rPr>
          <w:rFonts w:cs="Arial"/>
          <w:szCs w:val="24"/>
        </w:rPr>
      </w:pPr>
      <w:r w:rsidRPr="00024FD1">
        <w:rPr>
          <w:rFonts w:cs="Arial"/>
          <w:szCs w:val="24"/>
        </w:rPr>
        <w:t xml:space="preserve">Tissue </w:t>
      </w:r>
      <w:r w:rsidR="00824328" w:rsidRPr="00024FD1">
        <w:rPr>
          <w:rFonts w:cs="Arial"/>
          <w:szCs w:val="24"/>
        </w:rPr>
        <w:t xml:space="preserve">regeneration is </w:t>
      </w:r>
      <w:r w:rsidR="00953F1F">
        <w:rPr>
          <w:rFonts w:cs="Arial"/>
          <w:szCs w:val="24"/>
        </w:rPr>
        <w:t xml:space="preserve">critically </w:t>
      </w:r>
      <w:r w:rsidR="00824328" w:rsidRPr="00024FD1">
        <w:rPr>
          <w:rFonts w:cs="Arial"/>
          <w:szCs w:val="24"/>
        </w:rPr>
        <w:t>dependent on</w:t>
      </w:r>
      <w:r w:rsidR="00953F1F">
        <w:rPr>
          <w:rFonts w:cs="Arial"/>
          <w:szCs w:val="24"/>
        </w:rPr>
        <w:t xml:space="preserve"> an</w:t>
      </w:r>
      <w:r w:rsidR="00824328" w:rsidRPr="00024FD1">
        <w:rPr>
          <w:rFonts w:cs="Arial"/>
          <w:szCs w:val="24"/>
        </w:rPr>
        <w:t xml:space="preserve"> appropriate vasculari</w:t>
      </w:r>
      <w:r w:rsidR="00BB4165">
        <w:rPr>
          <w:rFonts w:cs="Arial"/>
          <w:szCs w:val="24"/>
        </w:rPr>
        <w:t>s</w:t>
      </w:r>
      <w:r w:rsidR="00824328" w:rsidRPr="00024FD1">
        <w:rPr>
          <w:rFonts w:cs="Arial"/>
          <w:szCs w:val="24"/>
        </w:rPr>
        <w:t xml:space="preserve">ation </w:t>
      </w:r>
      <w:r w:rsidRPr="00024FD1">
        <w:rPr>
          <w:rFonts w:cs="Arial"/>
          <w:szCs w:val="24"/>
        </w:rPr>
        <w:t>that</w:t>
      </w:r>
      <w:r w:rsidR="00824328" w:rsidRPr="00024FD1">
        <w:rPr>
          <w:rFonts w:cs="Arial"/>
          <w:szCs w:val="24"/>
        </w:rPr>
        <w:t xml:space="preserve"> </w:t>
      </w:r>
      <w:r w:rsidR="00780E83" w:rsidRPr="00024FD1">
        <w:rPr>
          <w:rFonts w:cs="Arial"/>
          <w:szCs w:val="24"/>
        </w:rPr>
        <w:t xml:space="preserve">allows the </w:t>
      </w:r>
      <w:r w:rsidR="00824328" w:rsidRPr="00024FD1">
        <w:rPr>
          <w:rFonts w:cs="Arial"/>
          <w:szCs w:val="24"/>
        </w:rPr>
        <w:t>necessary influx of growth factors, nutrients as well as immune cells to the area of damage to initiate the process of repair</w:t>
      </w:r>
      <w:r w:rsidR="002A3112" w:rsidRPr="00024FD1">
        <w:rPr>
          <w:rFonts w:cs="Arial"/>
          <w:szCs w:val="24"/>
        </w:rPr>
        <w:t xml:space="preserve"> </w:t>
      </w:r>
      <w:r w:rsidR="0024387B" w:rsidRPr="00024FD1">
        <w:rPr>
          <w:rFonts w:cs="Arial"/>
          <w:szCs w:val="24"/>
        </w:rPr>
        <w:fldChar w:fldCharType="begin" w:fldLock="1"/>
      </w:r>
      <w:r w:rsidR="0033591E">
        <w:rPr>
          <w:rFonts w:cs="Arial"/>
          <w:szCs w:val="24"/>
        </w:rPr>
        <w:instrText xml:space="preserve"> ADDIN ZOTERO_ITEM CSL_CITATION {"citationID":"Pz0BK0Gi","properties":{"formattedCitation":"\\super 58\\uc0\\u8211{}60\\nosupersub{}","plainCitation":"58–60","noteIndex":0},"citationItems":[{"id":"1dryys0K/SnXAMp7n","uris":["http://www.mendeley.com/documents/?uuid=a9db74e6-0d6f-4f68-acc7-06b76349bc1c"],"itemData":{"DOI":"10.1016/S1359-6446(03)02866-6","ISSN":"13596446","PMID":"14643161","abstract":"The intimate connection, both physical and biochemical, between blood vessels and bone cells has long been recognized. Genetic, biochemical, and pharmacological studies have identified and characterized factors involved in the conversation between endothelial cells (EC) and osteoblasts (OB) during both bone formation and repair. The long-awaited FDA approval of two growth factors, BMP-2 and OP-1, with angiogenic and osteogenic activity confirms the importance of these two processes in human skeletal healing. In this review, the role of osteogenic factors in the adaptive response and interactive function of OB and EC during the multi-step process of bone repair will be discussed.","author":[{"dropping-particle":"","family":"Carano","given":"Richard A D","non-dropping-particle":"","parse-names":false,"suffix":""},{"dropping-particle":"","family":"Filvaroff","given":"Ellen H.","non-dropping-particle":"","parse-names":false,"suffix":""}],"container-title":"Drug Discovery Today","id":"ITEM-1","issue":"21","issued":{"date-parts":[["2003"]]},"page":"980-989","title":"Angiogenesis and bone repair","type":"article-journal","volume":"8"}},{"id":"1dryys0K/1lCdWiCR","uris":["http://www.mendeley.com/documents/?uuid=63c0aed0-8b57-4755-a5a5-d5be66f637ae"],"itemData":{"DOI":"10.2215/CJN.04151206","ISBN":"5072845745","ISSN":"1555905X","PMID":"18988698","abstract":"This review describes normal bone anatomy and physiology as an introduction to the subsequent articles in this section that discuss clinical applications of iliac crest bone biopsy. The normal anatomy and functions of the skeleton are reviewed first, followed by a general description of the processes of bone modeling and remodeling. The bone remodeling process regulates the gain and loss of bone mineral density in the adult skeleton and directly influences bone strength. Thorough understanding of the bone remodeling process is critical to appreciation of the value of and interpretation of the results of iliac crest bone histomorphometry. Osteoclast recruitment, activation, and bone resorption is discussed in some detail, followed by a review of osteoblast recruitment and the process of new bone formation. Next, the collagenous and noncollagenous protein components and function of bone extracellular matrix are summarized, followed by a description of the process of mineralization of newly formed bone matrix. The actions of biomechanical forces on bone are sensed by the osteocyte syncytium within bone via the canalicular network and intercellular gap junctions. Finally, concepts regarding bone remodeling, osteoclast and osteoblast function, extracellular matrix, matrix mineralization, and osteocyte function are synthesized in a summary of the currently understood functional determinants of bone strength. This information lays the groundwork for understanding the utility and clinical applications of iliac crest bone biopsy.","author":[{"dropping-particle":"","family":"Clarke","given":"Bart","non-dropping-particle":"","parse-names":false,"suffix":""}],"container-title":"Clinical journal of the American Society of Nephrology : CJASN","id":"ITEM-2","issued":{"date-parts":[["2008"]]},"page":"131-139","title":"Normal bone anatomy and physiology.","type":"article-journal","volume":"3 Suppl 3"}},{"id":"1dryys0K/WUNjZBok","uris":["http://www.mendeley.com/documents/?uuid=7415d67a-ee9f-4d86-a654-cef7ecadb9a7","http://www.mendeley.com/documents/?uuid=f855846a-56db-46a0-850e-61fa495425d2"],"itemData":{"DOI":"10.1016/j.injury.2011.03.031","ISSN":"18790267","PMID":"21489527","abstract":"The biology of fracture healing is a complex biological process that follows specific regenerative patterns and involves changes in the expression of several thousand genes. Although there is still much to be learned to fully comprehend the pathways of bone regeneration, the over-all pathways of both the anatomical and biochemical events have been thoroughly investigated. These efforts have provided a general understanding of how fracture healing occurs. Following the initial trauma, bone heals by either direct intramembranous or indirect fracture healing, which consists of both intramembranous and endochondral bone formation. The most common pathway is indirect healing, since direct bone healing requires an anatomical reduction and rigidly stable conditions, commonly only obtained by open reduction and internal fixation. However, when such conditions are achieved, the direct healing cascade allows the bone structure to immediately regenerate anatomical lamellar bone and the Haversian systems without any remodelling steps necessary. In all other non-stable conditions, bone healing follows a specific biological pathway. It involves an acute inflammatory response including the production and release of several important molecules, and the recruitment of mesenchymal stem cells in order to generate a primary cartilaginous callus. This primary callus later undergoes revascularisation and calcification, and is finally remodelled to fully restore a normal bone structure. In this article we summarise the basic biology of fracture healing. © 2011 Elsevier Ltd. All rights reserved.","author":[{"dropping-particle":"","family":"Marsell","given":"Richard","non-dropping-particle":"","parse-names":false,"suffix":""},{"dropping-particle":"","family":"Einhorn","given":"Thomas A.","non-dropping-particle":"","parse-names":false,"suffix":""}],"container-title":"Injury","id":"ITEM-3","issue":"6","issued":{"date-parts":[["2011"]]},"page":"551-555","publisher":"Elsevier Ltd","title":"The biology of fracture healing","type":"article-journal","volume":"42"}}],"schema":"https://github.com/citation-style-language/schema/raw/master/csl-citation.json"} </w:instrText>
      </w:r>
      <w:r w:rsidR="0024387B" w:rsidRPr="00024FD1">
        <w:rPr>
          <w:rFonts w:cs="Arial"/>
          <w:szCs w:val="24"/>
        </w:rPr>
        <w:fldChar w:fldCharType="separate"/>
      </w:r>
      <w:r w:rsidR="0033591E" w:rsidRPr="0033591E">
        <w:rPr>
          <w:rFonts w:cs="Times"/>
          <w:szCs w:val="24"/>
          <w:vertAlign w:val="superscript"/>
        </w:rPr>
        <w:t>58–60</w:t>
      </w:r>
      <w:r w:rsidR="0024387B" w:rsidRPr="00024FD1">
        <w:rPr>
          <w:rFonts w:cs="Arial"/>
          <w:szCs w:val="24"/>
        </w:rPr>
        <w:fldChar w:fldCharType="end"/>
      </w:r>
      <w:r w:rsidR="002A3112" w:rsidRPr="00024FD1">
        <w:rPr>
          <w:rFonts w:cs="Arial"/>
          <w:szCs w:val="24"/>
        </w:rPr>
        <w:t>.</w:t>
      </w:r>
      <w:r w:rsidR="00824328" w:rsidRPr="00024FD1">
        <w:rPr>
          <w:rFonts w:cs="Arial"/>
          <w:szCs w:val="24"/>
        </w:rPr>
        <w:t xml:space="preserve"> The ability to stimulate the process of angiogenesis (blood vessel formation) is therefore </w:t>
      </w:r>
      <w:r w:rsidR="00953F1F">
        <w:rPr>
          <w:rFonts w:cs="Arial"/>
          <w:szCs w:val="24"/>
        </w:rPr>
        <w:t xml:space="preserve">important </w:t>
      </w:r>
      <w:r w:rsidR="00824328" w:rsidRPr="00024FD1">
        <w:rPr>
          <w:rFonts w:cs="Arial"/>
          <w:szCs w:val="24"/>
        </w:rPr>
        <w:t>when designing scaffolds for bone repair</w:t>
      </w:r>
      <w:r w:rsidR="007E2690" w:rsidRPr="00024FD1">
        <w:rPr>
          <w:rFonts w:cs="Arial"/>
          <w:szCs w:val="24"/>
        </w:rPr>
        <w:t xml:space="preserve">. For such scaffolds, </w:t>
      </w:r>
      <w:r w:rsidR="00780E83" w:rsidRPr="00024FD1">
        <w:rPr>
          <w:rFonts w:cs="Arial"/>
          <w:szCs w:val="24"/>
        </w:rPr>
        <w:t xml:space="preserve">variables </w:t>
      </w:r>
      <w:r w:rsidR="007728F4" w:rsidRPr="00024FD1">
        <w:rPr>
          <w:rFonts w:cs="Arial"/>
          <w:szCs w:val="24"/>
        </w:rPr>
        <w:t>to consider include: the material used, the cells, pre-treatment of cells and the structure of the scaffolds</w:t>
      </w:r>
      <w:r w:rsidR="002A3112" w:rsidRPr="00024FD1">
        <w:rPr>
          <w:rFonts w:cs="Arial"/>
          <w:szCs w:val="24"/>
        </w:rPr>
        <w:t xml:space="preserve"> </w:t>
      </w:r>
      <w:r w:rsidR="0024387B" w:rsidRPr="00024FD1">
        <w:rPr>
          <w:rFonts w:cs="Arial"/>
          <w:szCs w:val="24"/>
        </w:rPr>
        <w:fldChar w:fldCharType="begin" w:fldLock="1"/>
      </w:r>
      <w:r w:rsidR="0033591E">
        <w:rPr>
          <w:rFonts w:cs="Arial"/>
          <w:szCs w:val="24"/>
        </w:rPr>
        <w:instrText xml:space="preserve"> ADDIN ZOTERO_ITEM CSL_CITATION {"citationID":"sec0GcaB","properties":{"formattedCitation":"\\super 61\\nosupersub{}","plainCitation":"61","noteIndex":0},"citationItems":[{"id":"1dryys0K/QH4XKoDJ","uris":["http://www.mendeley.com/documents/?uuid=337abfbf-61a7-403b-bf46-a3825f28a397","http://www.mendeley.com/documents/?uuid=4ef2c074-e8fa-4d1e-90d1-7c5a46c06262"],"itemData":{"DOI":"10.1016/s0140-6736(99)90247-7","ISSN":"01406736","PMID":"10437854","author":[{"dropping-particle":"","family":"Vacanti","given":"Joseph P.","non-dropping-particle":"","parse-names":false,"suffix":""},{"dropping-particle":"","family":"Langer","given":"Robert","non-dropping-particle":"","parse-names":false,"suffix":""}],"container-title":"Lancet","id":"ITEM-1","issued":{"date-parts":[["1999"]]},"page":"32-34","title":"Tissue engineering: The design and fabrication of living replacement devices for surgical reconstruction and transplantation","type":"article-journal","volume":"354"}}],"schema":"https://github.com/citation-style-language/schema/raw/master/csl-citation.json"} </w:instrText>
      </w:r>
      <w:r w:rsidR="0024387B" w:rsidRPr="00024FD1">
        <w:rPr>
          <w:rFonts w:cs="Arial"/>
          <w:szCs w:val="24"/>
        </w:rPr>
        <w:fldChar w:fldCharType="separate"/>
      </w:r>
      <w:r w:rsidR="0033591E" w:rsidRPr="0033591E">
        <w:rPr>
          <w:rFonts w:cs="Times"/>
          <w:szCs w:val="24"/>
          <w:vertAlign w:val="superscript"/>
        </w:rPr>
        <w:t>61</w:t>
      </w:r>
      <w:r w:rsidR="0024387B" w:rsidRPr="00024FD1">
        <w:rPr>
          <w:rFonts w:cs="Arial"/>
          <w:szCs w:val="24"/>
        </w:rPr>
        <w:fldChar w:fldCharType="end"/>
      </w:r>
      <w:r w:rsidR="002A3112" w:rsidRPr="00024FD1">
        <w:rPr>
          <w:rFonts w:cs="Arial"/>
          <w:szCs w:val="24"/>
        </w:rPr>
        <w:t>.</w:t>
      </w:r>
      <w:r w:rsidR="007728F4" w:rsidRPr="00024FD1">
        <w:rPr>
          <w:rFonts w:cs="Arial"/>
          <w:szCs w:val="24"/>
        </w:rPr>
        <w:t xml:space="preserve"> </w:t>
      </w:r>
      <w:r w:rsidR="004D0AD1" w:rsidRPr="00024FD1">
        <w:rPr>
          <w:rFonts w:cs="Arial"/>
          <w:szCs w:val="24"/>
        </w:rPr>
        <w:t>Synthetic polymers offer</w:t>
      </w:r>
      <w:r w:rsidR="00780E83" w:rsidRPr="00024FD1">
        <w:rPr>
          <w:rFonts w:cs="Arial"/>
          <w:szCs w:val="24"/>
        </w:rPr>
        <w:t xml:space="preserve"> a</w:t>
      </w:r>
      <w:r w:rsidR="004D0AD1" w:rsidRPr="00024FD1">
        <w:rPr>
          <w:rFonts w:cs="Arial"/>
          <w:szCs w:val="24"/>
        </w:rPr>
        <w:t xml:space="preserve"> </w:t>
      </w:r>
      <w:r w:rsidR="00780E83" w:rsidRPr="00024FD1">
        <w:rPr>
          <w:rFonts w:cs="Arial"/>
          <w:szCs w:val="24"/>
        </w:rPr>
        <w:t xml:space="preserve">scalable </w:t>
      </w:r>
      <w:r w:rsidR="004D0AD1" w:rsidRPr="00024FD1">
        <w:rPr>
          <w:rFonts w:cs="Arial"/>
          <w:szCs w:val="24"/>
        </w:rPr>
        <w:t>means for highly reproducible and versatile production</w:t>
      </w:r>
      <w:r w:rsidR="002A3112" w:rsidRPr="00024FD1">
        <w:rPr>
          <w:rFonts w:cs="Arial"/>
          <w:szCs w:val="24"/>
        </w:rPr>
        <w:t xml:space="preserve"> </w:t>
      </w:r>
      <w:r w:rsidR="0024387B" w:rsidRPr="00024FD1">
        <w:rPr>
          <w:rFonts w:cs="Arial"/>
          <w:szCs w:val="24"/>
        </w:rPr>
        <w:fldChar w:fldCharType="begin" w:fldLock="1"/>
      </w:r>
      <w:r w:rsidR="0033591E">
        <w:rPr>
          <w:rFonts w:cs="Arial"/>
          <w:szCs w:val="24"/>
        </w:rPr>
        <w:instrText xml:space="preserve"> ADDIN ZOTERO_ITEM CSL_CITATION {"citationID":"Vydn4nvA","properties":{"formattedCitation":"\\super 62\\nosupersub{}","plainCitation":"62","noteIndex":0},"citationItems":[{"id":"1dryys0K/9KoziuBQ","uris":["http://www.mendeley.com/documents/?uuid=c982bcce-988b-4f23-9188-00baa83c1a19"],"itemData":{"DOI":"10.1155/2011/290602","ISSN":"16879430","abstract":"Current strategies of regenerative medicine are focused on the restoration of pathologically altered tissue architectures by transplantation of cells in combination with supportive scaffolds and biomolecules. In recent years, considerable interest has been given to biologically active scaffolds which are based on similar analogs of the extracellular matrix that have induced synthesis of tissues and organs. To restore function or regenerate tissue, a scaffold is necessary that will act as a temporary matrix for cell proliferation and extracellular matrix deposition, with subsequent ingrowth until the tissues are totally restored or regenerated. Scaffolds have been used for tissue engineering such as bone, cartilage, ligament, skin, vascular tissues, neural tissues, and skeletal muscle and as vehicle for the controlled delivery of drugs, proteins, and DNA. Various technologies come together to construct porous scaffolds to regenerate the tissues/organs and also for controlled and targeted release of bioactive agents in tissue engineering applications. In this paper, an overview of the different types of scaffolds with their material properties is discussed. The fabrication technologies for tissue engineering scaffolds, including the basic and conventional techniques to the more recent ones, are tabulated.","author":[{"dropping-particle":"","family":"Dhandayuthapani","given":"Brahatheeswaran","non-dropping-particle":"","parse-names":false,"suffix":""},{"dropping-particle":"","family":"Yoshida","given":"Yasuhiko","non-dropping-particle":"","parse-names":false,"suffix":""},{"dropping-particle":"","family":"Maekawa","given":"Toru","non-dropping-particle":"","parse-names":false,"suffix":""},{"dropping-particle":"","family":"Kumar","given":"D. Sakthi","non-dropping-particle":"","parse-names":false,"suffix":""}],"container-title":"International Journal of Polymer Science","id":"ITEM-1","issued":{"date-parts":[["2011"]]},"title":"Polymeric scaffolds in tissue engineering application: A review","type":"article"}}],"schema":"https://github.com/citation-style-language/schema/raw/master/csl-citation.json"} </w:instrText>
      </w:r>
      <w:r w:rsidR="0024387B" w:rsidRPr="00024FD1">
        <w:rPr>
          <w:rFonts w:cs="Arial"/>
          <w:szCs w:val="24"/>
        </w:rPr>
        <w:fldChar w:fldCharType="separate"/>
      </w:r>
      <w:r w:rsidR="0033591E" w:rsidRPr="0033591E">
        <w:rPr>
          <w:rFonts w:cs="Times"/>
          <w:szCs w:val="24"/>
          <w:vertAlign w:val="superscript"/>
        </w:rPr>
        <w:t>62</w:t>
      </w:r>
      <w:r w:rsidR="0024387B" w:rsidRPr="00024FD1">
        <w:rPr>
          <w:rFonts w:cs="Arial"/>
          <w:szCs w:val="24"/>
        </w:rPr>
        <w:fldChar w:fldCharType="end"/>
      </w:r>
      <w:r w:rsidR="002A3112" w:rsidRPr="00024FD1">
        <w:rPr>
          <w:rFonts w:cs="Arial"/>
          <w:szCs w:val="24"/>
        </w:rPr>
        <w:t>.</w:t>
      </w:r>
      <w:r w:rsidR="004D0AD1" w:rsidRPr="00024FD1">
        <w:rPr>
          <w:rFonts w:cs="Arial"/>
          <w:szCs w:val="24"/>
        </w:rPr>
        <w:t xml:space="preserve"> </w:t>
      </w:r>
      <w:r w:rsidR="00787AAA" w:rsidRPr="00024FD1">
        <w:rPr>
          <w:rFonts w:cs="Arial"/>
          <w:szCs w:val="24"/>
        </w:rPr>
        <w:t xml:space="preserve">This study set out to </w:t>
      </w:r>
      <w:r w:rsidR="00DE6C9B">
        <w:rPr>
          <w:rFonts w:cs="Arial"/>
          <w:szCs w:val="24"/>
        </w:rPr>
        <w:t xml:space="preserve">further </w:t>
      </w:r>
      <w:r w:rsidR="00787AAA" w:rsidRPr="00024FD1">
        <w:rPr>
          <w:rFonts w:cs="Arial"/>
          <w:szCs w:val="24"/>
        </w:rPr>
        <w:t>characterize potential candidates</w:t>
      </w:r>
      <w:r w:rsidR="00DE6C9B">
        <w:rPr>
          <w:rFonts w:cs="Arial"/>
          <w:szCs w:val="24"/>
        </w:rPr>
        <w:t xml:space="preserve"> from previous work done by Conde-Gonz</w:t>
      </w:r>
      <w:r w:rsidR="00E16373" w:rsidRPr="00E16373">
        <w:rPr>
          <w:rFonts w:cs="Arial"/>
          <w:szCs w:val="24"/>
        </w:rPr>
        <w:t>á</w:t>
      </w:r>
      <w:r w:rsidR="00DE6C9B">
        <w:rPr>
          <w:rFonts w:cs="Arial"/>
          <w:szCs w:val="24"/>
        </w:rPr>
        <w:t xml:space="preserve">lez </w:t>
      </w:r>
      <w:r w:rsidR="00DE6C9B">
        <w:rPr>
          <w:rFonts w:cs="Arial"/>
          <w:szCs w:val="24"/>
        </w:rPr>
        <w:fldChar w:fldCharType="begin"/>
      </w:r>
      <w:r w:rsidR="0033591E">
        <w:rPr>
          <w:rFonts w:cs="Arial"/>
          <w:szCs w:val="24"/>
        </w:rPr>
        <w:instrText xml:space="preserve"> ADDIN ZOTERO_ITEM CSL_CITATION {"citationID":"8fVS6H4B","properties":{"formattedCitation":"\\super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C","id":"QxUABRr4/PTn7YXmX","issue":"November 2019","issued":{"date-parts":[["2020"]]},"page":"110489","publisher":"Elsevier","title":"Rapid fabrication and screening of tailored functional 3D biomaterials","type":"article-journal","volume":"108"}}],"schema":"https://github.com/citation-style-language/schema/raw/master/csl-citation.json"} </w:instrText>
      </w:r>
      <w:r w:rsidR="00DE6C9B">
        <w:rPr>
          <w:rFonts w:cs="Arial"/>
          <w:szCs w:val="24"/>
        </w:rPr>
        <w:fldChar w:fldCharType="separate"/>
      </w:r>
      <w:r w:rsidR="00276F52" w:rsidRPr="00276F52">
        <w:rPr>
          <w:rFonts w:cs="Times"/>
          <w:szCs w:val="24"/>
          <w:vertAlign w:val="superscript"/>
        </w:rPr>
        <w:t>19</w:t>
      </w:r>
      <w:r w:rsidR="00DE6C9B">
        <w:rPr>
          <w:rFonts w:cs="Arial"/>
          <w:szCs w:val="24"/>
        </w:rPr>
        <w:fldChar w:fldCharType="end"/>
      </w:r>
      <w:r w:rsidR="00DE6C9B">
        <w:rPr>
          <w:rFonts w:cs="Arial"/>
          <w:szCs w:val="24"/>
        </w:rPr>
        <w:t xml:space="preserve"> </w:t>
      </w:r>
      <w:r w:rsidR="00953F1F">
        <w:rPr>
          <w:rFonts w:cs="Arial"/>
          <w:szCs w:val="24"/>
        </w:rPr>
        <w:t>through analysis</w:t>
      </w:r>
      <w:r w:rsidR="00416524">
        <w:rPr>
          <w:rFonts w:cs="Arial"/>
          <w:szCs w:val="24"/>
        </w:rPr>
        <w:t xml:space="preserve"> </w:t>
      </w:r>
      <w:r w:rsidR="00953F1F">
        <w:rPr>
          <w:rFonts w:cs="Arial"/>
          <w:szCs w:val="24"/>
        </w:rPr>
        <w:t xml:space="preserve">of </w:t>
      </w:r>
      <w:r w:rsidR="00DE6C9B">
        <w:rPr>
          <w:rFonts w:cs="Arial"/>
          <w:szCs w:val="24"/>
        </w:rPr>
        <w:t>cell</w:t>
      </w:r>
      <w:r w:rsidR="00361D5D">
        <w:rPr>
          <w:rFonts w:cs="Arial"/>
          <w:szCs w:val="24"/>
        </w:rPr>
        <w:t xml:space="preserve"> compatibility</w:t>
      </w:r>
      <w:r w:rsidR="00416524">
        <w:rPr>
          <w:rFonts w:cs="Arial"/>
          <w:szCs w:val="24"/>
        </w:rPr>
        <w:t xml:space="preserve"> </w:t>
      </w:r>
      <w:r w:rsidR="00DE6C9B">
        <w:rPr>
          <w:rFonts w:cs="Arial"/>
          <w:szCs w:val="24"/>
        </w:rPr>
        <w:t>and</w:t>
      </w:r>
      <w:r w:rsidR="00953F1F">
        <w:rPr>
          <w:rFonts w:cs="Arial"/>
          <w:szCs w:val="24"/>
        </w:rPr>
        <w:t xml:space="preserve"> evaluation of the potential of </w:t>
      </w:r>
      <w:r w:rsidR="00DE6C9B">
        <w:rPr>
          <w:rFonts w:cs="Arial"/>
          <w:szCs w:val="24"/>
        </w:rPr>
        <w:t>the synthetic polymer scaffolds</w:t>
      </w:r>
      <w:r w:rsidR="00787AAA" w:rsidRPr="00024FD1">
        <w:rPr>
          <w:rFonts w:cs="Arial"/>
          <w:szCs w:val="24"/>
        </w:rPr>
        <w:t xml:space="preserve"> for bone re</w:t>
      </w:r>
      <w:r w:rsidR="00953F1F">
        <w:rPr>
          <w:rFonts w:cs="Arial"/>
          <w:szCs w:val="24"/>
        </w:rPr>
        <w:t>pair</w:t>
      </w:r>
      <w:r w:rsidR="00C71342" w:rsidRPr="00024FD1">
        <w:rPr>
          <w:rFonts w:cs="Arial"/>
          <w:szCs w:val="24"/>
        </w:rPr>
        <w:fldChar w:fldCharType="begin" w:fldLock="1"/>
      </w:r>
      <w:r w:rsidR="0033591E">
        <w:rPr>
          <w:rFonts w:cs="Arial"/>
          <w:szCs w:val="24"/>
        </w:rPr>
        <w:instrText xml:space="preserve"> ADDIN ZOTERO_ITEM CSL_CITATION {"citationID":"bOluGtJd","properties":{"formattedCitation":"\\super 4\\nosupersub{}","plainCitation":"4","noteIndex":0},"citationItems":[{"id":"1dryys0K/odwPVu4v","uris":["http://www.mendeley.com/documents/?uuid=c2ce24c5-3d5a-4e63-a94c-b4a576e3a578"],"itemData":{"DOI":"10.1002/adhm.201300489","ISSN":"21922659","abstract":"The fabrication of high-density polymer microarray is described, allowing the simultaneous and efficient evaluation of more than 7000 different polymers in a single-cellular-based screen. These high-density polymer arrays are applied in the search for synthetic substrates for hESCs culture. Up-scaling of the identified hit polymers enables long-term cellular cultivation and promoted successful stem-cell maintenance. © 2013 WILEY-VCH Verlag GmbH &amp; Co.","author":[{"dropping-particle":"","family":"Hansen","given":"Anne","non-dropping-particle":"","parse-names":false,"suffix":""},{"dropping-particle":"","family":"Mjoseng","given":"Heidi K.","non-dropping-particle":"","parse-names":false,"suffix":""},{"dropping-particle":"","family":"Zhang","given":"Rong","non-dropping-particle":"","parse-names":false,"suffix":""},{"dropping-particle":"","family":"Kalloudis","given":"Michail","non-dropping-particle":"","parse-names":false,"suffix":""},{"dropping-particle":"","family":"Koutsos","given":"Vasileios","non-dropping-particle":"","parse-names":false,"suffix":""},{"dropping-particle":"","family":"Sousa","given":"Paul A.","non-dropping-particle":"de","parse-names":false,"suffix":""},{"dropping-particle":"","family":"Bradley","given":"Mark","non-dropping-particle":"","parse-names":false,"suffix":""}],"container-title":"Advanced Healthcare Materials","id":"ITEM-1","issue":"6","issued":{"date-parts":[["2014"]]},"page":"848-853","title":"High-Density Polymer Microarrays: Identifying Synthetic Polymers that Control Human Embryonic Stem Cell Growth","type":"article-journal","volume":"3"}}],"schema":"https://github.com/citation-style-language/schema/raw/master/csl-citation.json"} </w:instrText>
      </w:r>
      <w:r w:rsidR="00C71342" w:rsidRPr="00024FD1">
        <w:rPr>
          <w:rFonts w:cs="Arial"/>
          <w:szCs w:val="24"/>
        </w:rPr>
        <w:fldChar w:fldCharType="separate"/>
      </w:r>
      <w:r w:rsidR="00A6161F" w:rsidRPr="00A6161F">
        <w:rPr>
          <w:rFonts w:cs="Times"/>
          <w:szCs w:val="24"/>
          <w:vertAlign w:val="superscript"/>
        </w:rPr>
        <w:t>4</w:t>
      </w:r>
      <w:r w:rsidR="00C71342" w:rsidRPr="00024FD1">
        <w:rPr>
          <w:rFonts w:cs="Arial"/>
          <w:szCs w:val="24"/>
        </w:rPr>
        <w:fldChar w:fldCharType="end"/>
      </w:r>
      <w:r w:rsidR="002A3112" w:rsidRPr="00024FD1">
        <w:rPr>
          <w:rFonts w:cs="Arial"/>
          <w:szCs w:val="24"/>
        </w:rPr>
        <w:t>.</w:t>
      </w:r>
      <w:r w:rsidR="003F302C" w:rsidRPr="00024FD1">
        <w:rPr>
          <w:rFonts w:cs="Arial"/>
          <w:szCs w:val="24"/>
        </w:rPr>
        <w:t xml:space="preserve"> </w:t>
      </w:r>
      <w:r w:rsidR="004D0AD1" w:rsidRPr="00024FD1">
        <w:rPr>
          <w:rFonts w:cs="Arial"/>
          <w:szCs w:val="24"/>
        </w:rPr>
        <w:t xml:space="preserve">Although </w:t>
      </w:r>
      <w:r w:rsidR="00780E83" w:rsidRPr="00024FD1">
        <w:rPr>
          <w:rFonts w:cs="Arial"/>
          <w:szCs w:val="24"/>
        </w:rPr>
        <w:t xml:space="preserve">traditional </w:t>
      </w:r>
      <w:r w:rsidR="004D0AD1" w:rsidRPr="00024FD1">
        <w:rPr>
          <w:rFonts w:cs="Arial"/>
          <w:szCs w:val="24"/>
        </w:rPr>
        <w:t xml:space="preserve">microarray allows </w:t>
      </w:r>
      <w:r w:rsidR="00780E83" w:rsidRPr="00024FD1">
        <w:rPr>
          <w:rFonts w:cs="Arial"/>
          <w:szCs w:val="24"/>
        </w:rPr>
        <w:t xml:space="preserve">the </w:t>
      </w:r>
      <w:r w:rsidR="004D0AD1" w:rsidRPr="00024FD1">
        <w:rPr>
          <w:rFonts w:cs="Arial"/>
          <w:szCs w:val="24"/>
        </w:rPr>
        <w:t xml:space="preserve">screening of thousands </w:t>
      </w:r>
      <w:r w:rsidR="00780E83" w:rsidRPr="00024FD1">
        <w:rPr>
          <w:rFonts w:cs="Arial"/>
          <w:szCs w:val="24"/>
        </w:rPr>
        <w:t xml:space="preserve">of </w:t>
      </w:r>
      <w:r w:rsidR="004D0AD1" w:rsidRPr="00024FD1">
        <w:rPr>
          <w:rFonts w:cs="Arial"/>
          <w:szCs w:val="24"/>
        </w:rPr>
        <w:t xml:space="preserve">different </w:t>
      </w:r>
      <w:r w:rsidR="00780E83" w:rsidRPr="00024FD1">
        <w:rPr>
          <w:rFonts w:cs="Arial"/>
          <w:szCs w:val="24"/>
        </w:rPr>
        <w:t>materials</w:t>
      </w:r>
      <w:r w:rsidR="004D0AD1" w:rsidRPr="00024FD1">
        <w:rPr>
          <w:rFonts w:cs="Arial"/>
          <w:szCs w:val="24"/>
        </w:rPr>
        <w:t xml:space="preserve">, </w:t>
      </w:r>
      <w:r w:rsidR="001D7049">
        <w:rPr>
          <w:rFonts w:cs="Arial"/>
          <w:szCs w:val="24"/>
        </w:rPr>
        <w:t>materials</w:t>
      </w:r>
      <w:r w:rsidR="004D0AD1" w:rsidRPr="00024FD1">
        <w:rPr>
          <w:rFonts w:cs="Arial"/>
          <w:szCs w:val="24"/>
        </w:rPr>
        <w:t xml:space="preserve"> lack the three-dimensional organization present in tissue. </w:t>
      </w:r>
      <w:r w:rsidR="00953F1F">
        <w:rPr>
          <w:rFonts w:cs="Arial"/>
          <w:szCs w:val="24"/>
        </w:rPr>
        <w:t>T</w:t>
      </w:r>
      <w:r w:rsidR="00780E83" w:rsidRPr="00024FD1">
        <w:rPr>
          <w:rFonts w:cs="Arial"/>
          <w:szCs w:val="24"/>
        </w:rPr>
        <w:t xml:space="preserve">he </w:t>
      </w:r>
      <w:r w:rsidR="004D0AD1" w:rsidRPr="00024FD1">
        <w:rPr>
          <w:rFonts w:cs="Arial"/>
          <w:szCs w:val="24"/>
        </w:rPr>
        <w:t xml:space="preserve">mimicry of </w:t>
      </w:r>
      <w:r w:rsidR="00780E83" w:rsidRPr="00024FD1">
        <w:rPr>
          <w:rFonts w:cs="Arial"/>
          <w:szCs w:val="24"/>
        </w:rPr>
        <w:t xml:space="preserve">the </w:t>
      </w:r>
      <w:r w:rsidR="00953F1F">
        <w:rPr>
          <w:rFonts w:cs="Arial"/>
          <w:szCs w:val="24"/>
        </w:rPr>
        <w:t>material</w:t>
      </w:r>
      <w:r w:rsidR="004D0AD1" w:rsidRPr="00024FD1">
        <w:rPr>
          <w:rFonts w:cs="Arial"/>
          <w:szCs w:val="24"/>
        </w:rPr>
        <w:t xml:space="preserve"> 3D structure </w:t>
      </w:r>
      <w:r w:rsidR="008131F3">
        <w:rPr>
          <w:rFonts w:cs="Arial"/>
          <w:szCs w:val="24"/>
        </w:rPr>
        <w:t>to that of the target tissue, enables evaluation of</w:t>
      </w:r>
      <w:r w:rsidR="004D0AD1" w:rsidRPr="00024FD1">
        <w:rPr>
          <w:rFonts w:cs="Arial"/>
          <w:szCs w:val="24"/>
        </w:rPr>
        <w:t xml:space="preserve"> </w:t>
      </w:r>
      <w:r w:rsidR="008131F3">
        <w:rPr>
          <w:rFonts w:cs="Arial"/>
          <w:szCs w:val="24"/>
        </w:rPr>
        <w:t>an enhanced u</w:t>
      </w:r>
      <w:r w:rsidR="004D0AD1" w:rsidRPr="00024FD1">
        <w:rPr>
          <w:rFonts w:cs="Arial"/>
          <w:szCs w:val="24"/>
        </w:rPr>
        <w:t>nderstanding of the behavio</w:t>
      </w:r>
      <w:r w:rsidR="008131F3">
        <w:rPr>
          <w:rFonts w:cs="Arial"/>
          <w:szCs w:val="24"/>
        </w:rPr>
        <w:t>u</w:t>
      </w:r>
      <w:r w:rsidR="004D0AD1" w:rsidRPr="00024FD1">
        <w:rPr>
          <w:rFonts w:cs="Arial"/>
          <w:szCs w:val="24"/>
        </w:rPr>
        <w:t xml:space="preserve">r of the material and the cells seeded </w:t>
      </w:r>
      <w:r w:rsidR="00780E83" w:rsidRPr="00024FD1">
        <w:rPr>
          <w:rFonts w:cs="Arial"/>
          <w:szCs w:val="24"/>
        </w:rPr>
        <w:t>upon that material</w:t>
      </w:r>
      <w:r w:rsidR="008131F3">
        <w:rPr>
          <w:rFonts w:cs="Arial"/>
          <w:szCs w:val="24"/>
        </w:rPr>
        <w:t xml:space="preserve"> to the host target tissue</w:t>
      </w:r>
      <w:r w:rsidR="00780E83" w:rsidRPr="00024FD1">
        <w:rPr>
          <w:rFonts w:cs="Arial"/>
          <w:szCs w:val="24"/>
        </w:rPr>
        <w:t xml:space="preserve">. </w:t>
      </w:r>
    </w:p>
    <w:p w14:paraId="77ADB23A" w14:textId="266A04DC" w:rsidR="00E459FF" w:rsidRPr="00024FD1" w:rsidRDefault="00BB4165" w:rsidP="00E459FF">
      <w:pPr>
        <w:spacing w:line="480" w:lineRule="auto"/>
        <w:jc w:val="both"/>
        <w:rPr>
          <w:rFonts w:cs="Arial"/>
          <w:szCs w:val="24"/>
        </w:rPr>
      </w:pPr>
      <w:r>
        <w:rPr>
          <w:rFonts w:cs="Arial"/>
          <w:szCs w:val="24"/>
        </w:rPr>
        <w:t xml:space="preserve">Given the </w:t>
      </w:r>
      <w:r w:rsidR="00962302" w:rsidRPr="00024FD1">
        <w:rPr>
          <w:rFonts w:cs="Arial"/>
          <w:szCs w:val="24"/>
        </w:rPr>
        <w:t>scaffolds exhibited bone-like mechanical properties</w:t>
      </w:r>
      <w:r w:rsidR="002A3112" w:rsidRPr="00024FD1">
        <w:rPr>
          <w:rFonts w:cs="Arial"/>
          <w:szCs w:val="24"/>
        </w:rPr>
        <w:t xml:space="preserve"> </w:t>
      </w:r>
      <w:r w:rsidR="00962302" w:rsidRPr="00024FD1">
        <w:rPr>
          <w:rFonts w:cs="Arial"/>
          <w:szCs w:val="24"/>
        </w:rPr>
        <w:fldChar w:fldCharType="begin" w:fldLock="1"/>
      </w:r>
      <w:r w:rsidR="0033591E">
        <w:rPr>
          <w:rFonts w:cs="Arial"/>
          <w:szCs w:val="24"/>
        </w:rPr>
        <w:instrText xml:space="preserve"> ADDIN ZOTERO_ITEM CSL_CITATION {"citationID":"kj2tTcIl","properties":{"formattedCitation":"\\super 63\\nosupersub{}","plainCitation":"63","noteIndex":0},"citationItems":[{"id":"1dryys0K/t570RAge","uris":["http://www.mendeley.com/documents/?uuid=377c0f0e-b2de-40a2-b298-1c6e02a4e285","http://www.mendeley.com/documents/?uuid=58a57028-5b65-49fa-8866-9cbb6779c4ff"],"itemData":{"DOI":"10.2174/1874465611104010063","ISSN":"18744656","abstract":"Hydroxyapatite (HA) is the main mineral component of bone tissue, representing ca. 69 vol% in bone and up to 98 vol% in dental enamel. Its chemical composition close to the mineral phase of bone is the origin of its excellent biocompatibility to tissue bone. Hydroxyapatite has been applied in orthopaedics as block implants, porous, granules and coating material, either dense or porous. However, the application is restricted to non-load bearing application due to its brittleness and low toughness and flexural strength. With this, the development of bioactive dense HA is necessary as it has promising potential in application of load bearing bone implant. Few efforts have been made in developing many methods to produce dense HA. Some of the methods have been combined to prepare dense HA with improved properties. This paper will be discussing the recent progress on efforts which have been done in improving mechanical properties of hydroxyapatite-based dense type biomaterials for load bearing bone substitutes applications. Some recent patents related to dense calcium phosphate are also reviewed. © 2011 Bentham Science Publishers Ltd.","author":[{"dropping-particle":"","family":"A. Nawawi","given":"Natasha","non-dropping-particle":"","parse-names":false,"suffix":""},{"dropping-particle":"","family":"S.F. Alqap","given":"Asep","non-dropping-particle":"","parse-names":false,"suffix":""},{"dropping-particle":"","family":"Sopyan","given":"Iis","non-dropping-particle":"","parse-names":false,"suffix":""}],"container-title":"Recent Patents on Materials Science","id":"ITEM-1","issue":"1","issued":{"date-parts":[["2011"]]},"page":"63-80","title":"Recent Progress on Hydroxyapatite-Based Dense Biomaterials for Load Bearing Bone Substitutes","type":"article-journal","volume":"4"}}],"schema":"https://github.com/citation-style-language/schema/raw/master/csl-citation.json"} </w:instrText>
      </w:r>
      <w:r w:rsidR="00962302" w:rsidRPr="00024FD1">
        <w:rPr>
          <w:rFonts w:cs="Arial"/>
          <w:szCs w:val="24"/>
        </w:rPr>
        <w:fldChar w:fldCharType="separate"/>
      </w:r>
      <w:r w:rsidR="0033591E" w:rsidRPr="0033591E">
        <w:rPr>
          <w:rFonts w:cs="Times"/>
          <w:szCs w:val="24"/>
          <w:vertAlign w:val="superscript"/>
        </w:rPr>
        <w:t>63</w:t>
      </w:r>
      <w:r w:rsidR="00962302" w:rsidRPr="00024FD1">
        <w:rPr>
          <w:rFonts w:cs="Arial"/>
          <w:szCs w:val="24"/>
        </w:rPr>
        <w:fldChar w:fldCharType="end"/>
      </w:r>
      <w:r w:rsidR="002A3112" w:rsidRPr="00024FD1">
        <w:rPr>
          <w:rFonts w:cs="Arial"/>
          <w:szCs w:val="24"/>
        </w:rPr>
        <w:t>,</w:t>
      </w:r>
      <w:r w:rsidR="00962302" w:rsidRPr="00024FD1">
        <w:rPr>
          <w:rFonts w:cs="Arial"/>
          <w:szCs w:val="24"/>
        </w:rPr>
        <w:t xml:space="preserve"> we </w:t>
      </w:r>
      <w:r w:rsidR="00380C45" w:rsidRPr="00024FD1">
        <w:rPr>
          <w:rFonts w:cs="Arial"/>
          <w:szCs w:val="24"/>
        </w:rPr>
        <w:t xml:space="preserve">explored </w:t>
      </w:r>
      <w:r w:rsidR="00962302" w:rsidRPr="00024FD1">
        <w:rPr>
          <w:rFonts w:cs="Arial"/>
          <w:szCs w:val="24"/>
        </w:rPr>
        <w:t>the biological properties of the scaffolds</w:t>
      </w:r>
      <w:r w:rsidR="00380C45" w:rsidRPr="00024FD1">
        <w:rPr>
          <w:rFonts w:cs="Arial"/>
          <w:szCs w:val="24"/>
        </w:rPr>
        <w:t xml:space="preserve"> </w:t>
      </w:r>
      <w:r w:rsidR="00D95553" w:rsidRPr="00024FD1">
        <w:rPr>
          <w:rFonts w:cs="Arial"/>
          <w:szCs w:val="24"/>
        </w:rPr>
        <w:t>(Figure 4)</w:t>
      </w:r>
      <w:r w:rsidR="00380C45" w:rsidRPr="00024FD1">
        <w:rPr>
          <w:rFonts w:cs="Arial"/>
          <w:szCs w:val="24"/>
        </w:rPr>
        <w:t xml:space="preserve"> using h</w:t>
      </w:r>
      <w:r w:rsidR="00962302" w:rsidRPr="00024FD1">
        <w:rPr>
          <w:rFonts w:cs="Arial"/>
          <w:szCs w:val="24"/>
        </w:rPr>
        <w:t xml:space="preserve">uman </w:t>
      </w:r>
      <w:proofErr w:type="spellStart"/>
      <w:r w:rsidR="00962302" w:rsidRPr="00024FD1">
        <w:rPr>
          <w:rFonts w:cs="Arial"/>
          <w:szCs w:val="24"/>
        </w:rPr>
        <w:t>fetal</w:t>
      </w:r>
      <w:proofErr w:type="spellEnd"/>
      <w:r w:rsidR="00962302" w:rsidRPr="00024FD1">
        <w:rPr>
          <w:rFonts w:cs="Arial"/>
          <w:szCs w:val="24"/>
        </w:rPr>
        <w:t xml:space="preserve"> bone marrow stromal cells (FBMSCs)</w:t>
      </w:r>
      <w:r w:rsidR="00380C45" w:rsidRPr="00024FD1">
        <w:rPr>
          <w:rFonts w:cs="Arial"/>
          <w:szCs w:val="24"/>
        </w:rPr>
        <w:t xml:space="preserve">, </w:t>
      </w:r>
      <w:r>
        <w:rPr>
          <w:rFonts w:cs="Arial"/>
          <w:szCs w:val="24"/>
        </w:rPr>
        <w:t>due to</w:t>
      </w:r>
      <w:r w:rsidR="00962302" w:rsidRPr="00024FD1">
        <w:rPr>
          <w:rFonts w:cs="Arial"/>
          <w:szCs w:val="24"/>
        </w:rPr>
        <w:t xml:space="preserve"> their high proliferation rates and ability to differentiate into bone-forming cells</w:t>
      </w:r>
      <w:r w:rsidR="00361D5D">
        <w:rPr>
          <w:rFonts w:cs="Arial"/>
          <w:szCs w:val="24"/>
        </w:rPr>
        <w:t xml:space="preserve"> instead </w:t>
      </w:r>
      <w:r w:rsidR="00361D5D">
        <w:rPr>
          <w:rFonts w:cs="Arial"/>
          <w:szCs w:val="24"/>
        </w:rPr>
        <w:lastRenderedPageBreak/>
        <w:t xml:space="preserve">of previously used osteosarcoma cell line SAOS-2 </w:t>
      </w:r>
      <w:r w:rsidR="00361D5D">
        <w:rPr>
          <w:rFonts w:cs="Arial"/>
          <w:szCs w:val="24"/>
        </w:rPr>
        <w:fldChar w:fldCharType="begin"/>
      </w:r>
      <w:r w:rsidR="0033591E">
        <w:rPr>
          <w:rFonts w:cs="Arial"/>
          <w:szCs w:val="24"/>
        </w:rPr>
        <w:instrText xml:space="preserve"> ADDIN ZOTERO_ITEM CSL_CITATION {"citationID":"0R07hB93","properties":{"formattedCitation":"\\super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C","id":"QxUABRr4/PTn7YXmX","issue":"November 2019","issued":{"date-parts":[["2020"]]},"page":"110489","publisher":"Elsevier","title":"Rapid fabrication and screening of tailored functional 3D biomaterials","type":"article-journal","volume":"108"}}],"schema":"https://github.com/citation-style-language/schema/raw/master/csl-citation.json"} </w:instrText>
      </w:r>
      <w:r w:rsidR="00361D5D">
        <w:rPr>
          <w:rFonts w:cs="Arial"/>
          <w:szCs w:val="24"/>
        </w:rPr>
        <w:fldChar w:fldCharType="separate"/>
      </w:r>
      <w:r w:rsidR="00276F52" w:rsidRPr="00276F52">
        <w:rPr>
          <w:rFonts w:cs="Times"/>
          <w:szCs w:val="24"/>
          <w:vertAlign w:val="superscript"/>
        </w:rPr>
        <w:t>19</w:t>
      </w:r>
      <w:r w:rsidR="00361D5D">
        <w:rPr>
          <w:rFonts w:cs="Arial"/>
          <w:szCs w:val="24"/>
        </w:rPr>
        <w:fldChar w:fldCharType="end"/>
      </w:r>
      <w:r w:rsidR="00962302" w:rsidRPr="00024FD1">
        <w:rPr>
          <w:rFonts w:cs="Arial"/>
          <w:szCs w:val="24"/>
        </w:rPr>
        <w:t>.</w:t>
      </w:r>
      <w:r w:rsidR="00361D5D">
        <w:rPr>
          <w:rFonts w:cs="Arial"/>
          <w:szCs w:val="24"/>
        </w:rPr>
        <w:t xml:space="preserve"> FBMSCs represent </w:t>
      </w:r>
      <w:r w:rsidR="00071712">
        <w:rPr>
          <w:rFonts w:cs="Arial"/>
          <w:szCs w:val="24"/>
        </w:rPr>
        <w:t>a biologically relevant</w:t>
      </w:r>
      <w:r w:rsidR="00361D5D">
        <w:rPr>
          <w:rFonts w:cs="Arial"/>
          <w:szCs w:val="24"/>
        </w:rPr>
        <w:t xml:space="preserve"> target for use in </w:t>
      </w:r>
      <w:r w:rsidR="00071712">
        <w:rPr>
          <w:rFonts w:cs="Arial"/>
          <w:szCs w:val="24"/>
        </w:rPr>
        <w:t xml:space="preserve">skeletal tissue </w:t>
      </w:r>
      <w:r w:rsidR="00361D5D">
        <w:rPr>
          <w:rFonts w:cs="Arial"/>
          <w:szCs w:val="24"/>
        </w:rPr>
        <w:t>biofabrication.</w:t>
      </w:r>
      <w:r w:rsidR="00962302" w:rsidRPr="00024FD1">
        <w:rPr>
          <w:rFonts w:cs="Arial"/>
          <w:szCs w:val="24"/>
        </w:rPr>
        <w:t xml:space="preserve"> Elevated cell proliferation rates were observed together with enhanced expression of collagen and ALP </w:t>
      </w:r>
      <w:r w:rsidR="00380C45" w:rsidRPr="00024FD1">
        <w:rPr>
          <w:rFonts w:cs="Arial"/>
          <w:szCs w:val="24"/>
        </w:rPr>
        <w:t xml:space="preserve">on two highly porous scaffolds </w:t>
      </w:r>
      <w:r w:rsidR="00962302" w:rsidRPr="00024FD1">
        <w:rPr>
          <w:rFonts w:cs="Arial"/>
          <w:szCs w:val="24"/>
        </w:rPr>
        <w:t xml:space="preserve">2-HPS and 3-HPS </w:t>
      </w:r>
      <w:r w:rsidR="00380C45" w:rsidRPr="00024FD1">
        <w:rPr>
          <w:rFonts w:cs="Arial"/>
          <w:szCs w:val="24"/>
        </w:rPr>
        <w:t xml:space="preserve">high-lighting these materials as </w:t>
      </w:r>
      <w:r w:rsidR="00962302" w:rsidRPr="00024FD1">
        <w:rPr>
          <w:rFonts w:cs="Arial"/>
          <w:szCs w:val="24"/>
        </w:rPr>
        <w:t xml:space="preserve">potential candidates for </w:t>
      </w:r>
      <w:r w:rsidR="00071712">
        <w:rPr>
          <w:rFonts w:cs="Arial"/>
          <w:szCs w:val="24"/>
        </w:rPr>
        <w:t xml:space="preserve">skeletal </w:t>
      </w:r>
      <w:r w:rsidR="00962302" w:rsidRPr="00024FD1">
        <w:rPr>
          <w:rFonts w:cs="Arial"/>
          <w:szCs w:val="24"/>
        </w:rPr>
        <w:t>tissue repair applications</w:t>
      </w:r>
      <w:r w:rsidR="00C77D5C" w:rsidRPr="00024FD1">
        <w:rPr>
          <w:rFonts w:cs="Arial"/>
          <w:szCs w:val="24"/>
        </w:rPr>
        <w:t xml:space="preserve"> (2-HPS is poly(MTEMA</w:t>
      </w:r>
      <w:r w:rsidR="00C77D5C" w:rsidRPr="00024FD1">
        <w:rPr>
          <w:rFonts w:cs="Arial"/>
          <w:szCs w:val="24"/>
          <w:vertAlign w:val="subscript"/>
        </w:rPr>
        <w:t>36</w:t>
      </w:r>
      <w:r w:rsidR="00C77D5C" w:rsidRPr="00024FD1">
        <w:rPr>
          <w:rFonts w:cs="Arial"/>
          <w:szCs w:val="24"/>
        </w:rPr>
        <w:t>-</w:t>
      </w:r>
      <w:r w:rsidR="00C77D5C" w:rsidRPr="00024FD1">
        <w:rPr>
          <w:rFonts w:cs="Arial"/>
          <w:i/>
          <w:iCs/>
          <w:szCs w:val="24"/>
        </w:rPr>
        <w:t>co</w:t>
      </w:r>
      <w:r w:rsidR="00C77D5C" w:rsidRPr="00024FD1">
        <w:rPr>
          <w:rFonts w:cs="Arial"/>
          <w:szCs w:val="24"/>
        </w:rPr>
        <w:t>-IBA</w:t>
      </w:r>
      <w:r w:rsidR="00C77D5C" w:rsidRPr="00024FD1">
        <w:rPr>
          <w:rFonts w:cs="Arial"/>
          <w:szCs w:val="24"/>
          <w:vertAlign w:val="subscript"/>
        </w:rPr>
        <w:t>36</w:t>
      </w:r>
      <w:r w:rsidR="00C77D5C" w:rsidRPr="00024FD1">
        <w:rPr>
          <w:rFonts w:cs="Arial"/>
          <w:szCs w:val="24"/>
        </w:rPr>
        <w:t>-</w:t>
      </w:r>
      <w:r w:rsidR="00C77D5C" w:rsidRPr="00024FD1">
        <w:rPr>
          <w:rFonts w:cs="Arial"/>
          <w:i/>
          <w:iCs/>
          <w:szCs w:val="24"/>
        </w:rPr>
        <w:t>co</w:t>
      </w:r>
      <w:r w:rsidR="00C77D5C" w:rsidRPr="00024FD1">
        <w:rPr>
          <w:rFonts w:cs="Arial"/>
          <w:szCs w:val="24"/>
        </w:rPr>
        <w:t>-HDOBA</w:t>
      </w:r>
      <w:r w:rsidR="00C77D5C" w:rsidRPr="00024FD1">
        <w:rPr>
          <w:rFonts w:cs="Arial"/>
          <w:szCs w:val="24"/>
          <w:vertAlign w:val="subscript"/>
        </w:rPr>
        <w:t>18</w:t>
      </w:r>
      <w:r w:rsidR="00C77D5C" w:rsidRPr="00024FD1">
        <w:rPr>
          <w:rFonts w:cs="Arial"/>
          <w:szCs w:val="24"/>
        </w:rPr>
        <w:t>) with 80% porosity and 3-HPS is poly(MTEMA</w:t>
      </w:r>
      <w:r w:rsidR="00C77D5C" w:rsidRPr="00024FD1">
        <w:rPr>
          <w:rFonts w:cs="Arial"/>
          <w:szCs w:val="24"/>
          <w:vertAlign w:val="subscript"/>
        </w:rPr>
        <w:t>36</w:t>
      </w:r>
      <w:r w:rsidR="00C77D5C" w:rsidRPr="00024FD1">
        <w:rPr>
          <w:rFonts w:cs="Arial"/>
          <w:szCs w:val="24"/>
        </w:rPr>
        <w:t>-</w:t>
      </w:r>
      <w:r w:rsidR="00C77D5C" w:rsidRPr="00024FD1">
        <w:rPr>
          <w:rFonts w:cs="Arial"/>
          <w:i/>
          <w:iCs/>
          <w:szCs w:val="24"/>
        </w:rPr>
        <w:t>co</w:t>
      </w:r>
      <w:r w:rsidR="00C77D5C" w:rsidRPr="00024FD1">
        <w:rPr>
          <w:rFonts w:cs="Arial"/>
          <w:szCs w:val="24"/>
        </w:rPr>
        <w:t>-EGDPEA</w:t>
      </w:r>
      <w:r w:rsidR="00C77D5C" w:rsidRPr="00024FD1">
        <w:rPr>
          <w:rFonts w:cs="Arial"/>
          <w:szCs w:val="24"/>
          <w:vertAlign w:val="subscript"/>
        </w:rPr>
        <w:t>36</w:t>
      </w:r>
      <w:r w:rsidR="00C77D5C" w:rsidRPr="00024FD1">
        <w:rPr>
          <w:rFonts w:cs="Arial"/>
          <w:szCs w:val="24"/>
        </w:rPr>
        <w:t>-</w:t>
      </w:r>
      <w:r w:rsidR="00C77D5C" w:rsidRPr="00024FD1">
        <w:rPr>
          <w:rFonts w:cs="Arial"/>
          <w:i/>
          <w:iCs/>
          <w:szCs w:val="24"/>
        </w:rPr>
        <w:t>co</w:t>
      </w:r>
      <w:r w:rsidR="00C77D5C" w:rsidRPr="00024FD1">
        <w:rPr>
          <w:rFonts w:cs="Arial"/>
          <w:szCs w:val="24"/>
        </w:rPr>
        <w:t>-HDOBA</w:t>
      </w:r>
      <w:r w:rsidR="00C77D5C" w:rsidRPr="00024FD1">
        <w:rPr>
          <w:rFonts w:cs="Arial"/>
          <w:szCs w:val="24"/>
          <w:vertAlign w:val="subscript"/>
        </w:rPr>
        <w:t>18</w:t>
      </w:r>
      <w:r w:rsidR="00C77D5C" w:rsidRPr="00024FD1">
        <w:rPr>
          <w:rFonts w:cs="Arial"/>
          <w:szCs w:val="24"/>
        </w:rPr>
        <w:t>) with 80% porosity)</w:t>
      </w:r>
      <w:r w:rsidR="00962302" w:rsidRPr="00024FD1">
        <w:rPr>
          <w:rFonts w:cs="Arial"/>
          <w:szCs w:val="24"/>
        </w:rPr>
        <w:t xml:space="preserve">. </w:t>
      </w:r>
    </w:p>
    <w:p w14:paraId="185FEC3C" w14:textId="20E1731E" w:rsidR="00E459FF" w:rsidRPr="00024FD1" w:rsidRDefault="00E459FF" w:rsidP="00962302">
      <w:pPr>
        <w:spacing w:line="480" w:lineRule="auto"/>
        <w:jc w:val="both"/>
        <w:rPr>
          <w:rFonts w:cs="Arial"/>
          <w:szCs w:val="24"/>
        </w:rPr>
      </w:pPr>
      <w:r w:rsidRPr="00024FD1">
        <w:rPr>
          <w:rFonts w:cs="Arial"/>
          <w:szCs w:val="24"/>
        </w:rPr>
        <w:t xml:space="preserve">Scaffold 2 </w:t>
      </w:r>
      <w:r w:rsidR="00F10F8E" w:rsidRPr="00024FD1">
        <w:rPr>
          <w:rFonts w:cs="Arial"/>
          <w:szCs w:val="24"/>
        </w:rPr>
        <w:t>is comprised of</w:t>
      </w:r>
      <w:r w:rsidR="00C77D5C" w:rsidRPr="00024FD1">
        <w:rPr>
          <w:rFonts w:cs="Arial"/>
          <w:szCs w:val="24"/>
        </w:rPr>
        <w:t xml:space="preserve"> </w:t>
      </w:r>
      <w:r w:rsidRPr="00024FD1">
        <w:rPr>
          <w:rFonts w:cs="Arial"/>
          <w:szCs w:val="24"/>
        </w:rPr>
        <w:t>2-(</w:t>
      </w:r>
      <w:proofErr w:type="spellStart"/>
      <w:r w:rsidRPr="00024FD1">
        <w:rPr>
          <w:rFonts w:cs="Arial"/>
          <w:szCs w:val="24"/>
        </w:rPr>
        <w:t>methylthio</w:t>
      </w:r>
      <w:proofErr w:type="spellEnd"/>
      <w:r w:rsidRPr="00024FD1">
        <w:rPr>
          <w:rFonts w:cs="Arial"/>
          <w:szCs w:val="24"/>
        </w:rPr>
        <w:t xml:space="preserve">)ethyl methacrylate, </w:t>
      </w:r>
      <w:proofErr w:type="spellStart"/>
      <w:r w:rsidRPr="00024FD1">
        <w:rPr>
          <w:rFonts w:cs="Arial"/>
          <w:szCs w:val="24"/>
        </w:rPr>
        <w:t>isobornyl</w:t>
      </w:r>
      <w:proofErr w:type="spellEnd"/>
      <w:r w:rsidRPr="00024FD1">
        <w:rPr>
          <w:rFonts w:cs="Arial"/>
          <w:szCs w:val="24"/>
        </w:rPr>
        <w:t xml:space="preserve"> acrylate and 1,6-hexanediol diacrylate </w:t>
      </w:r>
      <w:r w:rsidR="00F10F8E" w:rsidRPr="00024FD1">
        <w:rPr>
          <w:rFonts w:cs="Arial"/>
          <w:szCs w:val="24"/>
        </w:rPr>
        <w:t>and</w:t>
      </w:r>
      <w:r w:rsidRPr="00024FD1">
        <w:rPr>
          <w:rFonts w:cs="Arial"/>
          <w:szCs w:val="24"/>
        </w:rPr>
        <w:t xml:space="preserve"> scaffold 3 </w:t>
      </w:r>
      <w:r w:rsidR="00F10F8E" w:rsidRPr="00024FD1">
        <w:rPr>
          <w:rFonts w:cs="Arial"/>
          <w:szCs w:val="24"/>
        </w:rPr>
        <w:t>is comprised of</w:t>
      </w:r>
      <w:r w:rsidR="00416524">
        <w:rPr>
          <w:rFonts w:cs="Arial"/>
          <w:szCs w:val="24"/>
        </w:rPr>
        <w:t xml:space="preserve"> </w:t>
      </w:r>
      <w:r w:rsidRPr="00024FD1">
        <w:rPr>
          <w:rFonts w:cs="Arial"/>
          <w:szCs w:val="24"/>
        </w:rPr>
        <w:t>2-(</w:t>
      </w:r>
      <w:proofErr w:type="spellStart"/>
      <w:r w:rsidRPr="00024FD1">
        <w:rPr>
          <w:rFonts w:cs="Arial"/>
          <w:szCs w:val="24"/>
        </w:rPr>
        <w:t>methylthio</w:t>
      </w:r>
      <w:proofErr w:type="spellEnd"/>
      <w:r w:rsidRPr="00024FD1">
        <w:rPr>
          <w:rFonts w:cs="Arial"/>
          <w:szCs w:val="24"/>
        </w:rPr>
        <w:t xml:space="preserve">)ethyl methacrylate, ethylene glycol </w:t>
      </w:r>
      <w:proofErr w:type="spellStart"/>
      <w:r w:rsidRPr="00024FD1">
        <w:rPr>
          <w:rFonts w:cs="Arial"/>
          <w:szCs w:val="24"/>
        </w:rPr>
        <w:t>dicyclopentenyl</w:t>
      </w:r>
      <w:proofErr w:type="spellEnd"/>
      <w:r w:rsidRPr="00024FD1">
        <w:rPr>
          <w:rFonts w:cs="Arial"/>
          <w:szCs w:val="24"/>
        </w:rPr>
        <w:t xml:space="preserve"> ether acrylate</w:t>
      </w:r>
      <w:r w:rsidR="00416524">
        <w:rPr>
          <w:rFonts w:cs="Arial"/>
          <w:szCs w:val="24"/>
        </w:rPr>
        <w:t xml:space="preserve"> </w:t>
      </w:r>
      <w:r w:rsidRPr="00024FD1">
        <w:rPr>
          <w:rFonts w:cs="Arial"/>
          <w:szCs w:val="24"/>
        </w:rPr>
        <w:t xml:space="preserve">and 1,6-hexanediol diacrylate. These monomers were </w:t>
      </w:r>
      <w:r w:rsidR="00195512">
        <w:rPr>
          <w:rFonts w:cs="Arial"/>
          <w:szCs w:val="24"/>
        </w:rPr>
        <w:t>originally</w:t>
      </w:r>
      <w:r w:rsidR="00195512" w:rsidRPr="00024FD1">
        <w:rPr>
          <w:rFonts w:cs="Arial"/>
          <w:szCs w:val="24"/>
        </w:rPr>
        <w:t xml:space="preserve"> </w:t>
      </w:r>
      <w:r w:rsidR="00195512">
        <w:rPr>
          <w:rFonts w:cs="Arial"/>
          <w:szCs w:val="24"/>
        </w:rPr>
        <w:t xml:space="preserve">identified </w:t>
      </w:r>
      <w:r w:rsidR="00361D5D">
        <w:rPr>
          <w:rFonts w:cs="Arial"/>
          <w:szCs w:val="24"/>
        </w:rPr>
        <w:t>by Hansen et al.</w:t>
      </w:r>
      <w:r w:rsidR="00361D5D">
        <w:rPr>
          <w:rFonts w:cs="Arial"/>
          <w:szCs w:val="24"/>
        </w:rPr>
        <w:fldChar w:fldCharType="begin"/>
      </w:r>
      <w:r w:rsidR="0033591E">
        <w:rPr>
          <w:rFonts w:cs="Arial"/>
          <w:szCs w:val="24"/>
        </w:rPr>
        <w:instrText xml:space="preserve"> ADDIN ZOTERO_ITEM CSL_CITATION {"citationID":"DuO6e0V8","properties":{"formattedCitation":"\\super 4\\nosupersub{}","plainCitation":"4","noteIndex":0},"citationItems":[{"id":"1dryys0K/odwPVu4v","uris":["http://www.mendeley.com/documents/?uuid=c2ce24c5-3d5a-4e63-a94c-b4a576e3a578"],"itemData":{"DOI":"10.1002/adhm.201300489","ISSN":"21922659","abstract":"The fabrication of high-density polymer microarray is described, allowing the simultaneous and efficient evaluation of more than 7000 different polymers in a single-cellular-based screen. These high-density polymer arrays are applied in the search for synthetic substrates for hESCs culture. Up-scaling of the identified hit polymers enables long-term cellular cultivation and promoted successful stem-cell maintenance. © 2013 WILEY-VCH Verlag GmbH &amp; Co.","author":[{"dropping-particle":"","family":"Hansen","given":"Anne","non-dropping-particle":"","parse-names":false,"suffix":""},{"dropping-particle":"","family":"Mjoseng","given":"Heidi K.","non-dropping-particle":"","parse-names":false,"suffix":""},{"dropping-particle":"","family":"Zhang","given":"Rong","non-dropping-particle":"","parse-names":false,"suffix":""},{"dropping-particle":"","family":"Kalloudis","given":"Michail","non-dropping-particle":"","parse-names":false,"suffix":""},{"dropping-particle":"","family":"Koutsos","given":"Vasileios","non-dropping-particle":"","parse-names":false,"suffix":""},{"dropping-particle":"","family":"Sousa","given":"Paul A.","non-dropping-particle":"de","parse-names":false,"suffix":""},{"dropping-particle":"","family":"Bradley","given":"Mark","non-dropping-particle":"","parse-names":false,"suffix":""}],"container-title":"Advanced Healthcare Materials","id":"QxUABRr4/6ybICXsF","issue":"6","issued":{"date-parts":[["2014"]]},"page":"848-853","title":"High-Density Polymer Microarrays: Identifying Synthetic Polymers that Control Human Embryonic Stem Cell Growth","type":"article-journal","volume":"3"}}],"schema":"https://github.com/citation-style-language/schema/raw/master/csl-citation.json"} </w:instrText>
      </w:r>
      <w:r w:rsidR="00361D5D">
        <w:rPr>
          <w:rFonts w:cs="Arial"/>
          <w:szCs w:val="24"/>
        </w:rPr>
        <w:fldChar w:fldCharType="separate"/>
      </w:r>
      <w:r w:rsidR="00361D5D" w:rsidRPr="00361D5D">
        <w:rPr>
          <w:rFonts w:cs="Times"/>
          <w:szCs w:val="24"/>
          <w:vertAlign w:val="superscript"/>
        </w:rPr>
        <w:t>4</w:t>
      </w:r>
      <w:r w:rsidR="00361D5D">
        <w:rPr>
          <w:rFonts w:cs="Arial"/>
          <w:szCs w:val="24"/>
        </w:rPr>
        <w:fldChar w:fldCharType="end"/>
      </w:r>
      <w:r w:rsidR="00361D5D">
        <w:rPr>
          <w:rFonts w:cs="Arial"/>
          <w:szCs w:val="24"/>
        </w:rPr>
        <w:t xml:space="preserve"> </w:t>
      </w:r>
      <w:r w:rsidR="00195512">
        <w:rPr>
          <w:rFonts w:cs="Arial"/>
          <w:szCs w:val="24"/>
        </w:rPr>
        <w:t>as</w:t>
      </w:r>
      <w:r w:rsidRPr="00024FD1">
        <w:rPr>
          <w:rFonts w:cs="Arial"/>
          <w:szCs w:val="24"/>
        </w:rPr>
        <w:t xml:space="preserve"> </w:t>
      </w:r>
      <w:r w:rsidR="00195512">
        <w:rPr>
          <w:rFonts w:cs="Arial"/>
          <w:szCs w:val="24"/>
        </w:rPr>
        <w:t>materials that</w:t>
      </w:r>
      <w:r w:rsidRPr="00024FD1">
        <w:rPr>
          <w:rFonts w:cs="Arial"/>
          <w:szCs w:val="24"/>
        </w:rPr>
        <w:t xml:space="preserve"> control the growth of human embryonic stem cells (</w:t>
      </w:r>
      <w:proofErr w:type="spellStart"/>
      <w:r w:rsidRPr="00024FD1">
        <w:rPr>
          <w:rFonts w:cs="Arial"/>
          <w:szCs w:val="24"/>
        </w:rPr>
        <w:t>hESCs</w:t>
      </w:r>
      <w:proofErr w:type="spellEnd"/>
      <w:r w:rsidRPr="00024FD1">
        <w:rPr>
          <w:rFonts w:cs="Arial"/>
          <w:szCs w:val="24"/>
        </w:rPr>
        <w:t>) with 2-(</w:t>
      </w:r>
      <w:proofErr w:type="spellStart"/>
      <w:r w:rsidRPr="00024FD1">
        <w:rPr>
          <w:rFonts w:cs="Arial"/>
          <w:szCs w:val="24"/>
        </w:rPr>
        <w:t>methylthio</w:t>
      </w:r>
      <w:proofErr w:type="spellEnd"/>
      <w:r w:rsidRPr="00024FD1">
        <w:rPr>
          <w:rFonts w:cs="Arial"/>
          <w:szCs w:val="24"/>
        </w:rPr>
        <w:t xml:space="preserve">)ethyl methacrylate, </w:t>
      </w:r>
      <w:proofErr w:type="spellStart"/>
      <w:r w:rsidRPr="00024FD1">
        <w:rPr>
          <w:rFonts w:cs="Arial"/>
          <w:szCs w:val="24"/>
        </w:rPr>
        <w:t>isobornyl</w:t>
      </w:r>
      <w:proofErr w:type="spellEnd"/>
      <w:r w:rsidRPr="00024FD1">
        <w:rPr>
          <w:rFonts w:cs="Arial"/>
          <w:szCs w:val="24"/>
        </w:rPr>
        <w:t xml:space="preserve"> acrylate and ethylene glycol </w:t>
      </w:r>
      <w:proofErr w:type="spellStart"/>
      <w:r w:rsidRPr="00024FD1">
        <w:rPr>
          <w:rFonts w:cs="Arial"/>
          <w:szCs w:val="24"/>
        </w:rPr>
        <w:t>dicyclopentenyl</w:t>
      </w:r>
      <w:proofErr w:type="spellEnd"/>
      <w:r w:rsidRPr="00024FD1">
        <w:rPr>
          <w:rFonts w:cs="Arial"/>
          <w:szCs w:val="24"/>
        </w:rPr>
        <w:t xml:space="preserve"> ether acrylate </w:t>
      </w:r>
      <w:r w:rsidR="00F10F8E" w:rsidRPr="00024FD1">
        <w:rPr>
          <w:rFonts w:cs="Arial"/>
          <w:szCs w:val="24"/>
        </w:rPr>
        <w:t xml:space="preserve">a subgroup of </w:t>
      </w:r>
      <w:r w:rsidR="00195512">
        <w:rPr>
          <w:rFonts w:cs="Arial"/>
          <w:szCs w:val="24"/>
        </w:rPr>
        <w:t>monomers</w:t>
      </w:r>
      <w:r w:rsidR="00195512" w:rsidRPr="00024FD1">
        <w:rPr>
          <w:rFonts w:cs="Arial"/>
          <w:szCs w:val="24"/>
        </w:rPr>
        <w:t xml:space="preserve"> </w:t>
      </w:r>
      <w:r w:rsidRPr="00024FD1">
        <w:rPr>
          <w:rFonts w:cs="Arial"/>
          <w:szCs w:val="24"/>
        </w:rPr>
        <w:t>with high stem cell attachment</w:t>
      </w:r>
      <w:r w:rsidR="00195512">
        <w:rPr>
          <w:rFonts w:cs="Arial"/>
          <w:szCs w:val="24"/>
        </w:rPr>
        <w:t xml:space="preserve"> properties</w:t>
      </w:r>
      <w:r w:rsidR="002A3112" w:rsidRPr="00024FD1">
        <w:rPr>
          <w:rFonts w:cs="Arial"/>
          <w:szCs w:val="24"/>
        </w:rPr>
        <w:t xml:space="preserve"> </w:t>
      </w:r>
      <w:r w:rsidRPr="00024FD1">
        <w:rPr>
          <w:rFonts w:cs="Arial"/>
          <w:szCs w:val="24"/>
        </w:rPr>
        <w:fldChar w:fldCharType="begin" w:fldLock="1"/>
      </w:r>
      <w:r w:rsidR="0033591E">
        <w:rPr>
          <w:rFonts w:cs="Arial"/>
          <w:szCs w:val="24"/>
        </w:rPr>
        <w:instrText xml:space="preserve"> ADDIN ZOTERO_ITEM CSL_CITATION {"citationID":"P3s8zBRE","properties":{"formattedCitation":"\\super 4\\nosupersub{}","plainCitation":"4","noteIndex":0},"citationItems":[{"id":"1dryys0K/odwPVu4v","uris":["http://www.mendeley.com/documents/?uuid=c2ce24c5-3d5a-4e63-a94c-b4a576e3a578"],"itemData":{"DOI":"10.1002/adhm.201300489","ISSN":"21922659","abstract":"The fabrication of high-density polymer microarray is described, allowing the simultaneous and efficient evaluation of more than 7000 different polymers in a single-cellular-based screen. These high-density polymer arrays are applied in the search for synthetic substrates for hESCs culture. Up-scaling of the identified hit polymers enables long-term cellular cultivation and promoted successful stem-cell maintenance. © 2013 WILEY-VCH Verlag GmbH &amp; Co.","author":[{"dropping-particle":"","family":"Hansen","given":"Anne","non-dropping-particle":"","parse-names":false,"suffix":""},{"dropping-particle":"","family":"Mjoseng","given":"Heidi K.","non-dropping-particle":"","parse-names":false,"suffix":""},{"dropping-particle":"","family":"Zhang","given":"Rong","non-dropping-particle":"","parse-names":false,"suffix":""},{"dropping-particle":"","family":"Kalloudis","given":"Michail","non-dropping-particle":"","parse-names":false,"suffix":""},{"dropping-particle":"","family":"Koutsos","given":"Vasileios","non-dropping-particle":"","parse-names":false,"suffix":""},{"dropping-particle":"","family":"Sousa","given":"Paul A.","non-dropping-particle":"de","parse-names":false,"suffix":""},{"dropping-particle":"","family":"Bradley","given":"Mark","non-dropping-particle":"","parse-names":false,"suffix":""}],"container-title":"Advanced Healthcare Materials","id":"ITEM-1","issue":"6","issued":{"date-parts":[["2014"]]},"page":"848-853","title":"High-Density Polymer Microarrays: Identifying Synthetic Polymers that Control Human Embryonic Stem Cell Growth","type":"article-journal","volume":"3"}}],"schema":"https://github.com/citation-style-language/schema/raw/master/csl-citation.json"} </w:instrText>
      </w:r>
      <w:r w:rsidRPr="00024FD1">
        <w:rPr>
          <w:rFonts w:cs="Arial"/>
          <w:szCs w:val="24"/>
        </w:rPr>
        <w:fldChar w:fldCharType="separate"/>
      </w:r>
      <w:r w:rsidR="00A6161F" w:rsidRPr="00A6161F">
        <w:rPr>
          <w:rFonts w:cs="Times"/>
          <w:szCs w:val="24"/>
          <w:vertAlign w:val="superscript"/>
        </w:rPr>
        <w:t>4</w:t>
      </w:r>
      <w:r w:rsidRPr="00024FD1">
        <w:rPr>
          <w:rFonts w:cs="Arial"/>
          <w:szCs w:val="24"/>
        </w:rPr>
        <w:fldChar w:fldCharType="end"/>
      </w:r>
      <w:r w:rsidR="002A3112" w:rsidRPr="00024FD1">
        <w:rPr>
          <w:rFonts w:cs="Arial"/>
          <w:szCs w:val="24"/>
        </w:rPr>
        <w:t>.</w:t>
      </w:r>
      <w:r w:rsidRPr="00024FD1">
        <w:rPr>
          <w:rFonts w:cs="Arial"/>
          <w:szCs w:val="24"/>
        </w:rPr>
        <w:t xml:space="preserve"> Therefore, these materials </w:t>
      </w:r>
      <w:r w:rsidR="00120C1D">
        <w:rPr>
          <w:rFonts w:cs="Arial"/>
          <w:szCs w:val="24"/>
        </w:rPr>
        <w:t>presented as candidates for the evaluation of</w:t>
      </w:r>
      <w:r w:rsidR="00416524">
        <w:rPr>
          <w:rFonts w:cs="Arial"/>
          <w:szCs w:val="24"/>
        </w:rPr>
        <w:t xml:space="preserve"> </w:t>
      </w:r>
      <w:r w:rsidR="00F10F8E" w:rsidRPr="00024FD1">
        <w:rPr>
          <w:rFonts w:cs="Arial"/>
          <w:szCs w:val="24"/>
        </w:rPr>
        <w:t xml:space="preserve"> </w:t>
      </w:r>
      <w:r w:rsidRPr="00024FD1">
        <w:rPr>
          <w:rFonts w:cs="Arial"/>
          <w:szCs w:val="24"/>
        </w:rPr>
        <w:t xml:space="preserve">FBMSCs attachment and proliferation. Moreover, the differences in composition between these scaffolds </w:t>
      </w:r>
      <w:r w:rsidR="00F10F8E" w:rsidRPr="00024FD1">
        <w:rPr>
          <w:rFonts w:cs="Arial"/>
          <w:szCs w:val="24"/>
        </w:rPr>
        <w:t xml:space="preserve">resulted in </w:t>
      </w:r>
      <w:r w:rsidRPr="00024FD1">
        <w:rPr>
          <w:rFonts w:cs="Arial"/>
          <w:szCs w:val="24"/>
        </w:rPr>
        <w:t xml:space="preserve">differences in </w:t>
      </w:r>
      <w:r w:rsidR="00195512">
        <w:rPr>
          <w:rFonts w:cs="Arial"/>
          <w:szCs w:val="24"/>
        </w:rPr>
        <w:t xml:space="preserve">the </w:t>
      </w:r>
      <w:r w:rsidRPr="00024FD1">
        <w:rPr>
          <w:rFonts w:cs="Arial"/>
          <w:szCs w:val="24"/>
        </w:rPr>
        <w:t xml:space="preserve">mechanical properties </w:t>
      </w:r>
      <w:r w:rsidR="00195512">
        <w:rPr>
          <w:rFonts w:cs="Arial"/>
          <w:szCs w:val="24"/>
        </w:rPr>
        <w:t xml:space="preserve">of the </w:t>
      </w:r>
      <w:r w:rsidR="00195512" w:rsidRPr="00024FD1">
        <w:rPr>
          <w:rFonts w:cs="Arial"/>
          <w:szCs w:val="24"/>
        </w:rPr>
        <w:t xml:space="preserve">scaffold </w:t>
      </w:r>
      <w:r w:rsidRPr="00024FD1">
        <w:rPr>
          <w:rFonts w:cs="Arial"/>
          <w:szCs w:val="24"/>
        </w:rPr>
        <w:t>that</w:t>
      </w:r>
      <w:r w:rsidR="00F10F8E" w:rsidRPr="00024FD1">
        <w:rPr>
          <w:rFonts w:cs="Arial"/>
          <w:szCs w:val="24"/>
        </w:rPr>
        <w:t xml:space="preserve"> </w:t>
      </w:r>
      <w:r w:rsidR="00393B60">
        <w:rPr>
          <w:rFonts w:cs="Arial"/>
          <w:szCs w:val="24"/>
        </w:rPr>
        <w:t xml:space="preserve">were observed to </w:t>
      </w:r>
      <w:r w:rsidR="00F10F8E" w:rsidRPr="00024FD1">
        <w:rPr>
          <w:rFonts w:cs="Arial"/>
          <w:szCs w:val="24"/>
        </w:rPr>
        <w:t>modulate</w:t>
      </w:r>
      <w:r w:rsidR="00C77D5C" w:rsidRPr="00024FD1">
        <w:rPr>
          <w:rFonts w:cs="Arial"/>
          <w:szCs w:val="24"/>
        </w:rPr>
        <w:t xml:space="preserve"> </w:t>
      </w:r>
      <w:r w:rsidRPr="00024FD1">
        <w:rPr>
          <w:rFonts w:cs="Arial"/>
          <w:szCs w:val="24"/>
        </w:rPr>
        <w:t xml:space="preserve">cell </w:t>
      </w:r>
      <w:r w:rsidR="00C77D5C" w:rsidRPr="00024FD1">
        <w:rPr>
          <w:rFonts w:cs="Arial"/>
          <w:szCs w:val="24"/>
        </w:rPr>
        <w:t>behavio</w:t>
      </w:r>
      <w:r w:rsidR="00120C1D">
        <w:rPr>
          <w:rFonts w:cs="Arial"/>
          <w:szCs w:val="24"/>
        </w:rPr>
        <w:t>u</w:t>
      </w:r>
      <w:r w:rsidR="00C77D5C" w:rsidRPr="00024FD1">
        <w:rPr>
          <w:rFonts w:cs="Arial"/>
          <w:szCs w:val="24"/>
        </w:rPr>
        <w:t>r</w:t>
      </w:r>
      <w:r w:rsidRPr="00024FD1">
        <w:rPr>
          <w:rFonts w:cs="Arial"/>
          <w:szCs w:val="24"/>
        </w:rPr>
        <w:t>.</w:t>
      </w:r>
      <w:r w:rsidR="00F10F8E" w:rsidRPr="00024FD1">
        <w:rPr>
          <w:rFonts w:cs="Arial"/>
          <w:szCs w:val="24"/>
        </w:rPr>
        <w:t xml:space="preserve"> Thus, </w:t>
      </w:r>
      <w:r w:rsidR="00361D5D">
        <w:rPr>
          <w:rFonts w:cs="Arial"/>
          <w:szCs w:val="24"/>
        </w:rPr>
        <w:t>3-</w:t>
      </w:r>
      <w:r w:rsidRPr="00024FD1">
        <w:rPr>
          <w:rFonts w:cs="Arial"/>
          <w:szCs w:val="24"/>
        </w:rPr>
        <w:t xml:space="preserve">HPS was found to be a softer scaffold than </w:t>
      </w:r>
      <w:r w:rsidR="00361D5D">
        <w:rPr>
          <w:rFonts w:cs="Arial"/>
          <w:szCs w:val="24"/>
        </w:rPr>
        <w:t>2-</w:t>
      </w:r>
      <w:r w:rsidRPr="00024FD1">
        <w:rPr>
          <w:rFonts w:cs="Arial"/>
          <w:szCs w:val="24"/>
        </w:rPr>
        <w:t>HPS (Figure 3D)</w:t>
      </w:r>
      <w:r w:rsidR="00F10F8E" w:rsidRPr="00024FD1">
        <w:rPr>
          <w:rFonts w:cs="Arial"/>
          <w:szCs w:val="24"/>
        </w:rPr>
        <w:t xml:space="preserve"> with accompanying biological actions</w:t>
      </w:r>
      <w:r w:rsidR="00195512">
        <w:rPr>
          <w:rFonts w:cs="Arial"/>
          <w:szCs w:val="24"/>
        </w:rPr>
        <w:t>/reactions</w:t>
      </w:r>
      <w:r w:rsidRPr="00024FD1">
        <w:rPr>
          <w:rFonts w:cs="Arial"/>
          <w:szCs w:val="24"/>
        </w:rPr>
        <w:t xml:space="preserve">. The mechanical differences </w:t>
      </w:r>
      <w:r w:rsidR="00393B60">
        <w:rPr>
          <w:rFonts w:cs="Arial"/>
          <w:szCs w:val="24"/>
        </w:rPr>
        <w:t xml:space="preserve">resulted in the </w:t>
      </w:r>
      <w:r w:rsidRPr="00024FD1">
        <w:rPr>
          <w:rFonts w:cs="Arial"/>
          <w:szCs w:val="24"/>
        </w:rPr>
        <w:t>regulat</w:t>
      </w:r>
      <w:r w:rsidR="00393B60">
        <w:rPr>
          <w:rFonts w:cs="Arial"/>
          <w:szCs w:val="24"/>
        </w:rPr>
        <w:t>ion of</w:t>
      </w:r>
      <w:r w:rsidRPr="00024FD1">
        <w:rPr>
          <w:rFonts w:cs="Arial"/>
          <w:szCs w:val="24"/>
        </w:rPr>
        <w:t xml:space="preserve"> ALP and collagen</w:t>
      </w:r>
      <w:r w:rsidR="00223116" w:rsidRPr="00024FD1">
        <w:rPr>
          <w:rFonts w:cs="Arial"/>
          <w:szCs w:val="24"/>
        </w:rPr>
        <w:t xml:space="preserve"> levels</w:t>
      </w:r>
      <w:r w:rsidR="002A3112" w:rsidRPr="00024FD1">
        <w:rPr>
          <w:rFonts w:cs="Arial"/>
          <w:szCs w:val="24"/>
        </w:rPr>
        <w:t xml:space="preserve"> </w:t>
      </w:r>
      <w:r w:rsidRPr="00024FD1">
        <w:rPr>
          <w:rFonts w:cs="Arial"/>
          <w:szCs w:val="24"/>
        </w:rPr>
        <w:fldChar w:fldCharType="begin" w:fldLock="1"/>
      </w:r>
      <w:r w:rsidR="0033591E">
        <w:rPr>
          <w:rFonts w:cs="Arial"/>
          <w:szCs w:val="24"/>
        </w:rPr>
        <w:instrText xml:space="preserve"> ADDIN ZOTERO_ITEM CSL_CITATION {"citationID":"X87gMjat","properties":{"formattedCitation":"\\super 64\\nosupersub{}","plainCitation":"64","noteIndex":0},"citationItems":[{"id":"1dryys0K/YbxlNp8o","uris":["http://www.mendeley.com/documents/?uuid=e399538c-af87-4766-9466-06ba09b5738e","http://www.mendeley.com/documents/?uuid=1a33524d-2ea2-47f2-801f-3a0c630b39ed"],"itemData":{"DOI":"10.1002/jcp.20974","author":[{"dropping-particle":"","family":"Khatiwala","given":"Chirag B","non-dropping-particle":"","parse-names":false,"suffix":""},{"dropping-particle":"","family":"Peyton","given":"Shelly R","non-dropping-particle":"","parse-names":false,"suffix":""},{"dropping-particle":"","family":"Metzke","given":"Mark","non-dropping-particle":"","parse-names":false,"suffix":""},{"dropping-particle":"","family":"Putnam","given":"Andrew J","non-dropping-particle":"","parse-names":false,"suffix":""}],"container-title":"Journal of Cellular Physiology","id":"ITEM-1","issued":{"date-parts":[["2007"]]},"page":"661–672","title":"The Regulation of Osteogenesis by ECM Rigidity in MC3T3-E1 Cells Requires MAPK Activation","type":"article-journal","volume":"211"}}],"schema":"https://github.com/citation-style-language/schema/raw/master/csl-citation.json"} </w:instrText>
      </w:r>
      <w:r w:rsidRPr="00024FD1">
        <w:rPr>
          <w:rFonts w:cs="Arial"/>
          <w:szCs w:val="24"/>
        </w:rPr>
        <w:fldChar w:fldCharType="separate"/>
      </w:r>
      <w:r w:rsidR="0033591E" w:rsidRPr="0033591E">
        <w:rPr>
          <w:rFonts w:cs="Times"/>
          <w:szCs w:val="24"/>
          <w:vertAlign w:val="superscript"/>
        </w:rPr>
        <w:t>64</w:t>
      </w:r>
      <w:r w:rsidRPr="00024FD1">
        <w:rPr>
          <w:rFonts w:cs="Arial"/>
          <w:szCs w:val="24"/>
        </w:rPr>
        <w:fldChar w:fldCharType="end"/>
      </w:r>
      <w:r w:rsidR="002A3112" w:rsidRPr="00024FD1">
        <w:rPr>
          <w:rFonts w:cs="Arial"/>
          <w:szCs w:val="24"/>
        </w:rPr>
        <w:t>,</w:t>
      </w:r>
      <w:r w:rsidRPr="00024FD1">
        <w:rPr>
          <w:rFonts w:cs="Arial"/>
          <w:szCs w:val="24"/>
        </w:rPr>
        <w:t xml:space="preserve"> </w:t>
      </w:r>
      <w:r w:rsidR="00120C1D">
        <w:rPr>
          <w:rFonts w:cs="Arial"/>
          <w:szCs w:val="24"/>
        </w:rPr>
        <w:t xml:space="preserve">promoting </w:t>
      </w:r>
      <w:r w:rsidRPr="00024FD1">
        <w:rPr>
          <w:rFonts w:cs="Arial"/>
          <w:szCs w:val="24"/>
        </w:rPr>
        <w:t>FBMSCs towards a</w:t>
      </w:r>
      <w:r w:rsidR="00393B60">
        <w:rPr>
          <w:rFonts w:cs="Arial"/>
          <w:szCs w:val="24"/>
        </w:rPr>
        <w:t xml:space="preserve"> more</w:t>
      </w:r>
      <w:r w:rsidRPr="00024FD1">
        <w:rPr>
          <w:rFonts w:cs="Arial"/>
          <w:szCs w:val="24"/>
        </w:rPr>
        <w:t xml:space="preserve"> differentiated osteoblast phenotype</w:t>
      </w:r>
      <w:r w:rsidR="002A3112" w:rsidRPr="00024FD1">
        <w:rPr>
          <w:rFonts w:cs="Arial"/>
          <w:szCs w:val="24"/>
        </w:rPr>
        <w:t xml:space="preserve"> </w:t>
      </w:r>
      <w:r w:rsidRPr="00024FD1">
        <w:rPr>
          <w:rFonts w:cs="Arial"/>
          <w:szCs w:val="24"/>
        </w:rPr>
        <w:fldChar w:fldCharType="begin" w:fldLock="1"/>
      </w:r>
      <w:r w:rsidR="0033591E">
        <w:rPr>
          <w:rFonts w:cs="Arial"/>
          <w:szCs w:val="24"/>
        </w:rPr>
        <w:instrText xml:space="preserve"> ADDIN ZOTERO_ITEM CSL_CITATION {"citationID":"tJgcjRgK","properties":{"formattedCitation":"\\super 65\\nosupersub{}","plainCitation":"65","noteIndex":0},"citationItems":[{"id":"1dryys0K/j8IaDMw4","uris":["http://www.mendeley.com/documents/?uuid=acd9efd6-28d9-46fb-a4c5-5028efd53ce0","http://www.mendeley.com/documents/?uuid=4a13b85c-8ace-479c-947f-2d0ee5717536"],"itemData":{"DOI":"10.1371/journal.pone.0170312","ISBN":"1111111111","ISSN":"19326203","abstract":"Stem cell fate has been linked to the mechanical properties of their underlying substrate, affecting mechanoreceptors and ultimately leading to downstream biological response. Studies have used polymers to mimic the stiffness of extracellular matrix as well as of individual tissues and shown mesenchymal stem cells (MSCs) could be directed along specific lineages. In this study, we examined the role of stiffness in MSC differentiation to two closely related cell phenotypes: osteoblast and chondrocyte. We prepared four methyl acrylate/methyl methacrylate (MA/MMA) polymer surfaces with elastic moduli ranging from 0.1 MPa to 310 MPa by altering monomer concentration. MSCs were cultured in media without exogenous growth factors and their biological responses were compared to committed chondrocytes and osteoblasts. Both chondrogenic and osteogenic markers were elevated when MSCs were grown on substrates with stiffness &lt;10 MPa. Like chondrocytes, MSCs on lower stiffness substrates showed elevated expression of ACAN, SOX9, and COL2 and proteoglycan content; COMP was elevated in MSCs but reduced in chondrocytes. Substrate stiffness altered levels of RUNX2 mRNA, alkaline phosphatase specific activity, osteocalcin, and osteoprotegerin in osteoblasts, decreasing levels on the least stiff substrate. Expression of integrin subunits α1, α2, α5, αv, β1, and β3 changed in a stiffness- and cell type-dependent manner. Silencing of integrin subunit beta 1 (ITGB1) in MSCs abolished both osteoblastic and chondrogenic differentiation in response to substrate stiffness. Our results suggest that substrate stiffness is an important mediator of osteoblastic and chondrogenic differentiation, and integrin β1 plays a pivotal role in this process.","author":[{"dropping-particle":"","family":"Navarrete","given":"Rene Olivares","non-dropping-particle":"","parse-names":false,"suffix":""},{"dropping-particle":"","family":"Lee","given":"Erin M.","non-dropping-particle":"","parse-names":false,"suffix":""},{"dropping-particle":"","family":"Smith","given":"Kathryn","non-dropping-particle":"","parse-names":false,"suffix":""},{"dropping-particle":"","family":"Hyzy","given":"Sharon L.","non-dropping-particle":"","parse-names":false,"suffix":""},{"dropping-particle":"","family":"Doroudi","given":"Maryam","non-dropping-particle":"","parse-names":false,"suffix":""},{"dropping-particle":"","family":"Williams","given":"Joseph K.","non-dropping-particle":"","parse-names":false,"suffix":""},{"dropping-particle":"","family":"Gall","given":"Ken","non-dropping-particle":"","parse-names":false,"suffix":""},{"dropping-particle":"","family":"Boyan","given":"Barbara D.","non-dropping-particle":"","parse-names":false,"suffix":""},{"dropping-particle":"","family":"Schwartz","given":"Zvi","non-dropping-particle":"","parse-names":false,"suffix":""}],"container-title":"PLoS ONE","id":"ITEM-1","issue":"1","issued":{"date-parts":[["2017"]]},"page":"1-18","title":"Substrate stiffness controls osteoblastic and chondrocytic differentiation of mesenchymal stem cells without exogenous stimuli","type":"article-journal","volume":"12"}}],"schema":"https://github.com/citation-style-language/schema/raw/master/csl-citation.json"} </w:instrText>
      </w:r>
      <w:r w:rsidRPr="00024FD1">
        <w:rPr>
          <w:rFonts w:cs="Arial"/>
          <w:szCs w:val="24"/>
        </w:rPr>
        <w:fldChar w:fldCharType="separate"/>
      </w:r>
      <w:r w:rsidR="0033591E" w:rsidRPr="0033591E">
        <w:rPr>
          <w:rFonts w:cs="Times"/>
          <w:szCs w:val="24"/>
          <w:vertAlign w:val="superscript"/>
        </w:rPr>
        <w:t>65</w:t>
      </w:r>
      <w:r w:rsidRPr="00024FD1">
        <w:rPr>
          <w:rFonts w:cs="Arial"/>
          <w:szCs w:val="24"/>
        </w:rPr>
        <w:fldChar w:fldCharType="end"/>
      </w:r>
      <w:r w:rsidR="002A3112" w:rsidRPr="00024FD1">
        <w:rPr>
          <w:rFonts w:cs="Arial"/>
          <w:szCs w:val="24"/>
        </w:rPr>
        <w:t>.</w:t>
      </w:r>
      <w:r w:rsidRPr="00024FD1">
        <w:rPr>
          <w:rFonts w:cs="Arial"/>
          <w:szCs w:val="24"/>
        </w:rPr>
        <w:t xml:space="preserve"> Our findings </w:t>
      </w:r>
      <w:r w:rsidR="001D41B6" w:rsidRPr="00024FD1">
        <w:rPr>
          <w:rFonts w:cs="Arial"/>
          <w:szCs w:val="24"/>
        </w:rPr>
        <w:t xml:space="preserve">also </w:t>
      </w:r>
      <w:r w:rsidR="00223116" w:rsidRPr="00024FD1">
        <w:rPr>
          <w:rFonts w:cs="Arial"/>
          <w:szCs w:val="24"/>
        </w:rPr>
        <w:t>demonstrated enhance</w:t>
      </w:r>
      <w:r w:rsidR="00195512">
        <w:rPr>
          <w:rFonts w:cs="Arial"/>
          <w:szCs w:val="24"/>
        </w:rPr>
        <w:t>ment of</w:t>
      </w:r>
      <w:r w:rsidR="00416524">
        <w:rPr>
          <w:rFonts w:cs="Arial"/>
          <w:szCs w:val="24"/>
        </w:rPr>
        <w:t xml:space="preserve"> </w:t>
      </w:r>
      <w:r w:rsidRPr="00024FD1">
        <w:rPr>
          <w:rFonts w:cs="Arial"/>
          <w:szCs w:val="24"/>
        </w:rPr>
        <w:t>FBMSCs proliferation</w:t>
      </w:r>
      <w:r w:rsidR="00223116" w:rsidRPr="00024FD1">
        <w:rPr>
          <w:rFonts w:cs="Arial"/>
          <w:szCs w:val="24"/>
        </w:rPr>
        <w:t xml:space="preserve"> on</w:t>
      </w:r>
      <w:r w:rsidRPr="00024FD1">
        <w:rPr>
          <w:rFonts w:cs="Arial"/>
          <w:szCs w:val="24"/>
        </w:rPr>
        <w:t xml:space="preserve"> stiffer materials such as tissue</w:t>
      </w:r>
      <w:r w:rsidR="00120C1D">
        <w:rPr>
          <w:rFonts w:cs="Arial"/>
          <w:szCs w:val="24"/>
        </w:rPr>
        <w:t xml:space="preserve"> plastic</w:t>
      </w:r>
      <w:r w:rsidRPr="00024FD1">
        <w:rPr>
          <w:rFonts w:cs="Arial"/>
          <w:szCs w:val="24"/>
        </w:rPr>
        <w:t xml:space="preserve"> and CPS</w:t>
      </w:r>
      <w:r w:rsidR="00393B60">
        <w:rPr>
          <w:rFonts w:cs="Arial"/>
          <w:szCs w:val="24"/>
        </w:rPr>
        <w:t xml:space="preserve"> in comparison to </w:t>
      </w:r>
      <w:r w:rsidRPr="00024FD1">
        <w:rPr>
          <w:rFonts w:cs="Arial"/>
          <w:szCs w:val="24"/>
        </w:rPr>
        <w:t xml:space="preserve">softer </w:t>
      </w:r>
      <w:r w:rsidR="00223116" w:rsidRPr="00024FD1">
        <w:rPr>
          <w:rFonts w:cs="Arial"/>
          <w:szCs w:val="24"/>
        </w:rPr>
        <w:t>MPS and HPS m</w:t>
      </w:r>
      <w:r w:rsidRPr="00024FD1">
        <w:rPr>
          <w:rFonts w:cs="Arial"/>
          <w:szCs w:val="24"/>
        </w:rPr>
        <w:t>aterials</w:t>
      </w:r>
      <w:r w:rsidR="00C77D5C" w:rsidRPr="00024FD1">
        <w:rPr>
          <w:rFonts w:cs="Arial"/>
          <w:szCs w:val="24"/>
        </w:rPr>
        <w:t xml:space="preserve"> </w:t>
      </w:r>
      <w:r w:rsidRPr="00024FD1">
        <w:rPr>
          <w:rFonts w:cs="Arial"/>
          <w:szCs w:val="24"/>
        </w:rPr>
        <w:t>independent</w:t>
      </w:r>
      <w:r w:rsidR="00C77D5C" w:rsidRPr="00024FD1">
        <w:rPr>
          <w:rFonts w:cs="Arial"/>
          <w:szCs w:val="24"/>
        </w:rPr>
        <w:t xml:space="preserve"> </w:t>
      </w:r>
      <w:r w:rsidRPr="00024FD1">
        <w:rPr>
          <w:rFonts w:cs="Arial"/>
          <w:szCs w:val="24"/>
        </w:rPr>
        <w:t>of the polymer composition and porosity (Figure S6)</w:t>
      </w:r>
      <w:r w:rsidR="00223116" w:rsidRPr="00024FD1">
        <w:rPr>
          <w:rFonts w:cs="Arial"/>
          <w:szCs w:val="24"/>
        </w:rPr>
        <w:t>, as previously observed by</w:t>
      </w:r>
      <w:r w:rsidR="00BD6BD9" w:rsidRPr="00024FD1">
        <w:rPr>
          <w:rFonts w:cs="Arial"/>
          <w:szCs w:val="24"/>
        </w:rPr>
        <w:t xml:space="preserve"> Gerardo </w:t>
      </w:r>
      <w:r w:rsidRPr="00024FD1">
        <w:rPr>
          <w:rFonts w:cs="Arial"/>
          <w:szCs w:val="24"/>
        </w:rPr>
        <w:fldChar w:fldCharType="begin" w:fldLock="1"/>
      </w:r>
      <w:r w:rsidR="0033591E">
        <w:rPr>
          <w:rFonts w:cs="Arial"/>
          <w:szCs w:val="24"/>
        </w:rPr>
        <w:instrText xml:space="preserve"> ADDIN ZOTERO_ITEM CSL_CITATION {"citationID":"BWLOIBFb","properties":{"formattedCitation":"\\super 66\\nosupersub{}","plainCitation":"66","noteIndex":0},"citationItems":[{"id":"1dryys0K/iZsOSDMP","uris":["http://www.mendeley.com/documents/?uuid=5d1d05ff-8220-47b3-b7d3-b031346f7321","http://www.mendeley.com/documents/?uuid=ea8bdd8e-1881-491c-9ba7-38988564922a"],"itemData":{"DOI":"10.1038/s41598-019-45352-3","ISSN":"20452322","PMID":"31235788","abstract":"Biophysical cues influence many aspects of cell behavior. Stiffness of the extracellular matrix is probed by cells and transduced into biochemical signals through mechanotransduction protein networks, strongly influencing stem cell behavior. Cellular stemness is intimately related with mechanical properties of the cell, like intracellular contractility and stiffness, which in turn are influenced by the microenvironment. Pluripotency is associated with soft and low-contractility cells. Hence, we postulated that soft cell culture substrates, presumably inducing low cellular contractility and stiffness, increase the reprogramming efficiency of mesenchymal stem/stromal cells (MSCs) into induced pluripotent stem cells (iPSCs). We demonstrate that soft substrates (1.5 or 15 kPa polydimethylsiloxane – PDMS) caused modulation of several cellular features of MSCs into a phenotype closer to pluripotent stem cells (PSCs). MSCs cultured on soft substrates presented more relaxed nuclei, lower maturation of focal adhesions and F-actin assembling, more euchromatic and less heterochromatic nuclear DNA regions, and increased expression of pluripotency-related genes. These changes correlate with the reprogramming of MSCs, with a positive impact on the kinetics, robustness of colony formation and reprogramming efficiency. Additionally, substrate stiffness influences several phenotypic features of iPS cells and colonies, and data indicates that soft substrates favor full iPSC reprogramming.","author":[{"dropping-particle":"","family":"Gerardo","given":"Heloísa","non-dropping-particle":"","parse-names":false,"suffix":""},{"dropping-particle":"","family":"Lima","given":"Ana","non-dropping-particle":"","parse-names":false,"suffix":""},{"dropping-particle":"","family":"Carvalho","given":"João","non-dropping-particle":"","parse-names":false,"suffix":""},{"dropping-particle":"","family":"Ramos","given":"João R.D.","non-dropping-particle":"","parse-names":false,"suffix":""},{"dropping-particle":"","family":"Couceiro","given":"Sofia","non-dropping-particle":"","parse-names":false,"suffix":""},{"dropping-particle":"","family":"Travasso","given":"Rui D.M.","non-dropping-particle":"","parse-names":false,"suffix":""},{"dropping-particle":"","family":"Pires das Neves","given":"Ricardo","non-dropping-particle":"","parse-names":false,"suffix":""},{"dropping-particle":"","family":"Grãos","given":"Mário","non-dropping-particle":"","parse-names":false,"suffix":""}],"container-title":"Scientific Reports","id":"ITEM-1","issue":"1","issued":{"date-parts":[["2019"]]},"page":"1-18","title":"Soft culture substrates favor stem-like cellular phenotype and facilitate reprogramming of human mesenchymal stem/stromal cells (hMSCs) through mechanotransduction","type":"article-journal","volume":"9"}}],"schema":"https://github.com/citation-style-language/schema/raw/master/csl-citation.json"} </w:instrText>
      </w:r>
      <w:r w:rsidRPr="00024FD1">
        <w:rPr>
          <w:rFonts w:cs="Arial"/>
          <w:szCs w:val="24"/>
        </w:rPr>
        <w:fldChar w:fldCharType="separate"/>
      </w:r>
      <w:r w:rsidR="0033591E" w:rsidRPr="0033591E">
        <w:rPr>
          <w:rFonts w:cs="Times"/>
          <w:szCs w:val="24"/>
          <w:vertAlign w:val="superscript"/>
        </w:rPr>
        <w:t>66</w:t>
      </w:r>
      <w:r w:rsidRPr="00024FD1">
        <w:rPr>
          <w:rFonts w:cs="Arial"/>
          <w:szCs w:val="24"/>
        </w:rPr>
        <w:fldChar w:fldCharType="end"/>
      </w:r>
      <w:r w:rsidR="002A3112" w:rsidRPr="00024FD1">
        <w:rPr>
          <w:rFonts w:cs="Arial"/>
          <w:szCs w:val="24"/>
        </w:rPr>
        <w:t>.</w:t>
      </w:r>
    </w:p>
    <w:p w14:paraId="3D3F6781" w14:textId="2B54D819" w:rsidR="00787AAA" w:rsidRPr="00024FD1" w:rsidRDefault="007728F4" w:rsidP="00787AAA">
      <w:pPr>
        <w:spacing w:line="480" w:lineRule="auto"/>
        <w:jc w:val="both"/>
        <w:rPr>
          <w:rFonts w:cs="Arial"/>
          <w:szCs w:val="24"/>
        </w:rPr>
      </w:pPr>
      <w:r w:rsidRPr="00024FD1">
        <w:rPr>
          <w:rFonts w:cs="Arial"/>
          <w:szCs w:val="24"/>
        </w:rPr>
        <w:t xml:space="preserve">The </w:t>
      </w:r>
      <w:r w:rsidR="00380C45" w:rsidRPr="00024FD1">
        <w:rPr>
          <w:rFonts w:cs="Arial"/>
          <w:szCs w:val="24"/>
        </w:rPr>
        <w:t>discovery of these</w:t>
      </w:r>
      <w:r w:rsidRPr="00024FD1">
        <w:rPr>
          <w:rFonts w:cs="Arial"/>
          <w:szCs w:val="24"/>
        </w:rPr>
        <w:t xml:space="preserve"> high porosity scaffolds </w:t>
      </w:r>
      <w:r w:rsidR="00D3167B">
        <w:rPr>
          <w:rFonts w:cs="Arial"/>
          <w:szCs w:val="24"/>
        </w:rPr>
        <w:t>closely aligns</w:t>
      </w:r>
      <w:r w:rsidR="00416524">
        <w:rPr>
          <w:rFonts w:cs="Arial"/>
          <w:szCs w:val="24"/>
        </w:rPr>
        <w:t xml:space="preserve"> </w:t>
      </w:r>
      <w:r w:rsidR="00D3167B">
        <w:rPr>
          <w:rFonts w:cs="Arial"/>
          <w:szCs w:val="24"/>
        </w:rPr>
        <w:t>with the</w:t>
      </w:r>
      <w:r w:rsidR="00416524">
        <w:rPr>
          <w:rFonts w:cs="Arial"/>
          <w:szCs w:val="24"/>
        </w:rPr>
        <w:t xml:space="preserve"> </w:t>
      </w:r>
      <w:r w:rsidR="00D3167B">
        <w:rPr>
          <w:rFonts w:cs="Arial"/>
          <w:szCs w:val="24"/>
        </w:rPr>
        <w:t>observation</w:t>
      </w:r>
      <w:r w:rsidRPr="00024FD1">
        <w:rPr>
          <w:rFonts w:cs="Arial"/>
          <w:szCs w:val="24"/>
        </w:rPr>
        <w:t xml:space="preserve"> mesenchymal stromal cells and endothelial cells require between 100 – 400 µm pore size</w:t>
      </w:r>
      <w:r w:rsidR="00380C45" w:rsidRPr="00024FD1">
        <w:rPr>
          <w:rFonts w:cs="Arial"/>
          <w:szCs w:val="24"/>
        </w:rPr>
        <w:t>s</w:t>
      </w:r>
      <w:r w:rsidRPr="00024FD1">
        <w:rPr>
          <w:rFonts w:cs="Arial"/>
          <w:szCs w:val="24"/>
        </w:rPr>
        <w:t xml:space="preserve"> (similar pore size as in trabecular bone) for expansion,</w:t>
      </w:r>
      <w:r w:rsidR="00416524">
        <w:rPr>
          <w:rFonts w:cs="Arial"/>
          <w:szCs w:val="24"/>
        </w:rPr>
        <w:t xml:space="preserve"> </w:t>
      </w:r>
      <w:r w:rsidRPr="00024FD1">
        <w:rPr>
          <w:rFonts w:cs="Arial"/>
          <w:szCs w:val="24"/>
        </w:rPr>
        <w:t xml:space="preserve">proliferation, cell-cell interactions and for facilitation of </w:t>
      </w:r>
      <w:r w:rsidRPr="00024FD1">
        <w:rPr>
          <w:rFonts w:cs="Arial"/>
          <w:szCs w:val="24"/>
        </w:rPr>
        <w:lastRenderedPageBreak/>
        <w:t>blood vessel penetration</w:t>
      </w:r>
      <w:r w:rsidR="008C76EB" w:rsidRPr="00024FD1">
        <w:rPr>
          <w:rFonts w:cs="Arial"/>
          <w:szCs w:val="24"/>
        </w:rPr>
        <w:t xml:space="preserve"> </w:t>
      </w:r>
      <w:r w:rsidRPr="00024FD1">
        <w:rPr>
          <w:rFonts w:cs="Arial"/>
          <w:szCs w:val="24"/>
        </w:rPr>
        <w:fldChar w:fldCharType="begin" w:fldLock="1"/>
      </w:r>
      <w:r w:rsidR="0033591E">
        <w:rPr>
          <w:rFonts w:cs="Arial"/>
          <w:szCs w:val="24"/>
        </w:rPr>
        <w:instrText xml:space="preserve"> ADDIN ZOTERO_ITEM CSL_CITATION {"citationID":"dhIRKBNY","properties":{"formattedCitation":"\\super 13\\uc0\\u8211{}15\\nosupersub{}","plainCitation":"13–15","noteIndex":0},"citationItems":[{"id":"1dryys0K/YwqVWd8a","uris":["http://www.mendeley.com/documents/?uuid=5b444855-f77f-43bd-90db-58005c522294","http://www.mendeley.com/documents/?uuid=3b61a6be-d85b-4d27-a60c-f1fed5ae108a"],"itemData":{"DOI":"10.1002/jbm.a","ISBN":"1301435635","ISSN":"1549-3296","PMID":"17226806","author":[{"dropping-particle":"","family":"Simon","given":"Joshua L","non-dropping-particle":"","parse-names":false,"suffix":""},{"dropping-particle":"","family":"Michna","given":"Sarah","non-dropping-particle":"","parse-names":false,"suffix":""},{"dropping-particle":"","family":"Lewis","given":"Jennifer A","non-dropping-particle":"","parse-names":false,"suffix":""},{"dropping-particle":"","family":"Rekow","given":"E Dianne","non-dropping-particle":"","parse-names":false,"suffix":""},{"dropping-particle":"","family":"Thompson","given":"Van P","non-dropping-particle":"","parse-names":false,"suffix":""},{"dropping-particle":"","family":"Smay","given":"James E","non-dropping-particle":"","parse-names":false,"suffix":""},{"dropping-particle":"","family":"Yampolsky","given":"Andrew","non-dropping-particle":"","parse-names":false,"suffix":""},{"dropping-particle":"","family":"Parsons","given":"J Russell","non-dropping-particle":"","parse-names":false,"suffix":""},{"dropping-particle":"","family":"Ricci","given":"John L","non-dropping-particle":"","parse-names":false,"suffix":""}],"container-title":"Journal of Biomedical Materials Research Part A","id":"ITEM-1","issue":"3","issued":{"date-parts":[["2007"]]},"page":"747-758","title":"In vivo bone response to 3D periodic hydroxyapatite scaffolds assembled by direct ink writing","type":"article-journal","volume":"83"}},{"id":"1dryys0K/faBGptID","uris":["http://www.mendeley.com/documents/?uuid=7424b589-0861-49a1-aef0-0f58d0ae0712","http://www.mendeley.com/documents/?uuid=1ac8fc7f-3f2f-4036-b7e0-5b5a4d151fcf","http://www.mendeley.com/documents/?uuid=a7f443d8-c977-4aba-8fbd-bf1c04908353"],"itemData":{"DOI":"10.1002/jbm.a.31559","ISSN":"15493296","abstract":"The repair of bone defects with biomaterials depends on a sufficient vascularization of the implantation site. We analyzed the effect of pore size on the vascularization and osseointegration of biphasic calcium phosphate particles, which were implanted into critical-sized cranial defects in Balb/c mice. Dense particles and particles with pore sizes in the ranges 40-70, 70-140, 140-210, and 210-280 μm were tested (n = 6 animals per group). Angiogenesis, vascularization, and leukocyte-endothelium interactions were monitored for 28 days by intravital microscopy. The formation of new bone and the bone-interface contact (BIC) were determined histomorphometrically. Twenty-eight days after implantation, the functional capillary density was significantly higher with ceramic particles whose pore sizes exceeded 140 μm [140-210 μm: 6.6 (±0.8) mm/mm2; 210-280 μm: 7.3 (±0.6) mm/mm2] than with those whose pore sizes were lesser than 140 μm [40-70 μm: 5.3 (±0.4) mm/mm2; 70-140 μm: 5.6 (±0.3) mm/mm2] or with dense particles [5.7 (±0.8) mm/mm2]. The volume of newly-formed bone deposited within the implants increased as the pore size increased [40-70 μm: 0.07 (±0.02) mm3; 70-140 μm: 0.10 (±0.06) mm3; 140-210 μm: 0.13 (±0.05) mm3; 210-280 μm: 0.15 (±0.06) mm3]. Similar results were observed for the BIC. The data demonstrates pore size to be a critical parameter governing the dynamic processes of vascularization and osseointegration of bone substitutes. © 2007 Wiley Periodicals, Inc.","author":[{"dropping-particle":"","family":"Klenke","given":"Frank M.","non-dropping-particle":"","parse-names":false,"suffix":""},{"dropping-particle":"","family":"Liu","given":"Yuelian","non-dropping-particle":"","parse-names":false,"suffix":""},{"dropping-particle":"","family":"Yuan","given":"Huipin","non-dropping-particle":"","parse-names":false,"suffix":""},{"dropping-particle":"","family":"Hunziker","given":"Ernst B.","non-dropping-particle":"","parse-names":false,"suffix":""},{"dropping-particle":"","family":"Siebenrock","given":"Klaus A.","non-dropping-particle":"","parse-names":false,"suffix":""},{"dropping-particle":"","family":"Hofstetter","given":"Willy","non-dropping-particle":"","parse-names":false,"suffix":""}],"container-title":"Journal of Biomedical Materials Research Part A","id":"ITEM-2","issue":"3","issued":{"date-parts":[["2008"]]},"page":"777-786","title":"Impact of pore size on the vascularization and osseointegration of ceramic bone substitutes in vivo","type":"article-journal","volume":"85"}},{"id":"1dryys0K/HDlRQF8X","uris":["http://www.mendeley.com/documents/?uuid=7b829852-8e18-4a41-83d0-3526af1a24db"],"itemData":{"DOI":"10.1016/j.msec.2015.12.087","ISSN":"09284931","abstract":"Biomaterials in the form of scaffolds hold great promise in the regeneration of diseased tissues. The scaffolds stimulate cellular adhesion, proliferation and differentiation. While the scaffold composition will dictate their biocompatibility, their porosity plays a key role in allowing proper cell penetration, nutrient diffusion as well as bone ingrowth. Porous scaffolds are processed with the help of a wide variety of techniques. Designing scaffolds with the appropriate porosity is a complex issue since this may jeopardize other physico-chemical properties. From a macroscopic point of view, parameters such as the overall architecture, pore morphology, interconnectivity and pore size distribution, have unique roles in allowing bone ingrowth to take place. From a microscopic perspective, the adsorption and retention of proteins in the microporosities of the material will dictate the subsequent cell adhesion. Therefore, the microstructure of the substrate can determine cell proliferation as well as the expression of specific osteogenic genes. This review aims at discussing the effect of micro- and macroporosity on the physico-chemical and biological properties of scaffolds for musculo-skeletal tissue regeneration.","author":[{"dropping-particle":"","family":"Perez","given":"Roman A.","non-dropping-particle":"","parse-names":false,"suffix":""},{"dropping-particle":"","family":"Mestres","given":"Gemma","non-dropping-particle":"","parse-names":false,"suffix":""}],"container-title":"Materials Science and Engineering C","id":"ITEM-3","issued":{"date-parts":[["2016"]]},"page":"922-939","publisher":"Elsevier B.V.","title":"Role of pore size and morphology in musculo-skeletal tissue regeneration","type":"article-journal","volume":"61"}}],"schema":"https://github.com/citation-style-language/schema/raw/master/csl-citation.json"} </w:instrText>
      </w:r>
      <w:r w:rsidRPr="00024FD1">
        <w:rPr>
          <w:rFonts w:cs="Arial"/>
          <w:szCs w:val="24"/>
        </w:rPr>
        <w:fldChar w:fldCharType="separate"/>
      </w:r>
      <w:r w:rsidR="00276F52" w:rsidRPr="00276F52">
        <w:rPr>
          <w:rFonts w:cs="Times"/>
          <w:szCs w:val="24"/>
          <w:vertAlign w:val="superscript"/>
        </w:rPr>
        <w:t>13–15</w:t>
      </w:r>
      <w:r w:rsidRPr="00024FD1">
        <w:rPr>
          <w:rFonts w:cs="Arial"/>
          <w:szCs w:val="24"/>
        </w:rPr>
        <w:fldChar w:fldCharType="end"/>
      </w:r>
      <w:r w:rsidR="008C76EB" w:rsidRPr="00024FD1">
        <w:rPr>
          <w:rFonts w:cs="Arial"/>
          <w:szCs w:val="24"/>
        </w:rPr>
        <w:t>.</w:t>
      </w:r>
      <w:r w:rsidR="00787AAA" w:rsidRPr="00024FD1">
        <w:rPr>
          <w:rFonts w:cs="Arial"/>
          <w:szCs w:val="24"/>
        </w:rPr>
        <w:t xml:space="preserve"> </w:t>
      </w:r>
      <w:r w:rsidR="00271AB5" w:rsidRPr="00024FD1">
        <w:rPr>
          <w:rFonts w:cs="Arial"/>
          <w:szCs w:val="24"/>
        </w:rPr>
        <w:t xml:space="preserve">We </w:t>
      </w:r>
      <w:r w:rsidRPr="00024FD1">
        <w:rPr>
          <w:rFonts w:cs="Arial"/>
          <w:szCs w:val="24"/>
        </w:rPr>
        <w:t xml:space="preserve">previously </w:t>
      </w:r>
      <w:r w:rsidR="00787AAA" w:rsidRPr="00024FD1">
        <w:rPr>
          <w:rFonts w:cs="Arial"/>
          <w:szCs w:val="24"/>
        </w:rPr>
        <w:t xml:space="preserve">demonstrated that the </w:t>
      </w:r>
      <w:r w:rsidR="00271AB5" w:rsidRPr="00024FD1">
        <w:rPr>
          <w:rFonts w:cs="Arial"/>
          <w:szCs w:val="24"/>
        </w:rPr>
        <w:t xml:space="preserve">open porosity </w:t>
      </w:r>
      <w:r w:rsidR="00E75C55" w:rsidRPr="00024FD1">
        <w:rPr>
          <w:rFonts w:cs="Arial"/>
          <w:szCs w:val="24"/>
        </w:rPr>
        <w:t>(</w:t>
      </w:r>
      <w:r w:rsidR="00271AB5" w:rsidRPr="00024FD1">
        <w:rPr>
          <w:rFonts w:cs="Arial"/>
          <w:szCs w:val="24"/>
        </w:rPr>
        <w:t>pores connected to the surface of the scaffold</w:t>
      </w:r>
      <w:r w:rsidR="00E75C55" w:rsidRPr="00024FD1">
        <w:rPr>
          <w:rFonts w:cs="Arial"/>
          <w:szCs w:val="24"/>
        </w:rPr>
        <w:t>)</w:t>
      </w:r>
      <w:r w:rsidR="00787AAA" w:rsidRPr="00024FD1">
        <w:rPr>
          <w:rFonts w:cs="Arial"/>
          <w:szCs w:val="24"/>
        </w:rPr>
        <w:t xml:space="preserve"> </w:t>
      </w:r>
      <w:r w:rsidR="00E75C55" w:rsidRPr="00024FD1">
        <w:rPr>
          <w:rFonts w:cs="Arial"/>
          <w:szCs w:val="24"/>
        </w:rPr>
        <w:t>was crucial for appropriate cell penetration</w:t>
      </w:r>
      <w:r w:rsidR="009A7723" w:rsidRPr="00024FD1">
        <w:rPr>
          <w:rFonts w:cs="Arial"/>
          <w:szCs w:val="24"/>
        </w:rPr>
        <w:t xml:space="preserve"> </w:t>
      </w:r>
      <w:r w:rsidR="00271AB5" w:rsidRPr="00024FD1">
        <w:rPr>
          <w:rFonts w:cs="Arial"/>
          <w:szCs w:val="24"/>
        </w:rPr>
        <w:fldChar w:fldCharType="begin" w:fldLock="1"/>
      </w:r>
      <w:r w:rsidR="0033591E">
        <w:rPr>
          <w:rFonts w:cs="Arial"/>
          <w:szCs w:val="24"/>
        </w:rPr>
        <w:instrText xml:space="preserve"> ADDIN ZOTERO_ITEM CSL_CITATION {"citationID":"LMADxnmz","properties":{"formattedCitation":"\\super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C","id":"ITEM-1","issue":"November 2019","issued":{"date-parts":[["2020"]]},"page":"110489","publisher":"Elsevier","title":"Rapid fabrication and screening of tailored functional 3D biomaterials","type":"article-journal","volume":"108"}}],"schema":"https://github.com/citation-style-language/schema/raw/master/csl-citation.json"} </w:instrText>
      </w:r>
      <w:r w:rsidR="00271AB5" w:rsidRPr="00024FD1">
        <w:rPr>
          <w:rFonts w:cs="Arial"/>
          <w:szCs w:val="24"/>
        </w:rPr>
        <w:fldChar w:fldCharType="separate"/>
      </w:r>
      <w:r w:rsidR="00276F52" w:rsidRPr="00276F52">
        <w:rPr>
          <w:rFonts w:cs="Times"/>
          <w:szCs w:val="24"/>
          <w:vertAlign w:val="superscript"/>
        </w:rPr>
        <w:t>19</w:t>
      </w:r>
      <w:r w:rsidR="00271AB5" w:rsidRPr="00024FD1">
        <w:rPr>
          <w:rFonts w:cs="Arial"/>
          <w:szCs w:val="24"/>
        </w:rPr>
        <w:fldChar w:fldCharType="end"/>
      </w:r>
      <w:r w:rsidR="009A7723" w:rsidRPr="00024FD1">
        <w:rPr>
          <w:rFonts w:cs="Arial"/>
          <w:szCs w:val="24"/>
        </w:rPr>
        <w:t>,</w:t>
      </w:r>
      <w:r w:rsidR="00787AAA" w:rsidRPr="00024FD1">
        <w:rPr>
          <w:rFonts w:cs="Arial"/>
          <w:szCs w:val="24"/>
        </w:rPr>
        <w:t xml:space="preserve"> thus reinforcing </w:t>
      </w:r>
      <w:r w:rsidR="00D3167B">
        <w:rPr>
          <w:rFonts w:cs="Arial"/>
          <w:szCs w:val="24"/>
        </w:rPr>
        <w:t>the current findings</w:t>
      </w:r>
      <w:r w:rsidR="008C76EB" w:rsidRPr="00024FD1">
        <w:rPr>
          <w:rFonts w:cs="Arial"/>
          <w:szCs w:val="24"/>
        </w:rPr>
        <w:t xml:space="preserve"> </w:t>
      </w:r>
      <w:r w:rsidR="00271AB5" w:rsidRPr="00024FD1">
        <w:rPr>
          <w:rFonts w:cs="Arial"/>
          <w:szCs w:val="24"/>
        </w:rPr>
        <w:fldChar w:fldCharType="begin" w:fldLock="1"/>
      </w:r>
      <w:r w:rsidR="0033591E">
        <w:rPr>
          <w:rFonts w:cs="Arial"/>
          <w:szCs w:val="24"/>
        </w:rPr>
        <w:instrText xml:space="preserve"> ADDIN ZOTERO_ITEM CSL_CITATION {"citationID":"V76n0kYX","properties":{"formattedCitation":"\\super 67\\nosupersub{}","plainCitation":"67","noteIndex":0},"citationItems":[{"id":"1dryys0K/f7RCPhXf","uris":["http://www.mendeley.com/documents/?uuid=c232f62e-90a5-4a30-8784-56dbc3f9856a"],"itemData":{"DOI":"10.1002/term.1827","ISBN":"1932-6254","ISSN":"19326254","PMID":"20801416","abstract":"Cell-based therapies with embryonic or adult stem cells, including induced pluripotent stem cells, have emerged as potential novel approaches for several devastating and otherwise incurable lung diseases, including emphysema, pulmonary fibrosis, pulmonary hypertension, and the acute respiratory distress syndrome. Although initial studies suggested engraftment of exogenously administered stem cells in lung, this is now generally felt to be a rare occurrence of uncertain physiologic significance. However, more recent studies have demonstrated paracrine effects of administered cells, including stimulation of angiogenesis and modulation of local inflammatory and immune responses in mouse lung disease models. Based on these studies and on safety and initial efficacy data from trials of adult stem cells in other diseases, groundbreaking clinical trials of cell-based therapy have been initiated for pulmonary hypertension and for chronic obstructive pulmonary disease. In parallel, the identity and role of endogenous lung progenitor cells in development and in repair from injury and potential contribution as lung cancer stem cells continue to be elucidated. Most recently, novel bioengineering approaches have been applied to develop functional lung tissue ex vivo. Advances in each of these areas will be described in this review with particular reference to animal models. ?? 2010 Mosby, Inc. All rights reserved.","author":[{"dropping-particle":"","family":"Rossi","given":"Filippo","non-dropping-particle":"","parse-names":false,"suffix":""},{"dropping-particle":"","family":"Santoro","given":"Marco","non-dropping-particle":"","parse-names":false,"suffix":""},{"dropping-particle":"","family":"Perale","given":"Giuseppe","non-dropping-particle":"","parse-names":false,"suffix":""}],"container-title":"Journal of Tissue Engineering and Regenerative Medicine","id":"ITEM-1","issue":"10","issued":{"date-parts":[["2015","10"]]},"page":"1093-1119","title":"Polymeric scaffolds as stem cell carriers in bone repair","type":"article-journal","volume":"9"}}],"schema":"https://github.com/citation-style-language/schema/raw/master/csl-citation.json"} </w:instrText>
      </w:r>
      <w:r w:rsidR="00271AB5" w:rsidRPr="00024FD1">
        <w:rPr>
          <w:rFonts w:cs="Arial"/>
          <w:szCs w:val="24"/>
        </w:rPr>
        <w:fldChar w:fldCharType="separate"/>
      </w:r>
      <w:r w:rsidR="0033591E" w:rsidRPr="0033591E">
        <w:rPr>
          <w:rFonts w:cs="Times"/>
          <w:szCs w:val="24"/>
          <w:vertAlign w:val="superscript"/>
        </w:rPr>
        <w:t>67</w:t>
      </w:r>
      <w:r w:rsidR="00271AB5" w:rsidRPr="00024FD1">
        <w:rPr>
          <w:rFonts w:cs="Arial"/>
          <w:szCs w:val="24"/>
        </w:rPr>
        <w:fldChar w:fldCharType="end"/>
      </w:r>
      <w:r w:rsidR="008C76EB" w:rsidRPr="00024FD1">
        <w:rPr>
          <w:rFonts w:cs="Arial"/>
          <w:szCs w:val="24"/>
        </w:rPr>
        <w:t>.</w:t>
      </w:r>
      <w:r w:rsidR="00787AAA" w:rsidRPr="00024FD1">
        <w:rPr>
          <w:rFonts w:cs="Arial"/>
          <w:szCs w:val="24"/>
        </w:rPr>
        <w:t xml:space="preserve"> </w:t>
      </w:r>
      <w:r w:rsidR="00494AF8">
        <w:rPr>
          <w:rFonts w:cs="Arial"/>
          <w:szCs w:val="24"/>
        </w:rPr>
        <w:t>M</w:t>
      </w:r>
      <w:r w:rsidR="00787AAA" w:rsidRPr="00024FD1">
        <w:rPr>
          <w:rFonts w:cs="Arial"/>
          <w:szCs w:val="24"/>
        </w:rPr>
        <w:t>echanical analysis showed that the indentation properties of these materials ranged from 10 KPa to 10 MPa with a high capacity for load reduction, generating scaffold candidates for bone repair given their tun</w:t>
      </w:r>
      <w:r w:rsidR="00D3167B">
        <w:rPr>
          <w:rFonts w:cs="Arial"/>
          <w:szCs w:val="24"/>
        </w:rPr>
        <w:t>e</w:t>
      </w:r>
      <w:r w:rsidR="00787AAA" w:rsidRPr="00024FD1">
        <w:rPr>
          <w:rFonts w:cs="Arial"/>
          <w:szCs w:val="24"/>
        </w:rPr>
        <w:t xml:space="preserve">able mechanical properties. </w:t>
      </w:r>
    </w:p>
    <w:p w14:paraId="7B34A36C" w14:textId="190A08F7" w:rsidR="00787AAA" w:rsidRPr="00024FD1" w:rsidRDefault="00380C45" w:rsidP="00787AAA">
      <w:pPr>
        <w:spacing w:line="480" w:lineRule="auto"/>
        <w:jc w:val="both"/>
        <w:rPr>
          <w:rFonts w:cs="Arial"/>
          <w:szCs w:val="24"/>
        </w:rPr>
      </w:pPr>
      <w:r w:rsidRPr="00024FD1">
        <w:rPr>
          <w:rFonts w:cs="Arial"/>
          <w:szCs w:val="24"/>
        </w:rPr>
        <w:t xml:space="preserve">The chorioallantoic </w:t>
      </w:r>
      <w:r w:rsidR="00E160AF" w:rsidRPr="00024FD1">
        <w:rPr>
          <w:rFonts w:cs="Arial"/>
          <w:szCs w:val="24"/>
        </w:rPr>
        <w:t xml:space="preserve">membrane assay </w:t>
      </w:r>
      <w:r w:rsidR="00D3167B">
        <w:rPr>
          <w:rFonts w:cs="Arial"/>
          <w:szCs w:val="24"/>
        </w:rPr>
        <w:t>provides</w:t>
      </w:r>
      <w:r w:rsidR="00E160AF" w:rsidRPr="00024FD1">
        <w:rPr>
          <w:rFonts w:cs="Arial"/>
          <w:szCs w:val="24"/>
        </w:rPr>
        <w:t xml:space="preserve"> a method to investigate the ability of a material to induce vasculature formation in an </w:t>
      </w:r>
      <w:r w:rsidR="00E160AF" w:rsidRPr="00024FD1">
        <w:rPr>
          <w:rFonts w:cs="Arial"/>
          <w:i/>
          <w:iCs/>
          <w:szCs w:val="24"/>
        </w:rPr>
        <w:t>ex vivo</w:t>
      </w:r>
      <w:r w:rsidR="00E160AF" w:rsidRPr="00024FD1">
        <w:t xml:space="preserve"> </w:t>
      </w:r>
      <w:r w:rsidR="00393B60">
        <w:t>model</w:t>
      </w:r>
      <w:r w:rsidR="00E160AF" w:rsidRPr="00024FD1">
        <w:t xml:space="preserve"> within </w:t>
      </w:r>
      <w:r w:rsidR="00D3167B">
        <w:t>a limited timeframe.</w:t>
      </w:r>
      <w:r w:rsidR="00E160AF" w:rsidRPr="00024FD1">
        <w:t xml:space="preserve"> The assay utilises implantation of a material on the extraembryonic membrane of the developing chick egg</w:t>
      </w:r>
      <w:r w:rsidR="008C76EB" w:rsidRPr="00024FD1">
        <w:t xml:space="preserve"> </w:t>
      </w:r>
      <w:r w:rsidR="00D95553" w:rsidRPr="00024FD1">
        <w:fldChar w:fldCharType="begin" w:fldLock="1"/>
      </w:r>
      <w:r w:rsidR="0033591E">
        <w:instrText xml:space="preserve"> ADDIN ZOTERO_ITEM CSL_CITATION {"citationID":"Klw2ijbQ","properties":{"formattedCitation":"\\super 27\\nosupersub{}","plainCitation":"27","noteIndex":0},"citationItems":[{"id":"1dryys0K/MfT4vhYs","uris":["http://www.mendeley.com/documents/?uuid=16a17b22-5963-4311-969e-7bee9a090d48","http://www.mendeley.com/documents/?uuid=a5e5dd74-e03b-4671-863d-62b0573aa47f"],"itemData":{"DOI":"10.1038/srep32168","ISSN":"20452322","abstract":"© 2016 The Author(s). Biomaterial development for tissue engineering applications is rapidly increasing but necessitates efficacy and safety testing prior to clinical application. Current in vitro and in vivo models hold a number of limitations, including expense, lack of correlation between animal models and human outcomes and the need to perform invasive procedures on animals; hence requiring new predictive screening methods. In the present study we tested the hypothesis that the chick embryo chorioallantoic membrane (CAM) can be used as a bioreactor to culture and study the regeneration of human living bone. We extracted bone cylinders from human femoral heads, simulated an injury using a drill-hole defect, and implanted the bone on CAM or in vitro control-culture. Micro-computed tomography (μCT) was used to quantify the magnitude and location of bone volume changes followed by histological analyses to assess bone repair. CAM blood vessels were observed to infiltrate the human bone cylinder and maintain human cell viability. Histological evaluation revealed extensive extracellular matrix deposition in proximity to endochondral condensations (Sox9+) on the CAM-implanted bone cylinders, correlating with a significant increase in bone volume by μCT analysis (p  &lt;  0.01). This human-avian system offers a simple refinement model for animal research and a step towards a humanized in vivo model for tissue engineering.","author":[{"dropping-particle":"","family":"Moreno-Jiménez","given":"Inés","non-dropping-particle":"","parse-names":false,"suffix":""},{"dropping-particle":"","family":"Hulsart-Billstrom","given":"Gry","non-dropping-particle":"","parse-names":false,"suffix":""},{"dropping-particle":"","family":"Lanham","given":"Stuart A.","non-dropping-particle":"","parse-names":false,"suffix":""},{"dropping-particle":"","family":"Janeczek","given":"Agnieszka A.","non-dropping-particle":"","parse-names":false,"suffix":""},{"dropping-particle":"","family":"Kontouli","given":"Nasia","non-dropping-particle":"","parse-names":false,"suffix":""},{"dropping-particle":"","family":"Kanczler","given":"Janos M.","non-dropping-particle":"","parse-names":false,"suffix":""},{"dropping-particle":"","family":"Evans","given":"Nicholas D.","non-dropping-particle":"","parse-names":false,"suffix":""},{"dropping-particle":"","family":"Oreffo","given":"Richard O.C.","non-dropping-particle":"","parse-names":false,"suffix":""}],"container-title":"Scientific Reports","id":"ITEM-1","issue":"August","issued":{"date-parts":[["2016"]]},"page":"1-12","publisher":"Nature Publishing Group","title":"The chorioallantoic membrane (CAM) assay for the study of human bone regeneration: A refinement animal model for tissue engineering","type":"article-journal","volume":"6"}}],"schema":"https://github.com/citation-style-language/schema/raw/master/csl-citation.json"} </w:instrText>
      </w:r>
      <w:r w:rsidR="00D95553" w:rsidRPr="00024FD1">
        <w:fldChar w:fldCharType="separate"/>
      </w:r>
      <w:r w:rsidR="0033591E" w:rsidRPr="0033591E">
        <w:rPr>
          <w:rFonts w:cs="Times"/>
          <w:szCs w:val="24"/>
          <w:vertAlign w:val="superscript"/>
        </w:rPr>
        <w:t>27</w:t>
      </w:r>
      <w:r w:rsidR="00D95553" w:rsidRPr="00024FD1">
        <w:fldChar w:fldCharType="end"/>
      </w:r>
      <w:r w:rsidR="008C76EB" w:rsidRPr="00024FD1">
        <w:t xml:space="preserve">. </w:t>
      </w:r>
      <w:r w:rsidRPr="00024FD1">
        <w:t xml:space="preserve">The </w:t>
      </w:r>
      <w:r w:rsidR="00787AAA" w:rsidRPr="00024FD1">
        <w:rPr>
          <w:rFonts w:cs="Arial"/>
          <w:szCs w:val="24"/>
        </w:rPr>
        <w:t xml:space="preserve">biocompatibility </w:t>
      </w:r>
      <w:r w:rsidRPr="00024FD1">
        <w:rPr>
          <w:rFonts w:cs="Arial"/>
          <w:szCs w:val="24"/>
        </w:rPr>
        <w:t xml:space="preserve">of 2-HPS </w:t>
      </w:r>
      <w:r w:rsidR="00787AAA" w:rsidRPr="00024FD1">
        <w:rPr>
          <w:rFonts w:cs="Arial"/>
          <w:szCs w:val="24"/>
        </w:rPr>
        <w:t xml:space="preserve">and, </w:t>
      </w:r>
      <w:r w:rsidR="00CE702E" w:rsidRPr="00024FD1">
        <w:rPr>
          <w:rFonts w:cs="Arial"/>
          <w:szCs w:val="24"/>
        </w:rPr>
        <w:t xml:space="preserve">more </w:t>
      </w:r>
      <w:r w:rsidR="00787AAA" w:rsidRPr="00024FD1">
        <w:rPr>
          <w:rFonts w:cs="Arial"/>
          <w:szCs w:val="24"/>
        </w:rPr>
        <w:t xml:space="preserve">importantly, significant </w:t>
      </w:r>
      <w:r w:rsidR="00E160AF" w:rsidRPr="00024FD1">
        <w:rPr>
          <w:rFonts w:cs="Arial"/>
          <w:szCs w:val="24"/>
        </w:rPr>
        <w:t xml:space="preserve">angiogenesis </w:t>
      </w:r>
      <w:r w:rsidR="00D3167B">
        <w:rPr>
          <w:rFonts w:cs="Arial"/>
          <w:szCs w:val="24"/>
        </w:rPr>
        <w:t xml:space="preserve">in the absence of </w:t>
      </w:r>
      <w:r w:rsidR="00787AAA" w:rsidRPr="00024FD1">
        <w:rPr>
          <w:rFonts w:cs="Arial"/>
          <w:szCs w:val="24"/>
        </w:rPr>
        <w:t>growth factor stimulation was evidenced using the CAM assay</w:t>
      </w:r>
      <w:r w:rsidR="006714E6" w:rsidRPr="00024FD1">
        <w:rPr>
          <w:rFonts w:cs="Arial"/>
          <w:szCs w:val="24"/>
        </w:rPr>
        <w:t xml:space="preserve"> </w:t>
      </w:r>
      <w:r w:rsidR="00D3167B">
        <w:rPr>
          <w:rFonts w:cs="Arial"/>
          <w:szCs w:val="24"/>
        </w:rPr>
        <w:t xml:space="preserve">in contrast to </w:t>
      </w:r>
      <w:r w:rsidR="006714E6" w:rsidRPr="00024FD1">
        <w:rPr>
          <w:rFonts w:cs="Arial"/>
          <w:szCs w:val="24"/>
        </w:rPr>
        <w:t>3-HPS and control</w:t>
      </w:r>
      <w:r w:rsidR="00D3167B">
        <w:rPr>
          <w:rFonts w:cs="Arial"/>
          <w:szCs w:val="24"/>
        </w:rPr>
        <w:t xml:space="preserve"> scaffolds</w:t>
      </w:r>
      <w:r w:rsidR="009B0633" w:rsidRPr="00024FD1">
        <w:rPr>
          <w:rFonts w:cs="Arial"/>
          <w:szCs w:val="24"/>
        </w:rPr>
        <w:t xml:space="preserve"> (Figure 5A)</w:t>
      </w:r>
      <w:r w:rsidR="00787AAA" w:rsidRPr="00024FD1">
        <w:rPr>
          <w:rFonts w:cs="Arial"/>
          <w:szCs w:val="24"/>
        </w:rPr>
        <w:t>.</w:t>
      </w:r>
      <w:r w:rsidR="00E160AF" w:rsidRPr="00024FD1">
        <w:rPr>
          <w:rFonts w:cs="Arial"/>
          <w:szCs w:val="24"/>
        </w:rPr>
        <w:t xml:space="preserve"> The presence of erythrocytes and </w:t>
      </w:r>
      <w:r w:rsidR="00F85939" w:rsidRPr="00024FD1">
        <w:rPr>
          <w:rFonts w:cs="Arial"/>
          <w:szCs w:val="24"/>
        </w:rPr>
        <w:t>budding vasculature</w:t>
      </w:r>
      <w:r w:rsidR="00E160AF" w:rsidRPr="00024FD1">
        <w:rPr>
          <w:rFonts w:cs="Arial"/>
          <w:szCs w:val="24"/>
        </w:rPr>
        <w:t xml:space="preserve"> within the scaffold</w:t>
      </w:r>
      <w:r w:rsidR="00F85939" w:rsidRPr="00024FD1">
        <w:rPr>
          <w:rFonts w:cs="Arial"/>
          <w:szCs w:val="24"/>
        </w:rPr>
        <w:t>s</w:t>
      </w:r>
      <w:r w:rsidR="00E160AF" w:rsidRPr="00024FD1">
        <w:rPr>
          <w:rFonts w:cs="Arial"/>
          <w:szCs w:val="24"/>
        </w:rPr>
        <w:t xml:space="preserve"> </w:t>
      </w:r>
      <w:r w:rsidR="00393B60">
        <w:rPr>
          <w:rFonts w:cs="Arial"/>
          <w:szCs w:val="24"/>
        </w:rPr>
        <w:t>indicated</w:t>
      </w:r>
      <w:r w:rsidR="00E160AF" w:rsidRPr="00024FD1">
        <w:rPr>
          <w:rFonts w:cs="Arial"/>
          <w:szCs w:val="24"/>
        </w:rPr>
        <w:t xml:space="preserve"> that the porosity of the material </w:t>
      </w:r>
      <w:r w:rsidR="00D3167B">
        <w:rPr>
          <w:rFonts w:cs="Arial"/>
          <w:szCs w:val="24"/>
        </w:rPr>
        <w:t>facilitated cell invasion and the</w:t>
      </w:r>
      <w:r w:rsidR="00F85939" w:rsidRPr="00024FD1">
        <w:rPr>
          <w:rFonts w:cs="Arial"/>
          <w:szCs w:val="24"/>
        </w:rPr>
        <w:t xml:space="preserve"> formation of blood vessels. </w:t>
      </w:r>
      <w:r w:rsidR="007C41BF" w:rsidRPr="00024FD1">
        <w:rPr>
          <w:rFonts w:cs="Arial"/>
          <w:szCs w:val="24"/>
        </w:rPr>
        <w:t xml:space="preserve">These findings suggest 2-HPS as a potential candidate for bone repair applications which will </w:t>
      </w:r>
      <w:r w:rsidR="000E0DF6">
        <w:rPr>
          <w:rFonts w:cs="Arial"/>
          <w:szCs w:val="24"/>
        </w:rPr>
        <w:t xml:space="preserve">warrant </w:t>
      </w:r>
      <w:r w:rsidR="007C41BF" w:rsidRPr="00024FD1">
        <w:rPr>
          <w:rFonts w:cs="Arial"/>
          <w:szCs w:val="24"/>
        </w:rPr>
        <w:t>further evaluat</w:t>
      </w:r>
      <w:r w:rsidR="000E0DF6">
        <w:rPr>
          <w:rFonts w:cs="Arial"/>
          <w:szCs w:val="24"/>
        </w:rPr>
        <w:t>ion</w:t>
      </w:r>
      <w:r w:rsidR="007C41BF" w:rsidRPr="00024FD1">
        <w:rPr>
          <w:rFonts w:cs="Arial"/>
          <w:szCs w:val="24"/>
        </w:rPr>
        <w:t xml:space="preserve"> in the future (figure 5B)</w:t>
      </w:r>
      <w:r w:rsidR="008C76EB" w:rsidRPr="00024FD1">
        <w:rPr>
          <w:rFonts w:cs="Arial"/>
          <w:szCs w:val="24"/>
        </w:rPr>
        <w:t xml:space="preserve"> </w:t>
      </w:r>
      <w:r w:rsidR="0023450F" w:rsidRPr="00024FD1">
        <w:rPr>
          <w:rFonts w:cs="Arial"/>
          <w:szCs w:val="24"/>
        </w:rPr>
        <w:fldChar w:fldCharType="begin" w:fldLock="1"/>
      </w:r>
      <w:r w:rsidR="0033591E">
        <w:rPr>
          <w:rFonts w:cs="Arial"/>
          <w:szCs w:val="24"/>
        </w:rPr>
        <w:instrText xml:space="preserve"> ADDIN ZOTERO_ITEM CSL_CITATION {"citationID":"jh8JtWdV","properties":{"formattedCitation":"\\super 47,48\\nosupersub{}","plainCitation":"47,48","noteIndex":0},"citationItems":[{"id":"1dryys0K/Er5lq2nX","uris":["http://www.mendeley.com/documents/?uuid=a218c19b-9cc4-4ab7-8109-51fa01e066da","http://www.mendeley.com/documents/?uuid=4e583b2f-4a4b-49b8-8958-f6109d4a9fb7"],"itemData":{"DOI":"10.1007/s10456-014-9440-7","ISSN":"15737209","PMID":"25138280","abstract":"The chicken chorioallantoic membrane (CAM) is a simple, highly vascularized extraembryonic membrane, which performs multiple functions during embryonic development, including but not restricted to gas exchange. Over the last two decades, interest in the CAM as a robust experimental platform to study blood vessels has been shared by specialists working in bioengineering, development, morphology, biochemistry, transplant biology, cancer research and drug development. The tissue composition and accessibility of the CAM for experimental manipulation, makes it an attractive preclinical in vivo model for drug screening and/or for studies of vascular growth. In this article we provide a detailed review of the use of the CAM to study vascular biology and response of blood vessels to a variety of agonists. We also present distinct cultivation protocols discussing their advantages and limitations and provide a summarized update on the use of the CAM in vascular imaging, drug delivery, pharmacokinetics and toxicology.","author":[{"dropping-particle":"","family":"Nowak-Sliwinska","given":"Patrycja","non-dropping-particle":"","parse-names":false,"suffix":""},{"dropping-particle":"","family":"Segura","given":"Tatiana","non-dropping-particle":"","parse-names":false,"suffix":""},{"dropping-particle":"","family":"Iruela-Arispe","given":"M. Luisa","non-dropping-particle":"","parse-names":false,"suffix":""}],"container-title":"Angiogenesis","id":"ITEM-1","issue":"4","issued":{"date-parts":[["2014"]]},"page":"779-804","title":"The chicken chorioallantoic membrane model in biology, medicine and bioengineering","type":"article-journal","volume":"17"}},{"id":"1dryys0K/eYQcFlbl","uris":["http://www.mendeley.com/documents/?uuid=a13d1081-ede3-491e-824a-217ae3322cd9"],"itemData":{"DOI":"10.1007/s10456-018-9613-x","ISBN":"1045601896","ISSN":"15737209","PMID":"29766399","abstract":"The formation of new blood vessels, or angiogenesis, is a complex process that plays important roles in growth and development, tissue and organ regeneration, as well as numerous pathological conditions. Angiogenesis undergoes multiple discrete steps that can be individually evaluated and quantified by a large number of bioassays. These independent assessments hold advantages but also have limitations. This article describes in vivo, ex vivo, and in vitro bioassays that are available for the evaluation of angiogenesis and highlights critical aspects that are relevant for their execution and proper interpretation. As such, this collaborative work is the first edition of consensus guidelines on angiogenesis bioassays to serve for current and future reference.","author":[{"dropping-particle":"","family":"Nowak-Sliwinska","given":"Patrycja","non-dropping-particle":"","parse-names":false,"suffix":""},{"dropping-particle":"","family":"Alitalo","given":"Kari","non-dropping-particle":"","parse-names":false,"suffix":""},{"dropping-particle":"","family":"Allen","given":"Elizabeth","non-dropping-particle":"","parse-names":false,"suffix":""},{"dropping-particle":"","family":"Anisimov","given":"Andrey","non-dropping-particle":"","parse-names":false,"suffix":""},{"dropping-particle":"","family":"Aplin","given":"Alfred C.","non-dropping-particle":"","parse-names":false,"suffix":""},{"dropping-particle":"","family":"Auerbach","given":"Robert","non-dropping-particle":"","parse-names":false,"suffix":""},{"dropping-particle":"","family":"Augustin","given":"Hellmut G.","non-dropping-particle":"","parse-names":false,"suffix":""},{"dropping-particle":"","family":"Bates","given":"David O.","non-dropping-particle":"","parse-names":false,"suffix":""},{"dropping-particle":"","family":"Beijnum","given":"Judy R.","non-dropping-particle":"van","parse-names":false,"suffix":""},{"dropping-particle":"","family":"Bender","given":"R. Hugh F.","non-dropping-particle":"","parse-names":false,"suffix":""},{"dropping-particle":"","family":"Bergers","given":"Gabriele","non-dropping-particle":"","parse-names":false,"suffix":""},{"dropping-particle":"","family":"Bikfalvi","given":"Andreas","non-dropping-particle":"","parse-names":false,"suffix":""},{"dropping-particle":"","family":"Bischoff","given":"Joyce","non-dropping-particle":"","parse-names":false,"suffix":""},{"dropping-particle":"","family":"Böck","given":"Barbara C.","non-dropping-particle":"","parse-names":false,"suffix":""},{"dropping-particle":"","family":"Brooks","given":"Peter C.","non-dropping-particle":"","parse-names":false,"suffix":""},{"dropping-particle":"","family":"Bussolino","given":"Federico","non-dropping-particle":"","parse-names":false,"suffix":""},{"dropping-particle":"","family":"Cakir","given":"Bertan","non-dropping-particle":"","parse-names":false,"suffix":""},{"dropping-particle":"","family":"Carmeliet","given":"Peter","non-dropping-particle":"","parse-names":false,"suffix":""},{"dropping-particle":"","family":"Castranova","given":"Daniel","non-dropping-particle":"","parse-names":false,"suffix":""},{"dropping-particle":"","family":"Cimpean","given":"Anca M.","non-dropping-particle":"","parse-names":false,"suffix":""},{"dropping-particle":"","family":"Cleaver","given":"Ondine","non-dropping-particle":"","parse-names":false,"suffix":""},{"dropping-particle":"","family":"Coukos","given":"George","non-dropping-particle":"","parse-names":false,"suffix":""},{"dropping-particle":"","family":"Davis","given":"George E.","non-dropping-particle":"","parse-names":false,"suffix":""},{"dropping-particle":"","family":"Palma","given":"Michele","non-dropping-particle":"De","parse-names":false,"suffix":""},{"dropping-particle":"","family":"Dimberg","given":"Anna","non-dropping-particle":"","parse-names":false,"suffix":""},{"dropping-particle":"","family":"Dings","given":"Ruud P.M.","non-dropping-particle":"","parse-names":false,"suffix":""},{"dropping-particle":"","family":"Djonov","given":"Valentin","non-dropping-particle":"","parse-names":false,"suffix":""},{"dropping-particle":"","family":"Dudley","given":"Andrew C.","non-dropping-particle":"","parse-names":false,"suffix":""},{"dropping-particle":"","family":"Dufton","given":"Neil P.","non-dropping-particle":"","parse-names":false,"suffix":""},{"dropping-particle":"","family":"Fendt","given":"Sarah Maria","non-dropping-particle":"","parse-names":false,"suffix":""},{"dropping-particle":"","family":"Ferrara","given":"Napoleone","non-dropping-particle":"","parse-names":false,"suffix":""},{"dropping-particle":"","family":"Fruttiger","given":"Marcus","non-dropping-particle":"","parse-names":false,"suffix":""},{"dropping-particle":"","family":"Fukumura","given":"Dai","non-dropping-particle":"","parse-names":false,"suffix":""},{"dropping-particle":"","family":"Ghesquière","given":"Bart","non-dropping-particle":"","parse-names":false,"suffix":""},{"dropping-particle":"","family":"Gong","given":"Yan","non-dropping-particle":"","parse-names":false,"suffix":""},{"dropping-particle":"","family":"Griffin","given":"Robert J.","non-dropping-particle":"","parse-names":false,"suffix":""},{"dropping-particle":"","family":"Harris","given":"Adrian L.","non-dropping-particle":"","parse-names":false,"suffix":""},{"dropping-particle":"","family":"Hughes","given":"Christopher C.W.","non-dropping-particle":"","parse-names":false,"suffix":""},{"dropping-particle":"","family":"Hultgren","given":"Nan W.","non-dropping-particle":"","parse-names":false,"suffix":""},{"dropping-particle":"","family":"Iruela-Arispe","given":"M. Luisa","non-dropping-particle":"","parse-names":false,"suffix":""},{"dropping-particle":"","family":"Irving","given":"Melita","non-dropping-particle":"","parse-names":false,"suffix":""},{"dropping-particle":"","family":"Jain","given":"Rakesh K.","non-dropping-particle":"","parse-names":false,"suffix":""},{"dropping-particle":"","family":"Kalluri","given":"Raghu","non-dropping-particle":"","parse-names":false,"suffix":""},{"dropping-particle":"","family":"Kalucka","given":"Joanna","non-dropping-particle":"","parse-names":false,"suffix":""},{"dropping-particle":"","family":"Kerbel","given":"Robert S.","non-dropping-particle":"","parse-names":false,"suffix":""},{"dropping-particle":"","family":"Kitajewski","given":"Jan","non-dropping-particle":"","parse-names":false,"suffix":""},{"dropping-particle":"","family":"Klaassen","given":"Ingeborg","non-dropping-particle":"","parse-names":false,"suffix":""},{"dropping-particle":"","family":"Kleinmann","given":"Hynda K.","non-dropping-particle":"","parse-names":false,"suffix":""},{"dropping-particle":"","family":"Koolwijk","given":"Pieter","non-dropping-particle":"","parse-names":false,"suffix":""},{"dropping-particle":"","family":"Kuczynski","given":"Elisabeth","non-dropping-particle":"","parse-names":false,"suffix":""},{"dropping-particle":"","family":"Kwak","given":"Brenda R.","non-dropping-particle":"","parse-names":false,"suffix":""},{"dropping-particle":"","family":"Marien","given":"Koen","non-dropping-particle":"","parse-names":false,"suffix":""},{"dropping-particle":"","family":"Melero-Martin","given":"Juan M.","non-dropping-particle":"","parse-names":false,"suffix":""},{"dropping-particle":"","family":"Munn","given":"Lance L.","non-dropping-particle":"","parse-names":false,"suffix":""},{"dropping-particle":"","family":"Nicosia","given":"Roberto F.","non-dropping-particle":"","parse-names":false,"suffix":""},{"dropping-particle":"","family":"Noel","given":"Agnes","non-dropping-particle":"","parse-names":false,"suffix":""},{"dropping-particle":"","family":"Nurro","given":"Jussi","non-dropping-particle":"","parse-names":false,"suffix":""},{"dropping-particle":"","family":"Olsson","given":"Anna Karin","non-dropping-particle":"","parse-names":false,"suffix":""},{"dropping-particle":"V.","family":"Petrova","given":"Tatiana","non-dropping-particle":"","parse-names":false,"suffix":""},{"dropping-particle":"","family":"Pietras","given":"Kristian","non-dropping-particle":"","parse-names":false,"suffix":""},{"dropping-particle":"","family":"Pili","given":"Roberto","non-dropping-particle":"","parse-names":false,"suffix":""},{"dropping-particle":"","family":"Pollard","given":"Jeffrey W.","non-dropping-particle":"","parse-names":false,"suffix":""},{"dropping-particle":"","family":"Post","given":"Mark J.","non-dropping-particle":"","parse-names":false,"suffix":""},{"dropping-particle":"","family":"Quax","given":"Paul H.A.","non-dropping-particle":"","parse-names":false,"suffix":""},{"dropping-particle":"","family":"Rabinovich","given":"Gabriel A.","non-dropping-particle":"","parse-names":false,"suffix":""},{"dropping-particle":"","family":"Raica","given":"Marius","non-dropping-particle":"","parse-names":false,"suffix":""},{"dropping-particle":"","family":"Randi","given":"Anna M.","non-dropping-particle":"","parse-names":false,"suffix":""},{"dropping-particle":"","family":"Ribatti","given":"Domenico","non-dropping-particle":"","parse-names":false,"suffix":""},{"dropping-particle":"","family":"Ruegg","given":"Curzio","non-dropping-particle":"","parse-names":false,"suffix":""},{"dropping-particle":"","family":"Schlingemann","given":"Reinier O.","non-dropping-particle":"","parse-names":false,"suffix":""},{"dropping-particle":"","family":"Schulte-Merker","given":"Stefan","non-dropping-particle":"","parse-names":false,"suffix":""},{"dropping-particle":"","family":"Smith","given":"Lois E.H.","non-dropping-particle":"","parse-names":false,"suffix":""},{"dropping-particle":"","family":"Song","given":"Jonathan W.","non-dropping-particle":"","parse-names":false,"suffix":""},{"dropping-particle":"","family":"Stacker","given":"Steven A.","non-dropping-particle":"","parse-names":false,"suffix":""},{"dropping-particle":"","family":"Stalin","given":"Jimmy","non-dropping-particle":"","parse-names":false,"suffix":""},{"dropping-particle":"","family":"Stratman","given":"Amber N.","non-dropping-particle":"","parse-names":false,"suffix":""},{"dropping-particle":"","family":"Velde","given":"Maureen","non-dropping-particle":"Van de","parse-names":false,"suffix":""},{"dropping-particle":"","family":"Hinsbergh","given":"Victor W.M.","non-dropping-particle":"van","parse-names":false,"suffix":""},{"dropping-particle":"","family":"Vermeulen","given":"Peter B.","non-dropping-particle":"","parse-names":false,"suffix":""},{"dropping-particle":"","family":"Waltenberger","given":"Johannes","non-dropping-particle":"","parse-names":false,"suffix":""},{"dropping-particle":"","family":"Weinstein","given":"Brant M.","non-dropping-particle":"","parse-names":false,"suffix":""},{"dropping-particle":"","family":"Xin","given":"Hong","non-dropping-particle":"","parse-names":false,"suffix":""},{"dropping-particle":"","family":"Yetkin-Arik","given":"Bahar","non-dropping-particle":"","parse-names":false,"suffix":""},{"dropping-particle":"","family":"Yla-Herttuala","given":"Seppo","non-dropping-particle":"","parse-names":false,"suffix":""},{"dropping-particle":"","family":"Yoder","given":"Mervin C.","non-dropping-particle":"","parse-names":false,"suffix":""},{"dropping-particle":"","family":"Griffioen","given":"Arjan W.","non-dropping-particle":"","parse-names":false,"suffix":""}],"container-title":"Angiogenesis","id":"ITEM-2","issue":"3","issued":{"date-parts":[["2018"]]},"number-of-pages":"425-532","publisher":"Springer Netherlands","title":"Consensus guidelines for the use and interpretation of angiogenesis assays","type":"book","volume":"21"}}],"schema":"https://github.com/citation-style-language/schema/raw/master/csl-citation.json"} </w:instrText>
      </w:r>
      <w:r w:rsidR="0023450F" w:rsidRPr="00024FD1">
        <w:rPr>
          <w:rFonts w:cs="Arial"/>
          <w:szCs w:val="24"/>
        </w:rPr>
        <w:fldChar w:fldCharType="separate"/>
      </w:r>
      <w:r w:rsidR="0033591E" w:rsidRPr="0033591E">
        <w:rPr>
          <w:rFonts w:cs="Times"/>
          <w:szCs w:val="24"/>
          <w:vertAlign w:val="superscript"/>
        </w:rPr>
        <w:t>47,48</w:t>
      </w:r>
      <w:r w:rsidR="0023450F" w:rsidRPr="00024FD1">
        <w:rPr>
          <w:rFonts w:cs="Arial"/>
          <w:szCs w:val="24"/>
        </w:rPr>
        <w:fldChar w:fldCharType="end"/>
      </w:r>
      <w:r w:rsidR="008C76EB" w:rsidRPr="00024FD1">
        <w:rPr>
          <w:rFonts w:cs="Arial"/>
          <w:szCs w:val="24"/>
        </w:rPr>
        <w:t>.</w:t>
      </w:r>
      <w:r w:rsidR="000E0DF6">
        <w:rPr>
          <w:rFonts w:cs="Arial"/>
          <w:szCs w:val="24"/>
        </w:rPr>
        <w:t xml:space="preserve"> P</w:t>
      </w:r>
      <w:r w:rsidR="00361D5D">
        <w:rPr>
          <w:rFonts w:cs="Arial"/>
          <w:szCs w:val="24"/>
        </w:rPr>
        <w:t>reliminary</w:t>
      </w:r>
      <w:r w:rsidR="006E1F93" w:rsidRPr="00024FD1">
        <w:rPr>
          <w:rFonts w:cs="Arial"/>
          <w:szCs w:val="24"/>
        </w:rPr>
        <w:t xml:space="preserve"> </w:t>
      </w:r>
      <w:r w:rsidR="00005086" w:rsidRPr="00024FD1">
        <w:rPr>
          <w:rFonts w:cs="Arial"/>
          <w:i/>
          <w:iCs/>
          <w:szCs w:val="24"/>
        </w:rPr>
        <w:t xml:space="preserve">in vivo </w:t>
      </w:r>
      <w:r w:rsidR="00005086" w:rsidRPr="00024FD1">
        <w:rPr>
          <w:rFonts w:cs="Arial"/>
          <w:szCs w:val="24"/>
        </w:rPr>
        <w:t>a</w:t>
      </w:r>
      <w:r w:rsidR="00361D5D">
        <w:rPr>
          <w:rFonts w:cs="Arial"/>
          <w:szCs w:val="24"/>
        </w:rPr>
        <w:t>nalysis</w:t>
      </w:r>
      <w:r w:rsidR="00005086" w:rsidRPr="00024FD1">
        <w:rPr>
          <w:rFonts w:cs="Arial"/>
          <w:szCs w:val="24"/>
        </w:rPr>
        <w:t xml:space="preserve"> </w:t>
      </w:r>
      <w:r w:rsidR="000E0DF6">
        <w:rPr>
          <w:rFonts w:cs="Arial"/>
          <w:szCs w:val="24"/>
        </w:rPr>
        <w:t xml:space="preserve">of 2-HPS scaffolds </w:t>
      </w:r>
      <w:r w:rsidR="00005086" w:rsidRPr="00024FD1">
        <w:rPr>
          <w:rFonts w:cs="Arial"/>
          <w:szCs w:val="24"/>
        </w:rPr>
        <w:t>using the subcutaneous murine model</w:t>
      </w:r>
      <w:r w:rsidR="00A61965" w:rsidRPr="00024FD1">
        <w:rPr>
          <w:rFonts w:cs="Arial"/>
          <w:szCs w:val="24"/>
        </w:rPr>
        <w:t xml:space="preserve"> </w:t>
      </w:r>
      <w:r w:rsidR="007C41BF" w:rsidRPr="00024FD1">
        <w:rPr>
          <w:rFonts w:cs="Arial"/>
          <w:szCs w:val="24"/>
        </w:rPr>
        <w:t xml:space="preserve">demonstrated </w:t>
      </w:r>
      <w:r w:rsidR="000E0DF6">
        <w:rPr>
          <w:rFonts w:cs="Arial"/>
          <w:szCs w:val="24"/>
        </w:rPr>
        <w:t>scaffold</w:t>
      </w:r>
      <w:r w:rsidR="00787AAA" w:rsidRPr="00024FD1">
        <w:rPr>
          <w:rFonts w:cs="Arial"/>
          <w:szCs w:val="24"/>
        </w:rPr>
        <w:t xml:space="preserve"> </w:t>
      </w:r>
      <w:r w:rsidR="00E66A85" w:rsidRPr="00024FD1">
        <w:rPr>
          <w:rFonts w:cs="Arial"/>
          <w:szCs w:val="24"/>
        </w:rPr>
        <w:t>integrat</w:t>
      </w:r>
      <w:r w:rsidR="000E0DF6">
        <w:rPr>
          <w:rFonts w:cs="Arial"/>
          <w:szCs w:val="24"/>
        </w:rPr>
        <w:t>ion</w:t>
      </w:r>
      <w:r w:rsidR="00E66A85" w:rsidRPr="00024FD1">
        <w:rPr>
          <w:rFonts w:cs="Arial"/>
          <w:szCs w:val="24"/>
        </w:rPr>
        <w:t xml:space="preserve"> in</w:t>
      </w:r>
      <w:r w:rsidR="00DD15D6" w:rsidRPr="00024FD1">
        <w:rPr>
          <w:rFonts w:cs="Arial"/>
          <w:szCs w:val="24"/>
        </w:rPr>
        <w:t>to</w:t>
      </w:r>
      <w:r w:rsidR="00E66A85" w:rsidRPr="00024FD1">
        <w:rPr>
          <w:rFonts w:cs="Arial"/>
          <w:szCs w:val="24"/>
        </w:rPr>
        <w:t xml:space="preserve"> murine tissue and </w:t>
      </w:r>
      <w:r w:rsidR="000E0DF6">
        <w:rPr>
          <w:rFonts w:cs="Arial"/>
          <w:szCs w:val="24"/>
        </w:rPr>
        <w:t xml:space="preserve">the </w:t>
      </w:r>
      <w:r w:rsidR="00787AAA" w:rsidRPr="00024FD1">
        <w:rPr>
          <w:rFonts w:cs="Arial"/>
          <w:szCs w:val="24"/>
        </w:rPr>
        <w:t>stimulat</w:t>
      </w:r>
      <w:r w:rsidR="000E0DF6">
        <w:rPr>
          <w:rFonts w:cs="Arial"/>
          <w:szCs w:val="24"/>
        </w:rPr>
        <w:t xml:space="preserve">ion of </w:t>
      </w:r>
      <w:r w:rsidR="005A65F9" w:rsidRPr="00024FD1">
        <w:rPr>
          <w:rFonts w:cs="Arial"/>
          <w:szCs w:val="24"/>
        </w:rPr>
        <w:t>vasculari</w:t>
      </w:r>
      <w:r w:rsidR="000E0DF6">
        <w:rPr>
          <w:rFonts w:cs="Arial"/>
          <w:szCs w:val="24"/>
        </w:rPr>
        <w:t>s</w:t>
      </w:r>
      <w:r w:rsidR="005A65F9" w:rsidRPr="00024FD1">
        <w:rPr>
          <w:rFonts w:cs="Arial"/>
          <w:szCs w:val="24"/>
        </w:rPr>
        <w:t>ation</w:t>
      </w:r>
      <w:r w:rsidR="00E66A85" w:rsidRPr="00024FD1">
        <w:rPr>
          <w:rFonts w:cs="Arial"/>
          <w:szCs w:val="24"/>
        </w:rPr>
        <w:t xml:space="preserve"> (Figure 6)</w:t>
      </w:r>
      <w:r w:rsidR="00787AAA" w:rsidRPr="00024FD1">
        <w:rPr>
          <w:rFonts w:cs="Arial"/>
          <w:szCs w:val="24"/>
        </w:rPr>
        <w:t xml:space="preserve">. </w:t>
      </w:r>
      <w:proofErr w:type="spellStart"/>
      <w:r w:rsidR="00787AAA" w:rsidRPr="00024FD1">
        <w:rPr>
          <w:rFonts w:cs="Arial"/>
          <w:szCs w:val="24"/>
        </w:rPr>
        <w:t>Moulisová</w:t>
      </w:r>
      <w:proofErr w:type="spellEnd"/>
      <w:r w:rsidR="00787AAA" w:rsidRPr="00024FD1">
        <w:rPr>
          <w:rFonts w:cs="Arial"/>
          <w:szCs w:val="24"/>
        </w:rPr>
        <w:t xml:space="preserve"> </w:t>
      </w:r>
      <w:r w:rsidR="00787AAA" w:rsidRPr="00024FD1">
        <w:rPr>
          <w:rFonts w:cs="Arial"/>
          <w:i/>
          <w:iCs/>
          <w:szCs w:val="24"/>
        </w:rPr>
        <w:t>et al.</w:t>
      </w:r>
      <w:r w:rsidR="00787AAA" w:rsidRPr="00024FD1">
        <w:rPr>
          <w:rFonts w:cs="Arial"/>
          <w:szCs w:val="24"/>
        </w:rPr>
        <w:t xml:space="preserve"> reported previously that poly(ethyl acrylate) was capable of triggering spontaneous formation of fibronectin, which in turn caused recruitment of VEGF</w:t>
      </w:r>
      <w:r w:rsidR="008C76EB" w:rsidRPr="00024FD1">
        <w:rPr>
          <w:rFonts w:cs="Arial"/>
          <w:szCs w:val="24"/>
        </w:rPr>
        <w:t xml:space="preserve"> </w:t>
      </w:r>
      <w:r w:rsidR="00662FC7" w:rsidRPr="00024FD1">
        <w:rPr>
          <w:rFonts w:cs="Arial"/>
          <w:szCs w:val="24"/>
        </w:rPr>
        <w:fldChar w:fldCharType="begin" w:fldLock="1"/>
      </w:r>
      <w:r w:rsidR="0033591E">
        <w:rPr>
          <w:rFonts w:cs="Arial"/>
          <w:szCs w:val="24"/>
        </w:rPr>
        <w:instrText xml:space="preserve"> ADDIN ZOTERO_ITEM CSL_CITATION {"citationID":"qzeiphWr","properties":{"formattedCitation":"\\super 68,69\\nosupersub{}","plainCitation":"68,69","noteIndex":0},"citationItems":[{"id":"1dryys0K/NPtktf2S","uris":["http://www.mendeley.com/documents/?uuid=4f18dea3-25d7-4ccd-ad93-1535b10f2436"],"itemData":{"DOI":"10.1016/j.biomaterials.2017.02.024","ISSN":"18785905","PMID":"28279265","abstract":"We have engineered polymer-based microenvironments that promote vasculogenesis both in vitro and in vivo through synergistic integrin-growth factor receptor signalling. Poly(ethyl acrylate) (PEA) triggers spontaneous organization of fibronectin (FN) into nanonetworks which provide availability of critical binding domains. Importantly, the growth factor binding (FNIII12-14) and integrin binding (FNIII9-10) regions are simultaneously available on FN fibrils assembled on PEA. This material platform promotes synergistic integrin/VEGF signalling which is highly effective for vascularization events in vitro with low concentrations of VEGF. VEGF specifically binds to FN fibrils on PEA compared to control polymers (poly(methyl acrylate), PMA) where FN remains in a globular conformation and integrin/GF binding domains are not simultaneously available. The vasculogenic response of human endothelial cells seeded on these synergistic interfaces (VEGF bound to FN assembled on PEA) was significantly improved compared to soluble administration of VEGF at higher doses. Early onset of VEGF signalling (PLCγ1 phosphorylation) and both integrin and VEGF signalling (ERK1/2 phosphorylation) were increased only when VEGF was bound to FN nanonetworks on PEA, while soluble VEGF did not influence early signalling. Experiments with mutant FN molecules with impaired integrin binding site (FN-RGE) confirmed the role of the integrin binding site of FN on the vasculogenic response via combined integrin/VEGF signalling. In vivo experiments using 3D scaffolds coated with FN and VEGF implanted in the murine fat pad demonstrated pro-vascularization signalling by enhanced formation of new tissue inside scaffold pores. PEA-driven organization of FN promotes efficient presentation of VEGF to promote vascularization in regenerative medicine applications.","author":[{"dropping-particle":"","family":"Moulisová","given":"Vladimíra","non-dropping-particle":"","parse-names":false,"suffix":""},{"dropping-particle":"","family":"Gonzalez-García","given":"Cristina","non-dropping-particle":"","parse-names":false,"suffix":""},{"dropping-particle":"","family":"Cantini","given":"Marco","non-dropping-particle":"","parse-names":false,"suffix":""},{"dropping-particle":"","family":"Rodrigo-Navarro","given":"Aleixandre","non-dropping-particle":"","parse-names":false,"suffix":""},{"dropping-particle":"","family":"Weaver","given":"Jessica","non-dropping-particle":"","parse-names":false,"suffix":""},{"dropping-particle":"","family":"Costell","given":"Mercedes","non-dropping-particle":"","parse-names":false,"suffix":""},{"dropping-particle":"","family":"Sabater i Serra","given":"Roser","non-dropping-particle":"","parse-names":false,"suffix":""},{"dropping-particle":"","family":"Dalby","given":"Matthew J.","non-dropping-particle":"","parse-names":false,"suffix":""},{"dropping-particle":"","family":"García","given":"Andrés J.","non-dropping-particle":"","parse-names":false,"suffix":""},{"dropping-particle":"","family":"Salmerón-Sánchez","given":"Manuel","non-dropping-particle":"","parse-names":false,"suffix":""}],"container-title":"Biomaterials","id":"ITEM-1","issued":{"date-parts":[["2017"]]},"page":"61-74","title":"Engineered microenvironments for synergistic VEGF – Integrin signalling during vascularization","type":"article-journal","volume":"126"}},{"id":"1dryys0K/Ni25ay4R","uris":["http://www.mendeley.com/documents/?uuid=d99c5116-ed29-4e95-84ce-88ca864daf23"],"itemData":{"DOI":"10.1242/jcs.150458","ISSN":"14779137","abstract":"The fibronectin matrix plays a crucial role in the regulation of angiogenesis during development, tissue repair and pathogenesis. Previous work has identified a fibronectin-derived homophilic binding peptide, anastellin, as an effective inhibitor of angiogenesis; however, its mechanism of action is not well understood. In the present study, we demonstrate that anastellin selectively inhibits microvessel cell signaling in response to the VEGF165 isoform, but not VEGF121, by preventing the assembly of the complex containing the VEGF receptor and neuropilin-1. Anastellin treatment resulted in the inactivation of α5β1 integrins but was not accompanied by a change in either adhesion complexes or adhesion-based signaling. Integrin inactivation was associated with a masking of the fibronectin synergy site within the extracellular matrix (ECM), indicating that α5β1 inactivation resulted from a decrease in available ligand. These data demonstrate that anastellin influences the microvessel cell response to growth factors by controlling the repertoire of ligated integrins and point to anastellin as an effective regulator of fibronectin matrix organization. These studies further suggest that homophilic fibronectin binding peptides might have novel applications in the field of tissue regeneration as tools to regulate neovascularization.","author":[{"dropping-particle":"","family":"Ambesi","given":"Anthony","non-dropping-particle":"","parse-names":false,"suffix":""},{"dropping-particle":"","family":"McKeown-Longo","given":"Paula J.","non-dropping-particle":"","parse-names":false,"suffix":""}],"container-title":"Journal of Cell Science","id":"ITEM-2","issue":"17","issued":{"date-parts":[["2014"]]},"page":"3805-3816","title":"Conformational remodeling of the fibronectin matrix selectively regulates VEGF signaling","type":"article-journal","volume":"127"}}],"schema":"https://github.com/citation-style-language/schema/raw/master/csl-citation.json"} </w:instrText>
      </w:r>
      <w:r w:rsidR="00662FC7" w:rsidRPr="00024FD1">
        <w:rPr>
          <w:rFonts w:cs="Arial"/>
          <w:szCs w:val="24"/>
        </w:rPr>
        <w:fldChar w:fldCharType="separate"/>
      </w:r>
      <w:r w:rsidR="0033591E" w:rsidRPr="0033591E">
        <w:rPr>
          <w:rFonts w:cs="Times"/>
          <w:szCs w:val="24"/>
          <w:vertAlign w:val="superscript"/>
        </w:rPr>
        <w:t>68,69</w:t>
      </w:r>
      <w:r w:rsidR="00662FC7" w:rsidRPr="00024FD1">
        <w:rPr>
          <w:rFonts w:cs="Arial"/>
          <w:szCs w:val="24"/>
        </w:rPr>
        <w:fldChar w:fldCharType="end"/>
      </w:r>
      <w:r w:rsidR="008C76EB" w:rsidRPr="00024FD1">
        <w:rPr>
          <w:rFonts w:cs="Arial"/>
          <w:szCs w:val="24"/>
        </w:rPr>
        <w:t>,</w:t>
      </w:r>
      <w:r w:rsidR="00787AAA" w:rsidRPr="00024FD1">
        <w:rPr>
          <w:rFonts w:cs="Arial"/>
          <w:szCs w:val="24"/>
        </w:rPr>
        <w:t xml:space="preserve"> thus explaining the spontaneous vasculature formation within the novel poly-acrylate blends used in this study. Furthermore, the presence of multinucleated giant cells and VEGF expressed by the invading cells within the scaffolds (Figure 7)</w:t>
      </w:r>
      <w:r w:rsidR="00425D89" w:rsidRPr="00024FD1">
        <w:rPr>
          <w:rFonts w:cs="Arial"/>
          <w:szCs w:val="24"/>
        </w:rPr>
        <w:t>,</w:t>
      </w:r>
      <w:r w:rsidR="00787AAA" w:rsidRPr="00024FD1">
        <w:rPr>
          <w:rFonts w:cs="Arial"/>
          <w:szCs w:val="24"/>
        </w:rPr>
        <w:t xml:space="preserve"> </w:t>
      </w:r>
      <w:r w:rsidR="00DD15D6" w:rsidRPr="00024FD1">
        <w:rPr>
          <w:rFonts w:cs="Arial"/>
          <w:szCs w:val="24"/>
        </w:rPr>
        <w:t xml:space="preserve">highlights the </w:t>
      </w:r>
      <w:r w:rsidR="00787AAA" w:rsidRPr="00024FD1">
        <w:rPr>
          <w:rFonts w:cs="Arial"/>
          <w:szCs w:val="24"/>
        </w:rPr>
        <w:t xml:space="preserve">stimulatory effect on angiogenesis from the scaffold. The most significant vasculature formation was observed in scaffolds seeded with FBMSCs conditioned in osteogenic medium </w:t>
      </w:r>
      <w:r w:rsidR="000E0DF6">
        <w:rPr>
          <w:rFonts w:cs="Arial"/>
          <w:szCs w:val="24"/>
        </w:rPr>
        <w:t>evidenced by an</w:t>
      </w:r>
      <w:r w:rsidR="00787AAA" w:rsidRPr="00024FD1">
        <w:rPr>
          <w:rFonts w:cs="Arial"/>
          <w:szCs w:val="24"/>
        </w:rPr>
        <w:t xml:space="preserve"> increase in the number of blood vessels lumens (identified by presence of lumen encircled by endothelial-like cells)</w:t>
      </w:r>
      <w:r w:rsidR="009A7723" w:rsidRPr="00024FD1">
        <w:rPr>
          <w:rFonts w:cs="Arial"/>
          <w:szCs w:val="24"/>
        </w:rPr>
        <w:t>,</w:t>
      </w:r>
      <w:r w:rsidR="00787AAA" w:rsidRPr="00024FD1">
        <w:rPr>
          <w:rFonts w:cs="Arial"/>
          <w:szCs w:val="24"/>
        </w:rPr>
        <w:t xml:space="preserve"> compared to scaffolds without cells</w:t>
      </w:r>
      <w:r w:rsidR="009A7723" w:rsidRPr="00024FD1">
        <w:rPr>
          <w:rFonts w:cs="Arial"/>
          <w:szCs w:val="24"/>
        </w:rPr>
        <w:t xml:space="preserve"> </w:t>
      </w:r>
      <w:r w:rsidR="009A7723" w:rsidRPr="00024FD1">
        <w:rPr>
          <w:rFonts w:cs="Arial"/>
          <w:szCs w:val="24"/>
        </w:rPr>
        <w:fldChar w:fldCharType="begin" w:fldLock="1"/>
      </w:r>
      <w:r w:rsidR="0033591E">
        <w:rPr>
          <w:rFonts w:cs="Arial"/>
          <w:szCs w:val="24"/>
        </w:rPr>
        <w:instrText xml:space="preserve"> ADDIN ZOTERO_ITEM CSL_CITATION {"citationID":"DQCza0Hw","properties":{"formattedCitation":"\\super 55\\nosupersub{}","plainCitation":"55","noteIndex":0},"citationItems":[{"id":"1dryys0K/vzztGXvh","uris":["http://www.mendeley.com/documents/?uuid=84aa4359-5111-43dc-adda-51453e5c6782","http://www.mendeley.com/documents/?uuid=11f76775-38ab-4583-8f7b-53353aa43258"],"itemData":{"DOI":"10.1073/pnas.0810217105","ISSN":"00278424","author":[{"dropping-particle":"","family":"Jabbarzadeh","given":"Ehsan","non-dropping-particle":"","parse-names":false,"suffix":""},{"dropping-particle":"","family":"Starnes","given":"Trevor","non-dropping-particle":"","parse-names":false,"suffix":""},{"dropping-particle":"","family":"Khan","given":"Yusuf M.","non-dropping-particle":"","parse-names":false,"suffix":""},{"dropping-particle":"","family":"Jiang","given":"Tao","non-dropping-particle":"","parse-names":false,"suffix":""},{"dropping-particle":"","family":"Wirtel","given":"Anthony J.","non-dropping-particle":"","parse-names":false,"suffix":""},{"dropping-particle":"","family":"Deng","given":"Meng","non-dropping-particle":"","parse-names":false,"suffix":""},{"dropping-particle":"","family":"Lv","given":"Qing","non-dropping-particle":"","parse-names":false,"suffix":""},{"dropping-particle":"","family":"Nair","given":"Lakshmi S.","non-dropping-particle":"","parse-names":false,"suffix":""},{"dropping-particle":"","family":"Doty","given":"Steven B.","non-dropping-particle":"","parse-names":false,"suffix":""},{"dropping-particle":"","family":"Laurencin","given":"Cato T.","non-dropping-particle":"","parse-names":false,"suffix":""}],"container-title":"Proceedings of the National Academy of Sciences of the United States of America","id":"ITEM-1","issue":"32","issued":{"date-parts":[["2008"]]},"page":"11099-11104","title":"Induction of angiogenesis in tissue-engineered scaffolds designed for bone repair: A combined gene therapy-cell transplantation approach","type":"article-journal","volume":"105"}}],"schema":"https://github.com/citation-style-language/schema/raw/master/csl-citation.json"} </w:instrText>
      </w:r>
      <w:r w:rsidR="009A7723" w:rsidRPr="00024FD1">
        <w:rPr>
          <w:rFonts w:cs="Arial"/>
          <w:szCs w:val="24"/>
        </w:rPr>
        <w:fldChar w:fldCharType="separate"/>
      </w:r>
      <w:r w:rsidR="0033591E" w:rsidRPr="0033591E">
        <w:rPr>
          <w:rFonts w:cs="Times"/>
          <w:szCs w:val="24"/>
          <w:vertAlign w:val="superscript"/>
        </w:rPr>
        <w:t>55</w:t>
      </w:r>
      <w:r w:rsidR="009A7723" w:rsidRPr="00024FD1">
        <w:rPr>
          <w:rFonts w:cs="Arial"/>
          <w:szCs w:val="24"/>
        </w:rPr>
        <w:fldChar w:fldCharType="end"/>
      </w:r>
      <w:r w:rsidR="00DD15D6" w:rsidRPr="00024FD1">
        <w:rPr>
          <w:rFonts w:cs="Arial"/>
          <w:szCs w:val="24"/>
        </w:rPr>
        <w:t xml:space="preserve">. This </w:t>
      </w:r>
      <w:r w:rsidR="00787AAA" w:rsidRPr="00024FD1">
        <w:rPr>
          <w:rFonts w:cs="Arial"/>
          <w:szCs w:val="24"/>
        </w:rPr>
        <w:t xml:space="preserve">is in agreement with an earlier report </w:t>
      </w:r>
      <w:r w:rsidR="00787AAA" w:rsidRPr="00024FD1">
        <w:rPr>
          <w:rFonts w:cs="Arial"/>
          <w:szCs w:val="24"/>
        </w:rPr>
        <w:lastRenderedPageBreak/>
        <w:t>whereby enhanced scaffold vasculari</w:t>
      </w:r>
      <w:r w:rsidR="00393B60">
        <w:rPr>
          <w:rFonts w:cs="Arial"/>
          <w:szCs w:val="24"/>
        </w:rPr>
        <w:t>s</w:t>
      </w:r>
      <w:r w:rsidR="00787AAA" w:rsidRPr="00024FD1">
        <w:rPr>
          <w:rFonts w:cs="Arial"/>
          <w:szCs w:val="24"/>
        </w:rPr>
        <w:t>ation was observed in the presence of pre-cultured osteoblasts</w:t>
      </w:r>
      <w:r w:rsidR="008C76EB" w:rsidRPr="00024FD1">
        <w:rPr>
          <w:rFonts w:cs="Arial"/>
          <w:szCs w:val="24"/>
        </w:rPr>
        <w:t xml:space="preserve"> </w:t>
      </w:r>
      <w:r w:rsidR="00E66A85" w:rsidRPr="00024FD1">
        <w:rPr>
          <w:rFonts w:cs="Arial"/>
          <w:szCs w:val="24"/>
        </w:rPr>
        <w:fldChar w:fldCharType="begin" w:fldLock="1"/>
      </w:r>
      <w:r w:rsidR="0033591E">
        <w:rPr>
          <w:rFonts w:cs="Arial"/>
          <w:szCs w:val="24"/>
        </w:rPr>
        <w:instrText xml:space="preserve"> ADDIN ZOTERO_ITEM CSL_CITATION {"citationID":"va1YBFMA","properties":{"formattedCitation":"\\super 53\\nosupersub{}","plainCitation":"53","noteIndex":0},"citationItems":[{"id":"1dryys0K/4jXzxkoK","uris":["http://www.mendeley.com/documents/?uuid=fe0b878e-d41a-4ba8-a57f-9fbe1ed509ee"],"itemData":{"DOI":"10.1016/j.biomaterials.2011.07.041","ISSN":"01429612","abstract":"Successful cell-based tissue engineering requires a rapid and thorough vascularization in order to ensure long-term implant survival and tissue integration. The vascularization of a scaffold is a complex process, and is modulated by the presence of transplanted cells, exogenous and endogenous signaling proteins, and the host tissue reaction, among other influencing factors. This paper presents evidence for the significance of pre-seeded osteoblasts for the in vivo vascularization of a biodegradable scaffold. Human osteoblasts, cultured on silk fibroin micronets in vitro, migrated throughout the interconnected pores of the scaffold and produced extensive bone matrix. When these constructs were implanted in SCID mice, a rapid and thorough vascularization of the scaffold by the host blood capillaries occurred. This profound response was not seen for the silk fibroin scaffold alone. Moreover, when the pre-cultivation time of human osteoblasts was reduced from 14 days to only 24 h, the significant effect these cells exerted on vascularization rate in vivo was still detectable. From these studies, we conclude that matrix and soluble factors produced by osteoblasts can serve to instruct host endothelial cells to migrate, proliferate, and initiate the process of scaffold vascularization. This finding represents a potential paradigm shift for the field of tissue engineering, especially in bone, as traditional strategies to enhance scaffold vascularization have focused on endovascular cells and regarded osteoblasts primarily as cell targets for mineralization. In addition, the migration of host macrophages and multinucleated giant cells into the scaffold was also found to influence the vascularization of the biomaterial. Therefore, the robust effect on scaffold vascularization seen by pre-culturing with osteoblasts appears to occur in concert with the pro-angiogenic stimuli arising from host immune cells. © 2011 Elsevier Ltd.","author":[{"dropping-particle":"","family":"Ghanaati","given":"Shahram","non-dropping-particle":"","parse-names":false,"suffix":""},{"dropping-particle":"","family":"Unger","given":"Ronald E.","non-dropping-particle":"","parse-names":false,"suffix":""},{"dropping-particle":"","family":"Webber","given":"Matthew J.","non-dropping-particle":"","parse-names":false,"suffix":""},{"dropping-particle":"","family":"Barbeck","given":"Mike","non-dropping-particle":"","parse-names":false,"suffix":""},{"dropping-particle":"","family":"Orth","given":"Carina","non-dropping-particle":"","parse-names":false,"suffix":""},{"dropping-particle":"","family":"Kirkpatrick","given":"Jenny A.","non-dropping-particle":"","parse-names":false,"suffix":""},{"dropping-particle":"","family":"Booms","given":"Patrick","non-dropping-particle":"","parse-names":false,"suffix":""},{"dropping-particle":"","family":"Motta","given":"Antonella","non-dropping-particle":"","parse-names":false,"suffix":""},{"dropping-particle":"","family":"Migliaresi","given":"Claudio","non-dropping-particle":"","parse-names":false,"suffix":""},{"dropping-particle":"","family":"Sader","given":"Robert A.","non-dropping-particle":"","parse-names":false,"suffix":""},{"dropping-particle":"","family":"Kirkpatrick","given":"C. James","non-dropping-particle":"","parse-names":false,"suffix":""}],"container-title":"Biomaterials","id":"ITEM-1","issue":"32","issued":{"date-parts":[["2011"]]},"page":"8150-8160","publisher":"Elsevier Ltd","title":"Scaffold vascularization in vivo driven by primary human osteoblasts in concert with host inflammatory cells","type":"article-journal","volume":"32"}}],"schema":"https://github.com/citation-style-language/schema/raw/master/csl-citation.json"} </w:instrText>
      </w:r>
      <w:r w:rsidR="00E66A85" w:rsidRPr="00024FD1">
        <w:rPr>
          <w:rFonts w:cs="Arial"/>
          <w:szCs w:val="24"/>
        </w:rPr>
        <w:fldChar w:fldCharType="separate"/>
      </w:r>
      <w:r w:rsidR="0033591E" w:rsidRPr="0033591E">
        <w:rPr>
          <w:rFonts w:cs="Times"/>
          <w:szCs w:val="24"/>
          <w:vertAlign w:val="superscript"/>
        </w:rPr>
        <w:t>53</w:t>
      </w:r>
      <w:r w:rsidR="00E66A85" w:rsidRPr="00024FD1">
        <w:rPr>
          <w:rFonts w:cs="Arial"/>
          <w:szCs w:val="24"/>
        </w:rPr>
        <w:fldChar w:fldCharType="end"/>
      </w:r>
      <w:r w:rsidR="008C76EB" w:rsidRPr="00024FD1">
        <w:rPr>
          <w:rFonts w:cs="Arial"/>
          <w:szCs w:val="24"/>
        </w:rPr>
        <w:t>.</w:t>
      </w:r>
    </w:p>
    <w:p w14:paraId="4B9DDA7E" w14:textId="32BCFCFA" w:rsidR="00787AAA" w:rsidRPr="00024FD1" w:rsidRDefault="00361D5D" w:rsidP="00787AAA">
      <w:pPr>
        <w:spacing w:line="480" w:lineRule="auto"/>
        <w:jc w:val="both"/>
        <w:rPr>
          <w:rFonts w:cs="Arial"/>
          <w:noProof/>
          <w:szCs w:val="24"/>
          <w:vertAlign w:val="superscript"/>
        </w:rPr>
      </w:pPr>
      <w:r>
        <w:rPr>
          <w:rFonts w:cs="Arial"/>
          <w:szCs w:val="24"/>
        </w:rPr>
        <w:t>The novel, high throughput technique developed and published earlier by Conde-Gonz</w:t>
      </w:r>
      <w:r w:rsidR="00E16373" w:rsidRPr="00E16373">
        <w:rPr>
          <w:rFonts w:cs="Arial"/>
          <w:szCs w:val="24"/>
        </w:rPr>
        <w:t>á</w:t>
      </w:r>
      <w:r>
        <w:rPr>
          <w:rFonts w:cs="Arial"/>
          <w:szCs w:val="24"/>
        </w:rPr>
        <w:t xml:space="preserve">lez et al. </w:t>
      </w:r>
      <w:r>
        <w:rPr>
          <w:rFonts w:cs="Arial"/>
          <w:szCs w:val="24"/>
        </w:rPr>
        <w:fldChar w:fldCharType="begin"/>
      </w:r>
      <w:r w:rsidR="0033591E">
        <w:rPr>
          <w:rFonts w:cs="Arial"/>
          <w:szCs w:val="24"/>
        </w:rPr>
        <w:instrText xml:space="preserve"> ADDIN ZOTERO_ITEM CSL_CITATION {"citationID":"8NFLIePi","properties":{"formattedCitation":"\\super 19\\nosupersub{}","plainCitation":"19","noteIndex":0},"citationItems":[{"id":"1dryys0K/fL2r8HOf","uris":["http://www.mendeley.com/documents/?uuid=6adbd48a-2191-4da6-bad9-752e9ac45771"],"itemData":{"DOI":"10.1016/j.msec.2019.110489","ISSN":"18730191","abstract":"Three dimensional synthetic polymer scaffolds have remarkable chemical and mechanical tunability in addition to biocompatibility. However, the chemical and physical space is vast in view of the number of variables that can be altered e.g. chemical composition, porosity, pore size and mechanical properties to name but a few. Here, we report the development of an array of 3D polymer scaffolds, whereby the physical and chemical properties of the polymer substrates were controlled, characterized in parallel (e.g. micro-CT scanning of 24 samples) and biological properties screened. This approach allowed the screening of 48 different polymer scaffolds constructed in situ by means of freeze-casting and photo-polymerisation with the tunable composition and 3D architecture of the polymer scaffolds facilitating the identification of optimal 3D biomaterials. As a proof of concept, the array approach was used to identify 3D polymers that were capable of supporting cell growth while controlling their behaviour. Sitting alongside classical polymer microarray technology, this novel platform reduces the gap between the identification of a biomaterial in 2D and its subsequent 3D application.","author":[{"dropping-particle":"","family":"Conde-González","given":"Antonio","non-dropping-particle":"","parse-names":false,"suffix":""},{"dropping-particle":"","family":"Dutta","given":"Deepanjalee","non-dropping-particle":"","parse-names":false,"suffix":""},{"dropping-particle":"","family":"Wallace","given":"Robert","non-dropping-particle":"","parse-names":false,"suffix":""},{"dropping-particle":"","family":"Callanan","given":"Anthony","non-dropping-particle":"","parse-names":false,"suffix":""},{"dropping-particle":"","family":"Bradley","given":"Mark","non-dropping-particle":"","parse-names":false,"suffix":""}],"container-title":"Materials Science and Engineering C","id":"QxUABRr4/PTn7YXmX","issue":"November 2019","issued":{"date-parts":[["2020"]]},"page":"110489","publisher":"Elsevier","title":"Rapid fabrication and screening of tailored functional 3D biomaterials","type":"article-journal","volume":"108"}}],"schema":"https://github.com/citation-style-language/schema/raw/master/csl-citation.json"} </w:instrText>
      </w:r>
      <w:r>
        <w:rPr>
          <w:rFonts w:cs="Arial"/>
          <w:szCs w:val="24"/>
        </w:rPr>
        <w:fldChar w:fldCharType="separate"/>
      </w:r>
      <w:r w:rsidR="00276F52" w:rsidRPr="00276F52">
        <w:rPr>
          <w:rFonts w:cs="Times"/>
          <w:szCs w:val="24"/>
          <w:vertAlign w:val="superscript"/>
        </w:rPr>
        <w:t>19</w:t>
      </w:r>
      <w:r>
        <w:rPr>
          <w:rFonts w:cs="Arial"/>
          <w:szCs w:val="24"/>
        </w:rPr>
        <w:fldChar w:fldCharType="end"/>
      </w:r>
      <w:r>
        <w:rPr>
          <w:rFonts w:cs="Arial"/>
          <w:szCs w:val="24"/>
        </w:rPr>
        <w:t xml:space="preserve"> allowed</w:t>
      </w:r>
      <w:r w:rsidR="00393B60">
        <w:rPr>
          <w:rFonts w:cs="Arial"/>
          <w:szCs w:val="24"/>
        </w:rPr>
        <w:t xml:space="preserve"> for the </w:t>
      </w:r>
      <w:r>
        <w:rPr>
          <w:rFonts w:cs="Arial"/>
          <w:szCs w:val="24"/>
        </w:rPr>
        <w:t>identification of a number of potential candidates for further analysis</w:t>
      </w:r>
      <w:r w:rsidR="000E0DF6">
        <w:rPr>
          <w:rFonts w:cs="Arial"/>
          <w:szCs w:val="24"/>
        </w:rPr>
        <w:t xml:space="preserve"> for biological application</w:t>
      </w:r>
      <w:r>
        <w:rPr>
          <w:rFonts w:cs="Arial"/>
          <w:szCs w:val="24"/>
        </w:rPr>
        <w:t xml:space="preserve">. </w:t>
      </w:r>
      <w:r w:rsidR="00787AAA" w:rsidRPr="00024FD1">
        <w:rPr>
          <w:rFonts w:cs="Arial"/>
          <w:szCs w:val="24"/>
        </w:rPr>
        <w:t xml:space="preserve">The </w:t>
      </w:r>
      <w:r>
        <w:rPr>
          <w:rFonts w:cs="Arial"/>
          <w:szCs w:val="24"/>
        </w:rPr>
        <w:t xml:space="preserve">developed </w:t>
      </w:r>
      <w:r w:rsidR="00787AAA" w:rsidRPr="00024FD1">
        <w:rPr>
          <w:rFonts w:cs="Arial"/>
          <w:szCs w:val="24"/>
        </w:rPr>
        <w:t>polymer scaffold</w:t>
      </w:r>
      <w:r w:rsidR="00E66A85" w:rsidRPr="00024FD1">
        <w:rPr>
          <w:rFonts w:cs="Arial"/>
          <w:szCs w:val="24"/>
        </w:rPr>
        <w:t>, 2-HPS,</w:t>
      </w:r>
      <w:r w:rsidR="00787AAA" w:rsidRPr="00024FD1">
        <w:rPr>
          <w:rFonts w:cs="Arial"/>
          <w:szCs w:val="24"/>
        </w:rPr>
        <w:t xml:space="preserve"> </w:t>
      </w:r>
      <w:r w:rsidR="000E0DF6">
        <w:rPr>
          <w:rFonts w:cs="Arial"/>
          <w:szCs w:val="24"/>
        </w:rPr>
        <w:t>provides</w:t>
      </w:r>
      <w:r w:rsidR="00DD15D6" w:rsidRPr="00024FD1">
        <w:rPr>
          <w:rFonts w:cs="Arial"/>
          <w:szCs w:val="24"/>
        </w:rPr>
        <w:t xml:space="preserve"> </w:t>
      </w:r>
      <w:r w:rsidR="00787AAA" w:rsidRPr="00024FD1">
        <w:rPr>
          <w:rFonts w:cs="Arial"/>
          <w:szCs w:val="24"/>
        </w:rPr>
        <w:t>a number of unique properties including: (i) promotion of host cell attraction and invasion into the scaffolds, (ii)</w:t>
      </w:r>
      <w:r w:rsidR="00425D89" w:rsidRPr="00024FD1">
        <w:rPr>
          <w:rFonts w:cs="Arial"/>
          <w:szCs w:val="24"/>
        </w:rPr>
        <w:t xml:space="preserve"> </w:t>
      </w:r>
      <w:r>
        <w:rPr>
          <w:rFonts w:cs="Arial"/>
          <w:szCs w:val="24"/>
        </w:rPr>
        <w:t xml:space="preserve">initiation of </w:t>
      </w:r>
      <w:r w:rsidR="007C41BF" w:rsidRPr="00024FD1">
        <w:rPr>
          <w:rFonts w:cs="Arial"/>
          <w:szCs w:val="24"/>
        </w:rPr>
        <w:t xml:space="preserve">angiogenesis </w:t>
      </w:r>
      <w:r w:rsidR="00787AAA" w:rsidRPr="00024FD1">
        <w:rPr>
          <w:rFonts w:cs="Arial"/>
          <w:szCs w:val="24"/>
        </w:rPr>
        <w:t>and</w:t>
      </w:r>
      <w:r w:rsidR="00425D89" w:rsidRPr="00024FD1">
        <w:rPr>
          <w:rFonts w:cs="Arial"/>
          <w:szCs w:val="24"/>
        </w:rPr>
        <w:t>,</w:t>
      </w:r>
      <w:r w:rsidR="00787AAA" w:rsidRPr="00024FD1">
        <w:rPr>
          <w:rFonts w:cs="Arial"/>
          <w:szCs w:val="24"/>
        </w:rPr>
        <w:t xml:space="preserve"> (iii) facilitation of tissue integration</w:t>
      </w:r>
      <w:r w:rsidR="00E66A85" w:rsidRPr="00024FD1">
        <w:rPr>
          <w:rFonts w:cs="Arial"/>
          <w:szCs w:val="24"/>
        </w:rPr>
        <w:t xml:space="preserve"> </w:t>
      </w:r>
      <w:r w:rsidR="002325A6">
        <w:rPr>
          <w:rFonts w:cs="Arial"/>
          <w:szCs w:val="24"/>
        </w:rPr>
        <w:t xml:space="preserve">and thus </w:t>
      </w:r>
      <w:r w:rsidR="00393B60">
        <w:rPr>
          <w:rFonts w:cs="Arial"/>
          <w:szCs w:val="24"/>
        </w:rPr>
        <w:t xml:space="preserve">providing an innovative </w:t>
      </w:r>
      <w:r w:rsidR="00E66A85" w:rsidRPr="00024FD1">
        <w:rPr>
          <w:rFonts w:cs="Arial"/>
          <w:szCs w:val="24"/>
        </w:rPr>
        <w:t xml:space="preserve">excellent </w:t>
      </w:r>
      <w:r w:rsidR="00393B60">
        <w:rPr>
          <w:rFonts w:cs="Arial"/>
          <w:szCs w:val="24"/>
        </w:rPr>
        <w:t xml:space="preserve">polymer scaffold </w:t>
      </w:r>
      <w:r w:rsidR="00E66A85" w:rsidRPr="00024FD1">
        <w:rPr>
          <w:rFonts w:cs="Arial"/>
          <w:szCs w:val="24"/>
        </w:rPr>
        <w:t>candidate for further e</w:t>
      </w:r>
      <w:r w:rsidR="00393B60">
        <w:rPr>
          <w:rFonts w:cs="Arial"/>
          <w:szCs w:val="24"/>
        </w:rPr>
        <w:t xml:space="preserve">valuation for </w:t>
      </w:r>
      <w:r w:rsidR="002325A6">
        <w:rPr>
          <w:rFonts w:cs="Arial"/>
          <w:szCs w:val="24"/>
        </w:rPr>
        <w:t>bone repair application</w:t>
      </w:r>
      <w:r w:rsidR="008C76EB" w:rsidRPr="00024FD1">
        <w:rPr>
          <w:rFonts w:cs="Arial"/>
          <w:szCs w:val="24"/>
        </w:rPr>
        <w:t xml:space="preserve"> </w:t>
      </w:r>
      <w:r w:rsidR="00E66A85" w:rsidRPr="00024FD1">
        <w:rPr>
          <w:rFonts w:cs="Arial"/>
          <w:szCs w:val="24"/>
        </w:rPr>
        <w:fldChar w:fldCharType="begin" w:fldLock="1"/>
      </w:r>
      <w:r w:rsidR="0033591E">
        <w:rPr>
          <w:rFonts w:cs="Arial"/>
          <w:szCs w:val="24"/>
        </w:rPr>
        <w:instrText xml:space="preserve"> ADDIN ZOTERO_ITEM CSL_CITATION {"citationID":"Wa2rR0yr","properties":{"formattedCitation":"\\super 70,71\\nosupersub{}","plainCitation":"70,71","noteIndex":0},"citationItems":[{"id":"1dryys0K/B9ZIygOk","uris":["http://www.mendeley.com/documents/?uuid=96ed0ee7-8db6-42fd-87e2-8b88cb3220be"],"itemData":{"DOI":"10.1002/1097-4644(20001215)79:4&lt;672::AID-JCB150&gt;3.0.CO;2-2","ISSN":"07302312","abstract":"Angiogenesis is a tightly regulated process involved in growth, repair, and bone remodeling. Several studies have shown that there is a reciprocal regulation and functional relationship between endothelial cells and osteoblast-like cells during osteogenesis, where systemic hormones and paracrine growth factors play an active role. Angiogenesis is induced by a variety of growth factors; among them vascular endothelial growth factor (VEGF) may be an important mediator for the angiogenic process involved in bone physiology. We studied the VEGF effect on osteoblast progenitor cells (Human Bone Marrow Stromal Cells: HBMSE) cultured alone or associated with endothelial cells (Human Umbilical Vein Endothelial Cells: HUVEC) in different co-culture models (co-culture with or without direct contact, conditioned medium), to determine the influence of VEGF on these cells and on their relationship. In agreement with other studies, we show that HBMSC express and synthesize VEGF, HUVEC conditioned medium has a proliferative effect on them, and early osteoblastic marker (Alkaline phosphatase activity) levels increase when these cells are co-cultured with HUVEC only in direct contact. However, unlike previous studies, we did not find that VEGF increased these processes. These results suggest that the intercommunication between endothelial cells and osteoblastic-like cells requires not only diffusible factors, but also involving cell membrane proteins.","author":[{"dropping-particle":"","family":"Villars","given":"F.","non-dropping-particle":"","parse-names":false,"suffix":""},{"dropping-particle":"","family":"Bordenave","given":"L.","non-dropping-particle":"","parse-names":false,"suffix":""},{"dropping-particle":"","family":"Bareille","given":"R.","non-dropping-particle":"","parse-names":false,"suffix":""},{"dropping-particle":"","family":"Amde","given":"J.","non-dropping-particle":"","parse-names":false,"suffix":""}],"container-title":"Journal of Cellular Biochemistry","id":"ITEM-1","issue":"4","issued":{"date-parts":[["2000"]]},"page":"672-685","title":"Effect of human endothelial cells on human bone marrow stromal cell phenotype: Role of VEGF?","type":"article-journal","volume":"79"}},{"id":"1dryys0K/UmeUuXAu","uris":["http://www.mendeley.com/documents/?uuid=fda15b2b-6f54-4668-839c-52a8ea38193c","http://www.mendeley.com/documents/?uuid=ea1a8df7-baa6-48c4-874f-696948aa5bad"],"itemData":{"DOI":"10.1016/j.atherosclerosis.2008.08.020","ISSN":"1879-1484","PMID":"18834982","abstract":"In previous studies we have demonstrated that the active form of vitamin D (1,25(OH)(2)D(3)) increases vascular endothelial growth factor (VEGF) expression and release in vascular smooth muscle cells (VSMC) in vitro. However, the mechanism by which 1,25(OH)(2)D(3) increases VEGF production is currently unknown. In this work, we demonstrated binding of vitamin D receptor to two response elements in the VEGF promoter. We performed promoter transactivation analysis and we observed that, in 293T cells, VEGF promoter was activated after vitamin D treatment. Using site-directed mutagenesis we have shown that both response elements are important for VEGF promoter activity. Therefore, the increase in VEGF expression and secretion induced by 1,25(OH)(2)D(3) in VSMC in vitro could be explained by direct binding of the vitamin D receptor, as a transcription factor, to VEGF promoter. These results could explain part of the beneficial effects of vitamin D treatment in renal patients by a possible VEGF-mediated improvement of the endothelial dysfunction.","author":[{"dropping-particle":"","family":"Cardus","given":"Anna","non-dropping-particle":"","parse-names":false,"suffix":""},{"dropping-particle":"","family":"Panizo","given":"Sara","non-dropping-particle":"","parse-names":false,"suffix":""},{"dropping-particle":"","family":"Encinas","given":"Mario","non-dropping-particle":"","parse-names":false,"suffix":""},{"dropping-particle":"","family":"Dolcet","given":"Xavier","non-dropping-particle":"","parse-names":false,"suffix":""},{"dropping-particle":"","family":"Gallego","given":"Carme","non-dropping-particle":"","parse-names":false,"suffix":""},{"dropping-particle":"","family":"Aldea","given":"Martí","non-dropping-particle":"","parse-names":false,"suffix":""},{"dropping-particle":"","family":"Fernandez","given":"Elvira","non-dropping-particle":"","parse-names":false,"suffix":""},{"dropping-particle":"","family":"Valdivielso","given":"Jose M","non-dropping-particle":"","parse-names":false,"suffix":""}],"container-title":"Atherosclerosis","id":"ITEM-2","issue":"1","issued":{"date-parts":[["2009","5"]]},"page":"85-9","publisher":"Elsevier","title":"1,25-dihydroxyvitamin D3 regulates VEGF production through a vitamin D response element in the VEGF promoter.","type":"article-journal","volume":"204"}}],"schema":"https://github.com/citation-style-language/schema/raw/master/csl-citation.json"} </w:instrText>
      </w:r>
      <w:r w:rsidR="00E66A85" w:rsidRPr="00024FD1">
        <w:rPr>
          <w:rFonts w:cs="Arial"/>
          <w:szCs w:val="24"/>
        </w:rPr>
        <w:fldChar w:fldCharType="separate"/>
      </w:r>
      <w:r w:rsidR="0033591E" w:rsidRPr="0033591E">
        <w:rPr>
          <w:rFonts w:cs="Times"/>
          <w:szCs w:val="24"/>
          <w:vertAlign w:val="superscript"/>
        </w:rPr>
        <w:t>70,71</w:t>
      </w:r>
      <w:r w:rsidR="00E66A85" w:rsidRPr="00024FD1">
        <w:rPr>
          <w:rFonts w:cs="Arial"/>
          <w:szCs w:val="24"/>
        </w:rPr>
        <w:fldChar w:fldCharType="end"/>
      </w:r>
      <w:r w:rsidR="008C76EB" w:rsidRPr="00024FD1">
        <w:rPr>
          <w:rFonts w:cs="Arial"/>
          <w:szCs w:val="24"/>
        </w:rPr>
        <w:t>.</w:t>
      </w:r>
    </w:p>
    <w:p w14:paraId="4A87718A" w14:textId="4F9B7D27" w:rsidR="00DA20F3" w:rsidRPr="00024FD1" w:rsidRDefault="00DA20F3" w:rsidP="00560967">
      <w:pPr>
        <w:pStyle w:val="BCAuthorAddress"/>
        <w:jc w:val="both"/>
        <w:rPr>
          <w:b/>
          <w:bCs/>
          <w:lang w:val="en-GB"/>
        </w:rPr>
      </w:pPr>
      <w:r w:rsidRPr="00024FD1">
        <w:rPr>
          <w:b/>
          <w:bCs/>
          <w:lang w:val="en-GB"/>
        </w:rPr>
        <w:t>C</w:t>
      </w:r>
      <w:r w:rsidR="00560967" w:rsidRPr="00024FD1">
        <w:rPr>
          <w:b/>
          <w:bCs/>
          <w:lang w:val="en-GB"/>
        </w:rPr>
        <w:t>ONCLUSION</w:t>
      </w:r>
    </w:p>
    <w:p w14:paraId="10AB232B" w14:textId="725C279D" w:rsidR="007D7A69" w:rsidRDefault="00361D5D" w:rsidP="0060308B">
      <w:pPr>
        <w:pStyle w:val="BCAuthorAddress"/>
        <w:jc w:val="both"/>
        <w:rPr>
          <w:rFonts w:cs="Arial"/>
          <w:szCs w:val="24"/>
          <w:lang w:val="en-GB"/>
        </w:rPr>
      </w:pPr>
      <w:r>
        <w:rPr>
          <w:rFonts w:cs="Arial"/>
          <w:szCs w:val="24"/>
          <w:lang w:val="en-GB"/>
        </w:rPr>
        <w:t xml:space="preserve">The previously developed method of high throughput screening was investigated with </w:t>
      </w:r>
      <w:r w:rsidR="00393B60">
        <w:rPr>
          <w:rFonts w:cs="Arial"/>
          <w:szCs w:val="24"/>
          <w:lang w:val="en-GB"/>
        </w:rPr>
        <w:t xml:space="preserve">the </w:t>
      </w:r>
      <w:r>
        <w:rPr>
          <w:rFonts w:cs="Arial"/>
          <w:szCs w:val="24"/>
          <w:lang w:val="en-GB"/>
        </w:rPr>
        <w:t xml:space="preserve">use of a more targeted cell line with </w:t>
      </w:r>
      <w:r w:rsidR="00303719">
        <w:rPr>
          <w:rFonts w:cs="Arial"/>
          <w:szCs w:val="24"/>
          <w:lang w:val="en-GB"/>
        </w:rPr>
        <w:t>tissue regeneration</w:t>
      </w:r>
      <w:r w:rsidR="00393B60">
        <w:rPr>
          <w:rFonts w:cs="Arial"/>
          <w:szCs w:val="24"/>
          <w:lang w:val="en-GB"/>
        </w:rPr>
        <w:t xml:space="preserve"> as the endpoint</w:t>
      </w:r>
      <w:r w:rsidR="00303719">
        <w:rPr>
          <w:rFonts w:cs="Arial"/>
          <w:szCs w:val="24"/>
          <w:lang w:val="en-GB"/>
        </w:rPr>
        <w:t>.</w:t>
      </w:r>
      <w:r w:rsidR="00393B60">
        <w:rPr>
          <w:rFonts w:cs="Arial"/>
          <w:szCs w:val="24"/>
          <w:lang w:val="en-GB"/>
        </w:rPr>
        <w:t xml:space="preserve"> In the current studies, a </w:t>
      </w:r>
      <w:r w:rsidR="00303719">
        <w:rPr>
          <w:rFonts w:cs="Arial"/>
          <w:szCs w:val="24"/>
          <w:lang w:val="en-GB"/>
        </w:rPr>
        <w:t xml:space="preserve"> </w:t>
      </w:r>
      <w:r w:rsidR="00F422B5" w:rsidRPr="00024FD1">
        <w:rPr>
          <w:rFonts w:cs="Arial"/>
          <w:szCs w:val="24"/>
          <w:lang w:val="en-GB"/>
        </w:rPr>
        <w:t xml:space="preserve">new class of </w:t>
      </w:r>
      <w:r w:rsidR="00303719">
        <w:rPr>
          <w:rFonts w:cs="Arial"/>
          <w:szCs w:val="24"/>
          <w:lang w:val="en-GB"/>
        </w:rPr>
        <w:t>tissue-compatible and pro-</w:t>
      </w:r>
      <w:r w:rsidR="00F422B5" w:rsidRPr="00024FD1">
        <w:rPr>
          <w:rFonts w:cs="Arial"/>
          <w:szCs w:val="24"/>
          <w:lang w:val="en-GB"/>
        </w:rPr>
        <w:t xml:space="preserve">angiogenic materials have been identified </w:t>
      </w:r>
      <w:r w:rsidR="002325A6">
        <w:rPr>
          <w:rFonts w:cs="Arial"/>
          <w:szCs w:val="24"/>
          <w:lang w:val="en-GB"/>
        </w:rPr>
        <w:t>building on a previously developed</w:t>
      </w:r>
      <w:r w:rsidR="00F422B5" w:rsidRPr="00024FD1">
        <w:rPr>
          <w:rFonts w:cs="Arial"/>
          <w:szCs w:val="24"/>
          <w:lang w:val="en-GB"/>
        </w:rPr>
        <w:t xml:space="preserve"> </w:t>
      </w:r>
      <w:r w:rsidR="005F4AA0" w:rsidRPr="00024FD1">
        <w:rPr>
          <w:rFonts w:cs="Arial"/>
          <w:szCs w:val="24"/>
          <w:lang w:val="en-GB"/>
        </w:rPr>
        <w:t xml:space="preserve">3D </w:t>
      </w:r>
      <w:r w:rsidR="00F422B5" w:rsidRPr="00024FD1">
        <w:rPr>
          <w:rFonts w:cs="Arial"/>
          <w:szCs w:val="24"/>
          <w:lang w:val="en-GB"/>
        </w:rPr>
        <w:t>polymer array screen</w:t>
      </w:r>
      <w:r w:rsidR="00E66A85" w:rsidRPr="00024FD1">
        <w:rPr>
          <w:rFonts w:cs="Arial"/>
          <w:szCs w:val="24"/>
          <w:lang w:val="en-GB"/>
        </w:rPr>
        <w:t>ing</w:t>
      </w:r>
      <w:r w:rsidR="002325A6">
        <w:rPr>
          <w:rFonts w:cs="Arial"/>
          <w:szCs w:val="24"/>
          <w:lang w:val="en-GB"/>
        </w:rPr>
        <w:t xml:space="preserve"> platform</w:t>
      </w:r>
      <w:r w:rsidR="005F4AA0" w:rsidRPr="00024FD1">
        <w:rPr>
          <w:rFonts w:cs="Arial"/>
          <w:szCs w:val="24"/>
          <w:lang w:val="en-GB"/>
        </w:rPr>
        <w:t>.</w:t>
      </w:r>
      <w:r w:rsidR="006E49D7" w:rsidRPr="00024FD1">
        <w:rPr>
          <w:rFonts w:cs="Arial"/>
          <w:szCs w:val="24"/>
          <w:lang w:val="en-GB"/>
        </w:rPr>
        <w:t xml:space="preserve"> </w:t>
      </w:r>
      <w:r w:rsidR="00FD788C" w:rsidRPr="00024FD1">
        <w:rPr>
          <w:rFonts w:cs="Arial"/>
          <w:szCs w:val="24"/>
          <w:lang w:val="en-GB"/>
        </w:rPr>
        <w:t xml:space="preserve">The </w:t>
      </w:r>
      <w:r w:rsidR="00F12211" w:rsidRPr="00024FD1">
        <w:rPr>
          <w:rFonts w:cs="Arial"/>
          <w:szCs w:val="24"/>
          <w:lang w:val="en-GB"/>
        </w:rPr>
        <w:t xml:space="preserve">highly porous </w:t>
      </w:r>
      <w:r w:rsidR="00FD788C" w:rsidRPr="00024FD1">
        <w:rPr>
          <w:rFonts w:cs="Arial"/>
          <w:szCs w:val="24"/>
          <w:lang w:val="en-GB"/>
        </w:rPr>
        <w:t>synthetic</w:t>
      </w:r>
      <w:r w:rsidR="006E49D7" w:rsidRPr="00024FD1">
        <w:rPr>
          <w:rFonts w:cs="Arial"/>
          <w:szCs w:val="24"/>
          <w:lang w:val="en-GB"/>
        </w:rPr>
        <w:t xml:space="preserve"> materials support and promot</w:t>
      </w:r>
      <w:r w:rsidR="00303719">
        <w:rPr>
          <w:rFonts w:cs="Arial"/>
          <w:szCs w:val="24"/>
          <w:lang w:val="en-GB"/>
        </w:rPr>
        <w:t>e</w:t>
      </w:r>
      <w:r w:rsidR="006E49D7" w:rsidRPr="00024FD1">
        <w:rPr>
          <w:rFonts w:cs="Arial"/>
          <w:szCs w:val="24"/>
          <w:lang w:val="en-GB"/>
        </w:rPr>
        <w:t xml:space="preserve"> </w:t>
      </w:r>
      <w:r w:rsidR="004A2E0D" w:rsidRPr="00024FD1">
        <w:rPr>
          <w:rFonts w:cs="Arial"/>
          <w:szCs w:val="24"/>
          <w:lang w:val="en-GB"/>
        </w:rPr>
        <w:t>vasculari</w:t>
      </w:r>
      <w:r w:rsidR="00393B60">
        <w:rPr>
          <w:rFonts w:cs="Arial"/>
          <w:szCs w:val="24"/>
          <w:lang w:val="en-GB"/>
        </w:rPr>
        <w:t>s</w:t>
      </w:r>
      <w:r w:rsidR="004A2E0D" w:rsidRPr="00024FD1">
        <w:rPr>
          <w:rFonts w:cs="Arial"/>
          <w:szCs w:val="24"/>
          <w:lang w:val="en-GB"/>
        </w:rPr>
        <w:t>ation</w:t>
      </w:r>
      <w:r w:rsidR="004F3F32" w:rsidRPr="00024FD1">
        <w:rPr>
          <w:rFonts w:cs="Arial"/>
          <w:szCs w:val="24"/>
          <w:lang w:val="en-GB"/>
        </w:rPr>
        <w:t xml:space="preserve"> upon implantation, a</w:t>
      </w:r>
      <w:r w:rsidR="002325A6">
        <w:rPr>
          <w:rFonts w:cs="Arial"/>
          <w:szCs w:val="24"/>
          <w:lang w:val="en-GB"/>
        </w:rPr>
        <w:t>n important</w:t>
      </w:r>
      <w:r w:rsidR="004F3F32" w:rsidRPr="00024FD1">
        <w:rPr>
          <w:rFonts w:cs="Arial"/>
          <w:szCs w:val="24"/>
          <w:lang w:val="en-GB"/>
        </w:rPr>
        <w:t xml:space="preserve"> </w:t>
      </w:r>
      <w:r w:rsidR="00393B60">
        <w:rPr>
          <w:rFonts w:cs="Arial"/>
          <w:szCs w:val="24"/>
          <w:lang w:val="en-GB"/>
        </w:rPr>
        <w:t xml:space="preserve">requirement </w:t>
      </w:r>
      <w:r w:rsidR="004F3F32" w:rsidRPr="00024FD1">
        <w:rPr>
          <w:rFonts w:cs="Arial"/>
          <w:szCs w:val="24"/>
          <w:lang w:val="en-GB"/>
        </w:rPr>
        <w:t xml:space="preserve">for </w:t>
      </w:r>
      <w:r w:rsidR="004A2E0D" w:rsidRPr="00024FD1">
        <w:rPr>
          <w:rFonts w:cs="Arial"/>
          <w:szCs w:val="24"/>
          <w:lang w:val="en-GB"/>
        </w:rPr>
        <w:t>tissue regeneration</w:t>
      </w:r>
      <w:r w:rsidR="006E49D7" w:rsidRPr="00024FD1">
        <w:rPr>
          <w:rFonts w:cs="Arial"/>
          <w:szCs w:val="24"/>
          <w:lang w:val="en-GB"/>
        </w:rPr>
        <w:t xml:space="preserve"> with widespread potential for applications in hard and soft </w:t>
      </w:r>
      <w:r w:rsidR="00E9108C" w:rsidRPr="00024FD1">
        <w:rPr>
          <w:rFonts w:cs="Arial"/>
          <w:szCs w:val="24"/>
          <w:lang w:val="en-GB"/>
        </w:rPr>
        <w:t xml:space="preserve">skeletal </w:t>
      </w:r>
      <w:r w:rsidR="006E49D7" w:rsidRPr="00024FD1">
        <w:rPr>
          <w:rFonts w:cs="Arial"/>
          <w:szCs w:val="24"/>
          <w:lang w:val="en-GB"/>
        </w:rPr>
        <w:t>tissue reparation.</w:t>
      </w:r>
      <w:r w:rsidR="00E9108C" w:rsidRPr="00024FD1">
        <w:rPr>
          <w:rFonts w:cs="Arial"/>
          <w:szCs w:val="24"/>
          <w:lang w:val="en-GB"/>
        </w:rPr>
        <w:t xml:space="preserve"> </w:t>
      </w:r>
      <w:bookmarkStart w:id="22" w:name="_Hlk118374888"/>
      <w:r w:rsidR="00303719">
        <w:rPr>
          <w:rFonts w:cs="Arial"/>
          <w:szCs w:val="24"/>
          <w:lang w:val="en-GB"/>
        </w:rPr>
        <w:t>Future</w:t>
      </w:r>
      <w:r w:rsidR="00303719" w:rsidRPr="00024FD1">
        <w:rPr>
          <w:rFonts w:cs="Arial"/>
          <w:szCs w:val="24"/>
          <w:lang w:val="en-GB"/>
        </w:rPr>
        <w:t xml:space="preserve"> </w:t>
      </w:r>
      <w:r w:rsidR="00F422B5" w:rsidRPr="00024FD1">
        <w:rPr>
          <w:rFonts w:cs="Arial"/>
          <w:szCs w:val="24"/>
          <w:lang w:val="en-GB"/>
        </w:rPr>
        <w:t xml:space="preserve">studies </w:t>
      </w:r>
      <w:r w:rsidR="002325A6">
        <w:rPr>
          <w:rFonts w:cs="Arial"/>
          <w:szCs w:val="24"/>
          <w:lang w:val="en-GB"/>
        </w:rPr>
        <w:t>to confirm</w:t>
      </w:r>
      <w:r w:rsidR="00303719">
        <w:rPr>
          <w:rFonts w:cs="Arial"/>
          <w:szCs w:val="24"/>
          <w:lang w:val="en-GB"/>
        </w:rPr>
        <w:t xml:space="preserve"> vasculature formation</w:t>
      </w:r>
      <w:r w:rsidR="002325A6">
        <w:rPr>
          <w:rFonts w:cs="Arial"/>
          <w:szCs w:val="24"/>
          <w:lang w:val="en-GB"/>
        </w:rPr>
        <w:t xml:space="preserve"> through </w:t>
      </w:r>
      <w:r w:rsidR="00303719">
        <w:rPr>
          <w:rFonts w:cs="Arial"/>
          <w:szCs w:val="24"/>
          <w:lang w:val="en-GB"/>
        </w:rPr>
        <w:t xml:space="preserve">long-term </w:t>
      </w:r>
      <w:r w:rsidR="00303719">
        <w:rPr>
          <w:rFonts w:cs="Arial"/>
          <w:i/>
          <w:iCs/>
          <w:szCs w:val="24"/>
          <w:lang w:val="en-GB"/>
        </w:rPr>
        <w:t>in vivo</w:t>
      </w:r>
      <w:r w:rsidR="00303719">
        <w:rPr>
          <w:rFonts w:cs="Arial"/>
          <w:szCs w:val="24"/>
          <w:lang w:val="en-GB"/>
        </w:rPr>
        <w:t xml:space="preserve"> </w:t>
      </w:r>
      <w:r w:rsidR="00E112C9">
        <w:rPr>
          <w:rFonts w:cs="Arial"/>
          <w:szCs w:val="24"/>
          <w:lang w:val="en-GB"/>
        </w:rPr>
        <w:t>analysis, elucidation</w:t>
      </w:r>
      <w:r w:rsidR="00F422B5" w:rsidRPr="00024FD1">
        <w:rPr>
          <w:rFonts w:cs="Arial"/>
          <w:szCs w:val="24"/>
          <w:lang w:val="en-GB"/>
        </w:rPr>
        <w:t xml:space="preserve"> of the </w:t>
      </w:r>
      <w:r w:rsidR="00E9108C" w:rsidRPr="00024FD1">
        <w:rPr>
          <w:rFonts w:cs="Arial"/>
          <w:szCs w:val="24"/>
          <w:lang w:val="en-GB"/>
        </w:rPr>
        <w:t xml:space="preserve">underlying mechanisms </w:t>
      </w:r>
      <w:r w:rsidR="00F422B5" w:rsidRPr="00024FD1">
        <w:rPr>
          <w:rFonts w:cs="Arial"/>
          <w:szCs w:val="24"/>
          <w:lang w:val="en-GB"/>
        </w:rPr>
        <w:t xml:space="preserve">facilitating </w:t>
      </w:r>
      <w:r w:rsidR="00E9108C" w:rsidRPr="00024FD1">
        <w:rPr>
          <w:rFonts w:cs="Arial"/>
          <w:szCs w:val="24"/>
          <w:lang w:val="en-GB"/>
        </w:rPr>
        <w:t>vasculature</w:t>
      </w:r>
      <w:r w:rsidR="00F422B5" w:rsidRPr="00024FD1">
        <w:rPr>
          <w:rFonts w:cs="Arial"/>
          <w:szCs w:val="24"/>
          <w:lang w:val="en-GB"/>
        </w:rPr>
        <w:t xml:space="preserve"> induction </w:t>
      </w:r>
      <w:r w:rsidR="00E112C9">
        <w:rPr>
          <w:rFonts w:cs="Arial"/>
          <w:szCs w:val="24"/>
          <w:lang w:val="en-GB"/>
        </w:rPr>
        <w:t xml:space="preserve">and investigation of the immune response to the foreign body </w:t>
      </w:r>
      <w:r w:rsidR="00F422B5" w:rsidRPr="00024FD1">
        <w:rPr>
          <w:rFonts w:cs="Arial"/>
          <w:szCs w:val="24"/>
          <w:lang w:val="en-GB"/>
        </w:rPr>
        <w:t xml:space="preserve">will inform a new generation of </w:t>
      </w:r>
      <w:r w:rsidR="00E9108C" w:rsidRPr="00024FD1">
        <w:rPr>
          <w:rFonts w:cs="Arial"/>
          <w:szCs w:val="24"/>
          <w:lang w:val="en-GB"/>
        </w:rPr>
        <w:t>polymer</w:t>
      </w:r>
      <w:r w:rsidR="00F422B5" w:rsidRPr="00024FD1">
        <w:rPr>
          <w:rFonts w:cs="Arial"/>
          <w:szCs w:val="24"/>
          <w:lang w:val="en-GB"/>
        </w:rPr>
        <w:t>s</w:t>
      </w:r>
      <w:r w:rsidR="00E9108C" w:rsidRPr="00024FD1">
        <w:rPr>
          <w:rFonts w:cs="Arial"/>
          <w:szCs w:val="24"/>
          <w:lang w:val="en-GB"/>
        </w:rPr>
        <w:t xml:space="preserve"> for growth factor-free angiogenesis</w:t>
      </w:r>
      <w:r w:rsidR="00F422B5" w:rsidRPr="00024FD1">
        <w:rPr>
          <w:rFonts w:cs="Arial"/>
          <w:szCs w:val="24"/>
          <w:lang w:val="en-GB"/>
        </w:rPr>
        <w:t xml:space="preserve"> with significant implications therein for regenerative medicine</w:t>
      </w:r>
      <w:r w:rsidR="00E9108C" w:rsidRPr="00024FD1">
        <w:rPr>
          <w:rFonts w:cs="Arial"/>
          <w:szCs w:val="24"/>
          <w:lang w:val="en-GB"/>
        </w:rPr>
        <w:t>.</w:t>
      </w:r>
      <w:bookmarkEnd w:id="22"/>
    </w:p>
    <w:p w14:paraId="1404BBC6" w14:textId="14A4669C" w:rsidR="00393B60" w:rsidRDefault="00393B60" w:rsidP="00393B60">
      <w:pPr>
        <w:rPr>
          <w:lang w:eastAsia="en-US"/>
        </w:rPr>
      </w:pPr>
    </w:p>
    <w:p w14:paraId="020133AF" w14:textId="03287F38" w:rsidR="00393B60" w:rsidRDefault="00393B60" w:rsidP="00393B60">
      <w:pPr>
        <w:rPr>
          <w:lang w:eastAsia="en-US"/>
        </w:rPr>
      </w:pPr>
    </w:p>
    <w:p w14:paraId="43A53521" w14:textId="33F3FCCA" w:rsidR="00393B60" w:rsidRDefault="00393B60" w:rsidP="00393B60">
      <w:pPr>
        <w:rPr>
          <w:lang w:eastAsia="en-US"/>
        </w:rPr>
      </w:pPr>
    </w:p>
    <w:p w14:paraId="3235A05C" w14:textId="4E55AE21" w:rsidR="00393B60" w:rsidRDefault="00393B60" w:rsidP="00393B60">
      <w:pPr>
        <w:rPr>
          <w:lang w:eastAsia="en-US"/>
        </w:rPr>
      </w:pPr>
    </w:p>
    <w:p w14:paraId="4806177B" w14:textId="77777777" w:rsidR="00393B60" w:rsidRPr="00393B60" w:rsidRDefault="00393B60" w:rsidP="00393B60">
      <w:pPr>
        <w:rPr>
          <w:lang w:eastAsia="en-US"/>
        </w:rPr>
      </w:pPr>
    </w:p>
    <w:p w14:paraId="0A9293DC" w14:textId="0B64FFF6" w:rsidR="00D565A0" w:rsidRPr="00B86087" w:rsidRDefault="00CB5506" w:rsidP="00D565A0">
      <w:pPr>
        <w:pStyle w:val="BCAuthorAddress"/>
        <w:jc w:val="both"/>
        <w:rPr>
          <w:rFonts w:cs="Times"/>
          <w:b/>
          <w:bCs/>
          <w:lang w:val="en-GB"/>
        </w:rPr>
      </w:pPr>
      <w:r>
        <w:rPr>
          <w:rFonts w:cs="Times"/>
          <w:b/>
          <w:bCs/>
          <w:lang w:val="en-GB"/>
        </w:rPr>
        <w:lastRenderedPageBreak/>
        <w:t xml:space="preserve">MATERIALS AND </w:t>
      </w:r>
      <w:r w:rsidR="00D565A0" w:rsidRPr="00B86087">
        <w:rPr>
          <w:rFonts w:cs="Times"/>
          <w:b/>
          <w:bCs/>
          <w:lang w:val="en-GB"/>
        </w:rPr>
        <w:t>METHODS</w:t>
      </w:r>
    </w:p>
    <w:p w14:paraId="5D720D33" w14:textId="74DBA735" w:rsidR="00D565A0" w:rsidRPr="00024FD1" w:rsidRDefault="00540D10" w:rsidP="008146F6">
      <w:pPr>
        <w:pStyle w:val="Caption"/>
        <w:rPr>
          <w:b/>
          <w:bCs/>
          <w:lang w:eastAsia="en-US"/>
        </w:rPr>
      </w:pPr>
      <w:bookmarkStart w:id="23" w:name="_Ref118201702"/>
      <w:r w:rsidRPr="008146F6">
        <w:rPr>
          <w:sz w:val="24"/>
          <w:szCs w:val="24"/>
        </w:rPr>
        <w:t xml:space="preserve">Table </w:t>
      </w:r>
      <w:r w:rsidRPr="008146F6">
        <w:rPr>
          <w:sz w:val="24"/>
          <w:szCs w:val="24"/>
        </w:rPr>
        <w:fldChar w:fldCharType="begin"/>
      </w:r>
      <w:r w:rsidRPr="008146F6">
        <w:rPr>
          <w:sz w:val="24"/>
          <w:szCs w:val="24"/>
        </w:rPr>
        <w:instrText xml:space="preserve"> SEQ Table \* ARABIC </w:instrText>
      </w:r>
      <w:r w:rsidRPr="008146F6">
        <w:rPr>
          <w:sz w:val="24"/>
          <w:szCs w:val="24"/>
        </w:rPr>
        <w:fldChar w:fldCharType="separate"/>
      </w:r>
      <w:r w:rsidRPr="008146F6">
        <w:rPr>
          <w:noProof/>
          <w:sz w:val="24"/>
          <w:szCs w:val="24"/>
        </w:rPr>
        <w:t>2</w:t>
      </w:r>
      <w:r w:rsidRPr="008146F6">
        <w:rPr>
          <w:sz w:val="24"/>
          <w:szCs w:val="24"/>
        </w:rPr>
        <w:fldChar w:fldCharType="end"/>
      </w:r>
      <w:bookmarkEnd w:id="23"/>
      <w:r w:rsidRPr="008146F6">
        <w:rPr>
          <w:sz w:val="24"/>
          <w:szCs w:val="24"/>
        </w:rPr>
        <w:t xml:space="preserve">. </w:t>
      </w:r>
      <w:r w:rsidR="00D565A0" w:rsidRPr="008146F6">
        <w:rPr>
          <w:b/>
          <w:bCs/>
          <w:sz w:val="24"/>
          <w:szCs w:val="24"/>
          <w:lang w:eastAsia="en-US"/>
        </w:rPr>
        <w:t>Key source table</w:t>
      </w:r>
      <w:r w:rsidR="00D565A0" w:rsidRPr="00024FD1">
        <w:rPr>
          <w:b/>
          <w:bCs/>
          <w:lang w:eastAsia="en-US"/>
        </w:rPr>
        <w:t xml:space="preserve"> </w:t>
      </w:r>
    </w:p>
    <w:tbl>
      <w:tblPr>
        <w:tblStyle w:val="TableGrid"/>
        <w:tblW w:w="9995" w:type="dxa"/>
        <w:tblLook w:val="04A0" w:firstRow="1" w:lastRow="0" w:firstColumn="1" w:lastColumn="0" w:noHBand="0" w:noVBand="1"/>
      </w:tblPr>
      <w:tblGrid>
        <w:gridCol w:w="4309"/>
        <w:gridCol w:w="1830"/>
        <w:gridCol w:w="3856"/>
      </w:tblGrid>
      <w:tr w:rsidR="00147508" w:rsidRPr="00024FD1" w14:paraId="75F57C74" w14:textId="77777777" w:rsidTr="00077010">
        <w:tc>
          <w:tcPr>
            <w:tcW w:w="4309" w:type="dxa"/>
          </w:tcPr>
          <w:p w14:paraId="57741CD0" w14:textId="1E84536D" w:rsidR="00F82764" w:rsidRPr="00024FD1" w:rsidRDefault="00F82764" w:rsidP="00D565A0">
            <w:pPr>
              <w:rPr>
                <w:b/>
                <w:bCs/>
                <w:lang w:eastAsia="en-US"/>
              </w:rPr>
            </w:pPr>
            <w:r w:rsidRPr="00024FD1">
              <w:rPr>
                <w:b/>
                <w:bCs/>
                <w:lang w:eastAsia="en-US"/>
              </w:rPr>
              <w:t>REAGENT OR RESOURCE</w:t>
            </w:r>
          </w:p>
        </w:tc>
        <w:tc>
          <w:tcPr>
            <w:tcW w:w="1830" w:type="dxa"/>
          </w:tcPr>
          <w:p w14:paraId="1C82415D" w14:textId="6194D802" w:rsidR="00F82764" w:rsidRPr="00024FD1" w:rsidRDefault="00F82764" w:rsidP="00D565A0">
            <w:pPr>
              <w:rPr>
                <w:b/>
                <w:bCs/>
                <w:lang w:eastAsia="en-US"/>
              </w:rPr>
            </w:pPr>
            <w:r w:rsidRPr="00024FD1">
              <w:rPr>
                <w:b/>
                <w:bCs/>
                <w:lang w:eastAsia="en-US"/>
              </w:rPr>
              <w:t>SOURCE</w:t>
            </w:r>
          </w:p>
        </w:tc>
        <w:tc>
          <w:tcPr>
            <w:tcW w:w="3856" w:type="dxa"/>
          </w:tcPr>
          <w:p w14:paraId="4C12528B" w14:textId="3D1893B1" w:rsidR="00F82764" w:rsidRPr="00024FD1" w:rsidRDefault="00F82764" w:rsidP="00D565A0">
            <w:pPr>
              <w:rPr>
                <w:b/>
                <w:bCs/>
                <w:lang w:eastAsia="en-US"/>
              </w:rPr>
            </w:pPr>
            <w:r w:rsidRPr="00024FD1">
              <w:rPr>
                <w:b/>
                <w:bCs/>
                <w:lang w:eastAsia="en-US"/>
              </w:rPr>
              <w:t>IDENTIFIER</w:t>
            </w:r>
          </w:p>
        </w:tc>
      </w:tr>
      <w:tr w:rsidR="00147508" w:rsidRPr="00024FD1" w14:paraId="51BAD618" w14:textId="77777777" w:rsidTr="00077010">
        <w:tc>
          <w:tcPr>
            <w:tcW w:w="4309" w:type="dxa"/>
          </w:tcPr>
          <w:p w14:paraId="1BA90753" w14:textId="77777777" w:rsidR="005B7CD8" w:rsidRPr="00024FD1" w:rsidRDefault="005B7CD8" w:rsidP="00D565A0">
            <w:pPr>
              <w:rPr>
                <w:b/>
                <w:bCs/>
                <w:lang w:eastAsia="en-US"/>
              </w:rPr>
            </w:pPr>
            <w:r w:rsidRPr="00024FD1">
              <w:rPr>
                <w:b/>
                <w:bCs/>
                <w:lang w:eastAsia="en-US"/>
              </w:rPr>
              <w:t>Chemicals</w:t>
            </w:r>
          </w:p>
        </w:tc>
        <w:tc>
          <w:tcPr>
            <w:tcW w:w="1830" w:type="dxa"/>
          </w:tcPr>
          <w:p w14:paraId="3E8AC4A8" w14:textId="77777777" w:rsidR="005B7CD8" w:rsidRPr="00024FD1" w:rsidRDefault="005B7CD8" w:rsidP="00D565A0">
            <w:pPr>
              <w:rPr>
                <w:b/>
                <w:bCs/>
                <w:lang w:eastAsia="en-US"/>
              </w:rPr>
            </w:pPr>
          </w:p>
        </w:tc>
        <w:tc>
          <w:tcPr>
            <w:tcW w:w="3856" w:type="dxa"/>
          </w:tcPr>
          <w:p w14:paraId="5645E04D" w14:textId="1DDBFDEC" w:rsidR="005B7CD8" w:rsidRPr="00024FD1" w:rsidRDefault="005B7CD8" w:rsidP="00D565A0">
            <w:pPr>
              <w:rPr>
                <w:b/>
                <w:bCs/>
                <w:lang w:eastAsia="en-US"/>
              </w:rPr>
            </w:pPr>
          </w:p>
        </w:tc>
      </w:tr>
      <w:tr w:rsidR="00147508" w:rsidRPr="00024FD1" w14:paraId="31E4218C" w14:textId="77777777" w:rsidTr="00077010">
        <w:tc>
          <w:tcPr>
            <w:tcW w:w="4309" w:type="dxa"/>
          </w:tcPr>
          <w:p w14:paraId="07B434AF" w14:textId="433FC5D6" w:rsidR="00F82764" w:rsidRPr="00024FD1" w:rsidRDefault="00F82764" w:rsidP="00D565A0">
            <w:pPr>
              <w:rPr>
                <w:b/>
                <w:bCs/>
                <w:lang w:eastAsia="en-US"/>
              </w:rPr>
            </w:pPr>
            <w:r w:rsidRPr="00024FD1">
              <w:t>2-(</w:t>
            </w:r>
            <w:proofErr w:type="spellStart"/>
            <w:r w:rsidRPr="00024FD1">
              <w:t>Methylthio</w:t>
            </w:r>
            <w:proofErr w:type="spellEnd"/>
            <w:r w:rsidRPr="00024FD1">
              <w:t>)ethyl methacrylate (</w:t>
            </w:r>
            <w:r w:rsidRPr="008146F6">
              <w:rPr>
                <w:b/>
                <w:bCs/>
              </w:rPr>
              <w:t>MTEMA</w:t>
            </w:r>
            <w:r w:rsidRPr="00024FD1">
              <w:t>)</w:t>
            </w:r>
          </w:p>
        </w:tc>
        <w:tc>
          <w:tcPr>
            <w:tcW w:w="1830" w:type="dxa"/>
          </w:tcPr>
          <w:p w14:paraId="2755C883" w14:textId="1370D42E" w:rsidR="00F82764" w:rsidRPr="00024FD1" w:rsidRDefault="005B7CD8" w:rsidP="00D565A0">
            <w:pPr>
              <w:rPr>
                <w:lang w:eastAsia="en-US"/>
              </w:rPr>
            </w:pPr>
            <w:r w:rsidRPr="00024FD1">
              <w:rPr>
                <w:lang w:eastAsia="en-US"/>
              </w:rPr>
              <w:t>Sigma-Aldrich</w:t>
            </w:r>
          </w:p>
        </w:tc>
        <w:tc>
          <w:tcPr>
            <w:tcW w:w="3856" w:type="dxa"/>
          </w:tcPr>
          <w:p w14:paraId="20FA0024" w14:textId="6860A29B" w:rsidR="00F82764" w:rsidRPr="00024FD1" w:rsidRDefault="002C11C4" w:rsidP="00D565A0">
            <w:r w:rsidRPr="00024FD1">
              <w:t xml:space="preserve">CAS# </w:t>
            </w:r>
            <w:hyperlink r:id="rId16" w:history="1">
              <w:r w:rsidRPr="00024FD1">
                <w:t>14216-23-0</w:t>
              </w:r>
            </w:hyperlink>
            <w:r w:rsidR="005B7CD8" w:rsidRPr="00024FD1">
              <w:t xml:space="preserve">; </w:t>
            </w:r>
            <w:r w:rsidRPr="00024FD1">
              <w:t>Cat# 423335</w:t>
            </w:r>
          </w:p>
        </w:tc>
      </w:tr>
      <w:tr w:rsidR="00147508" w:rsidRPr="00024FD1" w14:paraId="659270E8" w14:textId="77777777" w:rsidTr="00077010">
        <w:tc>
          <w:tcPr>
            <w:tcW w:w="4309" w:type="dxa"/>
          </w:tcPr>
          <w:p w14:paraId="17E7C1BE" w14:textId="5A3B8ADC" w:rsidR="00F82764" w:rsidRPr="00024FD1" w:rsidRDefault="002C11C4" w:rsidP="00D565A0">
            <w:pPr>
              <w:rPr>
                <w:b/>
                <w:bCs/>
                <w:lang w:eastAsia="en-US"/>
              </w:rPr>
            </w:pPr>
            <w:r w:rsidRPr="00024FD1">
              <w:t>B</w:t>
            </w:r>
            <w:r w:rsidR="00F82764" w:rsidRPr="00024FD1">
              <w:t>utyl methacrylate (</w:t>
            </w:r>
            <w:r w:rsidR="00F82764" w:rsidRPr="008146F6">
              <w:rPr>
                <w:b/>
                <w:bCs/>
              </w:rPr>
              <w:t>BMA</w:t>
            </w:r>
            <w:r w:rsidR="00F82764" w:rsidRPr="00024FD1">
              <w:t>)</w:t>
            </w:r>
          </w:p>
        </w:tc>
        <w:tc>
          <w:tcPr>
            <w:tcW w:w="1830" w:type="dxa"/>
          </w:tcPr>
          <w:p w14:paraId="31004D3F" w14:textId="28A06502" w:rsidR="00F82764" w:rsidRPr="00024FD1" w:rsidRDefault="005B7CD8" w:rsidP="00D565A0">
            <w:pPr>
              <w:rPr>
                <w:lang w:eastAsia="en-US"/>
              </w:rPr>
            </w:pPr>
            <w:r w:rsidRPr="00024FD1">
              <w:rPr>
                <w:lang w:eastAsia="en-US"/>
              </w:rPr>
              <w:t>Sigma-Aldrich</w:t>
            </w:r>
          </w:p>
        </w:tc>
        <w:tc>
          <w:tcPr>
            <w:tcW w:w="3856" w:type="dxa"/>
          </w:tcPr>
          <w:p w14:paraId="73A03EB4" w14:textId="5E4AFABC" w:rsidR="00F82764" w:rsidRPr="00024FD1" w:rsidRDefault="002C11C4" w:rsidP="00D565A0">
            <w:r w:rsidRPr="00024FD1">
              <w:t xml:space="preserve">CAS# </w:t>
            </w:r>
            <w:hyperlink r:id="rId17" w:history="1">
              <w:r w:rsidRPr="00024FD1">
                <w:t>5888-33-5</w:t>
              </w:r>
            </w:hyperlink>
            <w:r w:rsidR="005B7CD8" w:rsidRPr="00024FD1">
              <w:t>;</w:t>
            </w:r>
            <w:r w:rsidRPr="00024FD1">
              <w:t xml:space="preserve"> Cat# </w:t>
            </w:r>
            <w:hyperlink r:id="rId18" w:history="1">
              <w:r w:rsidRPr="00024FD1">
                <w:t>235865</w:t>
              </w:r>
            </w:hyperlink>
          </w:p>
        </w:tc>
      </w:tr>
      <w:tr w:rsidR="00147508" w:rsidRPr="00024FD1" w14:paraId="6D6C0DBE" w14:textId="77777777" w:rsidTr="00077010">
        <w:tc>
          <w:tcPr>
            <w:tcW w:w="4309" w:type="dxa"/>
          </w:tcPr>
          <w:p w14:paraId="3E025550" w14:textId="0C148168" w:rsidR="00F82764" w:rsidRPr="00024FD1" w:rsidRDefault="002C11C4" w:rsidP="00D565A0">
            <w:pPr>
              <w:rPr>
                <w:b/>
                <w:bCs/>
                <w:lang w:eastAsia="en-US"/>
              </w:rPr>
            </w:pPr>
            <w:proofErr w:type="spellStart"/>
            <w:r w:rsidRPr="00024FD1">
              <w:t>I</w:t>
            </w:r>
            <w:r w:rsidR="00F82764" w:rsidRPr="00024FD1">
              <w:t>sobornyl</w:t>
            </w:r>
            <w:proofErr w:type="spellEnd"/>
            <w:r w:rsidR="00F82764" w:rsidRPr="00024FD1">
              <w:t xml:space="preserve"> acrylate (</w:t>
            </w:r>
            <w:r w:rsidR="00F82764" w:rsidRPr="008146F6">
              <w:rPr>
                <w:b/>
                <w:bCs/>
              </w:rPr>
              <w:t>IBA</w:t>
            </w:r>
            <w:r w:rsidR="00F82764" w:rsidRPr="00024FD1">
              <w:t>)</w:t>
            </w:r>
          </w:p>
        </w:tc>
        <w:tc>
          <w:tcPr>
            <w:tcW w:w="1830" w:type="dxa"/>
          </w:tcPr>
          <w:p w14:paraId="7A8FC084" w14:textId="3CD9DAB9" w:rsidR="00F82764" w:rsidRPr="00024FD1" w:rsidRDefault="005B7CD8" w:rsidP="00D565A0">
            <w:pPr>
              <w:rPr>
                <w:lang w:eastAsia="en-US"/>
              </w:rPr>
            </w:pPr>
            <w:r w:rsidRPr="00024FD1">
              <w:rPr>
                <w:lang w:eastAsia="en-US"/>
              </w:rPr>
              <w:t>Sigma-Aldrich</w:t>
            </w:r>
          </w:p>
        </w:tc>
        <w:tc>
          <w:tcPr>
            <w:tcW w:w="3856" w:type="dxa"/>
          </w:tcPr>
          <w:p w14:paraId="77D97BB7" w14:textId="7D81E3BF" w:rsidR="00F82764" w:rsidRPr="00024FD1" w:rsidRDefault="002C11C4" w:rsidP="00D565A0">
            <w:r w:rsidRPr="00024FD1">
              <w:t xml:space="preserve">CAS# </w:t>
            </w:r>
            <w:hyperlink r:id="rId19" w:history="1">
              <w:r w:rsidRPr="00024FD1">
                <w:t>97-88-1</w:t>
              </w:r>
            </w:hyperlink>
            <w:r w:rsidR="005B7CD8" w:rsidRPr="00024FD1">
              <w:t>;</w:t>
            </w:r>
            <w:r w:rsidRPr="00024FD1">
              <w:t xml:space="preserve"> Cat# </w:t>
            </w:r>
            <w:hyperlink r:id="rId20" w:history="1">
              <w:r w:rsidRPr="00024FD1">
                <w:t>392103</w:t>
              </w:r>
            </w:hyperlink>
          </w:p>
        </w:tc>
      </w:tr>
      <w:tr w:rsidR="00147508" w:rsidRPr="00024FD1" w14:paraId="4AD09107" w14:textId="77777777" w:rsidTr="00077010">
        <w:tc>
          <w:tcPr>
            <w:tcW w:w="4309" w:type="dxa"/>
          </w:tcPr>
          <w:p w14:paraId="65583260" w14:textId="04A38E00" w:rsidR="002C11C4" w:rsidRPr="00024FD1" w:rsidRDefault="002C11C4" w:rsidP="002C11C4">
            <w:pPr>
              <w:rPr>
                <w:b/>
                <w:bCs/>
                <w:lang w:eastAsia="en-US"/>
              </w:rPr>
            </w:pPr>
            <w:r w:rsidRPr="00024FD1">
              <w:t xml:space="preserve">Ethylene glycol </w:t>
            </w:r>
            <w:proofErr w:type="spellStart"/>
            <w:r w:rsidRPr="00024FD1">
              <w:t>dicyclopentenyl</w:t>
            </w:r>
            <w:proofErr w:type="spellEnd"/>
            <w:r w:rsidRPr="00024FD1">
              <w:t xml:space="preserve"> ether acrylate (</w:t>
            </w:r>
            <w:r w:rsidRPr="008146F6">
              <w:rPr>
                <w:b/>
                <w:bCs/>
              </w:rPr>
              <w:t>EGDPEA</w:t>
            </w:r>
            <w:r w:rsidRPr="00024FD1">
              <w:t>)</w:t>
            </w:r>
          </w:p>
        </w:tc>
        <w:tc>
          <w:tcPr>
            <w:tcW w:w="1830" w:type="dxa"/>
          </w:tcPr>
          <w:p w14:paraId="03916C90" w14:textId="5B23023E" w:rsidR="002C11C4" w:rsidRPr="00024FD1" w:rsidRDefault="005B7CD8" w:rsidP="002C11C4">
            <w:pPr>
              <w:rPr>
                <w:lang w:eastAsia="en-US"/>
              </w:rPr>
            </w:pPr>
            <w:r w:rsidRPr="00024FD1">
              <w:rPr>
                <w:lang w:eastAsia="en-US"/>
              </w:rPr>
              <w:t>Sigma-Aldrich</w:t>
            </w:r>
          </w:p>
        </w:tc>
        <w:tc>
          <w:tcPr>
            <w:tcW w:w="3856" w:type="dxa"/>
          </w:tcPr>
          <w:p w14:paraId="7CFE8210" w14:textId="7B0B1457" w:rsidR="002C11C4" w:rsidRPr="00024FD1" w:rsidRDefault="002C11C4" w:rsidP="002C11C4">
            <w:r w:rsidRPr="00024FD1">
              <w:t xml:space="preserve">CAS# </w:t>
            </w:r>
            <w:hyperlink r:id="rId21" w:history="1">
              <w:r w:rsidRPr="00024FD1">
                <w:t>65983-31-5</w:t>
              </w:r>
            </w:hyperlink>
            <w:r w:rsidR="005B7CD8" w:rsidRPr="00024FD1">
              <w:t>;</w:t>
            </w:r>
            <w:r w:rsidRPr="00024FD1">
              <w:t xml:space="preserve"> Cat# </w:t>
            </w:r>
            <w:hyperlink r:id="rId22" w:history="1">
              <w:r w:rsidRPr="00024FD1">
                <w:t>407968</w:t>
              </w:r>
            </w:hyperlink>
          </w:p>
        </w:tc>
      </w:tr>
      <w:tr w:rsidR="00147508" w:rsidRPr="00024FD1" w14:paraId="5D2C9C5E" w14:textId="77777777" w:rsidTr="00077010">
        <w:tc>
          <w:tcPr>
            <w:tcW w:w="4309" w:type="dxa"/>
          </w:tcPr>
          <w:p w14:paraId="3E58A511" w14:textId="25277AAB" w:rsidR="00F82764" w:rsidRPr="00024FD1" w:rsidRDefault="00F82764" w:rsidP="00D565A0">
            <w:pPr>
              <w:rPr>
                <w:b/>
                <w:bCs/>
                <w:lang w:eastAsia="en-US"/>
              </w:rPr>
            </w:pPr>
            <w:r w:rsidRPr="00024FD1">
              <w:t>1,6-</w:t>
            </w:r>
            <w:r w:rsidR="002C11C4" w:rsidRPr="00024FD1">
              <w:t>H</w:t>
            </w:r>
            <w:r w:rsidRPr="00024FD1">
              <w:t>exanediol diacrylate (</w:t>
            </w:r>
            <w:r w:rsidRPr="008146F6">
              <w:rPr>
                <w:b/>
                <w:bCs/>
              </w:rPr>
              <w:t>HDOBA</w:t>
            </w:r>
            <w:r w:rsidRPr="00024FD1">
              <w:t>)</w:t>
            </w:r>
          </w:p>
        </w:tc>
        <w:tc>
          <w:tcPr>
            <w:tcW w:w="1830" w:type="dxa"/>
          </w:tcPr>
          <w:p w14:paraId="69C149C0" w14:textId="2A8CAE9E" w:rsidR="00F82764" w:rsidRPr="00024FD1" w:rsidRDefault="005B7CD8" w:rsidP="00D565A0">
            <w:pPr>
              <w:rPr>
                <w:lang w:eastAsia="en-US"/>
              </w:rPr>
            </w:pPr>
            <w:r w:rsidRPr="00024FD1">
              <w:rPr>
                <w:lang w:eastAsia="en-US"/>
              </w:rPr>
              <w:t>Sigma-Aldrich</w:t>
            </w:r>
          </w:p>
        </w:tc>
        <w:tc>
          <w:tcPr>
            <w:tcW w:w="3856" w:type="dxa"/>
          </w:tcPr>
          <w:p w14:paraId="37373D04" w14:textId="7318347B" w:rsidR="00F82764" w:rsidRPr="00024FD1" w:rsidRDefault="002C11C4" w:rsidP="00D565A0">
            <w:r w:rsidRPr="00024FD1">
              <w:t xml:space="preserve">CAS# </w:t>
            </w:r>
            <w:hyperlink r:id="rId23" w:history="1">
              <w:r w:rsidRPr="00024FD1">
                <w:t>13048-33-4</w:t>
              </w:r>
            </w:hyperlink>
            <w:r w:rsidR="005B7CD8" w:rsidRPr="00024FD1">
              <w:t>;</w:t>
            </w:r>
            <w:r w:rsidRPr="00024FD1">
              <w:t xml:space="preserve"> Cat# 246816</w:t>
            </w:r>
          </w:p>
        </w:tc>
      </w:tr>
      <w:tr w:rsidR="00147508" w:rsidRPr="00024FD1" w14:paraId="6222EC5F" w14:textId="77777777" w:rsidTr="00077010">
        <w:tc>
          <w:tcPr>
            <w:tcW w:w="4309" w:type="dxa"/>
          </w:tcPr>
          <w:p w14:paraId="13779ACB" w14:textId="050FEF98" w:rsidR="00F82764" w:rsidRPr="00024FD1" w:rsidRDefault="00F82764" w:rsidP="00D565A0">
            <w:pPr>
              <w:rPr>
                <w:b/>
                <w:bCs/>
                <w:lang w:eastAsia="en-US"/>
              </w:rPr>
            </w:pPr>
            <w:r w:rsidRPr="00024FD1">
              <w:t>2-</w:t>
            </w:r>
            <w:r w:rsidR="002C11C4" w:rsidRPr="00024FD1">
              <w:t>H</w:t>
            </w:r>
            <w:r w:rsidRPr="00024FD1">
              <w:t>ydroxy-2-methylpropiophenone (</w:t>
            </w:r>
            <w:r w:rsidRPr="008146F6">
              <w:rPr>
                <w:b/>
                <w:bCs/>
              </w:rPr>
              <w:t>PI</w:t>
            </w:r>
            <w:r w:rsidRPr="00024FD1">
              <w:t>)</w:t>
            </w:r>
          </w:p>
        </w:tc>
        <w:tc>
          <w:tcPr>
            <w:tcW w:w="1830" w:type="dxa"/>
          </w:tcPr>
          <w:p w14:paraId="6E7A0CA6" w14:textId="7F5DAE61" w:rsidR="00F82764" w:rsidRPr="00024FD1" w:rsidRDefault="005B7CD8" w:rsidP="00D565A0">
            <w:pPr>
              <w:rPr>
                <w:lang w:eastAsia="en-US"/>
              </w:rPr>
            </w:pPr>
            <w:r w:rsidRPr="00024FD1">
              <w:rPr>
                <w:lang w:eastAsia="en-US"/>
              </w:rPr>
              <w:t>Sigma-Aldrich</w:t>
            </w:r>
          </w:p>
        </w:tc>
        <w:tc>
          <w:tcPr>
            <w:tcW w:w="3856" w:type="dxa"/>
          </w:tcPr>
          <w:p w14:paraId="5B443144" w14:textId="02A23BAA" w:rsidR="00F82764" w:rsidRPr="00024FD1" w:rsidRDefault="002C11C4" w:rsidP="00D565A0">
            <w:r w:rsidRPr="00024FD1">
              <w:t xml:space="preserve">CAS# </w:t>
            </w:r>
            <w:hyperlink r:id="rId24" w:history="1">
              <w:r w:rsidRPr="00024FD1">
                <w:t>7473-98-5</w:t>
              </w:r>
            </w:hyperlink>
            <w:r w:rsidR="005B7CD8" w:rsidRPr="00024FD1">
              <w:t>;</w:t>
            </w:r>
            <w:r w:rsidRPr="00024FD1">
              <w:t xml:space="preserve"> Cat# 405655</w:t>
            </w:r>
          </w:p>
        </w:tc>
      </w:tr>
      <w:tr w:rsidR="00147508" w:rsidRPr="00024FD1" w14:paraId="350BF4A1" w14:textId="77777777" w:rsidTr="00077010">
        <w:tc>
          <w:tcPr>
            <w:tcW w:w="4309" w:type="dxa"/>
          </w:tcPr>
          <w:p w14:paraId="70D2DD36" w14:textId="4DE604CE" w:rsidR="00F82764" w:rsidRPr="00024FD1" w:rsidRDefault="002C11C4" w:rsidP="00D565A0">
            <w:pPr>
              <w:rPr>
                <w:b/>
                <w:bCs/>
                <w:lang w:eastAsia="en-US"/>
              </w:rPr>
            </w:pPr>
            <w:r w:rsidRPr="00024FD1">
              <w:t xml:space="preserve">Pepsin </w:t>
            </w:r>
          </w:p>
        </w:tc>
        <w:tc>
          <w:tcPr>
            <w:tcW w:w="1830" w:type="dxa"/>
          </w:tcPr>
          <w:p w14:paraId="647D659D" w14:textId="4FF50FDF" w:rsidR="00F82764" w:rsidRPr="00024FD1" w:rsidRDefault="005B7CD8" w:rsidP="00D565A0">
            <w:pPr>
              <w:rPr>
                <w:lang w:eastAsia="en-US"/>
              </w:rPr>
            </w:pPr>
            <w:r w:rsidRPr="00024FD1">
              <w:rPr>
                <w:lang w:eastAsia="en-US"/>
              </w:rPr>
              <w:t>Sigma-Aldrich</w:t>
            </w:r>
          </w:p>
        </w:tc>
        <w:tc>
          <w:tcPr>
            <w:tcW w:w="3856" w:type="dxa"/>
          </w:tcPr>
          <w:p w14:paraId="39B021C2" w14:textId="24D7884E" w:rsidR="00F82764" w:rsidRPr="00024FD1" w:rsidRDefault="002C11C4" w:rsidP="00D565A0">
            <w:r w:rsidRPr="00024FD1">
              <w:t xml:space="preserve">CAS# </w:t>
            </w:r>
            <w:hyperlink r:id="rId25" w:history="1">
              <w:r w:rsidRPr="00024FD1">
                <w:t>9001-75-6</w:t>
              </w:r>
            </w:hyperlink>
            <w:r w:rsidR="005B7CD8" w:rsidRPr="00024FD1">
              <w:t>;</w:t>
            </w:r>
            <w:r w:rsidRPr="00024FD1">
              <w:t xml:space="preserve"> Cat# </w:t>
            </w:r>
            <w:hyperlink r:id="rId26" w:history="1">
              <w:r w:rsidRPr="00024FD1">
                <w:t>P7000</w:t>
              </w:r>
            </w:hyperlink>
          </w:p>
        </w:tc>
      </w:tr>
      <w:tr w:rsidR="00147508" w:rsidRPr="00024FD1" w14:paraId="0D6C69A0" w14:textId="77777777" w:rsidTr="00077010">
        <w:tc>
          <w:tcPr>
            <w:tcW w:w="4309" w:type="dxa"/>
          </w:tcPr>
          <w:p w14:paraId="26B4A692" w14:textId="5A1126F1" w:rsidR="00F82764" w:rsidRPr="00024FD1" w:rsidRDefault="002C11C4" w:rsidP="00D565A0">
            <w:pPr>
              <w:rPr>
                <w:b/>
                <w:bCs/>
                <w:lang w:eastAsia="en-US"/>
              </w:rPr>
            </w:pPr>
            <w:r w:rsidRPr="00024FD1">
              <w:t>Sirius red S</w:t>
            </w:r>
          </w:p>
        </w:tc>
        <w:tc>
          <w:tcPr>
            <w:tcW w:w="1830" w:type="dxa"/>
          </w:tcPr>
          <w:p w14:paraId="7B66FFF5" w14:textId="0BF4440C" w:rsidR="00F82764" w:rsidRPr="00024FD1" w:rsidRDefault="005B7CD8" w:rsidP="00D565A0">
            <w:pPr>
              <w:rPr>
                <w:lang w:eastAsia="en-US"/>
              </w:rPr>
            </w:pPr>
            <w:r w:rsidRPr="00024FD1">
              <w:rPr>
                <w:lang w:eastAsia="en-US"/>
              </w:rPr>
              <w:t>Sigma-Aldrich</w:t>
            </w:r>
          </w:p>
        </w:tc>
        <w:tc>
          <w:tcPr>
            <w:tcW w:w="3856" w:type="dxa"/>
          </w:tcPr>
          <w:p w14:paraId="397660CD" w14:textId="4C4AC55B" w:rsidR="00F82764" w:rsidRPr="00024FD1" w:rsidRDefault="002C11C4" w:rsidP="00D565A0">
            <w:r w:rsidRPr="00024FD1">
              <w:t xml:space="preserve">CAS# </w:t>
            </w:r>
            <w:r w:rsidR="005B7CD8" w:rsidRPr="00024FD1">
              <w:t>2610-10-8;</w:t>
            </w:r>
            <w:r w:rsidRPr="00024FD1">
              <w:t xml:space="preserve"> Cat# </w:t>
            </w:r>
            <w:r w:rsidR="005B7CD8" w:rsidRPr="00024FD1">
              <w:t>365548</w:t>
            </w:r>
          </w:p>
        </w:tc>
      </w:tr>
      <w:tr w:rsidR="00147508" w:rsidRPr="00024FD1" w14:paraId="28FA3B35" w14:textId="77777777" w:rsidTr="00077010">
        <w:tc>
          <w:tcPr>
            <w:tcW w:w="4309" w:type="dxa"/>
          </w:tcPr>
          <w:p w14:paraId="131CC7BD" w14:textId="116844D0" w:rsidR="00F82764" w:rsidRPr="00024FD1" w:rsidRDefault="002C11C4" w:rsidP="00D565A0">
            <w:pPr>
              <w:rPr>
                <w:b/>
                <w:bCs/>
                <w:lang w:eastAsia="en-US"/>
              </w:rPr>
            </w:pPr>
            <w:r w:rsidRPr="00024FD1">
              <w:t xml:space="preserve">Picric acid solution </w:t>
            </w:r>
          </w:p>
        </w:tc>
        <w:tc>
          <w:tcPr>
            <w:tcW w:w="1830" w:type="dxa"/>
          </w:tcPr>
          <w:p w14:paraId="5227625E" w14:textId="2ABE6FDD" w:rsidR="00F82764" w:rsidRPr="00024FD1" w:rsidRDefault="005B7CD8" w:rsidP="00D565A0">
            <w:pPr>
              <w:rPr>
                <w:lang w:eastAsia="en-US"/>
              </w:rPr>
            </w:pPr>
            <w:r w:rsidRPr="00024FD1">
              <w:rPr>
                <w:lang w:eastAsia="en-US"/>
              </w:rPr>
              <w:t>Sigma-Aldrich</w:t>
            </w:r>
          </w:p>
        </w:tc>
        <w:tc>
          <w:tcPr>
            <w:tcW w:w="3856" w:type="dxa"/>
          </w:tcPr>
          <w:p w14:paraId="4BF59FA4" w14:textId="6675B26C" w:rsidR="00F82764" w:rsidRPr="00024FD1" w:rsidRDefault="005B7CD8" w:rsidP="00D565A0">
            <w:r w:rsidRPr="00024FD1">
              <w:t>CAS# 88-89-1; Cat# P6744</w:t>
            </w:r>
          </w:p>
        </w:tc>
      </w:tr>
      <w:tr w:rsidR="00147508" w:rsidRPr="00024FD1" w14:paraId="436A0830" w14:textId="77777777" w:rsidTr="00077010">
        <w:tc>
          <w:tcPr>
            <w:tcW w:w="4309" w:type="dxa"/>
          </w:tcPr>
          <w:p w14:paraId="22BE37EC" w14:textId="4D305505" w:rsidR="00F82764" w:rsidRPr="00024FD1" w:rsidRDefault="002C11C4" w:rsidP="00D565A0">
            <w:pPr>
              <w:rPr>
                <w:b/>
                <w:bCs/>
                <w:lang w:eastAsia="en-US"/>
              </w:rPr>
            </w:pPr>
            <w:r w:rsidRPr="00024FD1">
              <w:t xml:space="preserve">Phosphatase substrate </w:t>
            </w:r>
          </w:p>
        </w:tc>
        <w:tc>
          <w:tcPr>
            <w:tcW w:w="1830" w:type="dxa"/>
          </w:tcPr>
          <w:p w14:paraId="76742023" w14:textId="1C42ADB6" w:rsidR="00F82764" w:rsidRPr="00024FD1" w:rsidRDefault="005B7CD8" w:rsidP="00D565A0">
            <w:pPr>
              <w:rPr>
                <w:lang w:eastAsia="en-US"/>
              </w:rPr>
            </w:pPr>
            <w:r w:rsidRPr="00024FD1">
              <w:rPr>
                <w:lang w:eastAsia="en-US"/>
              </w:rPr>
              <w:t>Sigma-Aldrich</w:t>
            </w:r>
          </w:p>
        </w:tc>
        <w:tc>
          <w:tcPr>
            <w:tcW w:w="3856" w:type="dxa"/>
          </w:tcPr>
          <w:p w14:paraId="6001E2E3" w14:textId="2327AF85" w:rsidR="00F82764" w:rsidRPr="00024FD1" w:rsidRDefault="002C11C4" w:rsidP="00D565A0">
            <w:r w:rsidRPr="00024FD1">
              <w:t>Cat# P4744</w:t>
            </w:r>
          </w:p>
        </w:tc>
      </w:tr>
      <w:tr w:rsidR="00147508" w:rsidRPr="00024FD1" w14:paraId="4AB1C29B" w14:textId="77777777" w:rsidTr="00077010">
        <w:tc>
          <w:tcPr>
            <w:tcW w:w="4309" w:type="dxa"/>
          </w:tcPr>
          <w:p w14:paraId="55C8FE97" w14:textId="7989D121" w:rsidR="00F82764" w:rsidRPr="00024FD1" w:rsidRDefault="005B7CD8" w:rsidP="00D565A0">
            <w:pPr>
              <w:rPr>
                <w:b/>
                <w:bCs/>
                <w:lang w:eastAsia="en-US"/>
              </w:rPr>
            </w:pPr>
            <w:r w:rsidRPr="00024FD1">
              <w:t xml:space="preserve">1.5 M </w:t>
            </w:r>
            <w:r w:rsidR="002C11C4" w:rsidRPr="00024FD1">
              <w:t>Alkaline buffer solution</w:t>
            </w:r>
          </w:p>
        </w:tc>
        <w:tc>
          <w:tcPr>
            <w:tcW w:w="1830" w:type="dxa"/>
          </w:tcPr>
          <w:p w14:paraId="1ADBC8F0" w14:textId="3663F0C6" w:rsidR="00F82764" w:rsidRPr="00024FD1" w:rsidRDefault="005B7CD8" w:rsidP="00D565A0">
            <w:pPr>
              <w:rPr>
                <w:lang w:eastAsia="en-US"/>
              </w:rPr>
            </w:pPr>
            <w:r w:rsidRPr="00024FD1">
              <w:rPr>
                <w:lang w:eastAsia="en-US"/>
              </w:rPr>
              <w:t>Sigma-Aldrich</w:t>
            </w:r>
          </w:p>
        </w:tc>
        <w:tc>
          <w:tcPr>
            <w:tcW w:w="3856" w:type="dxa"/>
          </w:tcPr>
          <w:p w14:paraId="7CB8701B" w14:textId="09972DDF" w:rsidR="00F82764" w:rsidRPr="00024FD1" w:rsidRDefault="002C11C4" w:rsidP="00D565A0">
            <w:r w:rsidRPr="00024FD1">
              <w:t>Cat#A9226</w:t>
            </w:r>
          </w:p>
        </w:tc>
      </w:tr>
      <w:tr w:rsidR="00147508" w:rsidRPr="00024FD1" w14:paraId="328A5AE6" w14:textId="77777777" w:rsidTr="00077010">
        <w:tc>
          <w:tcPr>
            <w:tcW w:w="4309" w:type="dxa"/>
          </w:tcPr>
          <w:p w14:paraId="20838575" w14:textId="569EEFF0" w:rsidR="00F82764" w:rsidRPr="00024FD1" w:rsidRDefault="002C11C4" w:rsidP="00D565A0">
            <w:pPr>
              <w:rPr>
                <w:b/>
                <w:bCs/>
                <w:lang w:eastAsia="en-US"/>
              </w:rPr>
            </w:pPr>
            <w:proofErr w:type="spellStart"/>
            <w:r w:rsidRPr="00024FD1">
              <w:t>Cellytic</w:t>
            </w:r>
            <w:proofErr w:type="spellEnd"/>
            <w:r w:rsidRPr="00024FD1">
              <w:t xml:space="preserve"> M, </w:t>
            </w:r>
            <w:proofErr w:type="spellStart"/>
            <w:r w:rsidRPr="00024FD1">
              <w:t>Igepal</w:t>
            </w:r>
            <w:proofErr w:type="spellEnd"/>
            <w:r w:rsidRPr="00024FD1">
              <w:t xml:space="preserve"> CA-630</w:t>
            </w:r>
          </w:p>
        </w:tc>
        <w:tc>
          <w:tcPr>
            <w:tcW w:w="1830" w:type="dxa"/>
          </w:tcPr>
          <w:p w14:paraId="70A3A87A" w14:textId="6650253D" w:rsidR="00F82764" w:rsidRPr="00024FD1" w:rsidRDefault="005B7CD8" w:rsidP="00D565A0">
            <w:pPr>
              <w:rPr>
                <w:lang w:eastAsia="en-US"/>
              </w:rPr>
            </w:pPr>
            <w:r w:rsidRPr="00024FD1">
              <w:rPr>
                <w:lang w:eastAsia="en-US"/>
              </w:rPr>
              <w:t>Sigma-Aldrich</w:t>
            </w:r>
          </w:p>
        </w:tc>
        <w:tc>
          <w:tcPr>
            <w:tcW w:w="3856" w:type="dxa"/>
          </w:tcPr>
          <w:p w14:paraId="51833B64" w14:textId="6197351D" w:rsidR="00F82764" w:rsidRPr="00024FD1" w:rsidRDefault="002C11C4" w:rsidP="00D565A0">
            <w:r w:rsidRPr="00024FD1">
              <w:t>Cat# I8896</w:t>
            </w:r>
          </w:p>
        </w:tc>
      </w:tr>
      <w:tr w:rsidR="00147508" w:rsidRPr="00024FD1" w14:paraId="4A1F185A" w14:textId="77777777" w:rsidTr="00077010">
        <w:tc>
          <w:tcPr>
            <w:tcW w:w="4309" w:type="dxa"/>
          </w:tcPr>
          <w:p w14:paraId="00CDEECB" w14:textId="4C309098" w:rsidR="00F82764" w:rsidRPr="00024FD1" w:rsidRDefault="002C11C4" w:rsidP="00D565A0">
            <w:pPr>
              <w:rPr>
                <w:b/>
                <w:bCs/>
                <w:lang w:eastAsia="en-US"/>
              </w:rPr>
            </w:pPr>
            <w:r w:rsidRPr="00024FD1">
              <w:t xml:space="preserve">p-Nitrophenol </w:t>
            </w:r>
          </w:p>
        </w:tc>
        <w:tc>
          <w:tcPr>
            <w:tcW w:w="1830" w:type="dxa"/>
          </w:tcPr>
          <w:p w14:paraId="774E8EED" w14:textId="5FFAC545" w:rsidR="00F82764" w:rsidRPr="00024FD1" w:rsidRDefault="005B7CD8" w:rsidP="00D565A0">
            <w:pPr>
              <w:rPr>
                <w:lang w:eastAsia="en-US"/>
              </w:rPr>
            </w:pPr>
            <w:r w:rsidRPr="00024FD1">
              <w:rPr>
                <w:lang w:eastAsia="en-US"/>
              </w:rPr>
              <w:t>Sigma-Aldrich</w:t>
            </w:r>
          </w:p>
        </w:tc>
        <w:tc>
          <w:tcPr>
            <w:tcW w:w="3856" w:type="dxa"/>
          </w:tcPr>
          <w:p w14:paraId="1BCE083F" w14:textId="27428CBA" w:rsidR="00F82764" w:rsidRPr="00024FD1" w:rsidRDefault="002C11C4" w:rsidP="00D565A0">
            <w:r w:rsidRPr="00024FD1">
              <w:t>Cat# N7660</w:t>
            </w:r>
          </w:p>
        </w:tc>
      </w:tr>
      <w:tr w:rsidR="00147508" w:rsidRPr="00024FD1" w14:paraId="384D6CAA" w14:textId="77777777" w:rsidTr="00077010">
        <w:tc>
          <w:tcPr>
            <w:tcW w:w="4309" w:type="dxa"/>
          </w:tcPr>
          <w:p w14:paraId="25F608C4" w14:textId="60263DCA" w:rsidR="00F82764" w:rsidRPr="00024FD1" w:rsidRDefault="002C11C4" w:rsidP="00D565A0">
            <w:r w:rsidRPr="00024FD1">
              <w:t>Dexamethasone</w:t>
            </w:r>
          </w:p>
        </w:tc>
        <w:tc>
          <w:tcPr>
            <w:tcW w:w="1830" w:type="dxa"/>
          </w:tcPr>
          <w:p w14:paraId="6ABB1966" w14:textId="320485F4" w:rsidR="00F82764" w:rsidRPr="00024FD1" w:rsidRDefault="005B7CD8" w:rsidP="00D565A0">
            <w:r w:rsidRPr="00024FD1">
              <w:t>Sigma-Aldrich</w:t>
            </w:r>
          </w:p>
        </w:tc>
        <w:tc>
          <w:tcPr>
            <w:tcW w:w="3856" w:type="dxa"/>
          </w:tcPr>
          <w:p w14:paraId="26CA41DC" w14:textId="75816AB8" w:rsidR="00F82764" w:rsidRPr="00024FD1" w:rsidRDefault="005B7CD8" w:rsidP="005B7CD8">
            <w:r w:rsidRPr="00024FD1">
              <w:t xml:space="preserve">Cat# </w:t>
            </w:r>
            <w:hyperlink r:id="rId27" w:history="1">
              <w:r w:rsidRPr="00024FD1">
                <w:t>D4902</w:t>
              </w:r>
            </w:hyperlink>
          </w:p>
        </w:tc>
      </w:tr>
      <w:tr w:rsidR="00147508" w:rsidRPr="00024FD1" w14:paraId="0764A292" w14:textId="77777777" w:rsidTr="00077010">
        <w:tc>
          <w:tcPr>
            <w:tcW w:w="4309" w:type="dxa"/>
          </w:tcPr>
          <w:p w14:paraId="0D4E8423" w14:textId="1D2BFB96" w:rsidR="00F82764" w:rsidRPr="00024FD1" w:rsidRDefault="002C11C4" w:rsidP="00D565A0">
            <w:r w:rsidRPr="00024FD1">
              <w:t>β-Glycerophosphate disodium salt hydrate</w:t>
            </w:r>
          </w:p>
        </w:tc>
        <w:tc>
          <w:tcPr>
            <w:tcW w:w="1830" w:type="dxa"/>
          </w:tcPr>
          <w:p w14:paraId="182FE60B" w14:textId="1EEF8C03" w:rsidR="00F82764" w:rsidRPr="00024FD1" w:rsidRDefault="005B7CD8" w:rsidP="00D565A0">
            <w:r w:rsidRPr="00024FD1">
              <w:t>Sigma-Aldrich</w:t>
            </w:r>
          </w:p>
        </w:tc>
        <w:tc>
          <w:tcPr>
            <w:tcW w:w="3856" w:type="dxa"/>
          </w:tcPr>
          <w:p w14:paraId="0098F7BC" w14:textId="7335947E" w:rsidR="00F82764" w:rsidRPr="00024FD1" w:rsidRDefault="005B7CD8" w:rsidP="00D565A0">
            <w:r w:rsidRPr="00024FD1">
              <w:t xml:space="preserve">Cat# </w:t>
            </w:r>
            <w:hyperlink r:id="rId28" w:history="1">
              <w:r w:rsidRPr="00024FD1">
                <w:t>G9422</w:t>
              </w:r>
            </w:hyperlink>
          </w:p>
        </w:tc>
      </w:tr>
      <w:tr w:rsidR="00147508" w:rsidRPr="00024FD1" w14:paraId="400DC0E0" w14:textId="77777777" w:rsidTr="00077010">
        <w:tc>
          <w:tcPr>
            <w:tcW w:w="4309" w:type="dxa"/>
          </w:tcPr>
          <w:p w14:paraId="3ABD6227" w14:textId="586C7A80" w:rsidR="00F82764" w:rsidRPr="00024FD1" w:rsidRDefault="002C11C4" w:rsidP="00D565A0">
            <w:r w:rsidRPr="00024FD1">
              <w:t>2-Phospho-L-ascorbic acid disodium</w:t>
            </w:r>
          </w:p>
        </w:tc>
        <w:tc>
          <w:tcPr>
            <w:tcW w:w="1830" w:type="dxa"/>
          </w:tcPr>
          <w:p w14:paraId="0E6B5078" w14:textId="3475E6F1" w:rsidR="00F82764" w:rsidRPr="00024FD1" w:rsidRDefault="005B7CD8" w:rsidP="00D565A0">
            <w:r w:rsidRPr="00024FD1">
              <w:t>Sigma-Aldrich</w:t>
            </w:r>
          </w:p>
        </w:tc>
        <w:tc>
          <w:tcPr>
            <w:tcW w:w="3856" w:type="dxa"/>
          </w:tcPr>
          <w:p w14:paraId="45FAC2BE" w14:textId="12294A75" w:rsidR="00F82764" w:rsidRPr="00024FD1" w:rsidRDefault="005B7CD8" w:rsidP="00D565A0">
            <w:r w:rsidRPr="00024FD1">
              <w:t xml:space="preserve">CAS# </w:t>
            </w:r>
            <w:hyperlink r:id="rId29" w:history="1">
              <w:r w:rsidRPr="00024FD1">
                <w:t>66170-10-3</w:t>
              </w:r>
            </w:hyperlink>
            <w:r w:rsidRPr="00024FD1">
              <w:t xml:space="preserve">; Cat# </w:t>
            </w:r>
            <w:hyperlink r:id="rId30" w:history="1">
              <w:r w:rsidRPr="00024FD1">
                <w:t>49752</w:t>
              </w:r>
            </w:hyperlink>
          </w:p>
        </w:tc>
      </w:tr>
      <w:tr w:rsidR="00147508" w:rsidRPr="00024FD1" w14:paraId="169EDF16" w14:textId="77777777" w:rsidTr="00077010">
        <w:tc>
          <w:tcPr>
            <w:tcW w:w="4309" w:type="dxa"/>
          </w:tcPr>
          <w:p w14:paraId="6AAD20A6" w14:textId="22A1F612" w:rsidR="00F82764" w:rsidRPr="00024FD1" w:rsidRDefault="005B7CD8" w:rsidP="00D565A0">
            <w:r w:rsidRPr="00024FD1">
              <w:t>4-tert-Butylcyclohexyl acrylate (BHA)</w:t>
            </w:r>
          </w:p>
        </w:tc>
        <w:tc>
          <w:tcPr>
            <w:tcW w:w="1830" w:type="dxa"/>
          </w:tcPr>
          <w:p w14:paraId="0ECA60E4" w14:textId="09F43307" w:rsidR="00F82764" w:rsidRPr="00024FD1" w:rsidRDefault="005B7CD8" w:rsidP="00D565A0">
            <w:r w:rsidRPr="00024FD1">
              <w:t>TCI</w:t>
            </w:r>
          </w:p>
        </w:tc>
        <w:tc>
          <w:tcPr>
            <w:tcW w:w="3856" w:type="dxa"/>
          </w:tcPr>
          <w:p w14:paraId="04F3C37A" w14:textId="13B2B81E" w:rsidR="00F82764" w:rsidRPr="00024FD1" w:rsidRDefault="005B7CD8" w:rsidP="00D565A0">
            <w:r w:rsidRPr="00024FD1">
              <w:t>CAS# 84100-23-2</w:t>
            </w:r>
          </w:p>
        </w:tc>
      </w:tr>
      <w:tr w:rsidR="00147508" w:rsidRPr="00024FD1" w14:paraId="1D5873C3" w14:textId="77777777" w:rsidTr="00077010">
        <w:tc>
          <w:tcPr>
            <w:tcW w:w="4309" w:type="dxa"/>
          </w:tcPr>
          <w:p w14:paraId="67E11892" w14:textId="668B0A60" w:rsidR="00F82764" w:rsidRPr="00024FD1" w:rsidRDefault="00C71E6C" w:rsidP="00D565A0">
            <w:r w:rsidRPr="00024FD1">
              <w:t xml:space="preserve">Alpha MEM eagle with UGln1 and </w:t>
            </w:r>
            <w:proofErr w:type="spellStart"/>
            <w:r w:rsidRPr="00024FD1">
              <w:t>nucleo</w:t>
            </w:r>
            <w:proofErr w:type="spellEnd"/>
          </w:p>
        </w:tc>
        <w:tc>
          <w:tcPr>
            <w:tcW w:w="1830" w:type="dxa"/>
          </w:tcPr>
          <w:p w14:paraId="4178811D" w14:textId="17671CCC" w:rsidR="00F82764" w:rsidRPr="00024FD1" w:rsidRDefault="00C71E6C" w:rsidP="00D565A0">
            <w:r w:rsidRPr="00024FD1">
              <w:t>Lonza</w:t>
            </w:r>
          </w:p>
        </w:tc>
        <w:tc>
          <w:tcPr>
            <w:tcW w:w="3856" w:type="dxa"/>
          </w:tcPr>
          <w:p w14:paraId="46FE1AD7" w14:textId="33A847EA" w:rsidR="00F82764" w:rsidRPr="00024FD1" w:rsidRDefault="00C71E6C" w:rsidP="00D565A0">
            <w:r w:rsidRPr="00024FD1">
              <w:t>Cat# BE02-002F</w:t>
            </w:r>
          </w:p>
        </w:tc>
      </w:tr>
      <w:tr w:rsidR="00147508" w:rsidRPr="00024FD1" w14:paraId="4238AD91" w14:textId="77777777" w:rsidTr="00077010">
        <w:tc>
          <w:tcPr>
            <w:tcW w:w="4309" w:type="dxa"/>
          </w:tcPr>
          <w:p w14:paraId="655DC885" w14:textId="17140390" w:rsidR="00C71E6C" w:rsidRPr="00024FD1" w:rsidRDefault="00C71E6C" w:rsidP="00C71E6C">
            <w:r w:rsidRPr="00024FD1">
              <w:t>penicillin/streptomycin/fungizone 10K/10K/25 µg</w:t>
            </w:r>
          </w:p>
        </w:tc>
        <w:tc>
          <w:tcPr>
            <w:tcW w:w="1830" w:type="dxa"/>
          </w:tcPr>
          <w:p w14:paraId="59E2777F" w14:textId="716BFAAE" w:rsidR="00C71E6C" w:rsidRPr="00024FD1" w:rsidRDefault="00C71E6C" w:rsidP="00C71E6C">
            <w:r w:rsidRPr="00024FD1">
              <w:t>Lonza</w:t>
            </w:r>
          </w:p>
        </w:tc>
        <w:tc>
          <w:tcPr>
            <w:tcW w:w="3856" w:type="dxa"/>
          </w:tcPr>
          <w:p w14:paraId="600F3387" w14:textId="5F5DDAA3" w:rsidR="00C71E6C" w:rsidRPr="00024FD1" w:rsidRDefault="00C71E6C" w:rsidP="00C71E6C">
            <w:r w:rsidRPr="00024FD1">
              <w:t>Cat# 17-745E</w:t>
            </w:r>
          </w:p>
        </w:tc>
      </w:tr>
      <w:tr w:rsidR="00147508" w:rsidRPr="00024FD1" w14:paraId="30CA0B4A" w14:textId="77777777" w:rsidTr="00077010">
        <w:tc>
          <w:tcPr>
            <w:tcW w:w="4309" w:type="dxa"/>
          </w:tcPr>
          <w:p w14:paraId="13676041" w14:textId="24771556" w:rsidR="00F82764" w:rsidRPr="00024FD1" w:rsidRDefault="00C71E6C" w:rsidP="00D565A0">
            <w:proofErr w:type="spellStart"/>
            <w:r w:rsidRPr="00024FD1">
              <w:t>Fetal</w:t>
            </w:r>
            <w:proofErr w:type="spellEnd"/>
            <w:r w:rsidRPr="00024FD1">
              <w:t xml:space="preserve"> bovine serum</w:t>
            </w:r>
          </w:p>
        </w:tc>
        <w:tc>
          <w:tcPr>
            <w:tcW w:w="1830" w:type="dxa"/>
          </w:tcPr>
          <w:p w14:paraId="7FE46983" w14:textId="167E09E0" w:rsidR="00F82764" w:rsidRPr="00024FD1" w:rsidRDefault="00C71E6C" w:rsidP="00D565A0">
            <w:r w:rsidRPr="00024FD1">
              <w:t>Life Technologies</w:t>
            </w:r>
          </w:p>
        </w:tc>
        <w:tc>
          <w:tcPr>
            <w:tcW w:w="3856" w:type="dxa"/>
          </w:tcPr>
          <w:p w14:paraId="78B0C6DD" w14:textId="6B3CCD29" w:rsidR="00F82764" w:rsidRPr="00024FD1" w:rsidRDefault="00F82764" w:rsidP="00D565A0"/>
        </w:tc>
      </w:tr>
      <w:tr w:rsidR="00147508" w:rsidRPr="00024FD1" w14:paraId="5FADA60C" w14:textId="77777777" w:rsidTr="00077010">
        <w:tc>
          <w:tcPr>
            <w:tcW w:w="4309" w:type="dxa"/>
          </w:tcPr>
          <w:p w14:paraId="521FEB3A" w14:textId="16D03EE0" w:rsidR="00F82764" w:rsidRPr="00024FD1" w:rsidRDefault="00C71E6C" w:rsidP="00D565A0">
            <w:r w:rsidRPr="00024FD1">
              <w:t>Quant-</w:t>
            </w:r>
            <w:proofErr w:type="spellStart"/>
            <w:r w:rsidRPr="00024FD1">
              <w:t>iT</w:t>
            </w:r>
            <w:proofErr w:type="spellEnd"/>
            <w:r w:rsidRPr="00024FD1">
              <w:t xml:space="preserve">™ </w:t>
            </w:r>
            <w:proofErr w:type="spellStart"/>
            <w:r w:rsidRPr="00024FD1">
              <w:t>PicoGreen</w:t>
            </w:r>
            <w:proofErr w:type="spellEnd"/>
            <w:r w:rsidRPr="00024FD1">
              <w:t>™ dsDNA assay</w:t>
            </w:r>
          </w:p>
        </w:tc>
        <w:tc>
          <w:tcPr>
            <w:tcW w:w="1830" w:type="dxa"/>
          </w:tcPr>
          <w:p w14:paraId="2D8FE5A4" w14:textId="4B27BC49" w:rsidR="00F82764" w:rsidRPr="00024FD1" w:rsidRDefault="00C71E6C" w:rsidP="00D565A0">
            <w:r w:rsidRPr="00024FD1">
              <w:t>Life Technologies</w:t>
            </w:r>
          </w:p>
        </w:tc>
        <w:tc>
          <w:tcPr>
            <w:tcW w:w="3856" w:type="dxa"/>
          </w:tcPr>
          <w:p w14:paraId="046988B1" w14:textId="0726A623" w:rsidR="00F82764" w:rsidRPr="00024FD1" w:rsidRDefault="00C71E6C" w:rsidP="00D565A0">
            <w:r w:rsidRPr="00024FD1">
              <w:t>Cat# P7589</w:t>
            </w:r>
          </w:p>
        </w:tc>
      </w:tr>
      <w:tr w:rsidR="00147508" w:rsidRPr="00024FD1" w14:paraId="575C6732" w14:textId="77777777" w:rsidTr="00077010">
        <w:tc>
          <w:tcPr>
            <w:tcW w:w="4309" w:type="dxa"/>
          </w:tcPr>
          <w:p w14:paraId="23C7F998" w14:textId="215C28FB" w:rsidR="00F82764" w:rsidRPr="00024FD1" w:rsidRDefault="00C71E6C" w:rsidP="00D565A0">
            <w:proofErr w:type="spellStart"/>
            <w:r w:rsidRPr="00024FD1">
              <w:t>AlamarBlue</w:t>
            </w:r>
            <w:proofErr w:type="spellEnd"/>
            <w:r w:rsidRPr="00024FD1">
              <w:t>™</w:t>
            </w:r>
          </w:p>
        </w:tc>
        <w:tc>
          <w:tcPr>
            <w:tcW w:w="1830" w:type="dxa"/>
          </w:tcPr>
          <w:p w14:paraId="49BF10E3" w14:textId="0E104120" w:rsidR="00F82764" w:rsidRPr="00024FD1" w:rsidRDefault="00C71E6C" w:rsidP="00D565A0">
            <w:proofErr w:type="spellStart"/>
            <w:r w:rsidRPr="00024FD1">
              <w:t>Thermo</w:t>
            </w:r>
            <w:proofErr w:type="spellEnd"/>
            <w:r w:rsidRPr="00024FD1">
              <w:t xml:space="preserve"> Scientific</w:t>
            </w:r>
          </w:p>
        </w:tc>
        <w:tc>
          <w:tcPr>
            <w:tcW w:w="3856" w:type="dxa"/>
          </w:tcPr>
          <w:p w14:paraId="41F7B80B" w14:textId="6B8E1F1F" w:rsidR="00F82764" w:rsidRPr="00024FD1" w:rsidRDefault="00C71E6C" w:rsidP="00D565A0">
            <w:r w:rsidRPr="00024FD1">
              <w:t>Cat# Y00-025</w:t>
            </w:r>
          </w:p>
        </w:tc>
      </w:tr>
      <w:tr w:rsidR="00147508" w:rsidRPr="00024FD1" w14:paraId="5E9B950D" w14:textId="77777777" w:rsidTr="00077010">
        <w:tc>
          <w:tcPr>
            <w:tcW w:w="4309" w:type="dxa"/>
          </w:tcPr>
          <w:p w14:paraId="0EEFC3E8" w14:textId="37EA1DD2" w:rsidR="00F82764" w:rsidRPr="00024FD1" w:rsidRDefault="00C71E6C" w:rsidP="00D565A0">
            <w:pPr>
              <w:rPr>
                <w:b/>
                <w:bCs/>
                <w:lang w:eastAsia="en-US"/>
              </w:rPr>
            </w:pPr>
            <w:r w:rsidRPr="00024FD1">
              <w:t>Herring sperm DNA</w:t>
            </w:r>
          </w:p>
        </w:tc>
        <w:tc>
          <w:tcPr>
            <w:tcW w:w="1830" w:type="dxa"/>
          </w:tcPr>
          <w:p w14:paraId="1F3B4D7C" w14:textId="0540D290" w:rsidR="00F82764" w:rsidRPr="00024FD1" w:rsidRDefault="00C71E6C" w:rsidP="00D565A0">
            <w:pPr>
              <w:rPr>
                <w:lang w:eastAsia="en-US"/>
              </w:rPr>
            </w:pPr>
            <w:r w:rsidRPr="00024FD1">
              <w:rPr>
                <w:lang w:eastAsia="en-US"/>
              </w:rPr>
              <w:t>Promega</w:t>
            </w:r>
          </w:p>
        </w:tc>
        <w:tc>
          <w:tcPr>
            <w:tcW w:w="3856" w:type="dxa"/>
          </w:tcPr>
          <w:p w14:paraId="41185C59" w14:textId="7F5B45B5" w:rsidR="00F82764" w:rsidRPr="00024FD1" w:rsidRDefault="00C71E6C" w:rsidP="00D565A0">
            <w:pPr>
              <w:rPr>
                <w:b/>
                <w:bCs/>
                <w:lang w:eastAsia="en-US"/>
              </w:rPr>
            </w:pPr>
            <w:r w:rsidRPr="00024FD1">
              <w:t>Cat# D1811</w:t>
            </w:r>
          </w:p>
        </w:tc>
      </w:tr>
      <w:tr w:rsidR="00147508" w:rsidRPr="00024FD1" w14:paraId="3F0496A4" w14:textId="77777777" w:rsidTr="00077010">
        <w:tc>
          <w:tcPr>
            <w:tcW w:w="4309" w:type="dxa"/>
          </w:tcPr>
          <w:p w14:paraId="11B201F2" w14:textId="4023CB9C" w:rsidR="00F82764" w:rsidRPr="00024FD1" w:rsidRDefault="00C71E6C" w:rsidP="00D565A0">
            <w:pPr>
              <w:rPr>
                <w:b/>
                <w:bCs/>
                <w:lang w:eastAsia="en-US"/>
              </w:rPr>
            </w:pPr>
            <w:r w:rsidRPr="00024FD1">
              <w:t>Vitamin D</w:t>
            </w:r>
            <w:r w:rsidRPr="00024FD1">
              <w:rPr>
                <w:vertAlign w:val="subscript"/>
              </w:rPr>
              <w:t>3</w:t>
            </w:r>
          </w:p>
        </w:tc>
        <w:tc>
          <w:tcPr>
            <w:tcW w:w="1830" w:type="dxa"/>
          </w:tcPr>
          <w:p w14:paraId="75015BCE" w14:textId="1E2FAE7E" w:rsidR="00F82764" w:rsidRPr="00024FD1" w:rsidRDefault="00C71E6C" w:rsidP="00D565A0">
            <w:pPr>
              <w:rPr>
                <w:lang w:eastAsia="en-US"/>
              </w:rPr>
            </w:pPr>
            <w:r w:rsidRPr="00024FD1">
              <w:t xml:space="preserve">Cayman </w:t>
            </w:r>
          </w:p>
        </w:tc>
        <w:tc>
          <w:tcPr>
            <w:tcW w:w="3856" w:type="dxa"/>
          </w:tcPr>
          <w:p w14:paraId="502BE532" w14:textId="2645D631" w:rsidR="00F82764" w:rsidRPr="00024FD1" w:rsidRDefault="00D3474B" w:rsidP="00D3474B">
            <w:pPr>
              <w:rPr>
                <w:b/>
                <w:bCs/>
                <w:lang w:eastAsia="en-US"/>
              </w:rPr>
            </w:pPr>
            <w:r w:rsidRPr="00024FD1">
              <w:t>CAS# 32222-06-3; Cat# 71820</w:t>
            </w:r>
          </w:p>
        </w:tc>
      </w:tr>
      <w:tr w:rsidR="00147508" w:rsidRPr="00024FD1" w14:paraId="5520ACAC" w14:textId="77777777" w:rsidTr="00077010">
        <w:tc>
          <w:tcPr>
            <w:tcW w:w="4309" w:type="dxa"/>
          </w:tcPr>
          <w:p w14:paraId="2E13E580" w14:textId="21CFD3ED" w:rsidR="00F82764" w:rsidRPr="00024FD1" w:rsidRDefault="00D3474B" w:rsidP="00D565A0">
            <w:pPr>
              <w:rPr>
                <w:b/>
                <w:bCs/>
                <w:lang w:eastAsia="en-US"/>
              </w:rPr>
            </w:pPr>
            <w:r w:rsidRPr="00024FD1">
              <w:rPr>
                <w:b/>
                <w:bCs/>
                <w:lang w:eastAsia="en-US"/>
              </w:rPr>
              <w:t>Antibodies</w:t>
            </w:r>
          </w:p>
        </w:tc>
        <w:tc>
          <w:tcPr>
            <w:tcW w:w="1830" w:type="dxa"/>
          </w:tcPr>
          <w:p w14:paraId="4C5823C2" w14:textId="77777777" w:rsidR="00F82764" w:rsidRPr="00024FD1" w:rsidRDefault="00F82764" w:rsidP="00D565A0">
            <w:pPr>
              <w:rPr>
                <w:lang w:eastAsia="en-US"/>
              </w:rPr>
            </w:pPr>
          </w:p>
        </w:tc>
        <w:tc>
          <w:tcPr>
            <w:tcW w:w="3856" w:type="dxa"/>
          </w:tcPr>
          <w:p w14:paraId="6C60B585" w14:textId="77777777" w:rsidR="00F82764" w:rsidRPr="00024FD1" w:rsidRDefault="00F82764" w:rsidP="00D565A0">
            <w:pPr>
              <w:rPr>
                <w:b/>
                <w:bCs/>
                <w:lang w:eastAsia="en-US"/>
              </w:rPr>
            </w:pPr>
          </w:p>
        </w:tc>
      </w:tr>
      <w:tr w:rsidR="00147508" w:rsidRPr="00024FD1" w14:paraId="792E7588" w14:textId="77777777" w:rsidTr="00077010">
        <w:tc>
          <w:tcPr>
            <w:tcW w:w="4309" w:type="dxa"/>
          </w:tcPr>
          <w:p w14:paraId="618D17FA" w14:textId="2FBF0183" w:rsidR="00F82764" w:rsidRPr="00024FD1" w:rsidRDefault="00D3474B" w:rsidP="00D565A0">
            <w:pPr>
              <w:rPr>
                <w:b/>
                <w:bCs/>
                <w:lang w:eastAsia="en-US"/>
              </w:rPr>
            </w:pPr>
            <w:r w:rsidRPr="00024FD1">
              <w:t>Anti-Alkaline Phosphatase</w:t>
            </w:r>
          </w:p>
        </w:tc>
        <w:tc>
          <w:tcPr>
            <w:tcW w:w="1830" w:type="dxa"/>
          </w:tcPr>
          <w:p w14:paraId="7CDDB552" w14:textId="276A774D" w:rsidR="00F82764" w:rsidRPr="00024FD1" w:rsidRDefault="00D3474B" w:rsidP="00D565A0">
            <w:pPr>
              <w:rPr>
                <w:lang w:eastAsia="en-US"/>
              </w:rPr>
            </w:pPr>
            <w:r w:rsidRPr="00024FD1">
              <w:t>Abcam</w:t>
            </w:r>
          </w:p>
        </w:tc>
        <w:tc>
          <w:tcPr>
            <w:tcW w:w="3856" w:type="dxa"/>
          </w:tcPr>
          <w:p w14:paraId="60821362" w14:textId="26D9150D" w:rsidR="00F82764" w:rsidRPr="00024FD1" w:rsidRDefault="00D3474B" w:rsidP="00D565A0">
            <w:r w:rsidRPr="00024FD1">
              <w:t>Cat# ab95462</w:t>
            </w:r>
          </w:p>
        </w:tc>
      </w:tr>
      <w:tr w:rsidR="00147508" w:rsidRPr="00024FD1" w14:paraId="3C619AD3" w14:textId="77777777" w:rsidTr="00077010">
        <w:tc>
          <w:tcPr>
            <w:tcW w:w="4309" w:type="dxa"/>
          </w:tcPr>
          <w:p w14:paraId="065FE7EF" w14:textId="005F36B0" w:rsidR="00F82764" w:rsidRPr="00024FD1" w:rsidRDefault="00D3474B" w:rsidP="00D565A0">
            <w:pPr>
              <w:rPr>
                <w:b/>
                <w:bCs/>
                <w:lang w:eastAsia="en-US"/>
              </w:rPr>
            </w:pPr>
            <w:r w:rsidRPr="00024FD1">
              <w:t xml:space="preserve">Tissue Non-Specific antibody </w:t>
            </w:r>
          </w:p>
        </w:tc>
        <w:tc>
          <w:tcPr>
            <w:tcW w:w="1830" w:type="dxa"/>
          </w:tcPr>
          <w:p w14:paraId="28516350" w14:textId="4E933373" w:rsidR="00F82764" w:rsidRPr="00024FD1" w:rsidRDefault="00D3474B" w:rsidP="00D565A0">
            <w:pPr>
              <w:rPr>
                <w:b/>
                <w:bCs/>
                <w:lang w:eastAsia="en-US"/>
              </w:rPr>
            </w:pPr>
            <w:r w:rsidRPr="00024FD1">
              <w:t>Abcam</w:t>
            </w:r>
          </w:p>
        </w:tc>
        <w:tc>
          <w:tcPr>
            <w:tcW w:w="3856" w:type="dxa"/>
          </w:tcPr>
          <w:p w14:paraId="555BC356" w14:textId="26D08E44" w:rsidR="00F82764" w:rsidRPr="00024FD1" w:rsidRDefault="00D3474B" w:rsidP="00D565A0">
            <w:r w:rsidRPr="00024FD1">
              <w:t>Cat# ab65834</w:t>
            </w:r>
          </w:p>
        </w:tc>
      </w:tr>
      <w:tr w:rsidR="00147508" w:rsidRPr="00024FD1" w14:paraId="083E5E35" w14:textId="77777777" w:rsidTr="00077010">
        <w:tc>
          <w:tcPr>
            <w:tcW w:w="4309" w:type="dxa"/>
          </w:tcPr>
          <w:p w14:paraId="077D6FAA" w14:textId="685BE367" w:rsidR="00F82764" w:rsidRPr="00024FD1" w:rsidRDefault="00D3474B" w:rsidP="00D565A0">
            <w:pPr>
              <w:rPr>
                <w:b/>
                <w:bCs/>
                <w:lang w:eastAsia="en-US"/>
              </w:rPr>
            </w:pPr>
            <w:r w:rsidRPr="00024FD1">
              <w:t xml:space="preserve">Anti-Osteopontin antibody </w:t>
            </w:r>
          </w:p>
        </w:tc>
        <w:tc>
          <w:tcPr>
            <w:tcW w:w="1830" w:type="dxa"/>
          </w:tcPr>
          <w:p w14:paraId="72318C85" w14:textId="0F8DD035" w:rsidR="00F82764" w:rsidRPr="00024FD1" w:rsidRDefault="00D3474B" w:rsidP="00D565A0">
            <w:pPr>
              <w:rPr>
                <w:b/>
                <w:bCs/>
                <w:lang w:eastAsia="en-US"/>
              </w:rPr>
            </w:pPr>
            <w:r w:rsidRPr="00024FD1">
              <w:t>Abcam</w:t>
            </w:r>
          </w:p>
        </w:tc>
        <w:tc>
          <w:tcPr>
            <w:tcW w:w="3856" w:type="dxa"/>
          </w:tcPr>
          <w:p w14:paraId="71E8BA42" w14:textId="50BAB2EA" w:rsidR="00F82764" w:rsidRPr="00024FD1" w:rsidRDefault="00D3474B" w:rsidP="00D565A0">
            <w:pPr>
              <w:rPr>
                <w:b/>
                <w:bCs/>
                <w:lang w:eastAsia="en-US"/>
              </w:rPr>
            </w:pPr>
            <w:r w:rsidRPr="00024FD1">
              <w:t>Cat# ab8448</w:t>
            </w:r>
          </w:p>
        </w:tc>
      </w:tr>
      <w:tr w:rsidR="00147508" w:rsidRPr="00024FD1" w14:paraId="490A0E62" w14:textId="77777777" w:rsidTr="00077010">
        <w:tc>
          <w:tcPr>
            <w:tcW w:w="4309" w:type="dxa"/>
          </w:tcPr>
          <w:p w14:paraId="63428AC9" w14:textId="1ED49339" w:rsidR="00D3474B" w:rsidRPr="00024FD1" w:rsidRDefault="00D3474B" w:rsidP="00D3474B">
            <w:r w:rsidRPr="00024FD1">
              <w:t xml:space="preserve">Anti-Collagen I antibody </w:t>
            </w:r>
          </w:p>
        </w:tc>
        <w:tc>
          <w:tcPr>
            <w:tcW w:w="1830" w:type="dxa"/>
          </w:tcPr>
          <w:p w14:paraId="0AD32D85" w14:textId="29FC1B12" w:rsidR="00D3474B" w:rsidRPr="00024FD1" w:rsidRDefault="00D3474B" w:rsidP="00D3474B">
            <w:pPr>
              <w:rPr>
                <w:b/>
                <w:bCs/>
                <w:lang w:eastAsia="en-US"/>
              </w:rPr>
            </w:pPr>
            <w:r w:rsidRPr="00024FD1">
              <w:t>Abcam</w:t>
            </w:r>
          </w:p>
        </w:tc>
        <w:tc>
          <w:tcPr>
            <w:tcW w:w="3856" w:type="dxa"/>
          </w:tcPr>
          <w:p w14:paraId="6285FB64" w14:textId="6AE3D3F4" w:rsidR="00D3474B" w:rsidRPr="00024FD1" w:rsidRDefault="00D3474B" w:rsidP="00D3474B">
            <w:pPr>
              <w:rPr>
                <w:b/>
                <w:bCs/>
                <w:lang w:eastAsia="en-US"/>
              </w:rPr>
            </w:pPr>
            <w:r w:rsidRPr="00024FD1">
              <w:t>Cat# ab34710</w:t>
            </w:r>
          </w:p>
        </w:tc>
      </w:tr>
      <w:tr w:rsidR="00147508" w:rsidRPr="00024FD1" w14:paraId="54EFC841" w14:textId="77777777" w:rsidTr="00077010">
        <w:tc>
          <w:tcPr>
            <w:tcW w:w="4309" w:type="dxa"/>
          </w:tcPr>
          <w:p w14:paraId="3BBE4E31" w14:textId="41464DF6" w:rsidR="00D3474B" w:rsidRPr="00024FD1" w:rsidRDefault="00D3474B" w:rsidP="00D3474B">
            <w:r w:rsidRPr="00024FD1">
              <w:t>Goat Anti-Rabbit IgG (Alexa Fluor® 647)</w:t>
            </w:r>
          </w:p>
        </w:tc>
        <w:tc>
          <w:tcPr>
            <w:tcW w:w="1830" w:type="dxa"/>
          </w:tcPr>
          <w:p w14:paraId="0ECA7775" w14:textId="7CA5EDC5" w:rsidR="00D3474B" w:rsidRPr="00024FD1" w:rsidRDefault="00D3474B" w:rsidP="00D3474B">
            <w:pPr>
              <w:rPr>
                <w:b/>
                <w:bCs/>
                <w:lang w:eastAsia="en-US"/>
              </w:rPr>
            </w:pPr>
            <w:r w:rsidRPr="00024FD1">
              <w:t>Abcam</w:t>
            </w:r>
          </w:p>
        </w:tc>
        <w:tc>
          <w:tcPr>
            <w:tcW w:w="3856" w:type="dxa"/>
          </w:tcPr>
          <w:p w14:paraId="08558C30" w14:textId="3C41C583" w:rsidR="00D3474B" w:rsidRPr="00024FD1" w:rsidRDefault="00D3474B" w:rsidP="00D3474B">
            <w:pPr>
              <w:rPr>
                <w:b/>
                <w:bCs/>
                <w:lang w:eastAsia="en-US"/>
              </w:rPr>
            </w:pPr>
            <w:r w:rsidRPr="00024FD1">
              <w:t>Cat# ab150079</w:t>
            </w:r>
          </w:p>
        </w:tc>
      </w:tr>
      <w:tr w:rsidR="00147508" w:rsidRPr="00024FD1" w14:paraId="79236910" w14:textId="77777777" w:rsidTr="00077010">
        <w:tc>
          <w:tcPr>
            <w:tcW w:w="4309" w:type="dxa"/>
          </w:tcPr>
          <w:p w14:paraId="7A8165E5" w14:textId="26312538" w:rsidR="00D3474B" w:rsidRPr="00024FD1" w:rsidRDefault="002C32DD" w:rsidP="00D3474B">
            <w:pPr>
              <w:rPr>
                <w:b/>
                <w:bCs/>
              </w:rPr>
            </w:pPr>
            <w:r w:rsidRPr="00024FD1">
              <w:rPr>
                <w:b/>
                <w:bCs/>
              </w:rPr>
              <w:t>Biological samples</w:t>
            </w:r>
          </w:p>
        </w:tc>
        <w:tc>
          <w:tcPr>
            <w:tcW w:w="1830" w:type="dxa"/>
          </w:tcPr>
          <w:p w14:paraId="512F0278" w14:textId="77777777" w:rsidR="00D3474B" w:rsidRPr="00024FD1" w:rsidRDefault="00D3474B" w:rsidP="00D3474B">
            <w:pPr>
              <w:rPr>
                <w:b/>
                <w:bCs/>
                <w:lang w:eastAsia="en-US"/>
              </w:rPr>
            </w:pPr>
          </w:p>
        </w:tc>
        <w:tc>
          <w:tcPr>
            <w:tcW w:w="3856" w:type="dxa"/>
          </w:tcPr>
          <w:p w14:paraId="137E8E3D" w14:textId="77777777" w:rsidR="00D3474B" w:rsidRPr="00024FD1" w:rsidRDefault="00D3474B" w:rsidP="00D3474B">
            <w:pPr>
              <w:rPr>
                <w:b/>
                <w:bCs/>
                <w:lang w:eastAsia="en-US"/>
              </w:rPr>
            </w:pPr>
          </w:p>
        </w:tc>
      </w:tr>
      <w:tr w:rsidR="00147508" w:rsidRPr="00024FD1" w14:paraId="0ADD471E" w14:textId="77777777" w:rsidTr="00077010">
        <w:tc>
          <w:tcPr>
            <w:tcW w:w="4309" w:type="dxa"/>
          </w:tcPr>
          <w:p w14:paraId="6F307E27" w14:textId="72099312" w:rsidR="00D3474B" w:rsidRPr="00024FD1" w:rsidRDefault="002C32DD" w:rsidP="00D3474B">
            <w:r w:rsidRPr="00024FD1">
              <w:t>Human FBMSCs</w:t>
            </w:r>
          </w:p>
        </w:tc>
        <w:tc>
          <w:tcPr>
            <w:tcW w:w="1830" w:type="dxa"/>
          </w:tcPr>
          <w:p w14:paraId="326487D1" w14:textId="642E48D8" w:rsidR="00D3474B" w:rsidRPr="00024FD1" w:rsidRDefault="002C32DD" w:rsidP="00D3474B">
            <w:pPr>
              <w:rPr>
                <w:b/>
                <w:bCs/>
                <w:lang w:eastAsia="en-US"/>
              </w:rPr>
            </w:pPr>
            <w:r w:rsidRPr="00024FD1">
              <w:t>Bone and Joint Research Group, University of Southampton</w:t>
            </w:r>
          </w:p>
        </w:tc>
        <w:tc>
          <w:tcPr>
            <w:tcW w:w="3856" w:type="dxa"/>
          </w:tcPr>
          <w:p w14:paraId="55BB3B42" w14:textId="0C559073" w:rsidR="00D3474B" w:rsidRPr="00024FD1" w:rsidRDefault="002C32DD" w:rsidP="00D3474B">
            <w:pPr>
              <w:rPr>
                <w:b/>
                <w:bCs/>
                <w:lang w:eastAsia="en-US"/>
              </w:rPr>
            </w:pPr>
            <w:r w:rsidRPr="00024FD1">
              <w:t xml:space="preserve">Southampton &amp; </w:t>
            </w:r>
            <w:proofErr w:type="gramStart"/>
            <w:r w:rsidRPr="00024FD1">
              <w:t>South West</w:t>
            </w:r>
            <w:proofErr w:type="gramEnd"/>
            <w:r w:rsidRPr="00024FD1">
              <w:t xml:space="preserve"> Hampshire Local Research Ethics Committee</w:t>
            </w:r>
            <w:r w:rsidR="00024FD1">
              <w:t xml:space="preserve"> </w:t>
            </w:r>
            <w:r w:rsidRPr="00024FD1">
              <w:t>(LREC296/100)</w:t>
            </w:r>
            <w:r w:rsidR="00024FD1">
              <w:t>. L</w:t>
            </w:r>
            <w:r w:rsidR="00024FD1" w:rsidRPr="00024FD1">
              <w:t>icense</w:t>
            </w:r>
            <w:r w:rsidR="00024FD1">
              <w:t xml:space="preserve"> (</w:t>
            </w:r>
            <w:r w:rsidR="00024FD1" w:rsidRPr="00024FD1">
              <w:t>PPL 30/2762</w:t>
            </w:r>
            <w:r w:rsidR="00024FD1">
              <w:t>)</w:t>
            </w:r>
          </w:p>
        </w:tc>
      </w:tr>
      <w:tr w:rsidR="00147508" w:rsidRPr="00024FD1" w14:paraId="4AE7718F" w14:textId="77777777" w:rsidTr="00077010">
        <w:tc>
          <w:tcPr>
            <w:tcW w:w="4309" w:type="dxa"/>
          </w:tcPr>
          <w:p w14:paraId="2D1546D8" w14:textId="605C5046" w:rsidR="00D3474B" w:rsidRPr="00024FD1" w:rsidRDefault="00024FD1" w:rsidP="00D3474B">
            <w:pPr>
              <w:rPr>
                <w:b/>
                <w:bCs/>
              </w:rPr>
            </w:pPr>
            <w:r w:rsidRPr="00024FD1">
              <w:rPr>
                <w:b/>
                <w:bCs/>
              </w:rPr>
              <w:t>Software and algorithms</w:t>
            </w:r>
          </w:p>
        </w:tc>
        <w:tc>
          <w:tcPr>
            <w:tcW w:w="1830" w:type="dxa"/>
          </w:tcPr>
          <w:p w14:paraId="244BAAA8" w14:textId="77777777" w:rsidR="00D3474B" w:rsidRPr="00024FD1" w:rsidRDefault="00D3474B" w:rsidP="00D3474B">
            <w:pPr>
              <w:rPr>
                <w:b/>
                <w:bCs/>
                <w:lang w:eastAsia="en-US"/>
              </w:rPr>
            </w:pPr>
          </w:p>
        </w:tc>
        <w:tc>
          <w:tcPr>
            <w:tcW w:w="3856" w:type="dxa"/>
          </w:tcPr>
          <w:p w14:paraId="05DEAEE0" w14:textId="77777777" w:rsidR="00D3474B" w:rsidRPr="00024FD1" w:rsidRDefault="00D3474B" w:rsidP="00D3474B">
            <w:pPr>
              <w:rPr>
                <w:b/>
                <w:bCs/>
                <w:lang w:eastAsia="en-US"/>
              </w:rPr>
            </w:pPr>
          </w:p>
        </w:tc>
      </w:tr>
      <w:tr w:rsidR="00147508" w:rsidRPr="00024FD1" w14:paraId="694484A3" w14:textId="77777777" w:rsidTr="00077010">
        <w:tc>
          <w:tcPr>
            <w:tcW w:w="4309" w:type="dxa"/>
            <w:vAlign w:val="center"/>
          </w:tcPr>
          <w:p w14:paraId="6C14FEEB" w14:textId="08AB6AE0" w:rsidR="00024FD1" w:rsidRPr="00024FD1" w:rsidRDefault="00024FD1" w:rsidP="00024FD1">
            <w:r w:rsidRPr="00024FD1">
              <w:lastRenderedPageBreak/>
              <w:t xml:space="preserve">GraphPad Prism </w:t>
            </w:r>
            <w:r>
              <w:t>5.04</w:t>
            </w:r>
          </w:p>
        </w:tc>
        <w:tc>
          <w:tcPr>
            <w:tcW w:w="1830" w:type="dxa"/>
            <w:vAlign w:val="center"/>
          </w:tcPr>
          <w:p w14:paraId="7C84606C" w14:textId="622104C4" w:rsidR="00024FD1" w:rsidRPr="00024FD1" w:rsidRDefault="00024FD1" w:rsidP="00024FD1">
            <w:r w:rsidRPr="00024FD1">
              <w:t>GraphPad</w:t>
            </w:r>
          </w:p>
        </w:tc>
        <w:tc>
          <w:tcPr>
            <w:tcW w:w="3856" w:type="dxa"/>
            <w:vAlign w:val="center"/>
          </w:tcPr>
          <w:p w14:paraId="7D741487" w14:textId="27C0B895" w:rsidR="00024FD1" w:rsidRPr="00024FD1" w:rsidRDefault="00743A16" w:rsidP="00024FD1">
            <w:hyperlink r:id="rId31" w:tgtFrame="_blank" w:history="1">
              <w:r w:rsidR="00024FD1" w:rsidRPr="00024FD1">
                <w:t>https://www.graphpad.com/scientific-software/prism/</w:t>
              </w:r>
            </w:hyperlink>
          </w:p>
        </w:tc>
      </w:tr>
      <w:tr w:rsidR="00147508" w:rsidRPr="00024FD1" w14:paraId="6DD35123" w14:textId="77777777" w:rsidTr="00077010">
        <w:tc>
          <w:tcPr>
            <w:tcW w:w="4309" w:type="dxa"/>
          </w:tcPr>
          <w:p w14:paraId="705B6CE6" w14:textId="4BAFE213" w:rsidR="00D3474B" w:rsidRPr="00024FD1" w:rsidRDefault="00024FD1" w:rsidP="00D3474B">
            <w:proofErr w:type="spellStart"/>
            <w:r w:rsidRPr="00F403D0">
              <w:t>Imaris</w:t>
            </w:r>
            <w:proofErr w:type="spellEnd"/>
          </w:p>
        </w:tc>
        <w:tc>
          <w:tcPr>
            <w:tcW w:w="1830" w:type="dxa"/>
          </w:tcPr>
          <w:p w14:paraId="7E6DAEF5" w14:textId="08F0AC37" w:rsidR="00D3474B" w:rsidRPr="00B86087" w:rsidRDefault="00B86087" w:rsidP="00D3474B">
            <w:r w:rsidRPr="00B86087">
              <w:t>Oxford Instruments IMARIS</w:t>
            </w:r>
          </w:p>
        </w:tc>
        <w:tc>
          <w:tcPr>
            <w:tcW w:w="3856" w:type="dxa"/>
          </w:tcPr>
          <w:p w14:paraId="50DDF380" w14:textId="35D39E0A" w:rsidR="00D3474B" w:rsidRPr="00B86087" w:rsidRDefault="00024FD1" w:rsidP="00D3474B">
            <w:r w:rsidRPr="00B86087">
              <w:t>https://imaris.oxinst.com/</w:t>
            </w:r>
          </w:p>
        </w:tc>
      </w:tr>
      <w:tr w:rsidR="00147508" w:rsidRPr="00024FD1" w14:paraId="46864483" w14:textId="77777777" w:rsidTr="00077010">
        <w:tc>
          <w:tcPr>
            <w:tcW w:w="4309" w:type="dxa"/>
          </w:tcPr>
          <w:p w14:paraId="08C51A5E" w14:textId="64ADD9E4" w:rsidR="00D3474B" w:rsidRPr="00B86087" w:rsidRDefault="00B86087" w:rsidP="00D3474B">
            <w:proofErr w:type="spellStart"/>
            <w:r w:rsidRPr="00B86087">
              <w:t>Bluehill</w:t>
            </w:r>
            <w:proofErr w:type="spellEnd"/>
            <w:r w:rsidRPr="00B86087">
              <w:t xml:space="preserve"> 3</w:t>
            </w:r>
          </w:p>
        </w:tc>
        <w:tc>
          <w:tcPr>
            <w:tcW w:w="1830" w:type="dxa"/>
          </w:tcPr>
          <w:p w14:paraId="0C9132B6" w14:textId="6846E4B5" w:rsidR="00D3474B" w:rsidRPr="00B86087" w:rsidRDefault="00B86087" w:rsidP="00D3474B">
            <w:r w:rsidRPr="00B86087">
              <w:t>Instron</w:t>
            </w:r>
          </w:p>
        </w:tc>
        <w:tc>
          <w:tcPr>
            <w:tcW w:w="3856" w:type="dxa"/>
          </w:tcPr>
          <w:p w14:paraId="39532A30" w14:textId="652DAAB3" w:rsidR="00D3474B" w:rsidRPr="00B86087" w:rsidRDefault="00B86087" w:rsidP="00D3474B">
            <w:r w:rsidRPr="00B86087">
              <w:t>https://www.instron.com/en-gb/products/materials-testing-software</w:t>
            </w:r>
          </w:p>
        </w:tc>
      </w:tr>
      <w:tr w:rsidR="00077010" w:rsidRPr="00024FD1" w14:paraId="67717A53" w14:textId="77777777" w:rsidTr="00077010">
        <w:tc>
          <w:tcPr>
            <w:tcW w:w="4309" w:type="dxa"/>
          </w:tcPr>
          <w:p w14:paraId="2E1767DB" w14:textId="708F1FA1" w:rsidR="00B86087" w:rsidRPr="00B86087" w:rsidRDefault="00B86087" w:rsidP="00D3474B">
            <w:proofErr w:type="spellStart"/>
            <w:r w:rsidRPr="00024FD1">
              <w:t>QuPath</w:t>
            </w:r>
            <w:proofErr w:type="spellEnd"/>
          </w:p>
        </w:tc>
        <w:tc>
          <w:tcPr>
            <w:tcW w:w="1830" w:type="dxa"/>
          </w:tcPr>
          <w:p w14:paraId="52F80503" w14:textId="19290F90" w:rsidR="00B86087" w:rsidRPr="00B86087" w:rsidRDefault="00B86087" w:rsidP="00D3474B">
            <w:r w:rsidRPr="00B86087">
              <w:t>Quantitative Pathology &amp; Bioimage Analysis</w:t>
            </w:r>
          </w:p>
        </w:tc>
        <w:tc>
          <w:tcPr>
            <w:tcW w:w="3856" w:type="dxa"/>
          </w:tcPr>
          <w:p w14:paraId="0FE536BC" w14:textId="105970CB" w:rsidR="00B86087" w:rsidRPr="00B86087" w:rsidRDefault="00B86087" w:rsidP="00D3474B">
            <w:r w:rsidRPr="00B86087">
              <w:t>https://qupath.github.io/</w:t>
            </w:r>
          </w:p>
        </w:tc>
      </w:tr>
      <w:tr w:rsidR="00077010" w:rsidRPr="00024FD1" w14:paraId="783E862F" w14:textId="77777777" w:rsidTr="00077010">
        <w:tc>
          <w:tcPr>
            <w:tcW w:w="4309" w:type="dxa"/>
          </w:tcPr>
          <w:p w14:paraId="386FF460" w14:textId="5CF15EEE" w:rsidR="00B86087" w:rsidRPr="00F403D0" w:rsidRDefault="00B86087" w:rsidP="00D3474B">
            <w:pPr>
              <w:rPr>
                <w:lang w:val="en-US"/>
              </w:rPr>
            </w:pPr>
            <w:r w:rsidRPr="00024FD1">
              <w:rPr>
                <w:rFonts w:cs="Arial"/>
                <w:szCs w:val="24"/>
              </w:rPr>
              <w:t>ImageJ</w:t>
            </w:r>
            <w:r>
              <w:rPr>
                <w:rFonts w:cs="Arial"/>
                <w:szCs w:val="24"/>
              </w:rPr>
              <w:t>/Fiji</w:t>
            </w:r>
          </w:p>
        </w:tc>
        <w:tc>
          <w:tcPr>
            <w:tcW w:w="1830" w:type="dxa"/>
          </w:tcPr>
          <w:p w14:paraId="39FEC79D" w14:textId="2C8A7BB4" w:rsidR="00B86087" w:rsidRPr="00B86087" w:rsidRDefault="00B86087" w:rsidP="00D3474B">
            <w:pPr>
              <w:rPr>
                <w:lang w:val="en-US"/>
              </w:rPr>
            </w:pPr>
            <w:r>
              <w:rPr>
                <w:lang w:val="en-US"/>
              </w:rPr>
              <w:t>Fiji</w:t>
            </w:r>
          </w:p>
        </w:tc>
        <w:tc>
          <w:tcPr>
            <w:tcW w:w="3856" w:type="dxa"/>
          </w:tcPr>
          <w:p w14:paraId="7E3CA979" w14:textId="10288DB5" w:rsidR="00B86087" w:rsidRPr="00B86087" w:rsidRDefault="00B86087" w:rsidP="00D3474B">
            <w:pPr>
              <w:rPr>
                <w:lang w:val="en-US"/>
              </w:rPr>
            </w:pPr>
            <w:r w:rsidRPr="00B86087">
              <w:rPr>
                <w:lang w:val="en-US"/>
              </w:rPr>
              <w:t>https://fiji.sc/</w:t>
            </w:r>
          </w:p>
        </w:tc>
      </w:tr>
      <w:tr w:rsidR="00077010" w:rsidRPr="00024FD1" w14:paraId="1DA38664" w14:textId="77777777" w:rsidTr="00077010">
        <w:tc>
          <w:tcPr>
            <w:tcW w:w="4309" w:type="dxa"/>
          </w:tcPr>
          <w:p w14:paraId="641640D1" w14:textId="1AF0B69D" w:rsidR="00B86087" w:rsidRPr="00F403D0" w:rsidRDefault="00B86087" w:rsidP="00D3474B">
            <w:pPr>
              <w:rPr>
                <w:lang w:val="en-US"/>
              </w:rPr>
            </w:pPr>
            <w:proofErr w:type="spellStart"/>
            <w:r>
              <w:rPr>
                <w:lang w:val="en-US"/>
              </w:rPr>
              <w:t>Bonej</w:t>
            </w:r>
            <w:proofErr w:type="spellEnd"/>
          </w:p>
        </w:tc>
        <w:tc>
          <w:tcPr>
            <w:tcW w:w="1830" w:type="dxa"/>
          </w:tcPr>
          <w:p w14:paraId="44C18ADC" w14:textId="3B7522B4" w:rsidR="00B86087" w:rsidRPr="00B86087" w:rsidRDefault="00B86087" w:rsidP="00D3474B">
            <w:pPr>
              <w:rPr>
                <w:lang w:val="en-US"/>
              </w:rPr>
            </w:pPr>
            <w:proofErr w:type="spellStart"/>
            <w:r>
              <w:rPr>
                <w:lang w:val="en-US"/>
              </w:rPr>
              <w:t>Bonej</w:t>
            </w:r>
            <w:proofErr w:type="spellEnd"/>
          </w:p>
        </w:tc>
        <w:tc>
          <w:tcPr>
            <w:tcW w:w="3856" w:type="dxa"/>
          </w:tcPr>
          <w:p w14:paraId="4FF8FA34" w14:textId="6098F002" w:rsidR="00B86087" w:rsidRPr="00B86087" w:rsidRDefault="00B86087" w:rsidP="00D3474B">
            <w:pPr>
              <w:rPr>
                <w:lang w:val="en-US"/>
              </w:rPr>
            </w:pPr>
            <w:r w:rsidRPr="00B86087">
              <w:rPr>
                <w:lang w:val="en-US"/>
              </w:rPr>
              <w:t>https://bonej.org/</w:t>
            </w:r>
          </w:p>
        </w:tc>
      </w:tr>
    </w:tbl>
    <w:p w14:paraId="0A54772C" w14:textId="77777777" w:rsidR="00F82764" w:rsidRPr="00024FD1" w:rsidRDefault="00F82764" w:rsidP="00D565A0">
      <w:pPr>
        <w:rPr>
          <w:b/>
          <w:bCs/>
          <w:lang w:eastAsia="en-US"/>
        </w:rPr>
      </w:pPr>
    </w:p>
    <w:p w14:paraId="7FDA38E1" w14:textId="1241ADC3" w:rsidR="001E0CEE" w:rsidRDefault="00B86087" w:rsidP="001E0CEE">
      <w:pPr>
        <w:pStyle w:val="BCAuthorAddress"/>
        <w:jc w:val="both"/>
        <w:rPr>
          <w:b/>
          <w:bCs/>
          <w:lang w:val="en-GB"/>
        </w:rPr>
      </w:pPr>
      <w:r>
        <w:rPr>
          <w:b/>
          <w:bCs/>
          <w:lang w:val="en-GB"/>
        </w:rPr>
        <w:t>Resource availability</w:t>
      </w:r>
    </w:p>
    <w:p w14:paraId="7CB3D26D" w14:textId="660CECD2" w:rsidR="00147508" w:rsidRPr="00147508" w:rsidRDefault="00147508" w:rsidP="00147508">
      <w:pPr>
        <w:rPr>
          <w:rFonts w:eastAsia="Times New Roman" w:cs="Times New Roman"/>
          <w:b/>
          <w:bCs/>
          <w:szCs w:val="20"/>
          <w:lang w:eastAsia="en-US"/>
        </w:rPr>
      </w:pPr>
      <w:r w:rsidRPr="00147508">
        <w:rPr>
          <w:rFonts w:eastAsia="Times New Roman" w:cs="Times New Roman"/>
          <w:b/>
          <w:bCs/>
          <w:szCs w:val="20"/>
          <w:lang w:eastAsia="en-US"/>
        </w:rPr>
        <w:t>Lead Contact</w:t>
      </w:r>
    </w:p>
    <w:p w14:paraId="2592F805" w14:textId="4E562FFA" w:rsidR="00147508" w:rsidRDefault="00147508" w:rsidP="00147508">
      <w:pPr>
        <w:rPr>
          <w:lang w:eastAsia="en-US"/>
        </w:rPr>
      </w:pPr>
      <w:r>
        <w:rPr>
          <w:lang w:eastAsia="en-US"/>
        </w:rPr>
        <w:t xml:space="preserve">Further information and requests for resources should be directed to the lead contacts, </w:t>
      </w:r>
      <w:r w:rsidRPr="00024FD1">
        <w:rPr>
          <w:lang w:eastAsia="en-US"/>
        </w:rPr>
        <w:t>Richard O.C. Oreffo</w:t>
      </w:r>
      <w:r>
        <w:rPr>
          <w:lang w:eastAsia="en-US"/>
        </w:rPr>
        <w:t xml:space="preserve"> (</w:t>
      </w:r>
      <w:r w:rsidRPr="00024FD1">
        <w:rPr>
          <w:lang w:eastAsia="en-US"/>
        </w:rPr>
        <w:t>Richard.Oreffo@soton.ac.uk</w:t>
      </w:r>
      <w:r>
        <w:rPr>
          <w:lang w:eastAsia="en-US"/>
        </w:rPr>
        <w:t>)</w:t>
      </w:r>
      <w:r w:rsidRPr="00024FD1">
        <w:rPr>
          <w:lang w:eastAsia="en-US"/>
        </w:rPr>
        <w:t xml:space="preserve"> and Mark Bradley</w:t>
      </w:r>
      <w:r>
        <w:rPr>
          <w:lang w:eastAsia="en-US"/>
        </w:rPr>
        <w:t xml:space="preserve"> (</w:t>
      </w:r>
      <w:hyperlink r:id="rId32" w:history="1">
        <w:r w:rsidRPr="00147508">
          <w:rPr>
            <w:lang w:eastAsia="en-US"/>
          </w:rPr>
          <w:t>Mark.Bradley@ed.ac.uk</w:t>
        </w:r>
      </w:hyperlink>
      <w:r>
        <w:rPr>
          <w:lang w:eastAsia="en-US"/>
        </w:rPr>
        <w:t>).</w:t>
      </w:r>
    </w:p>
    <w:p w14:paraId="3A67A646" w14:textId="3BCD6F4D" w:rsidR="00147508" w:rsidRPr="00147508" w:rsidRDefault="00147508" w:rsidP="00147508">
      <w:pPr>
        <w:rPr>
          <w:rFonts w:eastAsia="Times New Roman" w:cs="Times New Roman"/>
          <w:b/>
          <w:bCs/>
          <w:szCs w:val="20"/>
          <w:lang w:eastAsia="en-US"/>
        </w:rPr>
      </w:pPr>
      <w:r w:rsidRPr="00147508">
        <w:rPr>
          <w:rFonts w:eastAsia="Times New Roman" w:cs="Times New Roman"/>
          <w:b/>
          <w:bCs/>
          <w:szCs w:val="20"/>
          <w:lang w:eastAsia="en-US"/>
        </w:rPr>
        <w:t>Materials availability</w:t>
      </w:r>
    </w:p>
    <w:p w14:paraId="5333BF81" w14:textId="0FA3D9B7" w:rsidR="00147508" w:rsidRDefault="00147508" w:rsidP="00147508">
      <w:pPr>
        <w:rPr>
          <w:lang w:eastAsia="en-US"/>
        </w:rPr>
      </w:pPr>
      <w:r>
        <w:rPr>
          <w:lang w:eastAsia="en-US"/>
        </w:rPr>
        <w:t xml:space="preserve">This study did not generate new unique reagents. </w:t>
      </w:r>
    </w:p>
    <w:p w14:paraId="1BE3F136" w14:textId="12A97325" w:rsidR="00147508" w:rsidRDefault="00147508" w:rsidP="00147508">
      <w:pPr>
        <w:rPr>
          <w:lang w:eastAsia="en-US"/>
        </w:rPr>
      </w:pPr>
    </w:p>
    <w:p w14:paraId="09B313B5" w14:textId="2B240C63" w:rsidR="00147508" w:rsidRPr="00147508" w:rsidRDefault="00147508" w:rsidP="00147508">
      <w:pPr>
        <w:pStyle w:val="BCAuthorAddress"/>
        <w:jc w:val="both"/>
        <w:rPr>
          <w:b/>
          <w:bCs/>
          <w:lang w:val="en-GB"/>
        </w:rPr>
      </w:pPr>
      <w:r w:rsidRPr="00147508">
        <w:rPr>
          <w:b/>
          <w:bCs/>
          <w:lang w:val="en-GB"/>
        </w:rPr>
        <w:t>Method details</w:t>
      </w:r>
    </w:p>
    <w:p w14:paraId="11422C4E" w14:textId="32AA697B" w:rsidR="00147508" w:rsidRPr="00147508" w:rsidRDefault="001E0CEE" w:rsidP="00147508">
      <w:r w:rsidRPr="00024FD1">
        <w:rPr>
          <w:b/>
          <w:bCs/>
        </w:rPr>
        <w:t>Arrays of 3D Polymer Scaffolds</w:t>
      </w:r>
      <w:r w:rsidRPr="00024FD1">
        <w:rPr>
          <w:i/>
          <w:iCs/>
        </w:rPr>
        <w:t xml:space="preserve"> </w:t>
      </w:r>
    </w:p>
    <w:p w14:paraId="0DD96084" w14:textId="53E01A5C" w:rsidR="001E0CEE" w:rsidRPr="00024FD1" w:rsidRDefault="001E0CEE" w:rsidP="001E0CEE">
      <w:pPr>
        <w:spacing w:line="480" w:lineRule="auto"/>
        <w:jc w:val="both"/>
      </w:pPr>
      <w:r w:rsidRPr="00024FD1">
        <w:t>The arrays of porous polymers were generated using UV-photopolymerization at &lt; 0</w:t>
      </w:r>
      <w:r w:rsidRPr="00024FD1">
        <w:rPr>
          <w:vertAlign w:val="superscript"/>
        </w:rPr>
        <w:t>o</w:t>
      </w:r>
      <w:r w:rsidRPr="00024FD1">
        <w:t>C with various porogenic solutions (DMSO and the polymerization solutions, in polypropylene 96-well plates (80 µL well). The polymerization solutions (</w:t>
      </w:r>
      <w:r w:rsidR="00AF2AC2">
        <w:t>Table 1</w:t>
      </w:r>
      <w:r w:rsidRPr="00024FD1">
        <w:t xml:space="preserve">) consisted of acrylate monomers, the cross-linker 1,6-hexanediol diacrylate and the </w:t>
      </w:r>
      <w:proofErr w:type="spellStart"/>
      <w:r w:rsidRPr="00024FD1">
        <w:t>photoinitiator</w:t>
      </w:r>
      <w:proofErr w:type="spellEnd"/>
      <w:r w:rsidRPr="00024FD1">
        <w:t xml:space="preserve"> 2-hydroxy-2-methylpropiophenone. For freezing the arrays were cooled to 5 °C for 16 hours, sealed inside a polyethylene box and </w:t>
      </w:r>
      <w:r w:rsidRPr="00024FD1">
        <w:rPr>
          <w:rFonts w:cs="Arial"/>
          <w:szCs w:val="24"/>
        </w:rPr>
        <w:t xml:space="preserve">subsequently further cooled to -20° over 4 hours. UV-polymerization (UV cross-linker CL-1000L 8W, 365 nm, 30 min) was accomplished on top of an aluminium cooling plate (128 x 86 x 10 mm) placed on a dry ice bath. After UV curing the arrays were </w:t>
      </w:r>
      <w:r w:rsidRPr="00024FD1">
        <w:rPr>
          <w:rFonts w:cs="Arial"/>
          <w:szCs w:val="24"/>
        </w:rPr>
        <w:lastRenderedPageBreak/>
        <w:t>washed with ethanol/water (1:1, 2 days) followed</w:t>
      </w:r>
      <w:r w:rsidRPr="00024FD1">
        <w:t xml:space="preserve"> by water (2 days) at 37 ºC inside an oven before freeze-drying (2 days). </w:t>
      </w:r>
    </w:p>
    <w:p w14:paraId="4305BE1C" w14:textId="4E5B1F7F" w:rsidR="00147508" w:rsidRDefault="001E0CEE" w:rsidP="00147508">
      <w:pPr>
        <w:rPr>
          <w:b/>
          <w:bCs/>
        </w:rPr>
      </w:pPr>
      <w:r w:rsidRPr="00024FD1">
        <w:rPr>
          <w:b/>
          <w:bCs/>
        </w:rPr>
        <w:t xml:space="preserve">Scale up of the 3D Scaffolds </w:t>
      </w:r>
    </w:p>
    <w:p w14:paraId="6758659E" w14:textId="1FF41490" w:rsidR="001E0CEE" w:rsidRDefault="001E0CEE" w:rsidP="001E0CEE">
      <w:pPr>
        <w:spacing w:line="480" w:lineRule="auto"/>
        <w:jc w:val="both"/>
      </w:pPr>
      <w:r w:rsidRPr="00024FD1">
        <w:t xml:space="preserve">Larger porous scaffolds (12 x 12 x 2 mm) were prepared in a similar approach as above with the solutions placed inside a custom polystyrene mould (10 x 10 x 7 mm) and cooled at 5 °C for 16 hours and then frozen at - 20 °C for 4 hours before UV-photopolymerization for 60 min. Subsequently, the scaffolds were extracted from the </w:t>
      </w:r>
      <w:proofErr w:type="spellStart"/>
      <w:r w:rsidRPr="00024FD1">
        <w:t>mold</w:t>
      </w:r>
      <w:proofErr w:type="spellEnd"/>
      <w:r w:rsidRPr="00024FD1">
        <w:t xml:space="preserve"> and placed in falcon tubes with water – ethanol (1:1 for 3 days) and then water (5 days) at 37 °C inside an oven before freeze-drying (3 days). </w:t>
      </w:r>
      <w:bookmarkStart w:id="24" w:name="_Hlk56351532"/>
      <w:r w:rsidRPr="00024FD1">
        <w:t>The wash process resulted in a modest swelling of the scaffolds to their final size (12 x 12 x 2 mm).</w:t>
      </w:r>
      <w:bookmarkEnd w:id="24"/>
    </w:p>
    <w:p w14:paraId="706F825C" w14:textId="03518480" w:rsidR="00147508" w:rsidRDefault="00147508" w:rsidP="00147508">
      <w:pPr>
        <w:rPr>
          <w:i/>
          <w:iCs/>
          <w:lang w:val="en-US"/>
        </w:rPr>
      </w:pPr>
      <w:r w:rsidRPr="00EE3F97">
        <w:rPr>
          <w:b/>
          <w:bCs/>
          <w:lang w:val="en-US"/>
        </w:rPr>
        <w:t>Micro-CT Morphological Analysis of 3D Porous Scaffolds</w:t>
      </w:r>
    </w:p>
    <w:p w14:paraId="0FE658AD" w14:textId="2CBFAE50" w:rsidR="00147508" w:rsidRDefault="00147508" w:rsidP="00147508">
      <w:pPr>
        <w:spacing w:line="480" w:lineRule="auto"/>
        <w:jc w:val="both"/>
      </w:pPr>
      <w:r w:rsidRPr="00147508">
        <w:t xml:space="preserve">A cuboid generated by stacking 12 different samples of 3D polymer scaffolds was arranged and scanned through 360 degrees with a step of 0.48 degrees between the exposures using a </w:t>
      </w:r>
      <w:proofErr w:type="spellStart"/>
      <w:r w:rsidRPr="00147508">
        <w:t>Skyscan</w:t>
      </w:r>
      <w:proofErr w:type="spellEnd"/>
      <w:r w:rsidRPr="00147508">
        <w:t xml:space="preserve"> 1172 desktop micro-CT (Bruker, </w:t>
      </w:r>
      <w:proofErr w:type="spellStart"/>
      <w:r w:rsidRPr="00147508">
        <w:t>Kontich</w:t>
      </w:r>
      <w:proofErr w:type="spellEnd"/>
      <w:r w:rsidRPr="00147508">
        <w:t xml:space="preserve">, Belgium). Micro-CT was set up with a 34 kV source voltage, 210 µA source current and with an exposure time of 1764 </w:t>
      </w:r>
      <w:proofErr w:type="spellStart"/>
      <w:r w:rsidRPr="00147508">
        <w:t>ms</w:t>
      </w:r>
      <w:proofErr w:type="spellEnd"/>
      <w:r w:rsidRPr="00147508">
        <w:t xml:space="preserve"> with a resolution of 5.94 µm with 4 frames taken at each position and averaged to reduce noise. </w:t>
      </w:r>
      <w:proofErr w:type="spellStart"/>
      <w:r w:rsidRPr="00147508">
        <w:t>Skyscan</w:t>
      </w:r>
      <w:proofErr w:type="spellEnd"/>
      <w:r w:rsidRPr="00147508">
        <w:t xml:space="preserve"> </w:t>
      </w:r>
      <w:proofErr w:type="spellStart"/>
      <w:r w:rsidRPr="00147508">
        <w:t>NRecon</w:t>
      </w:r>
      <w:proofErr w:type="spellEnd"/>
      <w:r w:rsidRPr="00147508">
        <w:t xml:space="preserve"> v1.6.9 (Bruker, </w:t>
      </w:r>
      <w:proofErr w:type="spellStart"/>
      <w:r w:rsidRPr="00147508">
        <w:t>Kontich</w:t>
      </w:r>
      <w:proofErr w:type="spellEnd"/>
      <w:r w:rsidRPr="00147508">
        <w:t xml:space="preserve">, Belgium) was used to reconstruct the data using a thresholding window of 0.00 to 0.05 in CT attenuation coefficient without beam hardening correction. Volumes of interests of reconstructed micro-CT scans were binarized and characteristics of the scaffolds was analysed with the ImageJ plugin </w:t>
      </w:r>
      <w:proofErr w:type="spellStart"/>
      <w:r w:rsidRPr="00147508">
        <w:t>BoneJ</w:t>
      </w:r>
      <w:proofErr w:type="spellEnd"/>
      <w:r w:rsidRPr="00147508">
        <w:t xml:space="preserve"> </w:t>
      </w:r>
      <w:r w:rsidRPr="00147508">
        <w:fldChar w:fldCharType="begin" w:fldLock="1"/>
      </w:r>
      <w:r w:rsidR="0033591E">
        <w:instrText xml:space="preserve"> ADDIN ZOTERO_ITEM CSL_CITATION {"citationID":"kfvOyP6P","properties":{"formattedCitation":"\\super 28\\nosupersub{}","plainCitation":"28","noteIndex":0},"citationItems":[{"id":"1dryys0K/TSEpsH4q","uris":["http://www.mendeley.com/documents/?uuid=a417ecf9-d81c-4edb-9163-cc2cd30c5cce","http://www.mendeley.com/documents/?uuid=0dc5c6a9-22a8-4020-8867-c53fac78ff02"],"itemData":{"DOI":"10.1016/j.bone.2010.08.023","ISBN":"1873-2763 (Electronic)\\r1873-2763 (Linking)","ISSN":"87563282","PMID":"20817052","abstract":"Bone geometry is commonly measured on computed tomographic (CT) and X-ray microtomographic (μCT) images. We obtained hundreds of CT, μCT and synchrotron μCT images of bones from diverse species that needed to be analysed remote from scanning hardware, but found that available software solutions were expensive, inflexible or methodologically opaque. We implemented standard bone measurements in a novel ImageJ plugin, BoneJ, with which we analysed trabecular bone, whole bones and osteocyte lacunae. BoneJ is open source and free for anyone to download, use, modify and distribute. © 2010 Elsevier Inc.","author":[{"dropping-particle":"","family":"Doube","given":"Michael","non-dropping-particle":"","parse-names":false,"suffix":""},{"dropping-particle":"","family":"Klosowski","given":"Michal M.","non-dropping-particle":"","parse-names":false,"suffix":""},{"dropping-particle":"","family":"Arganda-Carreras","given":"Ignacio","non-dropping-particle":"","parse-names":false,"suffix":""},{"dropping-particle":"","family":"Cordelières","given":"Fabrice P.","non-dropping-particle":"","parse-names":false,"suffix":""},{"dropping-particle":"","family":"Dougherty","given":"Robert P.","non-dropping-particle":"","parse-names":false,"suffix":""},{"dropping-particle":"","family":"Jackson","given":"Jonathan S.","non-dropping-particle":"","parse-names":false,"suffix":""},{"dropping-particle":"","family":"Schmid","given":"Benjamin","non-dropping-particle":"","parse-names":false,"suffix":""},{"dropping-particle":"","family":"Hutchinson","given":"John R.","non-dropping-particle":"","parse-names":false,"suffix":""},{"dropping-particle":"","family":"Shefelbine","given":"Sandra J.","non-dropping-particle":"","parse-names":false,"suffix":""}],"container-title":"Bone","id":"ITEM-1","issue":"6","issued":{"date-parts":[["2010"]]},"page":"1076-1079","title":"BoneJ: Free and extensible bone image analysis in ImageJ","type":"article-journal","volume":"47"}}],"schema":"https://github.com/citation-style-language/schema/raw/master/csl-citation.json"} </w:instrText>
      </w:r>
      <w:r w:rsidRPr="00147508">
        <w:fldChar w:fldCharType="separate"/>
      </w:r>
      <w:r w:rsidR="0033591E" w:rsidRPr="0033591E">
        <w:rPr>
          <w:rFonts w:cs="Times"/>
          <w:szCs w:val="24"/>
          <w:vertAlign w:val="superscript"/>
        </w:rPr>
        <w:t>28</w:t>
      </w:r>
      <w:r w:rsidRPr="00147508">
        <w:fldChar w:fldCharType="end"/>
      </w:r>
      <w:r w:rsidRPr="00147508">
        <w:t>. Porosity was defined as the fraction between the volume of pores and the scaffolds total volume. Pore size along with the thickness of the scaffold walls were defined as the average diameter of a theoretical sphere of the same volume to that of the volume of these constructions.</w:t>
      </w:r>
      <w:r w:rsidR="00416524">
        <w:t xml:space="preserve"> </w:t>
      </w:r>
      <w:r w:rsidRPr="00147508">
        <w:t xml:space="preserve">3D images of the scaffolds were constructed with the contour surface mode of </w:t>
      </w:r>
      <w:proofErr w:type="spellStart"/>
      <w:r w:rsidRPr="00147508">
        <w:t>Imaris</w:t>
      </w:r>
      <w:proofErr w:type="spellEnd"/>
      <w:r w:rsidRPr="00147508">
        <w:t xml:space="preserve">. </w:t>
      </w:r>
    </w:p>
    <w:p w14:paraId="508F0ABA" w14:textId="77777777" w:rsidR="00393B60" w:rsidRPr="00147508" w:rsidRDefault="00393B60" w:rsidP="00147508">
      <w:pPr>
        <w:spacing w:line="480" w:lineRule="auto"/>
        <w:jc w:val="both"/>
      </w:pPr>
    </w:p>
    <w:p w14:paraId="392E8090" w14:textId="6196DB7E" w:rsidR="00147508" w:rsidRDefault="00147508" w:rsidP="00147508">
      <w:pPr>
        <w:rPr>
          <w:i/>
          <w:iCs/>
          <w:lang w:val="en-US"/>
        </w:rPr>
      </w:pPr>
      <w:r w:rsidRPr="00EE3F97">
        <w:rPr>
          <w:b/>
          <w:bCs/>
          <w:iCs/>
          <w:lang w:val="en-US"/>
        </w:rPr>
        <w:lastRenderedPageBreak/>
        <w:t>Mechanical Characterization</w:t>
      </w:r>
      <w:r w:rsidRPr="00F403D0">
        <w:rPr>
          <w:i/>
          <w:iCs/>
          <w:lang w:val="en-US"/>
        </w:rPr>
        <w:t xml:space="preserve"> </w:t>
      </w:r>
    </w:p>
    <w:p w14:paraId="12E4ADD5" w14:textId="0EE8FECF" w:rsidR="00147508" w:rsidRPr="00147508" w:rsidRDefault="00147508" w:rsidP="00147508">
      <w:pPr>
        <w:spacing w:line="480" w:lineRule="auto"/>
        <w:jc w:val="both"/>
      </w:pPr>
      <w:r w:rsidRPr="00147508">
        <w:t xml:space="preserve">An Instron compression system (model 3367) equipped with the software </w:t>
      </w:r>
      <w:proofErr w:type="spellStart"/>
      <w:r w:rsidRPr="00147508">
        <w:t>Bluehill</w:t>
      </w:r>
      <w:proofErr w:type="spellEnd"/>
      <w:r w:rsidRPr="00147508">
        <w:t xml:space="preserve"> 3 (Norwood, USA), a flat cylindrical (diameter 1 mm) indenter (made in house) in addition to a 50 N cell were used for compression to mechanically characterize the re-hydrated 3D scaffolds (12 x 12 x 2 mm). Samples were compressed for 20% of the strain (average height measured with Vernier </w:t>
      </w:r>
      <w:proofErr w:type="spellStart"/>
      <w:r w:rsidRPr="00147508">
        <w:t>calipers</w:t>
      </w:r>
      <w:proofErr w:type="spellEnd"/>
      <w:r w:rsidRPr="00147508">
        <w:t xml:space="preserve"> was about 1.7 mm) at a strain rate of 5% per minute. Relaxation at constant stress was measured for 5 min. The indentation modulus was determined using a linear model for semi-infinite media (ratio surface of the sample to its high </w:t>
      </w:r>
      <w:r w:rsidRPr="00F403D0">
        <w:rPr>
          <w:rFonts w:hint="eastAsia"/>
        </w:rPr>
        <w:t>≥</w:t>
      </w:r>
      <w:r w:rsidRPr="00147508">
        <w:t xml:space="preserve"> 3) previously described </w:t>
      </w:r>
      <w:r w:rsidRPr="00147508">
        <w:fldChar w:fldCharType="begin" w:fldLock="1"/>
      </w:r>
      <w:r w:rsidR="0033591E">
        <w:instrText xml:space="preserve"> ADDIN ZOTERO_ITEM CSL_CITATION {"citationID":"AOg8F7Q6","properties":{"formattedCitation":"\\super 30,31,72\\nosupersub{}","plainCitation":"30,31,72","noteIndex":0},"citationItems":[{"id":"1dryys0K/DH4f4gAb","uris":["http://www.mendeley.com/documents/?uuid=6e08a8cf-30c5-4ada-8b4b-ed46c15a2a4f","http://www.mendeley.com/documents/?uuid=33d5fa57-2781-445f-b3e3-ffc46305046c"],"itemData":{"author":[{"dropping-particle":"","family":"Timoshenko","given":"S.P.","non-dropping-particle":"","parse-names":false,"suffix":""},{"dropping-particle":"","family":"Goodier","given":"J.N.","non-dropping-particle":"","parse-names":false,"suffix":""}],"chapter-number":"1","container-title":"Theory of Elasticity","edition":"3rd","editor":[{"dropping-particle":"","family":"McGraw-Hill","given":"","non-dropping-particle":"","parse-names":false,"suffix":""}],"id":"ITEM-1","issued":{"date-parts":[["1951"]]},"page":"1-14","title":"Theory of Elasticity. Chapter 1","type":"chapter"}},{"id":"1dryys0K/YoYcebbT","uris":["http://www.mendeley.com/documents/?uuid=f2c249eb-4755-4324-8ca6-094853a07c09"],"itemData":{"DOI":"10.1016/j.medengphy.2007.02.007","ISSN":"13504533","abstract":"We have developed a device entitled the 'Tissue Elastometer' (TE) for evaluating the Young's modulus of soft tissues. Soft tissue specimens are compressed between the object plate of an electronic balance and a linearly actuated indenter with a small rounded tip. The hardware of the device was designed such that a deformation model for semi-infinite media is applicable for calculating the Young's modulus of test specimens from their collected force-displacement data. Force-elongation measurements were performed on long strips of cured silicone mixtures to produce calibrated, tissue-mimicking test samples for the TE in a Young's modulus range of 10-400 kPa. When tested with the TE, the Young's moduli of the silicone samples demonstrated accuracy to within 1-10% of their calibrated values. Testing on excised tissue samples (fresh store-bought poultry breast; bovine liver, kidneys, hind shanks; porcine) was also performed, and a repeatability of elasticity measurements was demonstrated in the range of 8-14%. Results indicate that the TE can be effectively used in laboratory and clinical environments to evaluate the elasticity modulus of tissues. © 2007 IPEM.","author":[{"dropping-particle":"","family":"Egorov","given":"V.","non-dropping-particle":"","parse-names":false,"suffix":""},{"dropping-particle":"","family":"Tsyuryupa","given":"S.","non-dropping-particle":"","parse-names":false,"suffix":""},{"dropping-particle":"","family":"Kanilo","given":"S.","non-dropping-particle":"","parse-names":false,"suffix":""},{"dropping-particle":"","family":"Kogit","given":"M.","non-dropping-particle":"","parse-names":false,"suffix":""},{"dropping-particle":"","family":"Sarvazyan","given":"A.","non-dropping-particle":"","parse-names":false,"suffix":""}],"container-title":"Medical Engineering and Physics","id":"ITEM-2","issued":{"date-parts":[["2008"]]},"title":"Soft tissue elastometer","type":"article-journal"}},{"id":"1dryys0K/RT3AQBYd","uris":["http://www.mendeley.com/documents/?uuid=689f69d5-80c0-42c4-be8d-f7f5f2200f8e"],"itemData":{"DOI":"10.1016/j.jmbbm.2016.02.019","ISSN":"18780180","abstract":"Mechanical characterisation of soft biological tissues using standard compression or tensile testing presents a significant challenge due to specimen geometrical irregularities, difficulties in cutting intact and appropriately sized test samples, and issues with slippage or damage at the grips. Indentation can overcome these problems but requires fitting a model to the resulting load-displacement data in order to calculate moduli. Despite the widespread use of this technique, few studies experimentally validate their chosen model or compensate for boundary effects. In this study, viscoelastic hydrogels of different concentrations and dimensions were used to calibrate an indentation technique performed at large specimen-strain deformation (20%) and analysed with a range of routinely used mathematical models. A rigid, flat-ended cylindrical indenter was applied to each specimen from which 'indentation moduli' and relaxation properties were calculated and compared against values obtained from unconfined compression. Only one indentation </w:instrText>
      </w:r>
      <w:r w:rsidR="0033591E">
        <w:rPr>
          <w:rFonts w:hint="eastAsia"/>
        </w:rPr>
        <w:instrText xml:space="preserve">model showed good agreement (&lt;10% difference) with all moduli values obtained from compression. A sample thickness to indenter diameter ratio </w:instrText>
      </w:r>
      <w:r w:rsidR="0033591E">
        <w:rPr>
          <w:rFonts w:hint="eastAsia"/>
        </w:rPr>
        <w:instrText>≥</w:instrText>
      </w:r>
      <w:r w:rsidR="0033591E">
        <w:rPr>
          <w:rFonts w:hint="eastAsia"/>
        </w:rPr>
        <w:instrText xml:space="preserve">1:1 and sample diameter to indenter diameter ratio </w:instrText>
      </w:r>
      <w:r w:rsidR="0033591E">
        <w:rPr>
          <w:rFonts w:hint="eastAsia"/>
        </w:rPr>
        <w:instrText>≥</w:instrText>
      </w:r>
      <w:r w:rsidR="0033591E">
        <w:rPr>
          <w:rFonts w:hint="eastAsia"/>
        </w:rPr>
        <w:instrText>4:1 was necessary to achieve the greatest accuracy. However,</w:instrText>
      </w:r>
      <w:r w:rsidR="0033591E">
        <w:instrText xml:space="preserve"> it is not always possible to use biological samples within these limits, therefore we developed a series of correction factors. The approach was validated using human diseased omentum and bovine articular cartilage resulting in mechanical properties closely matching compression values. We therefore present a widely useable indentation analysis method to allow more accurate calculation of material mechanics which is important in the study of soft tissue development, ageing, health and disease.","author":[{"dropping-particle":"","family":"Delaine-Smith","given":"R. M.","non-dropping-particle":"","parse-names":false,"suffix":""},{"dropping-particle":"","family":"Burney","given":"S.","non-dropping-particle":"","parse-names":false,"suffix":""},{"dropping-particle":"","family":"Balkwill","given":"F. R.","non-dropping-particle":"","parse-names":false,"suffix":""},{"dropping-particle":"","family":"Knight","given":"M. M.","non-dropping-particle":"","parse-names":false,"suffix":""}],"container-title":"Journal of the Mechanical Behavior of Biomedical Materials","id":"ITEM-3","issued":{"date-parts":[["2016"]]},"page":"401-415","publisher":"Elsevier","title":"Experimental validation of a flat punch indentation methodology calibrated against unconfined compression tests for determination of soft tissue biomechanics","type":"article-journal","volume":"60"}}],"schema":"https://github.com/citation-style-language/schema/raw/master/csl-citation.json"} </w:instrText>
      </w:r>
      <w:r w:rsidRPr="00147508">
        <w:fldChar w:fldCharType="separate"/>
      </w:r>
      <w:r w:rsidR="0033591E" w:rsidRPr="0033591E">
        <w:rPr>
          <w:rFonts w:cs="Times"/>
          <w:szCs w:val="24"/>
          <w:vertAlign w:val="superscript"/>
        </w:rPr>
        <w:t>30,31,72</w:t>
      </w:r>
      <w:r w:rsidRPr="00147508">
        <w:fldChar w:fldCharType="end"/>
      </w:r>
      <w:r w:rsidRPr="00147508">
        <w:t xml:space="preserve">. A linear model was applied with load-displacement curves locally between four strain </w:t>
      </w:r>
      <w:proofErr w:type="gramStart"/>
      <w:r w:rsidRPr="00147508">
        <w:t>regions;</w:t>
      </w:r>
      <w:proofErr w:type="gramEnd"/>
      <w:r w:rsidRPr="00147508">
        <w:t xml:space="preserve"> 0%-5%, 5%-10%, 10%-15% and 15%-20%. The relaxation load (%) was determined as the percentage reduction of load after 5 min relaxation </w:t>
      </w:r>
      <w:r w:rsidRPr="00147508">
        <w:fldChar w:fldCharType="begin" w:fldLock="1"/>
      </w:r>
      <w:r w:rsidR="0033591E">
        <w:instrText xml:space="preserve"> ADDIN ZOTERO_ITEM CSL_CITATION {"citationID":"G1FxLzx5","properties":{"formattedCitation":"\\super 34,35\\nosupersub{}","plainCitation":"34,35","noteIndex":0},"citationItems":[{"id":"1dryys0K/yMlA0xda","uris":["http://www.mendeley.com/documents/?uuid=27b022fd-67db-4934-a175-9d26d830cf8a","http://www.mendeley.com/documents/?uuid=189a1bab-4037-4523-a0c2-456960e94066"],"itemData":{"DOI":"10.1089/ten.tea.2011.0606","ISSN":"1937-3341","abstract":"Articular cartilage lesions, which can progress to osteoarthritis, are a particular challenge for regenerative medicine strategies, as cartilage function stems from its complex depth-dependent microstructural organization, mechanical properties, and biochemical composition. Fibrous scaffolds offer a template for cartilage extracellular matrix production; however, the success of homogeneous scaffolds is limited by their inability to mimic the cartilage's zone-specific organization and properties. We fabricated trilaminar scaffolds by sequential electrospinning and varying fiber size and orientation in a continuous construct, to create scaffolds that mimicked the structural organization and mechanical properties of cartilage's collagen fibrillar network. Trilaminar composite scaffolds were then compared to homogeneous aligned or randomly oriented fiber scaffolds to assess in vitro cartilage formation. Bovine chondrocytes proliferated and produced a type II collagen and a sulfated glycosaminoglycan-rich extracellular matrix on all scaffolds. Furthermore, all scaffolds promoted significant upregulation of aggrecan and type II collagen gene expression while downregulating that of type I collagen. Compressive testing at physiological strain levels further demonstrated that the mechanical properties of trilaminar composite scaffolds approached those of native cartilage. Our results demonstrate that trilaminar composite scaffolds mimic key organizational characteristics of native cartilage, support in vitro cartilage formation, and have superior mechanical properties to homogenous scaffolds. We propose that these scaffolds offer promise in regenerative medicine strategies to repair articular cartilage lesions. © Copyright 2012, Mary Ann Liebert, Inc.","author":[{"dropping-particle":"","family":"McCullen","given":"Seth D.","non-dropping-particle":"","parse-names":false,"suffix":""},{"dropping-particle":"","family":"Autefage","given":"Hélène","non-dropping-particle":"","parse-names":false,"suffix":""},{"dropping-particle":"","family":"Callanan","given":"Anthony","non-dropping-particle":"","parse-names":false,"suffix":""},{"dropping-particle":"","family":"Gentleman","given":"Eileen","non-dropping-particle":"","parse-names":false,"suffix":""},{"dropping-particle":"","family":"Stevens","given":"Molly M.","non-dropping-particle":"","parse-names":false,"suffix":""}],"container-title":"Tissue Engineering Part A","id":"ITEM-1","issue":"19-20","issued":{"date-parts":[["2012"]]},"page":"2073-2083","title":"Anisotropic Fibrous Scaffolds for Articular Cartilage Regeneration","type":"article-journal","volume":"18"}},{"id":"1dryys0K/jQj7NNAW","uris":["http://www.mendeley.com/documents/?uuid=95746ab8-9903-4a5b-a40c-1b1ba5645d2b","http://www.mendeley.com/documents/?uuid=8805a841-be4b-4b33-ae1b-bcc01e78ff33","http://www.mendeley.com/documents/?uuid=30040a5d-c0eb-4d6d-bc83-395655f58576"],"itemData":{"DOI":"10.1016/j.actbio.2013.12.030","ISSN":"18787568","abstract":"Articular cartilage lesions are a particular challenge for regenerative medicine strategies as cartilage function stems from a complex depth-dependent organization. Tissue engineering scaffolds that vary in morphology and function offer a template for zone-specific cartilage extracellular matrix (ECM) production and mechanical properties. We fabricated multi-zone cartilage scaffolds by the electrostatic deposition of polymer microfibres onto particulate-templated scaffolds produced with 0.03 or 1.0 mm3 porogens. The scaffolds allowed ample space for chondrocyte ECM production within the bulk while also mimicking the structural organization and functional interface of cartilage's superficial zone. Addition of aligned fibre membranes enhanced the mechanical and surface properties of particulate-templated scaffolds. Zonal analysis of scaffolds demonstrated region-specific variations in chondrocyte number, sulfated GAG-rich ECM, and chondrocytic gene expression. Specifically, smaller porogens (0.03 mm3) yielded significantly higher sGAG accumulation and aggrecan gene expression. Our results demonstrate that bilayered scaffolds mimic some key structural characteristics of native cartilage, support in vitro cartilage formation, and have superior features to homogeneous particulate-templated scaffolds. We propose that these scaffolds offer promise for regenerative medicine strategies to repair articular cartilage lesions. © 2013 Acta Materialia Inc. Published by Elsevier Ltd. All rights reserved.","author":[{"dropping-particle":"","family":"Steele","given":"J. A.M.","non-dropping-particle":"","parse-names":false,"suffix":""},{"dropping-particle":"","family":"McCullen","given":"S. D.","non-dropping-particle":"","parse-names":false,"suffix":""},{"dropping-particle":"","family":"Callanan","given":"A.","non-dropping-particle":"","parse-names":false,"suffix":""},{"dropping-particle":"","family":"Autefage","given":"H.","non-dropping-particle":"","parse-names":false,"suffix":""},{"dropping-particle":"","family":"Accardi","given":"M. A.","non-dropping-particle":"","parse-names":false,"suffix":""},{"dropping-particle":"","family":"Dini","given":"D.","non-dropping-particle":"","parse-names":false,"suffix":""},{"dropping-particle":"","family":"Stevens","given":"M. M.","non-dropping-particle":"","parse-names":false,"suffix":""}],"container-title":"Acta Biomaterialia","id":"ITEM-2","issue":"5","issued":{"date-parts":[["2014"]]},"page":"2065-2075","publisher":"Acta Materialia Inc.","title":"Combinatorial scaffold morphologies for zonal articular cartilage engineering","type":"article-journal","volume":"10"}}],"schema":"https://github.com/citation-style-language/schema/raw/master/csl-citation.json"} </w:instrText>
      </w:r>
      <w:r w:rsidRPr="00147508">
        <w:fldChar w:fldCharType="separate"/>
      </w:r>
      <w:r w:rsidR="0033591E" w:rsidRPr="0033591E">
        <w:rPr>
          <w:rFonts w:cs="Times"/>
          <w:szCs w:val="24"/>
          <w:vertAlign w:val="superscript"/>
        </w:rPr>
        <w:t>34,35</w:t>
      </w:r>
      <w:r w:rsidRPr="00147508">
        <w:fldChar w:fldCharType="end"/>
      </w:r>
      <w:r w:rsidRPr="00147508">
        <w:t>.</w:t>
      </w:r>
    </w:p>
    <w:p w14:paraId="28A46655" w14:textId="77777777" w:rsidR="00B255B0" w:rsidRDefault="00CA434D" w:rsidP="00B255B0">
      <w:pPr>
        <w:rPr>
          <w:b/>
          <w:bCs/>
        </w:rPr>
      </w:pPr>
      <w:r w:rsidRPr="00024FD1">
        <w:rPr>
          <w:b/>
          <w:bCs/>
        </w:rPr>
        <w:t>Protocol for FBMSCs Culture in the Arrays and Scaffolds</w:t>
      </w:r>
    </w:p>
    <w:p w14:paraId="29CB4FF8" w14:textId="6F1A9AD4" w:rsidR="00CA434D" w:rsidRDefault="002C32DD" w:rsidP="001E0CEE">
      <w:pPr>
        <w:spacing w:line="480" w:lineRule="auto"/>
        <w:jc w:val="both"/>
      </w:pPr>
      <w:r w:rsidRPr="00024FD1">
        <w:t xml:space="preserve">Human FBMSCs </w:t>
      </w:r>
      <w:r w:rsidR="00CA434D" w:rsidRPr="00024FD1">
        <w:t xml:space="preserve">were provided by Dr Stefanie Inglis and Ms Suzanne Renz, University of Southampton. The cells were isolated as per ethical approval obtained from Southampton &amp; </w:t>
      </w:r>
      <w:proofErr w:type="gramStart"/>
      <w:r w:rsidR="00CA434D" w:rsidRPr="00024FD1">
        <w:t>South West</w:t>
      </w:r>
      <w:proofErr w:type="gramEnd"/>
      <w:r w:rsidR="00CA434D" w:rsidRPr="00024FD1">
        <w:t xml:space="preserve"> Hampshire Local Research Ethics Committee (LREC296/100). FBMSCs were cultured and expanded to confluence up to passage 4 in basal culture medium (alpha-MEM supplemented with 10% FBS and 1% penicillin/streptomycin/fungizone) before seeding. The polymer scaffolds were sterilized under UV irradiation (overnight). In the case of the array of 3D polymer scaffolds,</w:t>
      </w:r>
      <w:bookmarkStart w:id="25" w:name="_Hlk54522185"/>
      <w:r w:rsidR="00CA434D" w:rsidRPr="00024FD1">
        <w:t xml:space="preserve"> 96-well plates were used as </w:t>
      </w:r>
      <w:proofErr w:type="spellStart"/>
      <w:r w:rsidR="00CA434D" w:rsidRPr="00024FD1">
        <w:t>molds</w:t>
      </w:r>
      <w:proofErr w:type="spellEnd"/>
      <w:r w:rsidR="00CA434D" w:rsidRPr="00024FD1">
        <w:t xml:space="preserve"> (dimensions 6.4 mm x 5 mmm, Ø x h)</w:t>
      </w:r>
      <w:bookmarkEnd w:id="25"/>
      <w:r w:rsidR="00CA434D" w:rsidRPr="00024FD1">
        <w:t>, cells were seeded in suspension (10,000 cells in 150 µL) and were incubated in a humidified atmosphere (37 °C and 5% CO</w:t>
      </w:r>
      <w:r w:rsidR="00CA434D" w:rsidRPr="00024FD1">
        <w:rPr>
          <w:vertAlign w:val="subscript"/>
        </w:rPr>
        <w:t>2</w:t>
      </w:r>
      <w:r w:rsidR="00CA434D" w:rsidRPr="00024FD1">
        <w:t xml:space="preserve">) with media changed every 2 days. Scaled up 3D scaffolds (dimensions 12 mm x 12 mm x 2 mm, L x W x h) were placed inside cell culture inserts and seeded with a suspension of cells (40,000 cells in 110 µL of basal media). FBMSCs were left for 45 min for attachment before covering with media (2 ml) which was changed every 2 days. Osteogenic differentiation media; basal media supplemented with 2-phospho-L-ascorbic acid (50 µg/mL) and calcitriol (10 </w:t>
      </w:r>
      <w:proofErr w:type="spellStart"/>
      <w:r w:rsidR="00CA434D" w:rsidRPr="00024FD1">
        <w:t>nM</w:t>
      </w:r>
      <w:proofErr w:type="spellEnd"/>
      <w:r w:rsidR="00CA434D" w:rsidRPr="00024FD1">
        <w:t>).</w:t>
      </w:r>
      <w:r w:rsidR="00CA434D" w:rsidRPr="00024FD1">
        <w:rPr>
          <w:vertAlign w:val="superscript"/>
        </w:rPr>
        <w:fldChar w:fldCharType="begin" w:fldLock="1"/>
      </w:r>
      <w:r w:rsidR="0033591E">
        <w:rPr>
          <w:vertAlign w:val="superscript"/>
        </w:rPr>
        <w:instrText xml:space="preserve"> ADDIN ZOTERO_ITEM CSL_CITATION {"citationID":"Zw3yzW82","properties":{"formattedCitation":"\\super 73\\nosupersub{}","plainCitation":"73","noteIndex":0},"citationItems":[{"id":"1dryys0K/wNMU4cQp","uris":["http://www.mendeley.com/documents/?uuid=d8a5e560-8ac3-4b83-8675-c12e2718a3a1","http://www.mendeley.com/documents/?uuid=9a15af73-d3d0-4c48-84b1-38ce9e86ed32"],"itemData":{"DOI":"10.1038/bonekey.2013.227","ISBN":"2047-6396 (Electronic)\\r2047-6396 (Linking)","ISSN":"20476396","PMID":"24605210","abstract":"The interaction between vitamin D and osteoblasts is complex. In the current review we will give an overview of the current knowledge of the vitamin D endocrine system in osteoblasts. The presence of the vitamin D receptor in osteoblasts enables direct effects of 1α,25dihydroxyvitamin D3 (1α,25D3) on osteoblasts, but the magnitude of the effects is subject to the presence of many other factors. Vitamin D affects osteoblast proliferation, as well as differentiation and mineralization, but these effects vary with the timing of treatment, dosage and origin of the osteoblasts. Vitamin D effects on differentiation and mineralization are mostly stimulatory in human and rat osteoblasts, and inhibitory in murine osteoblasts. Several genes and mechanisms are studied to explain the effects of 1α,25D3 on osteoblast differentiation and bone formation. Besides the classical VDR, osteoblasts also express a membrane-localized receptor, and in vitro studies have shown that osteoblasts are capable of the synthesis of 1α,25D3.","author":[{"dropping-particle":"","family":"Driel","given":"Marjolein","non-dropping-particle":"van","parse-names":false,"suffix":""},{"dropping-particle":"","family":"Leeuwen","given":"Johannes P T M","non-dropping-particle":"van","parse-names":false,"suffix":""}],"container-title":"BoneKEy Reports","id":"ITEM-1","issue":"February","issued":{"date-parts":[["2014"]]},"page":"1-8","publisher":"Nature Publishing Group","title":"Vitamin D endocrine system and osteoblasts","type":"article-journal","volume":"3"}}],"schema":"https://github.com/citation-style-language/schema/raw/master/csl-citation.json"} </w:instrText>
      </w:r>
      <w:r w:rsidR="00CA434D" w:rsidRPr="00024FD1">
        <w:rPr>
          <w:vertAlign w:val="superscript"/>
        </w:rPr>
        <w:fldChar w:fldCharType="separate"/>
      </w:r>
      <w:r w:rsidR="0033591E" w:rsidRPr="0033591E">
        <w:rPr>
          <w:rFonts w:cs="Times"/>
          <w:szCs w:val="24"/>
          <w:vertAlign w:val="superscript"/>
        </w:rPr>
        <w:t>73</w:t>
      </w:r>
      <w:r w:rsidR="00CA434D" w:rsidRPr="00024FD1">
        <w:rPr>
          <w:vertAlign w:val="superscript"/>
        </w:rPr>
        <w:fldChar w:fldCharType="end"/>
      </w:r>
      <w:r w:rsidR="00CA434D" w:rsidRPr="00024FD1">
        <w:t xml:space="preserve"> Mineralization media; basal media supplemented with </w:t>
      </w:r>
      <w:r w:rsidR="00CA434D" w:rsidRPr="00024FD1">
        <w:lastRenderedPageBreak/>
        <w:t xml:space="preserve">dexamethasone (10 </w:t>
      </w:r>
      <w:proofErr w:type="spellStart"/>
      <w:r w:rsidR="00CA434D" w:rsidRPr="00024FD1">
        <w:t>nM</w:t>
      </w:r>
      <w:proofErr w:type="spellEnd"/>
      <w:r w:rsidR="00CA434D" w:rsidRPr="00024FD1">
        <w:t>), 2-phospho-L-ascorbic acid (50 µg/mL) and β –glycerophosphate (20 mM).</w:t>
      </w:r>
      <w:r w:rsidR="00CA434D" w:rsidRPr="00024FD1">
        <w:fldChar w:fldCharType="begin" w:fldLock="1"/>
      </w:r>
      <w:r w:rsidR="0033591E">
        <w:instrText xml:space="preserve"> ADDIN ZOTERO_ITEM CSL_CITATION {"citationID":"5y4nrWHX","properties":{"formattedCitation":"\\super 45,74,75\\nosupersub{}","plainCitation":"45,74,75","noteIndex":0},"citationItems":[{"id":"1dryys0K/m4ti7rMt","uris":["http://www.mendeley.com/documents/?uuid=cb631653-4040-457c-aff9-eb312aef5780","http://www.mendeley.com/documents/?uuid=ff99f441-ea3e-4773-8f74-a12e2fee0c95"],"itemData":{"DOI":"10.1089/ten.teb.2011.0199","ISSN":"1937-3368","abstract":"The standard procedure for the osteogenic differentiation of multipotent stem cells is treatment of a confluent monolayer with a cocktail of dexamethasone (Dex), ascorbic acid (Asc) and β-glycerophosphate (β-Gly). This review describes the effects of these substances on intracellular signaling cascades that lead to osteogenic differentiation of bone marrow stroma-derived stem cells. We conclude that Dex induces Runx2 expression by FHL2/β-catenin-mediated transcriptional activation and that Dex enhances Runx2 activity by upregulation of TAZ and MKP1. Asc leads to the increased secretion of collagen type I (Col1), which in turn leads to increased Col1/α2β1 integrin-mediated intracellular signaling. The phosphate from β-Gly serves as a source for the phosphate in hydroxylapatite and in addition influences intracellular signaling molecules. In this context we give special attention to the differences between dystrophic and bone-specific mineralization.","author":[{"dropping-particle":"","family":"Langenbach","given":"Fabian","non-dropping-particle":"","parse-names":false,"suffix":""},{"dropping-particle":"","family":"Handschel","given":"Jörg","non-dropping-particle":"","parse-names":false,"suffix":""}],"container-title":"Stem Cell Research &amp; Therapy","id":"ITEM-1","issue":"5","issued":{"date-parts":[["2013"]]},"page":"117-430","title":"Effects of dexamethasone, ascorbic acid and β-glycerophosphate on the osteogenic differentiation of stem cells in vitro","type":"article-journal","volume":"4"}},{"id":"1dryys0K/nNJGGy0l","uris":["http://www.mendeley.com/documents/?uuid=4676b876-8a38-41ee-acc1-91ea1eed41bf","http://www.mendeley.com/documents/?uuid=9e5b7e8a-68ae-4240-a408-b7279badcb0b"],"itemData":{"DOI":"10.1002/adhm.201800705","ISSN":"21922640","PMID":"30088348","abstract":"Native bone extracellular matrix (ECM) secreted by mesenchymal precursors provides an optimal biological framework, comprising structural collagen proteins and a microenvironment niche, which supports cell attachment and differentiation, and bone growth. Inspired by nature, the embryonic-like mineralized ECM/stem cell microspheroids (MECS) are developed, in which self-assembly of the stem cell microspheroids (CS) and mineralization of the self-produced ECM occur simultaneously. The uniform-sized MECS exhibit a solid spherical appearance with stem cells embedded inside, recapitulating the early stage of intramembranous ossification. Compared with pure CS, MECS show enhanced Young's modulus, cell viability, intercellular communication, and osteogenic differentiation. Additionally, the capability of MECS is explored without the use of exogenous scaffolds to substitute and repair lost bone in rat critical-sized defects. It is found that the MECS can achieve excellent bone regeneration outcomes with 97.99 ± 2.28% of the defect area filled with new bony structures and blood vessels, while nearly half or one-third of the defect area is repaired by CS (52.79 ± 4.63%) or β-tricalcium phosphate (38.09 ± 7.79%), respectively. The study demonstrates that embryonic-like MECS is a novel effective bone graft substitute for bone tissue regeneration.","author":[{"dropping-particle":"","family":"Fu","given":"Cuicui","non-dropping-particle":"","parse-names":false,"suffix":""},{"dropping-particle":"","family":"Luo","given":"Dan","non-dropping-particle":"","parse-names":false,"suffix":""},{"dropping-particle":"","family":"Yu","given":"Min","non-dropping-particle":"","parse-names":false,"suffix":""},{"dropping-particle":"","family":"Jiang","given":"Nan","non-dropping-particle":"","parse-names":false,"suffix":""},{"dropping-particle":"","family":"Liu","given":"Dawei","non-dropping-particle":"","parse-names":false,"suffix":""},{"dropping-particle":"","family":"He","given":"Danqing","non-dropping-particle":"","parse-names":false,"suffix":""},{"dropping-particle":"","family":"Fu","given":"Yu","non-dropping-particle":"","parse-names":false,"suffix":""},{"dropping-particle":"","family":"Zhang","given":"Ting","non-dropping-particle":"","parse-names":false,"suffix":""},{"dropping-particle":"","family":"Qiao","given":"Yiqiang","non-dropping-particle":"","parse-names":false,"suffix":""},{"dropping-particle":"","family":"Zhou","given":"Yanheng","non-dropping-particle":"","parse-names":false,"suffix":""},{"dropping-particle":"","family":"Liu","given":"Yan","non-dropping-particle":"","parse-names":false,"suffix":""}],"container-title":"Advanced Healthcare Materials","id":"ITEM-2","issued":{"date-parts":[["2018"]]},"page":"1800705","title":"Embryonic-Like Mineralized Extracellular Matrix/Stem Cell Microspheroids as a Bone Graft Substitute","type":"article-journal","volume":"1800705"}},{"id":"1dryys0K/NH3qY2sS","uris":["http://www.mendeley.com/documents/?uuid=eda4776b-d5b3-4f70-842f-b4343d3daf92","http://www.mendeley.com/documents/?uuid=9d8d351f-39bc-4bcb-a47a-578a5b326fc0"],"itemData":{"ISBN":"9781617794148","author":[{"dropping-particle":"","family":"Rosser","given":"J","non-dropping-particle":"","parse-names":false,"suffix":""},{"dropping-particle":"","family":"Bonewald","given":"L","non-dropping-particle":"","parse-names":false,"suffix":""}],"container-title":"Methods in Molecular Biology","id":"ITEM-3","issued":{"date-parts":[["2012"]]},"number-of-pages":"67-81","title":"Bone Research Protocols: Studying Osteocyte Function Using the Cell Lines MLO-Y4 and MLO-A5","type":"book","volume":"816"}}],"schema":"https://github.com/citation-style-language/schema/raw/master/csl-citation.json"} </w:instrText>
      </w:r>
      <w:r w:rsidR="00CA434D" w:rsidRPr="00024FD1">
        <w:fldChar w:fldCharType="separate"/>
      </w:r>
      <w:r w:rsidR="0033591E" w:rsidRPr="0033591E">
        <w:rPr>
          <w:rFonts w:cs="Times"/>
          <w:szCs w:val="24"/>
          <w:vertAlign w:val="superscript"/>
        </w:rPr>
        <w:t>45,74,75</w:t>
      </w:r>
      <w:r w:rsidR="00CA434D" w:rsidRPr="00024FD1">
        <w:fldChar w:fldCharType="end"/>
      </w:r>
      <w:r w:rsidR="00077010">
        <w:t>.</w:t>
      </w:r>
    </w:p>
    <w:p w14:paraId="47AB7DDF" w14:textId="77777777" w:rsidR="00077010" w:rsidRDefault="00077010" w:rsidP="00077010">
      <w:pPr>
        <w:rPr>
          <w:b/>
          <w:bCs/>
          <w:lang w:val="en-US"/>
        </w:rPr>
      </w:pPr>
      <w:r w:rsidRPr="00EE3F97">
        <w:rPr>
          <w:b/>
          <w:bCs/>
          <w:lang w:val="en-US"/>
        </w:rPr>
        <w:t xml:space="preserve">Proliferation Assay with </w:t>
      </w:r>
      <w:proofErr w:type="spellStart"/>
      <w:r w:rsidRPr="00EE3F97">
        <w:rPr>
          <w:b/>
          <w:bCs/>
          <w:lang w:val="en-US"/>
        </w:rPr>
        <w:t>AlamarBlue</w:t>
      </w:r>
      <w:proofErr w:type="spellEnd"/>
      <w:r w:rsidRPr="00EE3F97">
        <w:rPr>
          <w:b/>
          <w:bCs/>
          <w:lang w:val="en-US"/>
        </w:rPr>
        <w:t>™ in the Array</w:t>
      </w:r>
    </w:p>
    <w:p w14:paraId="2B1B3177" w14:textId="4199E323" w:rsidR="00077010" w:rsidRPr="00077010" w:rsidRDefault="00077010" w:rsidP="00077010">
      <w:pPr>
        <w:spacing w:line="480" w:lineRule="auto"/>
        <w:jc w:val="both"/>
      </w:pPr>
      <w:bookmarkStart w:id="26" w:name="_Hlk117941159"/>
      <w:r w:rsidRPr="00077010">
        <w:t xml:space="preserve">An </w:t>
      </w:r>
      <w:proofErr w:type="spellStart"/>
      <w:r w:rsidRPr="00077010">
        <w:t>AlamarBlue</w:t>
      </w:r>
      <w:proofErr w:type="spellEnd"/>
      <w:r w:rsidRPr="00077010">
        <w:t>™ assay was used to assess FBMSCs viability on the array of 3D polymer scaffolds</w:t>
      </w:r>
      <w:bookmarkEnd w:id="26"/>
      <w:r w:rsidRPr="00077010">
        <w:t xml:space="preserve">. At the appropriate time (day 2, 7, 14 or 21), basal culture medium was removed to add 100 µL per well of </w:t>
      </w:r>
      <w:proofErr w:type="spellStart"/>
      <w:r w:rsidRPr="00077010">
        <w:t>AlamarBlue</w:t>
      </w:r>
      <w:proofErr w:type="spellEnd"/>
      <w:r w:rsidRPr="00077010">
        <w:t xml:space="preserve">™ solution (10% v/v) in media. Incubation was carried out in humidified atmosphere (37 </w:t>
      </w:r>
      <w:r w:rsidRPr="00F403D0">
        <w:t>°</w:t>
      </w:r>
      <w:r w:rsidRPr="00077010">
        <w:t>C and 5% CO2) for 4 hours before collecting the supernatant to determine fluorescence intensity (</w:t>
      </w:r>
      <w:proofErr w:type="spellStart"/>
      <w:r w:rsidRPr="00F403D0">
        <w:t>λ</w:t>
      </w:r>
      <w:r w:rsidRPr="00077010">
        <w:t>ex</w:t>
      </w:r>
      <w:proofErr w:type="spellEnd"/>
      <w:r w:rsidRPr="00077010">
        <w:t>/</w:t>
      </w:r>
      <w:proofErr w:type="spellStart"/>
      <w:r w:rsidRPr="00077010">
        <w:t>em</w:t>
      </w:r>
      <w:proofErr w:type="spellEnd"/>
      <w:r w:rsidRPr="00F403D0">
        <w:t xml:space="preserve"> = </w:t>
      </w:r>
      <w:r w:rsidRPr="00077010">
        <w:t>530/590 nm) in a microplate reader (</w:t>
      </w:r>
      <w:proofErr w:type="spellStart"/>
      <w:r w:rsidRPr="00077010">
        <w:t>GloMax</w:t>
      </w:r>
      <w:proofErr w:type="spellEnd"/>
      <w:r w:rsidRPr="00077010">
        <w:t xml:space="preserve">®, Promega). The arrays were washed with PBS to remove excess of </w:t>
      </w:r>
      <w:proofErr w:type="spellStart"/>
      <w:r w:rsidRPr="00077010">
        <w:t>AlamarBlue</w:t>
      </w:r>
      <w:proofErr w:type="spellEnd"/>
      <w:r w:rsidRPr="00077010">
        <w:t xml:space="preserve">™ solution and basal media added (150 µL/well) to maintain the FBMSCs in culture until the next time point. </w:t>
      </w:r>
    </w:p>
    <w:p w14:paraId="66CA0470" w14:textId="77777777" w:rsidR="00077010" w:rsidRDefault="00077010" w:rsidP="00077010">
      <w:pPr>
        <w:rPr>
          <w:b/>
          <w:bCs/>
          <w:iCs/>
          <w:lang w:val="en-US"/>
        </w:rPr>
      </w:pPr>
      <w:r w:rsidRPr="00EE3F97">
        <w:rPr>
          <w:b/>
          <w:bCs/>
          <w:iCs/>
          <w:lang w:val="en-US"/>
        </w:rPr>
        <w:t>Total Collagen in the Array</w:t>
      </w:r>
    </w:p>
    <w:p w14:paraId="4D4575C6" w14:textId="573BE66D" w:rsidR="00077010" w:rsidRPr="00F403D0" w:rsidRDefault="00077010" w:rsidP="00077010">
      <w:pPr>
        <w:spacing w:line="480" w:lineRule="auto"/>
        <w:jc w:val="both"/>
      </w:pPr>
      <w:r w:rsidRPr="00077010">
        <w:t xml:space="preserve">The total collagen content of the FBMSCs cultured with basal medium, in the array of 3D polymer scaffolds, was assessed using a previously published colorimetric method </w:t>
      </w:r>
      <w:r w:rsidRPr="00077010">
        <w:fldChar w:fldCharType="begin" w:fldLock="1"/>
      </w:r>
      <w:r w:rsidR="0033591E">
        <w:instrText xml:space="preserve"> ADDIN ZOTERO_ITEM CSL_CITATION {"citationID":"yYm7bCAh","properties":{"formattedCitation":"\\super 41,42\\nosupersub{}","plainCitation":"41,42","noteIndex":0},"citationItems":[{"id":"1dryys0K/iSizUhPH","uris":["http://www.mendeley.com/documents/?uuid=1ed085b0-3527-455c-bd3b-48b37e9b4b8d"],"itemData":{"DOI":"10.1002/term.541","ISSN":"19326254","abstract":"Degeneration of the intervertebral disc (IVD) represents a significant muscular skeletal disease. Recently, scaffolds composed of synthetic, natural and hybrid biomaterials have been investigated as options to restore the IVD; however, they lack the hallmark lamellar morphological features of annulus fibrosus (AF) tissue. The goal of regenerating the disc is to achieve anatomical morphology as well as restoration of mechanical and biological function. In this study, two types of scaffold morphology formed from silk fibroin were investigated towards the goal of AF tissue restoration. The first design mimics the lamellar features of the IVD that are associated with the AF region. The second is a porous spongy scaffold that serves as a control. Toroidal scaffolds were formed from the lamellar and porous silk material systems to generate structures with an outer diameter of 8 mm, inner diameter of 3.5 mm and a height of 3 mm. The inter-lamellar spacing in the lamellar scaffold was 150-250 µm and the average pore sizes in the porous scaffolds were 100-250 µm. The scaffolds were seeded with porcine AF cells and, after growth over defined time frames in vitro, histology, biochemical assays, mechanical testing and gene expression indicated that the lamellar scaffold generated results that were more favourable in terms of ECM expression and tissue function than the porous scaffold for AF tissue. Further, the seeded porcine AF cells supported the native shape of AF tissue in the lamellar silk scaffolds. The lamellar silk scaffolds were effective in the formation of AF-like tissue in vitro.","author":[{"dropping-particle":"","family":"Park","given":"Sang Hyug","non-dropping-particle":"","parse-names":false,"suffix":""},{"dropping-particle":"","family":"Gil","given":"Eun Seok","non-dropping-particle":"","parse-names":false,"suffix":""},{"dropping-particle":"","family":"Mandal","given":"Biman B.","non-dropping-particle":"","parse-names":false,"suffix":""},{"dropping-particle":"","family":"Cho","given":"Hongsik","non-dropping-particle":"","parse-names":false,"suffix":""},{"dropping-particle":"","family":"Kluge","given":"Jonathan A.","non-dropping-particle":"","parse-names":false,"suffix":""},{"dropping-particle":"","family":"Min","given":"Byoung Hyun","non-dropping-particle":"","parse-names":false,"suffix":""},{"dropping-particle":"","family":"Kaplan","given":"David L.","non-dropping-particle":"","parse-names":false,"suffix":""}],"container-title":"Journal of Tissue Engineering and Regenerative Medicine","id":"ITEM-1","issued":{"date-parts":[["2012"]]},"title":"Annulus fibrosus tissue engineering using lamellar silk scaffolds","type":"article-journal"}},{"id":"1dryys0K/a6Xsqaud","uris":["http://www.mendeley.com/documents/?uuid=1e63f619-6757-4438-b093-20fdb3b18d9f"],"itemData":{"DOI":"10.1002/adhm.201701418","ISSN":"21922659","abstract":"© 2018 WILEY-VCH Verlag GmbH &amp; Co. KGaA, Weinheim The successful regeneration of large volume bone defects necessitates the use of proangiogenic and resorbable scaffolding matrix. Impaired and slow ingrowth of host vasculature within implanted grafts greatly compromises its effective osseointegration. By addressing this, it is demonstrated that the use of copper doped bioactive glass functionalizes silk microfiber reinforcements to improve the physicochemical and osteoinductive properties of two silk scaffolding matrices (mulberry Bombyx mori and non-mulberry Antheraea assama) employed in the study. The reinforced composite matrices increase the surface area and present an open porous biomimetic micromillieu favoring stem cell and endothelial cell migration within the matrix. Biochemical results indicate the stabilization of hypoxia-inducible factor-1α and expression of C-X-C chemokine receptor type-4 in adipose derived human mesenchymal stem cells, which regulate the downstream proangiogenic signaling and endothelial cell homing, respectively. Osteoinduction, matrix turnover, and resorption effectiveness are favored better in the non-mulberry silk matrices. The composite matrices significantly promote neo-osseous tissue formation in volumetric femur defect in rabbits with periosteal restoration seen in the non-mulberry silk composite matrices. Evidences of total resorption, enhanced vascular-fibrous tissue ingrowth within the scaffold, vouch for the potential clinical translation of these developed composite silk matrices.","author":[{"dropping-particle":"","family":"Moses","given":"Joseph Christakiran","non-dropping-particle":"","parse-names":false,"suffix":""},{"dropping-particle":"","family":"Nandi","given":"Samit Kumar","non-dropping-particle":"","parse-names":false,"suffix":""},{"dropping-particle":"","family":"Mandal","given":"Biman B.","non-dropping-particle":"","parse-names":false,"suffix":""}],"container-title":"Advanced Healthcare Materials","id":"ITEM-2","issued":{"date-parts":[["2018"]]},"title":"Multifunctional Cell Instructive Silk-Bioactive Glass Composite Reinforced Scaffolds Toward Osteoinductive, Proangiogenic, and Resorbable Bone Grafts","type":"article-journal"}}],"schema":"https://github.com/citation-style-language/schema/raw/master/csl-citation.json"} </w:instrText>
      </w:r>
      <w:r w:rsidRPr="00077010">
        <w:fldChar w:fldCharType="separate"/>
      </w:r>
      <w:r w:rsidR="0033591E" w:rsidRPr="0033591E">
        <w:rPr>
          <w:rFonts w:cs="Times"/>
          <w:szCs w:val="24"/>
          <w:vertAlign w:val="superscript"/>
        </w:rPr>
        <w:t>41,42</w:t>
      </w:r>
      <w:r w:rsidRPr="00077010">
        <w:fldChar w:fldCharType="end"/>
      </w:r>
      <w:r w:rsidRPr="00077010">
        <w:t xml:space="preserve">. Briefly, FBMSCs on porous scaffolds following 21 days incubation were digested with pepsin (1 mg/mL pepsin, 0.1 M acetic acid and 0.5 M NaCl) for 48 hours at 5 </w:t>
      </w:r>
      <w:r w:rsidRPr="00F403D0">
        <w:t xml:space="preserve">°C and </w:t>
      </w:r>
      <w:r w:rsidRPr="00077010">
        <w:t xml:space="preserve">100 µL from each digested solution was dried in a 96-well plate at 37 </w:t>
      </w:r>
      <w:r w:rsidRPr="00F403D0">
        <w:t>ºC overnight. Dried samples were treated with 100 µL of Sirius red solution (1 mg/mL) in saturated picric acid (1.3% in water) for one hour before washing (3 x 5 min) the excess with HCl solution (0.1 N). 100 µL of NaOH solution (0.1 N) was used to resolve the staining and a microplate reader was used to record absorbances (λ = 550 nm).</w:t>
      </w:r>
    </w:p>
    <w:p w14:paraId="47990DEC" w14:textId="77777777" w:rsidR="00077010" w:rsidRDefault="00077010" w:rsidP="00077010">
      <w:pPr>
        <w:rPr>
          <w:b/>
          <w:bCs/>
          <w:iCs/>
          <w:lang w:val="en-US"/>
        </w:rPr>
      </w:pPr>
      <w:r w:rsidRPr="00466F85">
        <w:rPr>
          <w:b/>
          <w:bCs/>
          <w:iCs/>
          <w:lang w:val="en-US"/>
        </w:rPr>
        <w:t>ALP Expression in the Array</w:t>
      </w:r>
    </w:p>
    <w:p w14:paraId="7CC41B12" w14:textId="55B7F01F" w:rsidR="00077010" w:rsidRPr="00077010" w:rsidRDefault="00077010" w:rsidP="00077010">
      <w:pPr>
        <w:spacing w:line="480" w:lineRule="auto"/>
        <w:jc w:val="both"/>
      </w:pPr>
      <w:r w:rsidRPr="00077010">
        <w:t xml:space="preserve">FBMSCs cultured in basal medium in the array of 3D polymer scaffolds were first washed with PBS prior to addition of </w:t>
      </w:r>
      <w:proofErr w:type="spellStart"/>
      <w:r w:rsidRPr="00077010">
        <w:t>CelLytic</w:t>
      </w:r>
      <w:proofErr w:type="spellEnd"/>
      <w:r w:rsidRPr="00077010">
        <w:t xml:space="preserve"> M (1 hour, 37 </w:t>
      </w:r>
      <w:r w:rsidRPr="00F403D0">
        <w:t>°</w:t>
      </w:r>
      <w:r w:rsidRPr="00077010">
        <w:t xml:space="preserve">C) to lyse the cells. 10 µL of cell lysate was placed in a fresh 96-well plate with 90 µL of ALP substrate solution (0.04 g phosphatase substrate in 10 mL of 1.5 M alkaline buffer solution (Sigma A9226) buffer solution made up to </w:t>
      </w:r>
      <w:r w:rsidRPr="00077010">
        <w:lastRenderedPageBreak/>
        <w:t xml:space="preserve">a final volume of 30 mL with distilled H2O). Samples were incubated at 37 </w:t>
      </w:r>
      <w:r w:rsidRPr="00F403D0">
        <w:t>°</w:t>
      </w:r>
      <w:r w:rsidRPr="00077010">
        <w:t xml:space="preserve">C for between 10 to 60 min and the reaction was stopped by the addition of 100 µL of NaOH (1 M). A standard calibration curve (0 to 2 µM) was constructed using serial dilutions of p-nitrophenol (10 mM) in assay buffer. The assay buffer for the standards was prepared by addition of 30 µL of </w:t>
      </w:r>
      <w:proofErr w:type="spellStart"/>
      <w:r w:rsidRPr="00077010">
        <w:t>Igepal</w:t>
      </w:r>
      <w:proofErr w:type="spellEnd"/>
      <w:r w:rsidRPr="00077010">
        <w:t xml:space="preserve"> CA-630 to 5 mL of 1.5 M alkaline buffer solution (Sigma A9226) and made up to a final volume of 15 mL with distilled H2O. Absorbance was read on a microplate reader (</w:t>
      </w:r>
      <w:r w:rsidRPr="00F403D0">
        <w:t xml:space="preserve">λ = </w:t>
      </w:r>
      <w:r w:rsidRPr="00077010">
        <w:t xml:space="preserve">410 nm) and ALP concentration calculated as </w:t>
      </w:r>
      <w:proofErr w:type="spellStart"/>
      <w:r w:rsidRPr="00077010">
        <w:t>nmoles</w:t>
      </w:r>
      <w:proofErr w:type="spellEnd"/>
      <w:r w:rsidRPr="00077010">
        <w:t xml:space="preserve"> of p-nitrophenol per mL/hour. ALP expression was normalized to the DNA concentration using a Quant-</w:t>
      </w:r>
      <w:proofErr w:type="spellStart"/>
      <w:r w:rsidRPr="00077010">
        <w:t>iT</w:t>
      </w:r>
      <w:proofErr w:type="spellEnd"/>
      <w:r w:rsidRPr="00077010">
        <w:t xml:space="preserve">™ </w:t>
      </w:r>
      <w:proofErr w:type="spellStart"/>
      <w:r w:rsidRPr="00077010">
        <w:t>PicoGreen</w:t>
      </w:r>
      <w:proofErr w:type="spellEnd"/>
      <w:r w:rsidRPr="00077010">
        <w:t>™ dsDNA assay kit. A standard calibration curve (0 to 1000 ng/ml) was constructed using serial dilutions of herring sperm DNA (10 mg/ml) in TE buffer and fluorescence intensity determined using a microplate reader (</w:t>
      </w:r>
      <w:proofErr w:type="spellStart"/>
      <w:r w:rsidRPr="00F403D0">
        <w:t>λ</w:t>
      </w:r>
      <w:r w:rsidRPr="00077010">
        <w:t>ex</w:t>
      </w:r>
      <w:proofErr w:type="spellEnd"/>
      <w:r w:rsidRPr="00077010">
        <w:t>/</w:t>
      </w:r>
      <w:proofErr w:type="spellStart"/>
      <w:r w:rsidRPr="00077010">
        <w:t>em</w:t>
      </w:r>
      <w:proofErr w:type="spellEnd"/>
      <w:r w:rsidRPr="00F403D0">
        <w:t xml:space="preserve"> = </w:t>
      </w:r>
      <w:r w:rsidRPr="00077010">
        <w:t>480/520 nm).</w:t>
      </w:r>
    </w:p>
    <w:p w14:paraId="37663900" w14:textId="77777777" w:rsidR="00077010" w:rsidRDefault="00077010" w:rsidP="00077010">
      <w:pPr>
        <w:rPr>
          <w:b/>
          <w:bCs/>
          <w:lang w:val="en-US"/>
        </w:rPr>
      </w:pPr>
      <w:r w:rsidRPr="00466F85">
        <w:rPr>
          <w:b/>
          <w:bCs/>
          <w:lang w:val="en-US"/>
        </w:rPr>
        <w:t>Scanning Electron Microscopy (SEM)</w:t>
      </w:r>
    </w:p>
    <w:p w14:paraId="0A4F8232" w14:textId="67A595F5" w:rsidR="00077010" w:rsidRPr="00077010" w:rsidRDefault="00077010" w:rsidP="00077010">
      <w:pPr>
        <w:spacing w:line="480" w:lineRule="auto"/>
        <w:jc w:val="both"/>
      </w:pPr>
      <w:r w:rsidRPr="00077010">
        <w:t>FBMSCs cultured with basal medium in the 3D porous scaffolds (12 x 12 x 2 mm) were first washed with PBS (2 x 5 min) and subsequently fixed with paraformaldehyde (PFA, 4% w/v) for 30 min. Excess PFA was removed with cacodylate buffer (0.1 M, 1 h) and subsequently the scaffolds were treated with osmium tetroxide (1%, 15 min) in cacodylate buffer (0.1 M). After a further wash with cacodylate buffer (15 min) the scaffolds were dehydrated with acetone (</w:t>
      </w:r>
      <w:r w:rsidRPr="00F403D0">
        <w:t>50%, 70%, 90% and 100%) and liquid CO</w:t>
      </w:r>
      <w:r w:rsidRPr="00077010">
        <w:t>2</w:t>
      </w:r>
      <w:r w:rsidRPr="00F403D0">
        <w:t xml:space="preserve"> (critical point drying) before coating the samples with gold/palladium. Hitachi S-4700 scanning electron microscope was used to image the specimens. </w:t>
      </w:r>
    </w:p>
    <w:p w14:paraId="7D3D0DE6" w14:textId="77777777" w:rsidR="00B255B0" w:rsidRDefault="001E0CEE" w:rsidP="00B255B0">
      <w:pPr>
        <w:rPr>
          <w:b/>
          <w:bCs/>
          <w:iCs/>
        </w:rPr>
      </w:pPr>
      <w:r w:rsidRPr="00024FD1">
        <w:rPr>
          <w:b/>
          <w:bCs/>
          <w:iCs/>
        </w:rPr>
        <w:t>Chorioallantoic membrane (CAM) assay</w:t>
      </w:r>
    </w:p>
    <w:p w14:paraId="15F55048" w14:textId="5B9B2698" w:rsidR="0045064D" w:rsidRDefault="001E0CEE" w:rsidP="0045064D">
      <w:pPr>
        <w:spacing w:line="480" w:lineRule="auto"/>
        <w:jc w:val="both"/>
      </w:pPr>
      <w:r w:rsidRPr="00024FD1">
        <w:t xml:space="preserve">The CAM protocols were conducted under Home Office Approval UK (Project </w:t>
      </w:r>
      <w:r w:rsidR="00374695" w:rsidRPr="00024FD1">
        <w:t>license</w:t>
      </w:r>
      <w:r w:rsidRPr="00024FD1">
        <w:t xml:space="preserve"> — PPL 30/2762). Chicken eggs were incubated (1-hour rotation) in a </w:t>
      </w:r>
      <w:proofErr w:type="spellStart"/>
      <w:r w:rsidRPr="00024FD1">
        <w:t>Hatchmaster</w:t>
      </w:r>
      <w:proofErr w:type="spellEnd"/>
      <w:r w:rsidRPr="00024FD1">
        <w:t xml:space="preserve"> incubator (</w:t>
      </w:r>
      <w:proofErr w:type="spellStart"/>
      <w:r w:rsidRPr="00024FD1">
        <w:t>Brinsea</w:t>
      </w:r>
      <w:proofErr w:type="spellEnd"/>
      <w:r w:rsidRPr="00024FD1">
        <w:t xml:space="preserve">, UK) for 10 days at 37 °C in a 60% humidified atmosphere. After 10 days post-fertilisation, a scalpel was used to create a 5 x 5 mm window on the eggshell under sterile conditions. The </w:t>
      </w:r>
      <w:r w:rsidRPr="00024FD1">
        <w:lastRenderedPageBreak/>
        <w:t xml:space="preserve">polymeric scaffolds (n=10) of size (10 x 10 x 5 mm) were pre-conditioned with or without FBMSCs (40,000 cells per scaffold), which were cut into 5 x 5 x 5 mm cubes and implanted. The eggs were sealed with sterile </w:t>
      </w:r>
      <w:proofErr w:type="gramStart"/>
      <w:r w:rsidRPr="00024FD1">
        <w:t>parafilm</w:t>
      </w:r>
      <w:proofErr w:type="gramEnd"/>
      <w:r w:rsidRPr="00024FD1">
        <w:t xml:space="preserve"> and the eggs candled every day to inspect for embryo development. After a further 7 days of incubation in basal medium, the samples were harvested, and CAM integration inspected using a stereomicroscope with a digital camera (Canon </w:t>
      </w:r>
      <w:proofErr w:type="spellStart"/>
      <w:r w:rsidRPr="00024FD1">
        <w:t>Powershot</w:t>
      </w:r>
      <w:proofErr w:type="spellEnd"/>
      <w:r w:rsidRPr="00024FD1">
        <w:t xml:space="preserve"> G2). Gestational processes were terminated under specific </w:t>
      </w:r>
      <w:proofErr w:type="gramStart"/>
      <w:r w:rsidRPr="00024FD1">
        <w:t>Home</w:t>
      </w:r>
      <w:proofErr w:type="gramEnd"/>
      <w:r w:rsidRPr="00024FD1">
        <w:t xml:space="preserve"> Office guidelines. Chick eggs that followed the same procedure with the exception of the implantation of the scaffolds were used as controls (empty).</w:t>
      </w:r>
      <w:r w:rsidR="0045064D" w:rsidRPr="00024FD1">
        <w:t xml:space="preserve"> Animal procedures were undertaken in accordance with the guidelines and regulations of the Animals Act 1986, UK.</w:t>
      </w:r>
    </w:p>
    <w:p w14:paraId="123B6A55" w14:textId="77777777" w:rsidR="00077010" w:rsidRDefault="00077010" w:rsidP="00077010">
      <w:pPr>
        <w:rPr>
          <w:b/>
          <w:bCs/>
          <w:iCs/>
          <w:lang w:val="en-US"/>
        </w:rPr>
      </w:pPr>
      <w:r w:rsidRPr="00466F85">
        <w:rPr>
          <w:b/>
          <w:bCs/>
          <w:iCs/>
          <w:lang w:val="en-US"/>
        </w:rPr>
        <w:t>Immunostaining of FBMSCs on the 3D Scaffold</w:t>
      </w:r>
    </w:p>
    <w:p w14:paraId="0C6AF7E7" w14:textId="3D6E8582" w:rsidR="00077010" w:rsidRDefault="00077010" w:rsidP="00077010">
      <w:pPr>
        <w:spacing w:line="480" w:lineRule="auto"/>
        <w:jc w:val="both"/>
      </w:pPr>
      <w:r w:rsidRPr="00077010">
        <w:t xml:space="preserve">FBMSCs were seeded on scaled-up 3D scaffolds and maintained in basal and osteogenic media for the desired time points (days 2, 7 and 21). At the end of the culture period, the scaffolds were washed with PBS and fixed with 4% PFA for 30 mins. Thereafter, excess fixative was removed and the cells on the scaffolds treated with the appropriate blocking solutions and </w:t>
      </w:r>
      <w:proofErr w:type="spellStart"/>
      <w:r w:rsidRPr="00077010">
        <w:t>permeablised</w:t>
      </w:r>
      <w:proofErr w:type="spellEnd"/>
      <w:r w:rsidRPr="00077010">
        <w:t xml:space="preserve"> as necessary (ALP: 1% BSA+10% normal goat serum in 0.1% Tween, Collagen I: 5% BSA, Osteopontin: 1% BSA+10% normal goat serum in 0.1% Tween) for 1 h. The scaffolds were washed thoroughly with PBS followed by exposure to the appropriate primary antibody (incubation overnight), washed with PBS and treated with a secondary antibody for 1 hour. Finally, the scaffolds were washed with PBS and subjected to confocal microscopy using a ZEISS LSM 880 confocal microscope.</w:t>
      </w:r>
    </w:p>
    <w:p w14:paraId="378B2F88" w14:textId="77777777" w:rsidR="00077010" w:rsidRDefault="00077010" w:rsidP="00077010">
      <w:pPr>
        <w:rPr>
          <w:b/>
          <w:bCs/>
          <w:iCs/>
          <w:lang w:val="en-US"/>
        </w:rPr>
      </w:pPr>
      <w:r w:rsidRPr="00466F85">
        <w:rPr>
          <w:b/>
          <w:bCs/>
          <w:iCs/>
          <w:lang w:val="en-US"/>
        </w:rPr>
        <w:t>Enzyme-linked immunosorbent assay (ELISA) on the 3D Scaffold</w:t>
      </w:r>
    </w:p>
    <w:p w14:paraId="4E7E0D37" w14:textId="3232842C" w:rsidR="00077010" w:rsidRPr="00077010" w:rsidRDefault="00077010" w:rsidP="00077010">
      <w:pPr>
        <w:spacing w:line="480" w:lineRule="auto"/>
        <w:jc w:val="both"/>
      </w:pPr>
      <w:r w:rsidRPr="00077010">
        <w:t xml:space="preserve">FBMSCs were seeded on scaled-up 3D scaffolds and maintained for 21 days in basal medium. At the end of the culture period, the scaffolds were washed with PBS and the cells solubilized using 400µL 1X extraction buffer. The scaffolds were </w:t>
      </w:r>
      <w:proofErr w:type="gramStart"/>
      <w:r w:rsidRPr="00077010">
        <w:t>crushed</w:t>
      </w:r>
      <w:proofErr w:type="gramEnd"/>
      <w:r w:rsidRPr="00077010">
        <w:t xml:space="preserve"> and the lysate was incubated in ice for 15 mins. It was then centrifuged at 15000 x g for 20 min at 4 </w:t>
      </w:r>
      <w:r w:rsidRPr="00F403D0">
        <w:t>°</w:t>
      </w:r>
      <w:r w:rsidRPr="00077010">
        <w:t xml:space="preserve">C. The supernatants were </w:t>
      </w:r>
      <w:r w:rsidRPr="00077010">
        <w:lastRenderedPageBreak/>
        <w:t xml:space="preserve">collected and passed through </w:t>
      </w:r>
      <w:proofErr w:type="spellStart"/>
      <w:r w:rsidRPr="00077010">
        <w:t>PierceTMProtein</w:t>
      </w:r>
      <w:proofErr w:type="spellEnd"/>
      <w:r w:rsidRPr="00077010">
        <w:t xml:space="preserve"> Concentrator PES, (30000K MWCO, 2-6ml) and the samples obtained were stored at -80 </w:t>
      </w:r>
      <w:r w:rsidRPr="00F403D0">
        <w:t>°</w:t>
      </w:r>
      <w:r w:rsidRPr="00077010">
        <w:t xml:space="preserve">C. The total protein was quantified using BCA assay kit for low protein concentrations (ab207002). ELISA was performed using Human Pro-Collagen I </w:t>
      </w:r>
      <w:proofErr w:type="spellStart"/>
      <w:r w:rsidRPr="00077010">
        <w:t>SimpleStep</w:t>
      </w:r>
      <w:proofErr w:type="spellEnd"/>
      <w:r w:rsidRPr="00077010">
        <w:t xml:space="preserve"> ELISA Kit (</w:t>
      </w:r>
      <w:proofErr w:type="spellStart"/>
      <w:r w:rsidRPr="00077010">
        <w:t>abcam</w:t>
      </w:r>
      <w:proofErr w:type="spellEnd"/>
      <w:r w:rsidRPr="00077010">
        <w:t>) according to manufacturer’s instructions with absorbance determined at 450nm in a microplate reader.</w:t>
      </w:r>
    </w:p>
    <w:p w14:paraId="4E55344E" w14:textId="77777777" w:rsidR="00077010" w:rsidRDefault="00077010" w:rsidP="00077010">
      <w:pPr>
        <w:rPr>
          <w:b/>
          <w:bCs/>
          <w:lang w:val="en-US"/>
        </w:rPr>
      </w:pPr>
      <w:r w:rsidRPr="00466F85">
        <w:rPr>
          <w:b/>
          <w:bCs/>
          <w:lang w:val="en-US"/>
        </w:rPr>
        <w:t>Imaging of the cell aggregates on 3D Scaffold</w:t>
      </w:r>
    </w:p>
    <w:p w14:paraId="54CDC56E" w14:textId="0309A690" w:rsidR="00077010" w:rsidRPr="00077010" w:rsidRDefault="00077010" w:rsidP="00077010">
      <w:pPr>
        <w:spacing w:line="480" w:lineRule="auto"/>
        <w:jc w:val="both"/>
      </w:pPr>
      <w:r w:rsidRPr="00077010">
        <w:t>FBMSCs were seeded on scaled-up 3D scaffolds and maintained for 21 days in basal medium. The 3D Scaffolds were washed and stained using a Live/Dead staining kit (Invitrogen) according to the manufacturer’s instructions. Finally, the scaffolds were subjected to confocal microscopy using a ZEISS LSM 880 confocal microscope.</w:t>
      </w:r>
    </w:p>
    <w:p w14:paraId="3687E92B" w14:textId="77777777" w:rsidR="00077010" w:rsidRDefault="001E0CEE" w:rsidP="00077010">
      <w:pPr>
        <w:rPr>
          <w:b/>
          <w:bCs/>
        </w:rPr>
      </w:pPr>
      <w:r w:rsidRPr="00024FD1">
        <w:rPr>
          <w:b/>
          <w:bCs/>
        </w:rPr>
        <w:t>In vivo subcutaneous implantation in mice and analysis</w:t>
      </w:r>
    </w:p>
    <w:p w14:paraId="00F1B759" w14:textId="19967B68" w:rsidR="001E0CEE" w:rsidRDefault="001E0CEE" w:rsidP="0045064D">
      <w:pPr>
        <w:spacing w:line="480" w:lineRule="auto"/>
        <w:jc w:val="both"/>
      </w:pPr>
      <w:r w:rsidRPr="00024FD1">
        <w:t xml:space="preserve">The subcutaneous surgeries were conducted under Home Office Approval UK (Project license — PPL 30/2762). </w:t>
      </w:r>
      <w:proofErr w:type="spellStart"/>
      <w:r w:rsidRPr="00024FD1">
        <w:t>Balb</w:t>
      </w:r>
      <w:proofErr w:type="spellEnd"/>
      <w:r w:rsidRPr="00024FD1">
        <w:t xml:space="preserve">/c nu/athymic mice were grown until 3-months old and a weight of ~33 g, before the implantation took place. The animals were anaesthetized with an intra-peritoneal injection of a </w:t>
      </w:r>
      <w:proofErr w:type="spellStart"/>
      <w:r w:rsidRPr="00024FD1">
        <w:t>hypnorm-hypnovel</w:t>
      </w:r>
      <w:proofErr w:type="spellEnd"/>
      <w:r w:rsidRPr="00024FD1">
        <w:t xml:space="preserve"> (1:1) mix. An incision on the back of the mouse skin was made with 2-3 pockets generated for the implantation of scaffolds. The incision was then stitched, and animals allowed to recover under constant supervision. Three groups were assessed: i) samples of polymer 2 with FBMSCs conditioned in basal and osteogenic media and ii) polymer 2 without cells conditioned in basal medium. The polymeric scaffolds were cut into 5 x 5 x 5 mm cubes. The animals were scanned at weeks 2 and 4 post-surgery using micro-computed tomography (µCT) (Bruker </w:t>
      </w:r>
      <w:proofErr w:type="spellStart"/>
      <w:r w:rsidRPr="00024FD1">
        <w:t>Skyscan</w:t>
      </w:r>
      <w:proofErr w:type="spellEnd"/>
      <w:r w:rsidRPr="00024FD1">
        <w:t xml:space="preserve"> 1176, equipped with micro-focus X-ray source, 20-90 kV, 25W) and terminated at week 4 for sample collection. </w:t>
      </w:r>
      <w:proofErr w:type="spellStart"/>
      <w:r w:rsidRPr="00024FD1">
        <w:t>Atotal</w:t>
      </w:r>
      <w:proofErr w:type="spellEnd"/>
      <w:r w:rsidRPr="00024FD1">
        <w:t xml:space="preserve"> of seven mice were used with 2/3 scaffolds per side (4/6 per mouse) to provide a total n = 8 scaffolds for each of 4 groups (total 36 scaffolds).</w:t>
      </w:r>
      <w:r w:rsidR="0045064D" w:rsidRPr="00024FD1">
        <w:t xml:space="preserve"> Animal procedures were undertaken in accordance with the guidelines and regulations of the Animals Act 1986, UK.</w:t>
      </w:r>
    </w:p>
    <w:p w14:paraId="4DCC986D" w14:textId="77777777" w:rsidR="00077010" w:rsidRDefault="00077010" w:rsidP="00077010">
      <w:pPr>
        <w:rPr>
          <w:b/>
          <w:bCs/>
          <w:iCs/>
          <w:lang w:val="en-US"/>
        </w:rPr>
      </w:pPr>
      <w:r w:rsidRPr="00466F85">
        <w:rPr>
          <w:b/>
          <w:bCs/>
          <w:iCs/>
          <w:lang w:val="en-US"/>
        </w:rPr>
        <w:lastRenderedPageBreak/>
        <w:t>Histology analysis</w:t>
      </w:r>
    </w:p>
    <w:p w14:paraId="3D091062" w14:textId="4F5B22FB" w:rsidR="00077010" w:rsidRPr="00024FD1" w:rsidRDefault="00077010" w:rsidP="0045064D">
      <w:pPr>
        <w:spacing w:line="480" w:lineRule="auto"/>
        <w:jc w:val="both"/>
      </w:pPr>
      <w:r w:rsidRPr="00077010">
        <w:t>Recovered samples were fixed overnight at 4°C (paraformaldehyde, 4%) and then dehydrated in auto-processing machine Shandon Citadel 200 (</w:t>
      </w:r>
      <w:proofErr w:type="spellStart"/>
      <w:r w:rsidRPr="00077010">
        <w:t>Thermofisher</w:t>
      </w:r>
      <w:proofErr w:type="spellEnd"/>
      <w:r w:rsidRPr="00077010">
        <w:t xml:space="preserve">, UK) for 1 hour each through 50%, 90% and 100% ethanol, followed by two dehydration steps in 100% </w:t>
      </w:r>
      <w:proofErr w:type="spellStart"/>
      <w:r w:rsidRPr="00077010">
        <w:t>Histoclear</w:t>
      </w:r>
      <w:proofErr w:type="spellEnd"/>
      <w:r w:rsidRPr="00077010">
        <w:t xml:space="preserve"> (Fisher Scientific UK, 12624077). The dehydrated samples were then embedded in hot wax twice for 1 hour each. To ensure full wax penetration into the scaffolds, the samples were further embedded under vacuum in a </w:t>
      </w:r>
      <w:proofErr w:type="spellStart"/>
      <w:r w:rsidRPr="00077010">
        <w:t>Vacutherm</w:t>
      </w:r>
      <w:proofErr w:type="spellEnd"/>
      <w:r w:rsidRPr="00077010">
        <w:t xml:space="preserve"> oven (Heraeus, </w:t>
      </w:r>
      <w:proofErr w:type="spellStart"/>
      <w:r w:rsidRPr="00077010">
        <w:t>Thermofisher</w:t>
      </w:r>
      <w:proofErr w:type="spellEnd"/>
      <w:r w:rsidRPr="00077010">
        <w:t>, UK) for 1 hour at 60</w:t>
      </w:r>
      <w:r w:rsidRPr="00F403D0">
        <w:t>°</w:t>
      </w:r>
      <w:r w:rsidRPr="00077010">
        <w:t xml:space="preserve">C. Sections were cut once, at room temperature, to 7 µm on a Microm330 microtome (Optec UK) and transferred to glass slides (preheated at 37 °C for approximately 2 h). The samples were stained as previously described </w:t>
      </w:r>
      <w:r w:rsidRPr="00077010">
        <w:fldChar w:fldCharType="begin" w:fldLock="1"/>
      </w:r>
      <w:r w:rsidR="0033591E">
        <w:instrText xml:space="preserve"> ADDIN ZOTERO_ITEM CSL_CITATION {"citationID":"rnciceRZ","properties":{"formattedCitation":"\\super 8,76\\nosupersub{}","plainCitation":"8,76","noteIndex":0},"citationItems":[{"id":"1dryys0K/t7kVYGZE","uris":["http://www.mendeley.com/documents/?uuid=66a176a6-65f0-452d-a690-f7edfe70b23a"],"itemData":{"DOI":"10.1002/adhm.201800088","ISSN":"21922659","abstract":"© 2018 WILEY-VCH Verlag GmbH  &amp;  Co. KGaA, Weinheim. Decellularized matrices offer a beneficial substitute for biomimetic scaffolds in tissue engineering. The current study examines the potential of decellularized placental vessel sleeves (PVS) as a periosteal protective sleeve to enhance bone regeneration in embryonic day 18 chick femurs contained within the PVS and cultured organotypically over a 10 day period. The femurs are inserted into decellularized biocompatibility-tested PVS and maintained in an organotypic culture for a period of 10 days. In femurs containing decellularized PVS, a significant increase in bone volume (p  &lt;  0.001) is evident, demonstrated by microcomputed tomography (μCT) compared to femurs without PVS. Histological and immunohistological analyses reveal extensive integration of decellularized PVS with the bone periosteum, and enhanced conservation of bone architecture within the PVS. In addition, the expressions of hypoxia inducible factor-1 alpha (HIF-1α), type II collagen (COL-II), and proteoglycans are observed, indicating a possible repair mechanism via a cartilaginous stage of the bone tissue within the sleeve. The use of decellularized matrices like PVS offers a promising therapeutic strategy in surgical tissue replacement, promoting biocompatibility and architecture of the tissue as well as a factor-rich niche environment with negligible immunogenicity.","author":[{"dropping-particle":"","family":"Inglis","given":"Stefanie","non-dropping-particle":"","parse-names":false,"suffix":""},{"dropping-particle":"","family":"Schneider","given":"Karl Heinrich","non-dropping-particle":"","parse-names":false,"suffix":""},{"dropping-particle":"","family":"Kanczler","given":"Janos M.","non-dropping-particle":"","parse-names":false,"suffix":""},{"dropping-particle":"","family":"Redl","given":"Heinz","non-dropping-particle":"","parse-names":false,"suffix":""},{"dropping-particle":"","family":"Oreffo","given":"Richard O.C.","non-dropping-particle":"","parse-names":false,"suffix":""}],"container-title":"Advanced Healthcare Materials","id":"ITEM-1","issued":{"date-parts":[["2018"]]},"page":"1-12","title":"Harnessing Human Decellularized Blood Vessel Matrices and Cellular Construct Implants to Promote Bone Healing in an Ex Vivo Organotypic Bone Defect Model","type":"article-journal","volume":"1800088"}},{"id":"1dryys0K/mjJkvHUD","uris":["http://www.mendeley.com/documents/?uuid=c42b1a7d-c87f-49e9-8f20-c3a8755e5f43","http://www.mendeley.com/documents/?uuid=6a83b536-ebde-4b73-b7f8-3cebeb69fdcd"],"itemData":{"DOI":"10.1002/adfm.201202710","ISBN":"1616-3028","ISSN":"1616301X","abstract":"Skeletal tissue regeneration is often required following trauma, where substantial bone or cartilage loss may be encountered and is a significant driver for the development of biomaterials with a defined 3D structural network. Solvent blending is a process that avoids complications associated with conventional thermal or mechanical polymer blending or synthesis, opening up large areas of chemical and physical space, while potentially simplifying regulatory pathways towards in vivo application. Here ternary mixtures of natural and synthetic polymers were solvent blended and evaluated as potential bone tissue engineering matrices for osteoregeneration by the assessment of growth and differentiation of STRO-1+ skeletal stem cells. Several of the blend materials were found to be excellent supports for human bone marrow-derived STRO-1+ skeletal cells and fetal skeletal cells, with the optimized blend exhibiting in vivo osteogenic potential, suggesting that these polymer blends could act as suitable matrices for bioengineering of hard tissues.","author":[{"dropping-particle":"","family":"Khan","given":"Ferdous","non-dropping-particle":"","parse-names":false,"suffix":""},{"dropping-particle":"","family":"Smith","given":"James O.","non-dropping-particle":"","parse-names":false,"suffix":""},{"dropping-particle":"","family":"Kanczler","given":"Janos M.","non-dropping-particle":"","parse-names":false,"suffix":""},{"dropping-particle":"","family":"Tare","given":"Rahul S.","non-dropping-particle":"","parse-names":false,"suffix":""},{"dropping-particle":"","family":"Oreffo","given":"Richard O C","non-dropping-particle":"","parse-names":false,"suffix":""},{"dropping-particle":"","family":"Bradley","given":"Mark","non-dropping-particle":"","parse-names":false,"suffix":""}],"container-title":"Advanced Functional Materials","id":"ITEM-2","issue":"22","issued":{"date-parts":[["2013"]]},"page":"2850-2862","title":"Discovery and evaluation of a functional ternary polymer blend for bone repair: Translation from a microarray to a clinical model","type":"article-journal","volume":"23"}}],"schema":"https://github.com/citation-style-language/schema/raw/master/csl-citation.json"} </w:instrText>
      </w:r>
      <w:r w:rsidRPr="00077010">
        <w:fldChar w:fldCharType="separate"/>
      </w:r>
      <w:r w:rsidR="0033591E" w:rsidRPr="0033591E">
        <w:rPr>
          <w:rFonts w:cs="Times"/>
          <w:szCs w:val="24"/>
          <w:vertAlign w:val="superscript"/>
        </w:rPr>
        <w:t>8,76</w:t>
      </w:r>
      <w:r w:rsidRPr="00077010">
        <w:fldChar w:fldCharType="end"/>
      </w:r>
      <w:r w:rsidRPr="00077010">
        <w:t xml:space="preserve">. Briefly, prior to staining, the tissue slide sections were brought to room temperature and rehydrated through a series of steps: </w:t>
      </w:r>
      <w:proofErr w:type="spellStart"/>
      <w:r w:rsidRPr="00077010">
        <w:t>Histoclear</w:t>
      </w:r>
      <w:proofErr w:type="spellEnd"/>
      <w:r w:rsidRPr="00077010">
        <w:t xml:space="preserve"> (2 × 7 min) and decreasing ethanol solutions: 2 × in 100% ethanol, 90% ethanol and 50% - all for 2 min. For Alcian Blue/Sirius Red, the </w:t>
      </w:r>
      <w:proofErr w:type="spellStart"/>
      <w:r w:rsidRPr="00077010">
        <w:t>Weigert’s</w:t>
      </w:r>
      <w:proofErr w:type="spellEnd"/>
      <w:r w:rsidRPr="00077010">
        <w:t xml:space="preserve"> </w:t>
      </w:r>
      <w:proofErr w:type="spellStart"/>
      <w:r w:rsidRPr="00077010">
        <w:t>Hematoxylin</w:t>
      </w:r>
      <w:proofErr w:type="spellEnd"/>
      <w:r w:rsidRPr="00077010">
        <w:t xml:space="preserve"> (Fisher Scientific UK, 10181710) was applied for 10 min to stain the cell nuclei. Any excess stain was removed by immersing into 1% (v/v) hydrochloric acid / 70% (v/v) ethanol solution and washed in H2O. Slides were immersed in 0.5% Alcian blue 8GX (Fisher Scientific UK, 40046-0100) in 1% acetic acid for proteoglycan expression. Slides were treated in 1% </w:t>
      </w:r>
      <w:proofErr w:type="spellStart"/>
      <w:r w:rsidRPr="00077010">
        <w:t>molybdophosphoric</w:t>
      </w:r>
      <w:proofErr w:type="spellEnd"/>
      <w:r w:rsidRPr="00077010">
        <w:t xml:space="preserve"> acid (Sigma-Aldrich UK, 221856) prior to staining with 1% Sirius red F3B (Direct Red 80, Sigma 365548) to collagen visualisation. For Goldner’s Trichrome, the sections were stained again with Wiegert’s </w:t>
      </w:r>
      <w:proofErr w:type="spellStart"/>
      <w:r w:rsidRPr="00077010">
        <w:t>Hematoxylin</w:t>
      </w:r>
      <w:proofErr w:type="spellEnd"/>
      <w:r w:rsidRPr="00077010">
        <w:t xml:space="preserve"> and washed in 1% (v/v) HCl / 70% (v/v) EtOH. The samples were then treated with Ponceau-Fuchsin and </w:t>
      </w:r>
      <w:proofErr w:type="spellStart"/>
      <w:r w:rsidRPr="00077010">
        <w:t>Axophloxin</w:t>
      </w:r>
      <w:proofErr w:type="spellEnd"/>
      <w:r w:rsidRPr="00077010">
        <w:t xml:space="preserve"> solutions (0.75% (v/v) ponceau de xylidine, 0.25% (v/v) acid fuchsin and 0.5% (v/v) azophloxin dissolved in 1% acetic acid solution) for muscle and cytoplasm visualisation. Slides were treated in 0.6% (w/v) </w:t>
      </w:r>
      <w:proofErr w:type="spellStart"/>
      <w:r w:rsidRPr="00077010">
        <w:t>molybdophosphoric</w:t>
      </w:r>
      <w:proofErr w:type="spellEnd"/>
      <w:r w:rsidRPr="00077010">
        <w:t xml:space="preserve"> acid with 0.4% (w/v) Orange G (Sigma, UK, O3756) to visualise erythrocytes. The slides were washed in 1% acetic acid solution and stained with 0.2 (w/v) Light green SF (Sigma, UK, L5382) to visualize collagen. Any excess stain was rinsed off with H2O (for Alcian Blue/Sirius Red) or 1% acetic </w:t>
      </w:r>
      <w:r w:rsidRPr="00077010">
        <w:lastRenderedPageBreak/>
        <w:t xml:space="preserve">acid (for Goldner’s Trichrome) and slides were again dehydrated in increasing concentrations of ethanol and </w:t>
      </w:r>
      <w:proofErr w:type="spellStart"/>
      <w:r w:rsidRPr="00077010">
        <w:t>Histoclear</w:t>
      </w:r>
      <w:proofErr w:type="spellEnd"/>
      <w:r w:rsidRPr="00077010">
        <w:t xml:space="preserve">, before mounting with dibutyl phthalate xylene (DPX) (Fisher Scientific UK, 10050080) and imaging on a Zeiss Axiovert200 digital imaging system. For immunohistochemistry, </w:t>
      </w:r>
      <w:r w:rsidRPr="00F403D0">
        <w:t>heat</w:t>
      </w:r>
      <w:r w:rsidRPr="00077010">
        <w:t xml:space="preserve"> mediated antigen retrieval was undertaken for 20</w:t>
      </w:r>
      <w:r w:rsidRPr="00F403D0">
        <w:t> min in citrate-based buffer (BOND Epitope Retrieval Solution 1, pH6; Leica Biosystems) for detection of VEGFR-2. Following a peroxidase block for </w:t>
      </w:r>
      <w:r w:rsidRPr="00077010">
        <w:t>10</w:t>
      </w:r>
      <w:r w:rsidRPr="00F403D0">
        <w:t> min, the sections were incubated for </w:t>
      </w:r>
      <w:r w:rsidRPr="00077010">
        <w:t>60</w:t>
      </w:r>
      <w:r w:rsidRPr="00F403D0">
        <w:t> min at room temperature with VEGFR-2 antibody (Millipore 07-1294) at a 1:100 dilution. Sections were subsequently incubated with anti-rabbit horseradish-peroxidase labelled polymer for </w:t>
      </w:r>
      <w:r w:rsidRPr="00077010">
        <w:t>15</w:t>
      </w:r>
      <w:r w:rsidRPr="00F403D0">
        <w:t> minutes and thereafter with the diaminobenzidine for 10 min. The slides were then counterstained for 5 min with </w:t>
      </w:r>
      <w:proofErr w:type="spellStart"/>
      <w:r w:rsidRPr="00F403D0">
        <w:t>hematoxylin</w:t>
      </w:r>
      <w:proofErr w:type="spellEnd"/>
      <w:r w:rsidRPr="00F403D0">
        <w:t xml:space="preserve"> (BOND Polymer Refine Detection Kit; Leica Biosystems) and thereafter dehydrated, cleared and mounted. For H&amp;E staining, samples were dewaxed and rehydrated. The samples were placed in haematoxylin for 5 min and washed in running water for 20 s. Thereafter they were differentiated in 1% acid alcohol followed by </w:t>
      </w:r>
      <w:r w:rsidR="00E16373">
        <w:t>S</w:t>
      </w:r>
      <w:r w:rsidR="00E16373" w:rsidRPr="00F403D0">
        <w:t xml:space="preserve">cott’s </w:t>
      </w:r>
      <w:r w:rsidR="00E16373">
        <w:t>T</w:t>
      </w:r>
      <w:r w:rsidR="00E16373" w:rsidRPr="00F403D0">
        <w:t xml:space="preserve">ap </w:t>
      </w:r>
      <w:r w:rsidR="00E16373">
        <w:t>W</w:t>
      </w:r>
      <w:r w:rsidRPr="00F403D0">
        <w:t xml:space="preserve">ater </w:t>
      </w:r>
      <w:r w:rsidR="00E16373">
        <w:t>S</w:t>
      </w:r>
      <w:r w:rsidR="00E16373" w:rsidRPr="00F403D0">
        <w:t xml:space="preserve">ubstitute </w:t>
      </w:r>
      <w:r w:rsidRPr="00F403D0">
        <w:t xml:space="preserve">for 2 min. The eosin solution was used to stain for 2 min followed by washing in running water for 20 s. The samples were then dehydrated, cleared in </w:t>
      </w:r>
      <w:proofErr w:type="gramStart"/>
      <w:r w:rsidRPr="00F403D0">
        <w:t>xylene</w:t>
      </w:r>
      <w:proofErr w:type="gramEnd"/>
      <w:r w:rsidRPr="00F403D0">
        <w:t xml:space="preserve"> and mounted.</w:t>
      </w:r>
    </w:p>
    <w:p w14:paraId="0B7C7A8B" w14:textId="77777777" w:rsidR="00077010" w:rsidRDefault="00CA434D" w:rsidP="00077010">
      <w:pPr>
        <w:rPr>
          <w:b/>
          <w:bCs/>
          <w:iCs/>
        </w:rPr>
      </w:pPr>
      <w:bookmarkStart w:id="27" w:name="_Hlk55731823"/>
      <w:r w:rsidRPr="00024FD1">
        <w:rPr>
          <w:b/>
          <w:bCs/>
          <w:iCs/>
        </w:rPr>
        <w:t>Evaluation of the number of lumens/vascular</w:t>
      </w:r>
    </w:p>
    <w:p w14:paraId="3FFA8E12" w14:textId="4175D2C7" w:rsidR="00CA434D" w:rsidRPr="00024FD1" w:rsidRDefault="00CA434D" w:rsidP="00CA434D">
      <w:pPr>
        <w:spacing w:line="480" w:lineRule="auto"/>
        <w:jc w:val="both"/>
      </w:pPr>
      <w:r w:rsidRPr="00024FD1">
        <w:t xml:space="preserve">Lumens and vascular-like structures were evaluated using histological sections stained with H&amp;E and the software </w:t>
      </w:r>
      <w:proofErr w:type="spellStart"/>
      <w:r w:rsidRPr="00024FD1">
        <w:t>QuPath</w:t>
      </w:r>
      <w:proofErr w:type="spellEnd"/>
      <w:r w:rsidRPr="00024FD1">
        <w:t xml:space="preserve">. Lumens and vascular structures were counted manually and normalized by scaffold area. </w:t>
      </w:r>
    </w:p>
    <w:p w14:paraId="5E4C5C8E" w14:textId="32F289E2" w:rsidR="00531125" w:rsidRDefault="00531125" w:rsidP="00531125">
      <w:pPr>
        <w:rPr>
          <w:b/>
          <w:bCs/>
        </w:rPr>
      </w:pPr>
      <w:r>
        <w:rPr>
          <w:b/>
          <w:bCs/>
        </w:rPr>
        <w:t>Supplemental information</w:t>
      </w:r>
    </w:p>
    <w:bookmarkEnd w:id="27"/>
    <w:p w14:paraId="5074845A" w14:textId="59F58860" w:rsidR="00C04131" w:rsidRDefault="00C04131" w:rsidP="0017129D">
      <w:pPr>
        <w:pStyle w:val="BCAuthorAddress"/>
        <w:jc w:val="both"/>
        <w:rPr>
          <w:rFonts w:cs="Arial"/>
          <w:lang w:val="en-GB"/>
        </w:rPr>
      </w:pPr>
      <w:r w:rsidRPr="00024FD1">
        <w:rPr>
          <w:rFonts w:cs="Arial"/>
          <w:lang w:val="en-GB"/>
        </w:rPr>
        <w:t xml:space="preserve">Full experimental section and additional figures. </w:t>
      </w:r>
    </w:p>
    <w:p w14:paraId="5F302620" w14:textId="0C63CE76" w:rsidR="00531125" w:rsidRDefault="00531125" w:rsidP="00531125">
      <w:pPr>
        <w:pStyle w:val="BCAuthorAddress"/>
        <w:jc w:val="both"/>
        <w:rPr>
          <w:b/>
          <w:bCs/>
          <w:lang w:val="en-GB"/>
        </w:rPr>
      </w:pPr>
      <w:r>
        <w:rPr>
          <w:b/>
          <w:bCs/>
          <w:lang w:val="en-GB"/>
        </w:rPr>
        <w:t>ACKNOWLEDG</w:t>
      </w:r>
      <w:r w:rsidR="00B01AF0">
        <w:rPr>
          <w:b/>
          <w:bCs/>
          <w:lang w:val="en-GB"/>
        </w:rPr>
        <w:t>E</w:t>
      </w:r>
      <w:r>
        <w:rPr>
          <w:b/>
          <w:bCs/>
          <w:lang w:val="en-GB"/>
        </w:rPr>
        <w:t>MENTS</w:t>
      </w:r>
    </w:p>
    <w:p w14:paraId="24BCB884" w14:textId="31BDBFF9" w:rsidR="00471438" w:rsidRDefault="00471438" w:rsidP="00DD0FF4">
      <w:pPr>
        <w:spacing w:line="480" w:lineRule="auto"/>
        <w:jc w:val="both"/>
        <w:rPr>
          <w:rFonts w:cs="Arial"/>
          <w:szCs w:val="24"/>
        </w:rPr>
      </w:pPr>
      <w:r w:rsidRPr="00024FD1">
        <w:rPr>
          <w:rFonts w:cs="Arial"/>
          <w:szCs w:val="24"/>
        </w:rPr>
        <w:t xml:space="preserve">We acknowledge the European Research Council for funding (ERC-2013-ADG 340469 ADREEM), the </w:t>
      </w:r>
      <w:proofErr w:type="spellStart"/>
      <w:r w:rsidRPr="00024FD1">
        <w:rPr>
          <w:rFonts w:cs="Arial"/>
          <w:szCs w:val="24"/>
        </w:rPr>
        <w:t>SuRF</w:t>
      </w:r>
      <w:proofErr w:type="spellEnd"/>
      <w:r w:rsidRPr="00024FD1">
        <w:rPr>
          <w:rFonts w:cs="Arial"/>
          <w:szCs w:val="24"/>
        </w:rPr>
        <w:t xml:space="preserve"> for histological services (University of Edinburgh)</w:t>
      </w:r>
      <w:r w:rsidR="009C3BB2" w:rsidRPr="00024FD1">
        <w:rPr>
          <w:rFonts w:cs="Arial"/>
          <w:szCs w:val="24"/>
        </w:rPr>
        <w:t>, Mr. Stephen Mitchell</w:t>
      </w:r>
      <w:r w:rsidRPr="00024FD1">
        <w:rPr>
          <w:rFonts w:cs="Arial"/>
          <w:szCs w:val="24"/>
        </w:rPr>
        <w:t xml:space="preserve"> </w:t>
      </w:r>
      <w:r w:rsidR="009C3BB2" w:rsidRPr="00024FD1">
        <w:rPr>
          <w:rFonts w:cs="Arial"/>
          <w:szCs w:val="24"/>
        </w:rPr>
        <w:lastRenderedPageBreak/>
        <w:t xml:space="preserve">for his technical support in scanning electron microscopy (Biology Scanning EM Facility, University of Edinburgh) </w:t>
      </w:r>
      <w:r w:rsidRPr="00024FD1">
        <w:rPr>
          <w:rFonts w:cs="Arial"/>
          <w:szCs w:val="24"/>
        </w:rPr>
        <w:t xml:space="preserve">and </w:t>
      </w:r>
      <w:proofErr w:type="spellStart"/>
      <w:r w:rsidRPr="00024FD1">
        <w:rPr>
          <w:rFonts w:cs="Arial"/>
          <w:szCs w:val="24"/>
        </w:rPr>
        <w:t>Dr</w:t>
      </w:r>
      <w:r w:rsidR="006508B6" w:rsidRPr="00024FD1">
        <w:rPr>
          <w:rFonts w:cs="Arial"/>
          <w:szCs w:val="24"/>
        </w:rPr>
        <w:t>.</w:t>
      </w:r>
      <w:proofErr w:type="spellEnd"/>
      <w:r w:rsidRPr="00024FD1">
        <w:rPr>
          <w:rFonts w:cs="Arial"/>
          <w:szCs w:val="24"/>
        </w:rPr>
        <w:t xml:space="preserve"> Daniel Norman</w:t>
      </w:r>
      <w:r w:rsidR="001C3C00" w:rsidRPr="00024FD1">
        <w:rPr>
          <w:rFonts w:cs="Arial"/>
          <w:szCs w:val="24"/>
        </w:rPr>
        <w:t xml:space="preserve"> (University of Edinburgh)</w:t>
      </w:r>
      <w:r w:rsidRPr="00024FD1">
        <w:rPr>
          <w:rFonts w:cs="Arial"/>
          <w:szCs w:val="24"/>
        </w:rPr>
        <w:t>. Support from the UK Regenerative Medicine Platform Hub Acellular SMART materials 3D architecture (MR/R015651/1)</w:t>
      </w:r>
      <w:r w:rsidR="001C3C00" w:rsidRPr="00024FD1">
        <w:rPr>
          <w:rFonts w:cs="Arial"/>
          <w:szCs w:val="24"/>
        </w:rPr>
        <w:t>,</w:t>
      </w:r>
      <w:r w:rsidRPr="00024FD1">
        <w:rPr>
          <w:rFonts w:cs="Arial"/>
          <w:szCs w:val="24"/>
        </w:rPr>
        <w:t xml:space="preserve"> the UK Regenerative Medicine Platform (MR/L012626/1 Southampton Imaging)</w:t>
      </w:r>
      <w:r w:rsidR="001C3C00" w:rsidRPr="00024FD1">
        <w:rPr>
          <w:rFonts w:cs="Arial"/>
          <w:szCs w:val="24"/>
        </w:rPr>
        <w:t xml:space="preserve">, </w:t>
      </w:r>
      <w:proofErr w:type="spellStart"/>
      <w:r w:rsidR="001C3C00" w:rsidRPr="00024FD1">
        <w:rPr>
          <w:rFonts w:cs="Arial"/>
          <w:szCs w:val="24"/>
        </w:rPr>
        <w:t>Dr</w:t>
      </w:r>
      <w:r w:rsidR="006508B6" w:rsidRPr="00024FD1">
        <w:rPr>
          <w:rFonts w:cs="Arial"/>
          <w:szCs w:val="24"/>
        </w:rPr>
        <w:t>.</w:t>
      </w:r>
      <w:proofErr w:type="spellEnd"/>
      <w:r w:rsidR="001C3C00" w:rsidRPr="00024FD1">
        <w:rPr>
          <w:rFonts w:cs="Arial"/>
          <w:szCs w:val="24"/>
        </w:rPr>
        <w:t xml:space="preserve"> Stefanie Inglis and </w:t>
      </w:r>
      <w:proofErr w:type="spellStart"/>
      <w:r w:rsidR="00E16373">
        <w:rPr>
          <w:rFonts w:cs="Arial"/>
          <w:szCs w:val="24"/>
        </w:rPr>
        <w:t>Dr</w:t>
      </w:r>
      <w:r w:rsidR="006508B6" w:rsidRPr="00024FD1">
        <w:rPr>
          <w:rFonts w:cs="Arial"/>
          <w:szCs w:val="24"/>
        </w:rPr>
        <w:t>.</w:t>
      </w:r>
      <w:proofErr w:type="spellEnd"/>
      <w:r w:rsidR="001C3C00" w:rsidRPr="00024FD1">
        <w:rPr>
          <w:rFonts w:cs="Arial"/>
          <w:szCs w:val="24"/>
        </w:rPr>
        <w:t xml:space="preserve"> Suzanne Renz</w:t>
      </w:r>
      <w:r w:rsidRPr="00024FD1">
        <w:rPr>
          <w:rFonts w:cs="Arial"/>
          <w:szCs w:val="24"/>
        </w:rPr>
        <w:t xml:space="preserve"> are also gratefully acknowledged.</w:t>
      </w:r>
      <w:r w:rsidR="001C3C00" w:rsidRPr="00024FD1">
        <w:rPr>
          <w:rFonts w:cs="Arial"/>
          <w:szCs w:val="24"/>
        </w:rPr>
        <w:t xml:space="preserve"> </w:t>
      </w:r>
    </w:p>
    <w:p w14:paraId="13B09B01" w14:textId="77777777" w:rsidR="00531125" w:rsidRPr="00024FD1" w:rsidRDefault="00531125" w:rsidP="00531125">
      <w:pPr>
        <w:pStyle w:val="Acknowledgements"/>
        <w:jc w:val="both"/>
        <w:rPr>
          <w:b/>
          <w:bCs/>
          <w:lang w:val="en-GB"/>
        </w:rPr>
      </w:pPr>
      <w:r w:rsidRPr="00024FD1">
        <w:rPr>
          <w:b/>
          <w:bCs/>
          <w:lang w:val="en-GB"/>
        </w:rPr>
        <w:t>Author Contributions</w:t>
      </w:r>
    </w:p>
    <w:p w14:paraId="79371F52" w14:textId="77777777" w:rsidR="00531125" w:rsidRPr="00024FD1" w:rsidRDefault="00531125" w:rsidP="00531125">
      <w:pPr>
        <w:pStyle w:val="BCAuthorAddress"/>
        <w:jc w:val="both"/>
        <w:rPr>
          <w:b/>
          <w:bCs/>
          <w:lang w:val="en-GB"/>
        </w:rPr>
      </w:pPr>
      <w:r w:rsidRPr="00024FD1">
        <w:rPr>
          <w:lang w:val="en-GB"/>
        </w:rPr>
        <w:t xml:space="preserve">A.C., M.G., D.D. contributed equally carrying out the experiments. A.C., M.G., D.D., R.O.C.O., M.B. wrote the manuscript. R.O.C.O and M.B. supervised the experimental work and manuscript. All authors read and commented on the manuscript. </w:t>
      </w:r>
    </w:p>
    <w:p w14:paraId="52B98233" w14:textId="7740D866" w:rsidR="00531125" w:rsidRPr="00024FD1" w:rsidRDefault="00531125" w:rsidP="00531125">
      <w:pPr>
        <w:pStyle w:val="Acknowledgements"/>
        <w:jc w:val="both"/>
        <w:rPr>
          <w:b/>
          <w:bCs/>
          <w:lang w:val="en-GB"/>
        </w:rPr>
      </w:pPr>
      <w:r>
        <w:rPr>
          <w:b/>
          <w:bCs/>
          <w:lang w:val="en-GB"/>
        </w:rPr>
        <w:t>Declaration of interests</w:t>
      </w:r>
    </w:p>
    <w:p w14:paraId="31C4D0A5" w14:textId="2BBC1A07" w:rsidR="00531125" w:rsidRDefault="00531125" w:rsidP="00531125">
      <w:pPr>
        <w:pStyle w:val="Acknowledgements"/>
        <w:spacing w:after="240" w:line="480" w:lineRule="auto"/>
        <w:rPr>
          <w:rFonts w:cs="Arial"/>
          <w:lang w:val="en-GB"/>
        </w:rPr>
      </w:pPr>
      <w:r w:rsidRPr="00024FD1">
        <w:rPr>
          <w:rFonts w:cs="Arial"/>
          <w:lang w:val="en-GB"/>
        </w:rPr>
        <w:t>The authors declare no competing financial interests.</w:t>
      </w:r>
    </w:p>
    <w:p w14:paraId="181ADCB6" w14:textId="55533837" w:rsidR="00531125" w:rsidRPr="00531125" w:rsidRDefault="00531125" w:rsidP="00531125">
      <w:pPr>
        <w:pStyle w:val="Acknowledgements"/>
        <w:spacing w:line="480" w:lineRule="auto"/>
        <w:rPr>
          <w:b/>
          <w:bCs/>
          <w:lang w:val="en-GB"/>
        </w:rPr>
      </w:pPr>
      <w:r w:rsidRPr="00531125">
        <w:rPr>
          <w:b/>
          <w:bCs/>
          <w:lang w:val="en-GB"/>
        </w:rPr>
        <w:t>Author information</w:t>
      </w:r>
    </w:p>
    <w:p w14:paraId="5991F5C7" w14:textId="77777777" w:rsidR="00531125" w:rsidRPr="00024FD1" w:rsidRDefault="00531125" w:rsidP="00531125">
      <w:pPr>
        <w:pStyle w:val="Acknowledgements"/>
        <w:spacing w:line="480" w:lineRule="auto"/>
        <w:rPr>
          <w:b/>
          <w:bCs/>
          <w:lang w:val="en-GB"/>
        </w:rPr>
      </w:pPr>
      <w:r w:rsidRPr="00024FD1">
        <w:rPr>
          <w:b/>
          <w:bCs/>
          <w:lang w:val="en-GB"/>
        </w:rPr>
        <w:t>Corresponding Authors</w:t>
      </w:r>
    </w:p>
    <w:p w14:paraId="4F8EADF5" w14:textId="77777777" w:rsidR="00531125" w:rsidRPr="00024FD1" w:rsidRDefault="00531125" w:rsidP="00531125">
      <w:pPr>
        <w:pStyle w:val="BCAuthorAddress"/>
        <w:jc w:val="both"/>
        <w:rPr>
          <w:lang w:val="en-GB"/>
        </w:rPr>
      </w:pPr>
      <w:r w:rsidRPr="00024FD1">
        <w:rPr>
          <w:b/>
          <w:bCs/>
          <w:lang w:val="en-GB"/>
        </w:rPr>
        <w:t>Mark Bradley</w:t>
      </w:r>
      <w:r w:rsidRPr="00024FD1">
        <w:rPr>
          <w:lang w:val="en-GB"/>
        </w:rPr>
        <w:t xml:space="preserve"> - </w:t>
      </w:r>
      <w:proofErr w:type="spellStart"/>
      <w:r w:rsidRPr="00024FD1">
        <w:rPr>
          <w:lang w:val="en-GB"/>
        </w:rPr>
        <w:t>EaStCHEM</w:t>
      </w:r>
      <w:proofErr w:type="spellEnd"/>
      <w:r w:rsidRPr="00024FD1">
        <w:rPr>
          <w:lang w:val="en-GB"/>
        </w:rPr>
        <w:t xml:space="preserve"> School of Chemistry, University of Edinburgh, Edinburgh EH9 3FJ, UK. </w:t>
      </w:r>
      <w:r w:rsidRPr="00024FD1">
        <w:rPr>
          <w:rFonts w:ascii="Source Sans Pro" w:hAnsi="Source Sans Pro"/>
          <w:noProof/>
          <w:color w:val="991E66"/>
          <w:shd w:val="clear" w:color="auto" w:fill="FFFFFF"/>
          <w:lang w:val="en-GB" w:eastAsia="en-GB"/>
        </w:rPr>
        <w:drawing>
          <wp:inline distT="0" distB="0" distL="0" distR="0" wp14:anchorId="33AA3696" wp14:editId="23FCD782">
            <wp:extent cx="152400" cy="152400"/>
            <wp:effectExtent l="0" t="0" r="0" b="0"/>
            <wp:docPr id="9" name="Picture 9" descr="ORCID logo">
              <a:hlinkClick xmlns:a="http://schemas.openxmlformats.org/drawingml/2006/main" r:id="rId33" tgtFrame="&quot;_blank&quot;" tooltip="&quot;Select to open ORCID record (orcid.org/0000-0001-7893-1575)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id-logo" descr="ORCID logo">
                      <a:hlinkClick r:id="rId33" tgtFrame="&quot;_blank&quot;" tooltip="&quot;Select to open ORCID record (orcid.org/0000-0001-7893-1575) in a new window&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5" w:history="1">
        <w:r w:rsidRPr="00024FD1">
          <w:rPr>
            <w:rStyle w:val="Hyperlink"/>
            <w:lang w:val="en-GB"/>
          </w:rPr>
          <w:t>https://orcid.org/0000-0001-7893-1575</w:t>
        </w:r>
      </w:hyperlink>
      <w:r w:rsidRPr="00024FD1">
        <w:rPr>
          <w:rStyle w:val="Hyperlink"/>
          <w:lang w:val="en-GB"/>
        </w:rPr>
        <w:t>.</w:t>
      </w:r>
      <w:r w:rsidRPr="00024FD1">
        <w:rPr>
          <w:rStyle w:val="orcid-id-https"/>
          <w:rFonts w:ascii="Arial" w:hAnsi="Arial" w:cs="Arial"/>
          <w:color w:val="494A4C"/>
          <w:sz w:val="18"/>
          <w:szCs w:val="18"/>
          <w:shd w:val="clear" w:color="auto" w:fill="FFFFFF"/>
          <w:lang w:val="en-GB"/>
        </w:rPr>
        <w:t xml:space="preserve"> </w:t>
      </w:r>
      <w:r w:rsidRPr="00024FD1">
        <w:rPr>
          <w:lang w:val="en-GB"/>
        </w:rPr>
        <w:t xml:space="preserve">Email: </w:t>
      </w:r>
      <w:hyperlink r:id="rId36" w:history="1">
        <w:r w:rsidRPr="00024FD1">
          <w:rPr>
            <w:rStyle w:val="Hyperlink"/>
            <w:lang w:val="en-GB"/>
          </w:rPr>
          <w:t>Mark.Bradley@ed.ac.uk</w:t>
        </w:r>
      </w:hyperlink>
    </w:p>
    <w:p w14:paraId="2FB4619A" w14:textId="77777777" w:rsidR="00531125" w:rsidRPr="00024FD1" w:rsidRDefault="00531125" w:rsidP="00531125">
      <w:pPr>
        <w:pStyle w:val="BCAuthorAddress"/>
        <w:jc w:val="both"/>
        <w:rPr>
          <w:lang w:val="en-GB"/>
        </w:rPr>
      </w:pPr>
      <w:r w:rsidRPr="00024FD1">
        <w:rPr>
          <w:b/>
          <w:bCs/>
          <w:lang w:val="en-GB"/>
        </w:rPr>
        <w:t>Richard O. C. Oreffo</w:t>
      </w:r>
      <w:r w:rsidRPr="00024FD1">
        <w:rPr>
          <w:lang w:val="en-GB"/>
        </w:rPr>
        <w:t xml:space="preserve"> - Bone and Joint Research Group, Centre for Human Development, Stem Cells and Regeneration, Faculty of Medicine, University of Southampton, Southampton SO16 6YD, UK. </w:t>
      </w:r>
      <w:r w:rsidRPr="00024FD1">
        <w:rPr>
          <w:rFonts w:ascii="Source Sans Pro" w:hAnsi="Source Sans Pro"/>
          <w:noProof/>
          <w:color w:val="991E66"/>
          <w:shd w:val="clear" w:color="auto" w:fill="FFFFFF"/>
          <w:lang w:val="en-GB" w:eastAsia="en-GB"/>
        </w:rPr>
        <w:drawing>
          <wp:inline distT="0" distB="0" distL="0" distR="0" wp14:anchorId="35E466DA" wp14:editId="164A7DC2">
            <wp:extent cx="152400" cy="152400"/>
            <wp:effectExtent l="0" t="0" r="0" b="0"/>
            <wp:docPr id="12" name="Picture 12" descr="ORCID logo">
              <a:hlinkClick xmlns:a="http://schemas.openxmlformats.org/drawingml/2006/main" r:id="rId33" tgtFrame="&quot;_blank&quot;" tooltip="&quot;Select to open ORCID record (orcid.org/0000-0001-7893-1575)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id-logo" descr="ORCID logo">
                      <a:hlinkClick r:id="rId33" tgtFrame="&quot;_blank&quot;" tooltip="&quot;Select to open ORCID record (orcid.org/0000-0001-7893-1575) in a new window&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24FD1">
        <w:rPr>
          <w:lang w:val="en-GB"/>
        </w:rPr>
        <w:t xml:space="preserve"> </w:t>
      </w:r>
      <w:hyperlink r:id="rId37" w:history="1">
        <w:r w:rsidRPr="00024FD1">
          <w:rPr>
            <w:rStyle w:val="Hyperlink"/>
            <w:lang w:val="en-GB"/>
          </w:rPr>
          <w:t>https://orcid.org/0000-0001-5995-6726</w:t>
        </w:r>
      </w:hyperlink>
      <w:r w:rsidRPr="00024FD1">
        <w:rPr>
          <w:rStyle w:val="Hyperlink"/>
          <w:lang w:val="en-GB"/>
        </w:rPr>
        <w:t>.</w:t>
      </w:r>
      <w:r w:rsidRPr="00024FD1">
        <w:rPr>
          <w:rStyle w:val="orcid-id-https"/>
          <w:rFonts w:ascii="Arial" w:hAnsi="Arial" w:cs="Arial"/>
          <w:color w:val="494A4C"/>
          <w:sz w:val="18"/>
          <w:szCs w:val="18"/>
          <w:shd w:val="clear" w:color="auto" w:fill="FFFFFF"/>
          <w:lang w:val="en-GB"/>
        </w:rPr>
        <w:t xml:space="preserve"> </w:t>
      </w:r>
      <w:r w:rsidRPr="00024FD1">
        <w:rPr>
          <w:lang w:val="en-GB"/>
        </w:rPr>
        <w:t xml:space="preserve">Email: </w:t>
      </w:r>
      <w:hyperlink r:id="rId38" w:history="1">
        <w:r w:rsidRPr="00024FD1">
          <w:rPr>
            <w:rStyle w:val="Hyperlink"/>
            <w:lang w:val="en-GB"/>
          </w:rPr>
          <w:t>Richard.Oreffo@soton.ac.uk</w:t>
        </w:r>
      </w:hyperlink>
    </w:p>
    <w:p w14:paraId="3611235E" w14:textId="77777777" w:rsidR="00531125" w:rsidRPr="00024FD1" w:rsidRDefault="00531125" w:rsidP="00531125">
      <w:pPr>
        <w:pStyle w:val="Acknowledgements"/>
        <w:spacing w:line="480" w:lineRule="auto"/>
        <w:rPr>
          <w:b/>
          <w:bCs/>
          <w:lang w:val="en-GB"/>
        </w:rPr>
      </w:pPr>
      <w:r w:rsidRPr="00024FD1">
        <w:rPr>
          <w:b/>
          <w:bCs/>
          <w:lang w:val="en-GB"/>
        </w:rPr>
        <w:t>Authors</w:t>
      </w:r>
    </w:p>
    <w:p w14:paraId="4A869F7F" w14:textId="77777777" w:rsidR="00531125" w:rsidRPr="00024FD1" w:rsidRDefault="00531125" w:rsidP="00531125">
      <w:pPr>
        <w:pStyle w:val="BCAuthorAddress"/>
        <w:jc w:val="both"/>
        <w:rPr>
          <w:lang w:val="en-GB"/>
        </w:rPr>
      </w:pPr>
      <w:r w:rsidRPr="00024FD1">
        <w:rPr>
          <w:b/>
          <w:bCs/>
          <w:lang w:val="en-GB"/>
        </w:rPr>
        <w:t>Antonio Conde-González</w:t>
      </w:r>
      <w:r w:rsidRPr="00024FD1">
        <w:rPr>
          <w:lang w:val="en-GB"/>
        </w:rPr>
        <w:t xml:space="preserve"> - </w:t>
      </w:r>
      <w:proofErr w:type="spellStart"/>
      <w:r w:rsidRPr="00024FD1">
        <w:rPr>
          <w:lang w:val="en-GB"/>
        </w:rPr>
        <w:t>EaStCHEM</w:t>
      </w:r>
      <w:proofErr w:type="spellEnd"/>
      <w:r w:rsidRPr="00024FD1">
        <w:rPr>
          <w:lang w:val="en-GB"/>
        </w:rPr>
        <w:t xml:space="preserve"> School of Chemistry, University of Edinburgh, Edinburgh EH9 3FJ, UK. </w:t>
      </w:r>
      <w:r w:rsidRPr="00024FD1">
        <w:rPr>
          <w:rFonts w:ascii="Source Sans Pro" w:hAnsi="Source Sans Pro"/>
          <w:noProof/>
          <w:color w:val="991E66"/>
          <w:shd w:val="clear" w:color="auto" w:fill="FFFFFF"/>
          <w:lang w:val="en-GB" w:eastAsia="en-GB"/>
        </w:rPr>
        <w:drawing>
          <wp:inline distT="0" distB="0" distL="0" distR="0" wp14:anchorId="42C736AC" wp14:editId="6F892AFD">
            <wp:extent cx="152400" cy="152400"/>
            <wp:effectExtent l="0" t="0" r="0" b="0"/>
            <wp:docPr id="13" name="Picture 13" descr="ORCID logo">
              <a:hlinkClick xmlns:a="http://schemas.openxmlformats.org/drawingml/2006/main" r:id="rId33" tgtFrame="&quot;_blank&quot;" tooltip="&quot;Select to open ORCID record (orcid.org/0000-0001-7893-1575)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id-logo" descr="ORCID logo">
                      <a:hlinkClick r:id="rId33" tgtFrame="&quot;_blank&quot;" tooltip="&quot;Select to open ORCID record (orcid.org/0000-0001-7893-1575) in a new window&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24FD1">
        <w:rPr>
          <w:rStyle w:val="Hyperlink"/>
          <w:lang w:val="en-GB"/>
        </w:rPr>
        <w:t>https://orcid.org/0000-0001-5202-1290</w:t>
      </w:r>
    </w:p>
    <w:p w14:paraId="29A19684" w14:textId="77777777" w:rsidR="00531125" w:rsidRPr="00024FD1" w:rsidRDefault="00531125" w:rsidP="00531125">
      <w:pPr>
        <w:pStyle w:val="BCAuthorAddress"/>
        <w:jc w:val="both"/>
        <w:rPr>
          <w:lang w:val="en-GB"/>
        </w:rPr>
      </w:pPr>
      <w:r w:rsidRPr="00024FD1">
        <w:rPr>
          <w:b/>
          <w:bCs/>
          <w:lang w:val="en-GB"/>
        </w:rPr>
        <w:lastRenderedPageBreak/>
        <w:t>Michael Glinka</w:t>
      </w:r>
      <w:r w:rsidRPr="00024FD1">
        <w:rPr>
          <w:lang w:val="en-GB"/>
        </w:rPr>
        <w:t xml:space="preserve"> - Bone and Joint Research Group, Centre for Human Development, Stem Cells and Regeneration, Faculty of Medicine, University of Southampton, Southampton SO16 6YD, UK. </w:t>
      </w:r>
      <w:r w:rsidRPr="00024FD1">
        <w:rPr>
          <w:rFonts w:ascii="Source Sans Pro" w:hAnsi="Source Sans Pro"/>
          <w:noProof/>
          <w:color w:val="991E66"/>
          <w:shd w:val="clear" w:color="auto" w:fill="FFFFFF"/>
          <w:lang w:val="en-GB" w:eastAsia="en-GB"/>
        </w:rPr>
        <w:drawing>
          <wp:inline distT="0" distB="0" distL="0" distR="0" wp14:anchorId="7C432930" wp14:editId="37900B40">
            <wp:extent cx="152400" cy="152400"/>
            <wp:effectExtent l="0" t="0" r="0" b="0"/>
            <wp:docPr id="14" name="Picture 14" descr="ORCID logo">
              <a:hlinkClick xmlns:a="http://schemas.openxmlformats.org/drawingml/2006/main" r:id="rId33" tgtFrame="&quot;_blank&quot;" tooltip="&quot;Select to open ORCID record (orcid.org/0000-0001-7893-1575)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id-logo" descr="ORCID logo">
                      <a:hlinkClick r:id="rId33" tgtFrame="&quot;_blank&quot;" tooltip="&quot;Select to open ORCID record (orcid.org/0000-0001-7893-1575) in a new window&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9" w:history="1">
        <w:r w:rsidRPr="00024FD1">
          <w:rPr>
            <w:rStyle w:val="Hyperlink"/>
            <w:lang w:val="en-GB"/>
          </w:rPr>
          <w:t>https://orcid.org/0000-0002-8278-5555</w:t>
        </w:r>
      </w:hyperlink>
    </w:p>
    <w:p w14:paraId="37181574" w14:textId="77777777" w:rsidR="00531125" w:rsidRPr="00024FD1" w:rsidRDefault="00531125" w:rsidP="00531125">
      <w:pPr>
        <w:pStyle w:val="BCAuthorAddress"/>
        <w:jc w:val="both"/>
        <w:rPr>
          <w:b/>
          <w:bCs/>
          <w:lang w:val="en-GB"/>
        </w:rPr>
      </w:pPr>
      <w:r w:rsidRPr="00024FD1">
        <w:rPr>
          <w:b/>
          <w:bCs/>
          <w:lang w:val="en-GB"/>
        </w:rPr>
        <w:t>Deepanjalee</w:t>
      </w:r>
      <w:r w:rsidRPr="00024FD1">
        <w:rPr>
          <w:rFonts w:ascii="Arial" w:hAnsi="Arial" w:cs="Arial"/>
          <w:b/>
          <w:bCs/>
          <w:color w:val="A6CE39"/>
          <w:sz w:val="35"/>
          <w:szCs w:val="35"/>
          <w:lang w:val="en-GB"/>
        </w:rPr>
        <w:t xml:space="preserve"> </w:t>
      </w:r>
      <w:r w:rsidRPr="00024FD1">
        <w:rPr>
          <w:b/>
          <w:bCs/>
          <w:lang w:val="en-GB"/>
        </w:rPr>
        <w:t>Dutta</w:t>
      </w:r>
      <w:r w:rsidRPr="00024FD1">
        <w:rPr>
          <w:lang w:val="en-GB"/>
        </w:rPr>
        <w:t xml:space="preserve"> - </w:t>
      </w:r>
      <w:proofErr w:type="spellStart"/>
      <w:r w:rsidRPr="00024FD1">
        <w:rPr>
          <w:lang w:val="en-GB"/>
        </w:rPr>
        <w:t>EaStCHEM</w:t>
      </w:r>
      <w:proofErr w:type="spellEnd"/>
      <w:r w:rsidRPr="00024FD1">
        <w:rPr>
          <w:lang w:val="en-GB"/>
        </w:rPr>
        <w:t xml:space="preserve"> School of Chemistry, University of Edinburgh, Edinburgh EH9 3FJ, UK. </w:t>
      </w:r>
      <w:r w:rsidRPr="00024FD1">
        <w:rPr>
          <w:rFonts w:ascii="Source Sans Pro" w:hAnsi="Source Sans Pro"/>
          <w:noProof/>
          <w:color w:val="991E66"/>
          <w:shd w:val="clear" w:color="auto" w:fill="FFFFFF"/>
          <w:lang w:val="en-GB" w:eastAsia="en-GB"/>
        </w:rPr>
        <w:drawing>
          <wp:inline distT="0" distB="0" distL="0" distR="0" wp14:anchorId="2C0C76FC" wp14:editId="753D6820">
            <wp:extent cx="152400" cy="152400"/>
            <wp:effectExtent l="0" t="0" r="0" b="0"/>
            <wp:docPr id="16" name="Picture 16" descr="ORCID logo">
              <a:hlinkClick xmlns:a="http://schemas.openxmlformats.org/drawingml/2006/main" r:id="rId33" tgtFrame="&quot;_blank&quot;" tooltip="&quot;Select to open ORCID record (orcid.org/0000-0001-7893-1575)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id-logo" descr="ORCID logo">
                      <a:hlinkClick r:id="rId33" tgtFrame="&quot;_blank&quot;" tooltip="&quot;Select to open ORCID record (orcid.org/0000-0001-7893-1575) in a new window&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24FD1">
        <w:rPr>
          <w:rStyle w:val="Hyperlink"/>
          <w:lang w:val="en-GB"/>
        </w:rPr>
        <w:t>https://orcid.org/0000-0002-4695-5262</w:t>
      </w:r>
    </w:p>
    <w:p w14:paraId="31FBD244" w14:textId="77777777" w:rsidR="00531125" w:rsidRPr="00024FD1" w:rsidRDefault="00531125" w:rsidP="00531125">
      <w:pPr>
        <w:pStyle w:val="BCAuthorAddress"/>
        <w:jc w:val="both"/>
        <w:rPr>
          <w:lang w:val="en-GB"/>
        </w:rPr>
      </w:pPr>
      <w:r w:rsidRPr="00024FD1">
        <w:rPr>
          <w:b/>
          <w:bCs/>
          <w:lang w:val="en-GB"/>
        </w:rPr>
        <w:t>Robert Wallace</w:t>
      </w:r>
      <w:r w:rsidRPr="00024FD1">
        <w:rPr>
          <w:lang w:val="en-GB"/>
        </w:rPr>
        <w:t xml:space="preserve"> - Orthopaedics and Trauma, University of Edinburgh, Edinburgh EH16 4SB, UK.</w:t>
      </w:r>
    </w:p>
    <w:p w14:paraId="24BE4D5A" w14:textId="77777777" w:rsidR="00531125" w:rsidRPr="00024FD1" w:rsidRDefault="00531125" w:rsidP="00531125">
      <w:pPr>
        <w:pStyle w:val="BCAuthorAddress"/>
        <w:jc w:val="both"/>
        <w:rPr>
          <w:lang w:val="en-GB"/>
        </w:rPr>
      </w:pPr>
      <w:r w:rsidRPr="00024FD1">
        <w:rPr>
          <w:b/>
          <w:bCs/>
          <w:lang w:val="en-GB"/>
        </w:rPr>
        <w:t>Anthony Callanan</w:t>
      </w:r>
      <w:r w:rsidRPr="00024FD1">
        <w:rPr>
          <w:lang w:val="en-GB"/>
        </w:rPr>
        <w:t xml:space="preserve"> - School of Engineering, Institute for Bioengineering, University of Edinburgh, Edinburgh EH9 3DW, UK. </w:t>
      </w:r>
      <w:r w:rsidRPr="00024FD1">
        <w:rPr>
          <w:rFonts w:ascii="Source Sans Pro" w:hAnsi="Source Sans Pro"/>
          <w:noProof/>
          <w:color w:val="991E66"/>
          <w:shd w:val="clear" w:color="auto" w:fill="FFFFFF"/>
          <w:lang w:val="en-GB" w:eastAsia="en-GB"/>
        </w:rPr>
        <w:drawing>
          <wp:inline distT="0" distB="0" distL="0" distR="0" wp14:anchorId="4FD097DF" wp14:editId="105F36C8">
            <wp:extent cx="152400" cy="152400"/>
            <wp:effectExtent l="0" t="0" r="0" b="0"/>
            <wp:docPr id="17" name="Picture 17" descr="ORCID logo">
              <a:hlinkClick xmlns:a="http://schemas.openxmlformats.org/drawingml/2006/main" r:id="rId33" tgtFrame="&quot;_blank&quot;" tooltip="&quot;Select to open ORCID record (orcid.org/0000-0001-7893-1575) in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id-logo" descr="ORCID logo">
                      <a:hlinkClick r:id="rId33" tgtFrame="&quot;_blank&quot;" tooltip="&quot;Select to open ORCID record (orcid.org/0000-0001-7893-1575) in a new window&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24FD1">
        <w:rPr>
          <w:rStyle w:val="Hyperlink"/>
          <w:lang w:val="en-GB"/>
        </w:rPr>
        <w:t>https://orcid.org/0000-0002-1871-2853</w:t>
      </w:r>
    </w:p>
    <w:p w14:paraId="56A4DE26" w14:textId="2EA5D193" w:rsidR="00743603" w:rsidRPr="00531125" w:rsidRDefault="00560967" w:rsidP="00CA434D">
      <w:pPr>
        <w:pStyle w:val="BCAuthorAddress"/>
        <w:jc w:val="both"/>
        <w:rPr>
          <w:b/>
          <w:bCs/>
          <w:lang w:val="en-GB"/>
        </w:rPr>
      </w:pPr>
      <w:r w:rsidRPr="00531125">
        <w:rPr>
          <w:b/>
          <w:bCs/>
          <w:lang w:val="en-GB"/>
        </w:rPr>
        <w:t>REFERENCES</w:t>
      </w:r>
    </w:p>
    <w:p w14:paraId="6CF44904" w14:textId="77777777" w:rsidR="0033591E" w:rsidRDefault="00B748F9" w:rsidP="0033591E">
      <w:pPr>
        <w:pStyle w:val="Bibliography"/>
      </w:pPr>
      <w:r w:rsidRPr="00024FD1">
        <w:rPr>
          <w:rFonts w:cs="Times"/>
        </w:rPr>
        <w:fldChar w:fldCharType="begin" w:fldLock="1"/>
      </w:r>
      <w:r w:rsidRPr="00024FD1">
        <w:rPr>
          <w:rFonts w:cs="Times"/>
        </w:rPr>
        <w:instrText xml:space="preserve">ADDIN Mendeley Bibliography CSL_BIBLIOGRAPHY </w:instrText>
      </w:r>
      <w:r w:rsidRPr="00024FD1">
        <w:rPr>
          <w:rFonts w:cs="Times"/>
        </w:rPr>
        <w:fldChar w:fldCharType="separate"/>
      </w:r>
      <w:r w:rsidR="0033591E">
        <w:t>1.</w:t>
      </w:r>
      <w:r w:rsidR="0033591E">
        <w:tab/>
        <w:t xml:space="preserve">Krishna L, Dhamodaran K, Jayadev C, et al. Nanostructured scaffold as a determinant of stem cell fate. </w:t>
      </w:r>
      <w:r w:rsidR="0033591E">
        <w:rPr>
          <w:i/>
          <w:iCs/>
        </w:rPr>
        <w:t>Stem Cell Research and Therapy</w:t>
      </w:r>
      <w:r w:rsidR="0033591E">
        <w:t>. 2016;7(188). doi:10.1186/s13287-016-0440-y</w:t>
      </w:r>
    </w:p>
    <w:p w14:paraId="72A2095F" w14:textId="77777777" w:rsidR="0033591E" w:rsidRDefault="0033591E" w:rsidP="0033591E">
      <w:pPr>
        <w:pStyle w:val="Bibliography"/>
      </w:pPr>
      <w:r>
        <w:t>2.</w:t>
      </w:r>
      <w:r>
        <w:tab/>
        <w:t xml:space="preserve">Sancho-Tello M, Forriol F, Martín de Llano JJ, et al. Biostable scaffolds of polyacrylate polymers implanted in the articular cartilage induce hyaline-like cartilage regeneration in rabbits. </w:t>
      </w:r>
      <w:r>
        <w:rPr>
          <w:i/>
          <w:iCs/>
        </w:rPr>
        <w:t>International Journal of Artificial Organs</w:t>
      </w:r>
      <w:r>
        <w:t>. 2017;40(7):350-357. doi:10.5301/ijao.5000598</w:t>
      </w:r>
    </w:p>
    <w:p w14:paraId="4D4E8982" w14:textId="77777777" w:rsidR="0033591E" w:rsidRDefault="0033591E" w:rsidP="0033591E">
      <w:pPr>
        <w:pStyle w:val="Bibliography"/>
      </w:pPr>
      <w:r>
        <w:t>3.</w:t>
      </w:r>
      <w:r>
        <w:tab/>
        <w:t xml:space="preserve">López-Ruiz E, Venkateswaran S, Perán M, et al. Poly(ethylmethacrylate-co-diethylaminoethyl acrylate) coating improves endothelial re-population, bio-mechanical and anti-thrombogenic properties of decellularized carotid arteries for blood vessel replacement. </w:t>
      </w:r>
      <w:r>
        <w:rPr>
          <w:i/>
          <w:iCs/>
        </w:rPr>
        <w:t>Scientific Reports</w:t>
      </w:r>
      <w:r>
        <w:t>. 2017;7(1):1-14. doi:10.1038/s41598-017-00294-6</w:t>
      </w:r>
    </w:p>
    <w:p w14:paraId="58FE0DC7" w14:textId="77777777" w:rsidR="0033591E" w:rsidRDefault="0033591E" w:rsidP="0033591E">
      <w:pPr>
        <w:pStyle w:val="Bibliography"/>
      </w:pPr>
      <w:r>
        <w:t>4.</w:t>
      </w:r>
      <w:r>
        <w:tab/>
        <w:t xml:space="preserve">Hansen A, Mjoseng HK, Zhang R, et al. High-Density Polymer Microarrays: Identifying Synthetic Polymers that Control Human Embryonic Stem Cell Growth. </w:t>
      </w:r>
      <w:r>
        <w:rPr>
          <w:i/>
          <w:iCs/>
        </w:rPr>
        <w:t>Advanced Healthcare Materials</w:t>
      </w:r>
      <w:r>
        <w:t>. 2014;3(6):848-853. doi:10.1002/adhm.201300489</w:t>
      </w:r>
    </w:p>
    <w:p w14:paraId="2563650F" w14:textId="77777777" w:rsidR="0033591E" w:rsidRDefault="0033591E" w:rsidP="0033591E">
      <w:pPr>
        <w:pStyle w:val="Bibliography"/>
      </w:pPr>
      <w:r>
        <w:t>5.</w:t>
      </w:r>
      <w:r>
        <w:tab/>
        <w:t xml:space="preserve">Zhang R, Mjoseng HK, Hoeve M a, et al. A thermoresponsive and chemically defined hydrogel for long-term culture of human embryonic stem cells. </w:t>
      </w:r>
      <w:r>
        <w:rPr>
          <w:i/>
          <w:iCs/>
        </w:rPr>
        <w:t>Nature communications</w:t>
      </w:r>
      <w:r>
        <w:t>. 2013;4:1335. doi:10.1038/ncomms2341</w:t>
      </w:r>
    </w:p>
    <w:p w14:paraId="7128BB26" w14:textId="77777777" w:rsidR="0033591E" w:rsidRDefault="0033591E" w:rsidP="0033591E">
      <w:pPr>
        <w:pStyle w:val="Bibliography"/>
      </w:pPr>
      <w:r>
        <w:t>6.</w:t>
      </w:r>
      <w:r>
        <w:tab/>
        <w:t xml:space="preserve">Aghali A, Arman HE. Photoencapsulated-mesenchymal stromal cells in biodegradable thiol-acrylate hydrogels enhance regeneration of craniofacial bone tissue defects. </w:t>
      </w:r>
      <w:r>
        <w:rPr>
          <w:i/>
          <w:iCs/>
        </w:rPr>
        <w:t>Regenerative Medicine</w:t>
      </w:r>
      <w:r>
        <w:t>. 2020;15(9):2115-2127. doi:10.2217/rme-2020-0061</w:t>
      </w:r>
    </w:p>
    <w:p w14:paraId="42A0A4AE" w14:textId="77777777" w:rsidR="0033591E" w:rsidRDefault="0033591E" w:rsidP="0033591E">
      <w:pPr>
        <w:pStyle w:val="Bibliography"/>
      </w:pPr>
      <w:r>
        <w:lastRenderedPageBreak/>
        <w:t>7.</w:t>
      </w:r>
      <w:r>
        <w:tab/>
        <w:t xml:space="preserve">Shaukat U, Rossegger E, Schlögl S. A Review of Multi-Material 3D Printing of Functional Materials via Vat Photopolymerization. </w:t>
      </w:r>
      <w:r>
        <w:rPr>
          <w:i/>
          <w:iCs/>
        </w:rPr>
        <w:t>Polymers</w:t>
      </w:r>
      <w:r>
        <w:t>. 2022;14(12):2449. doi:10.3390/polym14122449</w:t>
      </w:r>
    </w:p>
    <w:p w14:paraId="27DA7510" w14:textId="77777777" w:rsidR="0033591E" w:rsidRDefault="0033591E" w:rsidP="0033591E">
      <w:pPr>
        <w:pStyle w:val="Bibliography"/>
      </w:pPr>
      <w:r>
        <w:t>8.</w:t>
      </w:r>
      <w:r>
        <w:tab/>
        <w:t xml:space="preserve">Khan F, Smith JO, Kanczler JM, Tare RS, Oreffo ROC, Bradley M. Discovery and evaluation of a functional ternary polymer blend for bone repair: Translation from a microarray to a clinical model. </w:t>
      </w:r>
      <w:r>
        <w:rPr>
          <w:i/>
          <w:iCs/>
        </w:rPr>
        <w:t>Advanced Functional Materials</w:t>
      </w:r>
      <w:r>
        <w:t>. 2013;23(22):2850-2862. doi:10.1002/adfm.201202710</w:t>
      </w:r>
    </w:p>
    <w:p w14:paraId="02C9B617" w14:textId="77777777" w:rsidR="0033591E" w:rsidRDefault="0033591E" w:rsidP="0033591E">
      <w:pPr>
        <w:pStyle w:val="Bibliography"/>
      </w:pPr>
      <w:r>
        <w:t>9.</w:t>
      </w:r>
      <w:r>
        <w:tab/>
        <w:t xml:space="preserve">Clarkin CE, Gerstenfeld LC. VEGF and bone cell signalling: an essential vessel for communication? </w:t>
      </w:r>
      <w:r>
        <w:rPr>
          <w:i/>
          <w:iCs/>
        </w:rPr>
        <w:t>Cell Biochemistry and Function</w:t>
      </w:r>
      <w:r>
        <w:t>. 2013;31(1):1-11. doi:10.1002/cbf.2911</w:t>
      </w:r>
    </w:p>
    <w:p w14:paraId="0F5B4A94" w14:textId="77777777" w:rsidR="0033591E" w:rsidRDefault="0033591E" w:rsidP="0033591E">
      <w:pPr>
        <w:pStyle w:val="Bibliography"/>
      </w:pPr>
      <w:r>
        <w:t>10.</w:t>
      </w:r>
      <w:r>
        <w:tab/>
        <w:t xml:space="preserve">Sivan U, De Angelis J, Kusumbe AP. Role of angiocrine signals in bone development, homeostasis and disease. </w:t>
      </w:r>
      <w:r>
        <w:rPr>
          <w:i/>
          <w:iCs/>
        </w:rPr>
        <w:t>Open biology</w:t>
      </w:r>
      <w:r>
        <w:t>. 2019;9(10):190144. doi:10.1098/rsob.190144</w:t>
      </w:r>
    </w:p>
    <w:p w14:paraId="3C48C86A" w14:textId="77777777" w:rsidR="0033591E" w:rsidRDefault="0033591E" w:rsidP="0033591E">
      <w:pPr>
        <w:pStyle w:val="Bibliography"/>
      </w:pPr>
      <w:r>
        <w:t>11.</w:t>
      </w:r>
      <w:r>
        <w:tab/>
        <w:t xml:space="preserve">Kesireddy V, Kasper FK. Approaches for building bioactive elements into synthetic scaffolds for bone tissue engineering. </w:t>
      </w:r>
      <w:r>
        <w:rPr>
          <w:i/>
          <w:iCs/>
        </w:rPr>
        <w:t>Journal of Materials Chemistry B</w:t>
      </w:r>
      <w:r>
        <w:t>. 2016;4(42):6773-6786. doi:10.1039/C6TB00783J</w:t>
      </w:r>
    </w:p>
    <w:p w14:paraId="4F3D6146" w14:textId="77777777" w:rsidR="0033591E" w:rsidRDefault="0033591E" w:rsidP="0033591E">
      <w:pPr>
        <w:pStyle w:val="Bibliography"/>
      </w:pPr>
      <w:r>
        <w:t>12.</w:t>
      </w:r>
      <w:r>
        <w:tab/>
        <w:t xml:space="preserve">Liu W, Zhang G, Wu J, et al. Insights into the angiogenic effects of nanomaterials: mechanisms involved and potential applications. </w:t>
      </w:r>
      <w:r>
        <w:rPr>
          <w:i/>
          <w:iCs/>
        </w:rPr>
        <w:t>J Nanobiotechnol</w:t>
      </w:r>
      <w:r>
        <w:t>. 2020;18(1):9. doi:10.1186/s12951-019-0570-3</w:t>
      </w:r>
    </w:p>
    <w:p w14:paraId="00C9A14F" w14:textId="77777777" w:rsidR="0033591E" w:rsidRDefault="0033591E" w:rsidP="0033591E">
      <w:pPr>
        <w:pStyle w:val="Bibliography"/>
      </w:pPr>
      <w:r>
        <w:t>13.</w:t>
      </w:r>
      <w:r>
        <w:tab/>
        <w:t xml:space="preserve">Simon JL, Michna S, Lewis JA, et al. In vivo bone response to 3D periodic hydroxyapatite scaffolds assembled by direct ink writing. </w:t>
      </w:r>
      <w:r>
        <w:rPr>
          <w:i/>
          <w:iCs/>
        </w:rPr>
        <w:t>Journal of Biomedical Materials Research Part A</w:t>
      </w:r>
      <w:r>
        <w:t>. 2007;83(3):747-758. doi:10.1002/jbm.a</w:t>
      </w:r>
    </w:p>
    <w:p w14:paraId="523E163C" w14:textId="77777777" w:rsidR="0033591E" w:rsidRDefault="0033591E" w:rsidP="0033591E">
      <w:pPr>
        <w:pStyle w:val="Bibliography"/>
      </w:pPr>
      <w:r>
        <w:t>14.</w:t>
      </w:r>
      <w:r>
        <w:tab/>
        <w:t xml:space="preserve">Klenke FM, Liu Y, Yuan H, Hunziker EB, Siebenrock KA, Hofstetter W. Impact of pore size on the vascularization and osseointegration of ceramic bone substitutes in vivo. </w:t>
      </w:r>
      <w:r>
        <w:rPr>
          <w:i/>
          <w:iCs/>
        </w:rPr>
        <w:t>Journal of Biomedical Materials Research Part A</w:t>
      </w:r>
      <w:r>
        <w:t>. 2008;85(3):777-786. doi:10.1002/jbm.a.31559</w:t>
      </w:r>
    </w:p>
    <w:p w14:paraId="32E7E107" w14:textId="77777777" w:rsidR="0033591E" w:rsidRDefault="0033591E" w:rsidP="0033591E">
      <w:pPr>
        <w:pStyle w:val="Bibliography"/>
      </w:pPr>
      <w:r>
        <w:t>15.</w:t>
      </w:r>
      <w:r>
        <w:tab/>
        <w:t xml:space="preserve">Perez RA, Mestres G. Role of pore size and morphology in musculo-skeletal tissue regeneration. </w:t>
      </w:r>
      <w:r>
        <w:rPr>
          <w:i/>
          <w:iCs/>
        </w:rPr>
        <w:t>Materials Science and Engineering C</w:t>
      </w:r>
      <w:r>
        <w:t>. 2016;61:922-939. doi:10.1016/j.msec.2015.12.087</w:t>
      </w:r>
    </w:p>
    <w:p w14:paraId="04B097B2" w14:textId="77777777" w:rsidR="0033591E" w:rsidRDefault="0033591E" w:rsidP="0033591E">
      <w:pPr>
        <w:pStyle w:val="Bibliography"/>
      </w:pPr>
      <w:r>
        <w:t>16.</w:t>
      </w:r>
      <w:r>
        <w:tab/>
        <w:t xml:space="preserve">Papavasiliou G, Cheng MH, Brey EM. Strategies for Vascularization of Polymer Scaffolds. </w:t>
      </w:r>
      <w:r>
        <w:rPr>
          <w:i/>
          <w:iCs/>
        </w:rPr>
        <w:t>Journal of investigative medicine : the official publication of the American Federation for Clinical Research</w:t>
      </w:r>
      <w:r>
        <w:t>. 2010;58(7):838. doi:10.231/jim.0b013e3181f18e38</w:t>
      </w:r>
    </w:p>
    <w:p w14:paraId="05B84C74" w14:textId="77777777" w:rsidR="0033591E" w:rsidRDefault="0033591E" w:rsidP="0033591E">
      <w:pPr>
        <w:pStyle w:val="Bibliography"/>
      </w:pPr>
      <w:r>
        <w:t>17.</w:t>
      </w:r>
      <w:r>
        <w:tab/>
        <w:t xml:space="preserve">Tian H, Du J, Wen J, et al. Growth-Factor Nanocapsules That Enable Tunable Controlled Release for Bone Regeneration. </w:t>
      </w:r>
      <w:r>
        <w:rPr>
          <w:i/>
          <w:iCs/>
        </w:rPr>
        <w:t>ACS Nano</w:t>
      </w:r>
      <w:r>
        <w:t>. 2016;10(8):7362-7369. doi:10.1021/acsnano.5b07950</w:t>
      </w:r>
    </w:p>
    <w:p w14:paraId="0A59A7E1" w14:textId="77777777" w:rsidR="0033591E" w:rsidRDefault="0033591E" w:rsidP="0033591E">
      <w:pPr>
        <w:pStyle w:val="Bibliography"/>
      </w:pPr>
      <w:r>
        <w:t>18.</w:t>
      </w:r>
      <w:r>
        <w:tab/>
        <w:t xml:space="preserve">Gibbs DM, Black CR, Hulsart-Billstrom G, et al. Bone induction at physiological doses of BMP through localization by clay nanoparticle gels. </w:t>
      </w:r>
      <w:r>
        <w:rPr>
          <w:i/>
          <w:iCs/>
        </w:rPr>
        <w:t>Biomaterials</w:t>
      </w:r>
      <w:r>
        <w:t>. 2016;99:16-23. doi:10.1016/j.biomaterials.2016.05.010</w:t>
      </w:r>
    </w:p>
    <w:p w14:paraId="2C8A1CE2" w14:textId="77777777" w:rsidR="0033591E" w:rsidRDefault="0033591E" w:rsidP="0033591E">
      <w:pPr>
        <w:pStyle w:val="Bibliography"/>
      </w:pPr>
      <w:r>
        <w:t>19.</w:t>
      </w:r>
      <w:r>
        <w:tab/>
        <w:t xml:space="preserve">Conde-González A, Dutta D, Wallace R, Callanan A, Bradley M. Rapid fabrication and screening of tailored functional 3D biomaterials. </w:t>
      </w:r>
      <w:r>
        <w:rPr>
          <w:i/>
          <w:iCs/>
        </w:rPr>
        <w:t>Materials Science and Engineering C</w:t>
      </w:r>
      <w:r>
        <w:t>. 2020;108(November 2019):110489. doi:10.1016/j.msec.2019.110489</w:t>
      </w:r>
    </w:p>
    <w:p w14:paraId="4982E224" w14:textId="77777777" w:rsidR="0033591E" w:rsidRDefault="0033591E" w:rsidP="0033591E">
      <w:pPr>
        <w:pStyle w:val="Bibliography"/>
      </w:pPr>
      <w:r>
        <w:lastRenderedPageBreak/>
        <w:t>20.</w:t>
      </w:r>
      <w:r>
        <w:tab/>
        <w:t xml:space="preserve">Cheng K, Lai Y, Kisaalita WS. Three-dimensional polymer scaffolds for high throughput cell-based assay systems. </w:t>
      </w:r>
      <w:r>
        <w:rPr>
          <w:i/>
          <w:iCs/>
        </w:rPr>
        <w:t>Biomaterials</w:t>
      </w:r>
      <w:r>
        <w:t>. 2008;29(18):2802-2812. doi:10.1016/j.biomaterials.2008.03.015</w:t>
      </w:r>
    </w:p>
    <w:p w14:paraId="3D2A6954" w14:textId="77777777" w:rsidR="0033591E" w:rsidRDefault="0033591E" w:rsidP="0033591E">
      <w:pPr>
        <w:pStyle w:val="Bibliography"/>
      </w:pPr>
      <w:r>
        <w:t>21.</w:t>
      </w:r>
      <w:r>
        <w:tab/>
        <w:t xml:space="preserve">Yang Y, Bolikal D, Becker ML, Kohn J, Zeiger DN, Simon CG. Combinatorial polymer scaffold libraries for screening cell-biomaterial interactions in 3D. </w:t>
      </w:r>
      <w:r>
        <w:rPr>
          <w:i/>
          <w:iCs/>
        </w:rPr>
        <w:t>Advanced Materials</w:t>
      </w:r>
      <w:r>
        <w:t>. 2008;20(11):2037-2043. doi:10.1002/adma.200702088</w:t>
      </w:r>
    </w:p>
    <w:p w14:paraId="1F1784B9" w14:textId="77777777" w:rsidR="0033591E" w:rsidRDefault="0033591E" w:rsidP="0033591E">
      <w:pPr>
        <w:pStyle w:val="Bibliography"/>
      </w:pPr>
      <w:r>
        <w:t>22.</w:t>
      </w:r>
      <w:r>
        <w:tab/>
        <w:t xml:space="preserve">Li X, Zhang X, Zhao S, Wang J, Liu G, Du Y. Micro-scaffold array chip for upgrading cell-based high-throughput drug testing to 3D using benchtop equipment. </w:t>
      </w:r>
      <w:r>
        <w:rPr>
          <w:i/>
          <w:iCs/>
        </w:rPr>
        <w:t>Lab on a Chip</w:t>
      </w:r>
      <w:r>
        <w:t>. 2014;14(3):471-481. doi:10.1039/c3lc51103k</w:t>
      </w:r>
    </w:p>
    <w:p w14:paraId="644B7270" w14:textId="77777777" w:rsidR="0033591E" w:rsidRDefault="0033591E" w:rsidP="0033591E">
      <w:pPr>
        <w:pStyle w:val="Bibliography"/>
      </w:pPr>
      <w:r>
        <w:t>23.</w:t>
      </w:r>
      <w:r>
        <w:tab/>
        <w:t xml:space="preserve">Revia RA, Wagner B, James M, Zhang M. High-Throughput Dispensing of Viscous Solutions for Biomedical Applications. </w:t>
      </w:r>
      <w:r>
        <w:rPr>
          <w:i/>
          <w:iCs/>
        </w:rPr>
        <w:t>Micromachines</w:t>
      </w:r>
      <w:r>
        <w:t>. 2022;13(10):1730. doi:10.3390/mi13101730</w:t>
      </w:r>
    </w:p>
    <w:p w14:paraId="3D722C99" w14:textId="77777777" w:rsidR="0033591E" w:rsidRDefault="0033591E" w:rsidP="0033591E">
      <w:pPr>
        <w:pStyle w:val="Bibliography"/>
      </w:pPr>
      <w:r>
        <w:t>24.</w:t>
      </w:r>
      <w:r>
        <w:tab/>
        <w:t xml:space="preserve">Xia P, Luo Y. Vascularization in tissue engineering: The architecture cues of pores in scaffolds. </w:t>
      </w:r>
      <w:r>
        <w:rPr>
          <w:i/>
          <w:iCs/>
        </w:rPr>
        <w:t>J Biomed Mater Res</w:t>
      </w:r>
      <w:r>
        <w:t>. 2022;110(5):1206-1214. doi:10.1002/jbm.b.34979</w:t>
      </w:r>
    </w:p>
    <w:p w14:paraId="6025B15D" w14:textId="77777777" w:rsidR="0033591E" w:rsidRDefault="0033591E" w:rsidP="0033591E">
      <w:pPr>
        <w:pStyle w:val="Bibliography"/>
      </w:pPr>
      <w:r>
        <w:t>25.</w:t>
      </w:r>
      <w:r>
        <w:tab/>
        <w:t xml:space="preserve">O’Donoghue K, Fisk NM. Fetal stem cells. </w:t>
      </w:r>
      <w:r>
        <w:rPr>
          <w:i/>
          <w:iCs/>
        </w:rPr>
        <w:t>Best Practice and Research: Clinical Obstetrics and Gynaecology</w:t>
      </w:r>
      <w:r>
        <w:t>. 2004;18(6):853-875. doi:10.1016/j.bpobgyn.2004.06.010</w:t>
      </w:r>
    </w:p>
    <w:p w14:paraId="21121713" w14:textId="77777777" w:rsidR="0033591E" w:rsidRDefault="0033591E" w:rsidP="0033591E">
      <w:pPr>
        <w:pStyle w:val="Bibliography"/>
      </w:pPr>
      <w:r>
        <w:t>26.</w:t>
      </w:r>
      <w:r>
        <w:tab/>
        <w:t xml:space="preserve">Demcisakova Z, Luptakova L, Tirpakova Z, et al. Evaluation of Angiogenesis in an Acellular Porous Biomaterial Based on Polyhydroxybutyrate and Chitosan Using the Chicken Ex Ovo Chorioallantoic Membrane Model. </w:t>
      </w:r>
      <w:r>
        <w:rPr>
          <w:i/>
          <w:iCs/>
        </w:rPr>
        <w:t>Cancers</w:t>
      </w:r>
      <w:r>
        <w:t>. 2022;14(17):4194. doi:10.3390/cancers14174194</w:t>
      </w:r>
    </w:p>
    <w:p w14:paraId="4E0C0905" w14:textId="77777777" w:rsidR="0033591E" w:rsidRDefault="0033591E" w:rsidP="0033591E">
      <w:pPr>
        <w:pStyle w:val="Bibliography"/>
      </w:pPr>
      <w:r>
        <w:t>27.</w:t>
      </w:r>
      <w:r>
        <w:tab/>
        <w:t xml:space="preserve">Moreno-Jiménez I, Hulsart-Billstrom G, Lanham SA, et al. The chorioallantoic membrane (CAM) assay for the study of human bone regeneration: A refinement animal model for tissue engineering. </w:t>
      </w:r>
      <w:r>
        <w:rPr>
          <w:i/>
          <w:iCs/>
        </w:rPr>
        <w:t>Scientific Reports</w:t>
      </w:r>
      <w:r>
        <w:t>. 2016;6(August):1-12. doi:10.1038/srep32168</w:t>
      </w:r>
    </w:p>
    <w:p w14:paraId="3EC2EBD8" w14:textId="77777777" w:rsidR="0033591E" w:rsidRDefault="0033591E" w:rsidP="0033591E">
      <w:pPr>
        <w:pStyle w:val="Bibliography"/>
      </w:pPr>
      <w:r>
        <w:t>28.</w:t>
      </w:r>
      <w:r>
        <w:tab/>
        <w:t xml:space="preserve">Doube M, Klosowski MM, Arganda-Carreras I, et al. BoneJ: Free and extensible bone image analysis in ImageJ. </w:t>
      </w:r>
      <w:r>
        <w:rPr>
          <w:i/>
          <w:iCs/>
        </w:rPr>
        <w:t>Bone</w:t>
      </w:r>
      <w:r>
        <w:t>. 2010;47(6):1076-1079. doi:10.1016/j.bone.2010.08.023</w:t>
      </w:r>
    </w:p>
    <w:p w14:paraId="56DE8DF1" w14:textId="77777777" w:rsidR="0033591E" w:rsidRDefault="0033591E" w:rsidP="0033591E">
      <w:pPr>
        <w:pStyle w:val="Bibliography"/>
      </w:pPr>
      <w:r>
        <w:t>29.</w:t>
      </w:r>
      <w:r>
        <w:tab/>
        <w:t xml:space="preserve">Timoshenko SP, Goodier JN. Theory of Elasticity. In: McGraw-Hill, ed. </w:t>
      </w:r>
      <w:r>
        <w:rPr>
          <w:i/>
          <w:iCs/>
        </w:rPr>
        <w:t>Theory of Elasticity</w:t>
      </w:r>
      <w:r>
        <w:t>. 3rd ed. ; 1951:1-14.</w:t>
      </w:r>
    </w:p>
    <w:p w14:paraId="32F8338A" w14:textId="77777777" w:rsidR="0033591E" w:rsidRDefault="0033591E" w:rsidP="0033591E">
      <w:pPr>
        <w:pStyle w:val="Bibliography"/>
      </w:pPr>
      <w:r>
        <w:t>30.</w:t>
      </w:r>
      <w:r>
        <w:tab/>
        <w:t xml:space="preserve">Egorov V, Tsyuryupa S, Kanilo S, Kogit M, Sarvazyan A. Soft tissue elastometer. </w:t>
      </w:r>
      <w:r>
        <w:rPr>
          <w:i/>
          <w:iCs/>
        </w:rPr>
        <w:t>Medical Engineering and Physics</w:t>
      </w:r>
      <w:r>
        <w:t>. Published online 2008. doi:10.1016/j.medengphy.2007.02.007</w:t>
      </w:r>
    </w:p>
    <w:p w14:paraId="76DDF891" w14:textId="77777777" w:rsidR="0033591E" w:rsidRDefault="0033591E" w:rsidP="0033591E">
      <w:pPr>
        <w:pStyle w:val="Bibliography"/>
      </w:pPr>
      <w:r>
        <w:t>31.</w:t>
      </w:r>
      <w:r>
        <w:tab/>
        <w:t xml:space="preserve">Delaine-Smith RM, Burney S, Balkwill FR, Knight MM. Experimental validation of a flat punch indentation methodology calibrated against unconfined compression tests for determination of soft tissue biomechanics. </w:t>
      </w:r>
      <w:r>
        <w:rPr>
          <w:i/>
          <w:iCs/>
        </w:rPr>
        <w:t>Journal of the Mechanical Behavior of Biomedical Materials</w:t>
      </w:r>
      <w:r>
        <w:t>. 2016;60:401-415. doi:10.1016/j.jmbbm.2016.02.019</w:t>
      </w:r>
    </w:p>
    <w:p w14:paraId="3C95BECC" w14:textId="77777777" w:rsidR="0033591E" w:rsidRDefault="0033591E" w:rsidP="0033591E">
      <w:pPr>
        <w:pStyle w:val="Bibliography"/>
      </w:pPr>
      <w:r>
        <w:t>32.</w:t>
      </w:r>
      <w:r>
        <w:tab/>
        <w:t xml:space="preserve">Ashter SA. Thermoforming of Single and Multilayer Laminates. In: </w:t>
      </w:r>
      <w:r>
        <w:rPr>
          <w:i/>
          <w:iCs/>
        </w:rPr>
        <w:t>Plastic Films Technologies, Testing, and Applications</w:t>
      </w:r>
      <w:r>
        <w:t>. Vol 7. Elsevier; 2019:147-192. doi:10.1016/B978-0-12-814523-4.00004-6</w:t>
      </w:r>
    </w:p>
    <w:p w14:paraId="57C57625" w14:textId="77777777" w:rsidR="0033591E" w:rsidRDefault="0033591E" w:rsidP="0033591E">
      <w:pPr>
        <w:pStyle w:val="Bibliography"/>
      </w:pPr>
      <w:r>
        <w:lastRenderedPageBreak/>
        <w:t>33.</w:t>
      </w:r>
      <w:r>
        <w:tab/>
        <w:t xml:space="preserve">Liang X, Gao J, Xu W, et al. Structural mechanics of 3D-printed poly(lactic acid) scaffolds with tetragonal, hexagonal and wheel-like designs. </w:t>
      </w:r>
      <w:r>
        <w:rPr>
          <w:i/>
          <w:iCs/>
        </w:rPr>
        <w:t>Biofabrication</w:t>
      </w:r>
      <w:r>
        <w:t>. 2019;11(3):035009. doi:10.1088/1758-5090/ab0f59</w:t>
      </w:r>
    </w:p>
    <w:p w14:paraId="4D5241B5" w14:textId="77777777" w:rsidR="0033591E" w:rsidRDefault="0033591E" w:rsidP="0033591E">
      <w:pPr>
        <w:pStyle w:val="Bibliography"/>
      </w:pPr>
      <w:r>
        <w:t>34.</w:t>
      </w:r>
      <w:r>
        <w:tab/>
        <w:t xml:space="preserve">McCullen SD, Autefage H, Callanan A, Gentleman E, Stevens MM. Anisotropic Fibrous Scaffolds for Articular Cartilage Regeneration. </w:t>
      </w:r>
      <w:r>
        <w:rPr>
          <w:i/>
          <w:iCs/>
        </w:rPr>
        <w:t>Tissue Engineering Part A</w:t>
      </w:r>
      <w:r>
        <w:t>. 2012;18(19-20):2073-2083. doi:10.1089/ten.tea.2011.0606</w:t>
      </w:r>
    </w:p>
    <w:p w14:paraId="67AF958B" w14:textId="77777777" w:rsidR="0033591E" w:rsidRDefault="0033591E" w:rsidP="0033591E">
      <w:pPr>
        <w:pStyle w:val="Bibliography"/>
      </w:pPr>
      <w:r>
        <w:t>35.</w:t>
      </w:r>
      <w:r>
        <w:tab/>
        <w:t xml:space="preserve">Steele JAM, McCullen SD, Callanan A, et al. Combinatorial scaffold morphologies for zonal articular cartilage engineering. </w:t>
      </w:r>
      <w:r>
        <w:rPr>
          <w:i/>
          <w:iCs/>
        </w:rPr>
        <w:t>Acta Biomaterialia</w:t>
      </w:r>
      <w:r>
        <w:t>. 2014;10(5):2065-2075. doi:10.1016/j.actbio.2013.12.030</w:t>
      </w:r>
    </w:p>
    <w:p w14:paraId="5608D8B3" w14:textId="77777777" w:rsidR="0033591E" w:rsidRDefault="0033591E" w:rsidP="0033591E">
      <w:pPr>
        <w:pStyle w:val="Bibliography"/>
      </w:pPr>
      <w:r>
        <w:t>36.</w:t>
      </w:r>
      <w:r>
        <w:tab/>
        <w:t xml:space="preserve">Feng J, Hu T, Liu W, et al. The biomechanical, morphologic, and histochemical properties of the costal cartilages in children with pectus excavatum. </w:t>
      </w:r>
      <w:r>
        <w:rPr>
          <w:i/>
          <w:iCs/>
        </w:rPr>
        <w:t>Journal of Pediatric Surgery</w:t>
      </w:r>
      <w:r>
        <w:t>. 2001;36(12):1770-1776. doi:10.1053/jpsu.2001.28820</w:t>
      </w:r>
    </w:p>
    <w:p w14:paraId="2C6E37C0" w14:textId="77777777" w:rsidR="0033591E" w:rsidRDefault="0033591E" w:rsidP="0033591E">
      <w:pPr>
        <w:pStyle w:val="Bibliography"/>
      </w:pPr>
      <w:r>
        <w:t>37.</w:t>
      </w:r>
      <w:r>
        <w:tab/>
        <w:t xml:space="preserve">Provot S, Schipani E. Molecular mechanisms of endochondral bone development. </w:t>
      </w:r>
      <w:r>
        <w:rPr>
          <w:i/>
          <w:iCs/>
        </w:rPr>
        <w:t>Biochemical and Biophysical Research Communications</w:t>
      </w:r>
      <w:r>
        <w:t>. 2005;328(3):658-665. doi:10.1016/j.bbrc.2004.11.068</w:t>
      </w:r>
    </w:p>
    <w:p w14:paraId="1B5D89BC" w14:textId="77777777" w:rsidR="0033591E" w:rsidRDefault="0033591E" w:rsidP="0033591E">
      <w:pPr>
        <w:pStyle w:val="Bibliography"/>
      </w:pPr>
      <w:r>
        <w:t>38.</w:t>
      </w:r>
      <w:r>
        <w:tab/>
        <w:t xml:space="preserve">Engler AJ, Sen S, Sweeney HL, Discher DE. Matrix Elasticity Directs Stem Cell Lineage Specification. </w:t>
      </w:r>
      <w:r>
        <w:rPr>
          <w:i/>
          <w:iCs/>
        </w:rPr>
        <w:t>Cell</w:t>
      </w:r>
      <w:r>
        <w:t>. 2006;126(4):677-689. doi:10.1016/j.cell.2006.06.044</w:t>
      </w:r>
    </w:p>
    <w:p w14:paraId="6E79A1A0" w14:textId="77777777" w:rsidR="0033591E" w:rsidRDefault="0033591E" w:rsidP="0033591E">
      <w:pPr>
        <w:pStyle w:val="Bibliography"/>
      </w:pPr>
      <w:r>
        <w:t>39.</w:t>
      </w:r>
      <w:r>
        <w:tab/>
        <w:t xml:space="preserve">Lau A, Oyen ML, Kent RW, Murakami D, Torigaki T. Indentation stiffness of aging human costal cartilage. </w:t>
      </w:r>
      <w:r>
        <w:rPr>
          <w:i/>
          <w:iCs/>
        </w:rPr>
        <w:t>Acta Biomaterialia</w:t>
      </w:r>
      <w:r>
        <w:t>. 2008;4(1):97-103. doi:10.1016/j.actbio.2007.06.008</w:t>
      </w:r>
    </w:p>
    <w:p w14:paraId="4B3A5708" w14:textId="77777777" w:rsidR="0033591E" w:rsidRDefault="0033591E" w:rsidP="0033591E">
      <w:pPr>
        <w:pStyle w:val="Bibliography"/>
      </w:pPr>
      <w:r>
        <w:t>40.</w:t>
      </w:r>
      <w:r>
        <w:tab/>
        <w:t xml:space="preserve">Deligianni DD, Maris A, Missirlis YF. Stress relaxation behaviour of trabecular bone specimens. </w:t>
      </w:r>
      <w:r>
        <w:rPr>
          <w:i/>
          <w:iCs/>
        </w:rPr>
        <w:t>Journal of Biomechanics</w:t>
      </w:r>
      <w:r>
        <w:t>. 1994;27(12):1469-1476. doi:10.1016/0021-9290(94)90196-1</w:t>
      </w:r>
    </w:p>
    <w:p w14:paraId="1829BAEE" w14:textId="77777777" w:rsidR="0033591E" w:rsidRDefault="0033591E" w:rsidP="0033591E">
      <w:pPr>
        <w:pStyle w:val="Bibliography"/>
      </w:pPr>
      <w:r>
        <w:t>41.</w:t>
      </w:r>
      <w:r>
        <w:tab/>
        <w:t xml:space="preserve">Park SH, Gil ES, Mandal BB, et al. Annulus fibrosus tissue engineering using lamellar silk scaffolds. </w:t>
      </w:r>
      <w:r>
        <w:rPr>
          <w:i/>
          <w:iCs/>
        </w:rPr>
        <w:t>Journal of Tissue Engineering and Regenerative Medicine</w:t>
      </w:r>
      <w:r>
        <w:t>. Published online 2012. doi:10.1002/term.541</w:t>
      </w:r>
    </w:p>
    <w:p w14:paraId="13F4FAF4" w14:textId="77777777" w:rsidR="0033591E" w:rsidRDefault="0033591E" w:rsidP="0033591E">
      <w:pPr>
        <w:pStyle w:val="Bibliography"/>
      </w:pPr>
      <w:r>
        <w:t>42.</w:t>
      </w:r>
      <w:r>
        <w:tab/>
        <w:t xml:space="preserve">Moses JC, Nandi SK, Mandal BB. Multifunctional Cell Instructive Silk-Bioactive Glass Composite Reinforced Scaffolds Toward Osteoinductive, Proangiogenic, and Resorbable Bone Grafts. </w:t>
      </w:r>
      <w:r>
        <w:rPr>
          <w:i/>
          <w:iCs/>
        </w:rPr>
        <w:t>Advanced Healthcare Materials</w:t>
      </w:r>
      <w:r>
        <w:t>. Published online 2018. doi:10.1002/adhm.201701418</w:t>
      </w:r>
    </w:p>
    <w:p w14:paraId="384C28D9" w14:textId="77777777" w:rsidR="0033591E" w:rsidRDefault="0033591E" w:rsidP="0033591E">
      <w:pPr>
        <w:pStyle w:val="Bibliography"/>
      </w:pPr>
      <w:r>
        <w:t>43.</w:t>
      </w:r>
      <w:r>
        <w:tab/>
        <w:t xml:space="preserve">Murphy CM, O’Brien FJ. Understanding the effect of mean pore size on cell activity in collagen-glycosaminoglycan scaffolds. </w:t>
      </w:r>
      <w:r>
        <w:rPr>
          <w:i/>
          <w:iCs/>
        </w:rPr>
        <w:t>Cell Adhesion and Migration</w:t>
      </w:r>
      <w:r>
        <w:t>. 2010;4(3):377-381. doi:10.4161/cam.4.3.11747</w:t>
      </w:r>
    </w:p>
    <w:p w14:paraId="5CC7EE3D" w14:textId="77777777" w:rsidR="0033591E" w:rsidRDefault="0033591E" w:rsidP="0033591E">
      <w:pPr>
        <w:pStyle w:val="Bibliography"/>
      </w:pPr>
      <w:r>
        <w:t>44.</w:t>
      </w:r>
      <w:r>
        <w:tab/>
        <w:t xml:space="preserve">Zhang K, Fan Y, Dunne N, Li X. Effect of microporosity on scaffolds for bone tissue engineering. </w:t>
      </w:r>
      <w:r>
        <w:rPr>
          <w:i/>
          <w:iCs/>
        </w:rPr>
        <w:t>Regenerative Biomaterials</w:t>
      </w:r>
      <w:r>
        <w:t>. 2018;5(2):115-124. doi:10.1093/rb/rby001</w:t>
      </w:r>
    </w:p>
    <w:p w14:paraId="7D0B7917" w14:textId="77777777" w:rsidR="0033591E" w:rsidRDefault="0033591E" w:rsidP="0033591E">
      <w:pPr>
        <w:pStyle w:val="Bibliography"/>
      </w:pPr>
      <w:r>
        <w:t>45.</w:t>
      </w:r>
      <w:r>
        <w:tab/>
        <w:t xml:space="preserve">Rosser J, Bonewald L. </w:t>
      </w:r>
      <w:r>
        <w:rPr>
          <w:i/>
          <w:iCs/>
        </w:rPr>
        <w:t>Bone Research Protocols: Studying Osteocyte Function Using the Cell Lines MLO-Y4 and MLO-A5</w:t>
      </w:r>
      <w:r>
        <w:t>. Vol 816.; 2012.</w:t>
      </w:r>
    </w:p>
    <w:p w14:paraId="3C316CE1" w14:textId="77777777" w:rsidR="0033591E" w:rsidRDefault="0033591E" w:rsidP="0033591E">
      <w:pPr>
        <w:pStyle w:val="Bibliography"/>
      </w:pPr>
      <w:r>
        <w:t>46.</w:t>
      </w:r>
      <w:r>
        <w:tab/>
        <w:t xml:space="preserve">Gothard D, Cheung K, Kanczler JM, Wilson DI, Oreffo ROC. Regionally-derived cell populations and skeletal stem cells from human foetal femora exhibit specific </w:t>
      </w:r>
      <w:r>
        <w:lastRenderedPageBreak/>
        <w:t xml:space="preserve">osteochondral and multi-lineage differentiation capacity in vitro and ex vivo. </w:t>
      </w:r>
      <w:r>
        <w:rPr>
          <w:i/>
          <w:iCs/>
        </w:rPr>
        <w:t>Stem Cell Research and Therapy</w:t>
      </w:r>
      <w:r>
        <w:t>. 2015;6(1):1-17. doi:10.1186/s13287-015-0247-2</w:t>
      </w:r>
    </w:p>
    <w:p w14:paraId="4F2AC197" w14:textId="77777777" w:rsidR="0033591E" w:rsidRDefault="0033591E" w:rsidP="0033591E">
      <w:pPr>
        <w:pStyle w:val="Bibliography"/>
      </w:pPr>
      <w:r>
        <w:t>47.</w:t>
      </w:r>
      <w:r>
        <w:tab/>
        <w:t xml:space="preserve">Nowak-Sliwinska P, Segura T, Iruela-Arispe ML. The chicken chorioallantoic membrane model in biology, medicine and bioengineering. </w:t>
      </w:r>
      <w:r>
        <w:rPr>
          <w:i/>
          <w:iCs/>
        </w:rPr>
        <w:t>Angiogenesis</w:t>
      </w:r>
      <w:r>
        <w:t>. 2014;17(4):779-804. doi:10.1007/s10456-014-9440-7</w:t>
      </w:r>
    </w:p>
    <w:p w14:paraId="36518D21" w14:textId="77777777" w:rsidR="0033591E" w:rsidRDefault="0033591E" w:rsidP="0033591E">
      <w:pPr>
        <w:pStyle w:val="Bibliography"/>
      </w:pPr>
      <w:r>
        <w:t>48.</w:t>
      </w:r>
      <w:r>
        <w:tab/>
        <w:t xml:space="preserve">Nowak-Sliwinska P, Alitalo K, Allen E, et al. </w:t>
      </w:r>
      <w:r>
        <w:rPr>
          <w:i/>
          <w:iCs/>
        </w:rPr>
        <w:t>Consensus Guidelines for the Use and Interpretation of Angiogenesis Assays</w:t>
      </w:r>
      <w:r>
        <w:t>. Vol 21. Springer Netherlands; 2018. doi:10.1007/s10456-018-9613-x</w:t>
      </w:r>
    </w:p>
    <w:p w14:paraId="71A00B91" w14:textId="77777777" w:rsidR="0033591E" w:rsidRDefault="0033591E" w:rsidP="0033591E">
      <w:pPr>
        <w:pStyle w:val="Bibliography"/>
      </w:pPr>
      <w:r>
        <w:t>49.</w:t>
      </w:r>
      <w:r>
        <w:tab/>
        <w:t xml:space="preserve">Bikle DD. Vitamin D metabolism, mechanism of action, and clinical applications. </w:t>
      </w:r>
      <w:r>
        <w:rPr>
          <w:i/>
          <w:iCs/>
        </w:rPr>
        <w:t>Chem Biol</w:t>
      </w:r>
      <w:r>
        <w:t>. 2014;21(3):319-329. doi:10.1016/j.chembiol.2013.12.016</w:t>
      </w:r>
    </w:p>
    <w:p w14:paraId="23E8BF0D" w14:textId="77777777" w:rsidR="0033591E" w:rsidRDefault="0033591E" w:rsidP="0033591E">
      <w:pPr>
        <w:pStyle w:val="Bibliography"/>
      </w:pPr>
      <w:r>
        <w:t>50.</w:t>
      </w:r>
      <w:r>
        <w:tab/>
        <w:t xml:space="preserve">Wang C, Meng H, Wang X, Zhao C, Peng J, Wang Y. Differentiation of Bone Marrow Mesenchymal Stem Cells in Osteoblasts and Adipocytes and its Role in Treatment of Osteoporosis. </w:t>
      </w:r>
      <w:r>
        <w:rPr>
          <w:i/>
          <w:iCs/>
        </w:rPr>
        <w:t>Medical Science Monitor</w:t>
      </w:r>
      <w:r>
        <w:t>. 2016;22:226-233. doi:10.12659/MSM.897044</w:t>
      </w:r>
    </w:p>
    <w:p w14:paraId="32F6157D" w14:textId="77777777" w:rsidR="0033591E" w:rsidRDefault="0033591E" w:rsidP="0033591E">
      <w:pPr>
        <w:pStyle w:val="Bibliography"/>
      </w:pPr>
      <w:r>
        <w:t>51.</w:t>
      </w:r>
      <w:r>
        <w:tab/>
        <w:t xml:space="preserve">Huang W, Carlsen B, Rudkin G, et al. Osteopontin is a negative regulator of proliferation and differentiation in MC3T3-E1 pre-osteoblastic cells. </w:t>
      </w:r>
      <w:r>
        <w:rPr>
          <w:i/>
          <w:iCs/>
        </w:rPr>
        <w:t>Bone</w:t>
      </w:r>
      <w:r>
        <w:t>. 2004;34(5):799-808. doi:10.1016/j.bone.2003.11.027</w:t>
      </w:r>
    </w:p>
    <w:p w14:paraId="25A325FE" w14:textId="77777777" w:rsidR="0033591E" w:rsidRDefault="0033591E" w:rsidP="0033591E">
      <w:pPr>
        <w:pStyle w:val="Bibliography"/>
      </w:pPr>
      <w:r>
        <w:t>52.</w:t>
      </w:r>
      <w:r>
        <w:tab/>
        <w:t xml:space="preserve">McGovern JA, Griffin M, Hutmacher DW. Animal models for bone tissue engineering and modelling disease. </w:t>
      </w:r>
      <w:r>
        <w:rPr>
          <w:i/>
          <w:iCs/>
        </w:rPr>
        <w:t>Disease Models &amp; Mechanisms</w:t>
      </w:r>
      <w:r>
        <w:t>. 2018;11(4):dmm033084. doi:10.1242/dmm.033084</w:t>
      </w:r>
    </w:p>
    <w:p w14:paraId="7EF542FB" w14:textId="77777777" w:rsidR="0033591E" w:rsidRDefault="0033591E" w:rsidP="0033591E">
      <w:pPr>
        <w:pStyle w:val="Bibliography"/>
      </w:pPr>
      <w:r>
        <w:t>53.</w:t>
      </w:r>
      <w:r>
        <w:tab/>
        <w:t xml:space="preserve">Ghanaati S, Unger RE, Webber MJ, et al. Scaffold vascularization in vivo driven by primary human osteoblasts in concert with host inflammatory cells. </w:t>
      </w:r>
      <w:r>
        <w:rPr>
          <w:i/>
          <w:iCs/>
        </w:rPr>
        <w:t>Biomaterials</w:t>
      </w:r>
      <w:r>
        <w:t>. 2011;32(32):8150-8160. doi:10.1016/j.biomaterials.2011.07.041</w:t>
      </w:r>
    </w:p>
    <w:p w14:paraId="2217A2DA" w14:textId="77777777" w:rsidR="0033591E" w:rsidRDefault="0033591E" w:rsidP="0033591E">
      <w:pPr>
        <w:pStyle w:val="Bibliography"/>
      </w:pPr>
      <w:r>
        <w:t>54.</w:t>
      </w:r>
      <w:r>
        <w:tab/>
        <w:t xml:space="preserve">Pereira M, Petretto E, Gordon S, Bassett JHD, Williams GR, Behmoaras J. Common signalling pathways in macrophage and osteoclast multinucleation. </w:t>
      </w:r>
      <w:r>
        <w:rPr>
          <w:i/>
          <w:iCs/>
        </w:rPr>
        <w:t>Journal of cell science</w:t>
      </w:r>
      <w:r>
        <w:t>. 2018;131(11):jcs216267. doi:10.1242/jcs.216267</w:t>
      </w:r>
    </w:p>
    <w:p w14:paraId="7FCF4ED9" w14:textId="77777777" w:rsidR="0033591E" w:rsidRDefault="0033591E" w:rsidP="0033591E">
      <w:pPr>
        <w:pStyle w:val="Bibliography"/>
      </w:pPr>
      <w:r>
        <w:t>55.</w:t>
      </w:r>
      <w:r>
        <w:tab/>
        <w:t xml:space="preserve">Jabbarzadeh E, Starnes T, Khan YM, et al. Induction of angiogenesis in tissue-engineered scaffolds designed for bone repair: A combined gene therapy-cell transplantation approach. </w:t>
      </w:r>
      <w:r>
        <w:rPr>
          <w:i/>
          <w:iCs/>
        </w:rPr>
        <w:t>Proceedings of the National Academy of Sciences of the United States of America</w:t>
      </w:r>
      <w:r>
        <w:t>. 2008;105(32):11099-11104. doi:10.1073/pnas.0810217105</w:t>
      </w:r>
    </w:p>
    <w:p w14:paraId="4F10C9E0" w14:textId="77777777" w:rsidR="0033591E" w:rsidRDefault="0033591E" w:rsidP="0033591E">
      <w:pPr>
        <w:pStyle w:val="Bibliography"/>
      </w:pPr>
      <w:r>
        <w:t>56.</w:t>
      </w:r>
      <w:r>
        <w:tab/>
        <w:t xml:space="preserve">Shirbaghaee Z, Hassani M, Heidari Keshel S, Soleimani M. Emerging roles of mesenchymal stem cell therapy in patients with critical limb ischemia. </w:t>
      </w:r>
      <w:r>
        <w:rPr>
          <w:i/>
          <w:iCs/>
        </w:rPr>
        <w:t>Stem Cell Res Ther</w:t>
      </w:r>
      <w:r>
        <w:t>. 2022;13(1):462. doi:10.1186/s13287-022-03148-9</w:t>
      </w:r>
    </w:p>
    <w:p w14:paraId="521D77B5" w14:textId="77777777" w:rsidR="0033591E" w:rsidRDefault="0033591E" w:rsidP="0033591E">
      <w:pPr>
        <w:pStyle w:val="Bibliography"/>
      </w:pPr>
      <w:r>
        <w:t>57.</w:t>
      </w:r>
      <w:r>
        <w:tab/>
        <w:t xml:space="preserve">Tang D, Tare RS, Yang LY, Williams DF, Ou KL, Oreffo ROC. Biofabrication of bone tissue: Approaches, challenges and translation for bone regeneration. </w:t>
      </w:r>
      <w:r>
        <w:rPr>
          <w:i/>
          <w:iCs/>
        </w:rPr>
        <w:t>Biomaterials</w:t>
      </w:r>
      <w:r>
        <w:t>. 2016;83:363-382. doi:10.1016/j.biomaterials.2016.01.024</w:t>
      </w:r>
    </w:p>
    <w:p w14:paraId="4F8632B8" w14:textId="77777777" w:rsidR="0033591E" w:rsidRDefault="0033591E" w:rsidP="0033591E">
      <w:pPr>
        <w:pStyle w:val="Bibliography"/>
      </w:pPr>
      <w:r>
        <w:t>58.</w:t>
      </w:r>
      <w:r>
        <w:tab/>
        <w:t xml:space="preserve">Carano RAD, Filvaroff EH. Angiogenesis and bone repair. </w:t>
      </w:r>
      <w:r>
        <w:rPr>
          <w:i/>
          <w:iCs/>
        </w:rPr>
        <w:t>Drug Discovery Today</w:t>
      </w:r>
      <w:r>
        <w:t>. 2003;8(21):980-989. doi:10.1016/S1359-6446(03)02866-6</w:t>
      </w:r>
    </w:p>
    <w:p w14:paraId="6A54A01F" w14:textId="77777777" w:rsidR="0033591E" w:rsidRDefault="0033591E" w:rsidP="0033591E">
      <w:pPr>
        <w:pStyle w:val="Bibliography"/>
      </w:pPr>
      <w:r>
        <w:t>59.</w:t>
      </w:r>
      <w:r>
        <w:tab/>
        <w:t xml:space="preserve">Clarke B. Normal bone anatomy and physiology. </w:t>
      </w:r>
      <w:r>
        <w:rPr>
          <w:i/>
          <w:iCs/>
        </w:rPr>
        <w:t>Clinical journal of the American Society of Nephrology : CJASN</w:t>
      </w:r>
      <w:r>
        <w:t>. 2008;3 Suppl 3:131-139. doi:10.2215/CJN.04151206</w:t>
      </w:r>
    </w:p>
    <w:p w14:paraId="4B8FB8F3" w14:textId="77777777" w:rsidR="0033591E" w:rsidRDefault="0033591E" w:rsidP="0033591E">
      <w:pPr>
        <w:pStyle w:val="Bibliography"/>
      </w:pPr>
      <w:r>
        <w:lastRenderedPageBreak/>
        <w:t>60.</w:t>
      </w:r>
      <w:r>
        <w:tab/>
        <w:t xml:space="preserve">Marsell R, Einhorn TA. The biology of fracture healing. </w:t>
      </w:r>
      <w:r>
        <w:rPr>
          <w:i/>
          <w:iCs/>
        </w:rPr>
        <w:t>Injury</w:t>
      </w:r>
      <w:r>
        <w:t>. 2011;42(6):551-555. doi:10.1016/j.injury.2011.03.031</w:t>
      </w:r>
    </w:p>
    <w:p w14:paraId="63B72D7F" w14:textId="77777777" w:rsidR="0033591E" w:rsidRDefault="0033591E" w:rsidP="0033591E">
      <w:pPr>
        <w:pStyle w:val="Bibliography"/>
      </w:pPr>
      <w:r>
        <w:t>61.</w:t>
      </w:r>
      <w:r>
        <w:tab/>
        <w:t xml:space="preserve">Vacanti JP, Langer R. Tissue engineering: The design and fabrication of living replacement devices for surgical reconstruction and transplantation. </w:t>
      </w:r>
      <w:r>
        <w:rPr>
          <w:i/>
          <w:iCs/>
        </w:rPr>
        <w:t>Lancet</w:t>
      </w:r>
      <w:r>
        <w:t>. 1999;354:32-34. doi:10.1016/s0140-6736(99)90247-7</w:t>
      </w:r>
    </w:p>
    <w:p w14:paraId="05595E92" w14:textId="77777777" w:rsidR="0033591E" w:rsidRDefault="0033591E" w:rsidP="0033591E">
      <w:pPr>
        <w:pStyle w:val="Bibliography"/>
      </w:pPr>
      <w:r>
        <w:t>62.</w:t>
      </w:r>
      <w:r>
        <w:tab/>
        <w:t xml:space="preserve">Dhandayuthapani B, Yoshida Y, Maekawa T, Kumar DS. Polymeric scaffolds in tissue engineering application: A review. </w:t>
      </w:r>
      <w:r>
        <w:rPr>
          <w:i/>
          <w:iCs/>
        </w:rPr>
        <w:t>International Journal of Polymer Science</w:t>
      </w:r>
      <w:r>
        <w:t>. Published online 2011. doi:10.1155/2011/290602</w:t>
      </w:r>
    </w:p>
    <w:p w14:paraId="508DBD10" w14:textId="77777777" w:rsidR="0033591E" w:rsidRDefault="0033591E" w:rsidP="0033591E">
      <w:pPr>
        <w:pStyle w:val="Bibliography"/>
      </w:pPr>
      <w:r>
        <w:t>63.</w:t>
      </w:r>
      <w:r>
        <w:tab/>
        <w:t xml:space="preserve">A. Nawawi N, S.F. Alqap A, Sopyan I. Recent Progress on Hydroxyapatite-Based Dense Biomaterials for Load Bearing Bone Substitutes. </w:t>
      </w:r>
      <w:r>
        <w:rPr>
          <w:i/>
          <w:iCs/>
        </w:rPr>
        <w:t>Recent Patents on Materials Science</w:t>
      </w:r>
      <w:r>
        <w:t>. 2011;4(1):63-80. doi:10.2174/1874465611104010063</w:t>
      </w:r>
    </w:p>
    <w:p w14:paraId="689AE73A" w14:textId="77777777" w:rsidR="0033591E" w:rsidRDefault="0033591E" w:rsidP="0033591E">
      <w:pPr>
        <w:pStyle w:val="Bibliography"/>
      </w:pPr>
      <w:r>
        <w:t>64.</w:t>
      </w:r>
      <w:r>
        <w:tab/>
        <w:t xml:space="preserve">Khatiwala CB, Peyton SR, Metzke M, Putnam AJ. The Regulation of Osteogenesis by ECM Rigidity in MC3T3-E1 Cells Requires MAPK Activation. </w:t>
      </w:r>
      <w:r>
        <w:rPr>
          <w:i/>
          <w:iCs/>
        </w:rPr>
        <w:t>Journal of Cellular Physiology</w:t>
      </w:r>
      <w:r>
        <w:t>. 2007;211:661-672. doi:10.1002/jcp.20974</w:t>
      </w:r>
    </w:p>
    <w:p w14:paraId="19A582CD" w14:textId="77777777" w:rsidR="0033591E" w:rsidRDefault="0033591E" w:rsidP="0033591E">
      <w:pPr>
        <w:pStyle w:val="Bibliography"/>
      </w:pPr>
      <w:r>
        <w:t>65.</w:t>
      </w:r>
      <w:r>
        <w:tab/>
        <w:t xml:space="preserve">Navarrete RO, Lee EM, Smith K, et al. Substrate stiffness controls osteoblastic and chondrocytic differentiation of mesenchymal stem cells without exogenous stimuli. </w:t>
      </w:r>
      <w:r>
        <w:rPr>
          <w:i/>
          <w:iCs/>
        </w:rPr>
        <w:t>PLoS ONE</w:t>
      </w:r>
      <w:r>
        <w:t>. 2017;12(1):1-18. doi:10.1371/journal.pone.0170312</w:t>
      </w:r>
    </w:p>
    <w:p w14:paraId="7D97A712" w14:textId="77777777" w:rsidR="0033591E" w:rsidRDefault="0033591E" w:rsidP="0033591E">
      <w:pPr>
        <w:pStyle w:val="Bibliography"/>
      </w:pPr>
      <w:r>
        <w:t>66.</w:t>
      </w:r>
      <w:r>
        <w:tab/>
        <w:t xml:space="preserve">Gerardo H, Lima A, Carvalho J, et al. Soft culture substrates favor stem-like cellular phenotype and facilitate reprogramming of human mesenchymal stem/stromal cells (hMSCs) through mechanotransduction. </w:t>
      </w:r>
      <w:r>
        <w:rPr>
          <w:i/>
          <w:iCs/>
        </w:rPr>
        <w:t>Scientific Reports</w:t>
      </w:r>
      <w:r>
        <w:t>. 2019;9(1):1-18. doi:10.1038/s41598-019-45352-3</w:t>
      </w:r>
    </w:p>
    <w:p w14:paraId="3DF14B02" w14:textId="77777777" w:rsidR="0033591E" w:rsidRDefault="0033591E" w:rsidP="0033591E">
      <w:pPr>
        <w:pStyle w:val="Bibliography"/>
      </w:pPr>
      <w:r>
        <w:t>67.</w:t>
      </w:r>
      <w:r>
        <w:tab/>
        <w:t xml:space="preserve">Rossi F, Santoro M, Perale G. Polymeric scaffolds as stem cell carriers in bone repair. </w:t>
      </w:r>
      <w:r>
        <w:rPr>
          <w:i/>
          <w:iCs/>
        </w:rPr>
        <w:t>Journal of Tissue Engineering and Regenerative Medicine</w:t>
      </w:r>
      <w:r>
        <w:t>. 2015;9(10):1093-1119. doi:10.1002/term.1827</w:t>
      </w:r>
    </w:p>
    <w:p w14:paraId="6CD77419" w14:textId="77777777" w:rsidR="0033591E" w:rsidRDefault="0033591E" w:rsidP="0033591E">
      <w:pPr>
        <w:pStyle w:val="Bibliography"/>
      </w:pPr>
      <w:r>
        <w:t>68.</w:t>
      </w:r>
      <w:r>
        <w:tab/>
        <w:t xml:space="preserve">Moulisová V, Gonzalez-García C, Cantini M, et al. Engineered microenvironments for synergistic VEGF – Integrin signalling during vascularization. </w:t>
      </w:r>
      <w:r>
        <w:rPr>
          <w:i/>
          <w:iCs/>
        </w:rPr>
        <w:t>Biomaterials</w:t>
      </w:r>
      <w:r>
        <w:t>. 2017;126:61-74. doi:10.1016/j.biomaterials.2017.02.024</w:t>
      </w:r>
    </w:p>
    <w:p w14:paraId="208DE443" w14:textId="77777777" w:rsidR="0033591E" w:rsidRDefault="0033591E" w:rsidP="0033591E">
      <w:pPr>
        <w:pStyle w:val="Bibliography"/>
      </w:pPr>
      <w:r>
        <w:t>69.</w:t>
      </w:r>
      <w:r>
        <w:tab/>
        <w:t xml:space="preserve">Ambesi A, McKeown-Longo PJ. Conformational remodeling of the fibronectin matrix selectively regulates VEGF signaling. </w:t>
      </w:r>
      <w:r>
        <w:rPr>
          <w:i/>
          <w:iCs/>
        </w:rPr>
        <w:t>Journal of Cell Science</w:t>
      </w:r>
      <w:r>
        <w:t>. 2014;127(17):3805-3816. doi:10.1242/jcs.150458</w:t>
      </w:r>
    </w:p>
    <w:p w14:paraId="7E7A9782" w14:textId="77777777" w:rsidR="0033591E" w:rsidRDefault="0033591E" w:rsidP="0033591E">
      <w:pPr>
        <w:pStyle w:val="Bibliography"/>
      </w:pPr>
      <w:r>
        <w:t>70.</w:t>
      </w:r>
      <w:r>
        <w:tab/>
        <w:t xml:space="preserve">Villars F, Bordenave L, Bareille R, Amde J. Effect of human endothelial cells on human bone marrow stromal cell phenotype: Role of VEGF? </w:t>
      </w:r>
      <w:r>
        <w:rPr>
          <w:i/>
          <w:iCs/>
        </w:rPr>
        <w:t>Journal of Cellular Biochemistry</w:t>
      </w:r>
      <w:r>
        <w:t>. 2000;79(4):672-685. doi:10.1002/1097-4644(20001215)79:4&lt;672::AID-JCB150&gt;3.0.CO;2-2</w:t>
      </w:r>
    </w:p>
    <w:p w14:paraId="401346C5" w14:textId="77777777" w:rsidR="0033591E" w:rsidRDefault="0033591E" w:rsidP="0033591E">
      <w:pPr>
        <w:pStyle w:val="Bibliography"/>
      </w:pPr>
      <w:r>
        <w:t>71.</w:t>
      </w:r>
      <w:r>
        <w:tab/>
        <w:t xml:space="preserve">Cardus A, Panizo S, Encinas M, et al. 1,25-dihydroxyvitamin D3 regulates VEGF production through a vitamin D response element in the VEGF promoter. </w:t>
      </w:r>
      <w:r>
        <w:rPr>
          <w:i/>
          <w:iCs/>
        </w:rPr>
        <w:t>Atherosclerosis</w:t>
      </w:r>
      <w:r>
        <w:t>. 2009;204(1):85-89. doi:10.1016/j.atherosclerosis.2008.08.020</w:t>
      </w:r>
    </w:p>
    <w:p w14:paraId="3E8EC6D0" w14:textId="77777777" w:rsidR="0033591E" w:rsidRDefault="0033591E" w:rsidP="0033591E">
      <w:pPr>
        <w:pStyle w:val="Bibliography"/>
      </w:pPr>
      <w:r>
        <w:t>72.</w:t>
      </w:r>
      <w:r>
        <w:tab/>
        <w:t xml:space="preserve">Timoshenko SP, Goodier JN. Theory of Elasticity. Chapter 1. In: McGraw-Hill, ed. </w:t>
      </w:r>
      <w:r>
        <w:rPr>
          <w:i/>
          <w:iCs/>
        </w:rPr>
        <w:t>Theory of Elasticity</w:t>
      </w:r>
      <w:r>
        <w:t>. 3rd ed. ; 1951:1-14.</w:t>
      </w:r>
    </w:p>
    <w:p w14:paraId="066DEBD6" w14:textId="77777777" w:rsidR="0033591E" w:rsidRDefault="0033591E" w:rsidP="0033591E">
      <w:pPr>
        <w:pStyle w:val="Bibliography"/>
      </w:pPr>
      <w:r>
        <w:lastRenderedPageBreak/>
        <w:t>73.</w:t>
      </w:r>
      <w:r>
        <w:tab/>
        <w:t xml:space="preserve">van Driel M, van Leeuwen JPTM. Vitamin D endocrine system and osteoblasts. </w:t>
      </w:r>
      <w:r>
        <w:rPr>
          <w:i/>
          <w:iCs/>
        </w:rPr>
        <w:t>BoneKEy Reports</w:t>
      </w:r>
      <w:r>
        <w:t>. 2014;3(February):1-8. doi:10.1038/bonekey.2013.227</w:t>
      </w:r>
    </w:p>
    <w:p w14:paraId="41FD3527" w14:textId="77777777" w:rsidR="0033591E" w:rsidRDefault="0033591E" w:rsidP="0033591E">
      <w:pPr>
        <w:pStyle w:val="Bibliography"/>
      </w:pPr>
      <w:r>
        <w:t>74.</w:t>
      </w:r>
      <w:r>
        <w:tab/>
        <w:t xml:space="preserve">Langenbach F, Handschel J. Effects of dexamethasone, ascorbic acid and β-glycerophosphate on the osteogenic differentiation of stem cells in vitro. </w:t>
      </w:r>
      <w:r>
        <w:rPr>
          <w:i/>
          <w:iCs/>
        </w:rPr>
        <w:t>Stem Cell Research &amp; Therapy</w:t>
      </w:r>
      <w:r>
        <w:t>. 2013;4(5):117-430. doi:10.1089/ten.teb.2011.0199</w:t>
      </w:r>
    </w:p>
    <w:p w14:paraId="29ECECCA" w14:textId="77777777" w:rsidR="0033591E" w:rsidRDefault="0033591E" w:rsidP="0033591E">
      <w:pPr>
        <w:pStyle w:val="Bibliography"/>
      </w:pPr>
      <w:r>
        <w:t>75.</w:t>
      </w:r>
      <w:r>
        <w:tab/>
        <w:t xml:space="preserve">Fu C, Luo D, Yu M, et al. Embryonic-Like Mineralized Extracellular Matrix/Stem Cell Microspheroids as a Bone Graft Substitute. </w:t>
      </w:r>
      <w:r>
        <w:rPr>
          <w:i/>
          <w:iCs/>
        </w:rPr>
        <w:t>Advanced Healthcare Materials</w:t>
      </w:r>
      <w:r>
        <w:t>. 2018;1800705:1800705. doi:10.1002/adhm.201800705</w:t>
      </w:r>
    </w:p>
    <w:p w14:paraId="0144D023" w14:textId="77777777" w:rsidR="0033591E" w:rsidRDefault="0033591E" w:rsidP="0033591E">
      <w:pPr>
        <w:pStyle w:val="Bibliography"/>
      </w:pPr>
      <w:r>
        <w:t>76.</w:t>
      </w:r>
      <w:r>
        <w:tab/>
        <w:t xml:space="preserve">Inglis S, Schneider KH, Kanczler JM, Redl H, Oreffo ROC. Harnessing Human Decellularized Blood Vessel Matrices and Cellular Construct Implants to Promote Bone Healing in an Ex Vivo Organotypic Bone Defect Model. </w:t>
      </w:r>
      <w:r>
        <w:rPr>
          <w:i/>
          <w:iCs/>
        </w:rPr>
        <w:t>Advanced Healthcare Materials</w:t>
      </w:r>
      <w:r>
        <w:t>. 2018;1800088:1-12. doi:10.1002/adhm.201800088</w:t>
      </w:r>
    </w:p>
    <w:p w14:paraId="2A0B97C7" w14:textId="1BA6B92C" w:rsidR="00B748F9" w:rsidRPr="00024FD1" w:rsidRDefault="00B748F9" w:rsidP="000E2E93">
      <w:pPr>
        <w:jc w:val="both"/>
      </w:pPr>
      <w:r w:rsidRPr="00024FD1">
        <w:rPr>
          <w:rFonts w:cs="Times"/>
          <w:szCs w:val="24"/>
        </w:rPr>
        <w:fldChar w:fldCharType="end"/>
      </w:r>
    </w:p>
    <w:p w14:paraId="57E012F8" w14:textId="77777777" w:rsidR="00B166E2" w:rsidRPr="00024FD1" w:rsidRDefault="00B166E2" w:rsidP="001E33A0">
      <w:pPr>
        <w:spacing w:after="0" w:line="240" w:lineRule="auto"/>
        <w:jc w:val="both"/>
        <w:rPr>
          <w:rFonts w:cs="Arial"/>
          <w:color w:val="201F1E"/>
          <w:shd w:val="clear" w:color="auto" w:fill="FFFFFF"/>
        </w:rPr>
      </w:pPr>
    </w:p>
    <w:p w14:paraId="45F139DF" w14:textId="77777777" w:rsidR="00B166E2" w:rsidRPr="00024FD1" w:rsidRDefault="00B166E2" w:rsidP="001E33A0">
      <w:pPr>
        <w:spacing w:after="0" w:line="240" w:lineRule="auto"/>
        <w:jc w:val="both"/>
        <w:rPr>
          <w:rFonts w:cs="Arial"/>
          <w:color w:val="201F1E"/>
          <w:shd w:val="clear" w:color="auto" w:fill="FFFFFF"/>
        </w:rPr>
      </w:pPr>
    </w:p>
    <w:p w14:paraId="4D1B66F2" w14:textId="7B1C3DEB" w:rsidR="001E33A0" w:rsidRPr="00024FD1" w:rsidRDefault="001E33A0" w:rsidP="005D7321">
      <w:pPr>
        <w:widowControl w:val="0"/>
        <w:autoSpaceDE w:val="0"/>
        <w:autoSpaceDN w:val="0"/>
        <w:adjustRightInd w:val="0"/>
        <w:spacing w:line="480" w:lineRule="auto"/>
        <w:ind w:left="640" w:hanging="640"/>
        <w:rPr>
          <w:rFonts w:cs="Arial"/>
          <w:b/>
          <w:szCs w:val="24"/>
        </w:rPr>
      </w:pPr>
    </w:p>
    <w:sectPr w:rsidR="001E33A0" w:rsidRPr="00024FD1" w:rsidSect="00946A33">
      <w:headerReference w:type="default" r:id="rId40"/>
      <w:footerReference w:type="default" r:id="rId4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9BB20" w14:textId="77777777" w:rsidR="00743A16" w:rsidRDefault="00743A16" w:rsidP="006445B0">
      <w:pPr>
        <w:spacing w:after="0" w:line="240" w:lineRule="auto"/>
      </w:pPr>
      <w:r>
        <w:separator/>
      </w:r>
    </w:p>
  </w:endnote>
  <w:endnote w:type="continuationSeparator" w:id="0">
    <w:p w14:paraId="3B749687" w14:textId="77777777" w:rsidR="00743A16" w:rsidRDefault="00743A16" w:rsidP="006445B0">
      <w:pPr>
        <w:spacing w:after="0" w:line="240" w:lineRule="auto"/>
      </w:pPr>
      <w:r>
        <w:continuationSeparator/>
      </w:r>
    </w:p>
  </w:endnote>
  <w:endnote w:type="continuationNotice" w:id="1">
    <w:p w14:paraId="0778FC0C" w14:textId="77777777" w:rsidR="00743A16" w:rsidRDefault="00743A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826601"/>
      <w:docPartObj>
        <w:docPartGallery w:val="Page Numbers (Bottom of Page)"/>
        <w:docPartUnique/>
      </w:docPartObj>
    </w:sdtPr>
    <w:sdtEndPr>
      <w:rPr>
        <w:noProof/>
      </w:rPr>
    </w:sdtEndPr>
    <w:sdtContent>
      <w:p w14:paraId="218E57EB" w14:textId="3067AC64" w:rsidR="00304C9A" w:rsidRDefault="00304C9A">
        <w:pPr>
          <w:pStyle w:val="Footer"/>
          <w:jc w:val="right"/>
        </w:pPr>
        <w:r>
          <w:fldChar w:fldCharType="begin"/>
        </w:r>
        <w:r>
          <w:instrText xml:space="preserve"> PAGE   \* MERGEFORMAT </w:instrText>
        </w:r>
        <w:r>
          <w:fldChar w:fldCharType="separate"/>
        </w:r>
        <w:r w:rsidR="00477A01">
          <w:rPr>
            <w:noProof/>
          </w:rPr>
          <w:t>31</w:t>
        </w:r>
        <w:r>
          <w:rPr>
            <w:noProof/>
          </w:rPr>
          <w:fldChar w:fldCharType="end"/>
        </w:r>
      </w:p>
    </w:sdtContent>
  </w:sdt>
  <w:p w14:paraId="6CCF9654" w14:textId="77777777" w:rsidR="00304C9A" w:rsidRDefault="00304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B0B75" w14:textId="77777777" w:rsidR="00743A16" w:rsidRDefault="00743A16" w:rsidP="006445B0">
      <w:pPr>
        <w:spacing w:after="0" w:line="240" w:lineRule="auto"/>
      </w:pPr>
      <w:r>
        <w:separator/>
      </w:r>
    </w:p>
  </w:footnote>
  <w:footnote w:type="continuationSeparator" w:id="0">
    <w:p w14:paraId="6C001F7D" w14:textId="77777777" w:rsidR="00743A16" w:rsidRDefault="00743A16" w:rsidP="006445B0">
      <w:pPr>
        <w:spacing w:after="0" w:line="240" w:lineRule="auto"/>
      </w:pPr>
      <w:r>
        <w:continuationSeparator/>
      </w:r>
    </w:p>
  </w:footnote>
  <w:footnote w:type="continuationNotice" w:id="1">
    <w:p w14:paraId="2B3B4EE5" w14:textId="77777777" w:rsidR="00743A16" w:rsidRDefault="00743A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A4E9" w14:textId="30A17EB5" w:rsidR="00304C9A" w:rsidRDefault="00304C9A" w:rsidP="00946A3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1BFA"/>
    <w:multiLevelType w:val="hybridMultilevel"/>
    <w:tmpl w:val="26B2ED88"/>
    <w:lvl w:ilvl="0" w:tplc="A68CCA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42068"/>
    <w:multiLevelType w:val="multilevel"/>
    <w:tmpl w:val="3CEE03E2"/>
    <w:numStyleLink w:val="Style3"/>
  </w:abstractNum>
  <w:abstractNum w:abstractNumId="2" w15:restartNumberingAfterBreak="0">
    <w:nsid w:val="15231E76"/>
    <w:multiLevelType w:val="multilevel"/>
    <w:tmpl w:val="1B169AA8"/>
    <w:styleLink w:val="Style1"/>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0F1954"/>
    <w:multiLevelType w:val="multilevel"/>
    <w:tmpl w:val="D8DE34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652CAA"/>
    <w:multiLevelType w:val="multilevel"/>
    <w:tmpl w:val="3CEE03E2"/>
    <w:numStyleLink w:val="Style3"/>
  </w:abstractNum>
  <w:abstractNum w:abstractNumId="5" w15:restartNumberingAfterBreak="0">
    <w:nsid w:val="2334484C"/>
    <w:multiLevelType w:val="multilevel"/>
    <w:tmpl w:val="0809001F"/>
    <w:lvl w:ilvl="0">
      <w:start w:val="1"/>
      <w:numFmt w:val="decimal"/>
      <w:lvlText w:val="%1."/>
      <w:lvlJc w:val="left"/>
      <w:pPr>
        <w:ind w:left="360" w:hanging="360"/>
      </w:pPr>
      <w:rPr>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8957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4813DE"/>
    <w:multiLevelType w:val="hybridMultilevel"/>
    <w:tmpl w:val="5ADE4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DD5181"/>
    <w:multiLevelType w:val="multilevel"/>
    <w:tmpl w:val="9EA807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A174961"/>
    <w:multiLevelType w:val="multilevel"/>
    <w:tmpl w:val="1B169AA8"/>
    <w:numStyleLink w:val="Style1"/>
  </w:abstractNum>
  <w:abstractNum w:abstractNumId="10" w15:restartNumberingAfterBreak="0">
    <w:nsid w:val="57204219"/>
    <w:multiLevelType w:val="multilevel"/>
    <w:tmpl w:val="708AF510"/>
    <w:styleLink w:val="Style2"/>
    <w:lvl w:ilvl="0">
      <w:start w:val="1"/>
      <w:numFmt w:val="decimal"/>
      <w:lvlText w:val="%1."/>
      <w:lvlJc w:val="left"/>
      <w:pPr>
        <w:ind w:left="360" w:hanging="360"/>
      </w:pPr>
      <w:rPr>
        <w:rFonts w:cs="Arial" w:hint="default"/>
        <w:bCs/>
        <w:iCs w:val="0"/>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8F27695"/>
    <w:multiLevelType w:val="multilevel"/>
    <w:tmpl w:val="6F464C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1FE27C9"/>
    <w:multiLevelType w:val="hybridMultilevel"/>
    <w:tmpl w:val="26504360"/>
    <w:lvl w:ilvl="0" w:tplc="0012199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9B2FF0"/>
    <w:multiLevelType w:val="multilevel"/>
    <w:tmpl w:val="C220F0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7980A86"/>
    <w:multiLevelType w:val="multilevel"/>
    <w:tmpl w:val="3CEE03E2"/>
    <w:styleLink w:val="Style3"/>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CC26A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
  </w:num>
  <w:num w:numId="3">
    <w:abstractNumId w:val="12"/>
  </w:num>
  <w:num w:numId="4">
    <w:abstractNumId w:val="5"/>
  </w:num>
  <w:num w:numId="5">
    <w:abstractNumId w:val="13"/>
  </w:num>
  <w:num w:numId="6">
    <w:abstractNumId w:val="11"/>
  </w:num>
  <w:num w:numId="7">
    <w:abstractNumId w:val="2"/>
  </w:num>
  <w:num w:numId="8">
    <w:abstractNumId w:val="2"/>
  </w:num>
  <w:num w:numId="9">
    <w:abstractNumId w:val="9"/>
  </w:num>
  <w:num w:numId="10">
    <w:abstractNumId w:val="15"/>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
  </w:num>
  <w:num w:numId="17">
    <w:abstractNumId w:va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xMDMwtDS0NDcxMrNU0lEKTi0uzszPAykwMqkFAPSoQ7gtAAAA"/>
  </w:docVars>
  <w:rsids>
    <w:rsidRoot w:val="00C375EF"/>
    <w:rsid w:val="000004FB"/>
    <w:rsid w:val="00000C87"/>
    <w:rsid w:val="0000194D"/>
    <w:rsid w:val="00004DC3"/>
    <w:rsid w:val="00005086"/>
    <w:rsid w:val="00005D66"/>
    <w:rsid w:val="00006518"/>
    <w:rsid w:val="00006993"/>
    <w:rsid w:val="00006D99"/>
    <w:rsid w:val="0001272F"/>
    <w:rsid w:val="00012B28"/>
    <w:rsid w:val="000159AF"/>
    <w:rsid w:val="00015D9E"/>
    <w:rsid w:val="00017528"/>
    <w:rsid w:val="0002027A"/>
    <w:rsid w:val="000221FE"/>
    <w:rsid w:val="000239A8"/>
    <w:rsid w:val="000239DC"/>
    <w:rsid w:val="00023B55"/>
    <w:rsid w:val="00024FD1"/>
    <w:rsid w:val="0002511B"/>
    <w:rsid w:val="000262D6"/>
    <w:rsid w:val="0002630D"/>
    <w:rsid w:val="000269A8"/>
    <w:rsid w:val="00026E3C"/>
    <w:rsid w:val="00030C25"/>
    <w:rsid w:val="00030D06"/>
    <w:rsid w:val="00030F81"/>
    <w:rsid w:val="0003118E"/>
    <w:rsid w:val="0003288B"/>
    <w:rsid w:val="0003385B"/>
    <w:rsid w:val="00034DA5"/>
    <w:rsid w:val="00034F0C"/>
    <w:rsid w:val="0003645C"/>
    <w:rsid w:val="00036E2E"/>
    <w:rsid w:val="000372AD"/>
    <w:rsid w:val="00037A8B"/>
    <w:rsid w:val="00037C77"/>
    <w:rsid w:val="00037C7A"/>
    <w:rsid w:val="000406A9"/>
    <w:rsid w:val="00041ECA"/>
    <w:rsid w:val="00044585"/>
    <w:rsid w:val="00044938"/>
    <w:rsid w:val="00044B1A"/>
    <w:rsid w:val="00045FE1"/>
    <w:rsid w:val="000466ED"/>
    <w:rsid w:val="00047439"/>
    <w:rsid w:val="00047722"/>
    <w:rsid w:val="0005296F"/>
    <w:rsid w:val="00052F8B"/>
    <w:rsid w:val="00054989"/>
    <w:rsid w:val="00055220"/>
    <w:rsid w:val="0005594C"/>
    <w:rsid w:val="00057420"/>
    <w:rsid w:val="00057E94"/>
    <w:rsid w:val="00060E9E"/>
    <w:rsid w:val="00061E28"/>
    <w:rsid w:val="000640E5"/>
    <w:rsid w:val="00065CDD"/>
    <w:rsid w:val="000668DB"/>
    <w:rsid w:val="00066C40"/>
    <w:rsid w:val="00066CC0"/>
    <w:rsid w:val="000712B2"/>
    <w:rsid w:val="00071712"/>
    <w:rsid w:val="00072A6C"/>
    <w:rsid w:val="00073AC2"/>
    <w:rsid w:val="00077010"/>
    <w:rsid w:val="00080836"/>
    <w:rsid w:val="00080CD8"/>
    <w:rsid w:val="000813B5"/>
    <w:rsid w:val="00081ABA"/>
    <w:rsid w:val="000820DD"/>
    <w:rsid w:val="00085708"/>
    <w:rsid w:val="00087992"/>
    <w:rsid w:val="00087B76"/>
    <w:rsid w:val="0009050B"/>
    <w:rsid w:val="00091B5B"/>
    <w:rsid w:val="000926D6"/>
    <w:rsid w:val="00093684"/>
    <w:rsid w:val="00093CAF"/>
    <w:rsid w:val="00093CBF"/>
    <w:rsid w:val="00093F83"/>
    <w:rsid w:val="00094318"/>
    <w:rsid w:val="000949EF"/>
    <w:rsid w:val="00094CEA"/>
    <w:rsid w:val="00096056"/>
    <w:rsid w:val="000A1265"/>
    <w:rsid w:val="000A16C8"/>
    <w:rsid w:val="000A23E4"/>
    <w:rsid w:val="000A2BD1"/>
    <w:rsid w:val="000A2C43"/>
    <w:rsid w:val="000A2CA3"/>
    <w:rsid w:val="000A34DE"/>
    <w:rsid w:val="000A380D"/>
    <w:rsid w:val="000A3C26"/>
    <w:rsid w:val="000A42F9"/>
    <w:rsid w:val="000A678E"/>
    <w:rsid w:val="000A7151"/>
    <w:rsid w:val="000B021D"/>
    <w:rsid w:val="000B0F06"/>
    <w:rsid w:val="000B1620"/>
    <w:rsid w:val="000B3387"/>
    <w:rsid w:val="000B3513"/>
    <w:rsid w:val="000B64D3"/>
    <w:rsid w:val="000B722F"/>
    <w:rsid w:val="000B7C07"/>
    <w:rsid w:val="000C1F33"/>
    <w:rsid w:val="000C28F0"/>
    <w:rsid w:val="000C60C9"/>
    <w:rsid w:val="000C6FDA"/>
    <w:rsid w:val="000D0606"/>
    <w:rsid w:val="000D071D"/>
    <w:rsid w:val="000D0E04"/>
    <w:rsid w:val="000D34A6"/>
    <w:rsid w:val="000D6499"/>
    <w:rsid w:val="000D67E9"/>
    <w:rsid w:val="000D68A6"/>
    <w:rsid w:val="000D7D96"/>
    <w:rsid w:val="000D7DB8"/>
    <w:rsid w:val="000D7F2E"/>
    <w:rsid w:val="000D7F85"/>
    <w:rsid w:val="000E06DE"/>
    <w:rsid w:val="000E0C64"/>
    <w:rsid w:val="000E0DF6"/>
    <w:rsid w:val="000E1AD3"/>
    <w:rsid w:val="000E1F63"/>
    <w:rsid w:val="000E1FE7"/>
    <w:rsid w:val="000E2019"/>
    <w:rsid w:val="000E2592"/>
    <w:rsid w:val="000E2C3F"/>
    <w:rsid w:val="000E2E93"/>
    <w:rsid w:val="000E3937"/>
    <w:rsid w:val="000E47DE"/>
    <w:rsid w:val="000E5595"/>
    <w:rsid w:val="000E5AD0"/>
    <w:rsid w:val="000E6F64"/>
    <w:rsid w:val="000E7C86"/>
    <w:rsid w:val="000F0EA6"/>
    <w:rsid w:val="000F2BA7"/>
    <w:rsid w:val="000F39E9"/>
    <w:rsid w:val="000F5F28"/>
    <w:rsid w:val="000F7DB2"/>
    <w:rsid w:val="00100162"/>
    <w:rsid w:val="001007D9"/>
    <w:rsid w:val="00100F4F"/>
    <w:rsid w:val="001011A1"/>
    <w:rsid w:val="001034BE"/>
    <w:rsid w:val="00103CBE"/>
    <w:rsid w:val="00104170"/>
    <w:rsid w:val="00104502"/>
    <w:rsid w:val="00104BA2"/>
    <w:rsid w:val="00110800"/>
    <w:rsid w:val="00111065"/>
    <w:rsid w:val="001119F7"/>
    <w:rsid w:val="00112411"/>
    <w:rsid w:val="00112D40"/>
    <w:rsid w:val="00113B0F"/>
    <w:rsid w:val="001149A6"/>
    <w:rsid w:val="00114CAC"/>
    <w:rsid w:val="001160B4"/>
    <w:rsid w:val="0011680B"/>
    <w:rsid w:val="00116FA8"/>
    <w:rsid w:val="00117513"/>
    <w:rsid w:val="00117C7D"/>
    <w:rsid w:val="00117F0B"/>
    <w:rsid w:val="001201CD"/>
    <w:rsid w:val="0012090F"/>
    <w:rsid w:val="00120C1D"/>
    <w:rsid w:val="0012407D"/>
    <w:rsid w:val="00124656"/>
    <w:rsid w:val="0012522D"/>
    <w:rsid w:val="0012597D"/>
    <w:rsid w:val="00125C16"/>
    <w:rsid w:val="00126422"/>
    <w:rsid w:val="00126A7A"/>
    <w:rsid w:val="00127D2C"/>
    <w:rsid w:val="00130194"/>
    <w:rsid w:val="0013036A"/>
    <w:rsid w:val="001314DC"/>
    <w:rsid w:val="0013339F"/>
    <w:rsid w:val="00133BEA"/>
    <w:rsid w:val="0013456A"/>
    <w:rsid w:val="00134E15"/>
    <w:rsid w:val="00134EBA"/>
    <w:rsid w:val="0014058D"/>
    <w:rsid w:val="00140A63"/>
    <w:rsid w:val="00140BE5"/>
    <w:rsid w:val="00140C2E"/>
    <w:rsid w:val="001417E5"/>
    <w:rsid w:val="00141AB1"/>
    <w:rsid w:val="00142F26"/>
    <w:rsid w:val="001455BC"/>
    <w:rsid w:val="00145A9B"/>
    <w:rsid w:val="001466A1"/>
    <w:rsid w:val="00146715"/>
    <w:rsid w:val="001471AB"/>
    <w:rsid w:val="00147508"/>
    <w:rsid w:val="001504EE"/>
    <w:rsid w:val="00150F21"/>
    <w:rsid w:val="001523C5"/>
    <w:rsid w:val="00152F4E"/>
    <w:rsid w:val="00153E91"/>
    <w:rsid w:val="00153FAA"/>
    <w:rsid w:val="0015450F"/>
    <w:rsid w:val="001545B6"/>
    <w:rsid w:val="00154E4A"/>
    <w:rsid w:val="00156431"/>
    <w:rsid w:val="0015786D"/>
    <w:rsid w:val="00160193"/>
    <w:rsid w:val="00160A64"/>
    <w:rsid w:val="00160B15"/>
    <w:rsid w:val="00160DB5"/>
    <w:rsid w:val="00160EFF"/>
    <w:rsid w:val="001634CC"/>
    <w:rsid w:val="00163A8E"/>
    <w:rsid w:val="00164D31"/>
    <w:rsid w:val="00165E7D"/>
    <w:rsid w:val="001669AB"/>
    <w:rsid w:val="0016740E"/>
    <w:rsid w:val="001701C5"/>
    <w:rsid w:val="00170530"/>
    <w:rsid w:val="001705A0"/>
    <w:rsid w:val="00170607"/>
    <w:rsid w:val="001710A3"/>
    <w:rsid w:val="0017129D"/>
    <w:rsid w:val="0017455F"/>
    <w:rsid w:val="00174956"/>
    <w:rsid w:val="00174D5C"/>
    <w:rsid w:val="0017526B"/>
    <w:rsid w:val="00175C8B"/>
    <w:rsid w:val="00176519"/>
    <w:rsid w:val="0017675A"/>
    <w:rsid w:val="00183C1A"/>
    <w:rsid w:val="001855B2"/>
    <w:rsid w:val="001857E5"/>
    <w:rsid w:val="001858C4"/>
    <w:rsid w:val="001879FA"/>
    <w:rsid w:val="00190A72"/>
    <w:rsid w:val="00190F62"/>
    <w:rsid w:val="00191C21"/>
    <w:rsid w:val="00193426"/>
    <w:rsid w:val="00193638"/>
    <w:rsid w:val="00193BD6"/>
    <w:rsid w:val="00195512"/>
    <w:rsid w:val="00195826"/>
    <w:rsid w:val="001A0C86"/>
    <w:rsid w:val="001A0F0B"/>
    <w:rsid w:val="001A26CF"/>
    <w:rsid w:val="001A28DF"/>
    <w:rsid w:val="001A3E03"/>
    <w:rsid w:val="001A497E"/>
    <w:rsid w:val="001A5169"/>
    <w:rsid w:val="001A5FCB"/>
    <w:rsid w:val="001A632A"/>
    <w:rsid w:val="001A7449"/>
    <w:rsid w:val="001A7AC3"/>
    <w:rsid w:val="001B1F1C"/>
    <w:rsid w:val="001B1F58"/>
    <w:rsid w:val="001B2113"/>
    <w:rsid w:val="001B39E0"/>
    <w:rsid w:val="001B3A73"/>
    <w:rsid w:val="001B4134"/>
    <w:rsid w:val="001B4E4F"/>
    <w:rsid w:val="001B665E"/>
    <w:rsid w:val="001B7CE6"/>
    <w:rsid w:val="001C062D"/>
    <w:rsid w:val="001C1FE4"/>
    <w:rsid w:val="001C394A"/>
    <w:rsid w:val="001C3C00"/>
    <w:rsid w:val="001C4AF9"/>
    <w:rsid w:val="001C5862"/>
    <w:rsid w:val="001C6AAB"/>
    <w:rsid w:val="001C7057"/>
    <w:rsid w:val="001C7A2B"/>
    <w:rsid w:val="001C7E67"/>
    <w:rsid w:val="001C7FEF"/>
    <w:rsid w:val="001D0CA3"/>
    <w:rsid w:val="001D0E11"/>
    <w:rsid w:val="001D2659"/>
    <w:rsid w:val="001D30FD"/>
    <w:rsid w:val="001D33E0"/>
    <w:rsid w:val="001D3D8D"/>
    <w:rsid w:val="001D3FD6"/>
    <w:rsid w:val="001D41B6"/>
    <w:rsid w:val="001D438B"/>
    <w:rsid w:val="001D4C21"/>
    <w:rsid w:val="001D5FB8"/>
    <w:rsid w:val="001D6CD4"/>
    <w:rsid w:val="001D7049"/>
    <w:rsid w:val="001E0B5D"/>
    <w:rsid w:val="001E0CEE"/>
    <w:rsid w:val="001E0E85"/>
    <w:rsid w:val="001E1F50"/>
    <w:rsid w:val="001E23FB"/>
    <w:rsid w:val="001E33A0"/>
    <w:rsid w:val="001E35E9"/>
    <w:rsid w:val="001E43B1"/>
    <w:rsid w:val="001E7ACD"/>
    <w:rsid w:val="001F04ED"/>
    <w:rsid w:val="001F15A7"/>
    <w:rsid w:val="001F1743"/>
    <w:rsid w:val="001F17AF"/>
    <w:rsid w:val="001F2585"/>
    <w:rsid w:val="001F2CD6"/>
    <w:rsid w:val="001F3B1A"/>
    <w:rsid w:val="001F4A7C"/>
    <w:rsid w:val="001F4FF5"/>
    <w:rsid w:val="001F5BC2"/>
    <w:rsid w:val="001F60E0"/>
    <w:rsid w:val="001F68FA"/>
    <w:rsid w:val="001F74B9"/>
    <w:rsid w:val="00200F13"/>
    <w:rsid w:val="00202BE2"/>
    <w:rsid w:val="00202EBF"/>
    <w:rsid w:val="0020377A"/>
    <w:rsid w:val="002041F7"/>
    <w:rsid w:val="002044B8"/>
    <w:rsid w:val="00206C18"/>
    <w:rsid w:val="0020784A"/>
    <w:rsid w:val="00210DDB"/>
    <w:rsid w:val="002114D4"/>
    <w:rsid w:val="00211F7C"/>
    <w:rsid w:val="00212C48"/>
    <w:rsid w:val="002143A3"/>
    <w:rsid w:val="00214A41"/>
    <w:rsid w:val="00215412"/>
    <w:rsid w:val="00216915"/>
    <w:rsid w:val="00217B1A"/>
    <w:rsid w:val="00217B52"/>
    <w:rsid w:val="00220309"/>
    <w:rsid w:val="002204F0"/>
    <w:rsid w:val="00220D23"/>
    <w:rsid w:val="0022224C"/>
    <w:rsid w:val="00222254"/>
    <w:rsid w:val="00223116"/>
    <w:rsid w:val="00223814"/>
    <w:rsid w:val="00223984"/>
    <w:rsid w:val="00223CA7"/>
    <w:rsid w:val="00224C16"/>
    <w:rsid w:val="00226020"/>
    <w:rsid w:val="00230F87"/>
    <w:rsid w:val="002318D7"/>
    <w:rsid w:val="002325A6"/>
    <w:rsid w:val="00232BA1"/>
    <w:rsid w:val="00232EA3"/>
    <w:rsid w:val="0023351C"/>
    <w:rsid w:val="0023369F"/>
    <w:rsid w:val="0023450F"/>
    <w:rsid w:val="00234EE0"/>
    <w:rsid w:val="0023548C"/>
    <w:rsid w:val="00235BED"/>
    <w:rsid w:val="002365B5"/>
    <w:rsid w:val="00237063"/>
    <w:rsid w:val="002371D8"/>
    <w:rsid w:val="00240606"/>
    <w:rsid w:val="002431F7"/>
    <w:rsid w:val="0024387B"/>
    <w:rsid w:val="00243CFA"/>
    <w:rsid w:val="0024485A"/>
    <w:rsid w:val="00244E89"/>
    <w:rsid w:val="00245C9A"/>
    <w:rsid w:val="00245CE0"/>
    <w:rsid w:val="00245F0D"/>
    <w:rsid w:val="00246BF9"/>
    <w:rsid w:val="00247E6C"/>
    <w:rsid w:val="00250126"/>
    <w:rsid w:val="00250601"/>
    <w:rsid w:val="00250C13"/>
    <w:rsid w:val="002513EA"/>
    <w:rsid w:val="00251A5F"/>
    <w:rsid w:val="0025676A"/>
    <w:rsid w:val="00256975"/>
    <w:rsid w:val="00257032"/>
    <w:rsid w:val="002577B9"/>
    <w:rsid w:val="0025785D"/>
    <w:rsid w:val="002610D2"/>
    <w:rsid w:val="00261459"/>
    <w:rsid w:val="002617D4"/>
    <w:rsid w:val="00262395"/>
    <w:rsid w:val="00264CA6"/>
    <w:rsid w:val="002676ED"/>
    <w:rsid w:val="00270FF3"/>
    <w:rsid w:val="00271272"/>
    <w:rsid w:val="00271AB5"/>
    <w:rsid w:val="002728EE"/>
    <w:rsid w:val="002730F1"/>
    <w:rsid w:val="00273AA9"/>
    <w:rsid w:val="002744B1"/>
    <w:rsid w:val="0027565D"/>
    <w:rsid w:val="00276F33"/>
    <w:rsid w:val="00276F52"/>
    <w:rsid w:val="0027775F"/>
    <w:rsid w:val="00277C3C"/>
    <w:rsid w:val="00280D03"/>
    <w:rsid w:val="00281ED3"/>
    <w:rsid w:val="00282D03"/>
    <w:rsid w:val="0028498A"/>
    <w:rsid w:val="0028538D"/>
    <w:rsid w:val="0028637D"/>
    <w:rsid w:val="00286A52"/>
    <w:rsid w:val="002873E3"/>
    <w:rsid w:val="002876EA"/>
    <w:rsid w:val="002877BB"/>
    <w:rsid w:val="00287B31"/>
    <w:rsid w:val="0029029C"/>
    <w:rsid w:val="00291F65"/>
    <w:rsid w:val="00292B65"/>
    <w:rsid w:val="00293937"/>
    <w:rsid w:val="00294798"/>
    <w:rsid w:val="0029481F"/>
    <w:rsid w:val="0029605D"/>
    <w:rsid w:val="00296952"/>
    <w:rsid w:val="002A16EB"/>
    <w:rsid w:val="002A1B06"/>
    <w:rsid w:val="002A3112"/>
    <w:rsid w:val="002A3134"/>
    <w:rsid w:val="002A3650"/>
    <w:rsid w:val="002A38AB"/>
    <w:rsid w:val="002A3D64"/>
    <w:rsid w:val="002A5253"/>
    <w:rsid w:val="002A553E"/>
    <w:rsid w:val="002A74C5"/>
    <w:rsid w:val="002A7A01"/>
    <w:rsid w:val="002B14EB"/>
    <w:rsid w:val="002B29AB"/>
    <w:rsid w:val="002B3BA9"/>
    <w:rsid w:val="002B3D04"/>
    <w:rsid w:val="002B5573"/>
    <w:rsid w:val="002B5715"/>
    <w:rsid w:val="002B5DA1"/>
    <w:rsid w:val="002B5F14"/>
    <w:rsid w:val="002B686A"/>
    <w:rsid w:val="002B6F19"/>
    <w:rsid w:val="002C0B6C"/>
    <w:rsid w:val="002C0D13"/>
    <w:rsid w:val="002C11C4"/>
    <w:rsid w:val="002C2119"/>
    <w:rsid w:val="002C296E"/>
    <w:rsid w:val="002C2B2A"/>
    <w:rsid w:val="002C32DD"/>
    <w:rsid w:val="002C3585"/>
    <w:rsid w:val="002C3778"/>
    <w:rsid w:val="002C3F8C"/>
    <w:rsid w:val="002C4672"/>
    <w:rsid w:val="002C46A4"/>
    <w:rsid w:val="002C55FF"/>
    <w:rsid w:val="002C5DD1"/>
    <w:rsid w:val="002C62A3"/>
    <w:rsid w:val="002C65D4"/>
    <w:rsid w:val="002C6FFB"/>
    <w:rsid w:val="002C7BC7"/>
    <w:rsid w:val="002D117C"/>
    <w:rsid w:val="002D1DC5"/>
    <w:rsid w:val="002D21DC"/>
    <w:rsid w:val="002D33D6"/>
    <w:rsid w:val="002D3C59"/>
    <w:rsid w:val="002D3E71"/>
    <w:rsid w:val="002D42D1"/>
    <w:rsid w:val="002D6BB6"/>
    <w:rsid w:val="002D74A6"/>
    <w:rsid w:val="002E0B4C"/>
    <w:rsid w:val="002E1FE2"/>
    <w:rsid w:val="002E27FF"/>
    <w:rsid w:val="002E4B23"/>
    <w:rsid w:val="002E5623"/>
    <w:rsid w:val="002F0B91"/>
    <w:rsid w:val="002F1186"/>
    <w:rsid w:val="002F1201"/>
    <w:rsid w:val="002F4652"/>
    <w:rsid w:val="002F465D"/>
    <w:rsid w:val="002F5126"/>
    <w:rsid w:val="002F5246"/>
    <w:rsid w:val="002F5B1F"/>
    <w:rsid w:val="002F6DC1"/>
    <w:rsid w:val="002F7075"/>
    <w:rsid w:val="002F729D"/>
    <w:rsid w:val="002F7666"/>
    <w:rsid w:val="002F7DFA"/>
    <w:rsid w:val="002F7EB7"/>
    <w:rsid w:val="0030085F"/>
    <w:rsid w:val="00301ECE"/>
    <w:rsid w:val="00303139"/>
    <w:rsid w:val="00303719"/>
    <w:rsid w:val="00303EBC"/>
    <w:rsid w:val="00304128"/>
    <w:rsid w:val="00304C9A"/>
    <w:rsid w:val="00306002"/>
    <w:rsid w:val="003119D1"/>
    <w:rsid w:val="00313EC7"/>
    <w:rsid w:val="00313F02"/>
    <w:rsid w:val="00314F50"/>
    <w:rsid w:val="00320243"/>
    <w:rsid w:val="00320B65"/>
    <w:rsid w:val="00322650"/>
    <w:rsid w:val="00323408"/>
    <w:rsid w:val="003251D9"/>
    <w:rsid w:val="0032670B"/>
    <w:rsid w:val="00326C16"/>
    <w:rsid w:val="00327ED6"/>
    <w:rsid w:val="00330B1E"/>
    <w:rsid w:val="00330D7D"/>
    <w:rsid w:val="00331306"/>
    <w:rsid w:val="00331CBF"/>
    <w:rsid w:val="0033591E"/>
    <w:rsid w:val="00335BC2"/>
    <w:rsid w:val="00342D7B"/>
    <w:rsid w:val="003460F8"/>
    <w:rsid w:val="0034678B"/>
    <w:rsid w:val="003469E6"/>
    <w:rsid w:val="003501ED"/>
    <w:rsid w:val="0035040F"/>
    <w:rsid w:val="003509E1"/>
    <w:rsid w:val="003519DC"/>
    <w:rsid w:val="00353FAA"/>
    <w:rsid w:val="00354FD9"/>
    <w:rsid w:val="00355117"/>
    <w:rsid w:val="00360239"/>
    <w:rsid w:val="0036051D"/>
    <w:rsid w:val="00360AD0"/>
    <w:rsid w:val="003612D2"/>
    <w:rsid w:val="00361D5D"/>
    <w:rsid w:val="00361D65"/>
    <w:rsid w:val="0036365C"/>
    <w:rsid w:val="0036373A"/>
    <w:rsid w:val="00363F71"/>
    <w:rsid w:val="00365479"/>
    <w:rsid w:val="00365615"/>
    <w:rsid w:val="00367780"/>
    <w:rsid w:val="0037145C"/>
    <w:rsid w:val="003726C8"/>
    <w:rsid w:val="00373B72"/>
    <w:rsid w:val="00374046"/>
    <w:rsid w:val="00374695"/>
    <w:rsid w:val="00380C45"/>
    <w:rsid w:val="00381AC1"/>
    <w:rsid w:val="00381F65"/>
    <w:rsid w:val="003825EA"/>
    <w:rsid w:val="003826C1"/>
    <w:rsid w:val="00383455"/>
    <w:rsid w:val="003844BC"/>
    <w:rsid w:val="00385552"/>
    <w:rsid w:val="00390E3A"/>
    <w:rsid w:val="0039136B"/>
    <w:rsid w:val="00392C86"/>
    <w:rsid w:val="00393B60"/>
    <w:rsid w:val="00395F65"/>
    <w:rsid w:val="00397680"/>
    <w:rsid w:val="00397C66"/>
    <w:rsid w:val="003A0CB0"/>
    <w:rsid w:val="003A1117"/>
    <w:rsid w:val="003A1328"/>
    <w:rsid w:val="003A13B1"/>
    <w:rsid w:val="003A14D0"/>
    <w:rsid w:val="003A3C93"/>
    <w:rsid w:val="003A4367"/>
    <w:rsid w:val="003A6E1C"/>
    <w:rsid w:val="003A737B"/>
    <w:rsid w:val="003A76DE"/>
    <w:rsid w:val="003A7974"/>
    <w:rsid w:val="003B096C"/>
    <w:rsid w:val="003B2155"/>
    <w:rsid w:val="003B25CB"/>
    <w:rsid w:val="003B2BE7"/>
    <w:rsid w:val="003B380C"/>
    <w:rsid w:val="003B3B93"/>
    <w:rsid w:val="003B3E58"/>
    <w:rsid w:val="003B4FB4"/>
    <w:rsid w:val="003B5041"/>
    <w:rsid w:val="003B6426"/>
    <w:rsid w:val="003B6B4B"/>
    <w:rsid w:val="003B6F5B"/>
    <w:rsid w:val="003B729E"/>
    <w:rsid w:val="003B7C8E"/>
    <w:rsid w:val="003B7CE3"/>
    <w:rsid w:val="003C0D57"/>
    <w:rsid w:val="003C14E8"/>
    <w:rsid w:val="003C30A0"/>
    <w:rsid w:val="003C3E5E"/>
    <w:rsid w:val="003C4251"/>
    <w:rsid w:val="003C5B11"/>
    <w:rsid w:val="003C76BB"/>
    <w:rsid w:val="003D0722"/>
    <w:rsid w:val="003D0F3F"/>
    <w:rsid w:val="003D1415"/>
    <w:rsid w:val="003D3996"/>
    <w:rsid w:val="003D485C"/>
    <w:rsid w:val="003D4B50"/>
    <w:rsid w:val="003D4CF1"/>
    <w:rsid w:val="003D64AE"/>
    <w:rsid w:val="003D685B"/>
    <w:rsid w:val="003D6BF0"/>
    <w:rsid w:val="003D7BD4"/>
    <w:rsid w:val="003D7C41"/>
    <w:rsid w:val="003D7E40"/>
    <w:rsid w:val="003E05FA"/>
    <w:rsid w:val="003E0DB5"/>
    <w:rsid w:val="003E0FFE"/>
    <w:rsid w:val="003E12F9"/>
    <w:rsid w:val="003E1420"/>
    <w:rsid w:val="003E14CD"/>
    <w:rsid w:val="003E1721"/>
    <w:rsid w:val="003E1E15"/>
    <w:rsid w:val="003E44F0"/>
    <w:rsid w:val="003E4643"/>
    <w:rsid w:val="003E5712"/>
    <w:rsid w:val="003E7018"/>
    <w:rsid w:val="003E7846"/>
    <w:rsid w:val="003F2610"/>
    <w:rsid w:val="003F302C"/>
    <w:rsid w:val="003F690E"/>
    <w:rsid w:val="00401FCC"/>
    <w:rsid w:val="00402EB3"/>
    <w:rsid w:val="004038D6"/>
    <w:rsid w:val="004040BE"/>
    <w:rsid w:val="00404E6F"/>
    <w:rsid w:val="00406532"/>
    <w:rsid w:val="0040674C"/>
    <w:rsid w:val="00406BD1"/>
    <w:rsid w:val="00410091"/>
    <w:rsid w:val="0041087F"/>
    <w:rsid w:val="00410BD4"/>
    <w:rsid w:val="0041102C"/>
    <w:rsid w:val="00411C3E"/>
    <w:rsid w:val="00412FF0"/>
    <w:rsid w:val="004156BE"/>
    <w:rsid w:val="00415B59"/>
    <w:rsid w:val="00416170"/>
    <w:rsid w:val="00416524"/>
    <w:rsid w:val="004171F1"/>
    <w:rsid w:val="004175BF"/>
    <w:rsid w:val="0042173E"/>
    <w:rsid w:val="00423FE0"/>
    <w:rsid w:val="004246AD"/>
    <w:rsid w:val="00424722"/>
    <w:rsid w:val="00424B0D"/>
    <w:rsid w:val="00425D89"/>
    <w:rsid w:val="004273F7"/>
    <w:rsid w:val="004276B5"/>
    <w:rsid w:val="004277C7"/>
    <w:rsid w:val="00430BEC"/>
    <w:rsid w:val="00431EA7"/>
    <w:rsid w:val="004322A8"/>
    <w:rsid w:val="00432BF8"/>
    <w:rsid w:val="0043314A"/>
    <w:rsid w:val="00434340"/>
    <w:rsid w:val="00434709"/>
    <w:rsid w:val="00434790"/>
    <w:rsid w:val="00434F7C"/>
    <w:rsid w:val="00435249"/>
    <w:rsid w:val="00435D51"/>
    <w:rsid w:val="0043775F"/>
    <w:rsid w:val="00440BD8"/>
    <w:rsid w:val="00442C42"/>
    <w:rsid w:val="00443231"/>
    <w:rsid w:val="00443767"/>
    <w:rsid w:val="00443D55"/>
    <w:rsid w:val="00444053"/>
    <w:rsid w:val="00445E6A"/>
    <w:rsid w:val="00446FF9"/>
    <w:rsid w:val="00450492"/>
    <w:rsid w:val="0045064D"/>
    <w:rsid w:val="004509D8"/>
    <w:rsid w:val="004518BC"/>
    <w:rsid w:val="00452C89"/>
    <w:rsid w:val="00452E52"/>
    <w:rsid w:val="00453201"/>
    <w:rsid w:val="0045338C"/>
    <w:rsid w:val="0045364C"/>
    <w:rsid w:val="00453B39"/>
    <w:rsid w:val="004542D0"/>
    <w:rsid w:val="0045688B"/>
    <w:rsid w:val="00456DF4"/>
    <w:rsid w:val="004607C7"/>
    <w:rsid w:val="00461BC9"/>
    <w:rsid w:val="00461BCE"/>
    <w:rsid w:val="004626C5"/>
    <w:rsid w:val="00463184"/>
    <w:rsid w:val="004638FD"/>
    <w:rsid w:val="00464C42"/>
    <w:rsid w:val="00464E88"/>
    <w:rsid w:val="004658C8"/>
    <w:rsid w:val="0046639F"/>
    <w:rsid w:val="00467262"/>
    <w:rsid w:val="00467351"/>
    <w:rsid w:val="004704A4"/>
    <w:rsid w:val="00470648"/>
    <w:rsid w:val="00471438"/>
    <w:rsid w:val="00471868"/>
    <w:rsid w:val="00473DA2"/>
    <w:rsid w:val="004754A6"/>
    <w:rsid w:val="004777C2"/>
    <w:rsid w:val="00477A01"/>
    <w:rsid w:val="00477E51"/>
    <w:rsid w:val="00480848"/>
    <w:rsid w:val="00480D16"/>
    <w:rsid w:val="004815EC"/>
    <w:rsid w:val="00482E8F"/>
    <w:rsid w:val="00482F12"/>
    <w:rsid w:val="00483EA4"/>
    <w:rsid w:val="004849DC"/>
    <w:rsid w:val="00484BD6"/>
    <w:rsid w:val="00485E50"/>
    <w:rsid w:val="0048669C"/>
    <w:rsid w:val="004872DE"/>
    <w:rsid w:val="004878A2"/>
    <w:rsid w:val="004903D4"/>
    <w:rsid w:val="00494258"/>
    <w:rsid w:val="0049436F"/>
    <w:rsid w:val="00494AF8"/>
    <w:rsid w:val="00494C2F"/>
    <w:rsid w:val="00495264"/>
    <w:rsid w:val="0049541F"/>
    <w:rsid w:val="00495CAE"/>
    <w:rsid w:val="00495FD5"/>
    <w:rsid w:val="004966F9"/>
    <w:rsid w:val="00496764"/>
    <w:rsid w:val="00497003"/>
    <w:rsid w:val="00497639"/>
    <w:rsid w:val="004977D0"/>
    <w:rsid w:val="004A017C"/>
    <w:rsid w:val="004A26A3"/>
    <w:rsid w:val="004A29C7"/>
    <w:rsid w:val="004A2E0D"/>
    <w:rsid w:val="004A328E"/>
    <w:rsid w:val="004A57A2"/>
    <w:rsid w:val="004A5B4F"/>
    <w:rsid w:val="004A60D6"/>
    <w:rsid w:val="004A7305"/>
    <w:rsid w:val="004A763C"/>
    <w:rsid w:val="004B1D63"/>
    <w:rsid w:val="004B2199"/>
    <w:rsid w:val="004B2818"/>
    <w:rsid w:val="004B2F00"/>
    <w:rsid w:val="004B5C16"/>
    <w:rsid w:val="004B6E2D"/>
    <w:rsid w:val="004B71A0"/>
    <w:rsid w:val="004B76EF"/>
    <w:rsid w:val="004C00B9"/>
    <w:rsid w:val="004C01DF"/>
    <w:rsid w:val="004C1432"/>
    <w:rsid w:val="004C1B85"/>
    <w:rsid w:val="004C2BA8"/>
    <w:rsid w:val="004C4E7F"/>
    <w:rsid w:val="004C5459"/>
    <w:rsid w:val="004C57A6"/>
    <w:rsid w:val="004C5A3D"/>
    <w:rsid w:val="004C7DEC"/>
    <w:rsid w:val="004D0593"/>
    <w:rsid w:val="004D0AD1"/>
    <w:rsid w:val="004D1AC2"/>
    <w:rsid w:val="004D1C71"/>
    <w:rsid w:val="004D1F6C"/>
    <w:rsid w:val="004D291E"/>
    <w:rsid w:val="004D4472"/>
    <w:rsid w:val="004D4E41"/>
    <w:rsid w:val="004D5650"/>
    <w:rsid w:val="004D5C99"/>
    <w:rsid w:val="004D5DD5"/>
    <w:rsid w:val="004D61E2"/>
    <w:rsid w:val="004D662D"/>
    <w:rsid w:val="004D6E4A"/>
    <w:rsid w:val="004D718B"/>
    <w:rsid w:val="004D773C"/>
    <w:rsid w:val="004E0A00"/>
    <w:rsid w:val="004E0F9D"/>
    <w:rsid w:val="004E1CD6"/>
    <w:rsid w:val="004E2433"/>
    <w:rsid w:val="004E26D7"/>
    <w:rsid w:val="004E556E"/>
    <w:rsid w:val="004E55C2"/>
    <w:rsid w:val="004E63C6"/>
    <w:rsid w:val="004E671B"/>
    <w:rsid w:val="004E6D9B"/>
    <w:rsid w:val="004E7520"/>
    <w:rsid w:val="004E75D1"/>
    <w:rsid w:val="004E767B"/>
    <w:rsid w:val="004E785A"/>
    <w:rsid w:val="004E7940"/>
    <w:rsid w:val="004E7EF2"/>
    <w:rsid w:val="004F0942"/>
    <w:rsid w:val="004F1326"/>
    <w:rsid w:val="004F2608"/>
    <w:rsid w:val="004F3230"/>
    <w:rsid w:val="004F3455"/>
    <w:rsid w:val="004F3F32"/>
    <w:rsid w:val="004F72B4"/>
    <w:rsid w:val="004F76F6"/>
    <w:rsid w:val="004F7887"/>
    <w:rsid w:val="0050151F"/>
    <w:rsid w:val="005035FB"/>
    <w:rsid w:val="00503618"/>
    <w:rsid w:val="00503DC3"/>
    <w:rsid w:val="00504493"/>
    <w:rsid w:val="00504EF8"/>
    <w:rsid w:val="00505B88"/>
    <w:rsid w:val="0050651F"/>
    <w:rsid w:val="00510AC8"/>
    <w:rsid w:val="00511DAE"/>
    <w:rsid w:val="00512E68"/>
    <w:rsid w:val="00513669"/>
    <w:rsid w:val="00513924"/>
    <w:rsid w:val="00513934"/>
    <w:rsid w:val="00514C1F"/>
    <w:rsid w:val="005150C2"/>
    <w:rsid w:val="005150EB"/>
    <w:rsid w:val="00515ECC"/>
    <w:rsid w:val="00516252"/>
    <w:rsid w:val="00517382"/>
    <w:rsid w:val="005175C1"/>
    <w:rsid w:val="00520248"/>
    <w:rsid w:val="005217C9"/>
    <w:rsid w:val="00521901"/>
    <w:rsid w:val="00522DAD"/>
    <w:rsid w:val="00524213"/>
    <w:rsid w:val="005245C5"/>
    <w:rsid w:val="005251DF"/>
    <w:rsid w:val="005278D7"/>
    <w:rsid w:val="00530C98"/>
    <w:rsid w:val="00531125"/>
    <w:rsid w:val="00533A11"/>
    <w:rsid w:val="00534CC3"/>
    <w:rsid w:val="0053575E"/>
    <w:rsid w:val="00536B44"/>
    <w:rsid w:val="00540634"/>
    <w:rsid w:val="00540D10"/>
    <w:rsid w:val="005413A4"/>
    <w:rsid w:val="00541C4C"/>
    <w:rsid w:val="00541E3F"/>
    <w:rsid w:val="005423B2"/>
    <w:rsid w:val="00542AF4"/>
    <w:rsid w:val="005431C3"/>
    <w:rsid w:val="00543E0B"/>
    <w:rsid w:val="00543E20"/>
    <w:rsid w:val="005441EF"/>
    <w:rsid w:val="00544C16"/>
    <w:rsid w:val="005469D9"/>
    <w:rsid w:val="00547A5F"/>
    <w:rsid w:val="00550939"/>
    <w:rsid w:val="005511E0"/>
    <w:rsid w:val="005523F3"/>
    <w:rsid w:val="00552EA3"/>
    <w:rsid w:val="005533B6"/>
    <w:rsid w:val="00555742"/>
    <w:rsid w:val="00557237"/>
    <w:rsid w:val="00560967"/>
    <w:rsid w:val="00562A16"/>
    <w:rsid w:val="005633C4"/>
    <w:rsid w:val="00563559"/>
    <w:rsid w:val="00565980"/>
    <w:rsid w:val="005665ED"/>
    <w:rsid w:val="0056667C"/>
    <w:rsid w:val="00566E1E"/>
    <w:rsid w:val="00566F1A"/>
    <w:rsid w:val="0056752F"/>
    <w:rsid w:val="00567664"/>
    <w:rsid w:val="0057090F"/>
    <w:rsid w:val="005719D2"/>
    <w:rsid w:val="00572631"/>
    <w:rsid w:val="0057612E"/>
    <w:rsid w:val="005767BE"/>
    <w:rsid w:val="0057726B"/>
    <w:rsid w:val="005802F7"/>
    <w:rsid w:val="00580614"/>
    <w:rsid w:val="00580F8A"/>
    <w:rsid w:val="005816DE"/>
    <w:rsid w:val="005824AB"/>
    <w:rsid w:val="00582979"/>
    <w:rsid w:val="00585349"/>
    <w:rsid w:val="00586210"/>
    <w:rsid w:val="005863FF"/>
    <w:rsid w:val="00586D6A"/>
    <w:rsid w:val="00590334"/>
    <w:rsid w:val="00590A30"/>
    <w:rsid w:val="00591062"/>
    <w:rsid w:val="00593600"/>
    <w:rsid w:val="0059445A"/>
    <w:rsid w:val="0059683E"/>
    <w:rsid w:val="005A128E"/>
    <w:rsid w:val="005A50F7"/>
    <w:rsid w:val="005A51F7"/>
    <w:rsid w:val="005A57C9"/>
    <w:rsid w:val="005A5A80"/>
    <w:rsid w:val="005A6465"/>
    <w:rsid w:val="005A65F9"/>
    <w:rsid w:val="005A7331"/>
    <w:rsid w:val="005B11A2"/>
    <w:rsid w:val="005B17D2"/>
    <w:rsid w:val="005B3511"/>
    <w:rsid w:val="005B3F8C"/>
    <w:rsid w:val="005B416C"/>
    <w:rsid w:val="005B48F1"/>
    <w:rsid w:val="005B5D45"/>
    <w:rsid w:val="005B672F"/>
    <w:rsid w:val="005B7CD8"/>
    <w:rsid w:val="005C2A64"/>
    <w:rsid w:val="005C2BDC"/>
    <w:rsid w:val="005C31AF"/>
    <w:rsid w:val="005C4C31"/>
    <w:rsid w:val="005C51B1"/>
    <w:rsid w:val="005C5532"/>
    <w:rsid w:val="005C5858"/>
    <w:rsid w:val="005C5FE0"/>
    <w:rsid w:val="005C7766"/>
    <w:rsid w:val="005D0DD5"/>
    <w:rsid w:val="005D3803"/>
    <w:rsid w:val="005D3D05"/>
    <w:rsid w:val="005D4233"/>
    <w:rsid w:val="005D4A1E"/>
    <w:rsid w:val="005D4F08"/>
    <w:rsid w:val="005D5632"/>
    <w:rsid w:val="005D60A2"/>
    <w:rsid w:val="005D7321"/>
    <w:rsid w:val="005E001A"/>
    <w:rsid w:val="005E14E5"/>
    <w:rsid w:val="005E1AF3"/>
    <w:rsid w:val="005E3CEB"/>
    <w:rsid w:val="005E4A1B"/>
    <w:rsid w:val="005E533F"/>
    <w:rsid w:val="005E56A0"/>
    <w:rsid w:val="005E5DB4"/>
    <w:rsid w:val="005E5E64"/>
    <w:rsid w:val="005E7AE1"/>
    <w:rsid w:val="005F0A8D"/>
    <w:rsid w:val="005F0CF1"/>
    <w:rsid w:val="005F1547"/>
    <w:rsid w:val="005F208A"/>
    <w:rsid w:val="005F2C01"/>
    <w:rsid w:val="005F4AA0"/>
    <w:rsid w:val="005F75C6"/>
    <w:rsid w:val="00600306"/>
    <w:rsid w:val="0060308B"/>
    <w:rsid w:val="00603806"/>
    <w:rsid w:val="006054AD"/>
    <w:rsid w:val="006069A6"/>
    <w:rsid w:val="00606D3F"/>
    <w:rsid w:val="00607BB9"/>
    <w:rsid w:val="0061234E"/>
    <w:rsid w:val="00614A72"/>
    <w:rsid w:val="00615643"/>
    <w:rsid w:val="00615DFB"/>
    <w:rsid w:val="00616F18"/>
    <w:rsid w:val="006177C0"/>
    <w:rsid w:val="006223C8"/>
    <w:rsid w:val="00622D61"/>
    <w:rsid w:val="00622FC3"/>
    <w:rsid w:val="006243CA"/>
    <w:rsid w:val="0062450D"/>
    <w:rsid w:val="006253D2"/>
    <w:rsid w:val="00625A1C"/>
    <w:rsid w:val="00626F36"/>
    <w:rsid w:val="00627BFD"/>
    <w:rsid w:val="00627D21"/>
    <w:rsid w:val="00630D3D"/>
    <w:rsid w:val="0063118B"/>
    <w:rsid w:val="0063151D"/>
    <w:rsid w:val="00631F3E"/>
    <w:rsid w:val="00633441"/>
    <w:rsid w:val="00633CC4"/>
    <w:rsid w:val="00634397"/>
    <w:rsid w:val="00636548"/>
    <w:rsid w:val="006374DB"/>
    <w:rsid w:val="006378A1"/>
    <w:rsid w:val="0064167B"/>
    <w:rsid w:val="00641697"/>
    <w:rsid w:val="0064408F"/>
    <w:rsid w:val="006445B0"/>
    <w:rsid w:val="00644A17"/>
    <w:rsid w:val="00646A3A"/>
    <w:rsid w:val="006471BE"/>
    <w:rsid w:val="00647FAE"/>
    <w:rsid w:val="006500F6"/>
    <w:rsid w:val="006508B6"/>
    <w:rsid w:val="00651612"/>
    <w:rsid w:val="00651B69"/>
    <w:rsid w:val="00653655"/>
    <w:rsid w:val="00657205"/>
    <w:rsid w:val="0065793D"/>
    <w:rsid w:val="00657D1A"/>
    <w:rsid w:val="00660241"/>
    <w:rsid w:val="00661713"/>
    <w:rsid w:val="00661E4A"/>
    <w:rsid w:val="0066205D"/>
    <w:rsid w:val="00662093"/>
    <w:rsid w:val="0066209E"/>
    <w:rsid w:val="006626B3"/>
    <w:rsid w:val="00662FC7"/>
    <w:rsid w:val="00663DA5"/>
    <w:rsid w:val="00663F21"/>
    <w:rsid w:val="006643B1"/>
    <w:rsid w:val="00664B52"/>
    <w:rsid w:val="00665034"/>
    <w:rsid w:val="006658D3"/>
    <w:rsid w:val="00665FB3"/>
    <w:rsid w:val="0067002E"/>
    <w:rsid w:val="006714E6"/>
    <w:rsid w:val="00671945"/>
    <w:rsid w:val="0067229C"/>
    <w:rsid w:val="006728AC"/>
    <w:rsid w:val="00673808"/>
    <w:rsid w:val="00674C9D"/>
    <w:rsid w:val="00675AFF"/>
    <w:rsid w:val="00675ED7"/>
    <w:rsid w:val="00675EEC"/>
    <w:rsid w:val="006762D9"/>
    <w:rsid w:val="00676C04"/>
    <w:rsid w:val="00676C52"/>
    <w:rsid w:val="006776DF"/>
    <w:rsid w:val="00677F61"/>
    <w:rsid w:val="00680B23"/>
    <w:rsid w:val="006816FA"/>
    <w:rsid w:val="0068223D"/>
    <w:rsid w:val="0068362E"/>
    <w:rsid w:val="006839A8"/>
    <w:rsid w:val="00683FC6"/>
    <w:rsid w:val="0068480F"/>
    <w:rsid w:val="00684940"/>
    <w:rsid w:val="0068628A"/>
    <w:rsid w:val="00686879"/>
    <w:rsid w:val="00686C6F"/>
    <w:rsid w:val="0068734B"/>
    <w:rsid w:val="00690719"/>
    <w:rsid w:val="00691066"/>
    <w:rsid w:val="006922C9"/>
    <w:rsid w:val="00692C84"/>
    <w:rsid w:val="00693A26"/>
    <w:rsid w:val="00694A8B"/>
    <w:rsid w:val="00694B3D"/>
    <w:rsid w:val="00694CF8"/>
    <w:rsid w:val="006952D6"/>
    <w:rsid w:val="00696282"/>
    <w:rsid w:val="00696286"/>
    <w:rsid w:val="0069663E"/>
    <w:rsid w:val="00697CF4"/>
    <w:rsid w:val="006A001B"/>
    <w:rsid w:val="006A07B4"/>
    <w:rsid w:val="006A4429"/>
    <w:rsid w:val="006A5B5C"/>
    <w:rsid w:val="006A5EBD"/>
    <w:rsid w:val="006A711A"/>
    <w:rsid w:val="006A76C5"/>
    <w:rsid w:val="006A7C00"/>
    <w:rsid w:val="006B0695"/>
    <w:rsid w:val="006B39C8"/>
    <w:rsid w:val="006B40E1"/>
    <w:rsid w:val="006B4AB4"/>
    <w:rsid w:val="006B4B31"/>
    <w:rsid w:val="006B5F6B"/>
    <w:rsid w:val="006B6B5D"/>
    <w:rsid w:val="006C0560"/>
    <w:rsid w:val="006C069F"/>
    <w:rsid w:val="006C32AF"/>
    <w:rsid w:val="006C343C"/>
    <w:rsid w:val="006C3B37"/>
    <w:rsid w:val="006C3E66"/>
    <w:rsid w:val="006C4060"/>
    <w:rsid w:val="006C4AD7"/>
    <w:rsid w:val="006C5328"/>
    <w:rsid w:val="006C534F"/>
    <w:rsid w:val="006C679A"/>
    <w:rsid w:val="006C6BC1"/>
    <w:rsid w:val="006C7788"/>
    <w:rsid w:val="006D440B"/>
    <w:rsid w:val="006D4E94"/>
    <w:rsid w:val="006D6449"/>
    <w:rsid w:val="006D6F5B"/>
    <w:rsid w:val="006D712A"/>
    <w:rsid w:val="006D79F9"/>
    <w:rsid w:val="006E0498"/>
    <w:rsid w:val="006E1F67"/>
    <w:rsid w:val="006E1F93"/>
    <w:rsid w:val="006E3281"/>
    <w:rsid w:val="006E3560"/>
    <w:rsid w:val="006E49D7"/>
    <w:rsid w:val="006E4B1C"/>
    <w:rsid w:val="006E4B20"/>
    <w:rsid w:val="006E7030"/>
    <w:rsid w:val="006E7193"/>
    <w:rsid w:val="006E7740"/>
    <w:rsid w:val="006F1337"/>
    <w:rsid w:val="006F154A"/>
    <w:rsid w:val="006F1E9F"/>
    <w:rsid w:val="006F28D1"/>
    <w:rsid w:val="006F2B79"/>
    <w:rsid w:val="006F3174"/>
    <w:rsid w:val="006F34BD"/>
    <w:rsid w:val="006F4E2B"/>
    <w:rsid w:val="006F51E1"/>
    <w:rsid w:val="006F5225"/>
    <w:rsid w:val="006F709E"/>
    <w:rsid w:val="0070145E"/>
    <w:rsid w:val="007021A1"/>
    <w:rsid w:val="0070309B"/>
    <w:rsid w:val="007030BC"/>
    <w:rsid w:val="00703248"/>
    <w:rsid w:val="007035F4"/>
    <w:rsid w:val="007039C4"/>
    <w:rsid w:val="00703CA6"/>
    <w:rsid w:val="0070457D"/>
    <w:rsid w:val="00704CC2"/>
    <w:rsid w:val="00705B90"/>
    <w:rsid w:val="00710503"/>
    <w:rsid w:val="00710D5B"/>
    <w:rsid w:val="00710DC7"/>
    <w:rsid w:val="00711272"/>
    <w:rsid w:val="0071188F"/>
    <w:rsid w:val="007126B3"/>
    <w:rsid w:val="00715445"/>
    <w:rsid w:val="00715F66"/>
    <w:rsid w:val="0071692F"/>
    <w:rsid w:val="00721EA4"/>
    <w:rsid w:val="00721F9C"/>
    <w:rsid w:val="007245F9"/>
    <w:rsid w:val="00724731"/>
    <w:rsid w:val="00724D65"/>
    <w:rsid w:val="00725571"/>
    <w:rsid w:val="0072570F"/>
    <w:rsid w:val="00726D20"/>
    <w:rsid w:val="00727670"/>
    <w:rsid w:val="00727C97"/>
    <w:rsid w:val="00727EE0"/>
    <w:rsid w:val="00730186"/>
    <w:rsid w:val="00731CD1"/>
    <w:rsid w:val="00731ECA"/>
    <w:rsid w:val="007328DE"/>
    <w:rsid w:val="007328E2"/>
    <w:rsid w:val="007335BA"/>
    <w:rsid w:val="00733F5A"/>
    <w:rsid w:val="0073482E"/>
    <w:rsid w:val="007348C9"/>
    <w:rsid w:val="007371AF"/>
    <w:rsid w:val="007410AB"/>
    <w:rsid w:val="00741142"/>
    <w:rsid w:val="00741442"/>
    <w:rsid w:val="007418DD"/>
    <w:rsid w:val="00743054"/>
    <w:rsid w:val="00743603"/>
    <w:rsid w:val="007436B0"/>
    <w:rsid w:val="00743A16"/>
    <w:rsid w:val="00744DB2"/>
    <w:rsid w:val="00746604"/>
    <w:rsid w:val="00746770"/>
    <w:rsid w:val="007477E6"/>
    <w:rsid w:val="00750B18"/>
    <w:rsid w:val="00750B52"/>
    <w:rsid w:val="00751109"/>
    <w:rsid w:val="00751B00"/>
    <w:rsid w:val="00754CDC"/>
    <w:rsid w:val="007550C3"/>
    <w:rsid w:val="00755691"/>
    <w:rsid w:val="00755885"/>
    <w:rsid w:val="007613ED"/>
    <w:rsid w:val="00762C84"/>
    <w:rsid w:val="00764C96"/>
    <w:rsid w:val="00766F39"/>
    <w:rsid w:val="0077001F"/>
    <w:rsid w:val="007728F4"/>
    <w:rsid w:val="00772B34"/>
    <w:rsid w:val="00773690"/>
    <w:rsid w:val="00777B36"/>
    <w:rsid w:val="00780E83"/>
    <w:rsid w:val="00781ED3"/>
    <w:rsid w:val="00782008"/>
    <w:rsid w:val="0078281E"/>
    <w:rsid w:val="007828CE"/>
    <w:rsid w:val="007846DB"/>
    <w:rsid w:val="00786447"/>
    <w:rsid w:val="00786889"/>
    <w:rsid w:val="00787AAA"/>
    <w:rsid w:val="00787CCD"/>
    <w:rsid w:val="00787CFC"/>
    <w:rsid w:val="0079003D"/>
    <w:rsid w:val="0079017D"/>
    <w:rsid w:val="00791219"/>
    <w:rsid w:val="00791FF5"/>
    <w:rsid w:val="007923D8"/>
    <w:rsid w:val="007931BC"/>
    <w:rsid w:val="007935A0"/>
    <w:rsid w:val="00793AA5"/>
    <w:rsid w:val="00793CD4"/>
    <w:rsid w:val="00794FE0"/>
    <w:rsid w:val="00795E47"/>
    <w:rsid w:val="00797E5D"/>
    <w:rsid w:val="007A0042"/>
    <w:rsid w:val="007A0F9F"/>
    <w:rsid w:val="007A1E16"/>
    <w:rsid w:val="007A1E21"/>
    <w:rsid w:val="007A4EF9"/>
    <w:rsid w:val="007A607D"/>
    <w:rsid w:val="007A6B49"/>
    <w:rsid w:val="007A76F7"/>
    <w:rsid w:val="007B007E"/>
    <w:rsid w:val="007B06BB"/>
    <w:rsid w:val="007B0F5D"/>
    <w:rsid w:val="007B3BBB"/>
    <w:rsid w:val="007B3D74"/>
    <w:rsid w:val="007B7E21"/>
    <w:rsid w:val="007C1A50"/>
    <w:rsid w:val="007C1D84"/>
    <w:rsid w:val="007C27AB"/>
    <w:rsid w:val="007C2914"/>
    <w:rsid w:val="007C36F3"/>
    <w:rsid w:val="007C377D"/>
    <w:rsid w:val="007C41BF"/>
    <w:rsid w:val="007C49CF"/>
    <w:rsid w:val="007C5F55"/>
    <w:rsid w:val="007D2E22"/>
    <w:rsid w:val="007D39E2"/>
    <w:rsid w:val="007D4FA4"/>
    <w:rsid w:val="007D6782"/>
    <w:rsid w:val="007D6B76"/>
    <w:rsid w:val="007D7A69"/>
    <w:rsid w:val="007D7C0D"/>
    <w:rsid w:val="007D7F13"/>
    <w:rsid w:val="007E0143"/>
    <w:rsid w:val="007E1030"/>
    <w:rsid w:val="007E11DD"/>
    <w:rsid w:val="007E1F34"/>
    <w:rsid w:val="007E2045"/>
    <w:rsid w:val="007E2690"/>
    <w:rsid w:val="007E26A5"/>
    <w:rsid w:val="007E28F3"/>
    <w:rsid w:val="007E3887"/>
    <w:rsid w:val="007E3E9E"/>
    <w:rsid w:val="007E4C3B"/>
    <w:rsid w:val="007E5252"/>
    <w:rsid w:val="007E5BF1"/>
    <w:rsid w:val="007E6390"/>
    <w:rsid w:val="007E6E3D"/>
    <w:rsid w:val="007E6EEA"/>
    <w:rsid w:val="007E7101"/>
    <w:rsid w:val="007E7826"/>
    <w:rsid w:val="007E7E87"/>
    <w:rsid w:val="007F0B19"/>
    <w:rsid w:val="007F148B"/>
    <w:rsid w:val="007F2311"/>
    <w:rsid w:val="007F44A1"/>
    <w:rsid w:val="007F458A"/>
    <w:rsid w:val="007F4DFA"/>
    <w:rsid w:val="007F536D"/>
    <w:rsid w:val="007F5D88"/>
    <w:rsid w:val="007F7639"/>
    <w:rsid w:val="007F7AFB"/>
    <w:rsid w:val="008038B3"/>
    <w:rsid w:val="00807B6C"/>
    <w:rsid w:val="00812320"/>
    <w:rsid w:val="008131F3"/>
    <w:rsid w:val="008133C0"/>
    <w:rsid w:val="00813D50"/>
    <w:rsid w:val="00813EA6"/>
    <w:rsid w:val="008146F6"/>
    <w:rsid w:val="008149DD"/>
    <w:rsid w:val="0081610E"/>
    <w:rsid w:val="00817166"/>
    <w:rsid w:val="008175A8"/>
    <w:rsid w:val="00817CB2"/>
    <w:rsid w:val="00820727"/>
    <w:rsid w:val="0082252D"/>
    <w:rsid w:val="008236A9"/>
    <w:rsid w:val="00824328"/>
    <w:rsid w:val="00825B68"/>
    <w:rsid w:val="00825CD1"/>
    <w:rsid w:val="00825FE6"/>
    <w:rsid w:val="008260D2"/>
    <w:rsid w:val="008266AF"/>
    <w:rsid w:val="008301BB"/>
    <w:rsid w:val="00832897"/>
    <w:rsid w:val="00832E2C"/>
    <w:rsid w:val="00833446"/>
    <w:rsid w:val="00833458"/>
    <w:rsid w:val="00833603"/>
    <w:rsid w:val="00833FDF"/>
    <w:rsid w:val="008345A6"/>
    <w:rsid w:val="00835444"/>
    <w:rsid w:val="00836396"/>
    <w:rsid w:val="00840C60"/>
    <w:rsid w:val="0084106B"/>
    <w:rsid w:val="00841140"/>
    <w:rsid w:val="0084275A"/>
    <w:rsid w:val="00843835"/>
    <w:rsid w:val="00850E50"/>
    <w:rsid w:val="00851C97"/>
    <w:rsid w:val="00852640"/>
    <w:rsid w:val="00852C89"/>
    <w:rsid w:val="00853055"/>
    <w:rsid w:val="00855AB4"/>
    <w:rsid w:val="00856220"/>
    <w:rsid w:val="00857592"/>
    <w:rsid w:val="0086142E"/>
    <w:rsid w:val="008620BF"/>
    <w:rsid w:val="00862D63"/>
    <w:rsid w:val="00862E50"/>
    <w:rsid w:val="00863007"/>
    <w:rsid w:val="00864304"/>
    <w:rsid w:val="00864CC5"/>
    <w:rsid w:val="00865767"/>
    <w:rsid w:val="00865CF8"/>
    <w:rsid w:val="00866644"/>
    <w:rsid w:val="0086685A"/>
    <w:rsid w:val="00870319"/>
    <w:rsid w:val="00870408"/>
    <w:rsid w:val="00871918"/>
    <w:rsid w:val="00871CF0"/>
    <w:rsid w:val="00873181"/>
    <w:rsid w:val="008742E3"/>
    <w:rsid w:val="00874611"/>
    <w:rsid w:val="00874E5B"/>
    <w:rsid w:val="00874F08"/>
    <w:rsid w:val="00876228"/>
    <w:rsid w:val="00876B5B"/>
    <w:rsid w:val="008829D5"/>
    <w:rsid w:val="00884997"/>
    <w:rsid w:val="008851BF"/>
    <w:rsid w:val="00886036"/>
    <w:rsid w:val="008873E5"/>
    <w:rsid w:val="0089116F"/>
    <w:rsid w:val="008919F7"/>
    <w:rsid w:val="00892050"/>
    <w:rsid w:val="00892BA9"/>
    <w:rsid w:val="00894196"/>
    <w:rsid w:val="00894388"/>
    <w:rsid w:val="00895674"/>
    <w:rsid w:val="00896CC7"/>
    <w:rsid w:val="008972BA"/>
    <w:rsid w:val="008A0AC5"/>
    <w:rsid w:val="008A173E"/>
    <w:rsid w:val="008A1C4F"/>
    <w:rsid w:val="008A24BC"/>
    <w:rsid w:val="008A2F24"/>
    <w:rsid w:val="008A4D83"/>
    <w:rsid w:val="008A506F"/>
    <w:rsid w:val="008A7CA6"/>
    <w:rsid w:val="008B060B"/>
    <w:rsid w:val="008B06F2"/>
    <w:rsid w:val="008B0AB8"/>
    <w:rsid w:val="008B174F"/>
    <w:rsid w:val="008B1FC3"/>
    <w:rsid w:val="008B3174"/>
    <w:rsid w:val="008B354D"/>
    <w:rsid w:val="008B45F6"/>
    <w:rsid w:val="008B5468"/>
    <w:rsid w:val="008B5FFE"/>
    <w:rsid w:val="008C055F"/>
    <w:rsid w:val="008C0A36"/>
    <w:rsid w:val="008C2992"/>
    <w:rsid w:val="008C3593"/>
    <w:rsid w:val="008C3F94"/>
    <w:rsid w:val="008C6C87"/>
    <w:rsid w:val="008C76EB"/>
    <w:rsid w:val="008C7960"/>
    <w:rsid w:val="008D0D36"/>
    <w:rsid w:val="008D3024"/>
    <w:rsid w:val="008D339A"/>
    <w:rsid w:val="008D36B2"/>
    <w:rsid w:val="008D3B1B"/>
    <w:rsid w:val="008D4E1A"/>
    <w:rsid w:val="008D6626"/>
    <w:rsid w:val="008D6BED"/>
    <w:rsid w:val="008D6E0B"/>
    <w:rsid w:val="008D6EB5"/>
    <w:rsid w:val="008E01DF"/>
    <w:rsid w:val="008E0C6C"/>
    <w:rsid w:val="008E1B9C"/>
    <w:rsid w:val="008E1E7D"/>
    <w:rsid w:val="008E2526"/>
    <w:rsid w:val="008E262D"/>
    <w:rsid w:val="008E2E3C"/>
    <w:rsid w:val="008E31F1"/>
    <w:rsid w:val="008E4130"/>
    <w:rsid w:val="008E5520"/>
    <w:rsid w:val="008E5C10"/>
    <w:rsid w:val="008E719D"/>
    <w:rsid w:val="008F0B8E"/>
    <w:rsid w:val="008F2E27"/>
    <w:rsid w:val="008F39AD"/>
    <w:rsid w:val="008F5E91"/>
    <w:rsid w:val="008F5F4F"/>
    <w:rsid w:val="008F7D64"/>
    <w:rsid w:val="00901C3B"/>
    <w:rsid w:val="009047CD"/>
    <w:rsid w:val="00904EE5"/>
    <w:rsid w:val="00905175"/>
    <w:rsid w:val="009057E9"/>
    <w:rsid w:val="009074B0"/>
    <w:rsid w:val="009074C9"/>
    <w:rsid w:val="00907811"/>
    <w:rsid w:val="009109F5"/>
    <w:rsid w:val="00910D12"/>
    <w:rsid w:val="00913246"/>
    <w:rsid w:val="00914C4B"/>
    <w:rsid w:val="00914DE3"/>
    <w:rsid w:val="00914E64"/>
    <w:rsid w:val="00916C98"/>
    <w:rsid w:val="00917AC6"/>
    <w:rsid w:val="00917F77"/>
    <w:rsid w:val="009201CC"/>
    <w:rsid w:val="009202F9"/>
    <w:rsid w:val="00920EA8"/>
    <w:rsid w:val="00923370"/>
    <w:rsid w:val="0092457C"/>
    <w:rsid w:val="009245DA"/>
    <w:rsid w:val="00924640"/>
    <w:rsid w:val="009248AB"/>
    <w:rsid w:val="00925E17"/>
    <w:rsid w:val="00926374"/>
    <w:rsid w:val="0092650A"/>
    <w:rsid w:val="00926D4B"/>
    <w:rsid w:val="00926EA0"/>
    <w:rsid w:val="0093048D"/>
    <w:rsid w:val="00930B20"/>
    <w:rsid w:val="00930EDF"/>
    <w:rsid w:val="00932CDC"/>
    <w:rsid w:val="00932D85"/>
    <w:rsid w:val="00932F02"/>
    <w:rsid w:val="00933BB2"/>
    <w:rsid w:val="0093462F"/>
    <w:rsid w:val="00934E0B"/>
    <w:rsid w:val="00937A22"/>
    <w:rsid w:val="00941B10"/>
    <w:rsid w:val="00941EF8"/>
    <w:rsid w:val="00942F72"/>
    <w:rsid w:val="0094324A"/>
    <w:rsid w:val="009434DC"/>
    <w:rsid w:val="009438AF"/>
    <w:rsid w:val="009447A2"/>
    <w:rsid w:val="00944BDC"/>
    <w:rsid w:val="00945840"/>
    <w:rsid w:val="00945D1D"/>
    <w:rsid w:val="0094651A"/>
    <w:rsid w:val="00946A33"/>
    <w:rsid w:val="00946C2B"/>
    <w:rsid w:val="00947911"/>
    <w:rsid w:val="00950FB9"/>
    <w:rsid w:val="0095277F"/>
    <w:rsid w:val="0095299B"/>
    <w:rsid w:val="0095362A"/>
    <w:rsid w:val="00953C9A"/>
    <w:rsid w:val="00953F1F"/>
    <w:rsid w:val="0095540D"/>
    <w:rsid w:val="00957A53"/>
    <w:rsid w:val="00960700"/>
    <w:rsid w:val="00960AA4"/>
    <w:rsid w:val="00962302"/>
    <w:rsid w:val="0096318B"/>
    <w:rsid w:val="009653D2"/>
    <w:rsid w:val="0096583A"/>
    <w:rsid w:val="009677EF"/>
    <w:rsid w:val="00967D06"/>
    <w:rsid w:val="00967DE6"/>
    <w:rsid w:val="00970742"/>
    <w:rsid w:val="00971001"/>
    <w:rsid w:val="0097211F"/>
    <w:rsid w:val="00973632"/>
    <w:rsid w:val="00974BF7"/>
    <w:rsid w:val="009751EF"/>
    <w:rsid w:val="00975550"/>
    <w:rsid w:val="00975F62"/>
    <w:rsid w:val="0097613F"/>
    <w:rsid w:val="009806FD"/>
    <w:rsid w:val="009811A4"/>
    <w:rsid w:val="00981439"/>
    <w:rsid w:val="009818B8"/>
    <w:rsid w:val="00981B18"/>
    <w:rsid w:val="00981B55"/>
    <w:rsid w:val="00982E09"/>
    <w:rsid w:val="009832B0"/>
    <w:rsid w:val="009833DD"/>
    <w:rsid w:val="00983FDA"/>
    <w:rsid w:val="009844AB"/>
    <w:rsid w:val="00984A2C"/>
    <w:rsid w:val="00985565"/>
    <w:rsid w:val="009856FF"/>
    <w:rsid w:val="00986CA6"/>
    <w:rsid w:val="00987315"/>
    <w:rsid w:val="009903A2"/>
    <w:rsid w:val="00990632"/>
    <w:rsid w:val="00990D51"/>
    <w:rsid w:val="00990F87"/>
    <w:rsid w:val="009921D3"/>
    <w:rsid w:val="00992AE9"/>
    <w:rsid w:val="00992F5C"/>
    <w:rsid w:val="0099518B"/>
    <w:rsid w:val="009954DE"/>
    <w:rsid w:val="0099584D"/>
    <w:rsid w:val="009960AB"/>
    <w:rsid w:val="009A0DB4"/>
    <w:rsid w:val="009A2677"/>
    <w:rsid w:val="009A2D6E"/>
    <w:rsid w:val="009A33AE"/>
    <w:rsid w:val="009A5727"/>
    <w:rsid w:val="009A5B2E"/>
    <w:rsid w:val="009A6A0C"/>
    <w:rsid w:val="009A6E01"/>
    <w:rsid w:val="009A7723"/>
    <w:rsid w:val="009A7D6F"/>
    <w:rsid w:val="009B0633"/>
    <w:rsid w:val="009B07E9"/>
    <w:rsid w:val="009B19E0"/>
    <w:rsid w:val="009B2631"/>
    <w:rsid w:val="009B3398"/>
    <w:rsid w:val="009B34FD"/>
    <w:rsid w:val="009B3F4A"/>
    <w:rsid w:val="009B7BA9"/>
    <w:rsid w:val="009C09AD"/>
    <w:rsid w:val="009C0E09"/>
    <w:rsid w:val="009C158C"/>
    <w:rsid w:val="009C20DA"/>
    <w:rsid w:val="009C27AC"/>
    <w:rsid w:val="009C3713"/>
    <w:rsid w:val="009C3BB2"/>
    <w:rsid w:val="009C45AA"/>
    <w:rsid w:val="009C4AA4"/>
    <w:rsid w:val="009C4FE1"/>
    <w:rsid w:val="009C50BB"/>
    <w:rsid w:val="009C5F0E"/>
    <w:rsid w:val="009C6FF8"/>
    <w:rsid w:val="009C7244"/>
    <w:rsid w:val="009C797E"/>
    <w:rsid w:val="009D0A3A"/>
    <w:rsid w:val="009D17FA"/>
    <w:rsid w:val="009D185A"/>
    <w:rsid w:val="009D280F"/>
    <w:rsid w:val="009D2B3A"/>
    <w:rsid w:val="009D5901"/>
    <w:rsid w:val="009D620C"/>
    <w:rsid w:val="009D6626"/>
    <w:rsid w:val="009D6642"/>
    <w:rsid w:val="009D724E"/>
    <w:rsid w:val="009D731C"/>
    <w:rsid w:val="009D73E7"/>
    <w:rsid w:val="009E0916"/>
    <w:rsid w:val="009E10B2"/>
    <w:rsid w:val="009E1370"/>
    <w:rsid w:val="009E1AFB"/>
    <w:rsid w:val="009E209F"/>
    <w:rsid w:val="009E287F"/>
    <w:rsid w:val="009E2DCD"/>
    <w:rsid w:val="009E2EE1"/>
    <w:rsid w:val="009E52CF"/>
    <w:rsid w:val="009E578C"/>
    <w:rsid w:val="009E5CB7"/>
    <w:rsid w:val="009E5CC1"/>
    <w:rsid w:val="009E6F68"/>
    <w:rsid w:val="009E717A"/>
    <w:rsid w:val="009E742A"/>
    <w:rsid w:val="009E75D1"/>
    <w:rsid w:val="009F077E"/>
    <w:rsid w:val="009F097A"/>
    <w:rsid w:val="009F14DD"/>
    <w:rsid w:val="009F27A9"/>
    <w:rsid w:val="009F2E5F"/>
    <w:rsid w:val="009F4596"/>
    <w:rsid w:val="009F4ABC"/>
    <w:rsid w:val="009F4E93"/>
    <w:rsid w:val="00A00A76"/>
    <w:rsid w:val="00A03239"/>
    <w:rsid w:val="00A03246"/>
    <w:rsid w:val="00A04007"/>
    <w:rsid w:val="00A040E5"/>
    <w:rsid w:val="00A05B73"/>
    <w:rsid w:val="00A0625F"/>
    <w:rsid w:val="00A06953"/>
    <w:rsid w:val="00A07AF0"/>
    <w:rsid w:val="00A07BB8"/>
    <w:rsid w:val="00A106E6"/>
    <w:rsid w:val="00A10D9D"/>
    <w:rsid w:val="00A114C8"/>
    <w:rsid w:val="00A116C0"/>
    <w:rsid w:val="00A11727"/>
    <w:rsid w:val="00A11999"/>
    <w:rsid w:val="00A127AF"/>
    <w:rsid w:val="00A1324F"/>
    <w:rsid w:val="00A13F54"/>
    <w:rsid w:val="00A15780"/>
    <w:rsid w:val="00A15C38"/>
    <w:rsid w:val="00A16FE4"/>
    <w:rsid w:val="00A17C22"/>
    <w:rsid w:val="00A20235"/>
    <w:rsid w:val="00A20A25"/>
    <w:rsid w:val="00A21201"/>
    <w:rsid w:val="00A216DD"/>
    <w:rsid w:val="00A21B43"/>
    <w:rsid w:val="00A2253E"/>
    <w:rsid w:val="00A24566"/>
    <w:rsid w:val="00A2536C"/>
    <w:rsid w:val="00A27451"/>
    <w:rsid w:val="00A279F8"/>
    <w:rsid w:val="00A32754"/>
    <w:rsid w:val="00A342E9"/>
    <w:rsid w:val="00A35118"/>
    <w:rsid w:val="00A35E72"/>
    <w:rsid w:val="00A35FE1"/>
    <w:rsid w:val="00A368B5"/>
    <w:rsid w:val="00A36A32"/>
    <w:rsid w:val="00A3704D"/>
    <w:rsid w:val="00A4080D"/>
    <w:rsid w:val="00A4124C"/>
    <w:rsid w:val="00A41829"/>
    <w:rsid w:val="00A4206F"/>
    <w:rsid w:val="00A42960"/>
    <w:rsid w:val="00A451D5"/>
    <w:rsid w:val="00A458E5"/>
    <w:rsid w:val="00A50767"/>
    <w:rsid w:val="00A51AF7"/>
    <w:rsid w:val="00A51E16"/>
    <w:rsid w:val="00A532CB"/>
    <w:rsid w:val="00A544FE"/>
    <w:rsid w:val="00A5485B"/>
    <w:rsid w:val="00A56CF1"/>
    <w:rsid w:val="00A57134"/>
    <w:rsid w:val="00A572D7"/>
    <w:rsid w:val="00A60D33"/>
    <w:rsid w:val="00A6161F"/>
    <w:rsid w:val="00A61965"/>
    <w:rsid w:val="00A61A98"/>
    <w:rsid w:val="00A61B8F"/>
    <w:rsid w:val="00A61FEE"/>
    <w:rsid w:val="00A65069"/>
    <w:rsid w:val="00A65277"/>
    <w:rsid w:val="00A67C6F"/>
    <w:rsid w:val="00A7136A"/>
    <w:rsid w:val="00A7240C"/>
    <w:rsid w:val="00A7353C"/>
    <w:rsid w:val="00A73734"/>
    <w:rsid w:val="00A7408D"/>
    <w:rsid w:val="00A74E79"/>
    <w:rsid w:val="00A76262"/>
    <w:rsid w:val="00A80827"/>
    <w:rsid w:val="00A809FA"/>
    <w:rsid w:val="00A8118B"/>
    <w:rsid w:val="00A821D8"/>
    <w:rsid w:val="00A831B7"/>
    <w:rsid w:val="00A83252"/>
    <w:rsid w:val="00A86A45"/>
    <w:rsid w:val="00A86FBC"/>
    <w:rsid w:val="00A86FF3"/>
    <w:rsid w:val="00A87DD4"/>
    <w:rsid w:val="00A909AE"/>
    <w:rsid w:val="00A953E4"/>
    <w:rsid w:val="00A9608E"/>
    <w:rsid w:val="00A969C3"/>
    <w:rsid w:val="00A97D93"/>
    <w:rsid w:val="00AA01E2"/>
    <w:rsid w:val="00AA07BF"/>
    <w:rsid w:val="00AA1042"/>
    <w:rsid w:val="00AA20B6"/>
    <w:rsid w:val="00AA2B31"/>
    <w:rsid w:val="00AA4391"/>
    <w:rsid w:val="00AA45DD"/>
    <w:rsid w:val="00AA47F2"/>
    <w:rsid w:val="00AA711A"/>
    <w:rsid w:val="00AA7175"/>
    <w:rsid w:val="00AB0262"/>
    <w:rsid w:val="00AB042A"/>
    <w:rsid w:val="00AB1441"/>
    <w:rsid w:val="00AB4E50"/>
    <w:rsid w:val="00AB647E"/>
    <w:rsid w:val="00AB676C"/>
    <w:rsid w:val="00AB78CB"/>
    <w:rsid w:val="00AC263E"/>
    <w:rsid w:val="00AC3B44"/>
    <w:rsid w:val="00AC401D"/>
    <w:rsid w:val="00AC62CB"/>
    <w:rsid w:val="00AC6E2C"/>
    <w:rsid w:val="00AC7869"/>
    <w:rsid w:val="00AD0295"/>
    <w:rsid w:val="00AD0717"/>
    <w:rsid w:val="00AD0E08"/>
    <w:rsid w:val="00AD0FD3"/>
    <w:rsid w:val="00AD14BB"/>
    <w:rsid w:val="00AD18FF"/>
    <w:rsid w:val="00AD221B"/>
    <w:rsid w:val="00AD271E"/>
    <w:rsid w:val="00AD4A32"/>
    <w:rsid w:val="00AD5B84"/>
    <w:rsid w:val="00AD6143"/>
    <w:rsid w:val="00AD66BC"/>
    <w:rsid w:val="00AE0443"/>
    <w:rsid w:val="00AE123F"/>
    <w:rsid w:val="00AE6F83"/>
    <w:rsid w:val="00AE7084"/>
    <w:rsid w:val="00AE70DC"/>
    <w:rsid w:val="00AE7601"/>
    <w:rsid w:val="00AE76A1"/>
    <w:rsid w:val="00AE7BCB"/>
    <w:rsid w:val="00AF06B7"/>
    <w:rsid w:val="00AF1A65"/>
    <w:rsid w:val="00AF2AC2"/>
    <w:rsid w:val="00AF3938"/>
    <w:rsid w:val="00AF434A"/>
    <w:rsid w:val="00AF4CBD"/>
    <w:rsid w:val="00AF4FE0"/>
    <w:rsid w:val="00AF5291"/>
    <w:rsid w:val="00AF7DB1"/>
    <w:rsid w:val="00B01214"/>
    <w:rsid w:val="00B016DA"/>
    <w:rsid w:val="00B01773"/>
    <w:rsid w:val="00B01AF0"/>
    <w:rsid w:val="00B02348"/>
    <w:rsid w:val="00B0297A"/>
    <w:rsid w:val="00B06EB6"/>
    <w:rsid w:val="00B07B99"/>
    <w:rsid w:val="00B102A6"/>
    <w:rsid w:val="00B10D40"/>
    <w:rsid w:val="00B10F9B"/>
    <w:rsid w:val="00B115F6"/>
    <w:rsid w:val="00B11EA9"/>
    <w:rsid w:val="00B12CA6"/>
    <w:rsid w:val="00B148FC"/>
    <w:rsid w:val="00B15956"/>
    <w:rsid w:val="00B16477"/>
    <w:rsid w:val="00B166E2"/>
    <w:rsid w:val="00B20053"/>
    <w:rsid w:val="00B20727"/>
    <w:rsid w:val="00B217FF"/>
    <w:rsid w:val="00B23A12"/>
    <w:rsid w:val="00B23A58"/>
    <w:rsid w:val="00B23BA2"/>
    <w:rsid w:val="00B255B0"/>
    <w:rsid w:val="00B25748"/>
    <w:rsid w:val="00B257AF"/>
    <w:rsid w:val="00B25D35"/>
    <w:rsid w:val="00B27A73"/>
    <w:rsid w:val="00B304F3"/>
    <w:rsid w:val="00B326CF"/>
    <w:rsid w:val="00B342EB"/>
    <w:rsid w:val="00B4302F"/>
    <w:rsid w:val="00B43881"/>
    <w:rsid w:val="00B44254"/>
    <w:rsid w:val="00B444E4"/>
    <w:rsid w:val="00B449B8"/>
    <w:rsid w:val="00B4601D"/>
    <w:rsid w:val="00B46A7D"/>
    <w:rsid w:val="00B47FCB"/>
    <w:rsid w:val="00B50447"/>
    <w:rsid w:val="00B51BE9"/>
    <w:rsid w:val="00B51F5B"/>
    <w:rsid w:val="00B53438"/>
    <w:rsid w:val="00B54F49"/>
    <w:rsid w:val="00B561B7"/>
    <w:rsid w:val="00B56B88"/>
    <w:rsid w:val="00B56DD2"/>
    <w:rsid w:val="00B56E32"/>
    <w:rsid w:val="00B57F24"/>
    <w:rsid w:val="00B604C3"/>
    <w:rsid w:val="00B6052D"/>
    <w:rsid w:val="00B60EC0"/>
    <w:rsid w:val="00B61684"/>
    <w:rsid w:val="00B61C31"/>
    <w:rsid w:val="00B621C0"/>
    <w:rsid w:val="00B622E7"/>
    <w:rsid w:val="00B622EB"/>
    <w:rsid w:val="00B62506"/>
    <w:rsid w:val="00B62EAB"/>
    <w:rsid w:val="00B636C0"/>
    <w:rsid w:val="00B63D1B"/>
    <w:rsid w:val="00B66BCA"/>
    <w:rsid w:val="00B6707C"/>
    <w:rsid w:val="00B703DB"/>
    <w:rsid w:val="00B70E29"/>
    <w:rsid w:val="00B71B54"/>
    <w:rsid w:val="00B72B29"/>
    <w:rsid w:val="00B72E9E"/>
    <w:rsid w:val="00B73F53"/>
    <w:rsid w:val="00B748F9"/>
    <w:rsid w:val="00B75999"/>
    <w:rsid w:val="00B75B78"/>
    <w:rsid w:val="00B767C1"/>
    <w:rsid w:val="00B77C38"/>
    <w:rsid w:val="00B8124F"/>
    <w:rsid w:val="00B81769"/>
    <w:rsid w:val="00B854B3"/>
    <w:rsid w:val="00B86087"/>
    <w:rsid w:val="00B86137"/>
    <w:rsid w:val="00B900F2"/>
    <w:rsid w:val="00B902DB"/>
    <w:rsid w:val="00B92456"/>
    <w:rsid w:val="00B9275C"/>
    <w:rsid w:val="00B93AE5"/>
    <w:rsid w:val="00B93DD2"/>
    <w:rsid w:val="00B9441A"/>
    <w:rsid w:val="00B97131"/>
    <w:rsid w:val="00B97219"/>
    <w:rsid w:val="00B97D6F"/>
    <w:rsid w:val="00BA0D8A"/>
    <w:rsid w:val="00BA15E8"/>
    <w:rsid w:val="00BA27F8"/>
    <w:rsid w:val="00BA284D"/>
    <w:rsid w:val="00BA3975"/>
    <w:rsid w:val="00BA3E7A"/>
    <w:rsid w:val="00BA46F5"/>
    <w:rsid w:val="00BA47CF"/>
    <w:rsid w:val="00BA4A40"/>
    <w:rsid w:val="00BA4A70"/>
    <w:rsid w:val="00BA5DB0"/>
    <w:rsid w:val="00BB1DBF"/>
    <w:rsid w:val="00BB1FE2"/>
    <w:rsid w:val="00BB3F97"/>
    <w:rsid w:val="00BB4165"/>
    <w:rsid w:val="00BB46F6"/>
    <w:rsid w:val="00BB4842"/>
    <w:rsid w:val="00BB58E5"/>
    <w:rsid w:val="00BB5ACF"/>
    <w:rsid w:val="00BB5FC2"/>
    <w:rsid w:val="00BB604D"/>
    <w:rsid w:val="00BB7A8E"/>
    <w:rsid w:val="00BC1B46"/>
    <w:rsid w:val="00BC253F"/>
    <w:rsid w:val="00BC33CA"/>
    <w:rsid w:val="00BC4181"/>
    <w:rsid w:val="00BD08CF"/>
    <w:rsid w:val="00BD1B77"/>
    <w:rsid w:val="00BD293F"/>
    <w:rsid w:val="00BD299D"/>
    <w:rsid w:val="00BD3198"/>
    <w:rsid w:val="00BD31AB"/>
    <w:rsid w:val="00BD4499"/>
    <w:rsid w:val="00BD4928"/>
    <w:rsid w:val="00BD5514"/>
    <w:rsid w:val="00BD6BD9"/>
    <w:rsid w:val="00BD7136"/>
    <w:rsid w:val="00BD734C"/>
    <w:rsid w:val="00BD73BC"/>
    <w:rsid w:val="00BD7DEF"/>
    <w:rsid w:val="00BE057E"/>
    <w:rsid w:val="00BE1227"/>
    <w:rsid w:val="00BE1DFE"/>
    <w:rsid w:val="00BE30F4"/>
    <w:rsid w:val="00BE3741"/>
    <w:rsid w:val="00BE54F2"/>
    <w:rsid w:val="00BE6517"/>
    <w:rsid w:val="00BE75DC"/>
    <w:rsid w:val="00BE7977"/>
    <w:rsid w:val="00BF00F8"/>
    <w:rsid w:val="00BF144E"/>
    <w:rsid w:val="00BF1498"/>
    <w:rsid w:val="00BF2DA1"/>
    <w:rsid w:val="00BF3383"/>
    <w:rsid w:val="00BF354D"/>
    <w:rsid w:val="00BF3B27"/>
    <w:rsid w:val="00BF471E"/>
    <w:rsid w:val="00BF60AA"/>
    <w:rsid w:val="00BF6649"/>
    <w:rsid w:val="00BF68F5"/>
    <w:rsid w:val="00C02BAC"/>
    <w:rsid w:val="00C04131"/>
    <w:rsid w:val="00C04531"/>
    <w:rsid w:val="00C06E3E"/>
    <w:rsid w:val="00C078DA"/>
    <w:rsid w:val="00C128C9"/>
    <w:rsid w:val="00C1406C"/>
    <w:rsid w:val="00C14352"/>
    <w:rsid w:val="00C1471D"/>
    <w:rsid w:val="00C14F79"/>
    <w:rsid w:val="00C157BD"/>
    <w:rsid w:val="00C162C3"/>
    <w:rsid w:val="00C16617"/>
    <w:rsid w:val="00C17CD3"/>
    <w:rsid w:val="00C17E79"/>
    <w:rsid w:val="00C227C3"/>
    <w:rsid w:val="00C22AB6"/>
    <w:rsid w:val="00C22BCC"/>
    <w:rsid w:val="00C22C5A"/>
    <w:rsid w:val="00C2318B"/>
    <w:rsid w:val="00C2400A"/>
    <w:rsid w:val="00C24A96"/>
    <w:rsid w:val="00C24DF0"/>
    <w:rsid w:val="00C25719"/>
    <w:rsid w:val="00C25996"/>
    <w:rsid w:val="00C26E6E"/>
    <w:rsid w:val="00C27B4B"/>
    <w:rsid w:val="00C304A0"/>
    <w:rsid w:val="00C30BF7"/>
    <w:rsid w:val="00C314D6"/>
    <w:rsid w:val="00C315F0"/>
    <w:rsid w:val="00C31C41"/>
    <w:rsid w:val="00C32108"/>
    <w:rsid w:val="00C3220F"/>
    <w:rsid w:val="00C32C7A"/>
    <w:rsid w:val="00C357B4"/>
    <w:rsid w:val="00C36D40"/>
    <w:rsid w:val="00C375EF"/>
    <w:rsid w:val="00C40126"/>
    <w:rsid w:val="00C40587"/>
    <w:rsid w:val="00C41161"/>
    <w:rsid w:val="00C41B7D"/>
    <w:rsid w:val="00C44236"/>
    <w:rsid w:val="00C442B3"/>
    <w:rsid w:val="00C44F53"/>
    <w:rsid w:val="00C452CF"/>
    <w:rsid w:val="00C453E7"/>
    <w:rsid w:val="00C45A4C"/>
    <w:rsid w:val="00C50227"/>
    <w:rsid w:val="00C508BA"/>
    <w:rsid w:val="00C51C1A"/>
    <w:rsid w:val="00C54202"/>
    <w:rsid w:val="00C5448B"/>
    <w:rsid w:val="00C54D68"/>
    <w:rsid w:val="00C560CB"/>
    <w:rsid w:val="00C565DB"/>
    <w:rsid w:val="00C56B8A"/>
    <w:rsid w:val="00C56BEC"/>
    <w:rsid w:val="00C5716E"/>
    <w:rsid w:val="00C57762"/>
    <w:rsid w:val="00C6015F"/>
    <w:rsid w:val="00C60F61"/>
    <w:rsid w:val="00C617F6"/>
    <w:rsid w:val="00C6221E"/>
    <w:rsid w:val="00C62A44"/>
    <w:rsid w:val="00C657DD"/>
    <w:rsid w:val="00C6620D"/>
    <w:rsid w:val="00C66A78"/>
    <w:rsid w:val="00C66AA9"/>
    <w:rsid w:val="00C66C4C"/>
    <w:rsid w:val="00C70B26"/>
    <w:rsid w:val="00C71342"/>
    <w:rsid w:val="00C71E6C"/>
    <w:rsid w:val="00C7353C"/>
    <w:rsid w:val="00C73F22"/>
    <w:rsid w:val="00C760DC"/>
    <w:rsid w:val="00C764F6"/>
    <w:rsid w:val="00C7777F"/>
    <w:rsid w:val="00C77D5C"/>
    <w:rsid w:val="00C80F22"/>
    <w:rsid w:val="00C81123"/>
    <w:rsid w:val="00C8260D"/>
    <w:rsid w:val="00C83390"/>
    <w:rsid w:val="00C8394A"/>
    <w:rsid w:val="00C83C81"/>
    <w:rsid w:val="00C85955"/>
    <w:rsid w:val="00C86842"/>
    <w:rsid w:val="00C90C8A"/>
    <w:rsid w:val="00C90E14"/>
    <w:rsid w:val="00C91510"/>
    <w:rsid w:val="00C92DFF"/>
    <w:rsid w:val="00C94466"/>
    <w:rsid w:val="00C94969"/>
    <w:rsid w:val="00C94B99"/>
    <w:rsid w:val="00C9518B"/>
    <w:rsid w:val="00C9611A"/>
    <w:rsid w:val="00CA0953"/>
    <w:rsid w:val="00CA1276"/>
    <w:rsid w:val="00CA322C"/>
    <w:rsid w:val="00CA3279"/>
    <w:rsid w:val="00CA434D"/>
    <w:rsid w:val="00CA4420"/>
    <w:rsid w:val="00CA6E8A"/>
    <w:rsid w:val="00CB0C7E"/>
    <w:rsid w:val="00CB2AE1"/>
    <w:rsid w:val="00CB2D9B"/>
    <w:rsid w:val="00CB2F94"/>
    <w:rsid w:val="00CB3D7F"/>
    <w:rsid w:val="00CB461F"/>
    <w:rsid w:val="00CB5506"/>
    <w:rsid w:val="00CB6024"/>
    <w:rsid w:val="00CB6B9B"/>
    <w:rsid w:val="00CB75B8"/>
    <w:rsid w:val="00CC072C"/>
    <w:rsid w:val="00CC076F"/>
    <w:rsid w:val="00CC18FA"/>
    <w:rsid w:val="00CC2DC3"/>
    <w:rsid w:val="00CC2DF3"/>
    <w:rsid w:val="00CC3B8E"/>
    <w:rsid w:val="00CC3EE8"/>
    <w:rsid w:val="00CC7DDE"/>
    <w:rsid w:val="00CD05A3"/>
    <w:rsid w:val="00CD0B23"/>
    <w:rsid w:val="00CD1931"/>
    <w:rsid w:val="00CD2737"/>
    <w:rsid w:val="00CD418F"/>
    <w:rsid w:val="00CD456B"/>
    <w:rsid w:val="00CD60EE"/>
    <w:rsid w:val="00CD6D25"/>
    <w:rsid w:val="00CD7928"/>
    <w:rsid w:val="00CD7952"/>
    <w:rsid w:val="00CE2B80"/>
    <w:rsid w:val="00CE5E21"/>
    <w:rsid w:val="00CE702E"/>
    <w:rsid w:val="00CE7AD6"/>
    <w:rsid w:val="00CE7D79"/>
    <w:rsid w:val="00CE7EC8"/>
    <w:rsid w:val="00CF0433"/>
    <w:rsid w:val="00CF0642"/>
    <w:rsid w:val="00CF0724"/>
    <w:rsid w:val="00CF21DC"/>
    <w:rsid w:val="00CF272E"/>
    <w:rsid w:val="00CF3F04"/>
    <w:rsid w:val="00CF4100"/>
    <w:rsid w:val="00CF4243"/>
    <w:rsid w:val="00CF6BA7"/>
    <w:rsid w:val="00CF73C4"/>
    <w:rsid w:val="00CF76A7"/>
    <w:rsid w:val="00D00267"/>
    <w:rsid w:val="00D006F3"/>
    <w:rsid w:val="00D00C42"/>
    <w:rsid w:val="00D02192"/>
    <w:rsid w:val="00D0249A"/>
    <w:rsid w:val="00D02F6C"/>
    <w:rsid w:val="00D049C5"/>
    <w:rsid w:val="00D062BE"/>
    <w:rsid w:val="00D07BD5"/>
    <w:rsid w:val="00D103C4"/>
    <w:rsid w:val="00D10557"/>
    <w:rsid w:val="00D10655"/>
    <w:rsid w:val="00D13B26"/>
    <w:rsid w:val="00D13BE7"/>
    <w:rsid w:val="00D143F9"/>
    <w:rsid w:val="00D158F1"/>
    <w:rsid w:val="00D15937"/>
    <w:rsid w:val="00D1621C"/>
    <w:rsid w:val="00D164BF"/>
    <w:rsid w:val="00D167CF"/>
    <w:rsid w:val="00D16F14"/>
    <w:rsid w:val="00D20E45"/>
    <w:rsid w:val="00D215B0"/>
    <w:rsid w:val="00D21F52"/>
    <w:rsid w:val="00D24645"/>
    <w:rsid w:val="00D25A26"/>
    <w:rsid w:val="00D25C11"/>
    <w:rsid w:val="00D2728A"/>
    <w:rsid w:val="00D312C7"/>
    <w:rsid w:val="00D3167B"/>
    <w:rsid w:val="00D31DD4"/>
    <w:rsid w:val="00D3474B"/>
    <w:rsid w:val="00D3512B"/>
    <w:rsid w:val="00D351DC"/>
    <w:rsid w:val="00D3616F"/>
    <w:rsid w:val="00D37995"/>
    <w:rsid w:val="00D37B2F"/>
    <w:rsid w:val="00D4080B"/>
    <w:rsid w:val="00D40E6F"/>
    <w:rsid w:val="00D41725"/>
    <w:rsid w:val="00D41D74"/>
    <w:rsid w:val="00D425E4"/>
    <w:rsid w:val="00D425F5"/>
    <w:rsid w:val="00D42C4B"/>
    <w:rsid w:val="00D42C5D"/>
    <w:rsid w:val="00D42C61"/>
    <w:rsid w:val="00D46146"/>
    <w:rsid w:val="00D50720"/>
    <w:rsid w:val="00D51246"/>
    <w:rsid w:val="00D544BD"/>
    <w:rsid w:val="00D562DD"/>
    <w:rsid w:val="00D56465"/>
    <w:rsid w:val="00D565A0"/>
    <w:rsid w:val="00D566E5"/>
    <w:rsid w:val="00D56A65"/>
    <w:rsid w:val="00D600D3"/>
    <w:rsid w:val="00D60BAC"/>
    <w:rsid w:val="00D61838"/>
    <w:rsid w:val="00D61FD1"/>
    <w:rsid w:val="00D61FF5"/>
    <w:rsid w:val="00D63209"/>
    <w:rsid w:val="00D63AE1"/>
    <w:rsid w:val="00D63E4D"/>
    <w:rsid w:val="00D65CB1"/>
    <w:rsid w:val="00D66A00"/>
    <w:rsid w:val="00D67F77"/>
    <w:rsid w:val="00D70CA4"/>
    <w:rsid w:val="00D71DEF"/>
    <w:rsid w:val="00D72CE4"/>
    <w:rsid w:val="00D7381A"/>
    <w:rsid w:val="00D74338"/>
    <w:rsid w:val="00D753B0"/>
    <w:rsid w:val="00D75678"/>
    <w:rsid w:val="00D75C41"/>
    <w:rsid w:val="00D7604B"/>
    <w:rsid w:val="00D76436"/>
    <w:rsid w:val="00D76A1F"/>
    <w:rsid w:val="00D76B9A"/>
    <w:rsid w:val="00D81168"/>
    <w:rsid w:val="00D82C76"/>
    <w:rsid w:val="00D833A2"/>
    <w:rsid w:val="00D83437"/>
    <w:rsid w:val="00D83E02"/>
    <w:rsid w:val="00D85934"/>
    <w:rsid w:val="00D85C60"/>
    <w:rsid w:val="00D86B49"/>
    <w:rsid w:val="00D87079"/>
    <w:rsid w:val="00D870E4"/>
    <w:rsid w:val="00D907E2"/>
    <w:rsid w:val="00D90881"/>
    <w:rsid w:val="00D90D00"/>
    <w:rsid w:val="00D916DF"/>
    <w:rsid w:val="00D91B01"/>
    <w:rsid w:val="00D92233"/>
    <w:rsid w:val="00D9269A"/>
    <w:rsid w:val="00D93ED0"/>
    <w:rsid w:val="00D95553"/>
    <w:rsid w:val="00D97403"/>
    <w:rsid w:val="00D97F81"/>
    <w:rsid w:val="00DA20F3"/>
    <w:rsid w:val="00DA2617"/>
    <w:rsid w:val="00DA26AF"/>
    <w:rsid w:val="00DA5142"/>
    <w:rsid w:val="00DA5580"/>
    <w:rsid w:val="00DA607B"/>
    <w:rsid w:val="00DB0EC8"/>
    <w:rsid w:val="00DB4672"/>
    <w:rsid w:val="00DB52F0"/>
    <w:rsid w:val="00DB5B28"/>
    <w:rsid w:val="00DB7AD4"/>
    <w:rsid w:val="00DC01BD"/>
    <w:rsid w:val="00DC131C"/>
    <w:rsid w:val="00DC2993"/>
    <w:rsid w:val="00DC2D08"/>
    <w:rsid w:val="00DC3410"/>
    <w:rsid w:val="00DC68B7"/>
    <w:rsid w:val="00DC7E15"/>
    <w:rsid w:val="00DD0652"/>
    <w:rsid w:val="00DD0722"/>
    <w:rsid w:val="00DD0DF3"/>
    <w:rsid w:val="00DD0F9C"/>
    <w:rsid w:val="00DD0FF4"/>
    <w:rsid w:val="00DD15D6"/>
    <w:rsid w:val="00DD24E4"/>
    <w:rsid w:val="00DD28E9"/>
    <w:rsid w:val="00DD2A89"/>
    <w:rsid w:val="00DD3B89"/>
    <w:rsid w:val="00DD5F55"/>
    <w:rsid w:val="00DD677F"/>
    <w:rsid w:val="00DD6ED7"/>
    <w:rsid w:val="00DE0479"/>
    <w:rsid w:val="00DE0C62"/>
    <w:rsid w:val="00DE16B9"/>
    <w:rsid w:val="00DE1E74"/>
    <w:rsid w:val="00DE3AD2"/>
    <w:rsid w:val="00DE3AFC"/>
    <w:rsid w:val="00DE63FD"/>
    <w:rsid w:val="00DE6C9B"/>
    <w:rsid w:val="00DE73B9"/>
    <w:rsid w:val="00DE7A94"/>
    <w:rsid w:val="00DF017A"/>
    <w:rsid w:val="00DF02A9"/>
    <w:rsid w:val="00DF1395"/>
    <w:rsid w:val="00DF14C3"/>
    <w:rsid w:val="00DF2946"/>
    <w:rsid w:val="00DF2AB4"/>
    <w:rsid w:val="00DF34D8"/>
    <w:rsid w:val="00DF3BBC"/>
    <w:rsid w:val="00DF4D32"/>
    <w:rsid w:val="00DF577B"/>
    <w:rsid w:val="00DF655A"/>
    <w:rsid w:val="00DF6835"/>
    <w:rsid w:val="00DF7894"/>
    <w:rsid w:val="00E00D93"/>
    <w:rsid w:val="00E01942"/>
    <w:rsid w:val="00E01B8E"/>
    <w:rsid w:val="00E021AD"/>
    <w:rsid w:val="00E05A98"/>
    <w:rsid w:val="00E05D62"/>
    <w:rsid w:val="00E0623F"/>
    <w:rsid w:val="00E112C9"/>
    <w:rsid w:val="00E12264"/>
    <w:rsid w:val="00E12F1C"/>
    <w:rsid w:val="00E13589"/>
    <w:rsid w:val="00E13CEA"/>
    <w:rsid w:val="00E15721"/>
    <w:rsid w:val="00E15B7D"/>
    <w:rsid w:val="00E160AF"/>
    <w:rsid w:val="00E16373"/>
    <w:rsid w:val="00E17823"/>
    <w:rsid w:val="00E17E66"/>
    <w:rsid w:val="00E21363"/>
    <w:rsid w:val="00E21B7C"/>
    <w:rsid w:val="00E232A2"/>
    <w:rsid w:val="00E24299"/>
    <w:rsid w:val="00E27289"/>
    <w:rsid w:val="00E3022C"/>
    <w:rsid w:val="00E320EB"/>
    <w:rsid w:val="00E3229F"/>
    <w:rsid w:val="00E32AA6"/>
    <w:rsid w:val="00E343F0"/>
    <w:rsid w:val="00E362F6"/>
    <w:rsid w:val="00E37F52"/>
    <w:rsid w:val="00E40039"/>
    <w:rsid w:val="00E401C2"/>
    <w:rsid w:val="00E40EFD"/>
    <w:rsid w:val="00E4177C"/>
    <w:rsid w:val="00E41FEF"/>
    <w:rsid w:val="00E42084"/>
    <w:rsid w:val="00E42BDE"/>
    <w:rsid w:val="00E43FB3"/>
    <w:rsid w:val="00E44072"/>
    <w:rsid w:val="00E459FF"/>
    <w:rsid w:val="00E467FF"/>
    <w:rsid w:val="00E46B6B"/>
    <w:rsid w:val="00E4720B"/>
    <w:rsid w:val="00E47FF3"/>
    <w:rsid w:val="00E5048A"/>
    <w:rsid w:val="00E5150D"/>
    <w:rsid w:val="00E516F7"/>
    <w:rsid w:val="00E5326B"/>
    <w:rsid w:val="00E5344B"/>
    <w:rsid w:val="00E553B9"/>
    <w:rsid w:val="00E55544"/>
    <w:rsid w:val="00E556E6"/>
    <w:rsid w:val="00E611DB"/>
    <w:rsid w:val="00E615C6"/>
    <w:rsid w:val="00E631C4"/>
    <w:rsid w:val="00E63B4D"/>
    <w:rsid w:val="00E644B8"/>
    <w:rsid w:val="00E65EAB"/>
    <w:rsid w:val="00E661C4"/>
    <w:rsid w:val="00E66A85"/>
    <w:rsid w:val="00E66D23"/>
    <w:rsid w:val="00E70DE8"/>
    <w:rsid w:val="00E71149"/>
    <w:rsid w:val="00E714F8"/>
    <w:rsid w:val="00E71E22"/>
    <w:rsid w:val="00E73341"/>
    <w:rsid w:val="00E746B8"/>
    <w:rsid w:val="00E748B4"/>
    <w:rsid w:val="00E74A4B"/>
    <w:rsid w:val="00E74B03"/>
    <w:rsid w:val="00E753D4"/>
    <w:rsid w:val="00E75C55"/>
    <w:rsid w:val="00E75CBD"/>
    <w:rsid w:val="00E7681A"/>
    <w:rsid w:val="00E76D41"/>
    <w:rsid w:val="00E802E0"/>
    <w:rsid w:val="00E8072B"/>
    <w:rsid w:val="00E808C0"/>
    <w:rsid w:val="00E808D4"/>
    <w:rsid w:val="00E8178B"/>
    <w:rsid w:val="00E8348C"/>
    <w:rsid w:val="00E83A1A"/>
    <w:rsid w:val="00E851D1"/>
    <w:rsid w:val="00E9108C"/>
    <w:rsid w:val="00E928BA"/>
    <w:rsid w:val="00E944A3"/>
    <w:rsid w:val="00E95329"/>
    <w:rsid w:val="00E95398"/>
    <w:rsid w:val="00E95B9A"/>
    <w:rsid w:val="00E9629C"/>
    <w:rsid w:val="00E971D9"/>
    <w:rsid w:val="00E978F4"/>
    <w:rsid w:val="00E97A1A"/>
    <w:rsid w:val="00E97C06"/>
    <w:rsid w:val="00EA07FD"/>
    <w:rsid w:val="00EA0C42"/>
    <w:rsid w:val="00EA0E67"/>
    <w:rsid w:val="00EA1477"/>
    <w:rsid w:val="00EA19F3"/>
    <w:rsid w:val="00EA220A"/>
    <w:rsid w:val="00EA26BC"/>
    <w:rsid w:val="00EA349B"/>
    <w:rsid w:val="00EA38E7"/>
    <w:rsid w:val="00EA47D8"/>
    <w:rsid w:val="00EA51B6"/>
    <w:rsid w:val="00EA535E"/>
    <w:rsid w:val="00EB22D7"/>
    <w:rsid w:val="00EB3123"/>
    <w:rsid w:val="00EB3513"/>
    <w:rsid w:val="00EB57A0"/>
    <w:rsid w:val="00EB5CBD"/>
    <w:rsid w:val="00EB6F82"/>
    <w:rsid w:val="00EB6FDD"/>
    <w:rsid w:val="00EB7327"/>
    <w:rsid w:val="00EB75FD"/>
    <w:rsid w:val="00EB7DCB"/>
    <w:rsid w:val="00EB7E2B"/>
    <w:rsid w:val="00EC1C5A"/>
    <w:rsid w:val="00EC2043"/>
    <w:rsid w:val="00EC6214"/>
    <w:rsid w:val="00EC662C"/>
    <w:rsid w:val="00EC7614"/>
    <w:rsid w:val="00ED03D1"/>
    <w:rsid w:val="00ED07EA"/>
    <w:rsid w:val="00ED22F4"/>
    <w:rsid w:val="00ED45B5"/>
    <w:rsid w:val="00ED4988"/>
    <w:rsid w:val="00ED4F87"/>
    <w:rsid w:val="00ED5504"/>
    <w:rsid w:val="00ED5983"/>
    <w:rsid w:val="00ED5C44"/>
    <w:rsid w:val="00ED5CAF"/>
    <w:rsid w:val="00ED6320"/>
    <w:rsid w:val="00ED6C51"/>
    <w:rsid w:val="00ED735D"/>
    <w:rsid w:val="00EE1573"/>
    <w:rsid w:val="00EE1670"/>
    <w:rsid w:val="00EE1F60"/>
    <w:rsid w:val="00EE22F4"/>
    <w:rsid w:val="00EE3938"/>
    <w:rsid w:val="00EE3AF9"/>
    <w:rsid w:val="00EE3E61"/>
    <w:rsid w:val="00EE52B0"/>
    <w:rsid w:val="00EE5AE4"/>
    <w:rsid w:val="00EE5F21"/>
    <w:rsid w:val="00EE6E32"/>
    <w:rsid w:val="00EF066B"/>
    <w:rsid w:val="00EF103E"/>
    <w:rsid w:val="00EF1AB6"/>
    <w:rsid w:val="00EF1FE6"/>
    <w:rsid w:val="00EF3BDF"/>
    <w:rsid w:val="00EF40B4"/>
    <w:rsid w:val="00EF4381"/>
    <w:rsid w:val="00EF4B08"/>
    <w:rsid w:val="00EF4ED2"/>
    <w:rsid w:val="00EF640D"/>
    <w:rsid w:val="00EF7097"/>
    <w:rsid w:val="00EF7BEF"/>
    <w:rsid w:val="00F00A81"/>
    <w:rsid w:val="00F00F69"/>
    <w:rsid w:val="00F010CF"/>
    <w:rsid w:val="00F01EEF"/>
    <w:rsid w:val="00F02249"/>
    <w:rsid w:val="00F025FF"/>
    <w:rsid w:val="00F0266F"/>
    <w:rsid w:val="00F0267F"/>
    <w:rsid w:val="00F03CDA"/>
    <w:rsid w:val="00F04DCF"/>
    <w:rsid w:val="00F0555F"/>
    <w:rsid w:val="00F072A9"/>
    <w:rsid w:val="00F10F8E"/>
    <w:rsid w:val="00F11D7F"/>
    <w:rsid w:val="00F12211"/>
    <w:rsid w:val="00F1411F"/>
    <w:rsid w:val="00F1446E"/>
    <w:rsid w:val="00F14C47"/>
    <w:rsid w:val="00F169BA"/>
    <w:rsid w:val="00F21435"/>
    <w:rsid w:val="00F21CFE"/>
    <w:rsid w:val="00F225D3"/>
    <w:rsid w:val="00F2303C"/>
    <w:rsid w:val="00F232E5"/>
    <w:rsid w:val="00F2398B"/>
    <w:rsid w:val="00F2465C"/>
    <w:rsid w:val="00F247F8"/>
    <w:rsid w:val="00F24B95"/>
    <w:rsid w:val="00F25215"/>
    <w:rsid w:val="00F25FF4"/>
    <w:rsid w:val="00F261B1"/>
    <w:rsid w:val="00F26C55"/>
    <w:rsid w:val="00F30560"/>
    <w:rsid w:val="00F30CB2"/>
    <w:rsid w:val="00F31D42"/>
    <w:rsid w:val="00F32501"/>
    <w:rsid w:val="00F32536"/>
    <w:rsid w:val="00F32FD6"/>
    <w:rsid w:val="00F33301"/>
    <w:rsid w:val="00F35638"/>
    <w:rsid w:val="00F359C7"/>
    <w:rsid w:val="00F361CA"/>
    <w:rsid w:val="00F422B5"/>
    <w:rsid w:val="00F425E9"/>
    <w:rsid w:val="00F42D67"/>
    <w:rsid w:val="00F43447"/>
    <w:rsid w:val="00F43877"/>
    <w:rsid w:val="00F43E47"/>
    <w:rsid w:val="00F43FF4"/>
    <w:rsid w:val="00F449FA"/>
    <w:rsid w:val="00F45002"/>
    <w:rsid w:val="00F46875"/>
    <w:rsid w:val="00F46AD3"/>
    <w:rsid w:val="00F47761"/>
    <w:rsid w:val="00F50E25"/>
    <w:rsid w:val="00F527A7"/>
    <w:rsid w:val="00F56130"/>
    <w:rsid w:val="00F56F7B"/>
    <w:rsid w:val="00F61886"/>
    <w:rsid w:val="00F61AD3"/>
    <w:rsid w:val="00F62AF9"/>
    <w:rsid w:val="00F642A4"/>
    <w:rsid w:val="00F64F12"/>
    <w:rsid w:val="00F6578B"/>
    <w:rsid w:val="00F667A0"/>
    <w:rsid w:val="00F66927"/>
    <w:rsid w:val="00F70A29"/>
    <w:rsid w:val="00F727E7"/>
    <w:rsid w:val="00F73D4E"/>
    <w:rsid w:val="00F755D2"/>
    <w:rsid w:val="00F759E5"/>
    <w:rsid w:val="00F80332"/>
    <w:rsid w:val="00F80CFE"/>
    <w:rsid w:val="00F82764"/>
    <w:rsid w:val="00F82B72"/>
    <w:rsid w:val="00F82CB0"/>
    <w:rsid w:val="00F83D90"/>
    <w:rsid w:val="00F85939"/>
    <w:rsid w:val="00F85FD9"/>
    <w:rsid w:val="00F86086"/>
    <w:rsid w:val="00F864A6"/>
    <w:rsid w:val="00F914D6"/>
    <w:rsid w:val="00F9226B"/>
    <w:rsid w:val="00F92318"/>
    <w:rsid w:val="00F9373C"/>
    <w:rsid w:val="00F93FBE"/>
    <w:rsid w:val="00F9456A"/>
    <w:rsid w:val="00F946F4"/>
    <w:rsid w:val="00F9619A"/>
    <w:rsid w:val="00F966BC"/>
    <w:rsid w:val="00F96E39"/>
    <w:rsid w:val="00FA030F"/>
    <w:rsid w:val="00FA0952"/>
    <w:rsid w:val="00FA14A6"/>
    <w:rsid w:val="00FA35AC"/>
    <w:rsid w:val="00FA3FCF"/>
    <w:rsid w:val="00FA407D"/>
    <w:rsid w:val="00FA4D24"/>
    <w:rsid w:val="00FA7955"/>
    <w:rsid w:val="00FA7962"/>
    <w:rsid w:val="00FA797E"/>
    <w:rsid w:val="00FB0DA7"/>
    <w:rsid w:val="00FB12B6"/>
    <w:rsid w:val="00FB2172"/>
    <w:rsid w:val="00FB280F"/>
    <w:rsid w:val="00FB3416"/>
    <w:rsid w:val="00FB5257"/>
    <w:rsid w:val="00FB5430"/>
    <w:rsid w:val="00FB54A2"/>
    <w:rsid w:val="00FB6284"/>
    <w:rsid w:val="00FC01AA"/>
    <w:rsid w:val="00FC1E19"/>
    <w:rsid w:val="00FC215C"/>
    <w:rsid w:val="00FC2666"/>
    <w:rsid w:val="00FC27BD"/>
    <w:rsid w:val="00FC2F0E"/>
    <w:rsid w:val="00FC4345"/>
    <w:rsid w:val="00FC4634"/>
    <w:rsid w:val="00FC505E"/>
    <w:rsid w:val="00FC5849"/>
    <w:rsid w:val="00FC5EEA"/>
    <w:rsid w:val="00FC62F5"/>
    <w:rsid w:val="00FC6422"/>
    <w:rsid w:val="00FC67E3"/>
    <w:rsid w:val="00FC7669"/>
    <w:rsid w:val="00FC7804"/>
    <w:rsid w:val="00FD2417"/>
    <w:rsid w:val="00FD364E"/>
    <w:rsid w:val="00FD46EF"/>
    <w:rsid w:val="00FD5378"/>
    <w:rsid w:val="00FD5CAB"/>
    <w:rsid w:val="00FD5E5A"/>
    <w:rsid w:val="00FD72C2"/>
    <w:rsid w:val="00FD788C"/>
    <w:rsid w:val="00FE2496"/>
    <w:rsid w:val="00FE4291"/>
    <w:rsid w:val="00FE658B"/>
    <w:rsid w:val="00FF021C"/>
    <w:rsid w:val="00FF07E8"/>
    <w:rsid w:val="00FF11FC"/>
    <w:rsid w:val="00FF2227"/>
    <w:rsid w:val="00FF3654"/>
    <w:rsid w:val="00FF40B9"/>
    <w:rsid w:val="00FF428A"/>
    <w:rsid w:val="00FF4B11"/>
    <w:rsid w:val="00FF5614"/>
    <w:rsid w:val="00FF5A01"/>
    <w:rsid w:val="00FF5FE9"/>
    <w:rsid w:val="00FF6204"/>
    <w:rsid w:val="00FF7E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03ACB1"/>
  <w14:defaultImageDpi w14:val="330"/>
  <w15:docId w15:val="{1E2AE461-3560-41AA-900A-1953774E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27"/>
    <w:rPr>
      <w:rFonts w:ascii="Times" w:hAnsi="Times"/>
      <w:sz w:val="24"/>
    </w:rPr>
  </w:style>
  <w:style w:type="paragraph" w:styleId="Heading1">
    <w:name w:val="heading 1"/>
    <w:basedOn w:val="Normal"/>
    <w:next w:val="Normal"/>
    <w:link w:val="Heading1Char"/>
    <w:uiPriority w:val="9"/>
    <w:qFormat/>
    <w:rsid w:val="007F458A"/>
    <w:pPr>
      <w:keepNext/>
      <w:keepLines/>
      <w:numPr>
        <w:numId w:val="13"/>
      </w:numPr>
      <w:spacing w:before="360" w:after="240" w:line="240" w:lineRule="auto"/>
      <w:outlineLvl w:val="0"/>
    </w:pPr>
    <w:rPr>
      <w:rFonts w:eastAsiaTheme="majorEastAsia" w:cstheme="majorBidi"/>
      <w:b/>
      <w:szCs w:val="32"/>
      <w:lang w:val="en-US"/>
    </w:rPr>
  </w:style>
  <w:style w:type="paragraph" w:styleId="Heading2">
    <w:name w:val="heading 2"/>
    <w:basedOn w:val="Normal"/>
    <w:next w:val="Normal"/>
    <w:link w:val="Heading2Char"/>
    <w:uiPriority w:val="9"/>
    <w:unhideWhenUsed/>
    <w:qFormat/>
    <w:rsid w:val="007F458A"/>
    <w:pPr>
      <w:keepNext/>
      <w:keepLines/>
      <w:numPr>
        <w:ilvl w:val="1"/>
        <w:numId w:val="13"/>
      </w:numPr>
      <w:spacing w:before="400" w:after="360" w:line="240" w:lineRule="auto"/>
      <w:outlineLvl w:val="1"/>
    </w:pPr>
    <w:rPr>
      <w:rFonts w:eastAsiaTheme="majorEastAsia" w:cstheme="majorBidi"/>
      <w:i/>
      <w:szCs w:val="26"/>
      <w:lang w:val="en-US"/>
    </w:rPr>
  </w:style>
  <w:style w:type="paragraph" w:styleId="Heading3">
    <w:name w:val="heading 3"/>
    <w:basedOn w:val="Normal"/>
    <w:next w:val="Normal"/>
    <w:link w:val="Heading3Char"/>
    <w:uiPriority w:val="9"/>
    <w:unhideWhenUsed/>
    <w:qFormat/>
    <w:rsid w:val="00160DB5"/>
    <w:pPr>
      <w:keepNext/>
      <w:keepLines/>
      <w:numPr>
        <w:ilvl w:val="2"/>
        <w:numId w:val="13"/>
      </w:numPr>
      <w:spacing w:before="40" w:after="0"/>
      <w:outlineLvl w:val="2"/>
    </w:pPr>
    <w:rPr>
      <w:rFonts w:eastAsiaTheme="majorEastAsia" w:cstheme="majorBidi"/>
      <w:i/>
      <w:szCs w:val="24"/>
    </w:rPr>
  </w:style>
  <w:style w:type="paragraph" w:styleId="Heading5">
    <w:name w:val="heading 5"/>
    <w:basedOn w:val="Normal"/>
    <w:next w:val="Normal"/>
    <w:link w:val="Heading5Char"/>
    <w:uiPriority w:val="9"/>
    <w:semiHidden/>
    <w:unhideWhenUsed/>
    <w:qFormat/>
    <w:rsid w:val="00D3474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2C9"/>
    <w:rPr>
      <w:rFonts w:ascii="Segoe UI" w:hAnsi="Segoe UI" w:cs="Segoe UI"/>
      <w:sz w:val="18"/>
      <w:szCs w:val="18"/>
    </w:rPr>
  </w:style>
  <w:style w:type="paragraph" w:styleId="NormalWeb">
    <w:name w:val="Normal (Web)"/>
    <w:basedOn w:val="Normal"/>
    <w:uiPriority w:val="99"/>
    <w:semiHidden/>
    <w:unhideWhenUsed/>
    <w:rsid w:val="00A10D9D"/>
    <w:pPr>
      <w:spacing w:before="100" w:beforeAutospacing="1" w:after="100" w:afterAutospacing="1" w:line="240" w:lineRule="auto"/>
    </w:pPr>
    <w:rPr>
      <w:rFonts w:eastAsia="Times New Roman" w:cs="Times New Roman"/>
      <w:szCs w:val="24"/>
    </w:rPr>
  </w:style>
  <w:style w:type="character" w:customStyle="1" w:styleId="current-selection">
    <w:name w:val="current-selection"/>
    <w:basedOn w:val="DefaultParagraphFont"/>
    <w:rsid w:val="007E7E87"/>
  </w:style>
  <w:style w:type="table" w:styleId="TableGrid">
    <w:name w:val="Table Grid"/>
    <w:basedOn w:val="TableNormal"/>
    <w:uiPriority w:val="39"/>
    <w:rsid w:val="000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2F00"/>
    <w:pPr>
      <w:ind w:left="720"/>
      <w:contextualSpacing/>
    </w:pPr>
  </w:style>
  <w:style w:type="character" w:customStyle="1" w:styleId="Heading1Char">
    <w:name w:val="Heading 1 Char"/>
    <w:basedOn w:val="DefaultParagraphFont"/>
    <w:link w:val="Heading1"/>
    <w:uiPriority w:val="9"/>
    <w:rsid w:val="007F458A"/>
    <w:rPr>
      <w:rFonts w:ascii="Arial" w:eastAsiaTheme="majorEastAsia" w:hAnsi="Arial" w:cstheme="majorBidi"/>
      <w:b/>
      <w:sz w:val="24"/>
      <w:szCs w:val="32"/>
      <w:lang w:val="en-US"/>
    </w:rPr>
  </w:style>
  <w:style w:type="character" w:customStyle="1" w:styleId="Heading2Char">
    <w:name w:val="Heading 2 Char"/>
    <w:basedOn w:val="DefaultParagraphFont"/>
    <w:link w:val="Heading2"/>
    <w:uiPriority w:val="9"/>
    <w:rsid w:val="007F458A"/>
    <w:rPr>
      <w:rFonts w:ascii="Arial" w:eastAsiaTheme="majorEastAsia" w:hAnsi="Arial" w:cstheme="majorBidi"/>
      <w:i/>
      <w:sz w:val="24"/>
      <w:szCs w:val="26"/>
      <w:lang w:val="en-US"/>
    </w:rPr>
  </w:style>
  <w:style w:type="numbering" w:customStyle="1" w:styleId="Style1">
    <w:name w:val="Style1"/>
    <w:uiPriority w:val="99"/>
    <w:rsid w:val="006C3B37"/>
    <w:pPr>
      <w:numPr>
        <w:numId w:val="7"/>
      </w:numPr>
    </w:pPr>
  </w:style>
  <w:style w:type="numbering" w:customStyle="1" w:styleId="Style2">
    <w:name w:val="Style2"/>
    <w:uiPriority w:val="99"/>
    <w:rsid w:val="006C3B37"/>
    <w:pPr>
      <w:numPr>
        <w:numId w:val="11"/>
      </w:numPr>
    </w:pPr>
  </w:style>
  <w:style w:type="numbering" w:customStyle="1" w:styleId="Style3">
    <w:name w:val="Style3"/>
    <w:uiPriority w:val="99"/>
    <w:rsid w:val="00160DB5"/>
    <w:pPr>
      <w:numPr>
        <w:numId w:val="13"/>
      </w:numPr>
    </w:pPr>
  </w:style>
  <w:style w:type="paragraph" w:styleId="Caption">
    <w:name w:val="caption"/>
    <w:basedOn w:val="Normal"/>
    <w:next w:val="Normal"/>
    <w:uiPriority w:val="35"/>
    <w:unhideWhenUsed/>
    <w:qFormat/>
    <w:rsid w:val="009D73E7"/>
    <w:pPr>
      <w:spacing w:after="200" w:line="240" w:lineRule="auto"/>
      <w:jc w:val="both"/>
    </w:pPr>
    <w:rPr>
      <w:iCs/>
      <w:color w:val="000000" w:themeColor="text1"/>
      <w:sz w:val="20"/>
      <w:szCs w:val="18"/>
    </w:rPr>
  </w:style>
  <w:style w:type="character" w:customStyle="1" w:styleId="Heading3Char">
    <w:name w:val="Heading 3 Char"/>
    <w:basedOn w:val="DefaultParagraphFont"/>
    <w:link w:val="Heading3"/>
    <w:uiPriority w:val="9"/>
    <w:rsid w:val="00160DB5"/>
    <w:rPr>
      <w:rFonts w:ascii="Arial" w:eastAsiaTheme="majorEastAsia" w:hAnsi="Arial" w:cstheme="majorBidi"/>
      <w:i/>
      <w:sz w:val="20"/>
      <w:szCs w:val="24"/>
    </w:rPr>
  </w:style>
  <w:style w:type="paragraph" w:styleId="Header">
    <w:name w:val="header"/>
    <w:basedOn w:val="Normal"/>
    <w:link w:val="HeaderChar"/>
    <w:uiPriority w:val="99"/>
    <w:unhideWhenUsed/>
    <w:rsid w:val="00644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5B0"/>
  </w:style>
  <w:style w:type="paragraph" w:styleId="Footer">
    <w:name w:val="footer"/>
    <w:basedOn w:val="Normal"/>
    <w:link w:val="FooterChar"/>
    <w:uiPriority w:val="99"/>
    <w:unhideWhenUsed/>
    <w:rsid w:val="00644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5B0"/>
  </w:style>
  <w:style w:type="character" w:styleId="CommentReference">
    <w:name w:val="annotation reference"/>
    <w:basedOn w:val="DefaultParagraphFont"/>
    <w:uiPriority w:val="99"/>
    <w:semiHidden/>
    <w:unhideWhenUsed/>
    <w:rsid w:val="00E13CEA"/>
    <w:rPr>
      <w:sz w:val="16"/>
      <w:szCs w:val="16"/>
    </w:rPr>
  </w:style>
  <w:style w:type="paragraph" w:styleId="CommentText">
    <w:name w:val="annotation text"/>
    <w:basedOn w:val="Normal"/>
    <w:link w:val="CommentTextChar"/>
    <w:uiPriority w:val="99"/>
    <w:unhideWhenUsed/>
    <w:rsid w:val="00E13CEA"/>
    <w:pPr>
      <w:spacing w:line="240" w:lineRule="auto"/>
    </w:pPr>
    <w:rPr>
      <w:szCs w:val="20"/>
    </w:rPr>
  </w:style>
  <w:style w:type="character" w:customStyle="1" w:styleId="CommentTextChar">
    <w:name w:val="Comment Text Char"/>
    <w:basedOn w:val="DefaultParagraphFont"/>
    <w:link w:val="CommentText"/>
    <w:uiPriority w:val="99"/>
    <w:rsid w:val="00E13C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13CEA"/>
    <w:rPr>
      <w:b/>
      <w:bCs/>
    </w:rPr>
  </w:style>
  <w:style w:type="character" w:customStyle="1" w:styleId="CommentSubjectChar">
    <w:name w:val="Comment Subject Char"/>
    <w:basedOn w:val="CommentTextChar"/>
    <w:link w:val="CommentSubject"/>
    <w:uiPriority w:val="99"/>
    <w:semiHidden/>
    <w:rsid w:val="00E13CEA"/>
    <w:rPr>
      <w:rFonts w:ascii="Arial" w:hAnsi="Arial"/>
      <w:b/>
      <w:bCs/>
      <w:sz w:val="20"/>
      <w:szCs w:val="20"/>
    </w:rPr>
  </w:style>
  <w:style w:type="character" w:styleId="Hyperlink">
    <w:name w:val="Hyperlink"/>
    <w:basedOn w:val="DefaultParagraphFont"/>
    <w:uiPriority w:val="99"/>
    <w:unhideWhenUsed/>
    <w:rsid w:val="005E3CEB"/>
    <w:rPr>
      <w:color w:val="0563C1" w:themeColor="hyperlink"/>
      <w:u w:val="single"/>
    </w:rPr>
  </w:style>
  <w:style w:type="paragraph" w:styleId="Revision">
    <w:name w:val="Revision"/>
    <w:hidden/>
    <w:uiPriority w:val="99"/>
    <w:semiHidden/>
    <w:rsid w:val="00F914D6"/>
    <w:pPr>
      <w:spacing w:after="0" w:line="240" w:lineRule="auto"/>
    </w:pPr>
    <w:rPr>
      <w:rFonts w:ascii="Arial" w:hAnsi="Arial"/>
      <w:sz w:val="20"/>
    </w:rPr>
  </w:style>
  <w:style w:type="character" w:styleId="Emphasis">
    <w:name w:val="Emphasis"/>
    <w:basedOn w:val="DefaultParagraphFont"/>
    <w:uiPriority w:val="20"/>
    <w:qFormat/>
    <w:rsid w:val="00A040E5"/>
    <w:rPr>
      <w:i/>
      <w:iCs/>
    </w:rPr>
  </w:style>
  <w:style w:type="character" w:customStyle="1" w:styleId="frontelement">
    <w:name w:val="frontelement"/>
    <w:basedOn w:val="DefaultParagraphFont"/>
    <w:rsid w:val="009E6F68"/>
  </w:style>
  <w:style w:type="character" w:styleId="FollowedHyperlink">
    <w:name w:val="FollowedHyperlink"/>
    <w:basedOn w:val="DefaultParagraphFont"/>
    <w:uiPriority w:val="99"/>
    <w:semiHidden/>
    <w:unhideWhenUsed/>
    <w:rsid w:val="00B25748"/>
    <w:rPr>
      <w:color w:val="954F72" w:themeColor="followedHyperlink"/>
      <w:u w:val="single"/>
    </w:rPr>
  </w:style>
  <w:style w:type="paragraph" w:customStyle="1" w:styleId="Acknowledgements">
    <w:name w:val="Acknowledgements"/>
    <w:basedOn w:val="Normal"/>
    <w:rsid w:val="00471438"/>
    <w:pPr>
      <w:spacing w:after="0" w:line="240" w:lineRule="auto"/>
    </w:pPr>
    <w:rPr>
      <w:rFonts w:eastAsia="MS Mincho" w:cs="Times New Roman"/>
      <w:szCs w:val="24"/>
      <w:lang w:val="en-US" w:eastAsia="ja-JP"/>
    </w:rPr>
  </w:style>
  <w:style w:type="paragraph" w:customStyle="1" w:styleId="Head1">
    <w:name w:val="Head 1"/>
    <w:basedOn w:val="Normal"/>
    <w:autoRedefine/>
    <w:rsid w:val="00471438"/>
    <w:pPr>
      <w:spacing w:after="0" w:line="240" w:lineRule="auto"/>
    </w:pPr>
    <w:rPr>
      <w:rFonts w:eastAsia="MS Mincho" w:cs="Times New Roman"/>
      <w:b/>
      <w:szCs w:val="24"/>
      <w:lang w:val="en-US" w:eastAsia="ja-JP"/>
    </w:rPr>
  </w:style>
  <w:style w:type="paragraph" w:customStyle="1" w:styleId="dates">
    <w:name w:val="dates"/>
    <w:basedOn w:val="Normal"/>
    <w:rsid w:val="00471438"/>
    <w:pPr>
      <w:spacing w:after="0" w:line="240" w:lineRule="auto"/>
      <w:jc w:val="right"/>
    </w:pPr>
    <w:rPr>
      <w:rFonts w:eastAsia="MS Mincho" w:cs="Times New Roman"/>
      <w:szCs w:val="24"/>
      <w:lang w:val="en-US" w:eastAsia="ja-JP"/>
    </w:rPr>
  </w:style>
  <w:style w:type="paragraph" w:customStyle="1" w:styleId="MainText">
    <w:name w:val="Main Text"/>
    <w:basedOn w:val="Normal"/>
    <w:link w:val="MainTextChar"/>
    <w:rsid w:val="00471438"/>
    <w:pPr>
      <w:spacing w:after="0" w:line="480" w:lineRule="auto"/>
    </w:pPr>
    <w:rPr>
      <w:rFonts w:eastAsia="MS Mincho" w:cs="Times New Roman"/>
      <w:szCs w:val="24"/>
      <w:lang w:val="en-US" w:eastAsia="ja-JP"/>
    </w:rPr>
  </w:style>
  <w:style w:type="character" w:customStyle="1" w:styleId="MainTextChar">
    <w:name w:val="Main Text Char"/>
    <w:link w:val="MainText"/>
    <w:rsid w:val="00471438"/>
    <w:rPr>
      <w:rFonts w:ascii="Times New Roman" w:eastAsia="MS Mincho" w:hAnsi="Times New Roman" w:cs="Times New Roman"/>
      <w:sz w:val="24"/>
      <w:szCs w:val="24"/>
      <w:lang w:val="en-US" w:eastAsia="ja-JP"/>
    </w:rPr>
  </w:style>
  <w:style w:type="paragraph" w:customStyle="1" w:styleId="Maintext0">
    <w:name w:val="Main text"/>
    <w:basedOn w:val="Normal"/>
    <w:link w:val="MaintextChar0"/>
    <w:autoRedefine/>
    <w:rsid w:val="00434F7C"/>
    <w:pPr>
      <w:spacing w:after="0" w:line="480" w:lineRule="auto"/>
    </w:pPr>
    <w:rPr>
      <w:rFonts w:eastAsia="MS Mincho" w:cs="Times New Roman"/>
      <w:szCs w:val="24"/>
      <w:lang w:val="en-US" w:eastAsia="ja-JP"/>
    </w:rPr>
  </w:style>
  <w:style w:type="character" w:customStyle="1" w:styleId="MaintextChar0">
    <w:name w:val="Main text Char"/>
    <w:link w:val="Maintext0"/>
    <w:rsid w:val="00434F7C"/>
    <w:rPr>
      <w:rFonts w:ascii="Times New Roman" w:eastAsia="MS Mincho" w:hAnsi="Times New Roman" w:cs="Times New Roman"/>
      <w:sz w:val="24"/>
      <w:szCs w:val="24"/>
      <w:lang w:val="en-US" w:eastAsia="ja-JP"/>
    </w:rPr>
  </w:style>
  <w:style w:type="paragraph" w:customStyle="1" w:styleId="BATitle">
    <w:name w:val="BA_Title"/>
    <w:basedOn w:val="Normal"/>
    <w:next w:val="Normal"/>
    <w:rsid w:val="00C56BEC"/>
    <w:pPr>
      <w:spacing w:before="720" w:after="360" w:line="480" w:lineRule="auto"/>
      <w:jc w:val="center"/>
    </w:pPr>
    <w:rPr>
      <w:rFonts w:ascii="Times New Roman" w:eastAsia="Times New Roman" w:hAnsi="Times New Roman" w:cs="Times New Roman"/>
      <w:sz w:val="44"/>
      <w:szCs w:val="20"/>
      <w:lang w:val="en-US" w:eastAsia="en-US"/>
    </w:rPr>
  </w:style>
  <w:style w:type="paragraph" w:customStyle="1" w:styleId="BBAuthorName">
    <w:name w:val="BB_Author_Name"/>
    <w:basedOn w:val="Normal"/>
    <w:next w:val="Normal"/>
    <w:rsid w:val="00C45A4C"/>
    <w:pPr>
      <w:spacing w:after="240" w:line="480" w:lineRule="auto"/>
      <w:jc w:val="center"/>
    </w:pPr>
    <w:rPr>
      <w:rFonts w:eastAsia="Times New Roman" w:cs="Times New Roman"/>
      <w:i/>
      <w:szCs w:val="20"/>
      <w:lang w:val="en-US" w:eastAsia="en-US"/>
    </w:rPr>
  </w:style>
  <w:style w:type="paragraph" w:customStyle="1" w:styleId="BCAuthorAddress">
    <w:name w:val="BC_Author_Address"/>
    <w:basedOn w:val="Normal"/>
    <w:next w:val="Normal"/>
    <w:rsid w:val="00C45A4C"/>
    <w:pPr>
      <w:spacing w:after="240" w:line="480" w:lineRule="auto"/>
      <w:jc w:val="center"/>
    </w:pPr>
    <w:rPr>
      <w:rFonts w:eastAsia="Times New Roman" w:cs="Times New Roman"/>
      <w:szCs w:val="20"/>
      <w:lang w:val="en-US" w:eastAsia="en-US"/>
    </w:rPr>
  </w:style>
  <w:style w:type="character" w:customStyle="1" w:styleId="UnresolvedMention1">
    <w:name w:val="Unresolved Mention1"/>
    <w:basedOn w:val="DefaultParagraphFont"/>
    <w:uiPriority w:val="99"/>
    <w:semiHidden/>
    <w:unhideWhenUsed/>
    <w:rsid w:val="00C04131"/>
    <w:rPr>
      <w:color w:val="605E5C"/>
      <w:shd w:val="clear" w:color="auto" w:fill="E1DFDD"/>
    </w:rPr>
  </w:style>
  <w:style w:type="character" w:customStyle="1" w:styleId="orcid-id-https">
    <w:name w:val="orcid-id-https"/>
    <w:basedOn w:val="DefaultParagraphFont"/>
    <w:rsid w:val="00862D63"/>
  </w:style>
  <w:style w:type="character" w:customStyle="1" w:styleId="toptext">
    <w:name w:val="top__text"/>
    <w:basedOn w:val="DefaultParagraphFont"/>
    <w:rsid w:val="00D565A0"/>
  </w:style>
  <w:style w:type="character" w:styleId="Strong">
    <w:name w:val="Strong"/>
    <w:basedOn w:val="DefaultParagraphFont"/>
    <w:uiPriority w:val="22"/>
    <w:qFormat/>
    <w:rsid w:val="002C11C4"/>
    <w:rPr>
      <w:b/>
      <w:bCs/>
    </w:rPr>
  </w:style>
  <w:style w:type="character" w:customStyle="1" w:styleId="Heading5Char">
    <w:name w:val="Heading 5 Char"/>
    <w:basedOn w:val="DefaultParagraphFont"/>
    <w:link w:val="Heading5"/>
    <w:uiPriority w:val="9"/>
    <w:semiHidden/>
    <w:rsid w:val="00D3474B"/>
    <w:rPr>
      <w:rFonts w:asciiTheme="majorHAnsi" w:eastAsiaTheme="majorEastAsia" w:hAnsiTheme="majorHAnsi" w:cstheme="majorBidi"/>
      <w:color w:val="2E74B5" w:themeColor="accent1" w:themeShade="BF"/>
      <w:sz w:val="24"/>
    </w:rPr>
  </w:style>
  <w:style w:type="character" w:customStyle="1" w:styleId="wraptastefully">
    <w:name w:val="wraptastefully"/>
    <w:basedOn w:val="DefaultParagraphFont"/>
    <w:rsid w:val="00B86087"/>
  </w:style>
  <w:style w:type="paragraph" w:styleId="Bibliography">
    <w:name w:val="Bibliography"/>
    <w:basedOn w:val="Normal"/>
    <w:next w:val="Normal"/>
    <w:uiPriority w:val="37"/>
    <w:unhideWhenUsed/>
    <w:rsid w:val="00A6161F"/>
    <w:pPr>
      <w:tabs>
        <w:tab w:val="left" w:pos="504"/>
      </w:tabs>
      <w:spacing w:after="240" w:line="240" w:lineRule="auto"/>
      <w:ind w:left="504" w:hanging="504"/>
    </w:pPr>
  </w:style>
  <w:style w:type="paragraph" w:styleId="NoSpacing">
    <w:name w:val="No Spacing"/>
    <w:uiPriority w:val="1"/>
    <w:qFormat/>
    <w:rsid w:val="00416524"/>
    <w:pPr>
      <w:spacing w:after="0" w:line="240" w:lineRule="auto"/>
    </w:pPr>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396">
      <w:bodyDiv w:val="1"/>
      <w:marLeft w:val="0"/>
      <w:marRight w:val="0"/>
      <w:marTop w:val="0"/>
      <w:marBottom w:val="0"/>
      <w:divBdr>
        <w:top w:val="none" w:sz="0" w:space="0" w:color="auto"/>
        <w:left w:val="none" w:sz="0" w:space="0" w:color="auto"/>
        <w:bottom w:val="none" w:sz="0" w:space="0" w:color="auto"/>
        <w:right w:val="none" w:sz="0" w:space="0" w:color="auto"/>
      </w:divBdr>
    </w:div>
    <w:div w:id="41563506">
      <w:bodyDiv w:val="1"/>
      <w:marLeft w:val="0"/>
      <w:marRight w:val="0"/>
      <w:marTop w:val="0"/>
      <w:marBottom w:val="0"/>
      <w:divBdr>
        <w:top w:val="none" w:sz="0" w:space="0" w:color="auto"/>
        <w:left w:val="none" w:sz="0" w:space="0" w:color="auto"/>
        <w:bottom w:val="none" w:sz="0" w:space="0" w:color="auto"/>
        <w:right w:val="none" w:sz="0" w:space="0" w:color="auto"/>
      </w:divBdr>
    </w:div>
    <w:div w:id="94518139">
      <w:bodyDiv w:val="1"/>
      <w:marLeft w:val="0"/>
      <w:marRight w:val="0"/>
      <w:marTop w:val="0"/>
      <w:marBottom w:val="0"/>
      <w:divBdr>
        <w:top w:val="none" w:sz="0" w:space="0" w:color="auto"/>
        <w:left w:val="none" w:sz="0" w:space="0" w:color="auto"/>
        <w:bottom w:val="none" w:sz="0" w:space="0" w:color="auto"/>
        <w:right w:val="none" w:sz="0" w:space="0" w:color="auto"/>
      </w:divBdr>
    </w:div>
    <w:div w:id="111094818">
      <w:bodyDiv w:val="1"/>
      <w:marLeft w:val="0"/>
      <w:marRight w:val="0"/>
      <w:marTop w:val="0"/>
      <w:marBottom w:val="0"/>
      <w:divBdr>
        <w:top w:val="none" w:sz="0" w:space="0" w:color="auto"/>
        <w:left w:val="none" w:sz="0" w:space="0" w:color="auto"/>
        <w:bottom w:val="none" w:sz="0" w:space="0" w:color="auto"/>
        <w:right w:val="none" w:sz="0" w:space="0" w:color="auto"/>
      </w:divBdr>
    </w:div>
    <w:div w:id="171915575">
      <w:bodyDiv w:val="1"/>
      <w:marLeft w:val="0"/>
      <w:marRight w:val="0"/>
      <w:marTop w:val="0"/>
      <w:marBottom w:val="0"/>
      <w:divBdr>
        <w:top w:val="none" w:sz="0" w:space="0" w:color="auto"/>
        <w:left w:val="none" w:sz="0" w:space="0" w:color="auto"/>
        <w:bottom w:val="none" w:sz="0" w:space="0" w:color="auto"/>
        <w:right w:val="none" w:sz="0" w:space="0" w:color="auto"/>
      </w:divBdr>
    </w:div>
    <w:div w:id="200094584">
      <w:bodyDiv w:val="1"/>
      <w:marLeft w:val="0"/>
      <w:marRight w:val="0"/>
      <w:marTop w:val="0"/>
      <w:marBottom w:val="0"/>
      <w:divBdr>
        <w:top w:val="none" w:sz="0" w:space="0" w:color="auto"/>
        <w:left w:val="none" w:sz="0" w:space="0" w:color="auto"/>
        <w:bottom w:val="none" w:sz="0" w:space="0" w:color="auto"/>
        <w:right w:val="none" w:sz="0" w:space="0" w:color="auto"/>
      </w:divBdr>
    </w:div>
    <w:div w:id="219945013">
      <w:bodyDiv w:val="1"/>
      <w:marLeft w:val="0"/>
      <w:marRight w:val="0"/>
      <w:marTop w:val="0"/>
      <w:marBottom w:val="0"/>
      <w:divBdr>
        <w:top w:val="none" w:sz="0" w:space="0" w:color="auto"/>
        <w:left w:val="none" w:sz="0" w:space="0" w:color="auto"/>
        <w:bottom w:val="none" w:sz="0" w:space="0" w:color="auto"/>
        <w:right w:val="none" w:sz="0" w:space="0" w:color="auto"/>
      </w:divBdr>
    </w:div>
    <w:div w:id="293486131">
      <w:bodyDiv w:val="1"/>
      <w:marLeft w:val="0"/>
      <w:marRight w:val="0"/>
      <w:marTop w:val="0"/>
      <w:marBottom w:val="0"/>
      <w:divBdr>
        <w:top w:val="none" w:sz="0" w:space="0" w:color="auto"/>
        <w:left w:val="none" w:sz="0" w:space="0" w:color="auto"/>
        <w:bottom w:val="none" w:sz="0" w:space="0" w:color="auto"/>
        <w:right w:val="none" w:sz="0" w:space="0" w:color="auto"/>
      </w:divBdr>
    </w:div>
    <w:div w:id="358512817">
      <w:bodyDiv w:val="1"/>
      <w:marLeft w:val="0"/>
      <w:marRight w:val="0"/>
      <w:marTop w:val="0"/>
      <w:marBottom w:val="0"/>
      <w:divBdr>
        <w:top w:val="none" w:sz="0" w:space="0" w:color="auto"/>
        <w:left w:val="none" w:sz="0" w:space="0" w:color="auto"/>
        <w:bottom w:val="none" w:sz="0" w:space="0" w:color="auto"/>
        <w:right w:val="none" w:sz="0" w:space="0" w:color="auto"/>
      </w:divBdr>
    </w:div>
    <w:div w:id="475294584">
      <w:bodyDiv w:val="1"/>
      <w:marLeft w:val="0"/>
      <w:marRight w:val="0"/>
      <w:marTop w:val="0"/>
      <w:marBottom w:val="0"/>
      <w:divBdr>
        <w:top w:val="none" w:sz="0" w:space="0" w:color="auto"/>
        <w:left w:val="none" w:sz="0" w:space="0" w:color="auto"/>
        <w:bottom w:val="none" w:sz="0" w:space="0" w:color="auto"/>
        <w:right w:val="none" w:sz="0" w:space="0" w:color="auto"/>
      </w:divBdr>
      <w:divsChild>
        <w:div w:id="1280260344">
          <w:marLeft w:val="0"/>
          <w:marRight w:val="0"/>
          <w:marTop w:val="0"/>
          <w:marBottom w:val="0"/>
          <w:divBdr>
            <w:top w:val="none" w:sz="0" w:space="0" w:color="auto"/>
            <w:left w:val="none" w:sz="0" w:space="0" w:color="auto"/>
            <w:bottom w:val="none" w:sz="0" w:space="0" w:color="auto"/>
            <w:right w:val="none" w:sz="0" w:space="0" w:color="auto"/>
          </w:divBdr>
        </w:div>
      </w:divsChild>
    </w:div>
    <w:div w:id="550114038">
      <w:bodyDiv w:val="1"/>
      <w:marLeft w:val="0"/>
      <w:marRight w:val="0"/>
      <w:marTop w:val="0"/>
      <w:marBottom w:val="0"/>
      <w:divBdr>
        <w:top w:val="none" w:sz="0" w:space="0" w:color="auto"/>
        <w:left w:val="none" w:sz="0" w:space="0" w:color="auto"/>
        <w:bottom w:val="none" w:sz="0" w:space="0" w:color="auto"/>
        <w:right w:val="none" w:sz="0" w:space="0" w:color="auto"/>
      </w:divBdr>
    </w:div>
    <w:div w:id="573856016">
      <w:bodyDiv w:val="1"/>
      <w:marLeft w:val="0"/>
      <w:marRight w:val="0"/>
      <w:marTop w:val="0"/>
      <w:marBottom w:val="0"/>
      <w:divBdr>
        <w:top w:val="none" w:sz="0" w:space="0" w:color="auto"/>
        <w:left w:val="none" w:sz="0" w:space="0" w:color="auto"/>
        <w:bottom w:val="none" w:sz="0" w:space="0" w:color="auto"/>
        <w:right w:val="none" w:sz="0" w:space="0" w:color="auto"/>
      </w:divBdr>
    </w:div>
    <w:div w:id="733822394">
      <w:bodyDiv w:val="1"/>
      <w:marLeft w:val="0"/>
      <w:marRight w:val="0"/>
      <w:marTop w:val="0"/>
      <w:marBottom w:val="0"/>
      <w:divBdr>
        <w:top w:val="none" w:sz="0" w:space="0" w:color="auto"/>
        <w:left w:val="none" w:sz="0" w:space="0" w:color="auto"/>
        <w:bottom w:val="none" w:sz="0" w:space="0" w:color="auto"/>
        <w:right w:val="none" w:sz="0" w:space="0" w:color="auto"/>
      </w:divBdr>
    </w:div>
    <w:div w:id="884760581">
      <w:bodyDiv w:val="1"/>
      <w:marLeft w:val="0"/>
      <w:marRight w:val="0"/>
      <w:marTop w:val="0"/>
      <w:marBottom w:val="0"/>
      <w:divBdr>
        <w:top w:val="none" w:sz="0" w:space="0" w:color="auto"/>
        <w:left w:val="none" w:sz="0" w:space="0" w:color="auto"/>
        <w:bottom w:val="none" w:sz="0" w:space="0" w:color="auto"/>
        <w:right w:val="none" w:sz="0" w:space="0" w:color="auto"/>
      </w:divBdr>
    </w:div>
    <w:div w:id="1063210785">
      <w:bodyDiv w:val="1"/>
      <w:marLeft w:val="0"/>
      <w:marRight w:val="0"/>
      <w:marTop w:val="0"/>
      <w:marBottom w:val="0"/>
      <w:divBdr>
        <w:top w:val="none" w:sz="0" w:space="0" w:color="auto"/>
        <w:left w:val="none" w:sz="0" w:space="0" w:color="auto"/>
        <w:bottom w:val="none" w:sz="0" w:space="0" w:color="auto"/>
        <w:right w:val="none" w:sz="0" w:space="0" w:color="auto"/>
      </w:divBdr>
    </w:div>
    <w:div w:id="1122386000">
      <w:bodyDiv w:val="1"/>
      <w:marLeft w:val="0"/>
      <w:marRight w:val="0"/>
      <w:marTop w:val="0"/>
      <w:marBottom w:val="0"/>
      <w:divBdr>
        <w:top w:val="none" w:sz="0" w:space="0" w:color="auto"/>
        <w:left w:val="none" w:sz="0" w:space="0" w:color="auto"/>
        <w:bottom w:val="none" w:sz="0" w:space="0" w:color="auto"/>
        <w:right w:val="none" w:sz="0" w:space="0" w:color="auto"/>
      </w:divBdr>
    </w:div>
    <w:div w:id="1199974709">
      <w:bodyDiv w:val="1"/>
      <w:marLeft w:val="0"/>
      <w:marRight w:val="0"/>
      <w:marTop w:val="0"/>
      <w:marBottom w:val="0"/>
      <w:divBdr>
        <w:top w:val="none" w:sz="0" w:space="0" w:color="auto"/>
        <w:left w:val="none" w:sz="0" w:space="0" w:color="auto"/>
        <w:bottom w:val="none" w:sz="0" w:space="0" w:color="auto"/>
        <w:right w:val="none" w:sz="0" w:space="0" w:color="auto"/>
      </w:divBdr>
    </w:div>
    <w:div w:id="1333679314">
      <w:bodyDiv w:val="1"/>
      <w:marLeft w:val="0"/>
      <w:marRight w:val="0"/>
      <w:marTop w:val="0"/>
      <w:marBottom w:val="0"/>
      <w:divBdr>
        <w:top w:val="none" w:sz="0" w:space="0" w:color="auto"/>
        <w:left w:val="none" w:sz="0" w:space="0" w:color="auto"/>
        <w:bottom w:val="none" w:sz="0" w:space="0" w:color="auto"/>
        <w:right w:val="none" w:sz="0" w:space="0" w:color="auto"/>
      </w:divBdr>
    </w:div>
    <w:div w:id="1336153609">
      <w:bodyDiv w:val="1"/>
      <w:marLeft w:val="0"/>
      <w:marRight w:val="0"/>
      <w:marTop w:val="0"/>
      <w:marBottom w:val="0"/>
      <w:divBdr>
        <w:top w:val="none" w:sz="0" w:space="0" w:color="auto"/>
        <w:left w:val="none" w:sz="0" w:space="0" w:color="auto"/>
        <w:bottom w:val="none" w:sz="0" w:space="0" w:color="auto"/>
        <w:right w:val="none" w:sz="0" w:space="0" w:color="auto"/>
      </w:divBdr>
    </w:div>
    <w:div w:id="1398700358">
      <w:bodyDiv w:val="1"/>
      <w:marLeft w:val="0"/>
      <w:marRight w:val="0"/>
      <w:marTop w:val="0"/>
      <w:marBottom w:val="0"/>
      <w:divBdr>
        <w:top w:val="none" w:sz="0" w:space="0" w:color="auto"/>
        <w:left w:val="none" w:sz="0" w:space="0" w:color="auto"/>
        <w:bottom w:val="none" w:sz="0" w:space="0" w:color="auto"/>
        <w:right w:val="none" w:sz="0" w:space="0" w:color="auto"/>
      </w:divBdr>
    </w:div>
    <w:div w:id="1492060373">
      <w:bodyDiv w:val="1"/>
      <w:marLeft w:val="0"/>
      <w:marRight w:val="0"/>
      <w:marTop w:val="0"/>
      <w:marBottom w:val="0"/>
      <w:divBdr>
        <w:top w:val="none" w:sz="0" w:space="0" w:color="auto"/>
        <w:left w:val="none" w:sz="0" w:space="0" w:color="auto"/>
        <w:bottom w:val="none" w:sz="0" w:space="0" w:color="auto"/>
        <w:right w:val="none" w:sz="0" w:space="0" w:color="auto"/>
      </w:divBdr>
    </w:div>
    <w:div w:id="1573664639">
      <w:bodyDiv w:val="1"/>
      <w:marLeft w:val="0"/>
      <w:marRight w:val="0"/>
      <w:marTop w:val="0"/>
      <w:marBottom w:val="0"/>
      <w:divBdr>
        <w:top w:val="none" w:sz="0" w:space="0" w:color="auto"/>
        <w:left w:val="none" w:sz="0" w:space="0" w:color="auto"/>
        <w:bottom w:val="none" w:sz="0" w:space="0" w:color="auto"/>
        <w:right w:val="none" w:sz="0" w:space="0" w:color="auto"/>
      </w:divBdr>
    </w:div>
    <w:div w:id="1590457333">
      <w:bodyDiv w:val="1"/>
      <w:marLeft w:val="0"/>
      <w:marRight w:val="0"/>
      <w:marTop w:val="0"/>
      <w:marBottom w:val="0"/>
      <w:divBdr>
        <w:top w:val="none" w:sz="0" w:space="0" w:color="auto"/>
        <w:left w:val="none" w:sz="0" w:space="0" w:color="auto"/>
        <w:bottom w:val="none" w:sz="0" w:space="0" w:color="auto"/>
        <w:right w:val="none" w:sz="0" w:space="0" w:color="auto"/>
      </w:divBdr>
      <w:divsChild>
        <w:div w:id="1678532420">
          <w:marLeft w:val="0"/>
          <w:marRight w:val="0"/>
          <w:marTop w:val="0"/>
          <w:marBottom w:val="0"/>
          <w:divBdr>
            <w:top w:val="none" w:sz="0" w:space="0" w:color="auto"/>
            <w:left w:val="none" w:sz="0" w:space="0" w:color="auto"/>
            <w:bottom w:val="none" w:sz="0" w:space="0" w:color="auto"/>
            <w:right w:val="none" w:sz="0" w:space="0" w:color="auto"/>
          </w:divBdr>
        </w:div>
      </w:divsChild>
    </w:div>
    <w:div w:id="1607687026">
      <w:bodyDiv w:val="1"/>
      <w:marLeft w:val="0"/>
      <w:marRight w:val="0"/>
      <w:marTop w:val="0"/>
      <w:marBottom w:val="0"/>
      <w:divBdr>
        <w:top w:val="none" w:sz="0" w:space="0" w:color="auto"/>
        <w:left w:val="none" w:sz="0" w:space="0" w:color="auto"/>
        <w:bottom w:val="none" w:sz="0" w:space="0" w:color="auto"/>
        <w:right w:val="none" w:sz="0" w:space="0" w:color="auto"/>
      </w:divBdr>
    </w:div>
    <w:div w:id="1648624847">
      <w:bodyDiv w:val="1"/>
      <w:marLeft w:val="0"/>
      <w:marRight w:val="0"/>
      <w:marTop w:val="0"/>
      <w:marBottom w:val="0"/>
      <w:divBdr>
        <w:top w:val="none" w:sz="0" w:space="0" w:color="auto"/>
        <w:left w:val="none" w:sz="0" w:space="0" w:color="auto"/>
        <w:bottom w:val="none" w:sz="0" w:space="0" w:color="auto"/>
        <w:right w:val="none" w:sz="0" w:space="0" w:color="auto"/>
      </w:divBdr>
      <w:divsChild>
        <w:div w:id="126630625">
          <w:marLeft w:val="0"/>
          <w:marRight w:val="0"/>
          <w:marTop w:val="0"/>
          <w:marBottom w:val="0"/>
          <w:divBdr>
            <w:top w:val="none" w:sz="0" w:space="0" w:color="auto"/>
            <w:left w:val="none" w:sz="0" w:space="0" w:color="auto"/>
            <w:bottom w:val="none" w:sz="0" w:space="0" w:color="auto"/>
            <w:right w:val="none" w:sz="0" w:space="0" w:color="auto"/>
          </w:divBdr>
        </w:div>
        <w:div w:id="509028897">
          <w:marLeft w:val="0"/>
          <w:marRight w:val="0"/>
          <w:marTop w:val="0"/>
          <w:marBottom w:val="0"/>
          <w:divBdr>
            <w:top w:val="none" w:sz="0" w:space="0" w:color="auto"/>
            <w:left w:val="none" w:sz="0" w:space="0" w:color="auto"/>
            <w:bottom w:val="none" w:sz="0" w:space="0" w:color="auto"/>
            <w:right w:val="none" w:sz="0" w:space="0" w:color="auto"/>
          </w:divBdr>
        </w:div>
        <w:div w:id="1173032178">
          <w:marLeft w:val="0"/>
          <w:marRight w:val="0"/>
          <w:marTop w:val="0"/>
          <w:marBottom w:val="0"/>
          <w:divBdr>
            <w:top w:val="none" w:sz="0" w:space="0" w:color="auto"/>
            <w:left w:val="none" w:sz="0" w:space="0" w:color="auto"/>
            <w:bottom w:val="none" w:sz="0" w:space="0" w:color="auto"/>
            <w:right w:val="none" w:sz="0" w:space="0" w:color="auto"/>
          </w:divBdr>
        </w:div>
        <w:div w:id="1432582072">
          <w:marLeft w:val="0"/>
          <w:marRight w:val="0"/>
          <w:marTop w:val="0"/>
          <w:marBottom w:val="0"/>
          <w:divBdr>
            <w:top w:val="none" w:sz="0" w:space="0" w:color="auto"/>
            <w:left w:val="none" w:sz="0" w:space="0" w:color="auto"/>
            <w:bottom w:val="none" w:sz="0" w:space="0" w:color="auto"/>
            <w:right w:val="none" w:sz="0" w:space="0" w:color="auto"/>
          </w:divBdr>
        </w:div>
      </w:divsChild>
    </w:div>
    <w:div w:id="1670282023">
      <w:bodyDiv w:val="1"/>
      <w:marLeft w:val="0"/>
      <w:marRight w:val="0"/>
      <w:marTop w:val="0"/>
      <w:marBottom w:val="0"/>
      <w:divBdr>
        <w:top w:val="none" w:sz="0" w:space="0" w:color="auto"/>
        <w:left w:val="none" w:sz="0" w:space="0" w:color="auto"/>
        <w:bottom w:val="none" w:sz="0" w:space="0" w:color="auto"/>
        <w:right w:val="none" w:sz="0" w:space="0" w:color="auto"/>
      </w:divBdr>
    </w:div>
    <w:div w:id="1717896357">
      <w:bodyDiv w:val="1"/>
      <w:marLeft w:val="0"/>
      <w:marRight w:val="0"/>
      <w:marTop w:val="0"/>
      <w:marBottom w:val="0"/>
      <w:divBdr>
        <w:top w:val="none" w:sz="0" w:space="0" w:color="auto"/>
        <w:left w:val="none" w:sz="0" w:space="0" w:color="auto"/>
        <w:bottom w:val="none" w:sz="0" w:space="0" w:color="auto"/>
        <w:right w:val="none" w:sz="0" w:space="0" w:color="auto"/>
      </w:divBdr>
    </w:div>
    <w:div w:id="1723165727">
      <w:bodyDiv w:val="1"/>
      <w:marLeft w:val="0"/>
      <w:marRight w:val="0"/>
      <w:marTop w:val="0"/>
      <w:marBottom w:val="0"/>
      <w:divBdr>
        <w:top w:val="none" w:sz="0" w:space="0" w:color="auto"/>
        <w:left w:val="none" w:sz="0" w:space="0" w:color="auto"/>
        <w:bottom w:val="none" w:sz="0" w:space="0" w:color="auto"/>
        <w:right w:val="none" w:sz="0" w:space="0" w:color="auto"/>
      </w:divBdr>
      <w:divsChild>
        <w:div w:id="547255680">
          <w:marLeft w:val="0"/>
          <w:marRight w:val="0"/>
          <w:marTop w:val="0"/>
          <w:marBottom w:val="0"/>
          <w:divBdr>
            <w:top w:val="none" w:sz="0" w:space="0" w:color="auto"/>
            <w:left w:val="none" w:sz="0" w:space="0" w:color="auto"/>
            <w:bottom w:val="none" w:sz="0" w:space="0" w:color="auto"/>
            <w:right w:val="none" w:sz="0" w:space="0" w:color="auto"/>
          </w:divBdr>
        </w:div>
      </w:divsChild>
    </w:div>
    <w:div w:id="1738162927">
      <w:bodyDiv w:val="1"/>
      <w:marLeft w:val="0"/>
      <w:marRight w:val="0"/>
      <w:marTop w:val="0"/>
      <w:marBottom w:val="0"/>
      <w:divBdr>
        <w:top w:val="none" w:sz="0" w:space="0" w:color="auto"/>
        <w:left w:val="none" w:sz="0" w:space="0" w:color="auto"/>
        <w:bottom w:val="none" w:sz="0" w:space="0" w:color="auto"/>
        <w:right w:val="none" w:sz="0" w:space="0" w:color="auto"/>
      </w:divBdr>
    </w:div>
    <w:div w:id="21437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hyperlink" Target="https://www.sigmaaldrich.com/GB/en/product/aldrich/235865?context=product" TargetMode="External"/><Relationship Id="rId26" Type="http://schemas.openxmlformats.org/officeDocument/2006/relationships/hyperlink" Target="https://www.sigmaaldrich.com/GB/en/product/sigma/p7000?context=product" TargetMode="External"/><Relationship Id="rId39" Type="http://schemas.openxmlformats.org/officeDocument/2006/relationships/hyperlink" Target="https://orcid.org/0000-0002-8278-5555" TargetMode="External"/><Relationship Id="rId21" Type="http://schemas.openxmlformats.org/officeDocument/2006/relationships/hyperlink" Target="https://www.sigmaaldrich.com/GB/en/search/65983-31-5?focus=products&amp;page=1&amp;perPage=30&amp;sort=relevance&amp;term=65983-31-5&amp;type=cas_number"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gmaaldrich.com/GB/en/search/14216-23-0?focus=products&amp;page=1&amp;perPage=30&amp;sort=relevance&amp;term=14216-23-0&amp;type=cas_number" TargetMode="External"/><Relationship Id="rId20" Type="http://schemas.openxmlformats.org/officeDocument/2006/relationships/hyperlink" Target="https://www.sigmaaldrich.com/GB/en/product/aldrich/392103?context=product" TargetMode="External"/><Relationship Id="rId29" Type="http://schemas.openxmlformats.org/officeDocument/2006/relationships/hyperlink" Target="https://www.sigmaaldrich.com/GB/en/search/66170-10-3?focus=products&amp;page=1&amp;perPage=30&amp;sort=relevance&amp;term=66170-10-3&amp;type=cas_numbe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hyperlink" Target="https://www.sigmaaldrich.com/GB/en/search/7473-98-5?focus=products&amp;page=1&amp;perPage=30&amp;sort=relevance&amp;term=7473-98-5&amp;type=cas_number" TargetMode="External"/><Relationship Id="rId32" Type="http://schemas.openxmlformats.org/officeDocument/2006/relationships/hyperlink" Target="mailto:Mark.Bradley@ed.ac.uk" TargetMode="External"/><Relationship Id="rId37" Type="http://schemas.openxmlformats.org/officeDocument/2006/relationships/hyperlink" Target="https://orcid.org/0000-0001-5995-6726"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igmaaldrich.com/GB/en/search/13048-33-4?focus=products&amp;page=1&amp;perPage=30&amp;sort=relevance&amp;term=13048-33-4&amp;type=cas_number" TargetMode="External"/><Relationship Id="rId28" Type="http://schemas.openxmlformats.org/officeDocument/2006/relationships/hyperlink" Target="https://www.sigmaaldrich.com/GB/en/product/sigma/g9422?context=product" TargetMode="External"/><Relationship Id="rId36" Type="http://schemas.openxmlformats.org/officeDocument/2006/relationships/hyperlink" Target="mailto:Mark.Bradley@ed.ac.uk" TargetMode="External"/><Relationship Id="rId10" Type="http://schemas.openxmlformats.org/officeDocument/2006/relationships/image" Target="media/image3.png"/><Relationship Id="rId19" Type="http://schemas.openxmlformats.org/officeDocument/2006/relationships/hyperlink" Target="https://www.sigmaaldrich.com/GB/en/search/97-88-1?focus=products&amp;page=1&amp;perPage=30&amp;sort=relevance&amp;term=97-88-1&amp;type=cas_number" TargetMode="External"/><Relationship Id="rId31" Type="http://schemas.openxmlformats.org/officeDocument/2006/relationships/hyperlink" Target="https://www.graphpad.com/scientific-software/pris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igmaaldrich.com/GB/en/product/aldrich/407968?context=product" TargetMode="External"/><Relationship Id="rId27" Type="http://schemas.openxmlformats.org/officeDocument/2006/relationships/hyperlink" Target="https://www.sigmaaldrich.com/GB/en/product/sigma/d4902?context=product" TargetMode="External"/><Relationship Id="rId30" Type="http://schemas.openxmlformats.org/officeDocument/2006/relationships/hyperlink" Target="https://www.sigmaaldrich.com/GB/en/product/sigma/49752?context=product" TargetMode="External"/><Relationship Id="rId35" Type="http://schemas.openxmlformats.org/officeDocument/2006/relationships/hyperlink" Target="https://orcid.org/0000-0001-7893-1575"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hyperlink" Target="https://www.sigmaaldrich.com/GB/en/search/5888-33-5?focus=products&amp;page=1&amp;perPage=30&amp;sort=relevance&amp;term=5888-33-5&amp;type=cas_number" TargetMode="External"/><Relationship Id="rId25" Type="http://schemas.openxmlformats.org/officeDocument/2006/relationships/hyperlink" Target="https://www.sigmaaldrich.com/GB/en/search/9001-75-6?focus=products&amp;page=1&amp;perPage=30&amp;sort=relevance&amp;term=9001-75-6&amp;type=cas_number" TargetMode="External"/><Relationship Id="rId33" Type="http://schemas.openxmlformats.org/officeDocument/2006/relationships/hyperlink" Target="http://orcid.org/0000-0001-7893-1575" TargetMode="External"/><Relationship Id="rId38" Type="http://schemas.openxmlformats.org/officeDocument/2006/relationships/hyperlink" Target="mailto:Richard.Oreffo@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ED95C-B8FE-44E2-AC37-090BF26C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54511</Words>
  <Characters>310714</Characters>
  <Application>Microsoft Office Word</Application>
  <DocSecurity>0</DocSecurity>
  <Lines>2589</Lines>
  <Paragraphs>728</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364497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CONDE-GONZALEZ Antonio</dc:creator>
  <cp:lastModifiedBy>Michael Glinka</cp:lastModifiedBy>
  <cp:revision>3</cp:revision>
  <cp:lastPrinted>2019-10-28T12:45:00Z</cp:lastPrinted>
  <dcterms:created xsi:type="dcterms:W3CDTF">2022-11-03T13:42:00Z</dcterms:created>
  <dcterms:modified xsi:type="dcterms:W3CDTF">2022-11-03T13:43:00Z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62b30634-c536-370b-8197-c0eb1dc1d522</vt:lpwstr>
  </property>
  <property fmtid="{D5CDD505-2E9C-101B-9397-08002B2CF9AE}" pid="25" name="ZOTERO_PREF_1">
    <vt:lpwstr>&lt;data data-version="3" zotero-version="6.0.16"&gt;&lt;session id="1dryys0K"/&gt;&lt;style id="http://www.zotero.org/styles/american-medical-association" hasBibliography="1" bibliographyStyleHasBeenSet="1"/&gt;&lt;prefs&gt;&lt;pref name="fieldType" value="Field"/&gt;&lt;/prefs&gt;&lt;/data&gt;</vt:lpwstr>
  </property>
</Properties>
</file>